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7B6C2" w14:textId="77777777" w:rsidR="00A51C34" w:rsidRDefault="00A51C34" w:rsidP="00A51C34">
      <w:pPr>
        <w:rPr>
          <w:b/>
          <w:bCs/>
          <w:sz w:val="44"/>
          <w:szCs w:val="44"/>
        </w:rPr>
      </w:pPr>
    </w:p>
    <w:p w14:paraId="35EB12A1" w14:textId="77777777" w:rsidR="00A51C34" w:rsidRPr="005A35FC" w:rsidRDefault="00A51C34" w:rsidP="00A51C34">
      <w:pPr>
        <w:rPr>
          <w:b/>
          <w:bCs/>
          <w:sz w:val="32"/>
          <w:szCs w:val="32"/>
        </w:rPr>
      </w:pPr>
    </w:p>
    <w:p w14:paraId="19802E4E" w14:textId="0CEB3208" w:rsidR="00A51C34" w:rsidRPr="00A460D9" w:rsidRDefault="00A51C34" w:rsidP="00A51C34">
      <w:pPr>
        <w:rPr>
          <w:b/>
          <w:bCs/>
          <w:sz w:val="28"/>
          <w:szCs w:val="28"/>
        </w:rPr>
      </w:pPr>
      <w:r w:rsidRPr="00A460D9">
        <w:rPr>
          <w:b/>
          <w:bCs/>
          <w:sz w:val="28"/>
          <w:szCs w:val="28"/>
        </w:rPr>
        <w:t>Hossam Rashwan</w:t>
      </w:r>
    </w:p>
    <w:p w14:paraId="657D2E57" w14:textId="77777777" w:rsidR="00A51C34" w:rsidRPr="00A460D9" w:rsidRDefault="00A51C34" w:rsidP="00A51C34">
      <w:pPr>
        <w:rPr>
          <w:b/>
          <w:bCs/>
          <w:sz w:val="28"/>
          <w:szCs w:val="28"/>
        </w:rPr>
      </w:pPr>
      <w:r w:rsidRPr="00A460D9">
        <w:rPr>
          <w:b/>
          <w:bCs/>
          <w:sz w:val="28"/>
          <w:szCs w:val="28"/>
        </w:rPr>
        <w:t>2518525</w:t>
      </w:r>
    </w:p>
    <w:p w14:paraId="0E67AECD" w14:textId="77777777" w:rsidR="00A51C34" w:rsidRPr="00A460D9" w:rsidRDefault="00A51C34" w:rsidP="00A51C34">
      <w:pPr>
        <w:spacing w:before="120" w:after="120"/>
        <w:rPr>
          <w:rFonts w:cstheme="minorHAnsi"/>
          <w:b/>
          <w:bCs/>
          <w:sz w:val="28"/>
          <w:szCs w:val="28"/>
        </w:rPr>
      </w:pPr>
      <w:r w:rsidRPr="00A460D9">
        <w:rPr>
          <w:rFonts w:cstheme="minorHAnsi"/>
          <w:b/>
          <w:bCs/>
          <w:sz w:val="28"/>
          <w:szCs w:val="28"/>
        </w:rPr>
        <w:t>MA Criminal Justice and Policing</w:t>
      </w:r>
    </w:p>
    <w:p w14:paraId="7742E87C" w14:textId="71D839CB" w:rsidR="00317CF3" w:rsidRPr="00A460D9" w:rsidRDefault="00317CF3" w:rsidP="00A51C34">
      <w:pPr>
        <w:spacing w:before="120" w:after="120"/>
        <w:rPr>
          <w:rFonts w:cstheme="minorHAnsi"/>
          <w:b/>
          <w:bCs/>
          <w:sz w:val="28"/>
          <w:szCs w:val="28"/>
        </w:rPr>
      </w:pPr>
      <w:r w:rsidRPr="00A460D9">
        <w:rPr>
          <w:rFonts w:cstheme="minorHAnsi"/>
          <w:b/>
          <w:bCs/>
          <w:sz w:val="28"/>
          <w:szCs w:val="28"/>
        </w:rPr>
        <w:t>UWTSD</w:t>
      </w:r>
    </w:p>
    <w:p w14:paraId="3AA9B73B" w14:textId="77777777" w:rsidR="00A51C34" w:rsidRPr="00A460D9" w:rsidRDefault="00A51C34" w:rsidP="00A51C34">
      <w:pPr>
        <w:spacing w:before="120" w:after="120"/>
        <w:rPr>
          <w:rFonts w:cstheme="minorHAnsi"/>
          <w:b/>
          <w:bCs/>
          <w:sz w:val="28"/>
          <w:szCs w:val="28"/>
        </w:rPr>
      </w:pPr>
      <w:r w:rsidRPr="00A460D9">
        <w:rPr>
          <w:rFonts w:cstheme="minorHAnsi"/>
          <w:b/>
          <w:bCs/>
          <w:sz w:val="28"/>
          <w:szCs w:val="28"/>
        </w:rPr>
        <w:t>09/01/2025</w:t>
      </w:r>
    </w:p>
    <w:p w14:paraId="2353037A" w14:textId="77777777" w:rsidR="00A51C34" w:rsidRPr="00A460D9" w:rsidRDefault="00A51C34" w:rsidP="00C341DA">
      <w:pPr>
        <w:rPr>
          <w:b/>
          <w:sz w:val="28"/>
          <w:szCs w:val="28"/>
          <w:u w:val="single"/>
        </w:rPr>
      </w:pPr>
    </w:p>
    <w:p w14:paraId="3EB3867B" w14:textId="77777777" w:rsidR="005A35FC" w:rsidRPr="00A460D9" w:rsidRDefault="005A35FC" w:rsidP="00C341DA">
      <w:pPr>
        <w:rPr>
          <w:b/>
          <w:sz w:val="28"/>
          <w:szCs w:val="28"/>
          <w:u w:val="single"/>
        </w:rPr>
      </w:pPr>
    </w:p>
    <w:p w14:paraId="1F5F1599" w14:textId="0A3C19B9" w:rsidR="00B97280" w:rsidRPr="00A460D9" w:rsidRDefault="00B97280" w:rsidP="00C341DA">
      <w:pPr>
        <w:rPr>
          <w:b/>
          <w:sz w:val="28"/>
          <w:szCs w:val="28"/>
          <w:u w:val="single"/>
        </w:rPr>
      </w:pPr>
      <w:r w:rsidRPr="00A460D9">
        <w:rPr>
          <w:b/>
          <w:sz w:val="28"/>
          <w:szCs w:val="28"/>
          <w:u w:val="single"/>
        </w:rPr>
        <w:t>Critically evaluate policing strategies, tools and responses to cybercrime, focusing on digital forensics, threat intelligence and public – private partnerships. Define the relevant areas of cybercrime (e.g. ransomware, data breaches and cyber enabled fraud), and the criteria you will use to determine effectiveness. Assess how effectively current tools address those areas, identifying any systemic barriers. Consider and propose any innovative, evidence based measures to improve effectiveness in combatting cybercrime.</w:t>
      </w:r>
    </w:p>
    <w:p w14:paraId="30909757" w14:textId="77777777" w:rsidR="00A51C34" w:rsidRDefault="00A51C34" w:rsidP="00C341DA">
      <w:pPr>
        <w:rPr>
          <w:b/>
          <w:sz w:val="28"/>
          <w:szCs w:val="28"/>
          <w:u w:val="single"/>
        </w:rPr>
      </w:pPr>
    </w:p>
    <w:p w14:paraId="522DF022" w14:textId="77777777" w:rsidR="00A51C34" w:rsidRDefault="00A51C34" w:rsidP="00C341DA">
      <w:pPr>
        <w:rPr>
          <w:b/>
          <w:sz w:val="28"/>
          <w:szCs w:val="28"/>
          <w:u w:val="single"/>
        </w:rPr>
      </w:pPr>
    </w:p>
    <w:p w14:paraId="1B591CE1" w14:textId="77777777" w:rsidR="00A51C34" w:rsidRDefault="00A51C34" w:rsidP="00C341DA">
      <w:pPr>
        <w:rPr>
          <w:b/>
          <w:sz w:val="28"/>
          <w:szCs w:val="28"/>
          <w:u w:val="single"/>
        </w:rPr>
      </w:pPr>
    </w:p>
    <w:p w14:paraId="086528E7" w14:textId="77777777" w:rsidR="00A51C34" w:rsidRDefault="00A51C34" w:rsidP="00C341DA">
      <w:pPr>
        <w:rPr>
          <w:b/>
          <w:sz w:val="28"/>
          <w:szCs w:val="28"/>
          <w:u w:val="single"/>
        </w:rPr>
      </w:pPr>
    </w:p>
    <w:p w14:paraId="1EFEEC99" w14:textId="77777777" w:rsidR="00A51C34" w:rsidRDefault="00A51C34" w:rsidP="00C341DA">
      <w:pPr>
        <w:rPr>
          <w:b/>
          <w:sz w:val="28"/>
          <w:szCs w:val="28"/>
          <w:u w:val="single"/>
        </w:rPr>
      </w:pPr>
    </w:p>
    <w:p w14:paraId="63298D80" w14:textId="77777777" w:rsidR="00A51C34" w:rsidRDefault="00A51C34" w:rsidP="00C341DA">
      <w:pPr>
        <w:rPr>
          <w:b/>
          <w:sz w:val="28"/>
          <w:szCs w:val="28"/>
          <w:u w:val="single"/>
        </w:rPr>
      </w:pPr>
    </w:p>
    <w:p w14:paraId="77FADAD8" w14:textId="77777777" w:rsidR="00A51C34" w:rsidRDefault="00A51C34" w:rsidP="00C341DA">
      <w:pPr>
        <w:rPr>
          <w:b/>
          <w:sz w:val="28"/>
          <w:szCs w:val="28"/>
          <w:u w:val="single"/>
        </w:rPr>
      </w:pPr>
    </w:p>
    <w:p w14:paraId="43464A9D" w14:textId="77777777" w:rsidR="00A51C34" w:rsidRDefault="00A51C34" w:rsidP="00C341DA">
      <w:pPr>
        <w:rPr>
          <w:b/>
          <w:sz w:val="28"/>
          <w:szCs w:val="28"/>
          <w:u w:val="single"/>
        </w:rPr>
      </w:pPr>
    </w:p>
    <w:p w14:paraId="4AA55AFA" w14:textId="77777777" w:rsidR="00A51C34" w:rsidRDefault="00A51C34" w:rsidP="00C341DA">
      <w:pPr>
        <w:rPr>
          <w:b/>
          <w:sz w:val="28"/>
          <w:szCs w:val="28"/>
          <w:u w:val="single"/>
        </w:rPr>
      </w:pPr>
    </w:p>
    <w:p w14:paraId="1FA5A7E6" w14:textId="77777777" w:rsidR="00503BE9" w:rsidRDefault="00503BE9" w:rsidP="00290F33">
      <w:pPr>
        <w:pStyle w:val="TOCHeading"/>
        <w:rPr>
          <w:rFonts w:asciiTheme="minorHAnsi" w:hAnsiTheme="minorHAnsi" w:cstheme="minorHAnsi"/>
          <w:b/>
          <w:color w:val="auto"/>
        </w:rPr>
      </w:pPr>
    </w:p>
    <w:p w14:paraId="46A2F143" w14:textId="77777777" w:rsidR="00290F33" w:rsidRPr="00290F33" w:rsidRDefault="00290F33" w:rsidP="00290F33">
      <w:pPr>
        <w:rPr>
          <w:lang w:val="en-US"/>
        </w:rPr>
      </w:pPr>
    </w:p>
    <w:p w14:paraId="7316EF0A" w14:textId="77777777" w:rsidR="001D0A68" w:rsidRDefault="001D0A68" w:rsidP="00C341DA">
      <w:pPr>
        <w:rPr>
          <w:b/>
          <w:color w:val="000000" w:themeColor="text1"/>
        </w:rPr>
      </w:pPr>
    </w:p>
    <w:sdt>
      <w:sdtPr>
        <w:id w:val="-13405312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1387B49" w14:textId="57CFC033" w:rsidR="00320ECB" w:rsidRPr="00320ECB" w:rsidRDefault="00320ECB" w:rsidP="00320ECB">
          <w:pPr>
            <w:pStyle w:val="TOCHeading"/>
            <w:jc w:val="center"/>
            <w:rPr>
              <w:b/>
              <w:bCs/>
              <w:color w:val="auto"/>
            </w:rPr>
          </w:pPr>
          <w:r w:rsidRPr="00320ECB">
            <w:rPr>
              <w:b/>
              <w:bCs/>
              <w:color w:val="auto"/>
            </w:rPr>
            <w:t>Table of Contents</w:t>
          </w:r>
        </w:p>
        <w:p w14:paraId="4840A1EB" w14:textId="44817F87" w:rsidR="00320ECB" w:rsidRDefault="00320ECB">
          <w:pPr>
            <w:pStyle w:val="TOC1"/>
            <w:rPr>
              <w:rFonts w:eastAsiaTheme="minorEastAsia" w:cstheme="minorBidi"/>
              <w:color w:val="auto"/>
              <w:sz w:val="24"/>
              <w:szCs w:val="24"/>
              <w:lang w:eastAsia="en-GB"/>
            </w:rPr>
          </w:pPr>
          <w:r>
            <w:fldChar w:fldCharType="begin"/>
          </w:r>
          <w:r>
            <w:instrText xml:space="preserve"> TOC \o "1-3" \h \z \u </w:instrText>
          </w:r>
          <w:r>
            <w:fldChar w:fldCharType="separate"/>
          </w:r>
          <w:hyperlink w:anchor="_Toc218703986" w:history="1">
            <w:r w:rsidRPr="00D04A69">
              <w:rPr>
                <w:rStyle w:val="Hyperlink"/>
                <w:b/>
                <w:bCs/>
              </w:rPr>
              <w:t>1. Executive Summary</w:t>
            </w:r>
            <w:r>
              <w:rPr>
                <w:webHidden/>
              </w:rPr>
              <w:tab/>
            </w:r>
            <w:r>
              <w:rPr>
                <w:webHidden/>
              </w:rPr>
              <w:fldChar w:fldCharType="begin"/>
            </w:r>
            <w:r>
              <w:rPr>
                <w:webHidden/>
              </w:rPr>
              <w:instrText xml:space="preserve"> PAGEREF _Toc218703986 \h </w:instrText>
            </w:r>
            <w:r>
              <w:rPr>
                <w:webHidden/>
              </w:rPr>
            </w:r>
            <w:r>
              <w:rPr>
                <w:webHidden/>
              </w:rPr>
              <w:fldChar w:fldCharType="separate"/>
            </w:r>
            <w:r>
              <w:rPr>
                <w:webHidden/>
              </w:rPr>
              <w:t>1</w:t>
            </w:r>
            <w:r>
              <w:rPr>
                <w:webHidden/>
              </w:rPr>
              <w:fldChar w:fldCharType="end"/>
            </w:r>
          </w:hyperlink>
        </w:p>
        <w:p w14:paraId="7290819F" w14:textId="072FCD08" w:rsidR="00320ECB" w:rsidRDefault="00320ECB">
          <w:pPr>
            <w:pStyle w:val="TOC1"/>
            <w:rPr>
              <w:rFonts w:eastAsiaTheme="minorEastAsia" w:cstheme="minorBidi"/>
              <w:color w:val="auto"/>
              <w:sz w:val="24"/>
              <w:szCs w:val="24"/>
              <w:lang w:eastAsia="en-GB"/>
            </w:rPr>
          </w:pPr>
          <w:hyperlink w:anchor="_Toc218703987" w:history="1">
            <w:r w:rsidRPr="00D04A69">
              <w:rPr>
                <w:rStyle w:val="Hyperlink"/>
                <w:b/>
                <w:bCs/>
              </w:rPr>
              <w:t>2.  Introduction</w:t>
            </w:r>
            <w:r>
              <w:rPr>
                <w:webHidden/>
              </w:rPr>
              <w:tab/>
            </w:r>
            <w:r>
              <w:rPr>
                <w:webHidden/>
              </w:rPr>
              <w:fldChar w:fldCharType="begin"/>
            </w:r>
            <w:r>
              <w:rPr>
                <w:webHidden/>
              </w:rPr>
              <w:instrText xml:space="preserve"> PAGEREF _Toc218703987 \h </w:instrText>
            </w:r>
            <w:r>
              <w:rPr>
                <w:webHidden/>
              </w:rPr>
            </w:r>
            <w:r>
              <w:rPr>
                <w:webHidden/>
              </w:rPr>
              <w:fldChar w:fldCharType="separate"/>
            </w:r>
            <w:r>
              <w:rPr>
                <w:webHidden/>
              </w:rPr>
              <w:t>1</w:t>
            </w:r>
            <w:r>
              <w:rPr>
                <w:webHidden/>
              </w:rPr>
              <w:fldChar w:fldCharType="end"/>
            </w:r>
          </w:hyperlink>
        </w:p>
        <w:p w14:paraId="2CC99504" w14:textId="62CAF1A6" w:rsidR="00320ECB" w:rsidRDefault="00320ECB">
          <w:pPr>
            <w:pStyle w:val="TOC1"/>
            <w:rPr>
              <w:rFonts w:eastAsiaTheme="minorEastAsia" w:cstheme="minorBidi"/>
              <w:color w:val="auto"/>
              <w:sz w:val="24"/>
              <w:szCs w:val="24"/>
              <w:lang w:eastAsia="en-GB"/>
            </w:rPr>
          </w:pPr>
          <w:hyperlink w:anchor="_Toc218703988" w:history="1">
            <w:r w:rsidRPr="00D04A69">
              <w:rPr>
                <w:rStyle w:val="Hyperlink"/>
                <w:b/>
                <w:bCs/>
              </w:rPr>
              <w:t>3. Defining the Contemporary Scope of Cybercrime</w:t>
            </w:r>
            <w:r>
              <w:rPr>
                <w:webHidden/>
              </w:rPr>
              <w:tab/>
            </w:r>
            <w:r>
              <w:rPr>
                <w:webHidden/>
              </w:rPr>
              <w:fldChar w:fldCharType="begin"/>
            </w:r>
            <w:r>
              <w:rPr>
                <w:webHidden/>
              </w:rPr>
              <w:instrText xml:space="preserve"> PAGEREF _Toc218703988 \h </w:instrText>
            </w:r>
            <w:r>
              <w:rPr>
                <w:webHidden/>
              </w:rPr>
            </w:r>
            <w:r>
              <w:rPr>
                <w:webHidden/>
              </w:rPr>
              <w:fldChar w:fldCharType="separate"/>
            </w:r>
            <w:r>
              <w:rPr>
                <w:webHidden/>
              </w:rPr>
              <w:t>2</w:t>
            </w:r>
            <w:r>
              <w:rPr>
                <w:webHidden/>
              </w:rPr>
              <w:fldChar w:fldCharType="end"/>
            </w:r>
          </w:hyperlink>
        </w:p>
        <w:p w14:paraId="4C6695CA" w14:textId="48A3C5B6" w:rsidR="00320ECB" w:rsidRDefault="00320ECB">
          <w:pPr>
            <w:pStyle w:val="TOC1"/>
            <w:rPr>
              <w:rFonts w:eastAsiaTheme="minorEastAsia" w:cstheme="minorBidi"/>
              <w:color w:val="auto"/>
              <w:sz w:val="24"/>
              <w:szCs w:val="24"/>
              <w:lang w:eastAsia="en-GB"/>
            </w:rPr>
          </w:pPr>
          <w:hyperlink w:anchor="_Toc218703989" w:history="1">
            <w:r w:rsidRPr="00D04A69">
              <w:rPr>
                <w:rStyle w:val="Hyperlink"/>
                <w:rFonts w:ascii="Calibri" w:hAnsi="Calibri" w:cs="Calibri"/>
                <w:b/>
                <w:bCs/>
              </w:rPr>
              <w:t>4. Evaluation Criteria and Conceptual Framework for Assessing Cyber Policing Effectiveness</w:t>
            </w:r>
            <w:r>
              <w:rPr>
                <w:webHidden/>
              </w:rPr>
              <w:tab/>
            </w:r>
            <w:r>
              <w:rPr>
                <w:webHidden/>
              </w:rPr>
              <w:fldChar w:fldCharType="begin"/>
            </w:r>
            <w:r>
              <w:rPr>
                <w:webHidden/>
              </w:rPr>
              <w:instrText xml:space="preserve"> PAGEREF _Toc218703989 \h </w:instrText>
            </w:r>
            <w:r>
              <w:rPr>
                <w:webHidden/>
              </w:rPr>
            </w:r>
            <w:r>
              <w:rPr>
                <w:webHidden/>
              </w:rPr>
              <w:fldChar w:fldCharType="separate"/>
            </w:r>
            <w:r>
              <w:rPr>
                <w:webHidden/>
              </w:rPr>
              <w:t>3</w:t>
            </w:r>
            <w:r>
              <w:rPr>
                <w:webHidden/>
              </w:rPr>
              <w:fldChar w:fldCharType="end"/>
            </w:r>
          </w:hyperlink>
        </w:p>
        <w:p w14:paraId="168D5056" w14:textId="5BC6DD42" w:rsidR="00320ECB" w:rsidRDefault="00320ECB">
          <w:pPr>
            <w:pStyle w:val="TOC1"/>
            <w:rPr>
              <w:rFonts w:eastAsiaTheme="minorEastAsia" w:cstheme="minorBidi"/>
              <w:color w:val="auto"/>
              <w:sz w:val="24"/>
              <w:szCs w:val="24"/>
              <w:lang w:eastAsia="en-GB"/>
            </w:rPr>
          </w:pPr>
          <w:hyperlink w:anchor="_Toc218703990" w:history="1">
            <w:r w:rsidRPr="00D04A69">
              <w:rPr>
                <w:rStyle w:val="Hyperlink"/>
                <w:b/>
                <w:bCs/>
              </w:rPr>
              <w:t>5. Digital Forensics: Tools, Capabilities and Limitations, Constraints, and Effectiveness</w:t>
            </w:r>
            <w:r>
              <w:rPr>
                <w:webHidden/>
              </w:rPr>
              <w:tab/>
            </w:r>
            <w:r>
              <w:rPr>
                <w:webHidden/>
              </w:rPr>
              <w:fldChar w:fldCharType="begin"/>
            </w:r>
            <w:r>
              <w:rPr>
                <w:webHidden/>
              </w:rPr>
              <w:instrText xml:space="preserve"> PAGEREF _Toc218703990 \h </w:instrText>
            </w:r>
            <w:r>
              <w:rPr>
                <w:webHidden/>
              </w:rPr>
            </w:r>
            <w:r>
              <w:rPr>
                <w:webHidden/>
              </w:rPr>
              <w:fldChar w:fldCharType="separate"/>
            </w:r>
            <w:r>
              <w:rPr>
                <w:webHidden/>
              </w:rPr>
              <w:t>4</w:t>
            </w:r>
            <w:r>
              <w:rPr>
                <w:webHidden/>
              </w:rPr>
              <w:fldChar w:fldCharType="end"/>
            </w:r>
          </w:hyperlink>
        </w:p>
        <w:p w14:paraId="464FA093" w14:textId="17058360" w:rsidR="00320ECB" w:rsidRDefault="00320ECB">
          <w:pPr>
            <w:pStyle w:val="TOC1"/>
            <w:rPr>
              <w:rFonts w:eastAsiaTheme="minorEastAsia" w:cstheme="minorBidi"/>
              <w:color w:val="auto"/>
              <w:sz w:val="24"/>
              <w:szCs w:val="24"/>
              <w:lang w:eastAsia="en-GB"/>
            </w:rPr>
          </w:pPr>
          <w:hyperlink w:anchor="_Toc218703991" w:history="1">
            <w:r w:rsidRPr="00D04A69">
              <w:rPr>
                <w:rStyle w:val="Hyperlink"/>
                <w:b/>
                <w:bCs/>
              </w:rPr>
              <w:t>5.1 Capabilities</w:t>
            </w:r>
            <w:r>
              <w:rPr>
                <w:webHidden/>
              </w:rPr>
              <w:tab/>
            </w:r>
            <w:r>
              <w:rPr>
                <w:webHidden/>
              </w:rPr>
              <w:fldChar w:fldCharType="begin"/>
            </w:r>
            <w:r>
              <w:rPr>
                <w:webHidden/>
              </w:rPr>
              <w:instrText xml:space="preserve"> PAGEREF _Toc218703991 \h </w:instrText>
            </w:r>
            <w:r>
              <w:rPr>
                <w:webHidden/>
              </w:rPr>
            </w:r>
            <w:r>
              <w:rPr>
                <w:webHidden/>
              </w:rPr>
              <w:fldChar w:fldCharType="separate"/>
            </w:r>
            <w:r>
              <w:rPr>
                <w:webHidden/>
              </w:rPr>
              <w:t>4</w:t>
            </w:r>
            <w:r>
              <w:rPr>
                <w:webHidden/>
              </w:rPr>
              <w:fldChar w:fldCharType="end"/>
            </w:r>
          </w:hyperlink>
        </w:p>
        <w:p w14:paraId="77CFFD1E" w14:textId="5C3D1BFC" w:rsidR="00320ECB" w:rsidRDefault="00320ECB">
          <w:pPr>
            <w:pStyle w:val="TOC1"/>
            <w:rPr>
              <w:rFonts w:eastAsiaTheme="minorEastAsia" w:cstheme="minorBidi"/>
              <w:color w:val="auto"/>
              <w:sz w:val="24"/>
              <w:szCs w:val="24"/>
              <w:lang w:eastAsia="en-GB"/>
            </w:rPr>
          </w:pPr>
          <w:hyperlink w:anchor="_Toc218703992" w:history="1">
            <w:r w:rsidRPr="00D04A69">
              <w:rPr>
                <w:rStyle w:val="Hyperlink"/>
                <w:b/>
                <w:bCs/>
              </w:rPr>
              <w:t>5.2 Limitations and Barriers</w:t>
            </w:r>
            <w:r>
              <w:rPr>
                <w:webHidden/>
              </w:rPr>
              <w:tab/>
            </w:r>
            <w:r>
              <w:rPr>
                <w:webHidden/>
              </w:rPr>
              <w:fldChar w:fldCharType="begin"/>
            </w:r>
            <w:r>
              <w:rPr>
                <w:webHidden/>
              </w:rPr>
              <w:instrText xml:space="preserve"> PAGEREF _Toc218703992 \h </w:instrText>
            </w:r>
            <w:r>
              <w:rPr>
                <w:webHidden/>
              </w:rPr>
            </w:r>
            <w:r>
              <w:rPr>
                <w:webHidden/>
              </w:rPr>
              <w:fldChar w:fldCharType="separate"/>
            </w:r>
            <w:r>
              <w:rPr>
                <w:webHidden/>
              </w:rPr>
              <w:t>5</w:t>
            </w:r>
            <w:r>
              <w:rPr>
                <w:webHidden/>
              </w:rPr>
              <w:fldChar w:fldCharType="end"/>
            </w:r>
          </w:hyperlink>
        </w:p>
        <w:p w14:paraId="012E6050" w14:textId="30C98034" w:rsidR="00320ECB" w:rsidRDefault="00320ECB">
          <w:pPr>
            <w:pStyle w:val="TOC1"/>
            <w:rPr>
              <w:rFonts w:eastAsiaTheme="minorEastAsia" w:cstheme="minorBidi"/>
              <w:color w:val="auto"/>
              <w:sz w:val="24"/>
              <w:szCs w:val="24"/>
              <w:lang w:eastAsia="en-GB"/>
            </w:rPr>
          </w:pPr>
          <w:hyperlink w:anchor="_Toc218703993" w:history="1">
            <w:r w:rsidRPr="00D04A69">
              <w:rPr>
                <w:rStyle w:val="Hyperlink"/>
                <w:b/>
                <w:bCs/>
              </w:rPr>
              <w:t>5.3 Effectiveness Against Specific Threats</w:t>
            </w:r>
            <w:r>
              <w:rPr>
                <w:webHidden/>
              </w:rPr>
              <w:tab/>
            </w:r>
            <w:r>
              <w:rPr>
                <w:webHidden/>
              </w:rPr>
              <w:fldChar w:fldCharType="begin"/>
            </w:r>
            <w:r>
              <w:rPr>
                <w:webHidden/>
              </w:rPr>
              <w:instrText xml:space="preserve"> PAGEREF _Toc218703993 \h </w:instrText>
            </w:r>
            <w:r>
              <w:rPr>
                <w:webHidden/>
              </w:rPr>
            </w:r>
            <w:r>
              <w:rPr>
                <w:webHidden/>
              </w:rPr>
              <w:fldChar w:fldCharType="separate"/>
            </w:r>
            <w:r>
              <w:rPr>
                <w:webHidden/>
              </w:rPr>
              <w:t>7</w:t>
            </w:r>
            <w:r>
              <w:rPr>
                <w:webHidden/>
              </w:rPr>
              <w:fldChar w:fldCharType="end"/>
            </w:r>
          </w:hyperlink>
        </w:p>
        <w:p w14:paraId="6B318CA4" w14:textId="11268918" w:rsidR="00320ECB" w:rsidRDefault="00320ECB">
          <w:pPr>
            <w:pStyle w:val="TOC1"/>
            <w:rPr>
              <w:rFonts w:eastAsiaTheme="minorEastAsia" w:cstheme="minorBidi"/>
              <w:color w:val="auto"/>
              <w:sz w:val="24"/>
              <w:szCs w:val="24"/>
              <w:lang w:eastAsia="en-GB"/>
            </w:rPr>
          </w:pPr>
          <w:hyperlink w:anchor="_Toc218703994" w:history="1">
            <w:r w:rsidRPr="00D04A69">
              <w:rPr>
                <w:rStyle w:val="Hyperlink"/>
                <w:b/>
                <w:bCs/>
              </w:rPr>
              <w:t>6. Cyber Threat Intelligence: Strategic Value and Operational Responses</w:t>
            </w:r>
            <w:r>
              <w:rPr>
                <w:webHidden/>
              </w:rPr>
              <w:tab/>
            </w:r>
            <w:r>
              <w:rPr>
                <w:webHidden/>
              </w:rPr>
              <w:fldChar w:fldCharType="begin"/>
            </w:r>
            <w:r>
              <w:rPr>
                <w:webHidden/>
              </w:rPr>
              <w:instrText xml:space="preserve"> PAGEREF _Toc218703994 \h </w:instrText>
            </w:r>
            <w:r>
              <w:rPr>
                <w:webHidden/>
              </w:rPr>
            </w:r>
            <w:r>
              <w:rPr>
                <w:webHidden/>
              </w:rPr>
              <w:fldChar w:fldCharType="separate"/>
            </w:r>
            <w:r>
              <w:rPr>
                <w:webHidden/>
              </w:rPr>
              <w:t>8</w:t>
            </w:r>
            <w:r>
              <w:rPr>
                <w:webHidden/>
              </w:rPr>
              <w:fldChar w:fldCharType="end"/>
            </w:r>
          </w:hyperlink>
        </w:p>
        <w:p w14:paraId="66ED5687" w14:textId="7F719D05" w:rsidR="00320ECB" w:rsidRDefault="00320ECB">
          <w:pPr>
            <w:pStyle w:val="TOC1"/>
            <w:rPr>
              <w:rFonts w:eastAsiaTheme="minorEastAsia" w:cstheme="minorBidi"/>
              <w:color w:val="auto"/>
              <w:sz w:val="24"/>
              <w:szCs w:val="24"/>
              <w:lang w:eastAsia="en-GB"/>
            </w:rPr>
          </w:pPr>
          <w:hyperlink w:anchor="_Toc218703995" w:history="1">
            <w:r w:rsidRPr="00D04A69">
              <w:rPr>
                <w:rStyle w:val="Hyperlink"/>
                <w:b/>
                <w:bCs/>
              </w:rPr>
              <w:t>6.1 Current Policing Uses and Strengths</w:t>
            </w:r>
            <w:r>
              <w:rPr>
                <w:webHidden/>
              </w:rPr>
              <w:tab/>
            </w:r>
            <w:r>
              <w:rPr>
                <w:webHidden/>
              </w:rPr>
              <w:fldChar w:fldCharType="begin"/>
            </w:r>
            <w:r>
              <w:rPr>
                <w:webHidden/>
              </w:rPr>
              <w:instrText xml:space="preserve"> PAGEREF _Toc218703995 \h </w:instrText>
            </w:r>
            <w:r>
              <w:rPr>
                <w:webHidden/>
              </w:rPr>
            </w:r>
            <w:r>
              <w:rPr>
                <w:webHidden/>
              </w:rPr>
              <w:fldChar w:fldCharType="separate"/>
            </w:r>
            <w:r>
              <w:rPr>
                <w:webHidden/>
              </w:rPr>
              <w:t>8</w:t>
            </w:r>
            <w:r>
              <w:rPr>
                <w:webHidden/>
              </w:rPr>
              <w:fldChar w:fldCharType="end"/>
            </w:r>
          </w:hyperlink>
        </w:p>
        <w:p w14:paraId="3A1D7473" w14:textId="0B25B389" w:rsidR="00320ECB" w:rsidRDefault="00320ECB">
          <w:pPr>
            <w:pStyle w:val="TOC1"/>
            <w:rPr>
              <w:rFonts w:eastAsiaTheme="minorEastAsia" w:cstheme="minorBidi"/>
              <w:color w:val="auto"/>
              <w:sz w:val="24"/>
              <w:szCs w:val="24"/>
              <w:lang w:eastAsia="en-GB"/>
            </w:rPr>
          </w:pPr>
          <w:hyperlink w:anchor="_Toc218703996" w:history="1">
            <w:r w:rsidRPr="00D04A69">
              <w:rPr>
                <w:rStyle w:val="Hyperlink"/>
                <w:b/>
                <w:bCs/>
              </w:rPr>
              <w:t>6.2 Limitations and Barriers</w:t>
            </w:r>
            <w:r>
              <w:rPr>
                <w:webHidden/>
              </w:rPr>
              <w:tab/>
            </w:r>
            <w:r>
              <w:rPr>
                <w:webHidden/>
              </w:rPr>
              <w:fldChar w:fldCharType="begin"/>
            </w:r>
            <w:r>
              <w:rPr>
                <w:webHidden/>
              </w:rPr>
              <w:instrText xml:space="preserve"> PAGEREF _Toc218703996 \h </w:instrText>
            </w:r>
            <w:r>
              <w:rPr>
                <w:webHidden/>
              </w:rPr>
            </w:r>
            <w:r>
              <w:rPr>
                <w:webHidden/>
              </w:rPr>
              <w:fldChar w:fldCharType="separate"/>
            </w:r>
            <w:r>
              <w:rPr>
                <w:webHidden/>
              </w:rPr>
              <w:t>10</w:t>
            </w:r>
            <w:r>
              <w:rPr>
                <w:webHidden/>
              </w:rPr>
              <w:fldChar w:fldCharType="end"/>
            </w:r>
          </w:hyperlink>
        </w:p>
        <w:p w14:paraId="17093FD7" w14:textId="09014D2C" w:rsidR="00320ECB" w:rsidRDefault="00320ECB">
          <w:pPr>
            <w:pStyle w:val="TOC1"/>
            <w:rPr>
              <w:rFonts w:eastAsiaTheme="minorEastAsia" w:cstheme="minorBidi"/>
              <w:color w:val="auto"/>
              <w:sz w:val="24"/>
              <w:szCs w:val="24"/>
              <w:lang w:eastAsia="en-GB"/>
            </w:rPr>
          </w:pPr>
          <w:hyperlink w:anchor="_Toc218703997" w:history="1">
            <w:r w:rsidRPr="00D04A69">
              <w:rPr>
                <w:rStyle w:val="Hyperlink"/>
                <w:b/>
                <w:bCs/>
              </w:rPr>
              <w:t>6.3 Effectiveness Against Specific Threats</w:t>
            </w:r>
            <w:r>
              <w:rPr>
                <w:webHidden/>
              </w:rPr>
              <w:tab/>
            </w:r>
            <w:r>
              <w:rPr>
                <w:webHidden/>
              </w:rPr>
              <w:fldChar w:fldCharType="begin"/>
            </w:r>
            <w:r>
              <w:rPr>
                <w:webHidden/>
              </w:rPr>
              <w:instrText xml:space="preserve"> PAGEREF _Toc218703997 \h </w:instrText>
            </w:r>
            <w:r>
              <w:rPr>
                <w:webHidden/>
              </w:rPr>
            </w:r>
            <w:r>
              <w:rPr>
                <w:webHidden/>
              </w:rPr>
              <w:fldChar w:fldCharType="separate"/>
            </w:r>
            <w:r>
              <w:rPr>
                <w:webHidden/>
              </w:rPr>
              <w:t>11</w:t>
            </w:r>
            <w:r>
              <w:rPr>
                <w:webHidden/>
              </w:rPr>
              <w:fldChar w:fldCharType="end"/>
            </w:r>
          </w:hyperlink>
        </w:p>
        <w:p w14:paraId="58E2C956" w14:textId="4A4F06F6" w:rsidR="00320ECB" w:rsidRDefault="00320ECB">
          <w:pPr>
            <w:pStyle w:val="TOC1"/>
            <w:rPr>
              <w:rFonts w:eastAsiaTheme="minorEastAsia" w:cstheme="minorBidi"/>
              <w:color w:val="auto"/>
              <w:sz w:val="24"/>
              <w:szCs w:val="24"/>
              <w:lang w:eastAsia="en-GB"/>
            </w:rPr>
          </w:pPr>
          <w:hyperlink w:anchor="_Toc218703998" w:history="1">
            <w:r w:rsidRPr="00D04A69">
              <w:rPr>
                <w:rStyle w:val="Hyperlink"/>
                <w:b/>
                <w:bCs/>
              </w:rPr>
              <w:t>7. Public–Private Partnerships (PPPs) in Cyber Policing: Necessity, Limitations, and Impact</w:t>
            </w:r>
            <w:r>
              <w:rPr>
                <w:webHidden/>
              </w:rPr>
              <w:tab/>
            </w:r>
            <w:r>
              <w:rPr>
                <w:webHidden/>
              </w:rPr>
              <w:fldChar w:fldCharType="begin"/>
            </w:r>
            <w:r>
              <w:rPr>
                <w:webHidden/>
              </w:rPr>
              <w:instrText xml:space="preserve"> PAGEREF _Toc218703998 \h </w:instrText>
            </w:r>
            <w:r>
              <w:rPr>
                <w:webHidden/>
              </w:rPr>
            </w:r>
            <w:r>
              <w:rPr>
                <w:webHidden/>
              </w:rPr>
              <w:fldChar w:fldCharType="separate"/>
            </w:r>
            <w:r>
              <w:rPr>
                <w:webHidden/>
              </w:rPr>
              <w:t>12</w:t>
            </w:r>
            <w:r>
              <w:rPr>
                <w:webHidden/>
              </w:rPr>
              <w:fldChar w:fldCharType="end"/>
            </w:r>
          </w:hyperlink>
        </w:p>
        <w:p w14:paraId="0F52C4DB" w14:textId="051BA733" w:rsidR="00320ECB" w:rsidRDefault="00320ECB">
          <w:pPr>
            <w:pStyle w:val="TOC1"/>
            <w:rPr>
              <w:rFonts w:eastAsiaTheme="minorEastAsia" w:cstheme="minorBidi"/>
              <w:color w:val="auto"/>
              <w:sz w:val="24"/>
              <w:szCs w:val="24"/>
              <w:lang w:eastAsia="en-GB"/>
            </w:rPr>
          </w:pPr>
          <w:hyperlink w:anchor="_Toc218703999" w:history="1">
            <w:r w:rsidRPr="00D04A69">
              <w:rPr>
                <w:rStyle w:val="Hyperlink"/>
                <w:b/>
                <w:bCs/>
              </w:rPr>
              <w:t>7.1 Operational Capabilities and Strategic Rationale of Public-Private Partnerships</w:t>
            </w:r>
            <w:r>
              <w:rPr>
                <w:webHidden/>
              </w:rPr>
              <w:tab/>
            </w:r>
            <w:r>
              <w:rPr>
                <w:webHidden/>
              </w:rPr>
              <w:fldChar w:fldCharType="begin"/>
            </w:r>
            <w:r>
              <w:rPr>
                <w:webHidden/>
              </w:rPr>
              <w:instrText xml:space="preserve"> PAGEREF _Toc218703999 \h </w:instrText>
            </w:r>
            <w:r>
              <w:rPr>
                <w:webHidden/>
              </w:rPr>
            </w:r>
            <w:r>
              <w:rPr>
                <w:webHidden/>
              </w:rPr>
              <w:fldChar w:fldCharType="separate"/>
            </w:r>
            <w:r>
              <w:rPr>
                <w:webHidden/>
              </w:rPr>
              <w:t>12</w:t>
            </w:r>
            <w:r>
              <w:rPr>
                <w:webHidden/>
              </w:rPr>
              <w:fldChar w:fldCharType="end"/>
            </w:r>
          </w:hyperlink>
        </w:p>
        <w:p w14:paraId="7556CC83" w14:textId="7C796F6B" w:rsidR="00320ECB" w:rsidRDefault="00320ECB">
          <w:pPr>
            <w:pStyle w:val="TOC1"/>
            <w:rPr>
              <w:rFonts w:eastAsiaTheme="minorEastAsia" w:cstheme="minorBidi"/>
              <w:color w:val="auto"/>
              <w:sz w:val="24"/>
              <w:szCs w:val="24"/>
              <w:lang w:eastAsia="en-GB"/>
            </w:rPr>
          </w:pPr>
          <w:hyperlink w:anchor="_Toc218704000" w:history="1">
            <w:r w:rsidRPr="00D04A69">
              <w:rPr>
                <w:rStyle w:val="Hyperlink"/>
                <w:b/>
                <w:bCs/>
              </w:rPr>
              <w:t>7.2 Limitations and Barriers</w:t>
            </w:r>
            <w:r>
              <w:rPr>
                <w:webHidden/>
              </w:rPr>
              <w:tab/>
            </w:r>
            <w:r>
              <w:rPr>
                <w:webHidden/>
              </w:rPr>
              <w:fldChar w:fldCharType="begin"/>
            </w:r>
            <w:r>
              <w:rPr>
                <w:webHidden/>
              </w:rPr>
              <w:instrText xml:space="preserve"> PAGEREF _Toc218704000 \h </w:instrText>
            </w:r>
            <w:r>
              <w:rPr>
                <w:webHidden/>
              </w:rPr>
            </w:r>
            <w:r>
              <w:rPr>
                <w:webHidden/>
              </w:rPr>
              <w:fldChar w:fldCharType="separate"/>
            </w:r>
            <w:r>
              <w:rPr>
                <w:webHidden/>
              </w:rPr>
              <w:t>12</w:t>
            </w:r>
            <w:r>
              <w:rPr>
                <w:webHidden/>
              </w:rPr>
              <w:fldChar w:fldCharType="end"/>
            </w:r>
          </w:hyperlink>
        </w:p>
        <w:p w14:paraId="1DF0BE52" w14:textId="79062228" w:rsidR="00320ECB" w:rsidRDefault="00320ECB">
          <w:pPr>
            <w:pStyle w:val="TOC1"/>
            <w:rPr>
              <w:rFonts w:eastAsiaTheme="minorEastAsia" w:cstheme="minorBidi"/>
              <w:color w:val="auto"/>
              <w:sz w:val="24"/>
              <w:szCs w:val="24"/>
              <w:lang w:eastAsia="en-GB"/>
            </w:rPr>
          </w:pPr>
          <w:hyperlink w:anchor="_Toc218704001" w:history="1">
            <w:r w:rsidRPr="00D04A69">
              <w:rPr>
                <w:rStyle w:val="Hyperlink"/>
                <w:b/>
                <w:bCs/>
              </w:rPr>
              <w:t>7.3 Effectiveness by Crime Type</w:t>
            </w:r>
            <w:r>
              <w:rPr>
                <w:webHidden/>
              </w:rPr>
              <w:tab/>
            </w:r>
            <w:r>
              <w:rPr>
                <w:webHidden/>
              </w:rPr>
              <w:fldChar w:fldCharType="begin"/>
            </w:r>
            <w:r>
              <w:rPr>
                <w:webHidden/>
              </w:rPr>
              <w:instrText xml:space="preserve"> PAGEREF _Toc218704001 \h </w:instrText>
            </w:r>
            <w:r>
              <w:rPr>
                <w:webHidden/>
              </w:rPr>
            </w:r>
            <w:r>
              <w:rPr>
                <w:webHidden/>
              </w:rPr>
              <w:fldChar w:fldCharType="separate"/>
            </w:r>
            <w:r>
              <w:rPr>
                <w:webHidden/>
              </w:rPr>
              <w:t>13</w:t>
            </w:r>
            <w:r>
              <w:rPr>
                <w:webHidden/>
              </w:rPr>
              <w:fldChar w:fldCharType="end"/>
            </w:r>
          </w:hyperlink>
        </w:p>
        <w:p w14:paraId="37C205AA" w14:textId="2F3D8425" w:rsidR="00320ECB" w:rsidRDefault="00320ECB">
          <w:pPr>
            <w:pStyle w:val="TOC1"/>
            <w:rPr>
              <w:rFonts w:eastAsiaTheme="minorEastAsia" w:cstheme="minorBidi"/>
              <w:color w:val="auto"/>
              <w:sz w:val="24"/>
              <w:szCs w:val="24"/>
              <w:lang w:eastAsia="en-GB"/>
            </w:rPr>
          </w:pPr>
          <w:hyperlink w:anchor="_Toc218704002" w:history="1">
            <w:r w:rsidRPr="00D04A69">
              <w:rPr>
                <w:rStyle w:val="Hyperlink"/>
                <w:b/>
                <w:bCs/>
              </w:rPr>
              <w:t>8. Innovative, Evidence-Based Measures to Enhance Cyber Policing Effectiveness</w:t>
            </w:r>
            <w:r>
              <w:rPr>
                <w:webHidden/>
              </w:rPr>
              <w:tab/>
            </w:r>
            <w:r>
              <w:rPr>
                <w:webHidden/>
              </w:rPr>
              <w:fldChar w:fldCharType="begin"/>
            </w:r>
            <w:r>
              <w:rPr>
                <w:webHidden/>
              </w:rPr>
              <w:instrText xml:space="preserve"> PAGEREF _Toc218704002 \h </w:instrText>
            </w:r>
            <w:r>
              <w:rPr>
                <w:webHidden/>
              </w:rPr>
            </w:r>
            <w:r>
              <w:rPr>
                <w:webHidden/>
              </w:rPr>
              <w:fldChar w:fldCharType="separate"/>
            </w:r>
            <w:r>
              <w:rPr>
                <w:webHidden/>
              </w:rPr>
              <w:t>14</w:t>
            </w:r>
            <w:r>
              <w:rPr>
                <w:webHidden/>
              </w:rPr>
              <w:fldChar w:fldCharType="end"/>
            </w:r>
          </w:hyperlink>
        </w:p>
        <w:p w14:paraId="2960153D" w14:textId="2632171C" w:rsidR="00320ECB" w:rsidRDefault="00320ECB">
          <w:pPr>
            <w:pStyle w:val="TOC1"/>
            <w:rPr>
              <w:rFonts w:eastAsiaTheme="minorEastAsia" w:cstheme="minorBidi"/>
              <w:color w:val="auto"/>
              <w:sz w:val="24"/>
              <w:szCs w:val="24"/>
              <w:lang w:eastAsia="en-GB"/>
            </w:rPr>
          </w:pPr>
          <w:hyperlink w:anchor="_Toc218704003" w:history="1">
            <w:r w:rsidRPr="00D04A69">
              <w:rPr>
                <w:rStyle w:val="Hyperlink"/>
                <w:b/>
                <w:bCs/>
              </w:rPr>
              <w:t>9. Conclusion</w:t>
            </w:r>
            <w:r>
              <w:rPr>
                <w:webHidden/>
              </w:rPr>
              <w:tab/>
            </w:r>
            <w:r>
              <w:rPr>
                <w:webHidden/>
              </w:rPr>
              <w:fldChar w:fldCharType="begin"/>
            </w:r>
            <w:r>
              <w:rPr>
                <w:webHidden/>
              </w:rPr>
              <w:instrText xml:space="preserve"> PAGEREF _Toc218704003 \h </w:instrText>
            </w:r>
            <w:r>
              <w:rPr>
                <w:webHidden/>
              </w:rPr>
            </w:r>
            <w:r>
              <w:rPr>
                <w:webHidden/>
              </w:rPr>
              <w:fldChar w:fldCharType="separate"/>
            </w:r>
            <w:r>
              <w:rPr>
                <w:webHidden/>
              </w:rPr>
              <w:t>15</w:t>
            </w:r>
            <w:r>
              <w:rPr>
                <w:webHidden/>
              </w:rPr>
              <w:fldChar w:fldCharType="end"/>
            </w:r>
          </w:hyperlink>
        </w:p>
        <w:p w14:paraId="661B8DC4" w14:textId="18197DFE" w:rsidR="00320ECB" w:rsidRDefault="00320ECB">
          <w:pPr>
            <w:pStyle w:val="TOC1"/>
            <w:rPr>
              <w:rFonts w:eastAsiaTheme="minorEastAsia" w:cstheme="minorBidi"/>
              <w:color w:val="auto"/>
              <w:sz w:val="24"/>
              <w:szCs w:val="24"/>
              <w:lang w:eastAsia="en-GB"/>
            </w:rPr>
          </w:pPr>
          <w:hyperlink w:anchor="_Toc218704004" w:history="1">
            <w:r w:rsidRPr="00D04A69">
              <w:rPr>
                <w:rStyle w:val="Hyperlink"/>
                <w:b/>
                <w:bCs/>
              </w:rPr>
              <w:t>10. Bibliography</w:t>
            </w:r>
            <w:r>
              <w:rPr>
                <w:webHidden/>
              </w:rPr>
              <w:tab/>
            </w:r>
            <w:r>
              <w:rPr>
                <w:webHidden/>
              </w:rPr>
              <w:fldChar w:fldCharType="begin"/>
            </w:r>
            <w:r>
              <w:rPr>
                <w:webHidden/>
              </w:rPr>
              <w:instrText xml:space="preserve"> PAGEREF _Toc218704004 \h </w:instrText>
            </w:r>
            <w:r>
              <w:rPr>
                <w:webHidden/>
              </w:rPr>
            </w:r>
            <w:r>
              <w:rPr>
                <w:webHidden/>
              </w:rPr>
              <w:fldChar w:fldCharType="separate"/>
            </w:r>
            <w:r>
              <w:rPr>
                <w:webHidden/>
              </w:rPr>
              <w:t>16</w:t>
            </w:r>
            <w:r>
              <w:rPr>
                <w:webHidden/>
              </w:rPr>
              <w:fldChar w:fldCharType="end"/>
            </w:r>
          </w:hyperlink>
        </w:p>
        <w:p w14:paraId="3EDE46EF" w14:textId="4A1A726B" w:rsidR="00320ECB" w:rsidRDefault="00320ECB">
          <w:r>
            <w:rPr>
              <w:b/>
              <w:bCs/>
              <w:noProof/>
            </w:rPr>
            <w:fldChar w:fldCharType="end"/>
          </w:r>
        </w:p>
      </w:sdtContent>
    </w:sdt>
    <w:p w14:paraId="0B5E8344" w14:textId="77777777" w:rsidR="00320ECB" w:rsidRDefault="00320ECB" w:rsidP="00C341DA">
      <w:pPr>
        <w:rPr>
          <w:b/>
          <w:color w:val="000000" w:themeColor="text1"/>
        </w:rPr>
      </w:pPr>
    </w:p>
    <w:p w14:paraId="49AF7F4E" w14:textId="77777777" w:rsidR="00320ECB" w:rsidRDefault="00320ECB" w:rsidP="00C341DA">
      <w:pPr>
        <w:rPr>
          <w:b/>
          <w:color w:val="000000" w:themeColor="text1"/>
        </w:rPr>
      </w:pPr>
    </w:p>
    <w:p w14:paraId="43AE4D07" w14:textId="77777777" w:rsidR="00320ECB" w:rsidRDefault="00320ECB" w:rsidP="00C341DA">
      <w:pPr>
        <w:rPr>
          <w:b/>
          <w:color w:val="000000" w:themeColor="text1"/>
        </w:rPr>
      </w:pPr>
    </w:p>
    <w:p w14:paraId="46D6EF10" w14:textId="77777777" w:rsidR="00320ECB" w:rsidRDefault="00320ECB" w:rsidP="00C341DA">
      <w:pPr>
        <w:rPr>
          <w:b/>
          <w:color w:val="000000" w:themeColor="text1"/>
        </w:rPr>
      </w:pPr>
    </w:p>
    <w:p w14:paraId="536089C4" w14:textId="77777777" w:rsidR="00320ECB" w:rsidRDefault="00320ECB" w:rsidP="00C341DA">
      <w:pPr>
        <w:rPr>
          <w:b/>
          <w:color w:val="000000" w:themeColor="text1"/>
        </w:rPr>
      </w:pPr>
    </w:p>
    <w:p w14:paraId="7F790852" w14:textId="481338E1" w:rsidR="00320ECB" w:rsidRPr="001D0A68" w:rsidRDefault="00320ECB" w:rsidP="00C341DA">
      <w:pPr>
        <w:rPr>
          <w:b/>
          <w:color w:val="000000" w:themeColor="text1"/>
        </w:rPr>
        <w:sectPr w:rsidR="00320ECB" w:rsidRPr="001D0A68">
          <w:headerReference w:type="default" r:id="rId8"/>
          <w:pgSz w:w="11906" w:h="16838"/>
          <w:pgMar w:top="1440" w:right="1440" w:bottom="1440" w:left="1440" w:header="708" w:footer="708" w:gutter="0"/>
          <w:cols w:space="708"/>
          <w:docGrid w:linePitch="360"/>
        </w:sectPr>
      </w:pPr>
    </w:p>
    <w:p w14:paraId="7DB61B16" w14:textId="789405DD" w:rsidR="007F272A" w:rsidRPr="00320ECB" w:rsidRDefault="00320ECB" w:rsidP="00320ECB">
      <w:pPr>
        <w:pStyle w:val="Heading1"/>
        <w:rPr>
          <w:rFonts w:asciiTheme="minorHAnsi" w:hAnsiTheme="minorHAnsi" w:cstheme="minorHAnsi"/>
          <w:b/>
          <w:bCs/>
          <w:color w:val="auto"/>
          <w:sz w:val="24"/>
          <w:szCs w:val="24"/>
        </w:rPr>
      </w:pPr>
      <w:bookmarkStart w:id="0" w:name="_Toc216179659"/>
      <w:bookmarkStart w:id="1" w:name="_Toc218703986"/>
      <w:r w:rsidRPr="00320ECB">
        <w:rPr>
          <w:rFonts w:asciiTheme="minorHAnsi" w:hAnsiTheme="minorHAnsi" w:cstheme="minorHAnsi"/>
          <w:b/>
          <w:bCs/>
          <w:color w:val="auto"/>
          <w:sz w:val="24"/>
          <w:szCs w:val="24"/>
        </w:rPr>
        <w:lastRenderedPageBreak/>
        <w:t xml:space="preserve">1. </w:t>
      </w:r>
      <w:r w:rsidR="007F272A" w:rsidRPr="00320ECB">
        <w:rPr>
          <w:rFonts w:asciiTheme="minorHAnsi" w:hAnsiTheme="minorHAnsi" w:cstheme="minorHAnsi"/>
          <w:b/>
          <w:bCs/>
          <w:color w:val="auto"/>
          <w:sz w:val="24"/>
          <w:szCs w:val="24"/>
        </w:rPr>
        <w:t>Executive Summary</w:t>
      </w:r>
      <w:bookmarkEnd w:id="0"/>
      <w:bookmarkEnd w:id="1"/>
      <w:r w:rsidR="007F272A" w:rsidRPr="00320ECB">
        <w:rPr>
          <w:rFonts w:asciiTheme="minorHAnsi" w:hAnsiTheme="minorHAnsi" w:cstheme="minorHAnsi"/>
          <w:b/>
          <w:bCs/>
          <w:color w:val="auto"/>
          <w:sz w:val="24"/>
          <w:szCs w:val="24"/>
        </w:rPr>
        <w:t xml:space="preserve"> </w:t>
      </w:r>
    </w:p>
    <w:p w14:paraId="74A5732A" w14:textId="3F0D67AD" w:rsidR="007F272A" w:rsidRPr="00A20AD9" w:rsidRDefault="00C01876" w:rsidP="001C603C">
      <w:pPr>
        <w:spacing w:line="480" w:lineRule="auto"/>
        <w:rPr>
          <w:color w:val="000000" w:themeColor="text1"/>
        </w:rPr>
      </w:pPr>
      <w:r w:rsidRPr="00A20AD9">
        <w:rPr>
          <w:color w:val="000000" w:themeColor="text1"/>
        </w:rPr>
        <w:t>This report critically evaluates contemporary policing strategies and responses to cybercrime, focusing on digital forensics, cyber threat intelligence, and public–private partnerships. It</w:t>
      </w:r>
      <w:r w:rsidR="009F173A">
        <w:rPr>
          <w:color w:val="000000" w:themeColor="text1"/>
        </w:rPr>
        <w:t xml:space="preserve"> </w:t>
      </w:r>
      <w:r w:rsidRPr="00A20AD9">
        <w:rPr>
          <w:color w:val="000000" w:themeColor="text1"/>
        </w:rPr>
        <w:t>examines key cybercrime types, including ransomware, data breaches, and cyber-enabled fraud, using criteria such as investigative effectiveness, timeliness, interoperability, prevention capability, and legal–ethical compliance. The analysis finds that digital forensics remains essential for evidential integrity but is largely reactive and constrained by encryption, cloud environments, workforce shortages</w:t>
      </w:r>
      <w:r w:rsidR="00BB488D">
        <w:rPr>
          <w:color w:val="000000" w:themeColor="text1"/>
        </w:rPr>
        <w:t xml:space="preserve"> </w:t>
      </w:r>
      <w:r w:rsidRPr="00A20AD9">
        <w:rPr>
          <w:color w:val="000000" w:themeColor="text1"/>
        </w:rPr>
        <w:t>and systemic backlogs. Threat intelligence enhances situational awareness and proactive defence, yet suffers from fragmentation, data quality issues</w:t>
      </w:r>
      <w:r w:rsidR="00BB488D">
        <w:rPr>
          <w:color w:val="000000" w:themeColor="text1"/>
        </w:rPr>
        <w:t xml:space="preserve"> </w:t>
      </w:r>
      <w:r w:rsidRPr="00A20AD9">
        <w:rPr>
          <w:color w:val="000000" w:themeColor="text1"/>
        </w:rPr>
        <w:t>and inconsistent information sharing. Public</w:t>
      </w:r>
      <w:r w:rsidR="00BB488D">
        <w:rPr>
          <w:color w:val="000000" w:themeColor="text1"/>
        </w:rPr>
        <w:t xml:space="preserve">- </w:t>
      </w:r>
      <w:r w:rsidRPr="00A20AD9">
        <w:rPr>
          <w:color w:val="000000" w:themeColor="text1"/>
        </w:rPr>
        <w:t>private partnerships are indispensable but unevenly governed and hindered by misaligned incentives. The report concludes that more standardised frameworks, mandatory cooperation mechanisms, specialist training</w:t>
      </w:r>
      <w:r w:rsidR="00BB488D">
        <w:rPr>
          <w:color w:val="000000" w:themeColor="text1"/>
        </w:rPr>
        <w:t xml:space="preserve"> </w:t>
      </w:r>
      <w:r w:rsidRPr="00A20AD9">
        <w:rPr>
          <w:color w:val="000000" w:themeColor="text1"/>
        </w:rPr>
        <w:t>and AI-driven innovations are required to improve cyber-policing effectiveness.</w:t>
      </w:r>
    </w:p>
    <w:p w14:paraId="18A7390F" w14:textId="77777777" w:rsidR="00FC734E" w:rsidRPr="00320ECB" w:rsidRDefault="00FC734E" w:rsidP="00320ECB">
      <w:pPr>
        <w:pStyle w:val="Heading1"/>
        <w:rPr>
          <w:rFonts w:asciiTheme="minorHAnsi" w:hAnsiTheme="minorHAnsi" w:cstheme="minorHAnsi"/>
          <w:b/>
          <w:bCs/>
          <w:color w:val="auto"/>
          <w:sz w:val="24"/>
          <w:szCs w:val="24"/>
        </w:rPr>
      </w:pPr>
    </w:p>
    <w:p w14:paraId="5E914197" w14:textId="058E3958" w:rsidR="000F5048" w:rsidRPr="00320ECB" w:rsidRDefault="00FC734E" w:rsidP="00320ECB">
      <w:pPr>
        <w:pStyle w:val="Heading1"/>
        <w:rPr>
          <w:rFonts w:asciiTheme="minorHAnsi" w:hAnsiTheme="minorHAnsi" w:cstheme="minorHAnsi"/>
          <w:b/>
          <w:bCs/>
          <w:color w:val="auto"/>
          <w:sz w:val="24"/>
          <w:szCs w:val="24"/>
        </w:rPr>
      </w:pPr>
      <w:bookmarkStart w:id="2" w:name="_Toc218703987"/>
      <w:r w:rsidRPr="00320ECB">
        <w:rPr>
          <w:rFonts w:asciiTheme="minorHAnsi" w:hAnsiTheme="minorHAnsi" w:cstheme="minorHAnsi"/>
          <w:b/>
          <w:bCs/>
          <w:color w:val="auto"/>
          <w:sz w:val="24"/>
          <w:szCs w:val="24"/>
        </w:rPr>
        <w:t xml:space="preserve">2.  </w:t>
      </w:r>
      <w:r w:rsidR="00B97280" w:rsidRPr="00320ECB">
        <w:rPr>
          <w:rFonts w:asciiTheme="minorHAnsi" w:hAnsiTheme="minorHAnsi" w:cstheme="minorHAnsi"/>
          <w:b/>
          <w:bCs/>
          <w:color w:val="auto"/>
          <w:sz w:val="24"/>
          <w:szCs w:val="24"/>
        </w:rPr>
        <w:t>Introduction</w:t>
      </w:r>
      <w:bookmarkEnd w:id="2"/>
    </w:p>
    <w:p w14:paraId="54F7BD5A" w14:textId="6C1805DD" w:rsidR="009172C6" w:rsidRPr="009172C6" w:rsidRDefault="009172C6" w:rsidP="001C603C">
      <w:pPr>
        <w:spacing w:line="480" w:lineRule="auto"/>
      </w:pPr>
      <w:r w:rsidRPr="009172C6">
        <w:t>Cybersecurity represents a critical and continually evolving political, economic, and societal challenge on a global scale</w:t>
      </w:r>
      <w:r w:rsidR="00F26722">
        <w:t xml:space="preserve"> (</w:t>
      </w:r>
      <w:proofErr w:type="spellStart"/>
      <w:r w:rsidRPr="009172C6">
        <w:t>Batrachenko</w:t>
      </w:r>
      <w:proofErr w:type="spellEnd"/>
      <w:r w:rsidR="001B4E13">
        <w:t xml:space="preserve"> et al</w:t>
      </w:r>
      <w:r w:rsidR="009C36F7">
        <w:t>.</w:t>
      </w:r>
      <w:r w:rsidR="00F26722">
        <w:t xml:space="preserve">, </w:t>
      </w:r>
      <w:r w:rsidRPr="009172C6">
        <w:t>2024). The proliferation of cybercrime is closely linked to the globalization of the information landscape and the rapid advancement of digital technologies. The frequency and sophistication of illicit activities frequently outstrip the development of effective defensive measures, resulting in a persistent capability gap. Cyber-enabled offences are marked by their speed, low operational cost, and transnational scope, often transcending legal and jurisdictional boundaries. Furthermore, the inherent complexity and anonymity of such activities are intensified by the fragility and easily manipulable nature of digital evidence (ibid.).</w:t>
      </w:r>
    </w:p>
    <w:p w14:paraId="3F27FC3D" w14:textId="6A8B729E" w:rsidR="009172C6" w:rsidRPr="00FE205F" w:rsidRDefault="009172C6" w:rsidP="001C603C">
      <w:pPr>
        <w:spacing w:line="480" w:lineRule="auto"/>
      </w:pPr>
      <w:r w:rsidRPr="009172C6">
        <w:t xml:space="preserve">According to NCSC (2023), recent analysis highlights the evolving threat of ransomware within the wider cybercrime landscape, emphasising its links to data breaches and cyber-enabled fraud. The UK remains a high-value target for hostile actors seeking financial gain, sensitive information, and </w:t>
      </w:r>
      <w:r w:rsidRPr="009172C6">
        <w:lastRenderedPageBreak/>
        <w:t>opportunities for disruption. Ransomware attacks continue to grow in scale and impact, frequently involving the theft and exposure of confidential data. At the same time, cyber-enabled fraud</w:t>
      </w:r>
      <w:r w:rsidR="00B61E50">
        <w:t xml:space="preserve">, </w:t>
      </w:r>
      <w:r w:rsidRPr="009172C6">
        <w:t>such as phishing, business email compromise, and online scams</w:t>
      </w:r>
      <w:r>
        <w:t xml:space="preserve"> </w:t>
      </w:r>
      <w:r w:rsidRPr="009172C6">
        <w:t>continues to rise, often serving as an entry point or complementary method for extortion (ibid.).</w:t>
      </w:r>
    </w:p>
    <w:p w14:paraId="54012140" w14:textId="5A6A5F39" w:rsidR="009172C6" w:rsidRPr="001C603C" w:rsidRDefault="009172C6" w:rsidP="001C603C">
      <w:pPr>
        <w:spacing w:line="480" w:lineRule="auto"/>
        <w:rPr>
          <w:sz w:val="24"/>
          <w:szCs w:val="24"/>
        </w:rPr>
      </w:pPr>
      <w:r w:rsidRPr="009172C6">
        <w:t>Law-enforcement agencies face mounting difficulties as they confront the growing complexities of cybercrime and the rapid evolution of criminal networks (</w:t>
      </w:r>
      <w:proofErr w:type="spellStart"/>
      <w:r w:rsidRPr="009172C6">
        <w:t>Purnamawati</w:t>
      </w:r>
      <w:proofErr w:type="spellEnd"/>
      <w:r w:rsidR="001B4E13">
        <w:t xml:space="preserve"> et al</w:t>
      </w:r>
      <w:r w:rsidR="00D57309">
        <w:t>.</w:t>
      </w:r>
      <w:r w:rsidRPr="009172C6">
        <w:t>, 2025). These challenges are intensified by outdated legal frameworks, technological lag, insufficient specialist training, and fragmented international cooperation. Together, these structural weaknesses expose significant inadequacies in</w:t>
      </w:r>
      <w:r w:rsidR="003149FD">
        <w:t xml:space="preserve"> </w:t>
      </w:r>
      <w:r w:rsidRPr="009172C6">
        <w:t>current legal and technological infrastructures, limiting agencies’ capacity to investigate, attribute, and disrupt digital offences effectively. Ultimately, these shortcomings underscore a broader institutional failure: public authorities remain unable to match the speed, adaptability, and innovation of contemporary cyber adversaries who continuously refine their methods (ibid.).</w:t>
      </w:r>
      <w:r w:rsidR="00574771">
        <w:tab/>
      </w:r>
      <w:r w:rsidR="00574771">
        <w:tab/>
      </w:r>
      <w:r w:rsidR="00574771">
        <w:tab/>
      </w:r>
      <w:r w:rsidR="00574771">
        <w:tab/>
      </w:r>
      <w:r w:rsidR="00574771">
        <w:tab/>
      </w:r>
      <w:r w:rsidR="00574771">
        <w:tab/>
      </w:r>
      <w:r w:rsidR="00574771">
        <w:tab/>
      </w:r>
      <w:r w:rsidR="00574771">
        <w:tab/>
      </w:r>
      <w:r w:rsidR="00574771">
        <w:tab/>
      </w:r>
      <w:r w:rsidR="00574771">
        <w:tab/>
      </w:r>
      <w:r w:rsidR="00574771">
        <w:tab/>
      </w:r>
    </w:p>
    <w:p w14:paraId="5D2539CB" w14:textId="249D9CD2" w:rsidR="00740D91" w:rsidRPr="00320ECB" w:rsidRDefault="00FC734E" w:rsidP="00320ECB">
      <w:pPr>
        <w:pStyle w:val="Heading1"/>
        <w:rPr>
          <w:rFonts w:asciiTheme="minorHAnsi" w:hAnsiTheme="minorHAnsi" w:cstheme="minorHAnsi"/>
          <w:b/>
          <w:bCs/>
          <w:color w:val="auto"/>
          <w:sz w:val="24"/>
          <w:szCs w:val="24"/>
        </w:rPr>
      </w:pPr>
      <w:bookmarkStart w:id="3" w:name="_Toc218703988"/>
      <w:r w:rsidRPr="00320ECB">
        <w:rPr>
          <w:rFonts w:asciiTheme="minorHAnsi" w:hAnsiTheme="minorHAnsi" w:cstheme="minorHAnsi"/>
          <w:b/>
          <w:bCs/>
          <w:color w:val="auto"/>
          <w:sz w:val="24"/>
          <w:szCs w:val="24"/>
        </w:rPr>
        <w:t>3</w:t>
      </w:r>
      <w:r w:rsidR="00A22B94" w:rsidRPr="00320ECB">
        <w:rPr>
          <w:rFonts w:asciiTheme="minorHAnsi" w:hAnsiTheme="minorHAnsi" w:cstheme="minorHAnsi"/>
          <w:b/>
          <w:bCs/>
          <w:color w:val="auto"/>
          <w:sz w:val="24"/>
          <w:szCs w:val="24"/>
        </w:rPr>
        <w:t>. Defining the</w:t>
      </w:r>
      <w:r w:rsidR="00B41FB4" w:rsidRPr="00320ECB">
        <w:rPr>
          <w:rFonts w:asciiTheme="minorHAnsi" w:hAnsiTheme="minorHAnsi" w:cstheme="minorHAnsi"/>
          <w:b/>
          <w:bCs/>
          <w:color w:val="auto"/>
          <w:sz w:val="24"/>
          <w:szCs w:val="24"/>
        </w:rPr>
        <w:t xml:space="preserve"> </w:t>
      </w:r>
      <w:r w:rsidR="006326C9" w:rsidRPr="00320ECB">
        <w:rPr>
          <w:rFonts w:asciiTheme="minorHAnsi" w:hAnsiTheme="minorHAnsi" w:cstheme="minorHAnsi"/>
          <w:b/>
          <w:bCs/>
          <w:color w:val="auto"/>
          <w:sz w:val="24"/>
          <w:szCs w:val="24"/>
        </w:rPr>
        <w:t>C</w:t>
      </w:r>
      <w:r w:rsidR="00B41FB4" w:rsidRPr="00320ECB">
        <w:rPr>
          <w:rFonts w:asciiTheme="minorHAnsi" w:hAnsiTheme="minorHAnsi" w:cstheme="minorHAnsi"/>
          <w:b/>
          <w:bCs/>
          <w:color w:val="auto"/>
          <w:sz w:val="24"/>
          <w:szCs w:val="24"/>
        </w:rPr>
        <w:t>ontemporary</w:t>
      </w:r>
      <w:r w:rsidR="00A22B94" w:rsidRPr="00320ECB">
        <w:rPr>
          <w:rFonts w:asciiTheme="minorHAnsi" w:hAnsiTheme="minorHAnsi" w:cstheme="minorHAnsi"/>
          <w:b/>
          <w:bCs/>
          <w:color w:val="auto"/>
          <w:sz w:val="24"/>
          <w:szCs w:val="24"/>
        </w:rPr>
        <w:t xml:space="preserve"> </w:t>
      </w:r>
      <w:r w:rsidR="006326C9" w:rsidRPr="00320ECB">
        <w:rPr>
          <w:rFonts w:asciiTheme="minorHAnsi" w:hAnsiTheme="minorHAnsi" w:cstheme="minorHAnsi"/>
          <w:b/>
          <w:bCs/>
          <w:color w:val="auto"/>
          <w:sz w:val="24"/>
          <w:szCs w:val="24"/>
        </w:rPr>
        <w:t>S</w:t>
      </w:r>
      <w:r w:rsidR="00A22B94" w:rsidRPr="00320ECB">
        <w:rPr>
          <w:rFonts w:asciiTheme="minorHAnsi" w:hAnsiTheme="minorHAnsi" w:cstheme="minorHAnsi"/>
          <w:b/>
          <w:bCs/>
          <w:color w:val="auto"/>
          <w:sz w:val="24"/>
          <w:szCs w:val="24"/>
        </w:rPr>
        <w:t>cope of Cybercrime</w:t>
      </w:r>
      <w:bookmarkEnd w:id="3"/>
      <w:r w:rsidR="00A22B94" w:rsidRPr="00320ECB">
        <w:rPr>
          <w:rFonts w:asciiTheme="minorHAnsi" w:hAnsiTheme="minorHAnsi" w:cstheme="minorHAnsi"/>
          <w:b/>
          <w:bCs/>
          <w:color w:val="auto"/>
          <w:sz w:val="24"/>
          <w:szCs w:val="24"/>
        </w:rPr>
        <w:t xml:space="preserve"> </w:t>
      </w:r>
    </w:p>
    <w:p w14:paraId="7E291C0E" w14:textId="19B7F123" w:rsidR="0062183C" w:rsidRDefault="00635279" w:rsidP="001C603C">
      <w:pPr>
        <w:spacing w:line="480" w:lineRule="auto"/>
        <w:rPr>
          <w:color w:val="000000" w:themeColor="text1"/>
        </w:rPr>
      </w:pPr>
      <w:r w:rsidRPr="00635279">
        <w:rPr>
          <w:color w:val="000000" w:themeColor="text1"/>
        </w:rPr>
        <w:t xml:space="preserve">Modern cybercrime is </w:t>
      </w:r>
      <w:r w:rsidRPr="004C730E">
        <w:rPr>
          <w:color w:val="000000" w:themeColor="text1"/>
        </w:rPr>
        <w:t xml:space="preserve">described as </w:t>
      </w:r>
      <w:r w:rsidRPr="00635279">
        <w:rPr>
          <w:color w:val="000000" w:themeColor="text1"/>
        </w:rPr>
        <w:t xml:space="preserve">a </w:t>
      </w:r>
      <w:r w:rsidR="004C730E">
        <w:rPr>
          <w:color w:val="000000" w:themeColor="text1"/>
        </w:rPr>
        <w:t>‘</w:t>
      </w:r>
      <w:r w:rsidRPr="00635279">
        <w:rPr>
          <w:color w:val="000000" w:themeColor="text1"/>
        </w:rPr>
        <w:t>borderles</w:t>
      </w:r>
      <w:r w:rsidR="004C730E">
        <w:rPr>
          <w:color w:val="000000" w:themeColor="text1"/>
        </w:rPr>
        <w:t>s’</w:t>
      </w:r>
      <w:r w:rsidRPr="00635279">
        <w:rPr>
          <w:color w:val="000000" w:themeColor="text1"/>
        </w:rPr>
        <w:t xml:space="preserve"> phenomenon in which data functions as the “lifeblood of modern criminality,” according to Europol (2019). The scope of these threats has expanded significantly as criminals exploit encryption, anonymi</w:t>
      </w:r>
      <w:r w:rsidR="00BF5921">
        <w:rPr>
          <w:color w:val="000000" w:themeColor="text1"/>
        </w:rPr>
        <w:t>s</w:t>
      </w:r>
      <w:r w:rsidRPr="00635279">
        <w:rPr>
          <w:color w:val="000000" w:themeColor="text1"/>
        </w:rPr>
        <w:t>ation, and emerging technologies like drones to target critical infrastructure and conceal terrorist plots. Because these offenses increasingly thrive in the shadows, officials stress that combating cybercrime now depends on securing lawful access to dat</w:t>
      </w:r>
      <w:r w:rsidR="000A7404">
        <w:rPr>
          <w:color w:val="000000" w:themeColor="text1"/>
        </w:rPr>
        <w:t xml:space="preserve">a (ibid.) </w:t>
      </w:r>
      <w:r w:rsidR="005733E2">
        <w:rPr>
          <w:color w:val="000000" w:themeColor="text1"/>
        </w:rPr>
        <w:t>This em</w:t>
      </w:r>
      <w:r w:rsidR="00DF649F">
        <w:rPr>
          <w:color w:val="000000" w:themeColor="text1"/>
        </w:rPr>
        <w:t>phasis</w:t>
      </w:r>
      <w:r w:rsidR="00B62625">
        <w:rPr>
          <w:color w:val="000000" w:themeColor="text1"/>
        </w:rPr>
        <w:t>es</w:t>
      </w:r>
      <w:r w:rsidR="00DF649F">
        <w:rPr>
          <w:color w:val="000000" w:themeColor="text1"/>
        </w:rPr>
        <w:t xml:space="preserve"> the growing difficulty of responding effectively to such crimes. </w:t>
      </w:r>
      <w:r w:rsidR="00BF5811">
        <w:rPr>
          <w:color w:val="000000" w:themeColor="text1"/>
        </w:rPr>
        <w:tab/>
      </w:r>
    </w:p>
    <w:p w14:paraId="78348586" w14:textId="3D177C60" w:rsidR="0062183C" w:rsidRDefault="0053143B" w:rsidP="001C603C">
      <w:pPr>
        <w:spacing w:line="480" w:lineRule="auto"/>
        <w:rPr>
          <w:color w:val="000000" w:themeColor="text1"/>
        </w:rPr>
      </w:pPr>
      <w:r w:rsidRPr="0053143B">
        <w:rPr>
          <w:color w:val="000000" w:themeColor="text1"/>
        </w:rPr>
        <w:t>Building on these wider challenges,</w:t>
      </w:r>
      <w:r w:rsidRPr="004C730E">
        <w:rPr>
          <w:color w:val="000000" w:themeColor="text1"/>
        </w:rPr>
        <w:t xml:space="preserve"> ransomware </w:t>
      </w:r>
      <w:r w:rsidRPr="0053143B">
        <w:rPr>
          <w:color w:val="000000" w:themeColor="text1"/>
        </w:rPr>
        <w:t xml:space="preserve">has evolved into a </w:t>
      </w:r>
      <w:r w:rsidR="00E8422E">
        <w:rPr>
          <w:color w:val="000000" w:themeColor="text1"/>
        </w:rPr>
        <w:t>‘</w:t>
      </w:r>
      <w:r w:rsidRPr="0053143B">
        <w:rPr>
          <w:color w:val="000000" w:themeColor="text1"/>
        </w:rPr>
        <w:t>Ransomware as a Service</w:t>
      </w:r>
      <w:r w:rsidR="00E8422E">
        <w:rPr>
          <w:color w:val="000000" w:themeColor="text1"/>
        </w:rPr>
        <w:t>’</w:t>
      </w:r>
      <w:r w:rsidRPr="0053143B">
        <w:rPr>
          <w:color w:val="000000" w:themeColor="text1"/>
        </w:rPr>
        <w:t xml:space="preserve"> ecosystem in which Organised Criminal Groups (OCGs) deploy encryption and data-leak extortion to maximise financial gain</w:t>
      </w:r>
      <w:r w:rsidR="00C21CF7">
        <w:rPr>
          <w:color w:val="000000" w:themeColor="text1"/>
        </w:rPr>
        <w:t xml:space="preserve"> as noted by </w:t>
      </w:r>
      <w:r w:rsidR="002D56BA">
        <w:rPr>
          <w:color w:val="000000" w:themeColor="text1"/>
        </w:rPr>
        <w:t>N</w:t>
      </w:r>
      <w:r w:rsidR="003F4EFC">
        <w:rPr>
          <w:color w:val="000000" w:themeColor="text1"/>
        </w:rPr>
        <w:t xml:space="preserve">CSC (2023). </w:t>
      </w:r>
      <w:r w:rsidRPr="0053143B">
        <w:rPr>
          <w:color w:val="000000" w:themeColor="text1"/>
        </w:rPr>
        <w:t xml:space="preserve">This increasingly sophisticated supply chain exposes victims to reputational harm and potential regulatory penalties. In response, the National </w:t>
      </w:r>
      <w:r w:rsidRPr="0053143B">
        <w:rPr>
          <w:color w:val="000000" w:themeColor="text1"/>
        </w:rPr>
        <w:lastRenderedPageBreak/>
        <w:t>Crime Agency and the NCSC stress that confronting such threats depends on organisational resilience, urging firms to adopt defensive measures capable of disrupting the majority of attacks</w:t>
      </w:r>
      <w:r w:rsidR="003F4EFC">
        <w:rPr>
          <w:color w:val="000000" w:themeColor="text1"/>
        </w:rPr>
        <w:t xml:space="preserve"> (ibid.). </w:t>
      </w:r>
      <w:r w:rsidR="00985F6F" w:rsidRPr="00985F6F">
        <w:rPr>
          <w:color w:val="000000" w:themeColor="text1"/>
        </w:rPr>
        <w:t>This highlights how increasingly complex criminal models</w:t>
      </w:r>
      <w:r w:rsidR="00985F6F">
        <w:rPr>
          <w:color w:val="000000" w:themeColor="text1"/>
        </w:rPr>
        <w:t xml:space="preserve"> which </w:t>
      </w:r>
      <w:r w:rsidR="00985F6F" w:rsidRPr="00985F6F">
        <w:rPr>
          <w:color w:val="000000" w:themeColor="text1"/>
        </w:rPr>
        <w:t>demand equally adaptive security strategies.</w:t>
      </w:r>
    </w:p>
    <w:p w14:paraId="2E233B39" w14:textId="59750C63" w:rsidR="00934075" w:rsidRDefault="00610E42" w:rsidP="001C603C">
      <w:pPr>
        <w:spacing w:line="480" w:lineRule="auto"/>
        <w:rPr>
          <w:color w:val="000000" w:themeColor="text1"/>
        </w:rPr>
      </w:pPr>
      <w:r>
        <w:rPr>
          <w:color w:val="000000" w:themeColor="text1"/>
        </w:rPr>
        <w:t xml:space="preserve"> </w:t>
      </w:r>
      <w:r w:rsidR="00AF2ACC" w:rsidRPr="00937B96">
        <w:rPr>
          <w:color w:val="000000" w:themeColor="text1"/>
        </w:rPr>
        <w:t xml:space="preserve">Extending these concerns about increasingly adaptive cyber-threats, </w:t>
      </w:r>
      <w:proofErr w:type="spellStart"/>
      <w:r w:rsidR="00AF2ACC" w:rsidRPr="00937B96">
        <w:rPr>
          <w:color w:val="000000" w:themeColor="text1"/>
        </w:rPr>
        <w:t>Barczentewicz</w:t>
      </w:r>
      <w:proofErr w:type="spellEnd"/>
      <w:r w:rsidR="00AF2ACC" w:rsidRPr="00937B96">
        <w:rPr>
          <w:color w:val="000000" w:themeColor="text1"/>
        </w:rPr>
        <w:t xml:space="preserve"> (2025) highlights the growing danger of “consent-phishing,” in which third parties illicitly exfiltrate </w:t>
      </w:r>
      <w:r w:rsidR="00AF2ACC" w:rsidRPr="004C730E">
        <w:rPr>
          <w:color w:val="000000" w:themeColor="text1"/>
        </w:rPr>
        <w:t xml:space="preserve">sensitive data </w:t>
      </w:r>
      <w:r w:rsidR="00AF2ACC" w:rsidRPr="00937B96">
        <w:rPr>
          <w:color w:val="000000" w:themeColor="text1"/>
        </w:rPr>
        <w:t xml:space="preserve">such as private messages and credentials. The </w:t>
      </w:r>
      <w:r w:rsidR="003961E2" w:rsidRPr="00937B96">
        <w:rPr>
          <w:color w:val="000000" w:themeColor="text1"/>
        </w:rPr>
        <w:t>sc</w:t>
      </w:r>
      <w:r w:rsidR="005F07F9" w:rsidRPr="00937B96">
        <w:rPr>
          <w:color w:val="000000" w:themeColor="text1"/>
        </w:rPr>
        <w:t xml:space="preserve">holar </w:t>
      </w:r>
      <w:r w:rsidR="00AF2ACC" w:rsidRPr="00937B96">
        <w:rPr>
          <w:color w:val="000000" w:themeColor="text1"/>
        </w:rPr>
        <w:t>cautions that</w:t>
      </w:r>
      <w:r w:rsidR="00937B96" w:rsidRPr="00937B96">
        <w:rPr>
          <w:color w:val="000000" w:themeColor="text1"/>
        </w:rPr>
        <w:t>,</w:t>
      </w:r>
      <w:r w:rsidR="00AF2ACC" w:rsidRPr="00937B96">
        <w:rPr>
          <w:color w:val="000000" w:themeColor="text1"/>
        </w:rPr>
        <w:t xml:space="preserve"> proposed guidelines may unintentionally allow </w:t>
      </w:r>
      <w:r w:rsidR="001E6D5B">
        <w:rPr>
          <w:color w:val="000000" w:themeColor="text1"/>
        </w:rPr>
        <w:t>‘</w:t>
      </w:r>
      <w:r w:rsidR="00AF2ACC" w:rsidRPr="00937B96">
        <w:rPr>
          <w:color w:val="000000" w:themeColor="text1"/>
        </w:rPr>
        <w:t>foreign-enemy-state actors</w:t>
      </w:r>
      <w:r w:rsidR="001E6D5B">
        <w:rPr>
          <w:color w:val="000000" w:themeColor="text1"/>
        </w:rPr>
        <w:t>’</w:t>
      </w:r>
      <w:r w:rsidR="00AF2ACC" w:rsidRPr="00937B96">
        <w:rPr>
          <w:color w:val="000000" w:themeColor="text1"/>
        </w:rPr>
        <w:t xml:space="preserve"> and criminals to access EU data by falsely presenting themselves as local entities. Policing becomes even more difficult as data flows across borders to non-EU actors, where enforcement is limited; prevention therefore becomes essential, since post-hoc policing is largely ineffective once data is stolen</w:t>
      </w:r>
      <w:r w:rsidR="00FC21C7">
        <w:rPr>
          <w:color w:val="000000" w:themeColor="text1"/>
        </w:rPr>
        <w:t xml:space="preserve"> (ibid.).</w:t>
      </w:r>
      <w:r w:rsidR="00AF2ACC" w:rsidRPr="00937B96">
        <w:rPr>
          <w:color w:val="000000" w:themeColor="text1"/>
        </w:rPr>
        <w:t xml:space="preserve"> This reinforces the argument that regulatory safeguards must evolve as quickly as the threats they aim to address.</w:t>
      </w:r>
    </w:p>
    <w:p w14:paraId="5C4E5DB1" w14:textId="5DCAF8DD" w:rsidR="00934075" w:rsidRDefault="008B13D8" w:rsidP="001C603C">
      <w:pPr>
        <w:spacing w:line="480" w:lineRule="auto"/>
        <w:rPr>
          <w:color w:val="000000" w:themeColor="text1"/>
        </w:rPr>
      </w:pPr>
      <w:r w:rsidRPr="00CA19FD">
        <w:rPr>
          <w:color w:val="000000" w:themeColor="text1"/>
        </w:rPr>
        <w:t>Continuing this pattern of digitally amplified threats,</w:t>
      </w:r>
      <w:r w:rsidR="005F65D7" w:rsidRPr="00CA19FD">
        <w:rPr>
          <w:color w:val="000000" w:themeColor="text1"/>
        </w:rPr>
        <w:t xml:space="preserve"> </w:t>
      </w:r>
      <w:r w:rsidR="0094465A" w:rsidRPr="00CA19FD">
        <w:rPr>
          <w:color w:val="000000" w:themeColor="text1"/>
        </w:rPr>
        <w:t xml:space="preserve">McGuire, and Dowling </w:t>
      </w:r>
      <w:r w:rsidR="00E0146A" w:rsidRPr="00CA19FD">
        <w:rPr>
          <w:color w:val="000000" w:themeColor="text1"/>
        </w:rPr>
        <w:t>(</w:t>
      </w:r>
      <w:r w:rsidR="0094465A" w:rsidRPr="00CA19FD">
        <w:rPr>
          <w:color w:val="000000" w:themeColor="text1"/>
        </w:rPr>
        <w:t>2013)</w:t>
      </w:r>
      <w:r w:rsidRPr="00CA19FD">
        <w:rPr>
          <w:color w:val="000000" w:themeColor="text1"/>
        </w:rPr>
        <w:t xml:space="preserve"> </w:t>
      </w:r>
      <w:r w:rsidR="0036538D" w:rsidRPr="00CA19FD">
        <w:rPr>
          <w:color w:val="000000" w:themeColor="text1"/>
        </w:rPr>
        <w:t xml:space="preserve">emphasise, </w:t>
      </w:r>
      <w:r w:rsidRPr="00CA19FD">
        <w:rPr>
          <w:color w:val="000000" w:themeColor="text1"/>
        </w:rPr>
        <w:t>how cyber-enabled crimes expand traditional</w:t>
      </w:r>
      <w:r w:rsidRPr="004C730E">
        <w:rPr>
          <w:color w:val="000000" w:themeColor="text1"/>
        </w:rPr>
        <w:t xml:space="preserve"> fraud </w:t>
      </w:r>
      <w:r w:rsidRPr="00CA19FD">
        <w:rPr>
          <w:color w:val="000000" w:themeColor="text1"/>
        </w:rPr>
        <w:t>by exploiting digital platforms through phishing, identity theft, and social-engineering techniques that manipulate user trust. These financially driven offenses create major policing difficulties, from overwhelming reporting volumes to cross-border jurisdictional barriers, often necessitating centrali</w:t>
      </w:r>
      <w:r w:rsidR="00833ED7" w:rsidRPr="00CA19FD">
        <w:rPr>
          <w:color w:val="000000" w:themeColor="text1"/>
        </w:rPr>
        <w:t>s</w:t>
      </w:r>
      <w:r w:rsidRPr="00CA19FD">
        <w:rPr>
          <w:color w:val="000000" w:themeColor="text1"/>
        </w:rPr>
        <w:t>ed recording systems such as Action Fraud. Because their scale and anonymity diverge sharply from offline fraud, they impose distinct investigative demands requiring specialised tools for effective assessment</w:t>
      </w:r>
      <w:r w:rsidR="00CA19FD">
        <w:rPr>
          <w:color w:val="000000" w:themeColor="text1"/>
        </w:rPr>
        <w:t xml:space="preserve"> (ibid</w:t>
      </w:r>
      <w:r w:rsidR="005647AF">
        <w:rPr>
          <w:color w:val="000000" w:themeColor="text1"/>
        </w:rPr>
        <w:t xml:space="preserve">). </w:t>
      </w:r>
      <w:r w:rsidRPr="00CA19FD">
        <w:rPr>
          <w:color w:val="000000" w:themeColor="text1"/>
        </w:rPr>
        <w:t>This further illustrates how digital environments fundamentally reshape both criminal behaviour and investigative capacity.</w:t>
      </w:r>
    </w:p>
    <w:p w14:paraId="0B74E2FE" w14:textId="77777777" w:rsidR="00571749" w:rsidRPr="00320ECB" w:rsidRDefault="00FC734E" w:rsidP="00320ECB">
      <w:pPr>
        <w:pStyle w:val="Heading1"/>
        <w:rPr>
          <w:rFonts w:ascii="Calibri" w:hAnsi="Calibri" w:cs="Calibri"/>
          <w:b/>
          <w:bCs/>
          <w:color w:val="auto"/>
          <w:sz w:val="24"/>
          <w:szCs w:val="24"/>
        </w:rPr>
      </w:pPr>
      <w:bookmarkStart w:id="4" w:name="_Toc218703989"/>
      <w:r w:rsidRPr="00320ECB">
        <w:rPr>
          <w:rFonts w:ascii="Calibri" w:hAnsi="Calibri" w:cs="Calibri"/>
          <w:b/>
          <w:bCs/>
          <w:color w:val="auto"/>
          <w:sz w:val="24"/>
          <w:szCs w:val="24"/>
        </w:rPr>
        <w:t>4</w:t>
      </w:r>
      <w:r w:rsidR="00F00F33" w:rsidRPr="00320ECB">
        <w:rPr>
          <w:rFonts w:ascii="Calibri" w:hAnsi="Calibri" w:cs="Calibri"/>
          <w:b/>
          <w:bCs/>
          <w:color w:val="auto"/>
          <w:sz w:val="24"/>
          <w:szCs w:val="24"/>
        </w:rPr>
        <w:t xml:space="preserve">. Evaluation Criteria and Conceptual Framework </w:t>
      </w:r>
      <w:r w:rsidR="00B41FB4" w:rsidRPr="00320ECB">
        <w:rPr>
          <w:rFonts w:ascii="Calibri" w:hAnsi="Calibri" w:cs="Calibri"/>
          <w:b/>
          <w:bCs/>
          <w:color w:val="auto"/>
          <w:sz w:val="24"/>
          <w:szCs w:val="24"/>
        </w:rPr>
        <w:t>for Assessing Cyber Policing Effectiveness</w:t>
      </w:r>
      <w:bookmarkEnd w:id="4"/>
    </w:p>
    <w:p w14:paraId="7BAD974A" w14:textId="19B68E11" w:rsidR="00F22454" w:rsidRPr="00571749" w:rsidRDefault="00F22454" w:rsidP="001C603C">
      <w:pPr>
        <w:spacing w:line="480" w:lineRule="auto"/>
        <w:rPr>
          <w:color w:val="EE0000"/>
          <w:sz w:val="28"/>
          <w:szCs w:val="28"/>
        </w:rPr>
      </w:pPr>
      <w:r w:rsidRPr="00F22454">
        <w:rPr>
          <w:color w:val="000000" w:themeColor="text1"/>
        </w:rPr>
        <w:t xml:space="preserve">It is essential to evaluate defined criteria when assessing cyber-policing strategies, as these directly shape investigative outcomes in digital environments. Drawing on Casey’s analysis of digital investigations, investigative effectiveness emerges as a core criterion, since successful cybercrime </w:t>
      </w:r>
      <w:r w:rsidRPr="00F22454">
        <w:rPr>
          <w:color w:val="000000" w:themeColor="text1"/>
        </w:rPr>
        <w:lastRenderedPageBreak/>
        <w:t>enforcement depends on the ability to identify, preserve, and analyse digital evidence that can reliably link offenders to criminal activity and withstand judicial scrutiny. Timeliness and scalability are equally critical, given the volatile nature of digital evidence and the vast data volumes involved, which require rapid and systematic processing to prevent evidential loss (Casey, 2011). Furthermore, cross-jurisdictional collaboration is indispensable, as cybercrime frequently transcends national boundaries, necessitating coordinated international cooperation to identify suspects and support prosecutions (ibid.).</w:t>
      </w:r>
    </w:p>
    <w:p w14:paraId="4D91DB02" w14:textId="42B5E1A0" w:rsidR="00F22454" w:rsidRDefault="00F22454" w:rsidP="001C603C">
      <w:pPr>
        <w:spacing w:line="480" w:lineRule="auto"/>
        <w:rPr>
          <w:color w:val="000000" w:themeColor="text1"/>
        </w:rPr>
      </w:pPr>
      <w:r w:rsidRPr="00F22454">
        <w:rPr>
          <w:color w:val="000000" w:themeColor="text1"/>
        </w:rPr>
        <w:t>These investigative criteria align closely with broader governance considerations highlighted by Ngobeni and Nkongolo (2025: 1, 14), who argue that integrating public participation with technical expertise enhances preventive capacity by mitigating sophisticated vulnerabilities and strengthening policy resilience against evolving threats. Addressing cost-effectiveness and resource constraint</w:t>
      </w:r>
      <w:r w:rsidR="00B337E8">
        <w:rPr>
          <w:color w:val="000000" w:themeColor="text1"/>
        </w:rPr>
        <w:t>s,</w:t>
      </w:r>
      <w:r w:rsidR="00A72765">
        <w:rPr>
          <w:color w:val="000000" w:themeColor="text1"/>
        </w:rPr>
        <w:t xml:space="preserve"> </w:t>
      </w:r>
      <w:r w:rsidRPr="00F22454">
        <w:rPr>
          <w:color w:val="000000" w:themeColor="text1"/>
        </w:rPr>
        <w:t xml:space="preserve">the authors emphasise the importance of </w:t>
      </w:r>
      <w:r w:rsidR="00D017DD">
        <w:rPr>
          <w:color w:val="000000" w:themeColor="text1"/>
        </w:rPr>
        <w:t>“</w:t>
      </w:r>
      <w:r w:rsidRPr="00F22454">
        <w:rPr>
          <w:color w:val="000000" w:themeColor="text1"/>
        </w:rPr>
        <w:t>feasible</w:t>
      </w:r>
      <w:r w:rsidR="00D017DD">
        <w:rPr>
          <w:i/>
          <w:iCs/>
          <w:color w:val="000000" w:themeColor="text1"/>
        </w:rPr>
        <w:t>”</w:t>
      </w:r>
      <w:r w:rsidRPr="00F22454">
        <w:rPr>
          <w:color w:val="000000" w:themeColor="text1"/>
        </w:rPr>
        <w:t xml:space="preserve"> frameworks that support small and medium-sized enterprises (SMEs) through capacity building and skills development, ensuring strategies remain practical rather than purely theoretical. Finally, legal and ethical considerations are central to effective cyber governance; protecting digital rights, privacy, and data sovereignty</w:t>
      </w:r>
      <w:r w:rsidR="00CB59E8">
        <w:rPr>
          <w:color w:val="000000" w:themeColor="text1"/>
        </w:rPr>
        <w:t xml:space="preserve"> - </w:t>
      </w:r>
      <w:r w:rsidRPr="00F22454">
        <w:rPr>
          <w:color w:val="000000" w:themeColor="text1"/>
        </w:rPr>
        <w:t>exemplified by regulatory frameworks such as the General Data Protection Regulation (GDPR)</w:t>
      </w:r>
      <w:r w:rsidR="00B07B85">
        <w:rPr>
          <w:color w:val="000000" w:themeColor="text1"/>
        </w:rPr>
        <w:t>. These</w:t>
      </w:r>
      <w:r w:rsidR="009C3FCA">
        <w:rPr>
          <w:color w:val="000000" w:themeColor="text1"/>
        </w:rPr>
        <w:t xml:space="preserve"> </w:t>
      </w:r>
      <w:r w:rsidR="00B07B85">
        <w:rPr>
          <w:color w:val="000000" w:themeColor="text1"/>
        </w:rPr>
        <w:t>are</w:t>
      </w:r>
      <w:r w:rsidRPr="00F22454">
        <w:rPr>
          <w:color w:val="000000" w:themeColor="text1"/>
        </w:rPr>
        <w:t xml:space="preserve"> essential for maintaining public trust and ensuring ethical compliance within national security and cyber-policing strategies (ibid.: 10</w:t>
      </w:r>
      <w:r w:rsidR="00D433A0">
        <w:rPr>
          <w:color w:val="000000" w:themeColor="text1"/>
        </w:rPr>
        <w:t>-</w:t>
      </w:r>
      <w:r w:rsidRPr="00F22454">
        <w:rPr>
          <w:color w:val="000000" w:themeColor="text1"/>
        </w:rPr>
        <w:t>13).</w:t>
      </w:r>
    </w:p>
    <w:p w14:paraId="3875D600" w14:textId="714F7DEA" w:rsidR="00E74020" w:rsidRPr="00320ECB" w:rsidRDefault="00FC734E" w:rsidP="00320ECB">
      <w:pPr>
        <w:pStyle w:val="Heading1"/>
        <w:rPr>
          <w:rFonts w:asciiTheme="minorHAnsi" w:hAnsiTheme="minorHAnsi" w:cstheme="minorHAnsi"/>
          <w:b/>
          <w:bCs/>
          <w:color w:val="auto"/>
          <w:sz w:val="24"/>
          <w:szCs w:val="24"/>
        </w:rPr>
      </w:pPr>
      <w:bookmarkStart w:id="5" w:name="_Toc218703990"/>
      <w:r w:rsidRPr="00320ECB">
        <w:rPr>
          <w:rFonts w:asciiTheme="minorHAnsi" w:hAnsiTheme="minorHAnsi" w:cstheme="minorHAnsi"/>
          <w:b/>
          <w:bCs/>
          <w:color w:val="auto"/>
          <w:sz w:val="24"/>
          <w:szCs w:val="24"/>
        </w:rPr>
        <w:t>5</w:t>
      </w:r>
      <w:r w:rsidR="00E74020" w:rsidRPr="00320ECB">
        <w:rPr>
          <w:rFonts w:asciiTheme="minorHAnsi" w:hAnsiTheme="minorHAnsi" w:cstheme="minorHAnsi"/>
          <w:b/>
          <w:bCs/>
          <w:color w:val="auto"/>
          <w:sz w:val="24"/>
          <w:szCs w:val="24"/>
        </w:rPr>
        <w:t>. Digital Forensics: Tools, Capabilities and Limitations</w:t>
      </w:r>
      <w:r w:rsidR="00E97B28" w:rsidRPr="00320ECB">
        <w:rPr>
          <w:rFonts w:asciiTheme="minorHAnsi" w:hAnsiTheme="minorHAnsi" w:cstheme="minorHAnsi"/>
          <w:b/>
          <w:bCs/>
          <w:color w:val="auto"/>
          <w:sz w:val="24"/>
          <w:szCs w:val="24"/>
        </w:rPr>
        <w:t>, Constraints, and Effectiveness</w:t>
      </w:r>
      <w:bookmarkEnd w:id="5"/>
    </w:p>
    <w:p w14:paraId="4E67124E" w14:textId="1BDCAFDC" w:rsidR="009B312C" w:rsidRPr="00320ECB" w:rsidRDefault="006326C9" w:rsidP="00320ECB">
      <w:pPr>
        <w:pStyle w:val="Heading1"/>
        <w:rPr>
          <w:rFonts w:asciiTheme="minorHAnsi" w:hAnsiTheme="minorHAnsi" w:cstheme="minorHAnsi"/>
          <w:b/>
          <w:bCs/>
          <w:color w:val="auto"/>
          <w:sz w:val="24"/>
          <w:szCs w:val="24"/>
        </w:rPr>
      </w:pPr>
      <w:bookmarkStart w:id="6" w:name="_Toc218703991"/>
      <w:r w:rsidRPr="00320ECB">
        <w:rPr>
          <w:rFonts w:asciiTheme="minorHAnsi" w:hAnsiTheme="minorHAnsi" w:cstheme="minorHAnsi"/>
          <w:b/>
          <w:bCs/>
          <w:color w:val="auto"/>
          <w:sz w:val="24"/>
          <w:szCs w:val="24"/>
        </w:rPr>
        <w:t xml:space="preserve">5.1 </w:t>
      </w:r>
      <w:r w:rsidR="009B312C" w:rsidRPr="00320ECB">
        <w:rPr>
          <w:rFonts w:asciiTheme="minorHAnsi" w:hAnsiTheme="minorHAnsi" w:cstheme="minorHAnsi"/>
          <w:b/>
          <w:bCs/>
          <w:color w:val="auto"/>
          <w:sz w:val="24"/>
          <w:szCs w:val="24"/>
        </w:rPr>
        <w:t>Capabilities</w:t>
      </w:r>
      <w:bookmarkEnd w:id="6"/>
      <w:r w:rsidR="009B312C" w:rsidRPr="00320ECB">
        <w:rPr>
          <w:rFonts w:asciiTheme="minorHAnsi" w:hAnsiTheme="minorHAnsi" w:cstheme="minorHAnsi"/>
          <w:b/>
          <w:bCs/>
          <w:color w:val="auto"/>
          <w:sz w:val="24"/>
          <w:szCs w:val="24"/>
        </w:rPr>
        <w:t xml:space="preserve"> </w:t>
      </w:r>
    </w:p>
    <w:p w14:paraId="537D21EB" w14:textId="6347A3E2" w:rsidR="00E74020" w:rsidRDefault="009022C9" w:rsidP="001C603C">
      <w:pPr>
        <w:spacing w:line="480" w:lineRule="auto"/>
        <w:rPr>
          <w:color w:val="000000" w:themeColor="text1"/>
        </w:rPr>
      </w:pPr>
      <w:r w:rsidRPr="009022C9">
        <w:rPr>
          <w:color w:val="000000" w:themeColor="text1"/>
        </w:rPr>
        <w:t>Building on the need for effective, timely, and ethically grounded cyber-policing strategies, digital forensics provides the practical mechanisms through which these criteria are operationalised. Core forensic tools</w:t>
      </w:r>
      <w:r w:rsidR="00BB0607">
        <w:rPr>
          <w:color w:val="000000" w:themeColor="text1"/>
        </w:rPr>
        <w:t xml:space="preserve">, </w:t>
      </w:r>
      <w:r w:rsidRPr="009022C9">
        <w:rPr>
          <w:color w:val="000000" w:themeColor="text1"/>
        </w:rPr>
        <w:t>such as disk imaging, memory forensics, network forensics, and malware analysis, supported by platforms like Cellebrite, EnCase, and FTK</w:t>
      </w:r>
      <w:r w:rsidR="00ED5C61">
        <w:rPr>
          <w:color w:val="000000" w:themeColor="text1"/>
        </w:rPr>
        <w:t xml:space="preserve">- </w:t>
      </w:r>
      <w:r w:rsidRPr="009022C9">
        <w:rPr>
          <w:color w:val="000000" w:themeColor="text1"/>
        </w:rPr>
        <w:t>enable investigators to preserve and analyse digital evidence in ways that meet judicial and regulatory standards</w:t>
      </w:r>
      <w:r w:rsidR="0087185D">
        <w:rPr>
          <w:color w:val="000000" w:themeColor="text1"/>
        </w:rPr>
        <w:t xml:space="preserve"> (Sitima, 2024</w:t>
      </w:r>
      <w:r w:rsidR="00941681">
        <w:rPr>
          <w:color w:val="000000" w:themeColor="text1"/>
        </w:rPr>
        <w:t>: 1</w:t>
      </w:r>
      <w:r w:rsidR="008515CE">
        <w:rPr>
          <w:color w:val="000000" w:themeColor="text1"/>
        </w:rPr>
        <w:t>-</w:t>
      </w:r>
      <w:r w:rsidR="00941681">
        <w:rPr>
          <w:color w:val="000000" w:themeColor="text1"/>
        </w:rPr>
        <w:t>3</w:t>
      </w:r>
      <w:r w:rsidR="0087185D">
        <w:rPr>
          <w:color w:val="000000" w:themeColor="text1"/>
        </w:rPr>
        <w:t>).</w:t>
      </w:r>
      <w:r w:rsidRPr="009022C9">
        <w:rPr>
          <w:color w:val="000000" w:themeColor="text1"/>
        </w:rPr>
        <w:t xml:space="preserve"> These </w:t>
      </w:r>
      <w:r w:rsidRPr="009022C9">
        <w:rPr>
          <w:color w:val="000000" w:themeColor="text1"/>
        </w:rPr>
        <w:lastRenderedPageBreak/>
        <w:t>techniques are central to responding to ransomware attacks, data breaches, and digital fraud, where evidential integrity and scalability are critical</w:t>
      </w:r>
      <w:r w:rsidR="00504C8D">
        <w:rPr>
          <w:color w:val="000000" w:themeColor="text1"/>
        </w:rPr>
        <w:t xml:space="preserve"> (ibid.)</w:t>
      </w:r>
      <w:r w:rsidR="00A93677">
        <w:rPr>
          <w:color w:val="000000" w:themeColor="text1"/>
        </w:rPr>
        <w:t xml:space="preserve"> </w:t>
      </w:r>
      <w:r w:rsidRPr="009022C9">
        <w:rPr>
          <w:color w:val="000000" w:themeColor="text1"/>
        </w:rPr>
        <w:t>Engaging with this framework highlights how forensic capability directly underpins investigative effectiveness while aligning technical practice with the governance and accountability principles discussed above</w:t>
      </w:r>
      <w:r w:rsidR="00504C8D">
        <w:rPr>
          <w:color w:val="000000" w:themeColor="text1"/>
        </w:rPr>
        <w:t>.</w:t>
      </w:r>
    </w:p>
    <w:p w14:paraId="6FBCBC11" w14:textId="617D5E6A" w:rsidR="00031E62" w:rsidRDefault="004207AA" w:rsidP="001C603C">
      <w:pPr>
        <w:spacing w:line="480" w:lineRule="auto"/>
        <w:rPr>
          <w:color w:val="000000" w:themeColor="text1"/>
        </w:rPr>
      </w:pPr>
      <w:r w:rsidRPr="004207AA">
        <w:rPr>
          <w:color w:val="000000" w:themeColor="text1"/>
        </w:rPr>
        <w:t>Building on the evaluative criteria and governance considerations outlined above, digital forensics plays a critical role in strengthening cyber-policing strategies</w:t>
      </w:r>
      <w:r w:rsidR="008215D7">
        <w:rPr>
          <w:color w:val="000000" w:themeColor="text1"/>
        </w:rPr>
        <w:t>, as noted by</w:t>
      </w:r>
      <w:r w:rsidR="007C2C01">
        <w:rPr>
          <w:color w:val="000000" w:themeColor="text1"/>
        </w:rPr>
        <w:t xml:space="preserve"> </w:t>
      </w:r>
      <w:r w:rsidR="00B5085A">
        <w:rPr>
          <w:color w:val="000000" w:themeColor="text1"/>
        </w:rPr>
        <w:t>Singh</w:t>
      </w:r>
      <w:r w:rsidR="00D664B5">
        <w:rPr>
          <w:color w:val="000000" w:themeColor="text1"/>
        </w:rPr>
        <w:t xml:space="preserve"> et al.</w:t>
      </w:r>
      <w:r w:rsidR="001C5F60">
        <w:rPr>
          <w:color w:val="000000" w:themeColor="text1"/>
        </w:rPr>
        <w:t xml:space="preserve"> (2025</w:t>
      </w:r>
      <w:r w:rsidR="00CD511F">
        <w:rPr>
          <w:color w:val="000000" w:themeColor="text1"/>
        </w:rPr>
        <w:t>: 270-274</w:t>
      </w:r>
      <w:r w:rsidR="001C5F60">
        <w:rPr>
          <w:color w:val="000000" w:themeColor="text1"/>
        </w:rPr>
        <w:t>)</w:t>
      </w:r>
      <w:r w:rsidR="00833B61">
        <w:rPr>
          <w:color w:val="000000" w:themeColor="text1"/>
        </w:rPr>
        <w:t xml:space="preserve">. Scholars </w:t>
      </w:r>
      <w:r w:rsidRPr="004207AA">
        <w:rPr>
          <w:color w:val="000000" w:themeColor="text1"/>
        </w:rPr>
        <w:t>emphasise that forensic methodologies enable the systematic reconstruction of attack pathways, allowing investigators to trace intrusion vectors, timelines, and offender behaviours with precision. This evidential capability is particularly significant given that digital forensic frameworks are widely accepted in courts, thereby reinforcing the legitimacy and prosecutorial value of cybercrime investigations. Moreover</w:t>
      </w:r>
      <w:r w:rsidR="004F39F4">
        <w:rPr>
          <w:color w:val="000000" w:themeColor="text1"/>
        </w:rPr>
        <w:t xml:space="preserve">, </w:t>
      </w:r>
      <w:r w:rsidRPr="004207AA">
        <w:rPr>
          <w:color w:val="000000" w:themeColor="text1"/>
        </w:rPr>
        <w:t>digital forensics supports attribution and intelligence-led policing by transforming technical findings into actionable intelligence, aligning investigative effectiveness with ethical governance and cross-jurisdictional cooperation highlighted by Casey (2011) and Ngobeni and Nkongolo (2025).</w:t>
      </w:r>
    </w:p>
    <w:p w14:paraId="539C18BF" w14:textId="6C2EE9D2" w:rsidR="009B312C" w:rsidRPr="00320ECB" w:rsidRDefault="006326C9" w:rsidP="00320ECB">
      <w:pPr>
        <w:pStyle w:val="Heading1"/>
        <w:rPr>
          <w:rFonts w:asciiTheme="minorHAnsi" w:hAnsiTheme="minorHAnsi" w:cstheme="minorHAnsi"/>
          <w:b/>
          <w:bCs/>
          <w:color w:val="auto"/>
          <w:sz w:val="24"/>
          <w:szCs w:val="24"/>
        </w:rPr>
      </w:pPr>
      <w:bookmarkStart w:id="7" w:name="_Toc218703992"/>
      <w:r w:rsidRPr="00320ECB">
        <w:rPr>
          <w:rFonts w:asciiTheme="minorHAnsi" w:hAnsiTheme="minorHAnsi" w:cstheme="minorHAnsi"/>
          <w:b/>
          <w:bCs/>
          <w:color w:val="auto"/>
          <w:sz w:val="24"/>
          <w:szCs w:val="24"/>
        </w:rPr>
        <w:t xml:space="preserve">5.2 </w:t>
      </w:r>
      <w:r w:rsidR="009B312C" w:rsidRPr="00320ECB">
        <w:rPr>
          <w:rFonts w:asciiTheme="minorHAnsi" w:hAnsiTheme="minorHAnsi" w:cstheme="minorHAnsi"/>
          <w:b/>
          <w:bCs/>
          <w:color w:val="auto"/>
          <w:sz w:val="24"/>
          <w:szCs w:val="24"/>
        </w:rPr>
        <w:t>Limitations</w:t>
      </w:r>
      <w:r w:rsidR="00965ED1" w:rsidRPr="00320ECB">
        <w:rPr>
          <w:rFonts w:asciiTheme="minorHAnsi" w:hAnsiTheme="minorHAnsi" w:cstheme="minorHAnsi"/>
          <w:b/>
          <w:bCs/>
          <w:color w:val="auto"/>
          <w:sz w:val="24"/>
          <w:szCs w:val="24"/>
        </w:rPr>
        <w:t xml:space="preserve"> and</w:t>
      </w:r>
      <w:r w:rsidR="000C3B02" w:rsidRPr="00320ECB">
        <w:rPr>
          <w:rFonts w:asciiTheme="minorHAnsi" w:hAnsiTheme="minorHAnsi" w:cstheme="minorHAnsi"/>
          <w:b/>
          <w:bCs/>
          <w:color w:val="auto"/>
          <w:sz w:val="24"/>
          <w:szCs w:val="24"/>
        </w:rPr>
        <w:t xml:space="preserve"> Barr</w:t>
      </w:r>
      <w:r w:rsidR="00DE0025" w:rsidRPr="00320ECB">
        <w:rPr>
          <w:rFonts w:asciiTheme="minorHAnsi" w:hAnsiTheme="minorHAnsi" w:cstheme="minorHAnsi"/>
          <w:b/>
          <w:bCs/>
          <w:color w:val="auto"/>
          <w:sz w:val="24"/>
          <w:szCs w:val="24"/>
        </w:rPr>
        <w:t>iers</w:t>
      </w:r>
      <w:bookmarkEnd w:id="7"/>
    </w:p>
    <w:p w14:paraId="279213D2" w14:textId="511B3FA1" w:rsidR="004863BA" w:rsidRPr="00152D34" w:rsidRDefault="00152D34" w:rsidP="001C603C">
      <w:pPr>
        <w:spacing w:line="480" w:lineRule="auto"/>
        <w:rPr>
          <w:color w:val="000000" w:themeColor="text1"/>
        </w:rPr>
      </w:pPr>
      <w:r w:rsidRPr="00152D34">
        <w:rPr>
          <w:color w:val="000000" w:themeColor="text1"/>
        </w:rPr>
        <w:t>However, despite these strengths, digital forensics faces significant limitations in cloud-based environments. As</w:t>
      </w:r>
      <w:r w:rsidR="00435BBE">
        <w:rPr>
          <w:color w:val="000000" w:themeColor="text1"/>
        </w:rPr>
        <w:t xml:space="preserve"> observed by</w:t>
      </w:r>
      <w:r w:rsidRPr="00152D34">
        <w:rPr>
          <w:color w:val="000000" w:themeColor="text1"/>
        </w:rPr>
        <w:t xml:space="preserve"> </w:t>
      </w:r>
      <w:proofErr w:type="spellStart"/>
      <w:r w:rsidRPr="00152D34">
        <w:rPr>
          <w:color w:val="000000" w:themeColor="text1"/>
        </w:rPr>
        <w:t>Grispos</w:t>
      </w:r>
      <w:proofErr w:type="spellEnd"/>
      <w:r w:rsidR="00383653">
        <w:rPr>
          <w:color w:val="000000" w:themeColor="text1"/>
        </w:rPr>
        <w:t xml:space="preserve">, </w:t>
      </w:r>
      <w:r w:rsidRPr="00152D34">
        <w:rPr>
          <w:color w:val="000000" w:themeColor="text1"/>
        </w:rPr>
        <w:t>Glisson and Storer (2011: 11</w:t>
      </w:r>
      <w:r w:rsidR="008A1546">
        <w:rPr>
          <w:color w:val="000000" w:themeColor="text1"/>
        </w:rPr>
        <w:t>-</w:t>
      </w:r>
      <w:r w:rsidRPr="00152D34">
        <w:rPr>
          <w:color w:val="000000" w:themeColor="text1"/>
        </w:rPr>
        <w:t>13)</w:t>
      </w:r>
      <w:r w:rsidR="00144BF9">
        <w:rPr>
          <w:color w:val="000000" w:themeColor="text1"/>
        </w:rPr>
        <w:t>.</w:t>
      </w:r>
      <w:r w:rsidRPr="00152D34">
        <w:rPr>
          <w:color w:val="000000" w:themeColor="text1"/>
        </w:rPr>
        <w:t xml:space="preserve"> </w:t>
      </w:r>
      <w:r w:rsidR="00144BF9">
        <w:rPr>
          <w:color w:val="000000" w:themeColor="text1"/>
        </w:rPr>
        <w:t>T</w:t>
      </w:r>
      <w:r w:rsidRPr="00152D34">
        <w:rPr>
          <w:color w:val="000000" w:themeColor="text1"/>
        </w:rPr>
        <w:t>he elastic and virtually limitless storage capacity of public clouds can overwhelm investigative resources, rendering traditional full-disk imaging impractical. Moreover, forensic artefacts are often ephemeral, distributed across virtualised systems or volatile memory, which complicates timely acquisition (ibid.: 4</w:t>
      </w:r>
      <w:r w:rsidR="008A1546">
        <w:rPr>
          <w:color w:val="000000" w:themeColor="text1"/>
        </w:rPr>
        <w:t>-</w:t>
      </w:r>
      <w:r w:rsidRPr="00152D34">
        <w:rPr>
          <w:color w:val="000000" w:themeColor="text1"/>
        </w:rPr>
        <w:t>7).</w:t>
      </w:r>
      <w:r w:rsidR="00EA243C">
        <w:rPr>
          <w:color w:val="000000" w:themeColor="text1"/>
        </w:rPr>
        <w:t xml:space="preserve"> </w:t>
      </w:r>
      <w:r w:rsidR="00A72D86" w:rsidRPr="00A72D86">
        <w:rPr>
          <w:color w:val="000000" w:themeColor="text1"/>
        </w:rPr>
        <w:t>This volatility, combined with the lack of physical control, severely complicates data preservation, the recovery of deleted artefacts, and the maintenance of a reliable chain of custody</w:t>
      </w:r>
      <w:r w:rsidRPr="00152D34">
        <w:rPr>
          <w:color w:val="000000" w:themeColor="text1"/>
        </w:rPr>
        <w:t xml:space="preserve"> (ibid.: 14).</w:t>
      </w:r>
      <w:r w:rsidR="007160FB">
        <w:rPr>
          <w:color w:val="000000" w:themeColor="text1"/>
        </w:rPr>
        <w:t xml:space="preserve"> </w:t>
      </w:r>
      <w:r w:rsidR="009A1C4A" w:rsidRPr="009A1C4A">
        <w:rPr>
          <w:color w:val="000000" w:themeColor="text1"/>
        </w:rPr>
        <w:t>This shows that</w:t>
      </w:r>
      <w:r w:rsidR="00A12DA8">
        <w:rPr>
          <w:color w:val="000000" w:themeColor="text1"/>
        </w:rPr>
        <w:t>,</w:t>
      </w:r>
      <w:r w:rsidR="009A1C4A" w:rsidRPr="009A1C4A">
        <w:rPr>
          <w:color w:val="000000" w:themeColor="text1"/>
        </w:rPr>
        <w:t xml:space="preserve"> cloud-based environments fundamentally challenge the reliability of digital forensic outcomes, reinforcing</w:t>
      </w:r>
      <w:r w:rsidR="009A1C4A">
        <w:rPr>
          <w:color w:val="000000" w:themeColor="text1"/>
        </w:rPr>
        <w:t xml:space="preserve"> scholars</w:t>
      </w:r>
      <w:r w:rsidR="009A1C4A" w:rsidRPr="009A1C4A">
        <w:rPr>
          <w:color w:val="000000" w:themeColor="text1"/>
        </w:rPr>
        <w:t xml:space="preserve"> argument that</w:t>
      </w:r>
      <w:r w:rsidR="009A1C4A">
        <w:rPr>
          <w:color w:val="000000" w:themeColor="text1"/>
        </w:rPr>
        <w:t>,</w:t>
      </w:r>
      <w:r w:rsidR="009A1C4A" w:rsidRPr="009A1C4A">
        <w:rPr>
          <w:color w:val="000000" w:themeColor="text1"/>
        </w:rPr>
        <w:t xml:space="preserve"> traditional forensic models must be adapted to remain credible in contemporary cyber investigations.</w:t>
      </w:r>
    </w:p>
    <w:p w14:paraId="2E6A5FBC" w14:textId="4ACE4CDA" w:rsidR="00E74020" w:rsidRDefault="007951E0" w:rsidP="001C603C">
      <w:pPr>
        <w:spacing w:line="480" w:lineRule="auto"/>
        <w:rPr>
          <w:color w:val="000000" w:themeColor="text1"/>
        </w:rPr>
      </w:pPr>
      <w:r>
        <w:rPr>
          <w:color w:val="000000" w:themeColor="text1"/>
        </w:rPr>
        <w:lastRenderedPageBreak/>
        <w:t xml:space="preserve">Although </w:t>
      </w:r>
      <w:r w:rsidR="00D116AF">
        <w:rPr>
          <w:color w:val="000000" w:themeColor="text1"/>
        </w:rPr>
        <w:t>d</w:t>
      </w:r>
      <w:r w:rsidR="00FF23F5" w:rsidRPr="009562C8">
        <w:rPr>
          <w:color w:val="000000" w:themeColor="text1"/>
        </w:rPr>
        <w:t>igital forensics applies scientific methods to the analysis of data to ensure legal admissibility, as outlined by Tiwari and Thapaliya (2025: 178–179). However, robust encryption technologies</w:t>
      </w:r>
      <w:r>
        <w:rPr>
          <w:color w:val="000000" w:themeColor="text1"/>
        </w:rPr>
        <w:t xml:space="preserve"> </w:t>
      </w:r>
      <w:r w:rsidR="00FF23F5" w:rsidRPr="009562C8">
        <w:rPr>
          <w:color w:val="000000" w:themeColor="text1"/>
        </w:rPr>
        <w:t>particularly Full-Disk Encryption (FDE) and hardware-backed security modules</w:t>
      </w:r>
      <w:r w:rsidR="00D93EAF" w:rsidRPr="009562C8">
        <w:rPr>
          <w:color w:val="000000" w:themeColor="text1"/>
        </w:rPr>
        <w:t xml:space="preserve">, </w:t>
      </w:r>
      <w:r w:rsidR="00FF23F5" w:rsidRPr="009562C8">
        <w:rPr>
          <w:color w:val="000000" w:themeColor="text1"/>
        </w:rPr>
        <w:t>present substantial barriers to forensic investigation (ibid</w:t>
      </w:r>
      <w:r w:rsidR="00507363">
        <w:rPr>
          <w:color w:val="000000" w:themeColor="text1"/>
        </w:rPr>
        <w:t>.</w:t>
      </w:r>
      <w:r w:rsidR="00FF23F5" w:rsidRPr="009562C8">
        <w:rPr>
          <w:color w:val="000000" w:themeColor="text1"/>
        </w:rPr>
        <w:t>). FDE automatically encrypts all stored data, rendering forensic access entirely dependent on user credentials. In practice, this significantly limits investigators, as standard extraction techniques such as</w:t>
      </w:r>
      <w:r w:rsidR="00FF23F5" w:rsidRPr="00DE6093">
        <w:rPr>
          <w:color w:val="EE0000"/>
        </w:rPr>
        <w:t xml:space="preserve"> </w:t>
      </w:r>
      <w:r w:rsidR="00FF23F5" w:rsidRPr="00D71B8A">
        <w:rPr>
          <w:color w:val="000000" w:themeColor="text1"/>
        </w:rPr>
        <w:t xml:space="preserve">JTAG </w:t>
      </w:r>
      <w:r w:rsidR="00FF23F5" w:rsidRPr="009562C8">
        <w:rPr>
          <w:color w:val="000000" w:themeColor="text1"/>
        </w:rPr>
        <w:t>are largely ineffective against locked modern devices without credentials or costly proprietary tools (ibid.: 181). This demonstrates how advances in encryption, while essential for user security, increasingly constrain the practical effectiveness of digital forensic methodologies.</w:t>
      </w:r>
    </w:p>
    <w:p w14:paraId="32443046" w14:textId="0CD5E579" w:rsidR="00E74020" w:rsidRDefault="000E5D2E" w:rsidP="001C603C">
      <w:pPr>
        <w:spacing w:line="480" w:lineRule="auto"/>
        <w:rPr>
          <w:color w:val="000000" w:themeColor="text1"/>
        </w:rPr>
      </w:pPr>
      <w:r w:rsidRPr="004C730E">
        <w:rPr>
          <w:color w:val="000000" w:themeColor="text1"/>
        </w:rPr>
        <w:t>In addition</w:t>
      </w:r>
      <w:r w:rsidR="004C730E" w:rsidRPr="004C730E">
        <w:rPr>
          <w:color w:val="000000" w:themeColor="text1"/>
        </w:rPr>
        <w:t xml:space="preserve">, </w:t>
      </w:r>
      <w:r w:rsidRPr="004C730E">
        <w:rPr>
          <w:color w:val="000000" w:themeColor="text1"/>
        </w:rPr>
        <w:t>a</w:t>
      </w:r>
      <w:r w:rsidR="00B7729B" w:rsidRPr="004C730E">
        <w:rPr>
          <w:color w:val="000000" w:themeColor="text1"/>
        </w:rPr>
        <w:t xml:space="preserve">ccording to HMICFRS </w:t>
      </w:r>
      <w:r w:rsidR="00B7729B" w:rsidRPr="00DE136B">
        <w:rPr>
          <w:color w:val="000000" w:themeColor="text1"/>
        </w:rPr>
        <w:t>(2022), digital forensics units are currently overwhelmed and ineffective due to limited understanding of evidence recovery processes and insufficient resources. These constraints have resulted in a backlog of over 25,000 devices awaiting examination</w:t>
      </w:r>
      <w:r w:rsidR="006432B6">
        <w:rPr>
          <w:color w:val="000000" w:themeColor="text1"/>
        </w:rPr>
        <w:t xml:space="preserve"> (ibid.). </w:t>
      </w:r>
      <w:r w:rsidR="00B7729B" w:rsidRPr="00DE136B">
        <w:rPr>
          <w:color w:val="000000" w:themeColor="text1"/>
        </w:rPr>
        <w:t xml:space="preserve"> Consequently, victims experience significant delays, with some police forces taking up to 18 months merely to begin evidence capture, thereby undermining investigative efficiency and prosecution outcomes</w:t>
      </w:r>
      <w:r w:rsidR="00844C15" w:rsidRPr="00DE136B">
        <w:rPr>
          <w:color w:val="000000" w:themeColor="text1"/>
        </w:rPr>
        <w:t xml:space="preserve"> (ibid.). </w:t>
      </w:r>
      <w:r w:rsidR="00B7729B" w:rsidRPr="00DE136B">
        <w:rPr>
          <w:color w:val="000000" w:themeColor="text1"/>
        </w:rPr>
        <w:t xml:space="preserve">This reinforces </w:t>
      </w:r>
      <w:r w:rsidR="00D50A6F" w:rsidRPr="004C730E">
        <w:rPr>
          <w:color w:val="000000" w:themeColor="text1"/>
        </w:rPr>
        <w:t>the fact</w:t>
      </w:r>
      <w:r w:rsidR="00B7729B" w:rsidRPr="004C730E">
        <w:rPr>
          <w:color w:val="000000" w:themeColor="text1"/>
        </w:rPr>
        <w:t xml:space="preserve"> </w:t>
      </w:r>
      <w:r w:rsidR="00B7729B" w:rsidRPr="00DE136B">
        <w:rPr>
          <w:color w:val="000000" w:themeColor="text1"/>
        </w:rPr>
        <w:t>that</w:t>
      </w:r>
      <w:r w:rsidR="00273EEF">
        <w:rPr>
          <w:color w:val="000000" w:themeColor="text1"/>
        </w:rPr>
        <w:t>,</w:t>
      </w:r>
      <w:r w:rsidR="00B7729B" w:rsidRPr="00DE136B">
        <w:rPr>
          <w:color w:val="000000" w:themeColor="text1"/>
        </w:rPr>
        <w:t xml:space="preserve"> structural capacity deficits, rather than technical capability alone, critically constrain the effectiveness of digital forensic practice.</w:t>
      </w:r>
      <w:r w:rsidR="00B4513E">
        <w:rPr>
          <w:color w:val="000000" w:themeColor="text1"/>
        </w:rPr>
        <w:t xml:space="preserve"> </w:t>
      </w:r>
      <w:r w:rsidR="004C5F52">
        <w:rPr>
          <w:color w:val="000000" w:themeColor="text1"/>
        </w:rPr>
        <w:t xml:space="preserve"> </w:t>
      </w:r>
    </w:p>
    <w:p w14:paraId="5B7CCDB2" w14:textId="6BCB251F" w:rsidR="001105F8" w:rsidRDefault="009054DB" w:rsidP="001C603C">
      <w:pPr>
        <w:spacing w:line="480" w:lineRule="auto"/>
        <w:rPr>
          <w:color w:val="000000" w:themeColor="text1"/>
        </w:rPr>
      </w:pPr>
      <w:r w:rsidRPr="009054DB">
        <w:rPr>
          <w:color w:val="000000" w:themeColor="text1"/>
        </w:rPr>
        <w:t>Furthermore, a recent study by the National Police Chiefs’ Council (2025)</w:t>
      </w:r>
      <w:r w:rsidR="002F73D2">
        <w:rPr>
          <w:color w:val="000000" w:themeColor="text1"/>
        </w:rPr>
        <w:t>,</w:t>
      </w:r>
      <w:r w:rsidRPr="009054DB">
        <w:rPr>
          <w:color w:val="000000" w:themeColor="text1"/>
        </w:rPr>
        <w:t xml:space="preserve"> highlights that the current policing model is highly </w:t>
      </w:r>
      <w:r w:rsidRPr="002F73D2">
        <w:rPr>
          <w:color w:val="000000" w:themeColor="text1"/>
        </w:rPr>
        <w:t>fragmented,</w:t>
      </w:r>
      <w:r w:rsidRPr="009054DB">
        <w:rPr>
          <w:color w:val="000000" w:themeColor="text1"/>
        </w:rPr>
        <w:t xml:space="preserve"> with a significant </w:t>
      </w:r>
      <w:r w:rsidRPr="005F60D4">
        <w:rPr>
          <w:color w:val="000000" w:themeColor="text1"/>
        </w:rPr>
        <w:t>lack of interoperability across forces.</w:t>
      </w:r>
      <w:r w:rsidRPr="009054DB">
        <w:rPr>
          <w:color w:val="000000" w:themeColor="text1"/>
        </w:rPr>
        <w:t xml:space="preserve"> The report notes that ad hoc local implementation of non-integrated, force-specific solutions frequently inhibits effective data sharing. To address this, it prioritises nationally consistent guidance covering the identification, collection, assessment, and prioritisation of digital material (ibid.). This fragmentation underscores a systemic lack of standardisation, which continues to obstruct seamless collaboration between forces and partner agencies.</w:t>
      </w:r>
      <w:r w:rsidR="000C73A0">
        <w:rPr>
          <w:color w:val="000000" w:themeColor="text1"/>
        </w:rPr>
        <w:t xml:space="preserve">  </w:t>
      </w:r>
    </w:p>
    <w:p w14:paraId="5EE8C2BA" w14:textId="5FBBEAE6" w:rsidR="00BD344D" w:rsidRPr="001C603C" w:rsidRDefault="00A16EB4" w:rsidP="001C603C">
      <w:pPr>
        <w:spacing w:line="480" w:lineRule="auto"/>
        <w:rPr>
          <w:color w:val="000000" w:themeColor="text1"/>
          <w:sz w:val="24"/>
          <w:szCs w:val="24"/>
        </w:rPr>
      </w:pPr>
      <w:r w:rsidRPr="00A16EB4">
        <w:rPr>
          <w:color w:val="000000" w:themeColor="text1"/>
        </w:rPr>
        <w:t>Another major challenge facing digital forensics</w:t>
      </w:r>
      <w:r w:rsidR="00A104B4">
        <w:rPr>
          <w:color w:val="000000" w:themeColor="text1"/>
        </w:rPr>
        <w:t>,</w:t>
      </w:r>
      <w:r w:rsidRPr="00A16EB4">
        <w:rPr>
          <w:color w:val="000000" w:themeColor="text1"/>
        </w:rPr>
        <w:t xml:space="preserve"> </w:t>
      </w:r>
      <w:r w:rsidR="007B2A4D">
        <w:rPr>
          <w:color w:val="000000" w:themeColor="text1"/>
        </w:rPr>
        <w:t>representing in</w:t>
      </w:r>
      <w:r w:rsidRPr="00A16EB4">
        <w:rPr>
          <w:color w:val="000000" w:themeColor="text1"/>
        </w:rPr>
        <w:t xml:space="preserve"> resource availability, particularly the difficulty of securing a qualified workforce capable of addressing emerging technologies</w:t>
      </w:r>
      <w:r w:rsidR="00D979BE">
        <w:rPr>
          <w:color w:val="000000" w:themeColor="text1"/>
        </w:rPr>
        <w:t xml:space="preserve"> </w:t>
      </w:r>
      <w:r w:rsidR="00D17DFC">
        <w:rPr>
          <w:color w:val="000000" w:themeColor="text1"/>
        </w:rPr>
        <w:t>(</w:t>
      </w:r>
      <w:r w:rsidR="00D17DFC" w:rsidRPr="00D17DFC">
        <w:rPr>
          <w:color w:val="000000" w:themeColor="text1"/>
        </w:rPr>
        <w:t>Bérubé</w:t>
      </w:r>
      <w:r w:rsidR="00EC6330">
        <w:rPr>
          <w:color w:val="000000" w:themeColor="text1"/>
        </w:rPr>
        <w:t xml:space="preserve"> et </w:t>
      </w:r>
      <w:r w:rsidR="00EC6330">
        <w:rPr>
          <w:color w:val="000000" w:themeColor="text1"/>
        </w:rPr>
        <w:lastRenderedPageBreak/>
        <w:t>al</w:t>
      </w:r>
      <w:r w:rsidR="00EB2A42">
        <w:rPr>
          <w:color w:val="000000" w:themeColor="text1"/>
        </w:rPr>
        <w:t>.</w:t>
      </w:r>
      <w:r w:rsidR="00F75E3F">
        <w:rPr>
          <w:color w:val="000000" w:themeColor="text1"/>
        </w:rPr>
        <w:t xml:space="preserve">, </w:t>
      </w:r>
      <w:r w:rsidR="00D979BE">
        <w:rPr>
          <w:color w:val="000000" w:themeColor="text1"/>
        </w:rPr>
        <w:t>2025: 4).</w:t>
      </w:r>
      <w:r w:rsidRPr="00A16EB4">
        <w:rPr>
          <w:color w:val="000000" w:themeColor="text1"/>
        </w:rPr>
        <w:t xml:space="preserve"> Significant gaps remain within the public sector in terms of knowledge and proficiency in digital investigations. These limitations largely stem from insufficient public resources, in contrast to private institutions that lead technological development due to their superior financial capacity. As a result, enabling investigators to effectively adapt to the rapidly evolving digital landscape remains a persistent challenge for law enforcement agencies</w:t>
      </w:r>
      <w:r w:rsidR="00F91AFC">
        <w:rPr>
          <w:color w:val="000000" w:themeColor="text1"/>
        </w:rPr>
        <w:t xml:space="preserve"> (ibid</w:t>
      </w:r>
      <w:r w:rsidR="008C5ED2">
        <w:rPr>
          <w:color w:val="000000" w:themeColor="text1"/>
        </w:rPr>
        <w:t>.</w:t>
      </w:r>
      <w:r w:rsidR="007F6E47">
        <w:rPr>
          <w:color w:val="000000" w:themeColor="text1"/>
        </w:rPr>
        <w:t>)</w:t>
      </w:r>
      <w:r w:rsidR="00E71F73">
        <w:rPr>
          <w:color w:val="000000" w:themeColor="text1"/>
        </w:rPr>
        <w:t xml:space="preserve"> </w:t>
      </w:r>
      <w:r w:rsidRPr="00A16EB4">
        <w:rPr>
          <w:color w:val="000000" w:themeColor="text1"/>
        </w:rPr>
        <w:t xml:space="preserve">This dilemma limits the effectiveness of digital forensics by constraining investigative capacity and slowing institutional adaptation to technological </w:t>
      </w:r>
      <w:r w:rsidRPr="001C603C">
        <w:rPr>
          <w:color w:val="000000" w:themeColor="text1"/>
          <w:sz w:val="24"/>
          <w:szCs w:val="24"/>
        </w:rPr>
        <w:t>advancements.</w:t>
      </w:r>
    </w:p>
    <w:p w14:paraId="1302E9A6" w14:textId="133408A1" w:rsidR="00172D7E" w:rsidRPr="00320ECB" w:rsidRDefault="006326C9" w:rsidP="00320ECB">
      <w:pPr>
        <w:pStyle w:val="Heading1"/>
        <w:rPr>
          <w:rFonts w:asciiTheme="minorHAnsi" w:hAnsiTheme="minorHAnsi" w:cstheme="minorHAnsi"/>
          <w:b/>
          <w:bCs/>
          <w:color w:val="auto"/>
          <w:sz w:val="24"/>
          <w:szCs w:val="24"/>
        </w:rPr>
      </w:pPr>
      <w:bookmarkStart w:id="8" w:name="_Toc218703993"/>
      <w:r w:rsidRPr="00320ECB">
        <w:rPr>
          <w:rFonts w:asciiTheme="minorHAnsi" w:hAnsiTheme="minorHAnsi" w:cstheme="minorHAnsi"/>
          <w:b/>
          <w:bCs/>
          <w:color w:val="auto"/>
          <w:sz w:val="24"/>
          <w:szCs w:val="24"/>
        </w:rPr>
        <w:t xml:space="preserve">5.3 </w:t>
      </w:r>
      <w:r w:rsidR="00172D7E" w:rsidRPr="00320ECB">
        <w:rPr>
          <w:rFonts w:asciiTheme="minorHAnsi" w:hAnsiTheme="minorHAnsi" w:cstheme="minorHAnsi"/>
          <w:b/>
          <w:bCs/>
          <w:color w:val="auto"/>
          <w:sz w:val="24"/>
          <w:szCs w:val="24"/>
        </w:rPr>
        <w:t>Effectiveness Against</w:t>
      </w:r>
      <w:r w:rsidR="00585E71" w:rsidRPr="00320ECB">
        <w:rPr>
          <w:rFonts w:asciiTheme="minorHAnsi" w:hAnsiTheme="minorHAnsi" w:cstheme="minorHAnsi"/>
          <w:b/>
          <w:bCs/>
          <w:color w:val="auto"/>
          <w:sz w:val="24"/>
          <w:szCs w:val="24"/>
        </w:rPr>
        <w:t xml:space="preserve"> Specific Threats</w:t>
      </w:r>
      <w:bookmarkEnd w:id="8"/>
    </w:p>
    <w:p w14:paraId="1FDDCC96" w14:textId="472F54BE" w:rsidR="0003145E" w:rsidRPr="00C66043" w:rsidRDefault="0003145E" w:rsidP="001C603C">
      <w:pPr>
        <w:spacing w:line="480" w:lineRule="auto"/>
        <w:rPr>
          <w:color w:val="EE0000"/>
        </w:rPr>
      </w:pPr>
      <w:r w:rsidRPr="00C66043">
        <w:rPr>
          <w:color w:val="000000" w:themeColor="text1"/>
        </w:rPr>
        <w:t xml:space="preserve">Digital </w:t>
      </w:r>
      <w:r w:rsidR="00D116AF">
        <w:rPr>
          <w:color w:val="000000" w:themeColor="text1"/>
        </w:rPr>
        <w:t>f</w:t>
      </w:r>
      <w:r w:rsidRPr="00C66043">
        <w:rPr>
          <w:color w:val="000000" w:themeColor="text1"/>
        </w:rPr>
        <w:t>orensics and malware analysis are widely used to examine ransomware components and artefacts, including ransom notes, following an attack</w:t>
      </w:r>
      <w:r w:rsidR="000C24C6" w:rsidRPr="00C66043">
        <w:rPr>
          <w:color w:val="000000" w:themeColor="text1"/>
        </w:rPr>
        <w:t xml:space="preserve"> (Beaman</w:t>
      </w:r>
      <w:r w:rsidR="00EC6330">
        <w:rPr>
          <w:color w:val="000000" w:themeColor="text1"/>
        </w:rPr>
        <w:t xml:space="preserve"> et al</w:t>
      </w:r>
      <w:r w:rsidR="00EB2A42">
        <w:rPr>
          <w:color w:val="000000" w:themeColor="text1"/>
        </w:rPr>
        <w:t>.</w:t>
      </w:r>
      <w:r w:rsidR="00D47AAB" w:rsidRPr="00C66043">
        <w:rPr>
          <w:color w:val="000000" w:themeColor="text1"/>
        </w:rPr>
        <w:t>, 2021</w:t>
      </w:r>
      <w:r w:rsidR="00E7269B" w:rsidRPr="00C66043">
        <w:rPr>
          <w:color w:val="000000" w:themeColor="text1"/>
        </w:rPr>
        <w:t>: 7,18</w:t>
      </w:r>
      <w:r w:rsidR="00D47AAB" w:rsidRPr="00C66043">
        <w:rPr>
          <w:color w:val="000000" w:themeColor="text1"/>
        </w:rPr>
        <w:t xml:space="preserve">). </w:t>
      </w:r>
      <w:r w:rsidRPr="00C66043">
        <w:rPr>
          <w:color w:val="000000" w:themeColor="text1"/>
        </w:rPr>
        <w:t>These approaches support incident reconstruction and understanding attacker behaviour; however, they are inherently reactive rather than preventative. Moreover, in cases of crypto-ransomware, forensic recovery is severely constrained. Modern encryption algorithms such as AES and RSA are nearly impossible to reverse when correctly implemented, rendering decryption without the encryption key unattainable and limiting practical remediation options</w:t>
      </w:r>
      <w:r w:rsidR="00E7269B" w:rsidRPr="00C66043">
        <w:rPr>
          <w:color w:val="EE0000"/>
        </w:rPr>
        <w:t xml:space="preserve"> </w:t>
      </w:r>
      <w:r w:rsidR="00E7269B" w:rsidRPr="00C66043">
        <w:rPr>
          <w:color w:val="000000" w:themeColor="text1"/>
        </w:rPr>
        <w:t xml:space="preserve">(ibid.: 3). </w:t>
      </w:r>
      <w:r w:rsidR="001314A8" w:rsidRPr="00C66043">
        <w:rPr>
          <w:color w:val="000000" w:themeColor="text1"/>
        </w:rPr>
        <w:t>This limitation significantly undermines the effectiveness of digital forensics in addressing ransomware threats.</w:t>
      </w:r>
    </w:p>
    <w:p w14:paraId="44250342" w14:textId="7DD2D908" w:rsidR="00EE019B" w:rsidRDefault="00EE019B" w:rsidP="001C603C">
      <w:pPr>
        <w:spacing w:line="480" w:lineRule="auto"/>
        <w:rPr>
          <w:color w:val="000000" w:themeColor="text1"/>
        </w:rPr>
      </w:pPr>
      <w:r w:rsidRPr="00EE019B">
        <w:rPr>
          <w:color w:val="000000" w:themeColor="text1"/>
        </w:rPr>
        <w:t>Also, digital forensics applies scientific methods to identify, collect, and analyse data, helping organisations reconstruct security incidents (Kent</w:t>
      </w:r>
      <w:r w:rsidR="00661FE4">
        <w:rPr>
          <w:color w:val="000000" w:themeColor="text1"/>
        </w:rPr>
        <w:t xml:space="preserve"> et al</w:t>
      </w:r>
      <w:r w:rsidR="00EB2A42">
        <w:rPr>
          <w:color w:val="000000" w:themeColor="text1"/>
        </w:rPr>
        <w:t>.</w:t>
      </w:r>
      <w:r w:rsidRPr="00EE019B">
        <w:rPr>
          <w:color w:val="000000" w:themeColor="text1"/>
        </w:rPr>
        <w:t>, 2006: 1). It is effective in identifying intrusion points by correlating data from sources such as intrusion detection systems and firewalls to trace attacks (ibid.: 6). However, its effectiveness is hindered when logs are deleted or disabled by malware. Furthermore, obfuscation techniques, including encryption and steganography, can conceal data, making examination difficult or impossible without the necessary keys (ibid.: 12). This highlights that while the source demonstrates the investigative strength of digital forensics, it also reveals inherent technical limitations that reduce its effectiveness against sophisticated attacks.</w:t>
      </w:r>
    </w:p>
    <w:p w14:paraId="2825E441" w14:textId="7FC52F92" w:rsidR="00D10023" w:rsidRDefault="00345637" w:rsidP="001C603C">
      <w:pPr>
        <w:spacing w:line="480" w:lineRule="auto"/>
        <w:rPr>
          <w:color w:val="000000" w:themeColor="text1"/>
        </w:rPr>
      </w:pPr>
      <w:r>
        <w:rPr>
          <w:color w:val="000000" w:themeColor="text1"/>
        </w:rPr>
        <w:lastRenderedPageBreak/>
        <w:t>These outcome aligns with</w:t>
      </w:r>
      <w:r w:rsidR="00D10023" w:rsidRPr="00D10023">
        <w:rPr>
          <w:color w:val="000000" w:themeColor="text1"/>
        </w:rPr>
        <w:t xml:space="preserve"> Nair, Abbasi, and Pervez</w:t>
      </w:r>
      <w:r w:rsidR="00D10023">
        <w:rPr>
          <w:color w:val="000000" w:themeColor="text1"/>
        </w:rPr>
        <w:t xml:space="preserve"> (2025: 19)</w:t>
      </w:r>
      <w:r>
        <w:rPr>
          <w:color w:val="000000" w:themeColor="text1"/>
        </w:rPr>
        <w:t xml:space="preserve">. </w:t>
      </w:r>
      <w:r w:rsidR="00C90767">
        <w:rPr>
          <w:color w:val="000000" w:themeColor="text1"/>
        </w:rPr>
        <w:t>Scholars</w:t>
      </w:r>
      <w:r w:rsidR="00D10023" w:rsidRPr="00D10023">
        <w:rPr>
          <w:color w:val="000000" w:themeColor="text1"/>
        </w:rPr>
        <w:t xml:space="preserve"> identify phishing as a pervasive social-engineering attack targeting user credentials. They note that many mechanisms supporting digital forensic tools rely on pattern-based signatures, which are effective for known indicators but ineffective against social-engineering attacks due to their inability to interpret message semantics. Furthermore, attackers increasingly use </w:t>
      </w:r>
      <w:r w:rsidR="00D10023">
        <w:rPr>
          <w:color w:val="000000" w:themeColor="text1"/>
        </w:rPr>
        <w:t>Artificial Intelligence (</w:t>
      </w:r>
      <w:r w:rsidR="00D10023" w:rsidRPr="00D10023">
        <w:rPr>
          <w:color w:val="000000" w:themeColor="text1"/>
        </w:rPr>
        <w:t>AI</w:t>
      </w:r>
      <w:r w:rsidR="00D10023">
        <w:rPr>
          <w:color w:val="000000" w:themeColor="text1"/>
        </w:rPr>
        <w:t>)</w:t>
      </w:r>
      <w:r w:rsidR="00D10023" w:rsidRPr="00D10023">
        <w:rPr>
          <w:color w:val="000000" w:themeColor="text1"/>
        </w:rPr>
        <w:t xml:space="preserve"> to create convincing fraudulent content that evades detection. Consequently, digital forensics remains useful for post-incident analysis but limited in preventing sophisticated, evolving phishing attacks</w:t>
      </w:r>
      <w:r w:rsidR="00EA3020">
        <w:rPr>
          <w:color w:val="000000" w:themeColor="text1"/>
        </w:rPr>
        <w:t xml:space="preserve"> </w:t>
      </w:r>
      <w:r w:rsidR="00D10023">
        <w:rPr>
          <w:color w:val="000000" w:themeColor="text1"/>
        </w:rPr>
        <w:t>(ibid.)</w:t>
      </w:r>
      <w:r w:rsidR="00EA3020">
        <w:rPr>
          <w:color w:val="000000" w:themeColor="text1"/>
        </w:rPr>
        <w:t>.</w:t>
      </w:r>
    </w:p>
    <w:p w14:paraId="055D19BC" w14:textId="27FD7139" w:rsidR="002A1D1D" w:rsidRPr="005A0AF6" w:rsidRDefault="002A1D1D" w:rsidP="001C603C">
      <w:pPr>
        <w:spacing w:line="480" w:lineRule="auto"/>
        <w:rPr>
          <w:color w:val="000000" w:themeColor="text1"/>
        </w:rPr>
      </w:pPr>
      <w:r w:rsidRPr="005A0AF6">
        <w:rPr>
          <w:color w:val="000000" w:themeColor="text1"/>
        </w:rPr>
        <w:t>Overall, these findings indicate that digital forensics plays a crucial role in post-incident investigation but remains inherently reactive. Its reliance on artefacts logs, and signature-based techniques limits its effectiveness against sophisticated, AI-driven threats, thereby reducing the overall preventative capability of threat intelligence.</w:t>
      </w:r>
    </w:p>
    <w:p w14:paraId="131EC479" w14:textId="75B525B9" w:rsidR="00571989" w:rsidRPr="00320ECB" w:rsidRDefault="00FC734E" w:rsidP="00320ECB">
      <w:pPr>
        <w:pStyle w:val="Heading1"/>
        <w:rPr>
          <w:rFonts w:asciiTheme="minorHAnsi" w:hAnsiTheme="minorHAnsi" w:cstheme="minorHAnsi"/>
          <w:b/>
          <w:bCs/>
          <w:color w:val="auto"/>
          <w:sz w:val="24"/>
          <w:szCs w:val="24"/>
        </w:rPr>
      </w:pPr>
      <w:bookmarkStart w:id="9" w:name="_Toc218703994"/>
      <w:r w:rsidRPr="00320ECB">
        <w:rPr>
          <w:rFonts w:asciiTheme="minorHAnsi" w:hAnsiTheme="minorHAnsi" w:cstheme="minorHAnsi"/>
          <w:b/>
          <w:bCs/>
          <w:color w:val="auto"/>
          <w:sz w:val="24"/>
          <w:szCs w:val="24"/>
        </w:rPr>
        <w:t>6</w:t>
      </w:r>
      <w:r w:rsidR="00571989" w:rsidRPr="00320ECB">
        <w:rPr>
          <w:rFonts w:asciiTheme="minorHAnsi" w:hAnsiTheme="minorHAnsi" w:cstheme="minorHAnsi"/>
          <w:b/>
          <w:bCs/>
          <w:color w:val="auto"/>
          <w:sz w:val="24"/>
          <w:szCs w:val="24"/>
        </w:rPr>
        <w:t xml:space="preserve">. </w:t>
      </w:r>
      <w:r w:rsidR="006326C9" w:rsidRPr="00320ECB">
        <w:rPr>
          <w:rFonts w:asciiTheme="minorHAnsi" w:hAnsiTheme="minorHAnsi" w:cstheme="minorHAnsi"/>
          <w:b/>
          <w:bCs/>
          <w:color w:val="auto"/>
          <w:sz w:val="24"/>
          <w:szCs w:val="24"/>
        </w:rPr>
        <w:t xml:space="preserve">Cyber </w:t>
      </w:r>
      <w:r w:rsidR="00571989" w:rsidRPr="00320ECB">
        <w:rPr>
          <w:rFonts w:asciiTheme="minorHAnsi" w:hAnsiTheme="minorHAnsi" w:cstheme="minorHAnsi"/>
          <w:b/>
          <w:bCs/>
          <w:color w:val="auto"/>
          <w:sz w:val="24"/>
          <w:szCs w:val="24"/>
        </w:rPr>
        <w:t xml:space="preserve">Threat Intelligence: Strategic </w:t>
      </w:r>
      <w:r w:rsidR="00E97B28" w:rsidRPr="00320ECB">
        <w:rPr>
          <w:rFonts w:asciiTheme="minorHAnsi" w:hAnsiTheme="minorHAnsi" w:cstheme="minorHAnsi"/>
          <w:b/>
          <w:bCs/>
          <w:color w:val="auto"/>
          <w:sz w:val="24"/>
          <w:szCs w:val="24"/>
        </w:rPr>
        <w:t xml:space="preserve">Value </w:t>
      </w:r>
      <w:r w:rsidR="00571989" w:rsidRPr="00320ECB">
        <w:rPr>
          <w:rFonts w:asciiTheme="minorHAnsi" w:hAnsiTheme="minorHAnsi" w:cstheme="minorHAnsi"/>
          <w:b/>
          <w:bCs/>
          <w:color w:val="auto"/>
          <w:sz w:val="24"/>
          <w:szCs w:val="24"/>
        </w:rPr>
        <w:t>and Operational Responses</w:t>
      </w:r>
      <w:bookmarkEnd w:id="9"/>
      <w:r w:rsidR="00571989" w:rsidRPr="00320ECB">
        <w:rPr>
          <w:rFonts w:asciiTheme="minorHAnsi" w:hAnsiTheme="minorHAnsi" w:cstheme="minorHAnsi"/>
          <w:b/>
          <w:bCs/>
          <w:color w:val="auto"/>
          <w:sz w:val="24"/>
          <w:szCs w:val="24"/>
        </w:rPr>
        <w:t xml:space="preserve"> </w:t>
      </w:r>
    </w:p>
    <w:p w14:paraId="5FF47373" w14:textId="2793A2EF" w:rsidR="00901052" w:rsidRPr="00320ECB" w:rsidRDefault="006326C9" w:rsidP="00320ECB">
      <w:pPr>
        <w:pStyle w:val="Heading1"/>
        <w:rPr>
          <w:rFonts w:asciiTheme="minorHAnsi" w:hAnsiTheme="minorHAnsi" w:cstheme="minorHAnsi"/>
          <w:b/>
          <w:bCs/>
          <w:color w:val="auto"/>
          <w:sz w:val="24"/>
          <w:szCs w:val="24"/>
        </w:rPr>
      </w:pPr>
      <w:bookmarkStart w:id="10" w:name="_Toc218703995"/>
      <w:r w:rsidRPr="00320ECB">
        <w:rPr>
          <w:rFonts w:asciiTheme="minorHAnsi" w:hAnsiTheme="minorHAnsi" w:cstheme="minorHAnsi"/>
          <w:b/>
          <w:bCs/>
          <w:color w:val="auto"/>
          <w:sz w:val="24"/>
          <w:szCs w:val="24"/>
        </w:rPr>
        <w:t xml:space="preserve">6.1 </w:t>
      </w:r>
      <w:r w:rsidR="006944E2" w:rsidRPr="00320ECB">
        <w:rPr>
          <w:rFonts w:asciiTheme="minorHAnsi" w:hAnsiTheme="minorHAnsi" w:cstheme="minorHAnsi"/>
          <w:b/>
          <w:bCs/>
          <w:color w:val="auto"/>
          <w:sz w:val="24"/>
          <w:szCs w:val="24"/>
        </w:rPr>
        <w:t>Current Policing Uses</w:t>
      </w:r>
      <w:r w:rsidR="00901052" w:rsidRPr="00320ECB">
        <w:rPr>
          <w:rFonts w:asciiTheme="minorHAnsi" w:hAnsiTheme="minorHAnsi" w:cstheme="minorHAnsi"/>
          <w:b/>
          <w:bCs/>
          <w:color w:val="auto"/>
          <w:sz w:val="24"/>
          <w:szCs w:val="24"/>
        </w:rPr>
        <w:t xml:space="preserve"> </w:t>
      </w:r>
      <w:r w:rsidRPr="00320ECB">
        <w:rPr>
          <w:rFonts w:asciiTheme="minorHAnsi" w:hAnsiTheme="minorHAnsi" w:cstheme="minorHAnsi"/>
          <w:b/>
          <w:bCs/>
          <w:color w:val="auto"/>
          <w:sz w:val="24"/>
          <w:szCs w:val="24"/>
        </w:rPr>
        <w:t>a</w:t>
      </w:r>
      <w:r w:rsidR="00901052" w:rsidRPr="00320ECB">
        <w:rPr>
          <w:rFonts w:asciiTheme="minorHAnsi" w:hAnsiTheme="minorHAnsi" w:cstheme="minorHAnsi"/>
          <w:b/>
          <w:bCs/>
          <w:color w:val="auto"/>
          <w:sz w:val="24"/>
          <w:szCs w:val="24"/>
        </w:rPr>
        <w:t xml:space="preserve">nd </w:t>
      </w:r>
      <w:r w:rsidRPr="00320ECB">
        <w:rPr>
          <w:rFonts w:asciiTheme="minorHAnsi" w:hAnsiTheme="minorHAnsi" w:cstheme="minorHAnsi"/>
          <w:b/>
          <w:bCs/>
          <w:color w:val="auto"/>
          <w:sz w:val="24"/>
          <w:szCs w:val="24"/>
        </w:rPr>
        <w:t>S</w:t>
      </w:r>
      <w:r w:rsidR="00901052" w:rsidRPr="00320ECB">
        <w:rPr>
          <w:rFonts w:asciiTheme="minorHAnsi" w:hAnsiTheme="minorHAnsi" w:cstheme="minorHAnsi"/>
          <w:b/>
          <w:bCs/>
          <w:color w:val="auto"/>
          <w:sz w:val="24"/>
          <w:szCs w:val="24"/>
        </w:rPr>
        <w:t>trengths</w:t>
      </w:r>
      <w:bookmarkEnd w:id="10"/>
      <w:r w:rsidR="00901052" w:rsidRPr="00320ECB">
        <w:rPr>
          <w:rFonts w:asciiTheme="minorHAnsi" w:hAnsiTheme="minorHAnsi" w:cstheme="minorHAnsi"/>
          <w:b/>
          <w:bCs/>
          <w:color w:val="auto"/>
          <w:sz w:val="24"/>
          <w:szCs w:val="24"/>
        </w:rPr>
        <w:t xml:space="preserve"> </w:t>
      </w:r>
    </w:p>
    <w:p w14:paraId="4F8CD891" w14:textId="08D57FEA" w:rsidR="00571989" w:rsidRPr="00C865CE" w:rsidRDefault="00136851" w:rsidP="001C603C">
      <w:pPr>
        <w:spacing w:line="480" w:lineRule="auto"/>
        <w:rPr>
          <w:color w:val="000000" w:themeColor="text1"/>
        </w:rPr>
      </w:pPr>
      <w:r w:rsidRPr="00C865CE">
        <w:rPr>
          <w:color w:val="000000" w:themeColor="text1"/>
        </w:rPr>
        <w:t xml:space="preserve">According to the </w:t>
      </w:r>
      <w:r w:rsidRPr="005A0AF6">
        <w:rPr>
          <w:color w:val="000000" w:themeColor="text1"/>
        </w:rPr>
        <w:t>National Crime Agency (2021</w:t>
      </w:r>
      <w:r w:rsidR="00B5002C" w:rsidRPr="005A0AF6">
        <w:rPr>
          <w:color w:val="000000" w:themeColor="text1"/>
        </w:rPr>
        <w:t>: 5</w:t>
      </w:r>
      <w:r w:rsidRPr="005A0AF6">
        <w:rPr>
          <w:color w:val="000000" w:themeColor="text1"/>
        </w:rPr>
        <w:t xml:space="preserve">), threat intelligence is a core cybersecurity capability involving the collection, analysis, and sharing of data on cyber threats, including indicators of compromise (IOCs), tactics, techniques, procedures (TTPs), and threat actor profiles, to inform decision-making. The </w:t>
      </w:r>
      <w:r w:rsidR="00C865CE" w:rsidRPr="005A0AF6">
        <w:rPr>
          <w:color w:val="000000" w:themeColor="text1"/>
        </w:rPr>
        <w:t>findings show</w:t>
      </w:r>
      <w:r w:rsidRPr="005A0AF6">
        <w:rPr>
          <w:color w:val="000000" w:themeColor="text1"/>
        </w:rPr>
        <w:t xml:space="preserve"> how such intelligence underpins strategic and operational responses, as seen in Operation Venetic, which leveraged encrypted communications to disrupt criminal networks and in the National Data Exploitation Capability’s use </w:t>
      </w:r>
      <w:r w:rsidRPr="00C865CE">
        <w:rPr>
          <w:color w:val="000000" w:themeColor="text1"/>
        </w:rPr>
        <w:t>of shared data to prevent procurement fraud</w:t>
      </w:r>
      <w:r w:rsidR="00B5002C">
        <w:rPr>
          <w:color w:val="000000" w:themeColor="text1"/>
        </w:rPr>
        <w:t xml:space="preserve"> (ibid.).</w:t>
      </w:r>
      <w:r w:rsidRPr="00C865CE">
        <w:rPr>
          <w:color w:val="000000" w:themeColor="text1"/>
        </w:rPr>
        <w:t xml:space="preserve"> These examples highlight the operational value of intelligence-led approaches; however, their success depends on effective coordination and timely data sharing, underscoring structural challenges that can limit overall impact.</w:t>
      </w:r>
    </w:p>
    <w:p w14:paraId="3F3B6B21" w14:textId="69E8C0AD" w:rsidR="00FC1BA2" w:rsidRDefault="00FC1BA2" w:rsidP="001C603C">
      <w:pPr>
        <w:spacing w:line="480" w:lineRule="auto"/>
        <w:rPr>
          <w:color w:val="000000" w:themeColor="text1"/>
        </w:rPr>
      </w:pPr>
      <w:r w:rsidRPr="00FC1BA2">
        <w:rPr>
          <w:color w:val="000000" w:themeColor="text1"/>
        </w:rPr>
        <w:t xml:space="preserve">Building on the previous discussion of intelligence-led responses, the Joint Cyber Reserve Force document emphasises threat intelligence as a critical capability for Joint Cyber Units, including those based in Corsham and Cheltenham, which recruit specialists to produce intelligence outputs and </w:t>
      </w:r>
      <w:r w:rsidRPr="00FC1BA2">
        <w:rPr>
          <w:color w:val="000000" w:themeColor="text1"/>
        </w:rPr>
        <w:lastRenderedPageBreak/>
        <w:t>develop tools such as Yara rules (UK Government, 2022). These capabilities strengthen both strategic and operational responses by enabling network defence, platform assurance, and adversary disruption (ibid.) This shows that, the effectiveness of such capabilities ultimately depends on sustained specialist expertise and seamless integration with broader intelligence frameworks, without which their operational impact may be constrained</w:t>
      </w:r>
      <w:r w:rsidR="00155313">
        <w:rPr>
          <w:color w:val="000000" w:themeColor="text1"/>
        </w:rPr>
        <w:t>.</w:t>
      </w:r>
    </w:p>
    <w:p w14:paraId="34C589A1" w14:textId="4E71E950" w:rsidR="006F13BF" w:rsidRPr="00901052" w:rsidRDefault="00C15F44" w:rsidP="001C603C">
      <w:pPr>
        <w:spacing w:line="480" w:lineRule="auto"/>
        <w:rPr>
          <w:color w:val="000000" w:themeColor="text1"/>
        </w:rPr>
      </w:pPr>
      <w:r w:rsidRPr="00C15F44">
        <w:rPr>
          <w:color w:val="000000" w:themeColor="text1"/>
        </w:rPr>
        <w:t>Extending the discussion on intelligence-led capabilities,</w:t>
      </w:r>
      <w:r w:rsidR="00E56386">
        <w:rPr>
          <w:color w:val="000000" w:themeColor="text1"/>
        </w:rPr>
        <w:t xml:space="preserve"> </w:t>
      </w:r>
      <w:proofErr w:type="spellStart"/>
      <w:r w:rsidRPr="00C15F44">
        <w:rPr>
          <w:color w:val="000000" w:themeColor="text1"/>
        </w:rPr>
        <w:t>Haridy</w:t>
      </w:r>
      <w:proofErr w:type="spellEnd"/>
      <w:r w:rsidRPr="00C15F44">
        <w:rPr>
          <w:color w:val="000000" w:themeColor="text1"/>
        </w:rPr>
        <w:t xml:space="preserve"> (2025: 207</w:t>
      </w:r>
      <w:r w:rsidR="00D9594D">
        <w:rPr>
          <w:color w:val="000000" w:themeColor="text1"/>
        </w:rPr>
        <w:t>-</w:t>
      </w:r>
      <w:r w:rsidRPr="00C15F44">
        <w:rPr>
          <w:color w:val="000000" w:themeColor="text1"/>
        </w:rPr>
        <w:t>209) highlights the importance of bridging strategic threat intelligence with tactical field operations.</w:t>
      </w:r>
      <w:r w:rsidR="00D9594D">
        <w:rPr>
          <w:color w:val="000000" w:themeColor="text1"/>
        </w:rPr>
        <w:t xml:space="preserve"> The Author</w:t>
      </w:r>
      <w:r w:rsidRPr="00C15F44">
        <w:rPr>
          <w:color w:val="000000" w:themeColor="text1"/>
        </w:rPr>
        <w:t xml:space="preserve"> </w:t>
      </w:r>
      <w:r w:rsidR="00D9594D" w:rsidRPr="00D9594D">
        <w:rPr>
          <w:color w:val="000000" w:themeColor="text1"/>
        </w:rPr>
        <w:t>emphasises</w:t>
      </w:r>
      <w:r w:rsidR="00D9594D">
        <w:rPr>
          <w:color w:val="000000" w:themeColor="text1"/>
        </w:rPr>
        <w:t xml:space="preserve"> that, </w:t>
      </w:r>
      <w:r w:rsidRPr="00C15F44">
        <w:rPr>
          <w:color w:val="000000" w:themeColor="text1"/>
        </w:rPr>
        <w:t xml:space="preserve">Europol identifies a growing “shadow coalition” of state and criminal actors conducting hybrid attacks on critical infrastructure, reinforcing the need for coordinated responses. To address this challenge, the Joint </w:t>
      </w:r>
      <w:r w:rsidR="009C21DB">
        <w:rPr>
          <w:color w:val="000000" w:themeColor="text1"/>
        </w:rPr>
        <w:t>c</w:t>
      </w:r>
      <w:r w:rsidRPr="00C15F44">
        <w:rPr>
          <w:color w:val="000000" w:themeColor="text1"/>
        </w:rPr>
        <w:t xml:space="preserve">yber </w:t>
      </w:r>
      <w:r w:rsidR="009C21DB">
        <w:rPr>
          <w:color w:val="000000" w:themeColor="text1"/>
        </w:rPr>
        <w:t>d</w:t>
      </w:r>
      <w:r w:rsidR="009C21DB" w:rsidRPr="00C15F44">
        <w:rPr>
          <w:color w:val="000000" w:themeColor="text1"/>
        </w:rPr>
        <w:t>efence</w:t>
      </w:r>
      <w:r w:rsidRPr="00C15F44">
        <w:rPr>
          <w:color w:val="000000" w:themeColor="text1"/>
        </w:rPr>
        <w:t xml:space="preserve"> </w:t>
      </w:r>
      <w:r w:rsidR="009C21DB">
        <w:rPr>
          <w:color w:val="000000" w:themeColor="text1"/>
        </w:rPr>
        <w:t>c</w:t>
      </w:r>
      <w:r w:rsidRPr="00C15F44">
        <w:rPr>
          <w:color w:val="000000" w:themeColor="text1"/>
        </w:rPr>
        <w:t>ollaborative (JCDC) in the United States is presented as an operational coordination hub, while Europol accelerates intelligence sharing among member states (ibid.). This analysis underscores that threat intelligence is most effective when strategic insights are rapidly translated into operational action through structured collaboration frameworks.</w:t>
      </w:r>
    </w:p>
    <w:p w14:paraId="7B0CD043" w14:textId="6EDAD3A1" w:rsidR="009A770E" w:rsidRDefault="009A770E" w:rsidP="001C603C">
      <w:pPr>
        <w:spacing w:line="480" w:lineRule="auto"/>
        <w:rPr>
          <w:color w:val="000000" w:themeColor="text1"/>
        </w:rPr>
      </w:pPr>
      <w:r w:rsidRPr="009A770E">
        <w:rPr>
          <w:color w:val="000000" w:themeColor="text1"/>
        </w:rPr>
        <w:t>Cyber threat intelligence underpins both strategic and operational responses by delivering evidence-based knowledge of existing and emerging threats</w:t>
      </w:r>
      <w:r>
        <w:rPr>
          <w:color w:val="000000" w:themeColor="text1"/>
        </w:rPr>
        <w:t xml:space="preserve"> (</w:t>
      </w:r>
      <w:proofErr w:type="spellStart"/>
      <w:r w:rsidRPr="009A770E">
        <w:rPr>
          <w:color w:val="000000" w:themeColor="text1"/>
        </w:rPr>
        <w:t>Mavroeidis</w:t>
      </w:r>
      <w:proofErr w:type="spellEnd"/>
      <w:r>
        <w:rPr>
          <w:color w:val="000000" w:themeColor="text1"/>
        </w:rPr>
        <w:t xml:space="preserve"> and </w:t>
      </w:r>
      <w:proofErr w:type="spellStart"/>
      <w:r w:rsidRPr="009A770E">
        <w:rPr>
          <w:color w:val="000000" w:themeColor="text1"/>
        </w:rPr>
        <w:t>Bromander</w:t>
      </w:r>
      <w:proofErr w:type="spellEnd"/>
      <w:r>
        <w:rPr>
          <w:color w:val="000000" w:themeColor="text1"/>
        </w:rPr>
        <w:t>, 2017: 1)</w:t>
      </w:r>
      <w:r w:rsidR="00911639">
        <w:rPr>
          <w:color w:val="000000" w:themeColor="text1"/>
        </w:rPr>
        <w:t>.</w:t>
      </w:r>
      <w:r w:rsidRPr="009A770E">
        <w:rPr>
          <w:color w:val="000000" w:themeColor="text1"/>
        </w:rPr>
        <w:t xml:space="preserve"> Its key </w:t>
      </w:r>
      <w:r w:rsidRPr="00270C97">
        <w:rPr>
          <w:color w:val="000000" w:themeColor="text1"/>
        </w:rPr>
        <w:t xml:space="preserve">strengths </w:t>
      </w:r>
      <w:r w:rsidRPr="009A770E">
        <w:rPr>
          <w:color w:val="000000" w:themeColor="text1"/>
        </w:rPr>
        <w:t>lie in enhancing situational awareness and providing early warning, enabling organisations to anticipate and better understand potential attacks before they materialise. This intelligence-driven insight informs proactive defensive measures, allowing defenders to prioritise security controls and allocate resources effectively. By transforming one organisation’s detection into another’s prevention, threat intelligence strengthens collective defence and improves the overall efficiency of detection, response, and mitigation efforts</w:t>
      </w:r>
      <w:r w:rsidR="00911639">
        <w:rPr>
          <w:color w:val="000000" w:themeColor="text1"/>
        </w:rPr>
        <w:t xml:space="preserve"> (ibid.). </w:t>
      </w:r>
      <w:r w:rsidR="00911639" w:rsidRPr="00911639">
        <w:rPr>
          <w:color w:val="000000" w:themeColor="text1"/>
        </w:rPr>
        <w:t>This demonstrates that</w:t>
      </w:r>
      <w:r w:rsidR="00911639">
        <w:rPr>
          <w:color w:val="000000" w:themeColor="text1"/>
        </w:rPr>
        <w:t>,</w:t>
      </w:r>
      <w:r w:rsidR="00911639" w:rsidRPr="00911639">
        <w:rPr>
          <w:color w:val="000000" w:themeColor="text1"/>
        </w:rPr>
        <w:t xml:space="preserve"> proactive measures and early warning are not optional benefits but essential actions for effective threat intelligence.</w:t>
      </w:r>
    </w:p>
    <w:p w14:paraId="7E3A48B8" w14:textId="0736D1A6" w:rsidR="00E408D1" w:rsidRPr="00320ECB" w:rsidRDefault="006326C9" w:rsidP="00320ECB">
      <w:pPr>
        <w:pStyle w:val="Heading1"/>
        <w:rPr>
          <w:rFonts w:asciiTheme="minorHAnsi" w:hAnsiTheme="minorHAnsi" w:cstheme="minorHAnsi"/>
          <w:b/>
          <w:bCs/>
          <w:color w:val="auto"/>
          <w:sz w:val="24"/>
          <w:szCs w:val="24"/>
        </w:rPr>
      </w:pPr>
      <w:bookmarkStart w:id="11" w:name="_Toc218703996"/>
      <w:r w:rsidRPr="00320ECB">
        <w:rPr>
          <w:rFonts w:asciiTheme="minorHAnsi" w:hAnsiTheme="minorHAnsi" w:cstheme="minorHAnsi"/>
          <w:b/>
          <w:bCs/>
          <w:color w:val="auto"/>
          <w:sz w:val="24"/>
          <w:szCs w:val="24"/>
        </w:rPr>
        <w:lastRenderedPageBreak/>
        <w:t xml:space="preserve">6.2 </w:t>
      </w:r>
      <w:r w:rsidR="00E408D1" w:rsidRPr="00320ECB">
        <w:rPr>
          <w:rFonts w:asciiTheme="minorHAnsi" w:hAnsiTheme="minorHAnsi" w:cstheme="minorHAnsi"/>
          <w:b/>
          <w:bCs/>
          <w:color w:val="auto"/>
          <w:sz w:val="24"/>
          <w:szCs w:val="24"/>
        </w:rPr>
        <w:t xml:space="preserve">Limitations </w:t>
      </w:r>
      <w:r w:rsidR="00290F33" w:rsidRPr="00320ECB">
        <w:rPr>
          <w:rFonts w:asciiTheme="minorHAnsi" w:hAnsiTheme="minorHAnsi" w:cstheme="minorHAnsi"/>
          <w:b/>
          <w:bCs/>
          <w:color w:val="auto"/>
          <w:sz w:val="24"/>
          <w:szCs w:val="24"/>
        </w:rPr>
        <w:t>and</w:t>
      </w:r>
      <w:r w:rsidR="00E408D1" w:rsidRPr="00320ECB">
        <w:rPr>
          <w:rFonts w:asciiTheme="minorHAnsi" w:hAnsiTheme="minorHAnsi" w:cstheme="minorHAnsi"/>
          <w:b/>
          <w:bCs/>
          <w:color w:val="auto"/>
          <w:sz w:val="24"/>
          <w:szCs w:val="24"/>
        </w:rPr>
        <w:t xml:space="preserve"> Barriers</w:t>
      </w:r>
      <w:bookmarkEnd w:id="11"/>
    </w:p>
    <w:p w14:paraId="6036A8CD" w14:textId="5AFEA711" w:rsidR="00EE6F22" w:rsidRDefault="00EE6F22" w:rsidP="001C603C">
      <w:pPr>
        <w:spacing w:line="480" w:lineRule="auto"/>
        <w:rPr>
          <w:color w:val="000000" w:themeColor="text1"/>
        </w:rPr>
      </w:pPr>
      <w:r w:rsidRPr="00EA2539">
        <w:rPr>
          <w:color w:val="000000" w:themeColor="text1"/>
        </w:rPr>
        <w:t xml:space="preserve">According to </w:t>
      </w:r>
      <w:proofErr w:type="spellStart"/>
      <w:r w:rsidR="00EA2539" w:rsidRPr="00EA2539">
        <w:rPr>
          <w:color w:val="000000" w:themeColor="text1"/>
        </w:rPr>
        <w:t>Radanliev</w:t>
      </w:r>
      <w:proofErr w:type="spellEnd"/>
      <w:r w:rsidR="00EA2539" w:rsidRPr="00EA2539">
        <w:rPr>
          <w:color w:val="000000" w:themeColor="text1"/>
        </w:rPr>
        <w:t xml:space="preserve"> </w:t>
      </w:r>
      <w:r w:rsidR="005C37FD">
        <w:rPr>
          <w:color w:val="000000" w:themeColor="text1"/>
        </w:rPr>
        <w:t>(</w:t>
      </w:r>
      <w:r w:rsidR="00EA2539" w:rsidRPr="00EA2539">
        <w:rPr>
          <w:color w:val="000000" w:themeColor="text1"/>
        </w:rPr>
        <w:t>2024: 54)</w:t>
      </w:r>
      <w:r w:rsidR="005C37FD">
        <w:rPr>
          <w:color w:val="000000" w:themeColor="text1"/>
        </w:rPr>
        <w:t xml:space="preserve">, </w:t>
      </w:r>
      <w:r w:rsidRPr="00EE6F22">
        <w:rPr>
          <w:color w:val="000000" w:themeColor="text1"/>
        </w:rPr>
        <w:t>Cyber threat intelligence often originates from diverse sources and in varying formats, creating significant challenges for consolidation and effective analysis across organisations.</w:t>
      </w:r>
      <w:r w:rsidR="00E56386">
        <w:rPr>
          <w:color w:val="000000" w:themeColor="text1"/>
        </w:rPr>
        <w:t xml:space="preserve"> </w:t>
      </w:r>
      <w:r w:rsidRPr="00EE6F22">
        <w:rPr>
          <w:color w:val="000000" w:themeColor="text1"/>
        </w:rPr>
        <w:t>Fragmentation</w:t>
      </w:r>
      <w:r w:rsidR="00E56386">
        <w:rPr>
          <w:color w:val="000000" w:themeColor="text1"/>
        </w:rPr>
        <w:t xml:space="preserve"> </w:t>
      </w:r>
      <w:r w:rsidRPr="00EE6F22">
        <w:rPr>
          <w:color w:val="000000" w:themeColor="text1"/>
        </w:rPr>
        <w:t>between public, private,</w:t>
      </w:r>
      <w:r w:rsidR="00E56386">
        <w:rPr>
          <w:color w:val="000000" w:themeColor="text1"/>
        </w:rPr>
        <w:t xml:space="preserve"> </w:t>
      </w:r>
      <w:r w:rsidRPr="00EE6F22">
        <w:rPr>
          <w:color w:val="000000" w:themeColor="text1"/>
        </w:rPr>
        <w:t>and open-source intelligence further complicates coordinated responses. Moreover, organisations may be reluctant to share sensitive intelligence due to concerns over trust, legal exposure, and the risk of revealing vulnerabilities. A lack of clear incentives also discourages participation in sharing frameworks</w:t>
      </w:r>
      <w:r w:rsidR="00EA2539" w:rsidRPr="00EA2539">
        <w:rPr>
          <w:color w:val="000000" w:themeColor="text1"/>
        </w:rPr>
        <w:t xml:space="preserve"> (ibid.).</w:t>
      </w:r>
      <w:r w:rsidRPr="00EE6F22">
        <w:rPr>
          <w:color w:val="000000" w:themeColor="text1"/>
        </w:rPr>
        <w:t xml:space="preserve"> This highlights that</w:t>
      </w:r>
      <w:r w:rsidR="005C37FD">
        <w:rPr>
          <w:color w:val="000000" w:themeColor="text1"/>
        </w:rPr>
        <w:t>,</w:t>
      </w:r>
      <w:r w:rsidRPr="00EE6F22">
        <w:rPr>
          <w:color w:val="000000" w:themeColor="text1"/>
        </w:rPr>
        <w:t xml:space="preserve"> such structural and trust-based barriers substantially limit the strategic and operational effectiveness of threat intelligence.</w:t>
      </w:r>
    </w:p>
    <w:p w14:paraId="4F3691F0" w14:textId="3DD3F3AF" w:rsidR="0051327E" w:rsidRPr="00C00E72" w:rsidRDefault="002D0B78" w:rsidP="001C603C">
      <w:pPr>
        <w:spacing w:line="480" w:lineRule="auto"/>
        <w:rPr>
          <w:color w:val="000000" w:themeColor="text1"/>
        </w:rPr>
      </w:pPr>
      <w:r w:rsidRPr="002D0B78">
        <w:rPr>
          <w:color w:val="000000" w:themeColor="text1"/>
        </w:rPr>
        <w:t>In the same context, this aligns with Santos</w:t>
      </w:r>
      <w:r w:rsidR="00851655">
        <w:rPr>
          <w:color w:val="000000" w:themeColor="text1"/>
        </w:rPr>
        <w:t xml:space="preserve"> et al</w:t>
      </w:r>
      <w:r w:rsidR="00A01339">
        <w:rPr>
          <w:color w:val="000000" w:themeColor="text1"/>
        </w:rPr>
        <w:t>.</w:t>
      </w:r>
      <w:r w:rsidRPr="002D0B78">
        <w:rPr>
          <w:color w:val="000000" w:themeColor="text1"/>
        </w:rPr>
        <w:t xml:space="preserve"> (2025</w:t>
      </w:r>
      <w:r w:rsidR="00572862">
        <w:rPr>
          <w:color w:val="000000" w:themeColor="text1"/>
        </w:rPr>
        <w:t>a</w:t>
      </w:r>
      <w:r w:rsidRPr="002D0B78">
        <w:rPr>
          <w:color w:val="000000" w:themeColor="text1"/>
        </w:rPr>
        <w:t xml:space="preserve">: 15, 21), whose review highlights that malicious actors’ creativity often outpaces existing defences, creating a critical speed mismatch in which threat intelligence must remain agile to keep pace with the rapid evolution of attacks (ibid.). Regarding attribution, the authors note persistent challenges related to data quality and the integration of heterogeneous </w:t>
      </w:r>
      <w:r w:rsidR="00B23094">
        <w:rPr>
          <w:color w:val="000000" w:themeColor="text1"/>
        </w:rPr>
        <w:t>Cyber Threat Intelligence</w:t>
      </w:r>
      <w:r w:rsidRPr="002D0B78">
        <w:rPr>
          <w:color w:val="000000" w:themeColor="text1"/>
        </w:rPr>
        <w:t xml:space="preserve"> sources</w:t>
      </w:r>
      <w:r w:rsidR="00DD2EDD">
        <w:rPr>
          <w:color w:val="000000" w:themeColor="text1"/>
        </w:rPr>
        <w:t xml:space="preserve"> (CTS)</w:t>
      </w:r>
      <w:r w:rsidRPr="002D0B78">
        <w:rPr>
          <w:color w:val="000000" w:themeColor="text1"/>
        </w:rPr>
        <w:t>, which complicate accurate identification (ibid.: 12). Furthermore, the lack of universal standards and reliance on non-transparent private sharing platforms contribute to inconsistencies that hinder reliable collaboration (ibid.: 16</w:t>
      </w:r>
      <w:r w:rsidR="00D433A0">
        <w:rPr>
          <w:color w:val="000000" w:themeColor="text1"/>
        </w:rPr>
        <w:t>-</w:t>
      </w:r>
      <w:r w:rsidRPr="002D0B78">
        <w:rPr>
          <w:color w:val="000000" w:themeColor="text1"/>
        </w:rPr>
        <w:t>23). This emphasis that, speed and attribution challenges significantly constrain the strategic and operational effectiveness of threat intelligence.</w:t>
      </w:r>
    </w:p>
    <w:p w14:paraId="2083FDF1" w14:textId="2D002C80" w:rsidR="000F5048" w:rsidRPr="00320ECB" w:rsidRDefault="00035D4E" w:rsidP="001C603C">
      <w:pPr>
        <w:spacing w:line="480" w:lineRule="auto"/>
        <w:rPr>
          <w:color w:val="000000" w:themeColor="text1"/>
        </w:rPr>
      </w:pPr>
      <w:r w:rsidRPr="00C00E72">
        <w:rPr>
          <w:color w:val="000000" w:themeColor="text1"/>
        </w:rPr>
        <w:t xml:space="preserve">In addition, the overload of </w:t>
      </w:r>
      <w:r w:rsidR="00571749">
        <w:rPr>
          <w:color w:val="000000" w:themeColor="text1"/>
        </w:rPr>
        <w:t>c</w:t>
      </w:r>
      <w:r w:rsidRPr="00C00E72">
        <w:rPr>
          <w:color w:val="000000" w:themeColor="text1"/>
        </w:rPr>
        <w:t xml:space="preserve">yber </w:t>
      </w:r>
      <w:r w:rsidR="00571749">
        <w:rPr>
          <w:color w:val="000000" w:themeColor="text1"/>
        </w:rPr>
        <w:t>t</w:t>
      </w:r>
      <w:r w:rsidRPr="00C00E72">
        <w:rPr>
          <w:color w:val="000000" w:themeColor="text1"/>
        </w:rPr>
        <w:t xml:space="preserve">hreat </w:t>
      </w:r>
      <w:r w:rsidR="00571749">
        <w:rPr>
          <w:color w:val="000000" w:themeColor="text1"/>
        </w:rPr>
        <w:t>i</w:t>
      </w:r>
      <w:r w:rsidRPr="00C00E72">
        <w:rPr>
          <w:color w:val="000000" w:themeColor="text1"/>
        </w:rPr>
        <w:t>ntelligence (CTI) creates significant noise, hindering analysts’ ability to identify actionable insights and constituting a distinct data quality problem. Furthermore, reliance on voluntary collaboration often results in inaccurate, outdated, or duplicated information, as noted by Schlette</w:t>
      </w:r>
      <w:r w:rsidR="00A01339">
        <w:rPr>
          <w:color w:val="000000" w:themeColor="text1"/>
        </w:rPr>
        <w:t xml:space="preserve"> et al.</w:t>
      </w:r>
      <w:r w:rsidRPr="00C00E72">
        <w:rPr>
          <w:color w:val="000000" w:themeColor="text1"/>
        </w:rPr>
        <w:t xml:space="preserve"> (2020: 21–25). To address these barriers, the authors propose the use of reputation systems to establish trust and capture subjective perceptions, enabling analysts to assess the fitness for use of shared intelligence amid large data volumes (ibid.: </w:t>
      </w:r>
      <w:r w:rsidR="0070062F" w:rsidRPr="00C00E72">
        <w:rPr>
          <w:color w:val="000000" w:themeColor="text1"/>
        </w:rPr>
        <w:t>30</w:t>
      </w:r>
      <w:r w:rsidRPr="00C00E72">
        <w:rPr>
          <w:color w:val="000000" w:themeColor="text1"/>
        </w:rPr>
        <w:t>). This assessment indicates that</w:t>
      </w:r>
      <w:r w:rsidR="003806B3">
        <w:rPr>
          <w:color w:val="000000" w:themeColor="text1"/>
        </w:rPr>
        <w:t>,</w:t>
      </w:r>
      <w:r w:rsidRPr="00C00E72">
        <w:rPr>
          <w:color w:val="000000" w:themeColor="text1"/>
        </w:rPr>
        <w:t xml:space="preserve"> without mechanisms to manage data quality and trust, </w:t>
      </w:r>
      <w:r w:rsidR="00C00E72">
        <w:rPr>
          <w:color w:val="000000" w:themeColor="text1"/>
        </w:rPr>
        <w:t>(</w:t>
      </w:r>
      <w:r w:rsidRPr="00C00E72">
        <w:rPr>
          <w:color w:val="000000" w:themeColor="text1"/>
        </w:rPr>
        <w:t>CTI</w:t>
      </w:r>
      <w:r w:rsidR="00C00E72">
        <w:rPr>
          <w:color w:val="000000" w:themeColor="text1"/>
        </w:rPr>
        <w:t>)</w:t>
      </w:r>
      <w:r w:rsidRPr="00C00E72">
        <w:rPr>
          <w:color w:val="000000" w:themeColor="text1"/>
        </w:rPr>
        <w:t xml:space="preserve"> risks overwhelming analysts rather than enhancing strategic and operational decision-making.</w:t>
      </w:r>
    </w:p>
    <w:p w14:paraId="2F5D8248" w14:textId="24621164" w:rsidR="00AC5DD6" w:rsidRPr="00320ECB" w:rsidRDefault="006326C9" w:rsidP="00320ECB">
      <w:pPr>
        <w:pStyle w:val="Heading1"/>
        <w:rPr>
          <w:rFonts w:asciiTheme="minorHAnsi" w:hAnsiTheme="minorHAnsi" w:cstheme="minorHAnsi"/>
          <w:b/>
          <w:bCs/>
          <w:color w:val="auto"/>
          <w:sz w:val="24"/>
          <w:szCs w:val="24"/>
        </w:rPr>
      </w:pPr>
      <w:bookmarkStart w:id="12" w:name="_Toc218703997"/>
      <w:r w:rsidRPr="00320ECB">
        <w:rPr>
          <w:rFonts w:asciiTheme="minorHAnsi" w:hAnsiTheme="minorHAnsi" w:cstheme="minorHAnsi"/>
          <w:b/>
          <w:bCs/>
          <w:color w:val="auto"/>
          <w:sz w:val="24"/>
          <w:szCs w:val="24"/>
        </w:rPr>
        <w:lastRenderedPageBreak/>
        <w:t xml:space="preserve">6.3 </w:t>
      </w:r>
      <w:r w:rsidR="00AC5DD6" w:rsidRPr="00320ECB">
        <w:rPr>
          <w:rFonts w:asciiTheme="minorHAnsi" w:hAnsiTheme="minorHAnsi" w:cstheme="minorHAnsi"/>
          <w:b/>
          <w:bCs/>
          <w:color w:val="auto"/>
          <w:sz w:val="24"/>
          <w:szCs w:val="24"/>
        </w:rPr>
        <w:t>Effectiveness Against Specific Threats</w:t>
      </w:r>
      <w:bookmarkEnd w:id="12"/>
    </w:p>
    <w:p w14:paraId="1DD2BD25" w14:textId="1F02E4C7" w:rsidR="00E408D1" w:rsidRDefault="00AA6F2F" w:rsidP="001C603C">
      <w:pPr>
        <w:spacing w:line="480" w:lineRule="auto"/>
        <w:rPr>
          <w:color w:val="000000" w:themeColor="text1"/>
        </w:rPr>
      </w:pPr>
      <w:r w:rsidRPr="006F77F4">
        <w:rPr>
          <w:color w:val="000000" w:themeColor="text1"/>
        </w:rPr>
        <w:t xml:space="preserve">Threat intelligence proves highly valuable in mapping the </w:t>
      </w:r>
      <w:r w:rsidR="00EF3008">
        <w:rPr>
          <w:color w:val="000000" w:themeColor="text1"/>
        </w:rPr>
        <w:t>‘</w:t>
      </w:r>
      <w:r w:rsidRPr="006F77F4">
        <w:rPr>
          <w:color w:val="000000" w:themeColor="text1"/>
        </w:rPr>
        <w:t>ransomware blueprint</w:t>
      </w:r>
      <w:r w:rsidR="00EF3008">
        <w:rPr>
          <w:color w:val="000000" w:themeColor="text1"/>
        </w:rPr>
        <w:t>’</w:t>
      </w:r>
      <w:r w:rsidRPr="006F77F4">
        <w:rPr>
          <w:color w:val="000000" w:themeColor="text1"/>
        </w:rPr>
        <w:t xml:space="preserve"> by correlating exploited Common Vulnerabilities and Exposures (CVEs) with adversarial Tactics, Techniques, and Procedures (TTPs), revealing strategic interconnections among gangs such as ALPHV and </w:t>
      </w:r>
      <w:proofErr w:type="spellStart"/>
      <w:r w:rsidRPr="006F77F4">
        <w:rPr>
          <w:color w:val="000000" w:themeColor="text1"/>
        </w:rPr>
        <w:t>LockBit</w:t>
      </w:r>
      <w:proofErr w:type="spellEnd"/>
      <w:r w:rsidRPr="006F77F4">
        <w:rPr>
          <w:color w:val="000000" w:themeColor="text1"/>
        </w:rPr>
        <w:t xml:space="preserve"> (Saccone</w:t>
      </w:r>
      <w:r w:rsidR="00742771">
        <w:rPr>
          <w:color w:val="000000" w:themeColor="text1"/>
        </w:rPr>
        <w:t xml:space="preserve"> et al</w:t>
      </w:r>
      <w:r w:rsidR="00270C97">
        <w:rPr>
          <w:color w:val="000000" w:themeColor="text1"/>
        </w:rPr>
        <w:t>.</w:t>
      </w:r>
      <w:r w:rsidRPr="006F77F4">
        <w:rPr>
          <w:color w:val="000000" w:themeColor="text1"/>
        </w:rPr>
        <w:t>, 2025: 1, 12). However, preventing initial compromise remains challenging, as these groups consistently exploit widely deployed, high-severity vulnerabilities in public-facing applications (T1190) or rely on Initial Access Brokers to bypass perimeter defences rapidly (ibid.: 8, 10). Consequently, effective defence requires multi-layered strategies rather than sole reliance on blocking initial entry points (ibid.: 15). This highlights that, while threat intelligence excels in understanding ransomware operations, it has limited capacity to prevent the earliest stages of compromise on its own.</w:t>
      </w:r>
    </w:p>
    <w:p w14:paraId="0293CA93" w14:textId="2C3F9249" w:rsidR="003B1012" w:rsidRDefault="003B1012" w:rsidP="001C603C">
      <w:pPr>
        <w:spacing w:line="480" w:lineRule="auto"/>
        <w:rPr>
          <w:color w:val="000000" w:themeColor="text1"/>
        </w:rPr>
      </w:pPr>
      <w:r w:rsidRPr="003B1012">
        <w:rPr>
          <w:color w:val="000000" w:themeColor="text1"/>
        </w:rPr>
        <w:t>Furthermore,</w:t>
      </w:r>
      <w:r w:rsidR="001F314A">
        <w:rPr>
          <w:color w:val="000000" w:themeColor="text1"/>
        </w:rPr>
        <w:t xml:space="preserve"> </w:t>
      </w:r>
      <w:r w:rsidRPr="003B1012">
        <w:rPr>
          <w:color w:val="000000" w:themeColor="text1"/>
        </w:rPr>
        <w:t>cyber threat intelligence (CTI) enhances organisational resilience by proactively identifying vulnerabilities prior to exploitation, thereby reducing the likelihood and impact of data breaches (Saeed</w:t>
      </w:r>
      <w:r w:rsidR="00954054">
        <w:rPr>
          <w:color w:val="000000" w:themeColor="text1"/>
        </w:rPr>
        <w:t xml:space="preserve"> et al</w:t>
      </w:r>
      <w:r w:rsidR="00270C97">
        <w:rPr>
          <w:color w:val="000000" w:themeColor="text1"/>
        </w:rPr>
        <w:t>.</w:t>
      </w:r>
      <w:r w:rsidRPr="003B1012">
        <w:rPr>
          <w:color w:val="000000" w:themeColor="text1"/>
        </w:rPr>
        <w:t>, 2023: 1</w:t>
      </w:r>
      <w:r>
        <w:rPr>
          <w:color w:val="000000" w:themeColor="text1"/>
        </w:rPr>
        <w:t>-</w:t>
      </w:r>
      <w:r w:rsidRPr="003B1012">
        <w:rPr>
          <w:color w:val="000000" w:themeColor="text1"/>
        </w:rPr>
        <w:t xml:space="preserve">2). Advanced CTI tools also enable organisations to monitor dark web markets for stolen data and emerging threats (ibid.: 13). In relation to fraud, while CTI is effective in tracking technical threats such as banking Trojans, it remains limited against social-engineering vectors, including deepfakes (ibid.: 14). The authors therefore propose a layered framework that integrates automated detection with human expertise. This </w:t>
      </w:r>
      <w:r>
        <w:rPr>
          <w:color w:val="000000" w:themeColor="text1"/>
        </w:rPr>
        <w:t>shows</w:t>
      </w:r>
      <w:r w:rsidRPr="003B1012">
        <w:rPr>
          <w:color w:val="000000" w:themeColor="text1"/>
        </w:rPr>
        <w:t xml:space="preserve"> that</w:t>
      </w:r>
      <w:r>
        <w:rPr>
          <w:color w:val="000000" w:themeColor="text1"/>
        </w:rPr>
        <w:t xml:space="preserve">, </w:t>
      </w:r>
      <w:r w:rsidRPr="003B1012">
        <w:rPr>
          <w:color w:val="000000" w:themeColor="text1"/>
        </w:rPr>
        <w:t>CTI’s effectiveness varies by threat type, reinforcing the need for hybrid approaches to address both technical and human-centric attacks.</w:t>
      </w:r>
    </w:p>
    <w:p w14:paraId="73A60301" w14:textId="67A486B1" w:rsidR="006F13BF" w:rsidRDefault="00B97F83" w:rsidP="001C603C">
      <w:pPr>
        <w:spacing w:line="480" w:lineRule="auto"/>
        <w:rPr>
          <w:color w:val="000000" w:themeColor="text1"/>
        </w:rPr>
      </w:pPr>
      <w:r w:rsidRPr="004918C8">
        <w:rPr>
          <w:color w:val="000000" w:themeColor="text1"/>
        </w:rPr>
        <w:t>Overall, threat intelligence is a powerful capability that supports strategic and operational policing by enhancing situational awareness and proactive response. However, its effectiveness is limited by structural fragmentation and weak informal intelligence-sharing frameworks.</w:t>
      </w:r>
    </w:p>
    <w:p w14:paraId="7A25CE96" w14:textId="77777777" w:rsidR="000F5048" w:rsidRDefault="000F5048" w:rsidP="001C603C">
      <w:pPr>
        <w:spacing w:line="480" w:lineRule="auto"/>
        <w:rPr>
          <w:color w:val="000000" w:themeColor="text1"/>
        </w:rPr>
      </w:pPr>
    </w:p>
    <w:p w14:paraId="3E41E176" w14:textId="77777777" w:rsidR="000F5048" w:rsidRPr="004918C8" w:rsidRDefault="000F5048" w:rsidP="001C603C">
      <w:pPr>
        <w:spacing w:line="480" w:lineRule="auto"/>
        <w:rPr>
          <w:color w:val="000000" w:themeColor="text1"/>
        </w:rPr>
      </w:pPr>
    </w:p>
    <w:p w14:paraId="5FFDF3B7" w14:textId="220F5E51" w:rsidR="006A6287" w:rsidRPr="00320ECB" w:rsidRDefault="00FC734E" w:rsidP="00320ECB">
      <w:pPr>
        <w:pStyle w:val="Heading1"/>
        <w:rPr>
          <w:rFonts w:asciiTheme="minorHAnsi" w:hAnsiTheme="minorHAnsi" w:cstheme="minorHAnsi"/>
          <w:b/>
          <w:bCs/>
          <w:color w:val="auto"/>
          <w:sz w:val="24"/>
          <w:szCs w:val="24"/>
        </w:rPr>
      </w:pPr>
      <w:bookmarkStart w:id="13" w:name="_Toc218703998"/>
      <w:r w:rsidRPr="00320ECB">
        <w:rPr>
          <w:rFonts w:asciiTheme="minorHAnsi" w:hAnsiTheme="minorHAnsi" w:cstheme="minorHAnsi"/>
          <w:b/>
          <w:bCs/>
          <w:color w:val="auto"/>
          <w:sz w:val="24"/>
          <w:szCs w:val="24"/>
        </w:rPr>
        <w:lastRenderedPageBreak/>
        <w:t xml:space="preserve">7. </w:t>
      </w:r>
      <w:r w:rsidR="006A6287" w:rsidRPr="00320ECB">
        <w:rPr>
          <w:rFonts w:asciiTheme="minorHAnsi" w:hAnsiTheme="minorHAnsi" w:cstheme="minorHAnsi"/>
          <w:b/>
          <w:bCs/>
          <w:color w:val="auto"/>
          <w:sz w:val="24"/>
          <w:szCs w:val="24"/>
        </w:rPr>
        <w:t>Public–Private Partnerships (PPPs) in Cyber Policing</w:t>
      </w:r>
      <w:r w:rsidR="00C2390F" w:rsidRPr="00320ECB">
        <w:rPr>
          <w:rFonts w:asciiTheme="minorHAnsi" w:hAnsiTheme="minorHAnsi" w:cstheme="minorHAnsi"/>
          <w:b/>
          <w:bCs/>
          <w:color w:val="auto"/>
          <w:sz w:val="24"/>
          <w:szCs w:val="24"/>
        </w:rPr>
        <w:t>: Necessity, Limitations, and Impact</w:t>
      </w:r>
      <w:bookmarkEnd w:id="13"/>
    </w:p>
    <w:p w14:paraId="17957A42" w14:textId="4EF3CCF0" w:rsidR="0001147A" w:rsidRPr="00320ECB" w:rsidRDefault="006326C9" w:rsidP="00320ECB">
      <w:pPr>
        <w:pStyle w:val="Heading1"/>
        <w:rPr>
          <w:rFonts w:asciiTheme="minorHAnsi" w:hAnsiTheme="minorHAnsi" w:cstheme="minorHAnsi"/>
          <w:b/>
          <w:bCs/>
          <w:sz w:val="24"/>
          <w:szCs w:val="24"/>
        </w:rPr>
      </w:pPr>
      <w:bookmarkStart w:id="14" w:name="_Toc218703999"/>
      <w:r w:rsidRPr="00320ECB">
        <w:rPr>
          <w:rFonts w:asciiTheme="minorHAnsi" w:hAnsiTheme="minorHAnsi" w:cstheme="minorHAnsi"/>
          <w:b/>
          <w:bCs/>
          <w:color w:val="auto"/>
          <w:sz w:val="24"/>
          <w:szCs w:val="24"/>
        </w:rPr>
        <w:t>7.1</w:t>
      </w:r>
      <w:r w:rsidR="0030496C" w:rsidRPr="00320ECB">
        <w:rPr>
          <w:rFonts w:asciiTheme="minorHAnsi" w:hAnsiTheme="minorHAnsi" w:cstheme="minorHAnsi"/>
          <w:b/>
          <w:bCs/>
          <w:color w:val="auto"/>
          <w:sz w:val="24"/>
          <w:szCs w:val="24"/>
        </w:rPr>
        <w:t xml:space="preserve"> </w:t>
      </w:r>
      <w:r w:rsidR="0001147A" w:rsidRPr="00320ECB">
        <w:rPr>
          <w:rFonts w:asciiTheme="minorHAnsi" w:hAnsiTheme="minorHAnsi" w:cstheme="minorHAnsi"/>
          <w:b/>
          <w:bCs/>
          <w:color w:val="auto"/>
          <w:sz w:val="24"/>
          <w:szCs w:val="24"/>
        </w:rPr>
        <w:t>Operational</w:t>
      </w:r>
      <w:r w:rsidR="0030496C" w:rsidRPr="00320ECB">
        <w:rPr>
          <w:rFonts w:asciiTheme="minorHAnsi" w:hAnsiTheme="minorHAnsi" w:cstheme="minorHAnsi"/>
          <w:b/>
          <w:bCs/>
          <w:color w:val="auto"/>
          <w:sz w:val="24"/>
          <w:szCs w:val="24"/>
        </w:rPr>
        <w:t xml:space="preserve"> </w:t>
      </w:r>
      <w:r w:rsidR="0001147A" w:rsidRPr="00320ECB">
        <w:rPr>
          <w:rFonts w:asciiTheme="minorHAnsi" w:hAnsiTheme="minorHAnsi" w:cstheme="minorHAnsi"/>
          <w:b/>
          <w:bCs/>
          <w:color w:val="auto"/>
          <w:sz w:val="24"/>
          <w:szCs w:val="24"/>
        </w:rPr>
        <w:t>Capabilities and Strategic Rationale of Public</w:t>
      </w:r>
      <w:r w:rsidR="00320ECB">
        <w:rPr>
          <w:rFonts w:asciiTheme="minorHAnsi" w:hAnsiTheme="minorHAnsi" w:cstheme="minorHAnsi"/>
          <w:b/>
          <w:bCs/>
          <w:color w:val="auto"/>
          <w:sz w:val="24"/>
          <w:szCs w:val="24"/>
        </w:rPr>
        <w:t>-</w:t>
      </w:r>
      <w:r w:rsidR="0001147A" w:rsidRPr="00320ECB">
        <w:rPr>
          <w:rFonts w:asciiTheme="minorHAnsi" w:hAnsiTheme="minorHAnsi" w:cstheme="minorHAnsi"/>
          <w:b/>
          <w:bCs/>
          <w:color w:val="auto"/>
          <w:sz w:val="24"/>
          <w:szCs w:val="24"/>
        </w:rPr>
        <w:t>Private Partnerships</w:t>
      </w:r>
      <w:bookmarkEnd w:id="14"/>
    </w:p>
    <w:p w14:paraId="3A2472C2" w14:textId="30E0112B" w:rsidR="006F13BF" w:rsidRDefault="0005693B" w:rsidP="001C603C">
      <w:pPr>
        <w:spacing w:line="480" w:lineRule="auto"/>
        <w:rPr>
          <w:color w:val="000000" w:themeColor="text1"/>
        </w:rPr>
      </w:pPr>
      <w:r w:rsidRPr="0005693B">
        <w:rPr>
          <w:color w:val="000000" w:themeColor="text1"/>
        </w:rPr>
        <w:t>Rationally, public–private cooperation is necessary because governments often lack the resources and technological agility to counter escalating cyber threats, while private actors frame cybersecurity primarily in financial and reputational terms rather than as a public good</w:t>
      </w:r>
      <w:r>
        <w:rPr>
          <w:color w:val="000000" w:themeColor="text1"/>
        </w:rPr>
        <w:t xml:space="preserve"> (</w:t>
      </w:r>
      <w:r w:rsidRPr="0005693B">
        <w:rPr>
          <w:color w:val="000000" w:themeColor="text1"/>
        </w:rPr>
        <w:t>Broeders</w:t>
      </w:r>
      <w:r>
        <w:rPr>
          <w:color w:val="000000" w:themeColor="text1"/>
        </w:rPr>
        <w:t xml:space="preserve">, 2021: 4). </w:t>
      </w:r>
      <w:r w:rsidRPr="0005693B">
        <w:rPr>
          <w:color w:val="000000" w:themeColor="text1"/>
        </w:rPr>
        <w:t>As most critical infrastructure is privately owned, cooperation becomes inevitable</w:t>
      </w:r>
      <w:r>
        <w:rPr>
          <w:color w:val="000000" w:themeColor="text1"/>
        </w:rPr>
        <w:t xml:space="preserve"> (ibid.).</w:t>
      </w:r>
      <w:r w:rsidRPr="0005693B">
        <w:rPr>
          <w:color w:val="000000" w:themeColor="text1"/>
        </w:rPr>
        <w:t xml:space="preserve"> Consequently, effective cybercrime investigations routinely depend on collaboration with</w:t>
      </w:r>
      <w:r w:rsidR="00880297">
        <w:rPr>
          <w:color w:val="000000" w:themeColor="text1"/>
        </w:rPr>
        <w:t xml:space="preserve"> internet service providers</w:t>
      </w:r>
      <w:r w:rsidRPr="0005693B">
        <w:rPr>
          <w:color w:val="000000" w:themeColor="text1"/>
        </w:rPr>
        <w:t xml:space="preserve"> </w:t>
      </w:r>
      <w:r w:rsidR="00880297">
        <w:rPr>
          <w:color w:val="000000" w:themeColor="text1"/>
        </w:rPr>
        <w:t>(</w:t>
      </w:r>
      <w:r w:rsidRPr="0005693B">
        <w:rPr>
          <w:color w:val="000000" w:themeColor="text1"/>
        </w:rPr>
        <w:t>ISPs</w:t>
      </w:r>
      <w:r w:rsidR="00880297">
        <w:rPr>
          <w:color w:val="000000" w:themeColor="text1"/>
        </w:rPr>
        <w:t>)</w:t>
      </w:r>
      <w:r w:rsidRPr="0005693B">
        <w:rPr>
          <w:color w:val="000000" w:themeColor="text1"/>
        </w:rPr>
        <w:t>, financial institutions, and technology firms, which are deputised to implement policy responsibilities</w:t>
      </w:r>
      <w:r>
        <w:rPr>
          <w:color w:val="000000" w:themeColor="text1"/>
        </w:rPr>
        <w:t xml:space="preserve"> (ibid.). </w:t>
      </w:r>
      <w:r w:rsidR="009814BC" w:rsidRPr="009814BC">
        <w:rPr>
          <w:color w:val="000000" w:themeColor="text1"/>
        </w:rPr>
        <w:t>This highlights that</w:t>
      </w:r>
      <w:r w:rsidR="005A57A2">
        <w:rPr>
          <w:color w:val="000000" w:themeColor="text1"/>
        </w:rPr>
        <w:t>,</w:t>
      </w:r>
      <w:r w:rsidR="009814BC" w:rsidRPr="009814BC">
        <w:rPr>
          <w:color w:val="000000" w:themeColor="text1"/>
        </w:rPr>
        <w:t xml:space="preserve"> the effectiveness of public–private cooperation depends on aligning private sector incentives with public security objectives.</w:t>
      </w:r>
    </w:p>
    <w:p w14:paraId="372160CE" w14:textId="35BE92AF" w:rsidR="0033411B" w:rsidRDefault="0033411B" w:rsidP="001C603C">
      <w:pPr>
        <w:spacing w:line="480" w:lineRule="auto"/>
        <w:rPr>
          <w:color w:val="000000" w:themeColor="text1"/>
        </w:rPr>
      </w:pPr>
      <w:r w:rsidRPr="0033411B">
        <w:rPr>
          <w:color w:val="000000" w:themeColor="text1"/>
        </w:rPr>
        <w:t>From an operational perspective, public–private partnerships (PPPs) facilitate rapid information-sharing and incident response by enabling continuous exchange of operational knowledge, allowing private entities to monitor networks and mitigate risks in real time (</w:t>
      </w:r>
      <w:proofErr w:type="spellStart"/>
      <w:r w:rsidRPr="0033411B">
        <w:rPr>
          <w:color w:val="000000" w:themeColor="text1"/>
        </w:rPr>
        <w:t>Kjaergaard</w:t>
      </w:r>
      <w:proofErr w:type="spellEnd"/>
      <w:r w:rsidRPr="0033411B">
        <w:rPr>
          <w:color w:val="000000" w:themeColor="text1"/>
        </w:rPr>
        <w:t xml:space="preserve"> </w:t>
      </w:r>
      <w:r w:rsidR="00523962">
        <w:rPr>
          <w:color w:val="000000" w:themeColor="text1"/>
        </w:rPr>
        <w:t>and</w:t>
      </w:r>
      <w:r w:rsidRPr="0033411B">
        <w:rPr>
          <w:color w:val="000000" w:themeColor="text1"/>
        </w:rPr>
        <w:t xml:space="preserve"> Petersen, 2017: 22). They provide access to critical expertise and threat intelligence, bridging gaps between public authorities and private sector capabilities (ibid.: 2). By fostering a shared responsibility model, PPPs strengthen collective defence and enable diverse actors to enhance national security resilience (ibid.: 3–5</w:t>
      </w:r>
      <w:r>
        <w:rPr>
          <w:color w:val="000000" w:themeColor="text1"/>
        </w:rPr>
        <w:t>).</w:t>
      </w:r>
      <w:r w:rsidRPr="0033411B">
        <w:t xml:space="preserve"> </w:t>
      </w:r>
      <w:r w:rsidRPr="0033411B">
        <w:rPr>
          <w:color w:val="000000" w:themeColor="text1"/>
        </w:rPr>
        <w:t>This collaboration model is emphasised as essential for the effective management of complex cyber threats.</w:t>
      </w:r>
    </w:p>
    <w:p w14:paraId="6F6B9588" w14:textId="51D7179F" w:rsidR="0097186D" w:rsidRPr="00320ECB" w:rsidRDefault="006326C9" w:rsidP="00320ECB">
      <w:pPr>
        <w:pStyle w:val="Heading1"/>
        <w:rPr>
          <w:rFonts w:asciiTheme="minorHAnsi" w:hAnsiTheme="minorHAnsi" w:cstheme="minorHAnsi"/>
          <w:b/>
          <w:bCs/>
          <w:color w:val="auto"/>
          <w:sz w:val="24"/>
          <w:szCs w:val="24"/>
        </w:rPr>
      </w:pPr>
      <w:bookmarkStart w:id="15" w:name="_Toc218704000"/>
      <w:r w:rsidRPr="00320ECB">
        <w:rPr>
          <w:rFonts w:asciiTheme="minorHAnsi" w:hAnsiTheme="minorHAnsi" w:cstheme="minorHAnsi"/>
          <w:b/>
          <w:bCs/>
          <w:color w:val="auto"/>
          <w:sz w:val="24"/>
          <w:szCs w:val="24"/>
        </w:rPr>
        <w:t xml:space="preserve">7.2 </w:t>
      </w:r>
      <w:r w:rsidR="0097186D" w:rsidRPr="00320ECB">
        <w:rPr>
          <w:rFonts w:asciiTheme="minorHAnsi" w:hAnsiTheme="minorHAnsi" w:cstheme="minorHAnsi"/>
          <w:b/>
          <w:bCs/>
          <w:color w:val="auto"/>
          <w:sz w:val="24"/>
          <w:szCs w:val="24"/>
        </w:rPr>
        <w:t xml:space="preserve">Limitations </w:t>
      </w:r>
      <w:r w:rsidR="00290F33" w:rsidRPr="00320ECB">
        <w:rPr>
          <w:rFonts w:asciiTheme="minorHAnsi" w:hAnsiTheme="minorHAnsi" w:cstheme="minorHAnsi"/>
          <w:b/>
          <w:bCs/>
          <w:color w:val="auto"/>
          <w:sz w:val="24"/>
          <w:szCs w:val="24"/>
        </w:rPr>
        <w:t xml:space="preserve">and </w:t>
      </w:r>
      <w:r w:rsidR="0097186D" w:rsidRPr="00320ECB">
        <w:rPr>
          <w:rFonts w:asciiTheme="minorHAnsi" w:hAnsiTheme="minorHAnsi" w:cstheme="minorHAnsi"/>
          <w:b/>
          <w:bCs/>
          <w:color w:val="auto"/>
          <w:sz w:val="24"/>
          <w:szCs w:val="24"/>
        </w:rPr>
        <w:t>Barriers</w:t>
      </w:r>
      <w:bookmarkEnd w:id="15"/>
    </w:p>
    <w:p w14:paraId="24AC1602" w14:textId="0C4AE735" w:rsidR="00AF7E8A" w:rsidRDefault="00817656" w:rsidP="001C603C">
      <w:pPr>
        <w:spacing w:line="480" w:lineRule="auto"/>
        <w:rPr>
          <w:color w:val="000000" w:themeColor="text1"/>
        </w:rPr>
      </w:pPr>
      <w:r w:rsidRPr="00AF7E8A">
        <w:rPr>
          <w:color w:val="000000" w:themeColor="text1"/>
        </w:rPr>
        <w:t>Commercial confidentiality and misaligned incentives remain significant impediments to effective public–private cooperation. Proprietary products and commercial services often operate as “black boxes,” limiting transparency because customers lack both governance influence and visibility into underlying data (</w:t>
      </w:r>
      <w:proofErr w:type="spellStart"/>
      <w:r w:rsidRPr="00AF7E8A">
        <w:rPr>
          <w:color w:val="000000" w:themeColor="text1"/>
        </w:rPr>
        <w:t>Sedenberg</w:t>
      </w:r>
      <w:proofErr w:type="spellEnd"/>
      <w:r w:rsidRPr="00AF7E8A">
        <w:rPr>
          <w:color w:val="000000" w:themeColor="text1"/>
        </w:rPr>
        <w:t xml:space="preserve"> </w:t>
      </w:r>
      <w:r w:rsidR="0061634D" w:rsidRPr="00AF7E8A">
        <w:rPr>
          <w:color w:val="000000" w:themeColor="text1"/>
        </w:rPr>
        <w:t>and</w:t>
      </w:r>
      <w:r w:rsidRPr="00AF7E8A">
        <w:rPr>
          <w:color w:val="000000" w:themeColor="text1"/>
        </w:rPr>
        <w:t xml:space="preserve"> Dempsey, 201</w:t>
      </w:r>
      <w:r w:rsidR="00AF7E8A">
        <w:rPr>
          <w:color w:val="000000" w:themeColor="text1"/>
        </w:rPr>
        <w:t>8</w:t>
      </w:r>
      <w:r w:rsidRPr="00AF7E8A">
        <w:rPr>
          <w:color w:val="000000" w:themeColor="text1"/>
        </w:rPr>
        <w:t>:</w:t>
      </w:r>
      <w:r w:rsidR="007217FF">
        <w:rPr>
          <w:color w:val="000000" w:themeColor="text1"/>
        </w:rPr>
        <w:t xml:space="preserve"> </w:t>
      </w:r>
      <w:r w:rsidRPr="00AF7E8A">
        <w:rPr>
          <w:color w:val="000000" w:themeColor="text1"/>
        </w:rPr>
        <w:t xml:space="preserve">18). In terms of incentives, the authors contrast the federal government’s public-good perspective with the private sector’s tendency toward underinvestment in shared security efforts (ibid.: 7). Moreover, existing frameworks provide weak </w:t>
      </w:r>
      <w:r w:rsidRPr="00AF7E8A">
        <w:rPr>
          <w:color w:val="000000" w:themeColor="text1"/>
        </w:rPr>
        <w:lastRenderedPageBreak/>
        <w:t>incentives that fail to outweigh the reputational risks and administrative burdens associated with sharing information with government actors (ibid.: 10).</w:t>
      </w:r>
      <w:r w:rsidR="00AF7E8A" w:rsidRPr="00AF7E8A">
        <w:rPr>
          <w:rFonts w:ascii="Times New Roman" w:eastAsia="Times New Roman" w:hAnsi="Times New Roman" w:cs="Times New Roman"/>
          <w:kern w:val="0"/>
          <w:sz w:val="24"/>
          <w:szCs w:val="24"/>
          <w:lang w:eastAsia="en-GB"/>
          <w14:ligatures w14:val="none"/>
        </w:rPr>
        <w:t xml:space="preserve"> </w:t>
      </w:r>
      <w:r w:rsidR="00AF7E8A" w:rsidRPr="00AF7E8A">
        <w:rPr>
          <w:color w:val="000000" w:themeColor="text1"/>
        </w:rPr>
        <w:t>This assessment, drawn from the United Sates context, highlights structural challenges that are likely transferable to other jurisdictions where similar public–private dynamics exist.</w:t>
      </w:r>
    </w:p>
    <w:p w14:paraId="48B6DA23" w14:textId="77777777" w:rsidR="00290F33" w:rsidRDefault="00DB7B60" w:rsidP="001C603C">
      <w:pPr>
        <w:spacing w:line="480" w:lineRule="auto"/>
        <w:rPr>
          <w:color w:val="000000" w:themeColor="text1"/>
        </w:rPr>
      </w:pPr>
      <w:r w:rsidRPr="00DB7B60">
        <w:rPr>
          <w:color w:val="000000" w:themeColor="text1"/>
        </w:rPr>
        <w:t>Furthermore, the public–private partnership is described as “uniquely problematic” because it operates without clear lines of responsibility or accountability, driven by the private sector’s aversion to liability and politicians’ reluctance to regulate (Carr, 2016: 43). Consequently, concerns arise about the state effectively “abdicating responsibility for national security” to private companies that frame cybersecurity challenges primarily in financial and reputational terms rather than as a public good (ibid.: 44). This highlights the inherent power imbalances in PPPs, where private actors may dominate decision-making and priority-setting.</w:t>
      </w:r>
    </w:p>
    <w:p w14:paraId="36CA5BBB" w14:textId="05AD2EC4" w:rsidR="00A065EC" w:rsidRPr="00320ECB" w:rsidRDefault="00965ED1" w:rsidP="00320ECB">
      <w:pPr>
        <w:pStyle w:val="Heading1"/>
        <w:rPr>
          <w:rFonts w:asciiTheme="minorHAnsi" w:hAnsiTheme="minorHAnsi" w:cstheme="minorHAnsi"/>
          <w:b/>
          <w:bCs/>
          <w:color w:val="auto"/>
          <w:sz w:val="24"/>
          <w:szCs w:val="24"/>
        </w:rPr>
      </w:pPr>
      <w:r w:rsidRPr="00320ECB">
        <w:rPr>
          <w:rFonts w:asciiTheme="minorHAnsi" w:hAnsiTheme="minorHAnsi" w:cstheme="minorHAnsi"/>
          <w:b/>
          <w:bCs/>
          <w:color w:val="auto"/>
          <w:sz w:val="24"/>
          <w:szCs w:val="24"/>
        </w:rPr>
        <w:t xml:space="preserve"> </w:t>
      </w:r>
      <w:bookmarkStart w:id="16" w:name="_Toc218704001"/>
      <w:r w:rsidR="006326C9" w:rsidRPr="00320ECB">
        <w:rPr>
          <w:rFonts w:asciiTheme="minorHAnsi" w:hAnsiTheme="minorHAnsi" w:cstheme="minorHAnsi"/>
          <w:b/>
          <w:bCs/>
          <w:color w:val="auto"/>
          <w:sz w:val="24"/>
          <w:szCs w:val="24"/>
        </w:rPr>
        <w:t xml:space="preserve">7.3 </w:t>
      </w:r>
      <w:r w:rsidR="00A065EC" w:rsidRPr="00320ECB">
        <w:rPr>
          <w:rFonts w:asciiTheme="minorHAnsi" w:hAnsiTheme="minorHAnsi" w:cstheme="minorHAnsi"/>
          <w:b/>
          <w:bCs/>
          <w:color w:val="auto"/>
          <w:sz w:val="24"/>
          <w:szCs w:val="24"/>
        </w:rPr>
        <w:t>Effectiveness by Crime Type</w:t>
      </w:r>
      <w:bookmarkEnd w:id="16"/>
    </w:p>
    <w:p w14:paraId="4BE6F567" w14:textId="4113D33B" w:rsidR="00A065EC" w:rsidRDefault="00AD1B64" w:rsidP="001C603C">
      <w:pPr>
        <w:spacing w:line="480" w:lineRule="auto"/>
        <w:rPr>
          <w:color w:val="000000" w:themeColor="text1"/>
        </w:rPr>
      </w:pPr>
      <w:r>
        <w:rPr>
          <w:color w:val="000000" w:themeColor="text1"/>
        </w:rPr>
        <w:t xml:space="preserve"> </w:t>
      </w:r>
      <w:r w:rsidRPr="00F72E57">
        <w:rPr>
          <w:color w:val="000000" w:themeColor="text1"/>
        </w:rPr>
        <w:t>Public–private partnerships (PPPs) demonstrate varying effectiveness across crime types. In relation to fraud, the financial sector shows the strongest PPP</w:t>
      </w:r>
      <w:r w:rsidR="00F72E57" w:rsidRPr="00F72E57">
        <w:rPr>
          <w:color w:val="000000" w:themeColor="text1"/>
        </w:rPr>
        <w:t>s</w:t>
      </w:r>
      <w:r w:rsidRPr="00F72E57">
        <w:rPr>
          <w:color w:val="000000" w:themeColor="text1"/>
        </w:rPr>
        <w:t xml:space="preserve"> outcomes, using platforms such as the Mule Insights Tactical Solution to swiftly identify and freeze stolen funds while sharing intelligence on money-laundering networks (Dawda et al, 2020: 15). By contrast, technical interventions against ransomware, including botnet takedowns, tend to deliver only a “short-term soothing effect” by disrupting infrastructure without addressing underlying drivers (ibid.: 11). Similarly, mitigating data breaches remains highly dependent on overcoming reporting barriers and achieving effective cross-sector coordination (ibid.: 2). This</w:t>
      </w:r>
      <w:r w:rsidR="00F72E57" w:rsidRPr="00F72E57">
        <w:rPr>
          <w:color w:val="000000" w:themeColor="text1"/>
        </w:rPr>
        <w:t xml:space="preserve"> shows</w:t>
      </w:r>
      <w:r w:rsidRPr="00F72E57">
        <w:rPr>
          <w:color w:val="000000" w:themeColor="text1"/>
        </w:rPr>
        <w:t xml:space="preserve"> that</w:t>
      </w:r>
      <w:r w:rsidR="00F72E57" w:rsidRPr="00F72E57">
        <w:rPr>
          <w:color w:val="000000" w:themeColor="text1"/>
        </w:rPr>
        <w:t>,</w:t>
      </w:r>
      <w:r w:rsidRPr="00F72E57">
        <w:rPr>
          <w:color w:val="000000" w:themeColor="text1"/>
        </w:rPr>
        <w:t xml:space="preserve"> PPP</w:t>
      </w:r>
      <w:r w:rsidR="00F72E57" w:rsidRPr="00F72E57">
        <w:rPr>
          <w:color w:val="000000" w:themeColor="text1"/>
        </w:rPr>
        <w:t>s</w:t>
      </w:r>
      <w:r w:rsidRPr="00F72E57">
        <w:rPr>
          <w:color w:val="000000" w:themeColor="text1"/>
        </w:rPr>
        <w:t xml:space="preserve"> effectiveness is uneven and contingent on sector-specific cooperation and reporting incentives.</w:t>
      </w:r>
    </w:p>
    <w:p w14:paraId="37F73615" w14:textId="56213F36" w:rsidR="007977F7" w:rsidRPr="00320ECB" w:rsidRDefault="00F85EAC" w:rsidP="00320ECB">
      <w:pPr>
        <w:spacing w:line="480" w:lineRule="auto"/>
        <w:rPr>
          <w:color w:val="000000" w:themeColor="text1"/>
        </w:rPr>
      </w:pPr>
      <w:r w:rsidRPr="004918C8">
        <w:rPr>
          <w:color w:val="000000" w:themeColor="text1"/>
        </w:rPr>
        <w:t>These findings show Public–private partnerships (PPPs) are indispensable to cyber policing but remain under-formalised and unevenly governed. Strengthening statutory cooperation frameworks, mandating cyber-incident reporting, and establishing national-level joint operations centres would enhance accountability, coordination, and long-term effectiveness</w:t>
      </w:r>
      <w:r w:rsidR="00523962" w:rsidRPr="004918C8">
        <w:rPr>
          <w:color w:val="000000" w:themeColor="text1"/>
        </w:rPr>
        <w:t>.</w:t>
      </w:r>
    </w:p>
    <w:p w14:paraId="6CD6C380" w14:textId="20E1EB9C" w:rsidR="007977F7" w:rsidRPr="00320ECB" w:rsidRDefault="00FC734E" w:rsidP="00320ECB">
      <w:pPr>
        <w:pStyle w:val="Heading1"/>
        <w:rPr>
          <w:rFonts w:asciiTheme="minorHAnsi" w:hAnsiTheme="minorHAnsi" w:cstheme="minorHAnsi"/>
          <w:b/>
          <w:bCs/>
          <w:color w:val="auto"/>
          <w:sz w:val="24"/>
          <w:szCs w:val="24"/>
        </w:rPr>
      </w:pPr>
      <w:bookmarkStart w:id="17" w:name="_Toc218704002"/>
      <w:r w:rsidRPr="00320ECB">
        <w:rPr>
          <w:rFonts w:asciiTheme="minorHAnsi" w:hAnsiTheme="minorHAnsi" w:cstheme="minorHAnsi"/>
          <w:b/>
          <w:bCs/>
          <w:color w:val="auto"/>
          <w:sz w:val="24"/>
          <w:szCs w:val="24"/>
        </w:rPr>
        <w:lastRenderedPageBreak/>
        <w:t>8.</w:t>
      </w:r>
      <w:r w:rsidR="00E975DB" w:rsidRPr="00320ECB">
        <w:rPr>
          <w:rFonts w:asciiTheme="minorHAnsi" w:hAnsiTheme="minorHAnsi" w:cstheme="minorHAnsi"/>
          <w:b/>
          <w:bCs/>
          <w:color w:val="auto"/>
          <w:sz w:val="24"/>
          <w:szCs w:val="24"/>
        </w:rPr>
        <w:t xml:space="preserve"> </w:t>
      </w:r>
      <w:r w:rsidR="007977F7" w:rsidRPr="00320ECB">
        <w:rPr>
          <w:rFonts w:asciiTheme="minorHAnsi" w:hAnsiTheme="minorHAnsi" w:cstheme="minorHAnsi"/>
          <w:b/>
          <w:bCs/>
          <w:color w:val="auto"/>
          <w:sz w:val="24"/>
          <w:szCs w:val="24"/>
        </w:rPr>
        <w:t>Innovative, Evidence-Based Measures to</w:t>
      </w:r>
      <w:r w:rsidR="00A14DAE" w:rsidRPr="00320ECB">
        <w:rPr>
          <w:rFonts w:asciiTheme="minorHAnsi" w:hAnsiTheme="minorHAnsi" w:cstheme="minorHAnsi"/>
          <w:b/>
          <w:bCs/>
          <w:color w:val="auto"/>
          <w:sz w:val="24"/>
          <w:szCs w:val="24"/>
        </w:rPr>
        <w:t xml:space="preserve"> </w:t>
      </w:r>
      <w:r w:rsidR="00D54AB0" w:rsidRPr="00320ECB">
        <w:rPr>
          <w:rFonts w:asciiTheme="minorHAnsi" w:hAnsiTheme="minorHAnsi" w:cstheme="minorHAnsi"/>
          <w:b/>
          <w:bCs/>
          <w:color w:val="auto"/>
          <w:sz w:val="24"/>
          <w:szCs w:val="24"/>
        </w:rPr>
        <w:t>Enhance Cyber Policing Effectiveness</w:t>
      </w:r>
      <w:bookmarkEnd w:id="17"/>
      <w:r w:rsidR="00FA5359" w:rsidRPr="00320ECB">
        <w:rPr>
          <w:rFonts w:asciiTheme="minorHAnsi" w:hAnsiTheme="minorHAnsi" w:cstheme="minorHAnsi"/>
          <w:b/>
          <w:bCs/>
          <w:color w:val="auto"/>
          <w:sz w:val="24"/>
          <w:szCs w:val="24"/>
        </w:rPr>
        <w:t xml:space="preserve"> </w:t>
      </w:r>
    </w:p>
    <w:p w14:paraId="2ECE44A8" w14:textId="5273A71B" w:rsidR="00B15875" w:rsidRDefault="00B15875" w:rsidP="001C603C">
      <w:pPr>
        <w:spacing w:line="480" w:lineRule="auto"/>
        <w:rPr>
          <w:color w:val="EE0000"/>
        </w:rPr>
      </w:pPr>
      <w:r w:rsidRPr="00B15875">
        <w:rPr>
          <w:color w:val="000000" w:themeColor="text1"/>
        </w:rPr>
        <w:t>To enhance cybercrime prevention, evidence-based innovations emphasise integrating Artificial Intelligence (AI) and Machine Learning (ML) models, such as BERT and Convolutional Neural Networks (CNNs), to automate threat detection and improve accuracy</w:t>
      </w:r>
      <w:r w:rsidR="00B56867">
        <w:rPr>
          <w:color w:val="000000" w:themeColor="text1"/>
        </w:rPr>
        <w:t xml:space="preserve"> (Santos et al, 2025</w:t>
      </w:r>
      <w:r w:rsidR="00572862">
        <w:rPr>
          <w:color w:val="000000" w:themeColor="text1"/>
        </w:rPr>
        <w:t>b</w:t>
      </w:r>
      <w:r w:rsidR="00B56867">
        <w:rPr>
          <w:color w:val="000000" w:themeColor="text1"/>
        </w:rPr>
        <w:t>: 2, 10).</w:t>
      </w:r>
      <w:r w:rsidRPr="00B15875">
        <w:rPr>
          <w:color w:val="000000" w:themeColor="text1"/>
        </w:rPr>
        <w:t xml:space="preserve"> Blockchain-enabled architectures are proposed to support secure, decentralised intelligence sharing and data integrity. Additionally, automating Open-Source Intelligence (OSINT) and deploying hybrid systems combining honeypots with SIEM platforms can strengthen situational awareness and enable proactive threat mitigation</w:t>
      </w:r>
      <w:r w:rsidR="00B56867">
        <w:rPr>
          <w:color w:val="EE0000"/>
        </w:rPr>
        <w:t xml:space="preserve"> </w:t>
      </w:r>
      <w:r w:rsidR="00B56867" w:rsidRPr="00B56867">
        <w:rPr>
          <w:color w:val="000000" w:themeColor="text1"/>
        </w:rPr>
        <w:t>(ibid</w:t>
      </w:r>
      <w:r w:rsidR="00B56867" w:rsidRPr="00F916E1">
        <w:rPr>
          <w:color w:val="000000" w:themeColor="text1"/>
        </w:rPr>
        <w:t>.).</w:t>
      </w:r>
      <w:r w:rsidR="00F916E1" w:rsidRPr="00F916E1">
        <w:rPr>
          <w:color w:val="000000" w:themeColor="text1"/>
        </w:rPr>
        <w:t xml:space="preserve"> </w:t>
      </w:r>
      <w:r w:rsidR="00931940" w:rsidRPr="00931940">
        <w:rPr>
          <w:color w:val="000000" w:themeColor="text1"/>
        </w:rPr>
        <w:t>This demonstrates that</w:t>
      </w:r>
      <w:r w:rsidR="00931940">
        <w:rPr>
          <w:color w:val="000000" w:themeColor="text1"/>
        </w:rPr>
        <w:t>,</w:t>
      </w:r>
      <w:r w:rsidR="00931940" w:rsidRPr="00931940">
        <w:rPr>
          <w:color w:val="000000" w:themeColor="text1"/>
        </w:rPr>
        <w:t xml:space="preserve"> the strategic deployment of emerging technologies is central to shifting cybercrime responses from reactive investigation toward proactive prevention.</w:t>
      </w:r>
    </w:p>
    <w:p w14:paraId="71D3EBA9" w14:textId="67B64331" w:rsidR="00950619" w:rsidRDefault="00931940" w:rsidP="001C603C">
      <w:pPr>
        <w:spacing w:line="480" w:lineRule="auto"/>
        <w:rPr>
          <w:color w:val="000000" w:themeColor="text1"/>
        </w:rPr>
      </w:pPr>
      <w:r w:rsidRPr="00931940">
        <w:rPr>
          <w:color w:val="000000" w:themeColor="text1"/>
        </w:rPr>
        <w:t>To further enhance effectiveness in combating cybercrime, Casino et al. (2022: 4) highlight the EU e-Evidence initiative and the CLOUD Act, which enable direct cooperation with service providers and impose strict response deadlines of 10 days, or 6 hours in emergency cases. In addition, the authors propose decentralised, blockchain-based platforms to support secure, auditable, and trusted evidence exchange, thereby reducing reliance on centralised systems and mitigating associated risks.</w:t>
      </w:r>
      <w:r w:rsidR="00A918D2">
        <w:rPr>
          <w:color w:val="000000" w:themeColor="text1"/>
        </w:rPr>
        <w:t xml:space="preserve"> (ibid.: 8). </w:t>
      </w:r>
      <w:r w:rsidRPr="00931940">
        <w:rPr>
          <w:color w:val="000000" w:themeColor="text1"/>
        </w:rPr>
        <w:t>Collectively, these measures reinforce a shift toward faster, technology-enabled, and more proactive cybercrime enforcement.</w:t>
      </w:r>
    </w:p>
    <w:p w14:paraId="3854A15A" w14:textId="58A0675E" w:rsidR="00636091" w:rsidRDefault="00636091" w:rsidP="001C603C">
      <w:pPr>
        <w:spacing w:line="480" w:lineRule="auto"/>
        <w:rPr>
          <w:color w:val="000000" w:themeColor="text1"/>
        </w:rPr>
      </w:pPr>
      <w:r w:rsidRPr="005D4504">
        <w:rPr>
          <w:color w:val="000000" w:themeColor="text1"/>
        </w:rPr>
        <w:t>Complementing these approaches, evidence-based interventions aligned with the Beating Crime Plan target cyber threats through innovation and strategic collaboration (Home Office, 2023).  Regional Cyber Resilience Centres partner with academia and the private sector to safeguard businesses, while automated digital forensics and mobile kiosks accelerate evidence extraction. A new national fraud reporting system enhances intelligence gathering, demonstrating how innovative, evidence-based measures can improve operational effectiveness and ensure a more coordinated, technology-driven response to cybercrime (ibid.).</w:t>
      </w:r>
    </w:p>
    <w:p w14:paraId="6292DF8A" w14:textId="77777777" w:rsidR="00150817" w:rsidRPr="00E975DB" w:rsidRDefault="00150817" w:rsidP="00D30A9B">
      <w:pPr>
        <w:jc w:val="both"/>
        <w:rPr>
          <w:b/>
          <w:bCs/>
          <w:color w:val="000000" w:themeColor="text1"/>
          <w:sz w:val="28"/>
          <w:szCs w:val="28"/>
        </w:rPr>
      </w:pPr>
    </w:p>
    <w:p w14:paraId="27668CB9" w14:textId="2BED1BD8" w:rsidR="00150817" w:rsidRPr="00320ECB" w:rsidRDefault="006F134C" w:rsidP="00320ECB">
      <w:pPr>
        <w:pStyle w:val="Heading1"/>
        <w:rPr>
          <w:rFonts w:asciiTheme="minorHAnsi" w:hAnsiTheme="minorHAnsi" w:cstheme="minorHAnsi"/>
          <w:b/>
          <w:bCs/>
          <w:color w:val="auto"/>
          <w:sz w:val="24"/>
          <w:szCs w:val="24"/>
        </w:rPr>
      </w:pPr>
      <w:bookmarkStart w:id="18" w:name="_Toc218704003"/>
      <w:r w:rsidRPr="00320ECB">
        <w:rPr>
          <w:rFonts w:asciiTheme="minorHAnsi" w:hAnsiTheme="minorHAnsi" w:cstheme="minorHAnsi"/>
          <w:b/>
          <w:bCs/>
          <w:color w:val="auto"/>
          <w:sz w:val="24"/>
          <w:szCs w:val="24"/>
        </w:rPr>
        <w:lastRenderedPageBreak/>
        <w:t xml:space="preserve">9. </w:t>
      </w:r>
      <w:r w:rsidR="00150817" w:rsidRPr="00320ECB">
        <w:rPr>
          <w:rFonts w:asciiTheme="minorHAnsi" w:hAnsiTheme="minorHAnsi" w:cstheme="minorHAnsi"/>
          <w:b/>
          <w:bCs/>
          <w:color w:val="auto"/>
          <w:sz w:val="24"/>
          <w:szCs w:val="24"/>
        </w:rPr>
        <w:t>Conclusion</w:t>
      </w:r>
      <w:bookmarkEnd w:id="18"/>
      <w:r w:rsidR="00150817" w:rsidRPr="00320ECB">
        <w:rPr>
          <w:rFonts w:asciiTheme="minorHAnsi" w:hAnsiTheme="minorHAnsi" w:cstheme="minorHAnsi"/>
          <w:b/>
          <w:bCs/>
          <w:color w:val="auto"/>
          <w:sz w:val="24"/>
          <w:szCs w:val="24"/>
        </w:rPr>
        <w:t xml:space="preserve"> </w:t>
      </w:r>
    </w:p>
    <w:p w14:paraId="271BCA3F" w14:textId="14B4D71E" w:rsidR="0085310A" w:rsidRDefault="00701E6C" w:rsidP="001C603C">
      <w:pPr>
        <w:spacing w:line="480" w:lineRule="auto"/>
        <w:rPr>
          <w:color w:val="000000" w:themeColor="text1"/>
        </w:rPr>
      </w:pPr>
      <w:r w:rsidRPr="00701E6C">
        <w:rPr>
          <w:color w:val="000000" w:themeColor="text1"/>
        </w:rPr>
        <w:t>This report has demonstrated that</w:t>
      </w:r>
      <w:r>
        <w:rPr>
          <w:color w:val="000000" w:themeColor="text1"/>
        </w:rPr>
        <w:t>,</w:t>
      </w:r>
      <w:r w:rsidRPr="00701E6C">
        <w:rPr>
          <w:color w:val="000000" w:themeColor="text1"/>
        </w:rPr>
        <w:t xml:space="preserve"> contemporary policing responses to cybercrime remain constrained by structural, technical, and organisational limitations, despite advances in digital forensics, threat intelligence, and public–private partnerships. Digital forensics continues to underpin investigative legitimacy but is largely reactive, resource-intensive and increasingly undermined by encryption, cloud environments, and capacity backlogs. Threat intelligence offers greater preventative potential by enhancing situational awareness and enabling proactive disruption; however, its effectiveness is weakened by fragmentation, data quality issues and inconsistent intelligence sharing. Public</w:t>
      </w:r>
      <w:r w:rsidR="004A16DA">
        <w:rPr>
          <w:color w:val="000000" w:themeColor="text1"/>
        </w:rPr>
        <w:t>-</w:t>
      </w:r>
      <w:r w:rsidRPr="00701E6C">
        <w:rPr>
          <w:color w:val="000000" w:themeColor="text1"/>
        </w:rPr>
        <w:t>private partnerships are indispensable given private sector control over critical infrastructure, yet remain uneven, under-regulated, and hindered by misaligned incentives and accountability gaps. Overall, current cyber-policing frameworks struggle to match the speed and adaptability of cyber adversaries. Improving effectiveness therefore requires nationally standardised forensic processes, legally mandated intelligence sharing, enhanced specialist training and the strategic integration of AI-driven, evidence-based innovations to shift responses from reactive investigation toward proactive prevention.</w:t>
      </w:r>
    </w:p>
    <w:p w14:paraId="044762D0" w14:textId="77777777" w:rsidR="00A2508B" w:rsidRDefault="00A2508B" w:rsidP="009F173A">
      <w:pPr>
        <w:spacing w:line="480" w:lineRule="auto"/>
        <w:jc w:val="both"/>
        <w:rPr>
          <w:b/>
          <w:bCs/>
          <w:color w:val="000000" w:themeColor="text1"/>
          <w:sz w:val="28"/>
          <w:szCs w:val="28"/>
        </w:rPr>
      </w:pPr>
    </w:p>
    <w:p w14:paraId="37FBCB1E" w14:textId="77777777" w:rsidR="001E531C" w:rsidRDefault="001E531C" w:rsidP="009F173A">
      <w:pPr>
        <w:spacing w:line="480" w:lineRule="auto"/>
        <w:jc w:val="both"/>
        <w:rPr>
          <w:b/>
          <w:bCs/>
          <w:color w:val="000000" w:themeColor="text1"/>
          <w:sz w:val="28"/>
          <w:szCs w:val="28"/>
        </w:rPr>
      </w:pPr>
    </w:p>
    <w:p w14:paraId="4F0102E5" w14:textId="77777777" w:rsidR="001E531C" w:rsidRDefault="001E531C" w:rsidP="009F173A">
      <w:pPr>
        <w:spacing w:line="480" w:lineRule="auto"/>
        <w:jc w:val="both"/>
        <w:rPr>
          <w:b/>
          <w:bCs/>
          <w:color w:val="000000" w:themeColor="text1"/>
          <w:sz w:val="28"/>
          <w:szCs w:val="28"/>
        </w:rPr>
      </w:pPr>
    </w:p>
    <w:p w14:paraId="42E23288" w14:textId="77777777" w:rsidR="001E531C" w:rsidRDefault="001E531C" w:rsidP="009F173A">
      <w:pPr>
        <w:spacing w:line="480" w:lineRule="auto"/>
        <w:jc w:val="both"/>
        <w:rPr>
          <w:b/>
          <w:bCs/>
          <w:color w:val="000000" w:themeColor="text1"/>
          <w:sz w:val="28"/>
          <w:szCs w:val="28"/>
        </w:rPr>
      </w:pPr>
    </w:p>
    <w:p w14:paraId="34BBBB94" w14:textId="77777777" w:rsidR="001E531C" w:rsidRDefault="001E531C" w:rsidP="009F173A">
      <w:pPr>
        <w:spacing w:line="480" w:lineRule="auto"/>
        <w:jc w:val="both"/>
        <w:rPr>
          <w:b/>
          <w:bCs/>
          <w:color w:val="000000" w:themeColor="text1"/>
          <w:sz w:val="28"/>
          <w:szCs w:val="28"/>
        </w:rPr>
      </w:pPr>
    </w:p>
    <w:p w14:paraId="0087B568" w14:textId="77777777" w:rsidR="00320ECB" w:rsidRDefault="00320ECB" w:rsidP="009F173A">
      <w:pPr>
        <w:spacing w:line="480" w:lineRule="auto"/>
        <w:jc w:val="both"/>
        <w:rPr>
          <w:b/>
          <w:bCs/>
          <w:color w:val="000000" w:themeColor="text1"/>
          <w:sz w:val="28"/>
          <w:szCs w:val="28"/>
        </w:rPr>
      </w:pPr>
    </w:p>
    <w:p w14:paraId="2D570143" w14:textId="77777777" w:rsidR="001E531C" w:rsidRPr="00E975DB" w:rsidRDefault="001E531C" w:rsidP="009F173A">
      <w:pPr>
        <w:spacing w:line="480" w:lineRule="auto"/>
        <w:jc w:val="both"/>
        <w:rPr>
          <w:b/>
          <w:bCs/>
          <w:color w:val="000000" w:themeColor="text1"/>
          <w:sz w:val="28"/>
          <w:szCs w:val="28"/>
        </w:rPr>
      </w:pPr>
    </w:p>
    <w:p w14:paraId="0CE0CFC4" w14:textId="278F43E2" w:rsidR="001E531C" w:rsidRPr="00320ECB" w:rsidRDefault="006F134C" w:rsidP="00320ECB">
      <w:pPr>
        <w:pStyle w:val="Heading1"/>
        <w:rPr>
          <w:rFonts w:asciiTheme="minorHAnsi" w:hAnsiTheme="minorHAnsi" w:cstheme="minorHAnsi"/>
          <w:b/>
          <w:bCs/>
          <w:color w:val="auto"/>
          <w:sz w:val="24"/>
          <w:szCs w:val="24"/>
        </w:rPr>
      </w:pPr>
      <w:bookmarkStart w:id="19" w:name="_Toc218704004"/>
      <w:r w:rsidRPr="00320ECB">
        <w:rPr>
          <w:rFonts w:asciiTheme="minorHAnsi" w:hAnsiTheme="minorHAnsi" w:cstheme="minorHAnsi"/>
          <w:b/>
          <w:bCs/>
          <w:color w:val="auto"/>
          <w:sz w:val="24"/>
          <w:szCs w:val="24"/>
        </w:rPr>
        <w:lastRenderedPageBreak/>
        <w:t xml:space="preserve">10. </w:t>
      </w:r>
      <w:r w:rsidR="00A2508B" w:rsidRPr="00320ECB">
        <w:rPr>
          <w:rFonts w:asciiTheme="minorHAnsi" w:hAnsiTheme="minorHAnsi" w:cstheme="minorHAnsi"/>
          <w:b/>
          <w:bCs/>
          <w:color w:val="auto"/>
          <w:sz w:val="24"/>
          <w:szCs w:val="24"/>
        </w:rPr>
        <w:t>Bibliography</w:t>
      </w:r>
      <w:bookmarkEnd w:id="19"/>
      <w:r w:rsidR="00A2508B" w:rsidRPr="00320ECB">
        <w:rPr>
          <w:rFonts w:asciiTheme="minorHAnsi" w:hAnsiTheme="minorHAnsi" w:cstheme="minorHAnsi"/>
          <w:b/>
          <w:bCs/>
          <w:color w:val="auto"/>
          <w:sz w:val="24"/>
          <w:szCs w:val="24"/>
        </w:rPr>
        <w:t xml:space="preserve"> </w:t>
      </w:r>
    </w:p>
    <w:p w14:paraId="437F19E5" w14:textId="77777777" w:rsidR="00A2508B" w:rsidRPr="00A2508B" w:rsidRDefault="00A2508B" w:rsidP="001C603C">
      <w:pPr>
        <w:rPr>
          <w:color w:val="000000" w:themeColor="text1"/>
          <w:lang w:val="en-US"/>
        </w:rPr>
      </w:pPr>
      <w:proofErr w:type="spellStart"/>
      <w:r w:rsidRPr="00A2508B">
        <w:rPr>
          <w:color w:val="000000" w:themeColor="text1"/>
          <w:lang w:val="en-US"/>
        </w:rPr>
        <w:t>Barczentewicz</w:t>
      </w:r>
      <w:proofErr w:type="spellEnd"/>
      <w:r w:rsidRPr="00A2508B">
        <w:rPr>
          <w:color w:val="000000" w:themeColor="text1"/>
          <w:lang w:val="en-US"/>
        </w:rPr>
        <w:t xml:space="preserve">, M. (2025). </w:t>
      </w:r>
      <w:r w:rsidRPr="00A2508B">
        <w:rPr>
          <w:i/>
          <w:iCs/>
          <w:color w:val="000000" w:themeColor="text1"/>
          <w:lang w:val="en-US"/>
        </w:rPr>
        <w:t>ICLE Comments on the Interplay between DMA and GDPR EXECUTIVE SUMMARY</w:t>
      </w:r>
      <w:r w:rsidRPr="00A2508B">
        <w:rPr>
          <w:color w:val="000000" w:themeColor="text1"/>
          <w:lang w:val="en-US"/>
        </w:rPr>
        <w:t xml:space="preserve">. [online] Available at: </w:t>
      </w:r>
      <w:hyperlink r:id="rId9" w:history="1">
        <w:r w:rsidRPr="00A2508B">
          <w:rPr>
            <w:rStyle w:val="Hyperlink"/>
            <w:color w:val="000000" w:themeColor="text1"/>
            <w:lang w:val="en-US"/>
          </w:rPr>
          <w:t>https://laweconcenter.org/resources/icle-comments-on-the-interplay-between-dma-and-gdpr/</w:t>
        </w:r>
      </w:hyperlink>
      <w:r w:rsidRPr="00A2508B">
        <w:rPr>
          <w:color w:val="000000" w:themeColor="text1"/>
          <w:lang w:val="en-US"/>
        </w:rPr>
        <w:t xml:space="preserve"> [Accessed 12 Dec. 2025].</w:t>
      </w:r>
    </w:p>
    <w:p w14:paraId="7E1151DC" w14:textId="77777777" w:rsidR="00A2508B" w:rsidRPr="00A2508B" w:rsidRDefault="00A2508B" w:rsidP="001C603C">
      <w:pPr>
        <w:rPr>
          <w:color w:val="000000" w:themeColor="text1"/>
          <w:lang w:val="fr-FR"/>
        </w:rPr>
      </w:pPr>
      <w:r w:rsidRPr="00A2508B">
        <w:rPr>
          <w:color w:val="000000" w:themeColor="text1"/>
          <w:lang w:val="en-US"/>
        </w:rPr>
        <w:t xml:space="preserve">Batrachenko, T., Lehan, I., </w:t>
      </w:r>
      <w:proofErr w:type="spellStart"/>
      <w:r w:rsidRPr="00A2508B">
        <w:rPr>
          <w:color w:val="000000" w:themeColor="text1"/>
          <w:lang w:val="en-US"/>
        </w:rPr>
        <w:t>Kuchmenko</w:t>
      </w:r>
      <w:proofErr w:type="spellEnd"/>
      <w:r w:rsidRPr="00A2508B">
        <w:rPr>
          <w:color w:val="000000" w:themeColor="text1"/>
          <w:lang w:val="en-US"/>
        </w:rPr>
        <w:t xml:space="preserve">, V., Kovalchuk, V. and Mazurenko, O. (2024). Cybercrime in the context of the digital age: analysis of threats, legal challenges and strategies. </w:t>
      </w:r>
      <w:proofErr w:type="spellStart"/>
      <w:r w:rsidRPr="00A2508B">
        <w:rPr>
          <w:i/>
          <w:iCs/>
          <w:color w:val="000000" w:themeColor="text1"/>
          <w:lang w:val="fr-FR"/>
        </w:rPr>
        <w:t>Multidisciplinary</w:t>
      </w:r>
      <w:proofErr w:type="spellEnd"/>
      <w:r w:rsidRPr="00A2508B">
        <w:rPr>
          <w:i/>
          <w:iCs/>
          <w:color w:val="000000" w:themeColor="text1"/>
          <w:lang w:val="fr-FR"/>
        </w:rPr>
        <w:t xml:space="preserve"> Science Journal</w:t>
      </w:r>
      <w:r w:rsidRPr="00A2508B">
        <w:rPr>
          <w:color w:val="000000" w:themeColor="text1"/>
          <w:lang w:val="fr-FR"/>
        </w:rPr>
        <w:t xml:space="preserve">, 6, p.2024ss0212. </w:t>
      </w:r>
      <w:proofErr w:type="spellStart"/>
      <w:r w:rsidRPr="00A2508B">
        <w:rPr>
          <w:color w:val="000000" w:themeColor="text1"/>
          <w:lang w:val="fr-FR"/>
        </w:rPr>
        <w:t>doi:</w:t>
      </w:r>
      <w:hyperlink r:id="rId10" w:history="1">
        <w:r w:rsidRPr="00A2508B">
          <w:rPr>
            <w:rStyle w:val="Hyperlink"/>
            <w:color w:val="000000" w:themeColor="text1"/>
            <w:lang w:val="fr-FR"/>
          </w:rPr>
          <w:t>https</w:t>
        </w:r>
        <w:proofErr w:type="spellEnd"/>
        <w:r w:rsidRPr="00A2508B">
          <w:rPr>
            <w:rStyle w:val="Hyperlink"/>
            <w:color w:val="000000" w:themeColor="text1"/>
            <w:lang w:val="fr-FR"/>
          </w:rPr>
          <w:t>://doi.org/10.31893/multiscience.2024ss0212</w:t>
        </w:r>
      </w:hyperlink>
      <w:r w:rsidRPr="00A2508B">
        <w:rPr>
          <w:color w:val="000000" w:themeColor="text1"/>
          <w:lang w:val="fr-FR"/>
        </w:rPr>
        <w:t>.</w:t>
      </w:r>
    </w:p>
    <w:p w14:paraId="797E65CC" w14:textId="77777777" w:rsidR="00A2508B" w:rsidRPr="00A2508B" w:rsidRDefault="00A2508B" w:rsidP="001C603C">
      <w:pPr>
        <w:rPr>
          <w:color w:val="000000" w:themeColor="text1"/>
          <w:lang w:val="en-US"/>
        </w:rPr>
      </w:pPr>
      <w:r w:rsidRPr="00A2508B">
        <w:rPr>
          <w:color w:val="000000" w:themeColor="text1"/>
          <w:lang w:val="en-US"/>
        </w:rPr>
        <w:t xml:space="preserve">Beaman, C., Barkworth, A., Akande, T.D., Hakak, S. and Khan, M.K. (2021). Ransomware: Recent advances, analysis, challenges and future research directions. </w:t>
      </w:r>
      <w:r w:rsidRPr="00A2508B">
        <w:rPr>
          <w:i/>
          <w:iCs/>
          <w:color w:val="000000" w:themeColor="text1"/>
          <w:lang w:val="en-US"/>
        </w:rPr>
        <w:t>Computers &amp; Security</w:t>
      </w:r>
      <w:r w:rsidRPr="00A2508B">
        <w:rPr>
          <w:color w:val="000000" w:themeColor="text1"/>
          <w:lang w:val="en-US"/>
        </w:rPr>
        <w:t xml:space="preserve">, [online] 111(1). </w:t>
      </w:r>
      <w:proofErr w:type="spellStart"/>
      <w:r w:rsidRPr="00A2508B">
        <w:rPr>
          <w:color w:val="000000" w:themeColor="text1"/>
          <w:lang w:val="en-US"/>
        </w:rPr>
        <w:t>doi:</w:t>
      </w:r>
      <w:hyperlink r:id="rId11" w:history="1">
        <w:r w:rsidRPr="00A2508B">
          <w:rPr>
            <w:rStyle w:val="Hyperlink"/>
            <w:color w:val="000000" w:themeColor="text1"/>
            <w:lang w:val="en-US"/>
          </w:rPr>
          <w:t>https</w:t>
        </w:r>
        <w:proofErr w:type="spellEnd"/>
        <w:r w:rsidRPr="00A2508B">
          <w:rPr>
            <w:rStyle w:val="Hyperlink"/>
            <w:color w:val="000000" w:themeColor="text1"/>
            <w:lang w:val="en-US"/>
          </w:rPr>
          <w:t>://doi.org/10.1016/j.cose.2021.102490</w:t>
        </w:r>
      </w:hyperlink>
      <w:r w:rsidRPr="00A2508B">
        <w:rPr>
          <w:color w:val="000000" w:themeColor="text1"/>
          <w:lang w:val="en-US"/>
        </w:rPr>
        <w:t>.</w:t>
      </w:r>
    </w:p>
    <w:p w14:paraId="01142D23" w14:textId="77777777" w:rsidR="00A2508B" w:rsidRPr="00A2508B" w:rsidRDefault="00A2508B" w:rsidP="001C603C">
      <w:pPr>
        <w:rPr>
          <w:color w:val="000000" w:themeColor="text1"/>
          <w:lang w:val="fr-FR"/>
        </w:rPr>
      </w:pPr>
      <w:r w:rsidRPr="00A2508B">
        <w:rPr>
          <w:color w:val="000000" w:themeColor="text1"/>
          <w:lang w:val="en-US"/>
        </w:rPr>
        <w:t xml:space="preserve">Bérubé, M., Beaulieu, L.-A., Allard, S. and Denault, V. (2025). From digital trace to evidence: Challenges and insights from a trial case study. </w:t>
      </w:r>
      <w:r w:rsidRPr="00A2508B">
        <w:rPr>
          <w:i/>
          <w:iCs/>
          <w:color w:val="000000" w:themeColor="text1"/>
          <w:lang w:val="fr-FR"/>
        </w:rPr>
        <w:t>Science &amp; Justice</w:t>
      </w:r>
      <w:r w:rsidRPr="00A2508B">
        <w:rPr>
          <w:color w:val="000000" w:themeColor="text1"/>
          <w:lang w:val="fr-FR"/>
        </w:rPr>
        <w:t xml:space="preserve">, 65(5), p.101306. </w:t>
      </w:r>
      <w:proofErr w:type="spellStart"/>
      <w:r w:rsidRPr="00A2508B">
        <w:rPr>
          <w:color w:val="000000" w:themeColor="text1"/>
          <w:lang w:val="fr-FR"/>
        </w:rPr>
        <w:t>doi:</w:t>
      </w:r>
      <w:hyperlink r:id="rId12" w:history="1">
        <w:r w:rsidRPr="00A2508B">
          <w:rPr>
            <w:rStyle w:val="Hyperlink"/>
            <w:color w:val="000000" w:themeColor="text1"/>
            <w:lang w:val="fr-FR"/>
          </w:rPr>
          <w:t>https</w:t>
        </w:r>
        <w:proofErr w:type="spellEnd"/>
        <w:r w:rsidRPr="00A2508B">
          <w:rPr>
            <w:rStyle w:val="Hyperlink"/>
            <w:color w:val="000000" w:themeColor="text1"/>
            <w:lang w:val="fr-FR"/>
          </w:rPr>
          <w:t>://doi.org/10.1016/j.scijus.2025.101306</w:t>
        </w:r>
      </w:hyperlink>
      <w:r w:rsidRPr="00A2508B">
        <w:rPr>
          <w:color w:val="000000" w:themeColor="text1"/>
          <w:lang w:val="fr-FR"/>
        </w:rPr>
        <w:t>.</w:t>
      </w:r>
    </w:p>
    <w:p w14:paraId="7E144C16" w14:textId="77777777" w:rsidR="00A2508B" w:rsidRPr="00A2508B" w:rsidRDefault="00A2508B" w:rsidP="001C603C">
      <w:pPr>
        <w:rPr>
          <w:color w:val="000000" w:themeColor="text1"/>
          <w:lang w:val="en-US"/>
        </w:rPr>
      </w:pPr>
      <w:r w:rsidRPr="00A2508B">
        <w:rPr>
          <w:color w:val="000000" w:themeColor="text1"/>
          <w:lang w:val="fr-FR"/>
        </w:rPr>
        <w:t xml:space="preserve">Broeders, D. (2021). </w:t>
      </w:r>
      <w:r w:rsidRPr="00A2508B">
        <w:rPr>
          <w:color w:val="000000" w:themeColor="text1"/>
          <w:lang w:val="en-US"/>
        </w:rPr>
        <w:t xml:space="preserve">Private active cyber defense and (international) cyber security—pushing the line? </w:t>
      </w:r>
      <w:r w:rsidRPr="00A2508B">
        <w:rPr>
          <w:i/>
          <w:iCs/>
          <w:color w:val="000000" w:themeColor="text1"/>
          <w:lang w:val="en-US"/>
        </w:rPr>
        <w:t>Journal of Cybersecurity</w:t>
      </w:r>
      <w:r w:rsidRPr="00A2508B">
        <w:rPr>
          <w:color w:val="000000" w:themeColor="text1"/>
          <w:lang w:val="en-US"/>
        </w:rPr>
        <w:t xml:space="preserve">, 7(1). </w:t>
      </w:r>
      <w:proofErr w:type="spellStart"/>
      <w:r w:rsidRPr="00A2508B">
        <w:rPr>
          <w:color w:val="000000" w:themeColor="text1"/>
          <w:lang w:val="en-US"/>
        </w:rPr>
        <w:t>doi:</w:t>
      </w:r>
      <w:hyperlink r:id="rId13" w:history="1">
        <w:r w:rsidRPr="00A2508B">
          <w:rPr>
            <w:rStyle w:val="Hyperlink"/>
            <w:color w:val="000000" w:themeColor="text1"/>
            <w:lang w:val="en-US"/>
          </w:rPr>
          <w:t>https</w:t>
        </w:r>
        <w:proofErr w:type="spellEnd"/>
        <w:r w:rsidRPr="00A2508B">
          <w:rPr>
            <w:rStyle w:val="Hyperlink"/>
            <w:color w:val="000000" w:themeColor="text1"/>
            <w:lang w:val="en-US"/>
          </w:rPr>
          <w:t>://doi.org/10.1093/</w:t>
        </w:r>
        <w:proofErr w:type="spellStart"/>
        <w:r w:rsidRPr="00A2508B">
          <w:rPr>
            <w:rStyle w:val="Hyperlink"/>
            <w:color w:val="000000" w:themeColor="text1"/>
            <w:lang w:val="en-US"/>
          </w:rPr>
          <w:t>cybsec</w:t>
        </w:r>
        <w:proofErr w:type="spellEnd"/>
        <w:r w:rsidRPr="00A2508B">
          <w:rPr>
            <w:rStyle w:val="Hyperlink"/>
            <w:color w:val="000000" w:themeColor="text1"/>
            <w:lang w:val="en-US"/>
          </w:rPr>
          <w:t>/tyab010</w:t>
        </w:r>
      </w:hyperlink>
      <w:r w:rsidRPr="00A2508B">
        <w:rPr>
          <w:color w:val="000000" w:themeColor="text1"/>
          <w:lang w:val="en-US"/>
        </w:rPr>
        <w:t>.</w:t>
      </w:r>
    </w:p>
    <w:p w14:paraId="6BB7E6EB" w14:textId="77777777" w:rsidR="00A2508B" w:rsidRPr="00A2508B" w:rsidRDefault="00A2508B" w:rsidP="001C603C">
      <w:pPr>
        <w:rPr>
          <w:color w:val="000000" w:themeColor="text1"/>
          <w:lang w:val="en-US"/>
        </w:rPr>
      </w:pPr>
      <w:r w:rsidRPr="00A2508B">
        <w:rPr>
          <w:color w:val="000000" w:themeColor="text1"/>
          <w:lang w:val="en-US"/>
        </w:rPr>
        <w:t xml:space="preserve">CARR, M. (2016). Public-private partnerships in national cyber-security strategies. </w:t>
      </w:r>
      <w:r w:rsidRPr="00A2508B">
        <w:rPr>
          <w:i/>
          <w:iCs/>
          <w:color w:val="000000" w:themeColor="text1"/>
          <w:lang w:val="en-US"/>
        </w:rPr>
        <w:t>International Affairs</w:t>
      </w:r>
      <w:r w:rsidRPr="00A2508B">
        <w:rPr>
          <w:color w:val="000000" w:themeColor="text1"/>
          <w:lang w:val="en-US"/>
        </w:rPr>
        <w:t xml:space="preserve">, 92(1), pp.43–62. </w:t>
      </w:r>
      <w:proofErr w:type="spellStart"/>
      <w:r w:rsidRPr="00A2508B">
        <w:rPr>
          <w:color w:val="000000" w:themeColor="text1"/>
          <w:lang w:val="en-US"/>
        </w:rPr>
        <w:t>doi:</w:t>
      </w:r>
      <w:hyperlink r:id="rId14" w:history="1">
        <w:r w:rsidRPr="00A2508B">
          <w:rPr>
            <w:rStyle w:val="Hyperlink"/>
            <w:color w:val="000000" w:themeColor="text1"/>
            <w:lang w:val="en-US"/>
          </w:rPr>
          <w:t>https</w:t>
        </w:r>
        <w:proofErr w:type="spellEnd"/>
        <w:r w:rsidRPr="00A2508B">
          <w:rPr>
            <w:rStyle w:val="Hyperlink"/>
            <w:color w:val="000000" w:themeColor="text1"/>
            <w:lang w:val="en-US"/>
          </w:rPr>
          <w:t>://doi.org/10.1111/1468-2346.12504</w:t>
        </w:r>
      </w:hyperlink>
      <w:r w:rsidRPr="00A2508B">
        <w:rPr>
          <w:color w:val="000000" w:themeColor="text1"/>
          <w:lang w:val="en-US"/>
        </w:rPr>
        <w:t>.</w:t>
      </w:r>
    </w:p>
    <w:p w14:paraId="0922C594" w14:textId="77777777" w:rsidR="00A2508B" w:rsidRPr="00A2508B" w:rsidRDefault="00A2508B" w:rsidP="001C603C">
      <w:pPr>
        <w:rPr>
          <w:color w:val="000000" w:themeColor="text1"/>
          <w:lang w:val="en-US"/>
        </w:rPr>
      </w:pPr>
      <w:r w:rsidRPr="00A2508B">
        <w:rPr>
          <w:color w:val="000000" w:themeColor="text1"/>
          <w:lang w:val="en-US"/>
        </w:rPr>
        <w:t xml:space="preserve">Casey, E. (2011). </w:t>
      </w:r>
      <w:r w:rsidRPr="00A2508B">
        <w:rPr>
          <w:i/>
          <w:iCs/>
          <w:color w:val="000000" w:themeColor="text1"/>
          <w:lang w:val="en-US"/>
        </w:rPr>
        <w:t>Digital Evidence and Computer Crime.</w:t>
      </w:r>
      <w:r w:rsidRPr="00A2508B">
        <w:rPr>
          <w:color w:val="000000" w:themeColor="text1"/>
          <w:lang w:val="en-US"/>
        </w:rPr>
        <w:t xml:space="preserve"> [online] elsevier.com. Available at: file:///C:/Users/hosam/Desktop/digital-evidence-and-computer-crime-third-edition.pdf.</w:t>
      </w:r>
    </w:p>
    <w:p w14:paraId="16026A27" w14:textId="77777777" w:rsidR="00A2508B" w:rsidRPr="00A2508B" w:rsidRDefault="00A2508B" w:rsidP="001C603C">
      <w:pPr>
        <w:rPr>
          <w:color w:val="000000" w:themeColor="text1"/>
          <w:lang w:val="en-US"/>
        </w:rPr>
      </w:pPr>
      <w:r w:rsidRPr="00A2508B">
        <w:rPr>
          <w:color w:val="000000" w:themeColor="text1"/>
          <w:lang w:val="en-US"/>
        </w:rPr>
        <w:t xml:space="preserve">Casino, F., Pina, C., López-Aguilar, P., Batista, E., Solanas, A. and </w:t>
      </w:r>
      <w:proofErr w:type="spellStart"/>
      <w:r w:rsidRPr="00A2508B">
        <w:rPr>
          <w:color w:val="000000" w:themeColor="text1"/>
          <w:lang w:val="en-US"/>
        </w:rPr>
        <w:t>Patsakis</w:t>
      </w:r>
      <w:proofErr w:type="spellEnd"/>
      <w:r w:rsidRPr="00A2508B">
        <w:rPr>
          <w:color w:val="000000" w:themeColor="text1"/>
          <w:lang w:val="en-US"/>
        </w:rPr>
        <w:t xml:space="preserve">, C. (2022). </w:t>
      </w:r>
      <w:proofErr w:type="spellStart"/>
      <w:r w:rsidRPr="00A2508B">
        <w:rPr>
          <w:color w:val="000000" w:themeColor="text1"/>
          <w:lang w:val="en-US"/>
        </w:rPr>
        <w:t>SoK</w:t>
      </w:r>
      <w:proofErr w:type="spellEnd"/>
      <w:r w:rsidRPr="00A2508B">
        <w:rPr>
          <w:color w:val="000000" w:themeColor="text1"/>
          <w:lang w:val="en-US"/>
        </w:rPr>
        <w:t xml:space="preserve">: cross-border criminal investigations and digital evidence. </w:t>
      </w:r>
      <w:r w:rsidRPr="00A2508B">
        <w:rPr>
          <w:i/>
          <w:iCs/>
          <w:color w:val="000000" w:themeColor="text1"/>
          <w:lang w:val="en-US"/>
        </w:rPr>
        <w:t>Journal of Cybersecurity</w:t>
      </w:r>
      <w:r w:rsidRPr="00A2508B">
        <w:rPr>
          <w:color w:val="000000" w:themeColor="text1"/>
          <w:lang w:val="en-US"/>
        </w:rPr>
        <w:t xml:space="preserve">, [online] 1-18(1). </w:t>
      </w:r>
      <w:proofErr w:type="spellStart"/>
      <w:r w:rsidRPr="00A2508B">
        <w:rPr>
          <w:color w:val="000000" w:themeColor="text1"/>
          <w:lang w:val="en-US"/>
        </w:rPr>
        <w:t>doi:</w:t>
      </w:r>
      <w:hyperlink r:id="rId15" w:history="1">
        <w:r w:rsidRPr="00A2508B">
          <w:rPr>
            <w:rStyle w:val="Hyperlink"/>
            <w:color w:val="000000" w:themeColor="text1"/>
            <w:lang w:val="en-US"/>
          </w:rPr>
          <w:t>https</w:t>
        </w:r>
        <w:proofErr w:type="spellEnd"/>
        <w:r w:rsidRPr="00A2508B">
          <w:rPr>
            <w:rStyle w:val="Hyperlink"/>
            <w:color w:val="000000" w:themeColor="text1"/>
            <w:lang w:val="en-US"/>
          </w:rPr>
          <w:t>://doi.org/10.1093/</w:t>
        </w:r>
        <w:proofErr w:type="spellStart"/>
        <w:r w:rsidRPr="00A2508B">
          <w:rPr>
            <w:rStyle w:val="Hyperlink"/>
            <w:color w:val="000000" w:themeColor="text1"/>
            <w:lang w:val="en-US"/>
          </w:rPr>
          <w:t>cybsec</w:t>
        </w:r>
        <w:proofErr w:type="spellEnd"/>
        <w:r w:rsidRPr="00A2508B">
          <w:rPr>
            <w:rStyle w:val="Hyperlink"/>
            <w:color w:val="000000" w:themeColor="text1"/>
            <w:lang w:val="en-US"/>
          </w:rPr>
          <w:t>/tyac014</w:t>
        </w:r>
      </w:hyperlink>
      <w:r w:rsidRPr="00A2508B">
        <w:rPr>
          <w:color w:val="000000" w:themeColor="text1"/>
          <w:lang w:val="en-US"/>
        </w:rPr>
        <w:t>.</w:t>
      </w:r>
    </w:p>
    <w:p w14:paraId="75AF1429" w14:textId="77777777" w:rsidR="00A2508B" w:rsidRPr="00A2508B" w:rsidRDefault="00A2508B" w:rsidP="001C603C">
      <w:pPr>
        <w:rPr>
          <w:color w:val="000000" w:themeColor="text1"/>
          <w:lang w:val="en-US"/>
        </w:rPr>
      </w:pPr>
      <w:r w:rsidRPr="00A2508B">
        <w:rPr>
          <w:color w:val="000000" w:themeColor="text1"/>
          <w:lang w:val="fr-FR"/>
        </w:rPr>
        <w:t xml:space="preserve">Dawda, S., </w:t>
      </w:r>
      <w:proofErr w:type="spellStart"/>
      <w:r w:rsidRPr="00A2508B">
        <w:rPr>
          <w:color w:val="000000" w:themeColor="text1"/>
          <w:lang w:val="fr-FR"/>
        </w:rPr>
        <w:t>Janjeva</w:t>
      </w:r>
      <w:proofErr w:type="spellEnd"/>
      <w:r w:rsidRPr="00A2508B">
        <w:rPr>
          <w:color w:val="000000" w:themeColor="text1"/>
          <w:lang w:val="fr-FR"/>
        </w:rPr>
        <w:t xml:space="preserve">, A. and Moiseienko, A. (2020). </w:t>
      </w:r>
      <w:r w:rsidRPr="00A2508B">
        <w:rPr>
          <w:i/>
          <w:iCs/>
          <w:color w:val="000000" w:themeColor="text1"/>
          <w:lang w:val="en-US"/>
        </w:rPr>
        <w:t>Rethinking the UK Response to Cyber Fraud Key Policy Challenges</w:t>
      </w:r>
      <w:r w:rsidRPr="00A2508B">
        <w:rPr>
          <w:color w:val="000000" w:themeColor="text1"/>
          <w:lang w:val="en-US"/>
        </w:rPr>
        <w:t xml:space="preserve">. [online] </w:t>
      </w:r>
      <w:r w:rsidRPr="00A2508B">
        <w:rPr>
          <w:i/>
          <w:iCs/>
          <w:color w:val="000000" w:themeColor="text1"/>
          <w:lang w:val="en-US"/>
        </w:rPr>
        <w:t>www.rusi.org</w:t>
      </w:r>
      <w:r w:rsidRPr="00A2508B">
        <w:rPr>
          <w:color w:val="000000" w:themeColor="text1"/>
          <w:lang w:val="en-US"/>
        </w:rPr>
        <w:t xml:space="preserve">, Royal United Services Institute for </w:t>
      </w:r>
      <w:proofErr w:type="spellStart"/>
      <w:r w:rsidRPr="00A2508B">
        <w:rPr>
          <w:color w:val="000000" w:themeColor="text1"/>
          <w:lang w:val="en-US"/>
        </w:rPr>
        <w:t>Defence</w:t>
      </w:r>
      <w:proofErr w:type="spellEnd"/>
      <w:r w:rsidRPr="00A2508B">
        <w:rPr>
          <w:color w:val="000000" w:themeColor="text1"/>
          <w:lang w:val="en-US"/>
        </w:rPr>
        <w:t xml:space="preserve"> and Security Studies, pp.1–21. Available at: file:///C:/Users/hosam/Desktop/cyber_enabled_fraud_bp_final_web_version.pdf [Accessed 27 Dec. 2025].</w:t>
      </w:r>
    </w:p>
    <w:p w14:paraId="58A5595C" w14:textId="77777777" w:rsidR="00A2508B" w:rsidRPr="00A2508B" w:rsidRDefault="00A2508B" w:rsidP="001C603C">
      <w:pPr>
        <w:rPr>
          <w:color w:val="000000" w:themeColor="text1"/>
          <w:lang w:val="en-US"/>
        </w:rPr>
      </w:pPr>
      <w:r w:rsidRPr="00A2508B">
        <w:rPr>
          <w:color w:val="000000" w:themeColor="text1"/>
          <w:lang w:val="en-US"/>
        </w:rPr>
        <w:t xml:space="preserve">Europol. (2019). </w:t>
      </w:r>
      <w:r w:rsidRPr="00A2508B">
        <w:rPr>
          <w:i/>
          <w:iCs/>
          <w:color w:val="000000" w:themeColor="text1"/>
          <w:lang w:val="en-US"/>
        </w:rPr>
        <w:t>Europol conference warns: cybercrime fight hinges on access to data | Europol</w:t>
      </w:r>
      <w:r w:rsidRPr="00A2508B">
        <w:rPr>
          <w:color w:val="000000" w:themeColor="text1"/>
          <w:lang w:val="en-US"/>
        </w:rPr>
        <w:t xml:space="preserve">. [online] Available at: </w:t>
      </w:r>
      <w:hyperlink r:id="rId16" w:history="1">
        <w:r w:rsidRPr="00A2508B">
          <w:rPr>
            <w:rStyle w:val="Hyperlink"/>
            <w:color w:val="000000" w:themeColor="text1"/>
            <w:lang w:val="en-US"/>
          </w:rPr>
          <w:t>https://www.europol.europa.eu/media-press/newsroom/news/europol-conference-warns-cybercrime-fight-hinges-access-to-data</w:t>
        </w:r>
      </w:hyperlink>
      <w:r w:rsidRPr="00A2508B">
        <w:rPr>
          <w:color w:val="000000" w:themeColor="text1"/>
          <w:lang w:val="en-US"/>
        </w:rPr>
        <w:t>.</w:t>
      </w:r>
    </w:p>
    <w:p w14:paraId="5A6210FC" w14:textId="02D3E712" w:rsidR="00A2508B" w:rsidRPr="00A2508B" w:rsidRDefault="00A2508B" w:rsidP="001C603C">
      <w:pPr>
        <w:rPr>
          <w:color w:val="000000" w:themeColor="text1"/>
          <w:lang w:val="en-US"/>
        </w:rPr>
      </w:pPr>
      <w:proofErr w:type="spellStart"/>
      <w:r w:rsidRPr="00A2508B">
        <w:rPr>
          <w:color w:val="000000" w:themeColor="text1"/>
          <w:lang w:val="en-US"/>
        </w:rPr>
        <w:t>Grispos</w:t>
      </w:r>
      <w:proofErr w:type="spellEnd"/>
      <w:r w:rsidRPr="00A2508B">
        <w:rPr>
          <w:color w:val="000000" w:themeColor="text1"/>
          <w:lang w:val="en-US"/>
        </w:rPr>
        <w:t xml:space="preserve">, G., Glisson, W. and Storer, T. (2011). </w:t>
      </w:r>
      <w:r w:rsidRPr="00A2508B">
        <w:rPr>
          <w:i/>
          <w:iCs/>
          <w:color w:val="000000" w:themeColor="text1"/>
          <w:lang w:val="en-US"/>
        </w:rPr>
        <w:t>Calm before the Storm: The Emerging Challenges of Cloud Computing</w:t>
      </w:r>
      <w:r w:rsidR="0030496C">
        <w:rPr>
          <w:i/>
          <w:iCs/>
          <w:color w:val="000000" w:themeColor="text1"/>
          <w:lang w:val="en-US"/>
        </w:rPr>
        <w:t xml:space="preserve"> </w:t>
      </w:r>
      <w:r w:rsidRPr="00A2508B">
        <w:rPr>
          <w:i/>
          <w:iCs/>
          <w:color w:val="000000" w:themeColor="text1"/>
          <w:lang w:val="en-US"/>
        </w:rPr>
        <w:t>in</w:t>
      </w:r>
      <w:r w:rsidR="0030496C">
        <w:rPr>
          <w:i/>
          <w:iCs/>
          <w:color w:val="000000" w:themeColor="text1"/>
          <w:lang w:val="en-US"/>
        </w:rPr>
        <w:t xml:space="preserve"> </w:t>
      </w:r>
      <w:r w:rsidRPr="00A2508B">
        <w:rPr>
          <w:i/>
          <w:iCs/>
          <w:color w:val="000000" w:themeColor="text1"/>
          <w:lang w:val="en-US"/>
        </w:rPr>
        <w:t>Digital Forensics</w:t>
      </w:r>
      <w:r w:rsidRPr="00A2508B">
        <w:rPr>
          <w:color w:val="000000" w:themeColor="text1"/>
          <w:lang w:val="en-US"/>
        </w:rPr>
        <w:t xml:space="preserve">. [online] Available at: </w:t>
      </w:r>
      <w:hyperlink r:id="rId17" w:history="1">
        <w:r w:rsidRPr="00A2508B">
          <w:rPr>
            <w:rStyle w:val="Hyperlink"/>
            <w:color w:val="000000" w:themeColor="text1"/>
            <w:lang w:val="en-US"/>
          </w:rPr>
          <w:t>https://www.dcs.gla.ac.uk/~tws/papers/grispos11calm-rev2425.pdf</w:t>
        </w:r>
      </w:hyperlink>
      <w:r w:rsidRPr="00A2508B">
        <w:rPr>
          <w:color w:val="000000" w:themeColor="text1"/>
          <w:lang w:val="en-US"/>
        </w:rPr>
        <w:t>.</w:t>
      </w:r>
    </w:p>
    <w:p w14:paraId="7F328955" w14:textId="77777777" w:rsidR="00A2508B" w:rsidRPr="00A2508B" w:rsidRDefault="00A2508B" w:rsidP="001C603C">
      <w:pPr>
        <w:rPr>
          <w:color w:val="000000" w:themeColor="text1"/>
          <w:lang w:val="en-US"/>
        </w:rPr>
      </w:pPr>
      <w:proofErr w:type="spellStart"/>
      <w:r w:rsidRPr="00A2508B">
        <w:rPr>
          <w:color w:val="000000" w:themeColor="text1"/>
          <w:lang w:val="en-US"/>
        </w:rPr>
        <w:t>Haridy</w:t>
      </w:r>
      <w:proofErr w:type="spellEnd"/>
      <w:r w:rsidRPr="00A2508B">
        <w:rPr>
          <w:color w:val="000000" w:themeColor="text1"/>
          <w:lang w:val="en-US"/>
        </w:rPr>
        <w:t xml:space="preserve">, A.A.A. (2025). Integrated Policing in Critical Infrastructure Protection: Bridging Intelligence and Field Operations. </w:t>
      </w:r>
      <w:r w:rsidRPr="00A2508B">
        <w:rPr>
          <w:i/>
          <w:iCs/>
          <w:color w:val="000000" w:themeColor="text1"/>
          <w:lang w:val="en-US"/>
        </w:rPr>
        <w:t>The American Journal of Political Science Law and Criminology</w:t>
      </w:r>
      <w:r w:rsidRPr="00A2508B">
        <w:rPr>
          <w:color w:val="000000" w:themeColor="text1"/>
          <w:lang w:val="en-US"/>
        </w:rPr>
        <w:t xml:space="preserve">, 07(05), pp.206–215. </w:t>
      </w:r>
      <w:proofErr w:type="spellStart"/>
      <w:r w:rsidRPr="00A2508B">
        <w:rPr>
          <w:color w:val="000000" w:themeColor="text1"/>
          <w:lang w:val="en-US"/>
        </w:rPr>
        <w:t>doi:</w:t>
      </w:r>
      <w:hyperlink r:id="rId18" w:history="1">
        <w:r w:rsidRPr="00A2508B">
          <w:rPr>
            <w:rStyle w:val="Hyperlink"/>
            <w:color w:val="000000" w:themeColor="text1"/>
            <w:lang w:val="en-US"/>
          </w:rPr>
          <w:t>https</w:t>
        </w:r>
        <w:proofErr w:type="spellEnd"/>
        <w:r w:rsidRPr="00A2508B">
          <w:rPr>
            <w:rStyle w:val="Hyperlink"/>
            <w:color w:val="000000" w:themeColor="text1"/>
            <w:lang w:val="en-US"/>
          </w:rPr>
          <w:t>://doi.org/10.37547/</w:t>
        </w:r>
        <w:proofErr w:type="spellStart"/>
        <w:r w:rsidRPr="00A2508B">
          <w:rPr>
            <w:rStyle w:val="Hyperlink"/>
            <w:color w:val="000000" w:themeColor="text1"/>
            <w:lang w:val="en-US"/>
          </w:rPr>
          <w:t>tajpslc</w:t>
        </w:r>
        <w:proofErr w:type="spellEnd"/>
        <w:r w:rsidRPr="00A2508B">
          <w:rPr>
            <w:rStyle w:val="Hyperlink"/>
            <w:color w:val="000000" w:themeColor="text1"/>
            <w:lang w:val="en-US"/>
          </w:rPr>
          <w:t>/volume07issue05-22</w:t>
        </w:r>
      </w:hyperlink>
      <w:r w:rsidRPr="00A2508B">
        <w:rPr>
          <w:color w:val="000000" w:themeColor="text1"/>
          <w:lang w:val="en-US"/>
        </w:rPr>
        <w:t>.</w:t>
      </w:r>
    </w:p>
    <w:p w14:paraId="50CB7066" w14:textId="77777777" w:rsidR="00A2508B" w:rsidRPr="00A2508B" w:rsidRDefault="00A2508B" w:rsidP="001C603C">
      <w:pPr>
        <w:rPr>
          <w:color w:val="000000" w:themeColor="text1"/>
          <w:lang w:val="en-US"/>
        </w:rPr>
      </w:pPr>
      <w:r w:rsidRPr="00A2508B">
        <w:rPr>
          <w:color w:val="000000" w:themeColor="text1"/>
          <w:lang w:val="en-US"/>
        </w:rPr>
        <w:t xml:space="preserve">HMICFRS (2022). </w:t>
      </w:r>
      <w:r w:rsidRPr="00A2508B">
        <w:rPr>
          <w:i/>
          <w:iCs/>
          <w:color w:val="000000" w:themeColor="text1"/>
          <w:lang w:val="en-US"/>
        </w:rPr>
        <w:t>Police forces overwhelmed and ineffective when it comes to digital forensics, new report finds</w:t>
      </w:r>
      <w:r w:rsidRPr="00A2508B">
        <w:rPr>
          <w:color w:val="000000" w:themeColor="text1"/>
          <w:lang w:val="en-US"/>
        </w:rPr>
        <w:t xml:space="preserve">. [online] His Majesty’s Inspectorate of Constabulary and Fire &amp; Rescue Services. Available at: </w:t>
      </w:r>
      <w:hyperlink r:id="rId19" w:history="1">
        <w:r w:rsidRPr="00A2508B">
          <w:rPr>
            <w:rStyle w:val="Hyperlink"/>
            <w:color w:val="000000" w:themeColor="text1"/>
            <w:lang w:val="en-US"/>
          </w:rPr>
          <w:t>https://hmicfrs.justiceinspectorates.gov.uk/news/news-feed/police-forces-overwhelmed-and-ineffective-when-it-comes-to-digital-forensics/</w:t>
        </w:r>
      </w:hyperlink>
      <w:r w:rsidRPr="00A2508B">
        <w:rPr>
          <w:color w:val="000000" w:themeColor="text1"/>
          <w:lang w:val="en-US"/>
        </w:rPr>
        <w:t>.</w:t>
      </w:r>
    </w:p>
    <w:p w14:paraId="27A3CFE6" w14:textId="77777777" w:rsidR="00A2508B" w:rsidRPr="00A2508B" w:rsidRDefault="00A2508B" w:rsidP="001C603C">
      <w:pPr>
        <w:rPr>
          <w:color w:val="000000" w:themeColor="text1"/>
          <w:lang w:val="en-US"/>
        </w:rPr>
      </w:pPr>
      <w:r w:rsidRPr="00A2508B">
        <w:rPr>
          <w:color w:val="000000" w:themeColor="text1"/>
          <w:lang w:val="en-US"/>
        </w:rPr>
        <w:lastRenderedPageBreak/>
        <w:t xml:space="preserve">Home Office (2023). </w:t>
      </w:r>
      <w:r w:rsidRPr="00A2508B">
        <w:rPr>
          <w:i/>
          <w:iCs/>
          <w:color w:val="000000" w:themeColor="text1"/>
          <w:lang w:val="en-US"/>
        </w:rPr>
        <w:t>The Strategic Policing Requirement</w:t>
      </w:r>
      <w:r w:rsidRPr="00A2508B">
        <w:rPr>
          <w:color w:val="000000" w:themeColor="text1"/>
          <w:lang w:val="en-US"/>
        </w:rPr>
        <w:t xml:space="preserve">. [online] </w:t>
      </w:r>
      <w:r w:rsidRPr="00A2508B">
        <w:rPr>
          <w:i/>
          <w:iCs/>
          <w:color w:val="000000" w:themeColor="text1"/>
          <w:lang w:val="en-US"/>
        </w:rPr>
        <w:t>GOV.UK</w:t>
      </w:r>
      <w:r w:rsidRPr="00A2508B">
        <w:rPr>
          <w:color w:val="000000" w:themeColor="text1"/>
          <w:lang w:val="en-US"/>
        </w:rPr>
        <w:t>, Home Office, pp.1–77. Available at: file:///C:/Users/hosam/Desktop/Strategic_Policing_Requirement_V1.3.pdf [Accessed Feb. 2023].</w:t>
      </w:r>
    </w:p>
    <w:p w14:paraId="526B7209" w14:textId="77777777" w:rsidR="00A2508B" w:rsidRPr="00A2508B" w:rsidRDefault="00A2508B" w:rsidP="001C603C">
      <w:pPr>
        <w:rPr>
          <w:color w:val="000000" w:themeColor="text1"/>
          <w:lang w:val="en-US"/>
        </w:rPr>
      </w:pPr>
      <w:r w:rsidRPr="00A2508B">
        <w:rPr>
          <w:color w:val="000000" w:themeColor="text1"/>
          <w:lang w:val="fr-FR"/>
        </w:rPr>
        <w:t xml:space="preserve">Kent, K., Chevalier, S., Grance, T. and Dang, H. (2006). </w:t>
      </w:r>
      <w:r w:rsidRPr="00A2508B">
        <w:rPr>
          <w:i/>
          <w:iCs/>
          <w:color w:val="000000" w:themeColor="text1"/>
          <w:lang w:val="en-US"/>
        </w:rPr>
        <w:t>Special Publication 800-86 Guide to Integrating Forensic Techniques into Incident Response Recommendations of the National Institute of Standards and Technology</w:t>
      </w:r>
      <w:r w:rsidRPr="00A2508B">
        <w:rPr>
          <w:color w:val="000000" w:themeColor="text1"/>
          <w:lang w:val="en-US"/>
        </w:rPr>
        <w:t xml:space="preserve">. [online] </w:t>
      </w:r>
      <w:r w:rsidRPr="00A2508B">
        <w:rPr>
          <w:i/>
          <w:iCs/>
          <w:color w:val="000000" w:themeColor="text1"/>
          <w:lang w:val="en-US"/>
        </w:rPr>
        <w:t>NIST</w:t>
      </w:r>
      <w:r w:rsidRPr="00A2508B">
        <w:rPr>
          <w:color w:val="000000" w:themeColor="text1"/>
          <w:lang w:val="en-US"/>
        </w:rPr>
        <w:t xml:space="preserve">. National Institute of Standards and Technology. Available at: </w:t>
      </w:r>
      <w:hyperlink r:id="rId20" w:history="1">
        <w:r w:rsidRPr="00A2508B">
          <w:rPr>
            <w:rStyle w:val="Hyperlink"/>
            <w:color w:val="000000" w:themeColor="text1"/>
            <w:lang w:val="en-US"/>
          </w:rPr>
          <w:t>https://nvlpubs.nist.gov/nistpubs/Legacy/SP/nistspecialpublication800-86.pdf</w:t>
        </w:r>
      </w:hyperlink>
      <w:r w:rsidRPr="00A2508B">
        <w:rPr>
          <w:color w:val="000000" w:themeColor="text1"/>
          <w:lang w:val="en-US"/>
        </w:rPr>
        <w:t>.</w:t>
      </w:r>
    </w:p>
    <w:p w14:paraId="7F02A80B" w14:textId="77777777" w:rsidR="00A2508B" w:rsidRPr="00A2508B" w:rsidRDefault="00A2508B" w:rsidP="001C603C">
      <w:pPr>
        <w:rPr>
          <w:color w:val="000000" w:themeColor="text1"/>
          <w:lang w:val="en-US"/>
        </w:rPr>
      </w:pPr>
      <w:proofErr w:type="spellStart"/>
      <w:r w:rsidRPr="00A2508B">
        <w:rPr>
          <w:color w:val="000000" w:themeColor="text1"/>
          <w:lang w:val="en-US"/>
        </w:rPr>
        <w:t>Kjaergaard</w:t>
      </w:r>
      <w:proofErr w:type="spellEnd"/>
      <w:r w:rsidRPr="00A2508B">
        <w:rPr>
          <w:color w:val="000000" w:themeColor="text1"/>
          <w:lang w:val="en-US"/>
        </w:rPr>
        <w:t xml:space="preserve">, K. and Petersen, K. (2017). Public-private partnerships on cyber security: a practice of loyalty. </w:t>
      </w:r>
      <w:r w:rsidRPr="00A2508B">
        <w:rPr>
          <w:i/>
          <w:iCs/>
          <w:color w:val="000000" w:themeColor="text1"/>
          <w:lang w:val="en-US"/>
        </w:rPr>
        <w:t>International Affairs International Affairs</w:t>
      </w:r>
      <w:r w:rsidRPr="00A2508B">
        <w:rPr>
          <w:color w:val="000000" w:themeColor="text1"/>
          <w:lang w:val="en-US"/>
        </w:rPr>
        <w:t>, 93(6), pp.1435–1452.</w:t>
      </w:r>
    </w:p>
    <w:p w14:paraId="23F5B9F7" w14:textId="77777777" w:rsidR="00A2508B" w:rsidRPr="00A2508B" w:rsidRDefault="00A2508B" w:rsidP="001C603C">
      <w:pPr>
        <w:rPr>
          <w:color w:val="000000" w:themeColor="text1"/>
          <w:lang w:val="en-US"/>
        </w:rPr>
      </w:pPr>
      <w:proofErr w:type="spellStart"/>
      <w:r w:rsidRPr="00A2508B">
        <w:rPr>
          <w:color w:val="000000" w:themeColor="text1"/>
          <w:lang w:val="en-US"/>
        </w:rPr>
        <w:t>Mavroeidis</w:t>
      </w:r>
      <w:proofErr w:type="spellEnd"/>
      <w:r w:rsidRPr="00A2508B">
        <w:rPr>
          <w:color w:val="000000" w:themeColor="text1"/>
          <w:lang w:val="en-US"/>
        </w:rPr>
        <w:t xml:space="preserve">, V. and </w:t>
      </w:r>
      <w:proofErr w:type="spellStart"/>
      <w:r w:rsidRPr="00A2508B">
        <w:rPr>
          <w:color w:val="000000" w:themeColor="text1"/>
          <w:lang w:val="en-US"/>
        </w:rPr>
        <w:t>Bromander</w:t>
      </w:r>
      <w:proofErr w:type="spellEnd"/>
      <w:r w:rsidRPr="00A2508B">
        <w:rPr>
          <w:color w:val="000000" w:themeColor="text1"/>
          <w:lang w:val="en-US"/>
        </w:rPr>
        <w:t xml:space="preserve">, S. (2017). </w:t>
      </w:r>
      <w:r w:rsidRPr="00A2508B">
        <w:rPr>
          <w:i/>
          <w:iCs/>
          <w:color w:val="000000" w:themeColor="text1"/>
          <w:lang w:val="en-US"/>
        </w:rPr>
        <w:t>Cyber Threat Intelligence Model: An Evaluation of Taxonomies, Sharing Standards, and Ontologies within Cyber Threat Intelligence</w:t>
      </w:r>
      <w:r w:rsidRPr="00A2508B">
        <w:rPr>
          <w:color w:val="000000" w:themeColor="text1"/>
          <w:lang w:val="en-US"/>
        </w:rPr>
        <w:t xml:space="preserve">. [online] IEEE Xplore. </w:t>
      </w:r>
      <w:proofErr w:type="spellStart"/>
      <w:r w:rsidRPr="00A2508B">
        <w:rPr>
          <w:color w:val="000000" w:themeColor="text1"/>
          <w:lang w:val="en-US"/>
        </w:rPr>
        <w:t>doi:</w:t>
      </w:r>
      <w:hyperlink r:id="rId21" w:history="1">
        <w:r w:rsidRPr="00A2508B">
          <w:rPr>
            <w:rStyle w:val="Hyperlink"/>
            <w:color w:val="000000" w:themeColor="text1"/>
            <w:lang w:val="en-US"/>
          </w:rPr>
          <w:t>https</w:t>
        </w:r>
        <w:proofErr w:type="spellEnd"/>
        <w:r w:rsidRPr="00A2508B">
          <w:rPr>
            <w:rStyle w:val="Hyperlink"/>
            <w:color w:val="000000" w:themeColor="text1"/>
            <w:lang w:val="en-US"/>
          </w:rPr>
          <w:t>://doi.org/10.1109/EISIC.2017.20</w:t>
        </w:r>
      </w:hyperlink>
      <w:r w:rsidRPr="00A2508B">
        <w:rPr>
          <w:color w:val="000000" w:themeColor="text1"/>
          <w:lang w:val="en-US"/>
        </w:rPr>
        <w:t>.</w:t>
      </w:r>
    </w:p>
    <w:p w14:paraId="24EBF7E6" w14:textId="77777777" w:rsidR="00A2508B" w:rsidRPr="00A2508B" w:rsidRDefault="00A2508B" w:rsidP="001C603C">
      <w:pPr>
        <w:rPr>
          <w:color w:val="000000" w:themeColor="text1"/>
          <w:lang w:val="en-US"/>
        </w:rPr>
      </w:pPr>
      <w:r w:rsidRPr="00A2508B">
        <w:rPr>
          <w:color w:val="000000" w:themeColor="text1"/>
          <w:lang w:val="en-US"/>
        </w:rPr>
        <w:t xml:space="preserve">McGuire, M. and Dowling, S. (2013). </w:t>
      </w:r>
      <w:proofErr w:type="spellStart"/>
      <w:r w:rsidRPr="00A2508B">
        <w:rPr>
          <w:i/>
          <w:iCs/>
          <w:color w:val="000000" w:themeColor="text1"/>
          <w:lang w:val="en-US"/>
        </w:rPr>
        <w:t>Cyber crime</w:t>
      </w:r>
      <w:proofErr w:type="spellEnd"/>
      <w:r w:rsidRPr="00A2508B">
        <w:rPr>
          <w:i/>
          <w:iCs/>
          <w:color w:val="000000" w:themeColor="text1"/>
          <w:lang w:val="en-US"/>
        </w:rPr>
        <w:t>: A review of the evidence Research Report 75</w:t>
      </w:r>
      <w:r w:rsidRPr="00A2508B">
        <w:rPr>
          <w:color w:val="000000" w:themeColor="text1"/>
          <w:lang w:val="en-US"/>
        </w:rPr>
        <w:t xml:space="preserve">. [online] Available at: </w:t>
      </w:r>
      <w:hyperlink r:id="rId22" w:history="1">
        <w:r w:rsidRPr="00A2508B">
          <w:rPr>
            <w:rStyle w:val="Hyperlink"/>
            <w:color w:val="000000" w:themeColor="text1"/>
            <w:lang w:val="en-US"/>
          </w:rPr>
          <w:t>https://assets.publishing.service.gov.uk/media/5a755a94e5274a59fa7177f7/horr75-chap2.pdf</w:t>
        </w:r>
      </w:hyperlink>
      <w:r w:rsidRPr="00A2508B">
        <w:rPr>
          <w:color w:val="000000" w:themeColor="text1"/>
          <w:lang w:val="en-US"/>
        </w:rPr>
        <w:t>.</w:t>
      </w:r>
    </w:p>
    <w:p w14:paraId="0B91EAC1" w14:textId="77777777" w:rsidR="00A2508B" w:rsidRPr="00A2508B" w:rsidRDefault="00A2508B" w:rsidP="001C603C">
      <w:pPr>
        <w:rPr>
          <w:color w:val="000000" w:themeColor="text1"/>
          <w:lang w:val="en-US"/>
        </w:rPr>
      </w:pPr>
      <w:r w:rsidRPr="00A2508B">
        <w:rPr>
          <w:color w:val="000000" w:themeColor="text1"/>
          <w:lang w:val="en-US"/>
        </w:rPr>
        <w:t xml:space="preserve">Nair, R., Abbasi, F. and Pervez, S. (2025). </w:t>
      </w:r>
      <w:proofErr w:type="spellStart"/>
      <w:r w:rsidRPr="00A2508B">
        <w:rPr>
          <w:color w:val="000000" w:themeColor="text1"/>
          <w:lang w:val="en-US"/>
        </w:rPr>
        <w:t>PhishEmailLLM:A</w:t>
      </w:r>
      <w:proofErr w:type="spellEnd"/>
      <w:r w:rsidRPr="00A2508B">
        <w:rPr>
          <w:color w:val="000000" w:themeColor="text1"/>
          <w:lang w:val="en-US"/>
        </w:rPr>
        <w:t xml:space="preserve"> Meta Model Approach to Detect Phishing emails by leveraging LLMs and Machine Learning models. </w:t>
      </w:r>
      <w:r w:rsidRPr="00A2508B">
        <w:rPr>
          <w:i/>
          <w:iCs/>
          <w:color w:val="000000" w:themeColor="text1"/>
          <w:lang w:val="en-US"/>
        </w:rPr>
        <w:t xml:space="preserve">ACM, Digital Library </w:t>
      </w:r>
      <w:r w:rsidRPr="00A2508B">
        <w:rPr>
          <w:color w:val="000000" w:themeColor="text1"/>
          <w:lang w:val="en-US"/>
        </w:rPr>
        <w:t xml:space="preserve">, pp.19–29. </w:t>
      </w:r>
      <w:proofErr w:type="spellStart"/>
      <w:r w:rsidRPr="00A2508B">
        <w:rPr>
          <w:color w:val="000000" w:themeColor="text1"/>
          <w:lang w:val="en-US"/>
        </w:rPr>
        <w:t>doi:</w:t>
      </w:r>
      <w:hyperlink r:id="rId23" w:history="1">
        <w:r w:rsidRPr="00A2508B">
          <w:rPr>
            <w:rStyle w:val="Hyperlink"/>
            <w:color w:val="000000" w:themeColor="text1"/>
            <w:lang w:val="en-US"/>
          </w:rPr>
          <w:t>https</w:t>
        </w:r>
        <w:proofErr w:type="spellEnd"/>
        <w:r w:rsidRPr="00A2508B">
          <w:rPr>
            <w:rStyle w:val="Hyperlink"/>
            <w:color w:val="000000" w:themeColor="text1"/>
            <w:lang w:val="en-US"/>
          </w:rPr>
          <w:t>://doi.org/10.1145/3727166.3727169</w:t>
        </w:r>
      </w:hyperlink>
      <w:r w:rsidRPr="00A2508B">
        <w:rPr>
          <w:color w:val="000000" w:themeColor="text1"/>
          <w:lang w:val="en-US"/>
        </w:rPr>
        <w:t>.</w:t>
      </w:r>
    </w:p>
    <w:p w14:paraId="77E7AA6D" w14:textId="77777777" w:rsidR="00A2508B" w:rsidRPr="00A2508B" w:rsidRDefault="00A2508B" w:rsidP="001C603C">
      <w:pPr>
        <w:rPr>
          <w:color w:val="000000" w:themeColor="text1"/>
          <w:lang w:val="en-US"/>
        </w:rPr>
      </w:pPr>
      <w:r w:rsidRPr="00A2508B">
        <w:rPr>
          <w:color w:val="000000" w:themeColor="text1"/>
          <w:lang w:val="en-US"/>
        </w:rPr>
        <w:t xml:space="preserve">National Crime Agency (2021). </w:t>
      </w:r>
      <w:r w:rsidRPr="00A2508B">
        <w:rPr>
          <w:i/>
          <w:iCs/>
          <w:color w:val="000000" w:themeColor="text1"/>
          <w:lang w:val="en-US"/>
        </w:rPr>
        <w:t xml:space="preserve">National Strategic Assessment of Serious and </w:t>
      </w:r>
      <w:proofErr w:type="spellStart"/>
      <w:r w:rsidRPr="00A2508B">
        <w:rPr>
          <w:i/>
          <w:iCs/>
          <w:color w:val="000000" w:themeColor="text1"/>
          <w:lang w:val="en-US"/>
        </w:rPr>
        <w:t>Organised</w:t>
      </w:r>
      <w:proofErr w:type="spellEnd"/>
      <w:r w:rsidRPr="00A2508B">
        <w:rPr>
          <w:i/>
          <w:iCs/>
          <w:color w:val="000000" w:themeColor="text1"/>
          <w:lang w:val="en-US"/>
        </w:rPr>
        <w:t xml:space="preserve"> Crime</w:t>
      </w:r>
      <w:r w:rsidRPr="00A2508B">
        <w:rPr>
          <w:color w:val="000000" w:themeColor="text1"/>
          <w:lang w:val="en-US"/>
        </w:rPr>
        <w:t xml:space="preserve">. [online] Available at: </w:t>
      </w:r>
      <w:hyperlink r:id="rId24" w:history="1">
        <w:r w:rsidRPr="00A2508B">
          <w:rPr>
            <w:rStyle w:val="Hyperlink"/>
            <w:color w:val="000000" w:themeColor="text1"/>
            <w:lang w:val="en-US"/>
          </w:rPr>
          <w:t>https://www.nationalcrimeagency.gov.uk/who-we-are/publications/533-national-strategic-assessment-of-serious-and-organised-crime-2021/file</w:t>
        </w:r>
      </w:hyperlink>
      <w:r w:rsidRPr="00A2508B">
        <w:rPr>
          <w:color w:val="000000" w:themeColor="text1"/>
          <w:lang w:val="en-US"/>
        </w:rPr>
        <w:t>.</w:t>
      </w:r>
    </w:p>
    <w:p w14:paraId="0D822045" w14:textId="77777777" w:rsidR="00A2508B" w:rsidRPr="00A2508B" w:rsidRDefault="00A2508B" w:rsidP="001C603C">
      <w:pPr>
        <w:rPr>
          <w:color w:val="000000" w:themeColor="text1"/>
          <w:lang w:val="en-US"/>
        </w:rPr>
      </w:pPr>
      <w:r w:rsidRPr="00A2508B">
        <w:rPr>
          <w:color w:val="000000" w:themeColor="text1"/>
          <w:lang w:val="en-US"/>
        </w:rPr>
        <w:t xml:space="preserve">National Cyber Security Center (2023). </w:t>
      </w:r>
      <w:r w:rsidRPr="00A2508B">
        <w:rPr>
          <w:i/>
          <w:iCs/>
          <w:color w:val="000000" w:themeColor="text1"/>
          <w:lang w:val="en-US"/>
        </w:rPr>
        <w:t xml:space="preserve">Ransomware and the </w:t>
      </w:r>
      <w:proofErr w:type="spellStart"/>
      <w:r w:rsidRPr="00A2508B">
        <w:rPr>
          <w:i/>
          <w:iCs/>
          <w:color w:val="000000" w:themeColor="text1"/>
          <w:lang w:val="en-US"/>
        </w:rPr>
        <w:t>cyber crime</w:t>
      </w:r>
      <w:proofErr w:type="spellEnd"/>
      <w:r w:rsidRPr="00A2508B">
        <w:rPr>
          <w:i/>
          <w:iCs/>
          <w:color w:val="000000" w:themeColor="text1"/>
          <w:lang w:val="en-US"/>
        </w:rPr>
        <w:t xml:space="preserve"> ecosystem</w:t>
      </w:r>
      <w:r w:rsidRPr="00A2508B">
        <w:rPr>
          <w:color w:val="000000" w:themeColor="text1"/>
          <w:lang w:val="en-US"/>
        </w:rPr>
        <w:t xml:space="preserve">. [online] Available at: </w:t>
      </w:r>
      <w:hyperlink r:id="rId25" w:history="1">
        <w:r w:rsidRPr="00A2508B">
          <w:rPr>
            <w:rStyle w:val="Hyperlink"/>
            <w:color w:val="000000" w:themeColor="text1"/>
            <w:lang w:val="en-US"/>
          </w:rPr>
          <w:t>https://www.ncsc.gov.uk/pdfs/blog-post/ransomware-cyber-crime-ecosystem.pdf</w:t>
        </w:r>
      </w:hyperlink>
      <w:r w:rsidRPr="00A2508B">
        <w:rPr>
          <w:color w:val="000000" w:themeColor="text1"/>
          <w:lang w:val="en-US"/>
        </w:rPr>
        <w:t xml:space="preserve"> [Accessed 11 Dec. 2025].</w:t>
      </w:r>
    </w:p>
    <w:p w14:paraId="541CB688" w14:textId="77777777" w:rsidR="00A2508B" w:rsidRPr="00A2508B" w:rsidRDefault="00A2508B" w:rsidP="001C603C">
      <w:pPr>
        <w:rPr>
          <w:color w:val="000000" w:themeColor="text1"/>
          <w:lang w:val="en-US"/>
        </w:rPr>
      </w:pPr>
      <w:r w:rsidRPr="00A2508B">
        <w:rPr>
          <w:color w:val="000000" w:themeColor="text1"/>
          <w:lang w:val="en-US"/>
        </w:rPr>
        <w:t xml:space="preserve">NCSC (2023). </w:t>
      </w:r>
      <w:r w:rsidRPr="00A2508B">
        <w:rPr>
          <w:i/>
          <w:iCs/>
          <w:color w:val="000000" w:themeColor="text1"/>
          <w:lang w:val="en-US"/>
        </w:rPr>
        <w:t>Ransomware, Extortion and the Cyber Crime Ecosystem</w:t>
      </w:r>
      <w:r w:rsidRPr="00A2508B">
        <w:rPr>
          <w:color w:val="000000" w:themeColor="text1"/>
          <w:lang w:val="en-US"/>
        </w:rPr>
        <w:t xml:space="preserve">. [online] www.ncsc.gov.uk. Available at: </w:t>
      </w:r>
      <w:hyperlink r:id="rId26" w:history="1">
        <w:r w:rsidRPr="00A2508B">
          <w:rPr>
            <w:rStyle w:val="Hyperlink"/>
            <w:color w:val="000000" w:themeColor="text1"/>
            <w:lang w:val="en-US"/>
          </w:rPr>
          <w:t>https://www.ncsc.gov.uk/whitepaper/ransomware-extortion-and-the-cyber-crime-ecosystem</w:t>
        </w:r>
      </w:hyperlink>
      <w:r w:rsidRPr="00A2508B">
        <w:rPr>
          <w:color w:val="000000" w:themeColor="text1"/>
          <w:lang w:val="en-US"/>
        </w:rPr>
        <w:t>.</w:t>
      </w:r>
    </w:p>
    <w:p w14:paraId="6C935379" w14:textId="77777777" w:rsidR="00A2508B" w:rsidRPr="00A2508B" w:rsidRDefault="00A2508B" w:rsidP="001C603C">
      <w:pPr>
        <w:rPr>
          <w:color w:val="000000" w:themeColor="text1"/>
          <w:lang w:val="en-US"/>
        </w:rPr>
      </w:pPr>
      <w:proofErr w:type="spellStart"/>
      <w:r w:rsidRPr="00A2508B">
        <w:rPr>
          <w:color w:val="000000" w:themeColor="text1"/>
          <w:lang w:val="it-IT"/>
        </w:rPr>
        <w:t>Ngobeni</w:t>
      </w:r>
      <w:proofErr w:type="spellEnd"/>
      <w:r w:rsidRPr="00A2508B">
        <w:rPr>
          <w:color w:val="000000" w:themeColor="text1"/>
          <w:lang w:val="it-IT"/>
        </w:rPr>
        <w:t xml:space="preserve">, H. and Nkongolo, M. (2015). </w:t>
      </w:r>
      <w:r w:rsidRPr="00A2508B">
        <w:rPr>
          <w:i/>
          <w:iCs/>
          <w:color w:val="000000" w:themeColor="text1"/>
          <w:lang w:val="en-US"/>
        </w:rPr>
        <w:t>Integrating Public Input and Technical Expertise for Effective Cybersecurity Policy Formulation</w:t>
      </w:r>
      <w:r w:rsidRPr="00A2508B">
        <w:rPr>
          <w:color w:val="000000" w:themeColor="text1"/>
          <w:lang w:val="en-US"/>
        </w:rPr>
        <w:t>.</w:t>
      </w:r>
    </w:p>
    <w:p w14:paraId="6AF64184" w14:textId="77777777" w:rsidR="00A2508B" w:rsidRPr="00A2508B" w:rsidRDefault="00A2508B" w:rsidP="001C603C">
      <w:pPr>
        <w:rPr>
          <w:color w:val="000000" w:themeColor="text1"/>
          <w:lang w:val="en-US"/>
        </w:rPr>
      </w:pPr>
      <w:r w:rsidRPr="00A2508B">
        <w:rPr>
          <w:color w:val="000000" w:themeColor="text1"/>
          <w:lang w:val="en-US"/>
        </w:rPr>
        <w:t xml:space="preserve">NPPC (2025). </w:t>
      </w:r>
      <w:r w:rsidRPr="00A2508B">
        <w:rPr>
          <w:i/>
          <w:iCs/>
          <w:color w:val="000000" w:themeColor="text1"/>
          <w:lang w:val="en-US"/>
        </w:rPr>
        <w:t>National Policing Digital Strategy</w:t>
      </w:r>
      <w:r w:rsidRPr="00A2508B">
        <w:rPr>
          <w:color w:val="000000" w:themeColor="text1"/>
          <w:lang w:val="en-US"/>
        </w:rPr>
        <w:t xml:space="preserve">. [online] National Police Chiefs’ Council, pp.1–53. Available at: </w:t>
      </w:r>
      <w:hyperlink r:id="rId27" w:history="1">
        <w:r w:rsidRPr="00A2508B">
          <w:rPr>
            <w:rStyle w:val="Hyperlink"/>
            <w:color w:val="000000" w:themeColor="text1"/>
            <w:lang w:val="en-US"/>
          </w:rPr>
          <w:t>https://pds.police.uk/wp-content/uploads/2025/05/250519-NPCC-Digital-Strategy_FINAL.pdf</w:t>
        </w:r>
      </w:hyperlink>
      <w:r w:rsidRPr="00A2508B">
        <w:rPr>
          <w:color w:val="000000" w:themeColor="text1"/>
          <w:lang w:val="en-US"/>
        </w:rPr>
        <w:t>.</w:t>
      </w:r>
    </w:p>
    <w:p w14:paraId="043C48D6" w14:textId="77777777" w:rsidR="00A2508B" w:rsidRPr="00A2508B" w:rsidRDefault="00A2508B" w:rsidP="001C603C">
      <w:pPr>
        <w:rPr>
          <w:color w:val="000000" w:themeColor="text1"/>
          <w:lang w:val="en-US"/>
        </w:rPr>
      </w:pPr>
      <w:proofErr w:type="spellStart"/>
      <w:r w:rsidRPr="00A2508B">
        <w:rPr>
          <w:color w:val="000000" w:themeColor="text1"/>
          <w:lang w:val="en-US"/>
        </w:rPr>
        <w:t>Purnamawati</w:t>
      </w:r>
      <w:proofErr w:type="spellEnd"/>
      <w:r w:rsidRPr="00A2508B">
        <w:rPr>
          <w:color w:val="000000" w:themeColor="text1"/>
          <w:lang w:val="en-US"/>
        </w:rPr>
        <w:t xml:space="preserve">, S.A., Sunaryo, S., Lestari, E. and Pratiwi, C.S. (2025). Future Crimes: Preparing Humanity for the Challenges of the Disruption Era. </w:t>
      </w:r>
      <w:r w:rsidRPr="00A2508B">
        <w:rPr>
          <w:i/>
          <w:iCs/>
          <w:color w:val="000000" w:themeColor="text1"/>
          <w:lang w:val="en-US"/>
        </w:rPr>
        <w:t>Advances in Social Science, Education and Humanities Research</w:t>
      </w:r>
      <w:r w:rsidRPr="00A2508B">
        <w:rPr>
          <w:color w:val="000000" w:themeColor="text1"/>
          <w:lang w:val="en-US"/>
        </w:rPr>
        <w:t xml:space="preserve">, pp.70–73. </w:t>
      </w:r>
      <w:proofErr w:type="spellStart"/>
      <w:r w:rsidRPr="00A2508B">
        <w:rPr>
          <w:color w:val="000000" w:themeColor="text1"/>
          <w:lang w:val="en-US"/>
        </w:rPr>
        <w:t>doi:</w:t>
      </w:r>
      <w:hyperlink r:id="rId28" w:history="1">
        <w:r w:rsidRPr="00A2508B">
          <w:rPr>
            <w:rStyle w:val="Hyperlink"/>
            <w:color w:val="000000" w:themeColor="text1"/>
            <w:lang w:val="en-US"/>
          </w:rPr>
          <w:t>https</w:t>
        </w:r>
        <w:proofErr w:type="spellEnd"/>
        <w:r w:rsidRPr="00A2508B">
          <w:rPr>
            <w:rStyle w:val="Hyperlink"/>
            <w:color w:val="000000" w:themeColor="text1"/>
            <w:lang w:val="en-US"/>
          </w:rPr>
          <w:t>://doi.org/10.2991/978-2-38476-362-7_11</w:t>
        </w:r>
      </w:hyperlink>
      <w:r w:rsidRPr="00A2508B">
        <w:rPr>
          <w:color w:val="000000" w:themeColor="text1"/>
          <w:lang w:val="en-US"/>
        </w:rPr>
        <w:t>.</w:t>
      </w:r>
    </w:p>
    <w:p w14:paraId="17C2F22A" w14:textId="77777777" w:rsidR="00A2508B" w:rsidRPr="00A2508B" w:rsidRDefault="00A2508B" w:rsidP="001C603C">
      <w:pPr>
        <w:rPr>
          <w:color w:val="000000" w:themeColor="text1"/>
          <w:lang w:val="en-US"/>
        </w:rPr>
      </w:pPr>
      <w:proofErr w:type="spellStart"/>
      <w:r w:rsidRPr="00A2508B">
        <w:rPr>
          <w:color w:val="000000" w:themeColor="text1"/>
          <w:lang w:val="en-US"/>
        </w:rPr>
        <w:t>Radanliev</w:t>
      </w:r>
      <w:proofErr w:type="spellEnd"/>
      <w:r w:rsidRPr="00A2508B">
        <w:rPr>
          <w:color w:val="000000" w:themeColor="text1"/>
          <w:lang w:val="en-US"/>
        </w:rPr>
        <w:t xml:space="preserve">, P. (2024). Cyber diplomacy: defining the opportunities for cybersecurity and risks from Artificial Intelligence, IoT, Blockchains, and Quantum Computing. </w:t>
      </w:r>
      <w:r w:rsidRPr="00A2508B">
        <w:rPr>
          <w:i/>
          <w:iCs/>
          <w:color w:val="000000" w:themeColor="text1"/>
          <w:lang w:val="en-US"/>
        </w:rPr>
        <w:t>Journal of Cyber Security Technology</w:t>
      </w:r>
      <w:r w:rsidRPr="00A2508B">
        <w:rPr>
          <w:color w:val="000000" w:themeColor="text1"/>
          <w:lang w:val="en-US"/>
        </w:rPr>
        <w:t xml:space="preserve">, 9(1), pp.28–78. </w:t>
      </w:r>
      <w:proofErr w:type="spellStart"/>
      <w:r w:rsidRPr="00A2508B">
        <w:rPr>
          <w:color w:val="000000" w:themeColor="text1"/>
          <w:lang w:val="en-US"/>
        </w:rPr>
        <w:t>doi:</w:t>
      </w:r>
      <w:hyperlink r:id="rId29" w:history="1">
        <w:r w:rsidRPr="00A2508B">
          <w:rPr>
            <w:rStyle w:val="Hyperlink"/>
            <w:color w:val="000000" w:themeColor="text1"/>
            <w:lang w:val="en-US"/>
          </w:rPr>
          <w:t>https</w:t>
        </w:r>
        <w:proofErr w:type="spellEnd"/>
        <w:r w:rsidRPr="00A2508B">
          <w:rPr>
            <w:rStyle w:val="Hyperlink"/>
            <w:color w:val="000000" w:themeColor="text1"/>
            <w:lang w:val="en-US"/>
          </w:rPr>
          <w:t>://doi.org/10.1080/23742917.2024.2312671</w:t>
        </w:r>
      </w:hyperlink>
      <w:r w:rsidRPr="00A2508B">
        <w:rPr>
          <w:color w:val="000000" w:themeColor="text1"/>
          <w:lang w:val="en-US"/>
        </w:rPr>
        <w:t>.</w:t>
      </w:r>
    </w:p>
    <w:p w14:paraId="2CD1067B" w14:textId="77777777" w:rsidR="00A2508B" w:rsidRPr="00A2508B" w:rsidRDefault="00A2508B" w:rsidP="001C603C">
      <w:pPr>
        <w:rPr>
          <w:color w:val="000000" w:themeColor="text1"/>
          <w:lang w:val="en-US"/>
        </w:rPr>
      </w:pPr>
      <w:r w:rsidRPr="00A2508B">
        <w:rPr>
          <w:color w:val="000000" w:themeColor="text1"/>
          <w:lang w:val="it-IT"/>
        </w:rPr>
        <w:t xml:space="preserve">Saccone, F., Melillo, P., Sgueglia, A., Di Sorbo, A. and Visaggio, C.A. (2025). </w:t>
      </w:r>
      <w:r w:rsidRPr="00A2508B">
        <w:rPr>
          <w:color w:val="000000" w:themeColor="text1"/>
          <w:lang w:val="en-US"/>
        </w:rPr>
        <w:t xml:space="preserve">The ransomware blueprint: Attack patterns and strategic variations across gangs. </w:t>
      </w:r>
      <w:r w:rsidRPr="00A2508B">
        <w:rPr>
          <w:i/>
          <w:iCs/>
          <w:color w:val="000000" w:themeColor="text1"/>
          <w:lang w:val="en-US"/>
        </w:rPr>
        <w:t>Journal of Information Security and Applications</w:t>
      </w:r>
      <w:r w:rsidRPr="00A2508B">
        <w:rPr>
          <w:color w:val="000000" w:themeColor="text1"/>
          <w:lang w:val="en-US"/>
        </w:rPr>
        <w:t xml:space="preserve">, 95, p.104264. </w:t>
      </w:r>
      <w:proofErr w:type="spellStart"/>
      <w:r w:rsidRPr="00A2508B">
        <w:rPr>
          <w:color w:val="000000" w:themeColor="text1"/>
          <w:lang w:val="en-US"/>
        </w:rPr>
        <w:t>doi:</w:t>
      </w:r>
      <w:hyperlink r:id="rId30" w:history="1">
        <w:r w:rsidRPr="00A2508B">
          <w:rPr>
            <w:rStyle w:val="Hyperlink"/>
            <w:color w:val="000000" w:themeColor="text1"/>
            <w:lang w:val="en-US"/>
          </w:rPr>
          <w:t>https</w:t>
        </w:r>
        <w:proofErr w:type="spellEnd"/>
        <w:r w:rsidRPr="00A2508B">
          <w:rPr>
            <w:rStyle w:val="Hyperlink"/>
            <w:color w:val="000000" w:themeColor="text1"/>
            <w:lang w:val="en-US"/>
          </w:rPr>
          <w:t>://doi.org/10.1016/j.jisa.2025.104264</w:t>
        </w:r>
      </w:hyperlink>
      <w:r w:rsidRPr="00A2508B">
        <w:rPr>
          <w:color w:val="000000" w:themeColor="text1"/>
          <w:lang w:val="en-US"/>
        </w:rPr>
        <w:t>.</w:t>
      </w:r>
    </w:p>
    <w:p w14:paraId="69F272A0" w14:textId="77777777" w:rsidR="00A2508B" w:rsidRPr="00A2508B" w:rsidRDefault="00A2508B" w:rsidP="001C603C">
      <w:pPr>
        <w:rPr>
          <w:color w:val="000000" w:themeColor="text1"/>
          <w:lang w:val="pt-PT"/>
        </w:rPr>
      </w:pPr>
      <w:r w:rsidRPr="00A2508B">
        <w:rPr>
          <w:color w:val="000000" w:themeColor="text1"/>
          <w:lang w:val="en-US"/>
        </w:rPr>
        <w:lastRenderedPageBreak/>
        <w:t xml:space="preserve">Saeed, S., </w:t>
      </w:r>
      <w:proofErr w:type="spellStart"/>
      <w:r w:rsidRPr="00A2508B">
        <w:rPr>
          <w:color w:val="000000" w:themeColor="text1"/>
          <w:lang w:val="en-US"/>
        </w:rPr>
        <w:t>Suayyid</w:t>
      </w:r>
      <w:proofErr w:type="spellEnd"/>
      <w:r w:rsidRPr="00A2508B">
        <w:rPr>
          <w:color w:val="000000" w:themeColor="text1"/>
          <w:lang w:val="en-US"/>
        </w:rPr>
        <w:t xml:space="preserve">, S.A., Al-Ghamdi, M.S., Al-Muhaisen, H. and </w:t>
      </w:r>
      <w:proofErr w:type="spellStart"/>
      <w:r w:rsidRPr="00A2508B">
        <w:rPr>
          <w:color w:val="000000" w:themeColor="text1"/>
          <w:lang w:val="en-US"/>
        </w:rPr>
        <w:t>Almuhaideb</w:t>
      </w:r>
      <w:proofErr w:type="spellEnd"/>
      <w:r w:rsidRPr="00A2508B">
        <w:rPr>
          <w:color w:val="000000" w:themeColor="text1"/>
          <w:lang w:val="en-US"/>
        </w:rPr>
        <w:t xml:space="preserve">, A.M. (2023). A Systematic Literature Review on Cyber Threat Intelligence for Organizational Cybersecurity Resilience. </w:t>
      </w:r>
      <w:proofErr w:type="spellStart"/>
      <w:r w:rsidRPr="00A2508B">
        <w:rPr>
          <w:i/>
          <w:iCs/>
          <w:color w:val="000000" w:themeColor="text1"/>
          <w:lang w:val="pt-PT"/>
        </w:rPr>
        <w:t>Sensors</w:t>
      </w:r>
      <w:proofErr w:type="spellEnd"/>
      <w:r w:rsidRPr="00A2508B">
        <w:rPr>
          <w:color w:val="000000" w:themeColor="text1"/>
          <w:lang w:val="pt-PT"/>
        </w:rPr>
        <w:t xml:space="preserve">, 23(16), p.7273. </w:t>
      </w:r>
      <w:proofErr w:type="spellStart"/>
      <w:r w:rsidRPr="00A2508B">
        <w:rPr>
          <w:color w:val="000000" w:themeColor="text1"/>
          <w:lang w:val="pt-PT"/>
        </w:rPr>
        <w:t>doi:</w:t>
      </w:r>
      <w:hyperlink r:id="rId31" w:history="1">
        <w:r w:rsidRPr="00A2508B">
          <w:rPr>
            <w:rStyle w:val="Hyperlink"/>
            <w:color w:val="000000" w:themeColor="text1"/>
            <w:lang w:val="pt-PT"/>
          </w:rPr>
          <w:t>https</w:t>
        </w:r>
        <w:proofErr w:type="spellEnd"/>
        <w:r w:rsidRPr="00A2508B">
          <w:rPr>
            <w:rStyle w:val="Hyperlink"/>
            <w:color w:val="000000" w:themeColor="text1"/>
            <w:lang w:val="pt-PT"/>
          </w:rPr>
          <w:t>://doi.org/10.3390/s23167273</w:t>
        </w:r>
      </w:hyperlink>
      <w:r w:rsidRPr="00A2508B">
        <w:rPr>
          <w:color w:val="000000" w:themeColor="text1"/>
          <w:lang w:val="pt-PT"/>
        </w:rPr>
        <w:t>.</w:t>
      </w:r>
    </w:p>
    <w:p w14:paraId="15244B14" w14:textId="77777777" w:rsidR="00A2508B" w:rsidRPr="00A2508B" w:rsidRDefault="00A2508B" w:rsidP="001C603C">
      <w:pPr>
        <w:rPr>
          <w:color w:val="000000" w:themeColor="text1"/>
          <w:lang w:val="en-US"/>
        </w:rPr>
      </w:pPr>
      <w:r w:rsidRPr="00A2508B">
        <w:rPr>
          <w:color w:val="000000" w:themeColor="text1"/>
          <w:lang w:val="pt-PT"/>
        </w:rPr>
        <w:t xml:space="preserve">Santos, P., Abreu, R., Reis, M.J.C.S., Serôdio, C. </w:t>
      </w:r>
      <w:proofErr w:type="spellStart"/>
      <w:r w:rsidRPr="00A2508B">
        <w:rPr>
          <w:color w:val="000000" w:themeColor="text1"/>
          <w:lang w:val="pt-PT"/>
        </w:rPr>
        <w:t>and</w:t>
      </w:r>
      <w:proofErr w:type="spellEnd"/>
      <w:r w:rsidRPr="00A2508B">
        <w:rPr>
          <w:color w:val="000000" w:themeColor="text1"/>
          <w:lang w:val="pt-PT"/>
        </w:rPr>
        <w:t xml:space="preserve"> Branco, F. (2025). </w:t>
      </w:r>
      <w:r w:rsidRPr="00A2508B">
        <w:rPr>
          <w:color w:val="000000" w:themeColor="text1"/>
          <w:lang w:val="en-US"/>
        </w:rPr>
        <w:t xml:space="preserve">A Systematic Review of Cyber Threat Intelligence: The Effectiveness of Technologies, Strategies, and Collaborations in Combating Modern Threats. </w:t>
      </w:r>
      <w:r w:rsidRPr="00A2508B">
        <w:rPr>
          <w:i/>
          <w:iCs/>
          <w:color w:val="000000" w:themeColor="text1"/>
          <w:lang w:val="en-US"/>
        </w:rPr>
        <w:t>Sensors</w:t>
      </w:r>
      <w:r w:rsidRPr="00A2508B">
        <w:rPr>
          <w:color w:val="000000" w:themeColor="text1"/>
          <w:lang w:val="en-US"/>
        </w:rPr>
        <w:t xml:space="preserve">, 25(14), p.4272. </w:t>
      </w:r>
      <w:proofErr w:type="spellStart"/>
      <w:r w:rsidRPr="00A2508B">
        <w:rPr>
          <w:color w:val="000000" w:themeColor="text1"/>
          <w:lang w:val="en-US"/>
        </w:rPr>
        <w:t>doi:</w:t>
      </w:r>
      <w:hyperlink r:id="rId32" w:history="1">
        <w:r w:rsidRPr="00A2508B">
          <w:rPr>
            <w:rStyle w:val="Hyperlink"/>
            <w:color w:val="000000" w:themeColor="text1"/>
            <w:lang w:val="en-US"/>
          </w:rPr>
          <w:t>https</w:t>
        </w:r>
        <w:proofErr w:type="spellEnd"/>
        <w:r w:rsidRPr="00A2508B">
          <w:rPr>
            <w:rStyle w:val="Hyperlink"/>
            <w:color w:val="000000" w:themeColor="text1"/>
            <w:lang w:val="en-US"/>
          </w:rPr>
          <w:t>://doi.org/10.3390/s25144272</w:t>
        </w:r>
      </w:hyperlink>
      <w:r w:rsidRPr="00A2508B">
        <w:rPr>
          <w:color w:val="000000" w:themeColor="text1"/>
          <w:lang w:val="en-US"/>
        </w:rPr>
        <w:t>.</w:t>
      </w:r>
    </w:p>
    <w:p w14:paraId="2C6107C6" w14:textId="77777777" w:rsidR="00A2508B" w:rsidRPr="00A2508B" w:rsidRDefault="00A2508B" w:rsidP="001C603C">
      <w:pPr>
        <w:rPr>
          <w:color w:val="000000" w:themeColor="text1"/>
          <w:lang w:val="en-US"/>
        </w:rPr>
      </w:pPr>
      <w:r w:rsidRPr="00A2508B">
        <w:rPr>
          <w:color w:val="000000" w:themeColor="text1"/>
          <w:lang w:val="en-US"/>
        </w:rPr>
        <w:t xml:space="preserve">Schlette, D., Böhm, F., Caselli, M. and </w:t>
      </w:r>
      <w:proofErr w:type="spellStart"/>
      <w:r w:rsidRPr="00A2508B">
        <w:rPr>
          <w:color w:val="000000" w:themeColor="text1"/>
          <w:lang w:val="en-US"/>
        </w:rPr>
        <w:t>Pernul</w:t>
      </w:r>
      <w:proofErr w:type="spellEnd"/>
      <w:r w:rsidRPr="00A2508B">
        <w:rPr>
          <w:color w:val="000000" w:themeColor="text1"/>
          <w:lang w:val="en-US"/>
        </w:rPr>
        <w:t xml:space="preserve">, G. (2020). Measuring and visualizing cyber threat intelligence quality. </w:t>
      </w:r>
      <w:r w:rsidRPr="00A2508B">
        <w:rPr>
          <w:i/>
          <w:iCs/>
          <w:color w:val="000000" w:themeColor="text1"/>
          <w:lang w:val="en-US"/>
        </w:rPr>
        <w:t>International Journal of Information Security</w:t>
      </w:r>
      <w:r w:rsidRPr="00A2508B">
        <w:rPr>
          <w:color w:val="000000" w:themeColor="text1"/>
          <w:lang w:val="en-US"/>
        </w:rPr>
        <w:t xml:space="preserve">, 20(1), pp.21–38. </w:t>
      </w:r>
      <w:proofErr w:type="spellStart"/>
      <w:r w:rsidRPr="00A2508B">
        <w:rPr>
          <w:color w:val="000000" w:themeColor="text1"/>
          <w:lang w:val="en-US"/>
        </w:rPr>
        <w:t>doi:</w:t>
      </w:r>
      <w:hyperlink r:id="rId33" w:history="1">
        <w:r w:rsidRPr="00A2508B">
          <w:rPr>
            <w:rStyle w:val="Hyperlink"/>
            <w:color w:val="000000" w:themeColor="text1"/>
            <w:lang w:val="en-US"/>
          </w:rPr>
          <w:t>https</w:t>
        </w:r>
        <w:proofErr w:type="spellEnd"/>
        <w:r w:rsidRPr="00A2508B">
          <w:rPr>
            <w:rStyle w:val="Hyperlink"/>
            <w:color w:val="000000" w:themeColor="text1"/>
            <w:lang w:val="en-US"/>
          </w:rPr>
          <w:t>://doi.org/10.1007/s10207-020-00490-y</w:t>
        </w:r>
      </w:hyperlink>
      <w:r w:rsidRPr="00A2508B">
        <w:rPr>
          <w:color w:val="000000" w:themeColor="text1"/>
          <w:lang w:val="en-US"/>
        </w:rPr>
        <w:t>.</w:t>
      </w:r>
    </w:p>
    <w:p w14:paraId="2173F1AD" w14:textId="77777777" w:rsidR="00A2508B" w:rsidRPr="00A2508B" w:rsidRDefault="00A2508B" w:rsidP="001C603C">
      <w:pPr>
        <w:rPr>
          <w:color w:val="000000" w:themeColor="text1"/>
          <w:lang w:val="en-US"/>
        </w:rPr>
      </w:pPr>
      <w:proofErr w:type="spellStart"/>
      <w:r w:rsidRPr="00A2508B">
        <w:rPr>
          <w:color w:val="000000" w:themeColor="text1"/>
          <w:lang w:val="de-DE"/>
        </w:rPr>
        <w:t>Sedenberg</w:t>
      </w:r>
      <w:proofErr w:type="spellEnd"/>
      <w:r w:rsidRPr="00A2508B">
        <w:rPr>
          <w:color w:val="000000" w:themeColor="text1"/>
          <w:lang w:val="de-DE"/>
        </w:rPr>
        <w:t xml:space="preserve">, E. and Dempsey, J. (2018). </w:t>
      </w:r>
      <w:r w:rsidRPr="00A2508B">
        <w:rPr>
          <w:i/>
          <w:iCs/>
          <w:color w:val="000000" w:themeColor="text1"/>
          <w:lang w:val="en-US"/>
        </w:rPr>
        <w:t>Cybersecurity Information Sharing Governance Structures: An Ecosystem of Diversity, Trust, and Tradeoffs</w:t>
      </w:r>
      <w:r w:rsidRPr="00A2508B">
        <w:rPr>
          <w:color w:val="000000" w:themeColor="text1"/>
          <w:lang w:val="en-US"/>
        </w:rPr>
        <w:t xml:space="preserve">. [online] </w:t>
      </w:r>
      <w:r w:rsidRPr="00A2508B">
        <w:rPr>
          <w:i/>
          <w:iCs/>
          <w:color w:val="000000" w:themeColor="text1"/>
          <w:lang w:val="en-US"/>
        </w:rPr>
        <w:t>arXiv.org</w:t>
      </w:r>
      <w:r w:rsidRPr="00A2508B">
        <w:rPr>
          <w:color w:val="000000" w:themeColor="text1"/>
          <w:lang w:val="en-US"/>
        </w:rPr>
        <w:t>, Cornell University , pp.1–27. Available at: file:///C:/Users/hosam/Desktop/ChristensenandPetersenendnov20171.pdf [Accessed 26 Dec. 2025].</w:t>
      </w:r>
    </w:p>
    <w:p w14:paraId="780B3CE8" w14:textId="77777777" w:rsidR="00A2508B" w:rsidRPr="00A2508B" w:rsidRDefault="00A2508B" w:rsidP="001C603C">
      <w:pPr>
        <w:rPr>
          <w:color w:val="000000" w:themeColor="text1"/>
          <w:lang w:val="en-US"/>
        </w:rPr>
      </w:pPr>
      <w:r w:rsidRPr="00A2508B">
        <w:rPr>
          <w:color w:val="000000" w:themeColor="text1"/>
          <w:lang w:val="de-DE"/>
        </w:rPr>
        <w:t xml:space="preserve">Singh, V., Nikam, A., Singh, R. and Mehta, D. (2025). </w:t>
      </w:r>
      <w:r w:rsidRPr="00A2508B">
        <w:rPr>
          <w:i/>
          <w:iCs/>
          <w:color w:val="000000" w:themeColor="text1"/>
          <w:lang w:val="en-US"/>
        </w:rPr>
        <w:t>Advancements in Digital Forensics: Emerging Tools and Techniques</w:t>
      </w:r>
      <w:r w:rsidRPr="00A2508B">
        <w:rPr>
          <w:color w:val="000000" w:themeColor="text1"/>
          <w:lang w:val="en-US"/>
        </w:rPr>
        <w:t>. [online] Journal of Information Systems Engineering and Management. Available at: file:///C:/Users/hosam/Desktop/Advancements_in_Digital_Forensics_Emerging_Tools_a.pdf [Accessed 14 Dec. 2025].</w:t>
      </w:r>
    </w:p>
    <w:p w14:paraId="622C7FEC" w14:textId="0D35F184" w:rsidR="00A2508B" w:rsidRPr="00A2508B" w:rsidRDefault="00A2508B" w:rsidP="001C603C">
      <w:pPr>
        <w:rPr>
          <w:color w:val="000000" w:themeColor="text1"/>
          <w:lang w:val="en-US"/>
        </w:rPr>
      </w:pPr>
      <w:r w:rsidRPr="00A2508B">
        <w:rPr>
          <w:color w:val="000000" w:themeColor="text1"/>
          <w:lang w:val="en-US"/>
        </w:rPr>
        <w:t xml:space="preserve">Sitima, J. (2024). </w:t>
      </w:r>
      <w:r w:rsidRPr="00A2508B">
        <w:rPr>
          <w:i/>
          <w:iCs/>
          <w:color w:val="000000" w:themeColor="text1"/>
          <w:lang w:val="en-US"/>
        </w:rPr>
        <w:t>A Compendium</w:t>
      </w:r>
      <w:r w:rsidRPr="00A2508B">
        <w:rPr>
          <w:color w:val="000000" w:themeColor="text1"/>
          <w:lang w:val="en-US"/>
        </w:rPr>
        <w:t xml:space="preserve">. </w:t>
      </w:r>
      <w:r w:rsidRPr="00B438FF">
        <w:rPr>
          <w:color w:val="000000" w:themeColor="text1"/>
        </w:rPr>
        <w:t>[online]</w:t>
      </w:r>
      <w:r w:rsidR="001C603C" w:rsidRPr="00B438FF">
        <w:rPr>
          <w:color w:val="000000" w:themeColor="text1"/>
        </w:rPr>
        <w:t xml:space="preserve"> </w:t>
      </w:r>
      <w:r w:rsidRPr="00B438FF">
        <w:rPr>
          <w:i/>
          <w:iCs/>
          <w:color w:val="000000" w:themeColor="text1"/>
        </w:rPr>
        <w:t>www.ijfmr.com</w:t>
      </w:r>
      <w:r w:rsidRPr="00B438FF">
        <w:rPr>
          <w:color w:val="000000" w:themeColor="text1"/>
        </w:rPr>
        <w:t xml:space="preserve">, pp.1–17. </w:t>
      </w:r>
      <w:r w:rsidRPr="00A2508B">
        <w:rPr>
          <w:color w:val="000000" w:themeColor="text1"/>
          <w:lang w:val="en-US"/>
        </w:rPr>
        <w:t>Available at: file:///C:/Users/hosam/Desktop/peel-police-effectiveness-2016-metropolitan.pdf [Accessed 14 Dec. 2025].</w:t>
      </w:r>
    </w:p>
    <w:p w14:paraId="60347373" w14:textId="77777777" w:rsidR="00A2508B" w:rsidRPr="00A2508B" w:rsidRDefault="00A2508B" w:rsidP="001C603C">
      <w:pPr>
        <w:rPr>
          <w:color w:val="000000" w:themeColor="text1"/>
          <w:lang w:val="en-US"/>
        </w:rPr>
      </w:pPr>
      <w:r w:rsidRPr="00A2508B">
        <w:rPr>
          <w:color w:val="000000" w:themeColor="text1"/>
          <w:lang w:val="en-US"/>
        </w:rPr>
        <w:t xml:space="preserve">Tiwari, M. and Thapaliya, </w:t>
      </w:r>
      <w:proofErr w:type="spellStart"/>
      <w:r w:rsidRPr="00A2508B">
        <w:rPr>
          <w:color w:val="000000" w:themeColor="text1"/>
          <w:lang w:val="en-US"/>
        </w:rPr>
        <w:t>Dr.S</w:t>
      </w:r>
      <w:proofErr w:type="spellEnd"/>
      <w:r w:rsidRPr="00A2508B">
        <w:rPr>
          <w:color w:val="000000" w:themeColor="text1"/>
          <w:lang w:val="en-US"/>
        </w:rPr>
        <w:t xml:space="preserve">. (2025). Technical Challenges of Encryption in Mobile Forensics. </w:t>
      </w:r>
      <w:r w:rsidRPr="00A2508B">
        <w:rPr>
          <w:i/>
          <w:iCs/>
          <w:color w:val="000000" w:themeColor="text1"/>
          <w:lang w:val="en-US"/>
        </w:rPr>
        <w:t>International Journal of Multidisciplinary and Innovative Research</w:t>
      </w:r>
      <w:r w:rsidRPr="00A2508B">
        <w:rPr>
          <w:color w:val="000000" w:themeColor="text1"/>
          <w:lang w:val="en-US"/>
        </w:rPr>
        <w:t xml:space="preserve">, 02(06). </w:t>
      </w:r>
      <w:proofErr w:type="spellStart"/>
      <w:r w:rsidRPr="00A2508B">
        <w:rPr>
          <w:color w:val="000000" w:themeColor="text1"/>
          <w:lang w:val="en-US"/>
        </w:rPr>
        <w:t>doi:</w:t>
      </w:r>
      <w:hyperlink r:id="rId34" w:history="1">
        <w:r w:rsidRPr="00A2508B">
          <w:rPr>
            <w:rStyle w:val="Hyperlink"/>
            <w:color w:val="000000" w:themeColor="text1"/>
            <w:lang w:val="en-US"/>
          </w:rPr>
          <w:t>https</w:t>
        </w:r>
        <w:proofErr w:type="spellEnd"/>
        <w:r w:rsidRPr="00A2508B">
          <w:rPr>
            <w:rStyle w:val="Hyperlink"/>
            <w:color w:val="000000" w:themeColor="text1"/>
            <w:lang w:val="en-US"/>
          </w:rPr>
          <w:t>://doi.org/10.58806/ijmir.2025.v2i6n03</w:t>
        </w:r>
      </w:hyperlink>
      <w:r w:rsidRPr="00A2508B">
        <w:rPr>
          <w:color w:val="000000" w:themeColor="text1"/>
          <w:lang w:val="en-US"/>
        </w:rPr>
        <w:t>.</w:t>
      </w:r>
    </w:p>
    <w:p w14:paraId="573DE023" w14:textId="77777777" w:rsidR="00A2508B" w:rsidRPr="00A2508B" w:rsidRDefault="00A2508B" w:rsidP="001C603C">
      <w:pPr>
        <w:rPr>
          <w:color w:val="000000" w:themeColor="text1"/>
          <w:lang w:val="en-US"/>
        </w:rPr>
      </w:pPr>
      <w:r w:rsidRPr="00A2508B">
        <w:rPr>
          <w:color w:val="000000" w:themeColor="text1"/>
          <w:lang w:val="en-US"/>
        </w:rPr>
        <w:t xml:space="preserve">UK Government (2022). </w:t>
      </w:r>
      <w:r w:rsidRPr="00A2508B">
        <w:rPr>
          <w:i/>
          <w:iCs/>
          <w:color w:val="000000" w:themeColor="text1"/>
          <w:lang w:val="en-US"/>
        </w:rPr>
        <w:t>National Cyber Security Strategy 2022</w:t>
      </w:r>
      <w:r w:rsidRPr="00A2508B">
        <w:rPr>
          <w:color w:val="000000" w:themeColor="text1"/>
          <w:lang w:val="en-US"/>
        </w:rPr>
        <w:t xml:space="preserve">. [online] gov.uk. Available at: </w:t>
      </w:r>
      <w:hyperlink r:id="rId35" w:history="1">
        <w:r w:rsidRPr="00A2508B">
          <w:rPr>
            <w:rStyle w:val="Hyperlink"/>
            <w:color w:val="000000" w:themeColor="text1"/>
            <w:lang w:val="en-US"/>
          </w:rPr>
          <w:t>https://www.gov.uk/government/publications/national-cyber-strategy-2022/national-cyber-security-strategy-2022</w:t>
        </w:r>
      </w:hyperlink>
      <w:r w:rsidRPr="00A2508B">
        <w:rPr>
          <w:color w:val="000000" w:themeColor="text1"/>
          <w:lang w:val="en-US"/>
        </w:rPr>
        <w:t>.</w:t>
      </w:r>
    </w:p>
    <w:p w14:paraId="0B9F6EFB" w14:textId="77777777" w:rsidR="00A2508B" w:rsidRPr="00A2508B" w:rsidRDefault="00A2508B" w:rsidP="00D30A9B">
      <w:pPr>
        <w:jc w:val="both"/>
        <w:rPr>
          <w:color w:val="EE0000"/>
          <w:lang w:val="en-US"/>
        </w:rPr>
      </w:pPr>
    </w:p>
    <w:p w14:paraId="51D9E29A" w14:textId="77777777" w:rsidR="00950619" w:rsidRDefault="00950619" w:rsidP="00D30A9B">
      <w:pPr>
        <w:jc w:val="both"/>
        <w:rPr>
          <w:color w:val="EE0000"/>
        </w:rPr>
      </w:pPr>
    </w:p>
    <w:p w14:paraId="291858B4" w14:textId="77777777" w:rsidR="007977F7" w:rsidRPr="007977F7" w:rsidRDefault="007977F7" w:rsidP="00D30A9B">
      <w:pPr>
        <w:jc w:val="both"/>
        <w:rPr>
          <w:color w:val="EE0000"/>
        </w:rPr>
      </w:pPr>
    </w:p>
    <w:p w14:paraId="0F386554" w14:textId="77777777" w:rsidR="007977F7" w:rsidRPr="00F85EAC" w:rsidRDefault="007977F7" w:rsidP="00D30A9B">
      <w:pPr>
        <w:jc w:val="both"/>
        <w:rPr>
          <w:color w:val="EE0000"/>
        </w:rPr>
      </w:pPr>
    </w:p>
    <w:sectPr w:rsidR="007977F7" w:rsidRPr="00F85EAC" w:rsidSect="001D0A68">
      <w:head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13929" w14:textId="77777777" w:rsidR="004D1484" w:rsidRDefault="004D1484" w:rsidP="00EE5AA7">
      <w:pPr>
        <w:spacing w:after="0" w:line="240" w:lineRule="auto"/>
      </w:pPr>
      <w:r>
        <w:separator/>
      </w:r>
    </w:p>
  </w:endnote>
  <w:endnote w:type="continuationSeparator" w:id="0">
    <w:p w14:paraId="71E7ADE4" w14:textId="77777777" w:rsidR="004D1484" w:rsidRDefault="004D1484" w:rsidP="00EE5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4F6FB" w14:textId="77777777" w:rsidR="004D1484" w:rsidRDefault="004D1484" w:rsidP="00EE5AA7">
      <w:pPr>
        <w:spacing w:after="0" w:line="240" w:lineRule="auto"/>
      </w:pPr>
      <w:r>
        <w:separator/>
      </w:r>
    </w:p>
  </w:footnote>
  <w:footnote w:type="continuationSeparator" w:id="0">
    <w:p w14:paraId="58AC4039" w14:textId="77777777" w:rsidR="004D1484" w:rsidRDefault="004D1484" w:rsidP="00EE5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D6548" w14:textId="4CDD105A" w:rsidR="001D0A68" w:rsidRDefault="001D0A68">
    <w:pPr>
      <w:pStyle w:val="Header"/>
    </w:pPr>
  </w:p>
  <w:p w14:paraId="4DD12C5F" w14:textId="255514B0" w:rsidR="00AC6F4E" w:rsidRDefault="00AC6F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672098"/>
      <w:docPartObj>
        <w:docPartGallery w:val="Page Numbers (Top of Page)"/>
        <w:docPartUnique/>
      </w:docPartObj>
    </w:sdtPr>
    <w:sdtEndPr>
      <w:rPr>
        <w:noProof/>
      </w:rPr>
    </w:sdtEndPr>
    <w:sdtContent>
      <w:p w14:paraId="11AE4975" w14:textId="77777777" w:rsidR="001D0A68" w:rsidRDefault="001D0A68">
        <w:pPr>
          <w:pStyle w:val="Header"/>
        </w:pPr>
        <w:r>
          <w:fldChar w:fldCharType="begin"/>
        </w:r>
        <w:r>
          <w:instrText xml:space="preserve"> PAGE   \* MERGEFORMAT </w:instrText>
        </w:r>
        <w:r>
          <w:fldChar w:fldCharType="separate"/>
        </w:r>
        <w:r>
          <w:rPr>
            <w:noProof/>
          </w:rPr>
          <w:t>2</w:t>
        </w:r>
        <w:r>
          <w:rPr>
            <w:noProof/>
          </w:rPr>
          <w:fldChar w:fldCharType="end"/>
        </w:r>
      </w:p>
    </w:sdtContent>
  </w:sdt>
  <w:p w14:paraId="6644BE0F" w14:textId="77777777" w:rsidR="001D0A68" w:rsidRDefault="001D0A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405"/>
    <w:multiLevelType w:val="multilevel"/>
    <w:tmpl w:val="813A0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4F748C"/>
    <w:multiLevelType w:val="hybridMultilevel"/>
    <w:tmpl w:val="5FB05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C3040E"/>
    <w:multiLevelType w:val="hybridMultilevel"/>
    <w:tmpl w:val="54DC1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E025D"/>
    <w:multiLevelType w:val="hybridMultilevel"/>
    <w:tmpl w:val="0186D2E8"/>
    <w:lvl w:ilvl="0" w:tplc="348C45A4">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13F43698"/>
    <w:multiLevelType w:val="hybridMultilevel"/>
    <w:tmpl w:val="553EA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91586"/>
    <w:multiLevelType w:val="hybridMultilevel"/>
    <w:tmpl w:val="634E3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3E034B"/>
    <w:multiLevelType w:val="hybridMultilevel"/>
    <w:tmpl w:val="E05CC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1B4266"/>
    <w:multiLevelType w:val="hybridMultilevel"/>
    <w:tmpl w:val="86A254B0"/>
    <w:lvl w:ilvl="0" w:tplc="6B46CD7A">
      <w:start w:val="1"/>
      <w:numFmt w:val="decimal"/>
      <w:lvlText w:val="%1."/>
      <w:lvlJc w:val="left"/>
      <w:pPr>
        <w:ind w:left="786" w:hanging="360"/>
      </w:pPr>
      <w:rPr>
        <w:rFonts w:hint="default"/>
        <w:sz w:val="24"/>
        <w:szCs w:val="24"/>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4E4F7700"/>
    <w:multiLevelType w:val="hybridMultilevel"/>
    <w:tmpl w:val="49F49E0E"/>
    <w:lvl w:ilvl="0" w:tplc="03F8BA9E">
      <w:start w:val="1"/>
      <w:numFmt w:val="decimal"/>
      <w:lvlText w:val="%1."/>
      <w:lvlJc w:val="left"/>
      <w:pPr>
        <w:ind w:left="360" w:hanging="360"/>
      </w:pPr>
      <w:rPr>
        <w:b/>
        <w:bCs/>
        <w:sz w:val="32"/>
        <w:szCs w:val="3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1763088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8107416">
    <w:abstractNumId w:val="6"/>
  </w:num>
  <w:num w:numId="3" w16cid:durableId="113063742">
    <w:abstractNumId w:val="0"/>
  </w:num>
  <w:num w:numId="4" w16cid:durableId="13972422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1717447">
    <w:abstractNumId w:val="7"/>
  </w:num>
  <w:num w:numId="6" w16cid:durableId="366178562">
    <w:abstractNumId w:val="2"/>
  </w:num>
  <w:num w:numId="7" w16cid:durableId="1483232128">
    <w:abstractNumId w:val="1"/>
  </w:num>
  <w:num w:numId="8" w16cid:durableId="550906">
    <w:abstractNumId w:val="4"/>
  </w:num>
  <w:num w:numId="9" w16cid:durableId="7900516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280"/>
    <w:rsid w:val="0000442C"/>
    <w:rsid w:val="00006AB5"/>
    <w:rsid w:val="0001147A"/>
    <w:rsid w:val="00025606"/>
    <w:rsid w:val="0003145E"/>
    <w:rsid w:val="00031E62"/>
    <w:rsid w:val="00035D4E"/>
    <w:rsid w:val="000406C6"/>
    <w:rsid w:val="00042F52"/>
    <w:rsid w:val="000461BA"/>
    <w:rsid w:val="00050EB7"/>
    <w:rsid w:val="000516C6"/>
    <w:rsid w:val="0005693B"/>
    <w:rsid w:val="00057E65"/>
    <w:rsid w:val="00072F28"/>
    <w:rsid w:val="0007786F"/>
    <w:rsid w:val="000855E2"/>
    <w:rsid w:val="000879A0"/>
    <w:rsid w:val="00091725"/>
    <w:rsid w:val="000947AA"/>
    <w:rsid w:val="00094800"/>
    <w:rsid w:val="00096E61"/>
    <w:rsid w:val="00097829"/>
    <w:rsid w:val="000A0FC1"/>
    <w:rsid w:val="000A7404"/>
    <w:rsid w:val="000B2BF6"/>
    <w:rsid w:val="000B587E"/>
    <w:rsid w:val="000C24C6"/>
    <w:rsid w:val="000C3B02"/>
    <w:rsid w:val="000C73A0"/>
    <w:rsid w:val="000D4118"/>
    <w:rsid w:val="000E14BE"/>
    <w:rsid w:val="000E1D8B"/>
    <w:rsid w:val="000E2C87"/>
    <w:rsid w:val="000E459C"/>
    <w:rsid w:val="000E5D2E"/>
    <w:rsid w:val="000E6D08"/>
    <w:rsid w:val="000E7D10"/>
    <w:rsid w:val="000F5048"/>
    <w:rsid w:val="000F66F2"/>
    <w:rsid w:val="000F6A79"/>
    <w:rsid w:val="000F77CB"/>
    <w:rsid w:val="00104BFC"/>
    <w:rsid w:val="001105F8"/>
    <w:rsid w:val="00114846"/>
    <w:rsid w:val="00117DB8"/>
    <w:rsid w:val="00124477"/>
    <w:rsid w:val="00125C47"/>
    <w:rsid w:val="001314A8"/>
    <w:rsid w:val="00131A7A"/>
    <w:rsid w:val="00136851"/>
    <w:rsid w:val="00136AC7"/>
    <w:rsid w:val="00144BF9"/>
    <w:rsid w:val="00145AD6"/>
    <w:rsid w:val="00150817"/>
    <w:rsid w:val="00152D34"/>
    <w:rsid w:val="00153A04"/>
    <w:rsid w:val="00155313"/>
    <w:rsid w:val="0015546D"/>
    <w:rsid w:val="00163093"/>
    <w:rsid w:val="00172D7E"/>
    <w:rsid w:val="001930B4"/>
    <w:rsid w:val="00194E2F"/>
    <w:rsid w:val="001A15DB"/>
    <w:rsid w:val="001B48AF"/>
    <w:rsid w:val="001B4E13"/>
    <w:rsid w:val="001B538A"/>
    <w:rsid w:val="001C0D1A"/>
    <w:rsid w:val="001C2C61"/>
    <w:rsid w:val="001C464F"/>
    <w:rsid w:val="001C4680"/>
    <w:rsid w:val="001C5F60"/>
    <w:rsid w:val="001C603C"/>
    <w:rsid w:val="001C77DA"/>
    <w:rsid w:val="001D0A68"/>
    <w:rsid w:val="001D5ACE"/>
    <w:rsid w:val="001E1309"/>
    <w:rsid w:val="001E531C"/>
    <w:rsid w:val="001E5F93"/>
    <w:rsid w:val="001E6D5B"/>
    <w:rsid w:val="001F314A"/>
    <w:rsid w:val="001F5122"/>
    <w:rsid w:val="00207A84"/>
    <w:rsid w:val="0021315C"/>
    <w:rsid w:val="0021397D"/>
    <w:rsid w:val="00214E0F"/>
    <w:rsid w:val="00217A76"/>
    <w:rsid w:val="00217B83"/>
    <w:rsid w:val="00230053"/>
    <w:rsid w:val="0023363E"/>
    <w:rsid w:val="00251E66"/>
    <w:rsid w:val="002547A0"/>
    <w:rsid w:val="002551E0"/>
    <w:rsid w:val="00270C97"/>
    <w:rsid w:val="00273EEF"/>
    <w:rsid w:val="00281C79"/>
    <w:rsid w:val="0028516E"/>
    <w:rsid w:val="0029027B"/>
    <w:rsid w:val="00290F33"/>
    <w:rsid w:val="002954E0"/>
    <w:rsid w:val="002A1D1D"/>
    <w:rsid w:val="002B5152"/>
    <w:rsid w:val="002D0B78"/>
    <w:rsid w:val="002D56BA"/>
    <w:rsid w:val="002E570D"/>
    <w:rsid w:val="002F73D2"/>
    <w:rsid w:val="002F79A5"/>
    <w:rsid w:val="0030496C"/>
    <w:rsid w:val="003149FD"/>
    <w:rsid w:val="003152EE"/>
    <w:rsid w:val="00317CF3"/>
    <w:rsid w:val="00320ECB"/>
    <w:rsid w:val="00321D6C"/>
    <w:rsid w:val="003222C7"/>
    <w:rsid w:val="00324EA5"/>
    <w:rsid w:val="0033149A"/>
    <w:rsid w:val="00331F5B"/>
    <w:rsid w:val="00333605"/>
    <w:rsid w:val="0033411B"/>
    <w:rsid w:val="00345637"/>
    <w:rsid w:val="00350834"/>
    <w:rsid w:val="0035339D"/>
    <w:rsid w:val="0035359D"/>
    <w:rsid w:val="00356119"/>
    <w:rsid w:val="00362631"/>
    <w:rsid w:val="0036538D"/>
    <w:rsid w:val="00375D97"/>
    <w:rsid w:val="003806B3"/>
    <w:rsid w:val="00383653"/>
    <w:rsid w:val="00393D15"/>
    <w:rsid w:val="003961E2"/>
    <w:rsid w:val="003965BE"/>
    <w:rsid w:val="00397856"/>
    <w:rsid w:val="003A4E62"/>
    <w:rsid w:val="003B1012"/>
    <w:rsid w:val="003C1A2E"/>
    <w:rsid w:val="003C337A"/>
    <w:rsid w:val="003D40FF"/>
    <w:rsid w:val="003D6C73"/>
    <w:rsid w:val="003E780F"/>
    <w:rsid w:val="003F1C80"/>
    <w:rsid w:val="003F4EFC"/>
    <w:rsid w:val="00402074"/>
    <w:rsid w:val="00402B82"/>
    <w:rsid w:val="00417DAD"/>
    <w:rsid w:val="004207AA"/>
    <w:rsid w:val="00423C67"/>
    <w:rsid w:val="00424102"/>
    <w:rsid w:val="00425396"/>
    <w:rsid w:val="004315FF"/>
    <w:rsid w:val="00435BBE"/>
    <w:rsid w:val="00443691"/>
    <w:rsid w:val="0045605C"/>
    <w:rsid w:val="0045790E"/>
    <w:rsid w:val="00460D4D"/>
    <w:rsid w:val="0046550B"/>
    <w:rsid w:val="0047511D"/>
    <w:rsid w:val="00482AFF"/>
    <w:rsid w:val="004863BA"/>
    <w:rsid w:val="004910E1"/>
    <w:rsid w:val="004918C8"/>
    <w:rsid w:val="004946E9"/>
    <w:rsid w:val="0049512E"/>
    <w:rsid w:val="004A16DA"/>
    <w:rsid w:val="004A7229"/>
    <w:rsid w:val="004B3A52"/>
    <w:rsid w:val="004B6891"/>
    <w:rsid w:val="004C5F52"/>
    <w:rsid w:val="004C730E"/>
    <w:rsid w:val="004D0DCE"/>
    <w:rsid w:val="004D1484"/>
    <w:rsid w:val="004E1989"/>
    <w:rsid w:val="004E48EE"/>
    <w:rsid w:val="004F39F4"/>
    <w:rsid w:val="004F7356"/>
    <w:rsid w:val="00503BE9"/>
    <w:rsid w:val="00504C8D"/>
    <w:rsid w:val="00507363"/>
    <w:rsid w:val="0051257B"/>
    <w:rsid w:val="0051327E"/>
    <w:rsid w:val="00514188"/>
    <w:rsid w:val="00523962"/>
    <w:rsid w:val="0053143B"/>
    <w:rsid w:val="005411FC"/>
    <w:rsid w:val="005523BA"/>
    <w:rsid w:val="00553B22"/>
    <w:rsid w:val="005644F9"/>
    <w:rsid w:val="005647AF"/>
    <w:rsid w:val="00571749"/>
    <w:rsid w:val="00571989"/>
    <w:rsid w:val="00572862"/>
    <w:rsid w:val="005733E2"/>
    <w:rsid w:val="00573C0D"/>
    <w:rsid w:val="00574771"/>
    <w:rsid w:val="0058352D"/>
    <w:rsid w:val="005840C3"/>
    <w:rsid w:val="00585E71"/>
    <w:rsid w:val="00594F4E"/>
    <w:rsid w:val="005A0AF6"/>
    <w:rsid w:val="005A2AB9"/>
    <w:rsid w:val="005A30E0"/>
    <w:rsid w:val="005A35FC"/>
    <w:rsid w:val="005A57A2"/>
    <w:rsid w:val="005A7763"/>
    <w:rsid w:val="005B2C34"/>
    <w:rsid w:val="005B2CEC"/>
    <w:rsid w:val="005B403C"/>
    <w:rsid w:val="005C37FD"/>
    <w:rsid w:val="005D4504"/>
    <w:rsid w:val="005D7F9A"/>
    <w:rsid w:val="005F07F9"/>
    <w:rsid w:val="005F137A"/>
    <w:rsid w:val="005F2A6C"/>
    <w:rsid w:val="005F3D93"/>
    <w:rsid w:val="005F60D4"/>
    <w:rsid w:val="005F65D7"/>
    <w:rsid w:val="00602264"/>
    <w:rsid w:val="00607BF5"/>
    <w:rsid w:val="00610E42"/>
    <w:rsid w:val="00612151"/>
    <w:rsid w:val="0061634D"/>
    <w:rsid w:val="0062183C"/>
    <w:rsid w:val="006326C9"/>
    <w:rsid w:val="00635279"/>
    <w:rsid w:val="00636091"/>
    <w:rsid w:val="006432B6"/>
    <w:rsid w:val="006443D1"/>
    <w:rsid w:val="00645841"/>
    <w:rsid w:val="00661FE4"/>
    <w:rsid w:val="006644A5"/>
    <w:rsid w:val="00664E9A"/>
    <w:rsid w:val="00667595"/>
    <w:rsid w:val="00671877"/>
    <w:rsid w:val="00675D50"/>
    <w:rsid w:val="00687294"/>
    <w:rsid w:val="006944E2"/>
    <w:rsid w:val="00696740"/>
    <w:rsid w:val="00696F17"/>
    <w:rsid w:val="006A6287"/>
    <w:rsid w:val="006C3950"/>
    <w:rsid w:val="006E30F1"/>
    <w:rsid w:val="006E74FE"/>
    <w:rsid w:val="006E7F06"/>
    <w:rsid w:val="006F134C"/>
    <w:rsid w:val="006F13BF"/>
    <w:rsid w:val="006F29AE"/>
    <w:rsid w:val="006F77F4"/>
    <w:rsid w:val="0070062F"/>
    <w:rsid w:val="0070144B"/>
    <w:rsid w:val="00701E6C"/>
    <w:rsid w:val="00701EB3"/>
    <w:rsid w:val="00712DB6"/>
    <w:rsid w:val="007160FB"/>
    <w:rsid w:val="00720206"/>
    <w:rsid w:val="007206C9"/>
    <w:rsid w:val="007217FF"/>
    <w:rsid w:val="0072739D"/>
    <w:rsid w:val="00731DA6"/>
    <w:rsid w:val="00732718"/>
    <w:rsid w:val="00733637"/>
    <w:rsid w:val="00735DB3"/>
    <w:rsid w:val="00740D91"/>
    <w:rsid w:val="00742771"/>
    <w:rsid w:val="00745A01"/>
    <w:rsid w:val="00747195"/>
    <w:rsid w:val="00757A7A"/>
    <w:rsid w:val="00760BF5"/>
    <w:rsid w:val="00776AEF"/>
    <w:rsid w:val="00783307"/>
    <w:rsid w:val="00791E30"/>
    <w:rsid w:val="0079499B"/>
    <w:rsid w:val="007951E0"/>
    <w:rsid w:val="007967F8"/>
    <w:rsid w:val="007977F7"/>
    <w:rsid w:val="007A161E"/>
    <w:rsid w:val="007B0BE5"/>
    <w:rsid w:val="007B2A4D"/>
    <w:rsid w:val="007B41FE"/>
    <w:rsid w:val="007C2C01"/>
    <w:rsid w:val="007C3E93"/>
    <w:rsid w:val="007E6A0C"/>
    <w:rsid w:val="007F09FC"/>
    <w:rsid w:val="007F272A"/>
    <w:rsid w:val="007F3487"/>
    <w:rsid w:val="007F6E47"/>
    <w:rsid w:val="00801925"/>
    <w:rsid w:val="00803970"/>
    <w:rsid w:val="00804F83"/>
    <w:rsid w:val="008140F4"/>
    <w:rsid w:val="00817656"/>
    <w:rsid w:val="008215D7"/>
    <w:rsid w:val="00823768"/>
    <w:rsid w:val="00831056"/>
    <w:rsid w:val="00833B61"/>
    <w:rsid w:val="00833ED7"/>
    <w:rsid w:val="00835A26"/>
    <w:rsid w:val="00840188"/>
    <w:rsid w:val="00844C15"/>
    <w:rsid w:val="008515CE"/>
    <w:rsid w:val="00851655"/>
    <w:rsid w:val="0085310A"/>
    <w:rsid w:val="00855EBB"/>
    <w:rsid w:val="0085679C"/>
    <w:rsid w:val="00866822"/>
    <w:rsid w:val="008668FC"/>
    <w:rsid w:val="0087185D"/>
    <w:rsid w:val="00873B7A"/>
    <w:rsid w:val="00880297"/>
    <w:rsid w:val="008831AF"/>
    <w:rsid w:val="00887DDE"/>
    <w:rsid w:val="00890F2D"/>
    <w:rsid w:val="00893C8F"/>
    <w:rsid w:val="008A1546"/>
    <w:rsid w:val="008A1DA0"/>
    <w:rsid w:val="008A38F1"/>
    <w:rsid w:val="008B13D8"/>
    <w:rsid w:val="008B1621"/>
    <w:rsid w:val="008B2404"/>
    <w:rsid w:val="008C556B"/>
    <w:rsid w:val="008C5ED2"/>
    <w:rsid w:val="008D473D"/>
    <w:rsid w:val="008D612D"/>
    <w:rsid w:val="008E308E"/>
    <w:rsid w:val="00901052"/>
    <w:rsid w:val="009022C9"/>
    <w:rsid w:val="009046FC"/>
    <w:rsid w:val="009054DB"/>
    <w:rsid w:val="00906D53"/>
    <w:rsid w:val="00910393"/>
    <w:rsid w:val="00911639"/>
    <w:rsid w:val="00914B2D"/>
    <w:rsid w:val="009172C6"/>
    <w:rsid w:val="009317F4"/>
    <w:rsid w:val="00931940"/>
    <w:rsid w:val="00932300"/>
    <w:rsid w:val="00934075"/>
    <w:rsid w:val="0093658D"/>
    <w:rsid w:val="00937B96"/>
    <w:rsid w:val="00941681"/>
    <w:rsid w:val="0094465A"/>
    <w:rsid w:val="00945476"/>
    <w:rsid w:val="00945D46"/>
    <w:rsid w:val="00950619"/>
    <w:rsid w:val="00954054"/>
    <w:rsid w:val="009562C8"/>
    <w:rsid w:val="00961925"/>
    <w:rsid w:val="00962982"/>
    <w:rsid w:val="00965ED1"/>
    <w:rsid w:val="00966536"/>
    <w:rsid w:val="0097186D"/>
    <w:rsid w:val="00976189"/>
    <w:rsid w:val="00977097"/>
    <w:rsid w:val="009814BC"/>
    <w:rsid w:val="00982ED6"/>
    <w:rsid w:val="00984151"/>
    <w:rsid w:val="00985F6F"/>
    <w:rsid w:val="009A0318"/>
    <w:rsid w:val="009A1C4A"/>
    <w:rsid w:val="009A38E8"/>
    <w:rsid w:val="009A5F6A"/>
    <w:rsid w:val="009A770E"/>
    <w:rsid w:val="009B1207"/>
    <w:rsid w:val="009B312C"/>
    <w:rsid w:val="009B49DC"/>
    <w:rsid w:val="009C0191"/>
    <w:rsid w:val="009C0816"/>
    <w:rsid w:val="009C21DB"/>
    <w:rsid w:val="009C36F7"/>
    <w:rsid w:val="009C3FCA"/>
    <w:rsid w:val="009D4FF8"/>
    <w:rsid w:val="009E0F77"/>
    <w:rsid w:val="009E1356"/>
    <w:rsid w:val="009E57A1"/>
    <w:rsid w:val="009F173A"/>
    <w:rsid w:val="00A01339"/>
    <w:rsid w:val="00A05A74"/>
    <w:rsid w:val="00A065EC"/>
    <w:rsid w:val="00A104B4"/>
    <w:rsid w:val="00A12DA8"/>
    <w:rsid w:val="00A136B6"/>
    <w:rsid w:val="00A14DAE"/>
    <w:rsid w:val="00A15319"/>
    <w:rsid w:val="00A16EB4"/>
    <w:rsid w:val="00A17A4C"/>
    <w:rsid w:val="00A20AD9"/>
    <w:rsid w:val="00A22B94"/>
    <w:rsid w:val="00A22E34"/>
    <w:rsid w:val="00A2508B"/>
    <w:rsid w:val="00A460D9"/>
    <w:rsid w:val="00A47250"/>
    <w:rsid w:val="00A50883"/>
    <w:rsid w:val="00A51C34"/>
    <w:rsid w:val="00A53E9C"/>
    <w:rsid w:val="00A549A8"/>
    <w:rsid w:val="00A72765"/>
    <w:rsid w:val="00A72D86"/>
    <w:rsid w:val="00A80C50"/>
    <w:rsid w:val="00A84730"/>
    <w:rsid w:val="00A87766"/>
    <w:rsid w:val="00A918D2"/>
    <w:rsid w:val="00A91AF5"/>
    <w:rsid w:val="00A92AE4"/>
    <w:rsid w:val="00A93677"/>
    <w:rsid w:val="00A961AA"/>
    <w:rsid w:val="00AA1F8A"/>
    <w:rsid w:val="00AA2054"/>
    <w:rsid w:val="00AA372F"/>
    <w:rsid w:val="00AA5103"/>
    <w:rsid w:val="00AA6F2F"/>
    <w:rsid w:val="00AB3276"/>
    <w:rsid w:val="00AC5DD6"/>
    <w:rsid w:val="00AC6F4E"/>
    <w:rsid w:val="00AD12E8"/>
    <w:rsid w:val="00AD1494"/>
    <w:rsid w:val="00AD1B64"/>
    <w:rsid w:val="00AD5E2B"/>
    <w:rsid w:val="00AE376D"/>
    <w:rsid w:val="00AF2ACC"/>
    <w:rsid w:val="00AF646A"/>
    <w:rsid w:val="00AF7E8A"/>
    <w:rsid w:val="00B00506"/>
    <w:rsid w:val="00B0351D"/>
    <w:rsid w:val="00B07B85"/>
    <w:rsid w:val="00B1215D"/>
    <w:rsid w:val="00B1433C"/>
    <w:rsid w:val="00B15875"/>
    <w:rsid w:val="00B2307C"/>
    <w:rsid w:val="00B23094"/>
    <w:rsid w:val="00B23930"/>
    <w:rsid w:val="00B253C1"/>
    <w:rsid w:val="00B26AB0"/>
    <w:rsid w:val="00B3323A"/>
    <w:rsid w:val="00B337E8"/>
    <w:rsid w:val="00B33A68"/>
    <w:rsid w:val="00B41FB4"/>
    <w:rsid w:val="00B438FF"/>
    <w:rsid w:val="00B4513E"/>
    <w:rsid w:val="00B5002C"/>
    <w:rsid w:val="00B5085A"/>
    <w:rsid w:val="00B51F97"/>
    <w:rsid w:val="00B541D2"/>
    <w:rsid w:val="00B56867"/>
    <w:rsid w:val="00B61E50"/>
    <w:rsid w:val="00B62625"/>
    <w:rsid w:val="00B66BED"/>
    <w:rsid w:val="00B70026"/>
    <w:rsid w:val="00B7729B"/>
    <w:rsid w:val="00B810E9"/>
    <w:rsid w:val="00B84089"/>
    <w:rsid w:val="00B91ABD"/>
    <w:rsid w:val="00B96AEB"/>
    <w:rsid w:val="00B97280"/>
    <w:rsid w:val="00B97F83"/>
    <w:rsid w:val="00BA1230"/>
    <w:rsid w:val="00BA718D"/>
    <w:rsid w:val="00BB0607"/>
    <w:rsid w:val="00BB488D"/>
    <w:rsid w:val="00BD344D"/>
    <w:rsid w:val="00BD7687"/>
    <w:rsid w:val="00BE5863"/>
    <w:rsid w:val="00BF5811"/>
    <w:rsid w:val="00BF5921"/>
    <w:rsid w:val="00C00E72"/>
    <w:rsid w:val="00C01876"/>
    <w:rsid w:val="00C0696F"/>
    <w:rsid w:val="00C1143C"/>
    <w:rsid w:val="00C15F44"/>
    <w:rsid w:val="00C17917"/>
    <w:rsid w:val="00C21CF7"/>
    <w:rsid w:val="00C2390F"/>
    <w:rsid w:val="00C328CE"/>
    <w:rsid w:val="00C337AB"/>
    <w:rsid w:val="00C341DA"/>
    <w:rsid w:val="00C37EFE"/>
    <w:rsid w:val="00C44320"/>
    <w:rsid w:val="00C5042C"/>
    <w:rsid w:val="00C51E10"/>
    <w:rsid w:val="00C65049"/>
    <w:rsid w:val="00C66043"/>
    <w:rsid w:val="00C661D6"/>
    <w:rsid w:val="00C74ECF"/>
    <w:rsid w:val="00C75774"/>
    <w:rsid w:val="00C761F5"/>
    <w:rsid w:val="00C8371F"/>
    <w:rsid w:val="00C8587F"/>
    <w:rsid w:val="00C865CE"/>
    <w:rsid w:val="00C86AC9"/>
    <w:rsid w:val="00C90767"/>
    <w:rsid w:val="00C90C07"/>
    <w:rsid w:val="00C939CB"/>
    <w:rsid w:val="00C94384"/>
    <w:rsid w:val="00CA003D"/>
    <w:rsid w:val="00CA19FD"/>
    <w:rsid w:val="00CA46C8"/>
    <w:rsid w:val="00CB1E12"/>
    <w:rsid w:val="00CB3449"/>
    <w:rsid w:val="00CB59E8"/>
    <w:rsid w:val="00CB66DE"/>
    <w:rsid w:val="00CB6A4E"/>
    <w:rsid w:val="00CD00EC"/>
    <w:rsid w:val="00CD04B7"/>
    <w:rsid w:val="00CD04EF"/>
    <w:rsid w:val="00CD511F"/>
    <w:rsid w:val="00CE2832"/>
    <w:rsid w:val="00CE4657"/>
    <w:rsid w:val="00CF7275"/>
    <w:rsid w:val="00CF7D4B"/>
    <w:rsid w:val="00D017DD"/>
    <w:rsid w:val="00D02E29"/>
    <w:rsid w:val="00D04AB4"/>
    <w:rsid w:val="00D07338"/>
    <w:rsid w:val="00D10023"/>
    <w:rsid w:val="00D116AF"/>
    <w:rsid w:val="00D16C94"/>
    <w:rsid w:val="00D16ED2"/>
    <w:rsid w:val="00D17DFC"/>
    <w:rsid w:val="00D30A9B"/>
    <w:rsid w:val="00D379B1"/>
    <w:rsid w:val="00D41C21"/>
    <w:rsid w:val="00D433A0"/>
    <w:rsid w:val="00D4589C"/>
    <w:rsid w:val="00D47AAB"/>
    <w:rsid w:val="00D50A6F"/>
    <w:rsid w:val="00D54AB0"/>
    <w:rsid w:val="00D57309"/>
    <w:rsid w:val="00D607F2"/>
    <w:rsid w:val="00D664B5"/>
    <w:rsid w:val="00D6746A"/>
    <w:rsid w:val="00D71B8A"/>
    <w:rsid w:val="00D810FA"/>
    <w:rsid w:val="00D81EFA"/>
    <w:rsid w:val="00D81F8C"/>
    <w:rsid w:val="00D856E4"/>
    <w:rsid w:val="00D909C4"/>
    <w:rsid w:val="00D920F9"/>
    <w:rsid w:val="00D923AD"/>
    <w:rsid w:val="00D93EAF"/>
    <w:rsid w:val="00D952DC"/>
    <w:rsid w:val="00D9594D"/>
    <w:rsid w:val="00D975AE"/>
    <w:rsid w:val="00D979BE"/>
    <w:rsid w:val="00DB0DFE"/>
    <w:rsid w:val="00DB7B60"/>
    <w:rsid w:val="00DB7DA1"/>
    <w:rsid w:val="00DC1692"/>
    <w:rsid w:val="00DD2EDD"/>
    <w:rsid w:val="00DD7338"/>
    <w:rsid w:val="00DE0025"/>
    <w:rsid w:val="00DE136B"/>
    <w:rsid w:val="00DE6093"/>
    <w:rsid w:val="00DF2F8B"/>
    <w:rsid w:val="00DF3CE6"/>
    <w:rsid w:val="00DF649F"/>
    <w:rsid w:val="00E0146A"/>
    <w:rsid w:val="00E016B1"/>
    <w:rsid w:val="00E05815"/>
    <w:rsid w:val="00E07230"/>
    <w:rsid w:val="00E103B8"/>
    <w:rsid w:val="00E130E4"/>
    <w:rsid w:val="00E21876"/>
    <w:rsid w:val="00E2283D"/>
    <w:rsid w:val="00E30C69"/>
    <w:rsid w:val="00E408D1"/>
    <w:rsid w:val="00E41C13"/>
    <w:rsid w:val="00E46429"/>
    <w:rsid w:val="00E514A5"/>
    <w:rsid w:val="00E54147"/>
    <w:rsid w:val="00E55569"/>
    <w:rsid w:val="00E560CF"/>
    <w:rsid w:val="00E56386"/>
    <w:rsid w:val="00E56EF5"/>
    <w:rsid w:val="00E66FA0"/>
    <w:rsid w:val="00E71F73"/>
    <w:rsid w:val="00E7269B"/>
    <w:rsid w:val="00E74020"/>
    <w:rsid w:val="00E75E28"/>
    <w:rsid w:val="00E766EB"/>
    <w:rsid w:val="00E818C9"/>
    <w:rsid w:val="00E81D06"/>
    <w:rsid w:val="00E8422E"/>
    <w:rsid w:val="00E86C96"/>
    <w:rsid w:val="00E9087D"/>
    <w:rsid w:val="00E975DB"/>
    <w:rsid w:val="00E97B28"/>
    <w:rsid w:val="00E97D27"/>
    <w:rsid w:val="00EA21E9"/>
    <w:rsid w:val="00EA243C"/>
    <w:rsid w:val="00EA2539"/>
    <w:rsid w:val="00EA3020"/>
    <w:rsid w:val="00EA4461"/>
    <w:rsid w:val="00EA4CFC"/>
    <w:rsid w:val="00EA7A31"/>
    <w:rsid w:val="00EB198F"/>
    <w:rsid w:val="00EB2A42"/>
    <w:rsid w:val="00EB41D1"/>
    <w:rsid w:val="00EB60EA"/>
    <w:rsid w:val="00EC1E6C"/>
    <w:rsid w:val="00EC6330"/>
    <w:rsid w:val="00ED1046"/>
    <w:rsid w:val="00ED5C61"/>
    <w:rsid w:val="00EE019B"/>
    <w:rsid w:val="00EE58E2"/>
    <w:rsid w:val="00EE5AA7"/>
    <w:rsid w:val="00EE6F22"/>
    <w:rsid w:val="00EF1046"/>
    <w:rsid w:val="00EF3008"/>
    <w:rsid w:val="00F00F33"/>
    <w:rsid w:val="00F056D0"/>
    <w:rsid w:val="00F07FFC"/>
    <w:rsid w:val="00F20E9C"/>
    <w:rsid w:val="00F22454"/>
    <w:rsid w:val="00F26722"/>
    <w:rsid w:val="00F30FF5"/>
    <w:rsid w:val="00F34383"/>
    <w:rsid w:val="00F434C1"/>
    <w:rsid w:val="00F51875"/>
    <w:rsid w:val="00F669F4"/>
    <w:rsid w:val="00F6709E"/>
    <w:rsid w:val="00F72E57"/>
    <w:rsid w:val="00F75E3F"/>
    <w:rsid w:val="00F8525A"/>
    <w:rsid w:val="00F85881"/>
    <w:rsid w:val="00F85EAC"/>
    <w:rsid w:val="00F916E1"/>
    <w:rsid w:val="00F91AFC"/>
    <w:rsid w:val="00F923D0"/>
    <w:rsid w:val="00F953EB"/>
    <w:rsid w:val="00FA10E3"/>
    <w:rsid w:val="00FA2B0E"/>
    <w:rsid w:val="00FA5359"/>
    <w:rsid w:val="00FB11FC"/>
    <w:rsid w:val="00FC0DFC"/>
    <w:rsid w:val="00FC1BA2"/>
    <w:rsid w:val="00FC21C7"/>
    <w:rsid w:val="00FC3FDA"/>
    <w:rsid w:val="00FC734E"/>
    <w:rsid w:val="00FD3378"/>
    <w:rsid w:val="00FE205F"/>
    <w:rsid w:val="00FE2DFD"/>
    <w:rsid w:val="00FF23F5"/>
    <w:rsid w:val="00FF3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B0A5B"/>
  <w15:chartTrackingRefBased/>
  <w15:docId w15:val="{B64ADBBE-768C-432F-BB70-348DA936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2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972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72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2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2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2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972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72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2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2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280"/>
    <w:rPr>
      <w:rFonts w:eastAsiaTheme="majorEastAsia" w:cstheme="majorBidi"/>
      <w:color w:val="272727" w:themeColor="text1" w:themeTint="D8"/>
    </w:rPr>
  </w:style>
  <w:style w:type="paragraph" w:styleId="Title">
    <w:name w:val="Title"/>
    <w:basedOn w:val="Normal"/>
    <w:next w:val="Normal"/>
    <w:link w:val="TitleChar"/>
    <w:uiPriority w:val="10"/>
    <w:qFormat/>
    <w:rsid w:val="00B97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280"/>
    <w:pPr>
      <w:spacing w:before="160"/>
      <w:jc w:val="center"/>
    </w:pPr>
    <w:rPr>
      <w:i/>
      <w:iCs/>
      <w:color w:val="404040" w:themeColor="text1" w:themeTint="BF"/>
    </w:rPr>
  </w:style>
  <w:style w:type="character" w:customStyle="1" w:styleId="QuoteChar">
    <w:name w:val="Quote Char"/>
    <w:basedOn w:val="DefaultParagraphFont"/>
    <w:link w:val="Quote"/>
    <w:uiPriority w:val="29"/>
    <w:rsid w:val="00B97280"/>
    <w:rPr>
      <w:i/>
      <w:iCs/>
      <w:color w:val="404040" w:themeColor="text1" w:themeTint="BF"/>
    </w:rPr>
  </w:style>
  <w:style w:type="paragraph" w:styleId="ListParagraph">
    <w:name w:val="List Paragraph"/>
    <w:basedOn w:val="Normal"/>
    <w:uiPriority w:val="34"/>
    <w:qFormat/>
    <w:rsid w:val="00B97280"/>
    <w:pPr>
      <w:ind w:left="720"/>
      <w:contextualSpacing/>
    </w:pPr>
  </w:style>
  <w:style w:type="character" w:styleId="IntenseEmphasis">
    <w:name w:val="Intense Emphasis"/>
    <w:basedOn w:val="DefaultParagraphFont"/>
    <w:uiPriority w:val="21"/>
    <w:qFormat/>
    <w:rsid w:val="00B97280"/>
    <w:rPr>
      <w:i/>
      <w:iCs/>
      <w:color w:val="2F5496" w:themeColor="accent1" w:themeShade="BF"/>
    </w:rPr>
  </w:style>
  <w:style w:type="paragraph" w:styleId="IntenseQuote">
    <w:name w:val="Intense Quote"/>
    <w:basedOn w:val="Normal"/>
    <w:next w:val="Normal"/>
    <w:link w:val="IntenseQuoteChar"/>
    <w:uiPriority w:val="30"/>
    <w:qFormat/>
    <w:rsid w:val="00B972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280"/>
    <w:rPr>
      <w:i/>
      <w:iCs/>
      <w:color w:val="2F5496" w:themeColor="accent1" w:themeShade="BF"/>
    </w:rPr>
  </w:style>
  <w:style w:type="character" w:styleId="IntenseReference">
    <w:name w:val="Intense Reference"/>
    <w:basedOn w:val="DefaultParagraphFont"/>
    <w:uiPriority w:val="32"/>
    <w:qFormat/>
    <w:rsid w:val="00B97280"/>
    <w:rPr>
      <w:b/>
      <w:bCs/>
      <w:smallCaps/>
      <w:color w:val="2F5496" w:themeColor="accent1" w:themeShade="BF"/>
      <w:spacing w:val="5"/>
    </w:rPr>
  </w:style>
  <w:style w:type="paragraph" w:styleId="Header">
    <w:name w:val="header"/>
    <w:basedOn w:val="Normal"/>
    <w:link w:val="HeaderChar"/>
    <w:uiPriority w:val="99"/>
    <w:unhideWhenUsed/>
    <w:rsid w:val="00EE5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AA7"/>
  </w:style>
  <w:style w:type="paragraph" w:styleId="Footer">
    <w:name w:val="footer"/>
    <w:basedOn w:val="Normal"/>
    <w:link w:val="FooterChar"/>
    <w:uiPriority w:val="99"/>
    <w:unhideWhenUsed/>
    <w:rsid w:val="00EE5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AA7"/>
  </w:style>
  <w:style w:type="paragraph" w:styleId="NormalWeb">
    <w:name w:val="Normal (Web)"/>
    <w:basedOn w:val="Normal"/>
    <w:uiPriority w:val="99"/>
    <w:semiHidden/>
    <w:unhideWhenUsed/>
    <w:rsid w:val="00CD04B7"/>
    <w:rPr>
      <w:rFonts w:ascii="Times New Roman" w:hAnsi="Times New Roman" w:cs="Times New Roman"/>
      <w:sz w:val="24"/>
      <w:szCs w:val="24"/>
    </w:rPr>
  </w:style>
  <w:style w:type="character" w:styleId="Hyperlink">
    <w:name w:val="Hyperlink"/>
    <w:basedOn w:val="DefaultParagraphFont"/>
    <w:uiPriority w:val="99"/>
    <w:unhideWhenUsed/>
    <w:rsid w:val="00A2508B"/>
    <w:rPr>
      <w:color w:val="0563C1" w:themeColor="hyperlink"/>
      <w:u w:val="single"/>
    </w:rPr>
  </w:style>
  <w:style w:type="character" w:styleId="UnresolvedMention">
    <w:name w:val="Unresolved Mention"/>
    <w:basedOn w:val="DefaultParagraphFont"/>
    <w:uiPriority w:val="99"/>
    <w:semiHidden/>
    <w:unhideWhenUsed/>
    <w:rsid w:val="00A2508B"/>
    <w:rPr>
      <w:color w:val="605E5C"/>
      <w:shd w:val="clear" w:color="auto" w:fill="E1DFDD"/>
    </w:rPr>
  </w:style>
  <w:style w:type="paragraph" w:styleId="TOCHeading">
    <w:name w:val="TOC Heading"/>
    <w:basedOn w:val="Heading1"/>
    <w:next w:val="Normal"/>
    <w:uiPriority w:val="39"/>
    <w:unhideWhenUsed/>
    <w:qFormat/>
    <w:rsid w:val="00CA003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03970"/>
    <w:pPr>
      <w:tabs>
        <w:tab w:val="left" w:pos="480"/>
        <w:tab w:val="right" w:leader="dot" w:pos="9016"/>
      </w:tabs>
      <w:spacing w:after="100"/>
    </w:pPr>
    <w:rPr>
      <w:rFonts w:cstheme="minorHAnsi"/>
      <w:noProof/>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cybsec/tyab010" TargetMode="External"/><Relationship Id="rId18" Type="http://schemas.openxmlformats.org/officeDocument/2006/relationships/hyperlink" Target="https://doi.org/10.37547/tajpslc/volume07issue05-22" TargetMode="External"/><Relationship Id="rId26" Type="http://schemas.openxmlformats.org/officeDocument/2006/relationships/hyperlink" Target="https://www.ncsc.gov.uk/whitepaper/ransomware-extortion-and-the-cyber-crime-ecosystem" TargetMode="External"/><Relationship Id="rId21" Type="http://schemas.openxmlformats.org/officeDocument/2006/relationships/hyperlink" Target="https://doi.org/10.1109/EISIC.2017.20" TargetMode="External"/><Relationship Id="rId34" Type="http://schemas.openxmlformats.org/officeDocument/2006/relationships/hyperlink" Target="https://doi.org/10.58806/ijmir.2025.v2i6n03" TargetMode="External"/><Relationship Id="rId7" Type="http://schemas.openxmlformats.org/officeDocument/2006/relationships/endnotes" Target="endnotes.xml"/><Relationship Id="rId12" Type="http://schemas.openxmlformats.org/officeDocument/2006/relationships/hyperlink" Target="https://doi.org/10.1016/j.scijus.2025.101306" TargetMode="External"/><Relationship Id="rId17" Type="http://schemas.openxmlformats.org/officeDocument/2006/relationships/hyperlink" Target="https://www.dcs.gla.ac.uk/~tws/papers/grispos11calm-rev2425.pdf" TargetMode="External"/><Relationship Id="rId25" Type="http://schemas.openxmlformats.org/officeDocument/2006/relationships/hyperlink" Target="https://www.ncsc.gov.uk/pdfs/blog-post/ransomware-cyber-crime-ecosystem.pdf" TargetMode="External"/><Relationship Id="rId33" Type="http://schemas.openxmlformats.org/officeDocument/2006/relationships/hyperlink" Target="https://doi.org/10.1007/s10207-020-00490-y"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uropol.europa.eu/media-press/newsroom/news/europol-conference-warns-cybercrime-fight-hinges-access-to-data" TargetMode="External"/><Relationship Id="rId20" Type="http://schemas.openxmlformats.org/officeDocument/2006/relationships/hyperlink" Target="https://nvlpubs.nist.gov/nistpubs/Legacy/SP/nistspecialpublication800-86.pdf" TargetMode="External"/><Relationship Id="rId29" Type="http://schemas.openxmlformats.org/officeDocument/2006/relationships/hyperlink" Target="https://doi.org/10.1080/23742917.2024.23126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ose.2021.102490" TargetMode="External"/><Relationship Id="rId24" Type="http://schemas.openxmlformats.org/officeDocument/2006/relationships/hyperlink" Target="https://www.nationalcrimeagency.gov.uk/who-we-are/publications/533-national-strategic-assessment-of-serious-and-organised-crime-2021/file" TargetMode="External"/><Relationship Id="rId32" Type="http://schemas.openxmlformats.org/officeDocument/2006/relationships/hyperlink" Target="https://doi.org/10.3390/s2514427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93/cybsec/tyac014" TargetMode="External"/><Relationship Id="rId23" Type="http://schemas.openxmlformats.org/officeDocument/2006/relationships/hyperlink" Target="https://doi.org/10.1145/3727166.3727169" TargetMode="External"/><Relationship Id="rId28" Type="http://schemas.openxmlformats.org/officeDocument/2006/relationships/hyperlink" Target="https://doi.org/10.2991/978-2-38476-362-7_11" TargetMode="External"/><Relationship Id="rId36" Type="http://schemas.openxmlformats.org/officeDocument/2006/relationships/header" Target="header2.xml"/><Relationship Id="rId10" Type="http://schemas.openxmlformats.org/officeDocument/2006/relationships/hyperlink" Target="https://doi.org/10.31893/multiscience.2024ss0212" TargetMode="External"/><Relationship Id="rId19" Type="http://schemas.openxmlformats.org/officeDocument/2006/relationships/hyperlink" Target="https://hmicfrs.justiceinspectorates.gov.uk/news/news-feed/police-forces-overwhelmed-and-ineffective-when-it-comes-to-digital-forensics/" TargetMode="External"/><Relationship Id="rId31" Type="http://schemas.openxmlformats.org/officeDocument/2006/relationships/hyperlink" Target="https://doi.org/10.3390/s23167273" TargetMode="External"/><Relationship Id="rId4" Type="http://schemas.openxmlformats.org/officeDocument/2006/relationships/settings" Target="settings.xml"/><Relationship Id="rId9" Type="http://schemas.openxmlformats.org/officeDocument/2006/relationships/hyperlink" Target="https://laweconcenter.org/resources/icle-comments-on-the-interplay-between-dma-and-gdpr/" TargetMode="External"/><Relationship Id="rId14" Type="http://schemas.openxmlformats.org/officeDocument/2006/relationships/hyperlink" Target="https://doi.org/10.1111/1468-2346.12504" TargetMode="External"/><Relationship Id="rId22" Type="http://schemas.openxmlformats.org/officeDocument/2006/relationships/hyperlink" Target="https://assets.publishing.service.gov.uk/media/5a755a94e5274a59fa7177f7/horr75-chap2.pdf" TargetMode="External"/><Relationship Id="rId27" Type="http://schemas.openxmlformats.org/officeDocument/2006/relationships/hyperlink" Target="https://pds.police.uk/wp-content/uploads/2025/05/250519-NPCC-Digital-Strategy_FINAL.pdf" TargetMode="External"/><Relationship Id="rId30" Type="http://schemas.openxmlformats.org/officeDocument/2006/relationships/hyperlink" Target="https://doi.org/10.1016/j.jisa.2025.104264" TargetMode="External"/><Relationship Id="rId35" Type="http://schemas.openxmlformats.org/officeDocument/2006/relationships/hyperlink" Target="https://www.gov.uk/government/publications/national-cyber-strategy-2022/national-cyber-security-strategy-2022"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46D12-3862-4A70-9E17-26A5B5108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6855</Words>
  <Characters>39078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hosam rashwan</cp:lastModifiedBy>
  <cp:revision>149</cp:revision>
  <dcterms:created xsi:type="dcterms:W3CDTF">2025-12-28T22:11:00Z</dcterms:created>
  <dcterms:modified xsi:type="dcterms:W3CDTF">2026-01-07T18:46:00Z</dcterms:modified>
</cp:coreProperties>
</file>