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30F52" w:rsidR="00C558B0" w:rsidP="00594FAC" w:rsidRDefault="00C558B0" w14:paraId="765B6E34" w14:textId="77777777">
      <w:pPr>
        <w:rPr>
          <w:rFonts w:cs="Arial"/>
          <w:szCs w:val="24"/>
        </w:rPr>
      </w:pPr>
      <w:r w:rsidRPr="00130F52">
        <w:rPr>
          <w:rFonts w:cs="Arial"/>
          <w:noProof/>
        </w:rPr>
        <w:drawing>
          <wp:anchor distT="0" distB="0" distL="114300" distR="114300" simplePos="0" relativeHeight="251659264" behindDoc="0" locked="0" layoutInCell="1" allowOverlap="1" wp14:anchorId="4A9A95A5" wp14:editId="276BB52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130F52" w:rsidR="00C558B0" w:rsidP="00594FAC" w:rsidRDefault="00C558B0" w14:paraId="2C9FBEFF" w14:textId="77777777">
      <w:pPr>
        <w:rPr>
          <w:rFonts w:cs="Arial"/>
          <w:szCs w:val="24"/>
        </w:rPr>
      </w:pPr>
    </w:p>
    <w:p w:rsidRPr="00130F52" w:rsidR="00C558B0" w:rsidP="00594FAC" w:rsidRDefault="00C558B0" w14:paraId="076F0B17" w14:textId="77777777">
      <w:pPr>
        <w:rPr>
          <w:rFonts w:cs="Arial"/>
          <w:szCs w:val="24"/>
        </w:rPr>
      </w:pPr>
    </w:p>
    <w:p w:rsidRPr="00130F52" w:rsidR="00C558B0" w:rsidP="00594FAC" w:rsidRDefault="00C558B0" w14:paraId="4A092BA6" w14:textId="77777777">
      <w:pPr>
        <w:rPr>
          <w:rFonts w:cs="Arial"/>
          <w:szCs w:val="24"/>
        </w:rPr>
      </w:pPr>
    </w:p>
    <w:p w:rsidRPr="00130F52" w:rsidR="00C558B0" w:rsidP="00594FAC" w:rsidRDefault="00C558B0" w14:paraId="5CDC6548" w14:textId="77777777">
      <w:pPr>
        <w:tabs>
          <w:tab w:val="left" w:pos="6540"/>
        </w:tabs>
        <w:rPr>
          <w:rFonts w:cs="Arial"/>
          <w:sz w:val="28"/>
          <w:szCs w:val="28"/>
        </w:rPr>
      </w:pPr>
    </w:p>
    <w:p w:rsidRPr="00130F52" w:rsidR="00C558B0" w:rsidP="00594FAC" w:rsidRDefault="00C558B0" w14:paraId="0E265D2A" w14:textId="10C4DD92">
      <w:pPr>
        <w:tabs>
          <w:tab w:val="left" w:pos="6540"/>
        </w:tabs>
        <w:rPr>
          <w:rFonts w:cs="Arial"/>
          <w:sz w:val="28"/>
          <w:szCs w:val="28"/>
          <w:lang w:val="nl-NL"/>
        </w:rPr>
      </w:pPr>
      <w:r w:rsidRPr="6D0DA7DA" w:rsidR="00C558B0">
        <w:rPr>
          <w:rFonts w:cs="Arial"/>
          <w:b w:val="1"/>
          <w:bCs w:val="1"/>
          <w:lang w:val="nl-NL"/>
        </w:rPr>
        <w:t>Student name</w:t>
      </w:r>
      <w:r w:rsidRPr="6D0DA7DA" w:rsidR="00C558B0">
        <w:rPr>
          <w:rFonts w:cs="Arial"/>
          <w:b w:val="1"/>
          <w:bCs w:val="1"/>
          <w:lang w:val="nl-NL"/>
        </w:rPr>
        <w:t>:</w:t>
      </w:r>
      <w:r w:rsidRPr="6D0DA7DA" w:rsidR="713371F6">
        <w:rPr>
          <w:rFonts w:cs="Arial"/>
          <w:b w:val="1"/>
          <w:bCs w:val="1"/>
          <w:lang w:val="nl-NL"/>
        </w:rPr>
        <w:t xml:space="preserve"> Felix Ojo</w:t>
      </w:r>
    </w:p>
    <w:p w:rsidRPr="00130F52" w:rsidR="00C558B0" w:rsidP="00594FAC" w:rsidRDefault="00C558B0" w14:paraId="70D0DE36" w14:textId="21E78E1D">
      <w:pPr>
        <w:tabs>
          <w:tab w:val="left" w:pos="6540"/>
        </w:tabs>
        <w:rPr>
          <w:rFonts w:cs="Arial"/>
          <w:sz w:val="28"/>
          <w:szCs w:val="28"/>
          <w:lang w:val="nl-NL"/>
        </w:rPr>
      </w:pPr>
      <w:r w:rsidRPr="6D0DA7DA" w:rsidR="00C558B0">
        <w:rPr>
          <w:rFonts w:cs="Arial"/>
          <w:b w:val="1"/>
          <w:bCs w:val="1"/>
          <w:lang w:val="nl-NL"/>
        </w:rPr>
        <w:t>Student ID</w:t>
      </w:r>
      <w:r w:rsidRPr="6D0DA7DA" w:rsidR="00C558B0">
        <w:rPr>
          <w:rFonts w:cs="Arial"/>
          <w:b w:val="1"/>
          <w:bCs w:val="1"/>
          <w:lang w:val="nl-NL"/>
        </w:rPr>
        <w:t>:</w:t>
      </w:r>
      <w:r w:rsidRPr="6D0DA7DA" w:rsidR="1C209F93">
        <w:rPr>
          <w:rFonts w:cs="Arial"/>
          <w:b w:val="1"/>
          <w:bCs w:val="1"/>
          <w:lang w:val="nl-NL"/>
        </w:rPr>
        <w:t xml:space="preserve"> 2508025</w:t>
      </w:r>
    </w:p>
    <w:p w:rsidRPr="00130F52" w:rsidR="00C558B0" w:rsidP="00594FAC" w:rsidRDefault="00C558B0" w14:paraId="17E9A22C" w14:textId="77777777">
      <w:pPr>
        <w:tabs>
          <w:tab w:val="left" w:pos="6540"/>
        </w:tabs>
        <w:rPr>
          <w:rFonts w:cs="Arial"/>
          <w:sz w:val="28"/>
          <w:szCs w:val="28"/>
          <w:lang w:val="nl-NL"/>
        </w:rPr>
      </w:pPr>
    </w:p>
    <w:p w:rsidRPr="00130F52" w:rsidR="00C558B0" w:rsidP="00594FAC" w:rsidRDefault="00C558B0" w14:paraId="78FF42D4" w14:textId="77777777">
      <w:pPr>
        <w:tabs>
          <w:tab w:val="left" w:pos="6540"/>
        </w:tabs>
        <w:rPr>
          <w:rFonts w:cs="Arial"/>
          <w:b/>
          <w:bCs/>
          <w:sz w:val="28"/>
          <w:szCs w:val="28"/>
          <w:lang w:val="nl-NL"/>
        </w:rPr>
      </w:pPr>
      <w:r w:rsidRPr="00130F52">
        <w:rPr>
          <w:rFonts w:cs="Arial"/>
          <w:b/>
          <w:bCs/>
          <w:szCs w:val="28"/>
          <w:lang w:val="nl-NL"/>
        </w:rPr>
        <w:t>Module name</w:t>
      </w:r>
      <w:r w:rsidRPr="00130F52">
        <w:rPr>
          <w:rFonts w:cs="Arial"/>
          <w:b/>
          <w:szCs w:val="28"/>
          <w:lang w:val="nl-NL"/>
        </w:rPr>
        <w:t xml:space="preserve">: </w:t>
      </w:r>
      <w:r w:rsidRPr="00130F52" w:rsidR="00887FBB">
        <w:rPr>
          <w:rFonts w:cs="Arial"/>
          <w:b/>
          <w:bCs/>
          <w:szCs w:val="28"/>
          <w:lang w:val="nl-NL"/>
        </w:rPr>
        <w:t>Principles of Health and Social Care Practice</w:t>
      </w:r>
    </w:p>
    <w:p w:rsidRPr="00130F52" w:rsidR="00887FBB" w:rsidP="00594FAC" w:rsidRDefault="00887FBB" w14:paraId="73B3BED7" w14:textId="77777777">
      <w:pPr>
        <w:tabs>
          <w:tab w:val="left" w:pos="6540"/>
        </w:tabs>
        <w:rPr>
          <w:rFonts w:cs="Arial"/>
          <w:sz w:val="28"/>
          <w:szCs w:val="28"/>
          <w:lang w:val="nl-NL"/>
        </w:rPr>
      </w:pPr>
      <w:r w:rsidRPr="00130F52">
        <w:rPr>
          <w:rFonts w:cs="Arial"/>
          <w:b/>
          <w:bCs/>
          <w:szCs w:val="28"/>
          <w:lang w:val="nl-NL"/>
        </w:rPr>
        <w:t>Component: 1</w:t>
      </w:r>
    </w:p>
    <w:p w:rsidRPr="00130F52" w:rsidR="00C558B0" w:rsidP="00594FAC" w:rsidRDefault="00C558B0" w14:paraId="7D8FB634" w14:textId="1A455A5D">
      <w:pPr>
        <w:tabs>
          <w:tab w:val="left" w:pos="6540"/>
        </w:tabs>
        <w:rPr>
          <w:rFonts w:cs="Arial"/>
          <w:sz w:val="28"/>
          <w:szCs w:val="28"/>
        </w:rPr>
      </w:pPr>
      <w:r w:rsidRPr="6D0DA7DA" w:rsidR="00C558B0">
        <w:rPr>
          <w:rFonts w:cs="Arial"/>
          <w:b w:val="1"/>
          <w:bCs w:val="1"/>
        </w:rPr>
        <w:t>Module code</w:t>
      </w:r>
      <w:r w:rsidRPr="6D0DA7DA" w:rsidR="00C558B0">
        <w:rPr>
          <w:rFonts w:cs="Arial"/>
          <w:b w:val="1"/>
          <w:bCs w:val="1"/>
        </w:rPr>
        <w:t>:</w:t>
      </w:r>
      <w:r w:rsidRPr="6D0DA7DA" w:rsidR="00887FBB">
        <w:rPr>
          <w:rFonts w:cs="Arial"/>
          <w:b w:val="1"/>
          <w:bCs w:val="1"/>
        </w:rPr>
        <w:t xml:space="preserve"> </w:t>
      </w:r>
      <w:r w:rsidRPr="6D0DA7DA" w:rsidR="00887FBB">
        <w:rPr>
          <w:rFonts w:cs="Arial"/>
          <w:b w:val="1"/>
          <w:bCs w:val="1"/>
        </w:rPr>
        <w:t xml:space="preserve">BMHP5016 </w:t>
      </w:r>
    </w:p>
    <w:p w:rsidRPr="00130F52" w:rsidR="00C558B0" w:rsidP="00594FAC" w:rsidRDefault="00C558B0" w14:paraId="0D4DDA56" w14:textId="5AF92D77">
      <w:pPr>
        <w:tabs>
          <w:tab w:val="left" w:pos="6540"/>
        </w:tabs>
        <w:rPr>
          <w:rFonts w:cs="Arial"/>
          <w:sz w:val="28"/>
          <w:szCs w:val="28"/>
        </w:rPr>
      </w:pPr>
      <w:r w:rsidRPr="00130F52">
        <w:rPr>
          <w:rFonts w:cs="Arial"/>
          <w:b/>
        </w:rPr>
        <w:t xml:space="preserve">Assignment title: </w:t>
      </w:r>
      <w:r w:rsidRPr="005B456D">
        <w:rPr>
          <w:rFonts w:cs="Arial"/>
          <w:bCs/>
        </w:rPr>
        <w:t>Reflective Report on Person-Centred Care, Partnership Working and Ethics in UK Health and Social Care Practice</w:t>
      </w:r>
      <w:r w:rsidRPr="00130F52">
        <w:rPr>
          <w:rFonts w:cs="Arial"/>
          <w:b/>
        </w:rPr>
        <w:br/>
      </w:r>
      <w:r w:rsidRPr="00130F52">
        <w:rPr>
          <w:rFonts w:cs="Arial"/>
          <w:b/>
        </w:rPr>
        <w:t xml:space="preserve">Word count: </w:t>
      </w:r>
      <w:r w:rsidR="005B456D">
        <w:rPr>
          <w:rFonts w:cs="Arial"/>
          <w:b/>
        </w:rPr>
        <w:t>2134</w:t>
      </w:r>
      <w:r w:rsidRPr="00130F52">
        <w:rPr>
          <w:rFonts w:cs="Arial"/>
          <w:b/>
        </w:rPr>
        <w:t xml:space="preserve"> words (excluding references)</w:t>
      </w:r>
    </w:p>
    <w:p w:rsidRPr="00130F52" w:rsidR="006D2F2D" w:rsidP="00594FAC" w:rsidRDefault="006D2F2D" w14:paraId="7EBDC904" w14:textId="77777777">
      <w:pPr>
        <w:rPr>
          <w:rFonts w:cs="Arial"/>
        </w:rPr>
      </w:pPr>
      <w:r w:rsidRPr="00130F52">
        <w:rPr>
          <w:rFonts w:cs="Arial"/>
        </w:rPr>
        <w:br w:type="page"/>
      </w:r>
    </w:p>
    <w:sdt>
      <w:sdtPr>
        <w:id w:val="682017579"/>
        <w:docPartObj>
          <w:docPartGallery w:val="Table of Contents"/>
          <w:docPartUnique/>
        </w:docPartObj>
        <w:rPr>
          <w:rFonts w:ascii="Arial" w:hAnsi="Arial" w:eastAsia="Calibri" w:cs="Arial" w:eastAsiaTheme="minorAscii"/>
          <w:color w:val="000000" w:themeColor="text1"/>
          <w:sz w:val="22"/>
          <w:szCs w:val="22"/>
          <w:lang w:val="en-GB"/>
        </w:rPr>
      </w:sdtPr>
      <w:sdtEndPr>
        <w:rPr>
          <w:rFonts w:ascii="Arial" w:hAnsi="Arial" w:eastAsia="Calibri" w:cs="Arial" w:eastAsiaTheme="minorAscii"/>
          <w:b w:val="1"/>
          <w:bCs w:val="1"/>
          <w:noProof/>
          <w:color w:val="000000" w:themeColor="text1" w:themeTint="FF" w:themeShade="FF"/>
          <w:sz w:val="22"/>
          <w:szCs w:val="22"/>
          <w:lang w:val="en-GB"/>
        </w:rPr>
      </w:sdtEndPr>
      <w:sdtContent>
        <w:p w:rsidRPr="00130F52" w:rsidR="006640C2" w:rsidP="006640C2" w:rsidRDefault="006640C2" w14:paraId="0849121D" w14:textId="3C3A1C40">
          <w:pPr>
            <w:pStyle w:val="TOCHeading"/>
            <w:spacing w:line="360" w:lineRule="auto"/>
            <w:jc w:val="center"/>
            <w:rPr>
              <w:rFonts w:ascii="Arial" w:hAnsi="Arial" w:cs="Arial"/>
              <w:b/>
              <w:bCs/>
              <w:color w:val="000000" w:themeColor="text1"/>
              <w:sz w:val="22"/>
              <w:szCs w:val="22"/>
            </w:rPr>
          </w:pPr>
          <w:r w:rsidRPr="00130F52">
            <w:rPr>
              <w:rFonts w:ascii="Arial" w:hAnsi="Arial" w:cs="Arial"/>
              <w:b/>
              <w:bCs/>
              <w:color w:val="000000" w:themeColor="text1"/>
              <w:sz w:val="22"/>
              <w:szCs w:val="22"/>
            </w:rPr>
            <w:t>Table of Contents</w:t>
          </w:r>
        </w:p>
        <w:p w:rsidR="0086260D" w:rsidRDefault="006640C2" w14:paraId="0AE3280B" w14:textId="604CB80E">
          <w:pPr>
            <w:pStyle w:val="TOC1"/>
            <w:tabs>
              <w:tab w:val="right" w:leader="dot" w:pos="9016"/>
            </w:tabs>
            <w:rPr>
              <w:rFonts w:asciiTheme="minorHAnsi" w:hAnsiTheme="minorHAnsi" w:eastAsiaTheme="minorEastAsia"/>
              <w:noProof/>
              <w:color w:val="auto"/>
              <w:kern w:val="2"/>
              <w:sz w:val="24"/>
              <w:szCs w:val="24"/>
              <w:lang w:val="en-US"/>
              <w14:ligatures w14:val="standardContextual"/>
            </w:rPr>
          </w:pPr>
          <w:r w:rsidRPr="00130F52">
            <w:rPr>
              <w:rFonts w:cs="Arial"/>
            </w:rPr>
            <w:fldChar w:fldCharType="begin"/>
          </w:r>
          <w:r w:rsidRPr="00130F52">
            <w:rPr>
              <w:rFonts w:cs="Arial"/>
            </w:rPr>
            <w:instrText xml:space="preserve"> TOC \o "1-3" \h \z \u </w:instrText>
          </w:r>
          <w:r w:rsidRPr="00130F52">
            <w:rPr>
              <w:rFonts w:cs="Arial"/>
            </w:rPr>
            <w:fldChar w:fldCharType="separate"/>
          </w:r>
          <w:hyperlink w:history="1" w:anchor="_Toc242126566">
            <w:r w:rsidRPr="00916B7E" w:rsidR="0086260D">
              <w:rPr>
                <w:rStyle w:val="Hyperlink"/>
                <w:rFonts w:cs="Arial"/>
                <w:noProof/>
              </w:rPr>
              <w:t>Task 1: Reflection on the Importance of Principles of Health and Social Care</w:t>
            </w:r>
            <w:r w:rsidR="0086260D">
              <w:rPr>
                <w:noProof/>
                <w:webHidden/>
              </w:rPr>
              <w:tab/>
            </w:r>
            <w:r w:rsidR="0086260D">
              <w:rPr>
                <w:noProof/>
                <w:webHidden/>
              </w:rPr>
              <w:fldChar w:fldCharType="begin"/>
            </w:r>
            <w:r w:rsidR="0086260D">
              <w:rPr>
                <w:noProof/>
                <w:webHidden/>
              </w:rPr>
              <w:instrText xml:space="preserve"> PAGEREF _Toc242126566 \h </w:instrText>
            </w:r>
            <w:r w:rsidR="0086260D">
              <w:rPr>
                <w:noProof/>
                <w:webHidden/>
              </w:rPr>
            </w:r>
            <w:r w:rsidR="0086260D">
              <w:rPr>
                <w:noProof/>
                <w:webHidden/>
              </w:rPr>
              <w:fldChar w:fldCharType="separate"/>
            </w:r>
            <w:r w:rsidR="0086260D">
              <w:rPr>
                <w:noProof/>
                <w:webHidden/>
              </w:rPr>
              <w:t>3</w:t>
            </w:r>
            <w:r w:rsidR="0086260D">
              <w:rPr>
                <w:noProof/>
                <w:webHidden/>
              </w:rPr>
              <w:fldChar w:fldCharType="end"/>
            </w:r>
          </w:hyperlink>
        </w:p>
        <w:p w:rsidR="0086260D" w:rsidRDefault="0086260D" w14:paraId="4783D3B0" w14:textId="32C3938F">
          <w:pPr>
            <w:pStyle w:val="TOC1"/>
            <w:tabs>
              <w:tab w:val="right" w:leader="dot" w:pos="9016"/>
            </w:tabs>
            <w:rPr>
              <w:rFonts w:asciiTheme="minorHAnsi" w:hAnsiTheme="minorHAnsi" w:eastAsiaTheme="minorEastAsia"/>
              <w:noProof/>
              <w:color w:val="auto"/>
              <w:kern w:val="2"/>
              <w:sz w:val="24"/>
              <w:szCs w:val="24"/>
              <w:lang w:val="en-US"/>
              <w14:ligatures w14:val="standardContextual"/>
            </w:rPr>
          </w:pPr>
          <w:hyperlink w:history="1" w:anchor="_Toc242126567">
            <w:r w:rsidRPr="00916B7E">
              <w:rPr>
                <w:rStyle w:val="Hyperlink"/>
                <w:rFonts w:cs="Arial"/>
                <w:noProof/>
              </w:rPr>
              <w:t>Task 2: Practical Example of Concepts in Practice</w:t>
            </w:r>
            <w:r>
              <w:rPr>
                <w:noProof/>
                <w:webHidden/>
              </w:rPr>
              <w:tab/>
            </w:r>
            <w:r>
              <w:rPr>
                <w:noProof/>
                <w:webHidden/>
              </w:rPr>
              <w:fldChar w:fldCharType="begin"/>
            </w:r>
            <w:r>
              <w:rPr>
                <w:noProof/>
                <w:webHidden/>
              </w:rPr>
              <w:instrText xml:space="preserve"> PAGEREF _Toc242126567 \h </w:instrText>
            </w:r>
            <w:r>
              <w:rPr>
                <w:noProof/>
                <w:webHidden/>
              </w:rPr>
            </w:r>
            <w:r>
              <w:rPr>
                <w:noProof/>
                <w:webHidden/>
              </w:rPr>
              <w:fldChar w:fldCharType="separate"/>
            </w:r>
            <w:r>
              <w:rPr>
                <w:noProof/>
                <w:webHidden/>
              </w:rPr>
              <w:t>4</w:t>
            </w:r>
            <w:r>
              <w:rPr>
                <w:noProof/>
                <w:webHidden/>
              </w:rPr>
              <w:fldChar w:fldCharType="end"/>
            </w:r>
          </w:hyperlink>
        </w:p>
        <w:p w:rsidR="0086260D" w:rsidRDefault="0086260D" w14:paraId="275CD6CE" w14:textId="78BFD2BE">
          <w:pPr>
            <w:pStyle w:val="TOC1"/>
            <w:tabs>
              <w:tab w:val="right" w:leader="dot" w:pos="9016"/>
            </w:tabs>
            <w:rPr>
              <w:rFonts w:asciiTheme="minorHAnsi" w:hAnsiTheme="minorHAnsi" w:eastAsiaTheme="minorEastAsia"/>
              <w:noProof/>
              <w:color w:val="auto"/>
              <w:kern w:val="2"/>
              <w:sz w:val="24"/>
              <w:szCs w:val="24"/>
              <w:lang w:val="en-US"/>
              <w14:ligatures w14:val="standardContextual"/>
            </w:rPr>
          </w:pPr>
          <w:hyperlink w:history="1" w:anchor="_Toc242126568">
            <w:r w:rsidRPr="00916B7E">
              <w:rPr>
                <w:rStyle w:val="Hyperlink"/>
                <w:rFonts w:cs="Arial"/>
                <w:noProof/>
              </w:rPr>
              <w:t>Task 3: Critical Self-Reflection and Professional Development</w:t>
            </w:r>
            <w:r>
              <w:rPr>
                <w:noProof/>
                <w:webHidden/>
              </w:rPr>
              <w:tab/>
            </w:r>
            <w:r>
              <w:rPr>
                <w:noProof/>
                <w:webHidden/>
              </w:rPr>
              <w:fldChar w:fldCharType="begin"/>
            </w:r>
            <w:r>
              <w:rPr>
                <w:noProof/>
                <w:webHidden/>
              </w:rPr>
              <w:instrText xml:space="preserve"> PAGEREF _Toc242126568 \h </w:instrText>
            </w:r>
            <w:r>
              <w:rPr>
                <w:noProof/>
                <w:webHidden/>
              </w:rPr>
            </w:r>
            <w:r>
              <w:rPr>
                <w:noProof/>
                <w:webHidden/>
              </w:rPr>
              <w:fldChar w:fldCharType="separate"/>
            </w:r>
            <w:r>
              <w:rPr>
                <w:noProof/>
                <w:webHidden/>
              </w:rPr>
              <w:t>5</w:t>
            </w:r>
            <w:r>
              <w:rPr>
                <w:noProof/>
                <w:webHidden/>
              </w:rPr>
              <w:fldChar w:fldCharType="end"/>
            </w:r>
          </w:hyperlink>
        </w:p>
        <w:p w:rsidR="0086260D" w:rsidRDefault="0086260D" w14:paraId="2FA95928" w14:textId="3A1EACB3">
          <w:pPr>
            <w:pStyle w:val="TOC1"/>
            <w:tabs>
              <w:tab w:val="right" w:leader="dot" w:pos="9016"/>
            </w:tabs>
            <w:rPr>
              <w:rFonts w:asciiTheme="minorHAnsi" w:hAnsiTheme="minorHAnsi" w:eastAsiaTheme="minorEastAsia"/>
              <w:noProof/>
              <w:color w:val="auto"/>
              <w:kern w:val="2"/>
              <w:sz w:val="24"/>
              <w:szCs w:val="24"/>
              <w:lang w:val="en-US"/>
              <w14:ligatures w14:val="standardContextual"/>
            </w:rPr>
          </w:pPr>
          <w:hyperlink w:history="1" w:anchor="_Toc242126569">
            <w:r w:rsidRPr="00916B7E">
              <w:rPr>
                <w:rStyle w:val="Hyperlink"/>
                <w:rFonts w:cs="Arial"/>
                <w:noProof/>
              </w:rPr>
              <w:t>Conclusion</w:t>
            </w:r>
            <w:r>
              <w:rPr>
                <w:noProof/>
                <w:webHidden/>
              </w:rPr>
              <w:tab/>
            </w:r>
            <w:r>
              <w:rPr>
                <w:noProof/>
                <w:webHidden/>
              </w:rPr>
              <w:fldChar w:fldCharType="begin"/>
            </w:r>
            <w:r>
              <w:rPr>
                <w:noProof/>
                <w:webHidden/>
              </w:rPr>
              <w:instrText xml:space="preserve"> PAGEREF _Toc242126569 \h </w:instrText>
            </w:r>
            <w:r>
              <w:rPr>
                <w:noProof/>
                <w:webHidden/>
              </w:rPr>
            </w:r>
            <w:r>
              <w:rPr>
                <w:noProof/>
                <w:webHidden/>
              </w:rPr>
              <w:fldChar w:fldCharType="separate"/>
            </w:r>
            <w:r>
              <w:rPr>
                <w:noProof/>
                <w:webHidden/>
              </w:rPr>
              <w:t>7</w:t>
            </w:r>
            <w:r>
              <w:rPr>
                <w:noProof/>
                <w:webHidden/>
              </w:rPr>
              <w:fldChar w:fldCharType="end"/>
            </w:r>
          </w:hyperlink>
        </w:p>
        <w:p w:rsidR="0086260D" w:rsidRDefault="0086260D" w14:paraId="0ECE0F7A" w14:textId="765BE7E3">
          <w:pPr>
            <w:pStyle w:val="TOC1"/>
            <w:tabs>
              <w:tab w:val="right" w:leader="dot" w:pos="9016"/>
            </w:tabs>
            <w:rPr>
              <w:rFonts w:asciiTheme="minorHAnsi" w:hAnsiTheme="minorHAnsi" w:eastAsiaTheme="minorEastAsia"/>
              <w:noProof/>
              <w:color w:val="auto"/>
              <w:kern w:val="2"/>
              <w:sz w:val="24"/>
              <w:szCs w:val="24"/>
              <w:lang w:val="en-US"/>
              <w14:ligatures w14:val="standardContextual"/>
            </w:rPr>
          </w:pPr>
          <w:hyperlink w:history="1" w:anchor="_Toc242126570">
            <w:r w:rsidRPr="00916B7E">
              <w:rPr>
                <w:rStyle w:val="Hyperlink"/>
                <w:rFonts w:cs="Arial"/>
                <w:noProof/>
              </w:rPr>
              <w:t>References</w:t>
            </w:r>
            <w:r>
              <w:rPr>
                <w:noProof/>
                <w:webHidden/>
              </w:rPr>
              <w:tab/>
            </w:r>
            <w:r>
              <w:rPr>
                <w:noProof/>
                <w:webHidden/>
              </w:rPr>
              <w:fldChar w:fldCharType="begin"/>
            </w:r>
            <w:r>
              <w:rPr>
                <w:noProof/>
                <w:webHidden/>
              </w:rPr>
              <w:instrText xml:space="preserve"> PAGEREF _Toc242126570 \h </w:instrText>
            </w:r>
            <w:r>
              <w:rPr>
                <w:noProof/>
                <w:webHidden/>
              </w:rPr>
            </w:r>
            <w:r>
              <w:rPr>
                <w:noProof/>
                <w:webHidden/>
              </w:rPr>
              <w:fldChar w:fldCharType="separate"/>
            </w:r>
            <w:r>
              <w:rPr>
                <w:noProof/>
                <w:webHidden/>
              </w:rPr>
              <w:t>8</w:t>
            </w:r>
            <w:r>
              <w:rPr>
                <w:noProof/>
                <w:webHidden/>
              </w:rPr>
              <w:fldChar w:fldCharType="end"/>
            </w:r>
          </w:hyperlink>
        </w:p>
        <w:p w:rsidRPr="00130F52" w:rsidR="006640C2" w:rsidP="006640C2" w:rsidRDefault="006640C2" w14:paraId="7648A717" w14:textId="12347ACA">
          <w:pPr>
            <w:rPr>
              <w:rFonts w:cs="Arial"/>
            </w:rPr>
          </w:pPr>
          <w:r w:rsidRPr="00130F52">
            <w:rPr>
              <w:rFonts w:cs="Arial"/>
              <w:b/>
              <w:bCs/>
              <w:noProof/>
            </w:rPr>
            <w:fldChar w:fldCharType="end"/>
          </w:r>
        </w:p>
      </w:sdtContent>
    </w:sdt>
    <w:p w:rsidRPr="00130F52" w:rsidR="002C275A" w:rsidP="00A11336" w:rsidRDefault="002C275A" w14:paraId="78E69608" w14:textId="77777777">
      <w:pPr>
        <w:spacing w:before="120"/>
        <w:rPr>
          <w:rFonts w:cs="Arial"/>
        </w:rPr>
      </w:pPr>
    </w:p>
    <w:p w:rsidRPr="00130F52" w:rsidR="00A11336" w:rsidP="002C275A" w:rsidRDefault="002C275A" w14:paraId="2C5657A5" w14:textId="4116AB1D">
      <w:pPr>
        <w:pStyle w:val="Heading1"/>
        <w:rPr>
          <w:rFonts w:eastAsia="Arial" w:cs="Arial"/>
          <w:bCs/>
          <w:szCs w:val="24"/>
        </w:rPr>
      </w:pPr>
      <w:r w:rsidRPr="00130F52">
        <w:rPr>
          <w:rFonts w:cs="Arial"/>
        </w:rPr>
        <w:br w:type="column"/>
      </w:r>
      <w:bookmarkStart w:name="_Toc242126566" w:id="0"/>
      <w:r w:rsidRPr="00130F52" w:rsidR="00A11336">
        <w:rPr>
          <w:rFonts w:cs="Arial"/>
        </w:rPr>
        <w:t>Task 1: Reflection on the Importance of Principles of Health and Social Care</w:t>
      </w:r>
      <w:bookmarkEnd w:id="0"/>
    </w:p>
    <w:p w:rsidRPr="00130F52" w:rsidR="002C275A" w:rsidP="002C275A" w:rsidRDefault="002C275A" w14:paraId="63290085" w14:textId="0A699462">
      <w:pPr>
        <w:rPr>
          <w:rFonts w:cs="Arial"/>
        </w:rPr>
      </w:pPr>
      <w:r w:rsidRPr="00130F52">
        <w:rPr>
          <w:rFonts w:cs="Arial"/>
        </w:rPr>
        <w:t>Person-centred care is about caring for the person based on their values and preferences, goals and lived context, rather than diagnosis or organisational routine. Respect, individuality, participation and therapeutic relationships are consistently found as concepts in the concept of student inclusion and support, whereas Giusti et al. (2020) highlight the concepts of information, family involvement and support of physical, psychological, social and existential needs. This is important because care might be technically right but wrong if it doesn't take into account what provides a person with control or meaning. There are a few restrictions. Rossiter, Levett-Jones and Pich (2020) discovered that what is meant by improved patient safety is not consistent, and so person-centredness should be assessed by what is actually happening in practice and not by labels. Similarly, Ahmed, Muijsenbergh</w:t>
      </w:r>
      <w:r w:rsidRPr="00130F52" w:rsidR="00A43E88">
        <w:rPr>
          <w:rFonts w:cs="Arial"/>
        </w:rPr>
        <w:t xml:space="preserve">, </w:t>
      </w:r>
      <w:r w:rsidRPr="00130F52">
        <w:rPr>
          <w:rFonts w:cs="Arial"/>
        </w:rPr>
        <w:t xml:space="preserve">and </w:t>
      </w:r>
      <w:proofErr w:type="spellStart"/>
      <w:r w:rsidRPr="00130F52">
        <w:rPr>
          <w:rFonts w:cs="Arial"/>
        </w:rPr>
        <w:t>Vrijhoef</w:t>
      </w:r>
      <w:proofErr w:type="spellEnd"/>
      <w:r w:rsidRPr="00130F52">
        <w:rPr>
          <w:rFonts w:cs="Arial"/>
        </w:rPr>
        <w:t xml:space="preserve"> (2022) state that the success of person-centred intentions to become meaningful outcomes depends on effective communication, adequate time and personalised planning.</w:t>
      </w:r>
    </w:p>
    <w:p w:rsidRPr="00130F52" w:rsidR="002C275A" w:rsidP="002C275A" w:rsidRDefault="002C275A" w14:paraId="3705C6CF" w14:textId="77777777">
      <w:pPr>
        <w:rPr>
          <w:rFonts w:cs="Arial"/>
        </w:rPr>
      </w:pPr>
      <w:r w:rsidRPr="00130F52">
        <w:rPr>
          <w:rFonts w:cs="Arial"/>
        </w:rPr>
        <w:t>Partnership working is the co-ordinated practice of working in partnership with service users, families (where appropriate), health professionals, social care staff and organisations. It is based on common information, clear roles, mutual respect and joint decisions. Wei et al. (2022) state that there are consistent requirements for effective interprofessional working, including communication, team processes and organisational support. But cooperation isn't always a good thing. Some of the patient-reported outcomes are not certain, as reported by Kaiser et al. (2022), and structural integration in England is shown to be unsuccessful if relationships, trust and local working practices are not addressed by Miller, Glasby and Dickinson (2021). Therefore, the evaluation of the partnership should be based on the fact that it decreases fragmentation and enhances the person's voice.</w:t>
      </w:r>
    </w:p>
    <w:p w:rsidRPr="00130F52" w:rsidR="002C275A" w:rsidP="002C275A" w:rsidRDefault="002C275A" w14:paraId="73A8BA87" w14:textId="640C9E2A">
      <w:pPr>
        <w:rPr>
          <w:rFonts w:cs="Arial"/>
        </w:rPr>
      </w:pPr>
      <w:r w:rsidRPr="00130F52">
        <w:rPr>
          <w:rFonts w:cs="Arial"/>
        </w:rPr>
        <w:t>Ethical practice is a matter of making reasoned choices in situations where values and duties clash. Autonomy, care, beneficence, non-maleficence, justice, privacy and dignity are not mutually exclusive, but rather may overlap in care. Ethical competence goes beyond knowing ethical principles, as practitioners must also be able to reason with them in the context of real dilemmas, as Andersson et al. 2022 demonstrate. The reason for this is important for older people, as shown by Clancy et al. (202</w:t>
      </w:r>
      <w:r w:rsidRPr="00130F52" w:rsidR="00A43E88">
        <w:rPr>
          <w:rFonts w:cs="Arial"/>
        </w:rPr>
        <w:t>0</w:t>
      </w:r>
      <w:r w:rsidRPr="00130F52">
        <w:rPr>
          <w:rFonts w:cs="Arial"/>
        </w:rPr>
        <w:t>): The loss of recognition can have a negative impact on dignity and the loss of voice on preferences.</w:t>
      </w:r>
    </w:p>
    <w:p w:rsidRPr="00130F52" w:rsidR="00A11336" w:rsidP="002C275A" w:rsidRDefault="002C275A" w14:paraId="46BEBAEF" w14:textId="040BAFF8">
      <w:pPr>
        <w:rPr>
          <w:rFonts w:cs="Arial"/>
        </w:rPr>
      </w:pPr>
      <w:r w:rsidRPr="00130F52">
        <w:rPr>
          <w:rFonts w:cs="Arial"/>
        </w:rPr>
        <w:t xml:space="preserve">The principles provide mutual support. Although needs are not necessarily linear, the needs framework can be a useful reminder for practitioners that personal fulfilment, esteem and belonging are important to physical care and safety (Hayre-Kwan et al., 2021). </w:t>
      </w:r>
      <w:r w:rsidRPr="00130F52" w:rsidR="006640C2">
        <w:rPr>
          <w:rFonts w:cs="Arial"/>
        </w:rPr>
        <w:t>Thus</w:t>
      </w:r>
      <w:r w:rsidRPr="00130F52">
        <w:rPr>
          <w:rFonts w:cs="Arial"/>
        </w:rPr>
        <w:t xml:space="preserve">, effective UK practice combines person-centred care, effective collaboration and ethical decision-making, while protecting autonomy and balancing risk, safeguarding, and responsibility. This </w:t>
      </w:r>
      <w:r w:rsidRPr="00130F52">
        <w:rPr>
          <w:rFonts w:cs="Arial"/>
        </w:rPr>
        <w:t xml:space="preserve">is significant in services in the UK because it is possible for the efficiency of the organisation to clash with the preference of the individual. Coordination of professionals is not necessarily a partnership that excludes the person. </w:t>
      </w:r>
      <w:r w:rsidRPr="00130F52" w:rsidR="00DC3C6C">
        <w:rPr>
          <w:rFonts w:cs="Arial"/>
        </w:rPr>
        <w:t>This is evident from</w:t>
      </w:r>
      <w:r w:rsidRPr="00130F52">
        <w:rPr>
          <w:rFonts w:cs="Arial"/>
        </w:rPr>
        <w:t xml:space="preserve"> Henderson et al. (202</w:t>
      </w:r>
      <w:r w:rsidRPr="00130F52" w:rsidR="00A43E88">
        <w:rPr>
          <w:rFonts w:cs="Arial"/>
        </w:rPr>
        <w:t>0</w:t>
      </w:r>
      <w:r w:rsidRPr="00130F52">
        <w:rPr>
          <w:rFonts w:cs="Arial"/>
        </w:rPr>
        <w:t xml:space="preserve">) that people accessing integrated services are not sufficiently involved in planning, and Thomson (2024) identify collaboration and co-production as enablers but system barriers. Thus, ethical questioning is necessary regarding the priorities which determine the care plan, and whether any apparent agreement is a result of participation. </w:t>
      </w:r>
    </w:p>
    <w:p w:rsidRPr="00130F52" w:rsidR="00A11336" w:rsidP="002C275A" w:rsidRDefault="00A11336" w14:paraId="1E163E3D" w14:textId="77777777">
      <w:pPr>
        <w:pStyle w:val="Heading1"/>
        <w:rPr>
          <w:rFonts w:eastAsia="Arial" w:cs="Arial"/>
          <w:bCs/>
          <w:szCs w:val="24"/>
        </w:rPr>
      </w:pPr>
      <w:bookmarkStart w:name="_Toc242126567" w:id="1"/>
      <w:r w:rsidRPr="00130F52">
        <w:rPr>
          <w:rFonts w:cs="Arial"/>
        </w:rPr>
        <w:t>Task 2: Practical Example of Concepts in Practice</w:t>
      </w:r>
      <w:bookmarkEnd w:id="1"/>
    </w:p>
    <w:p w:rsidRPr="00130F52" w:rsidR="006640C2" w:rsidP="006640C2" w:rsidRDefault="006640C2" w14:paraId="47FA6267" w14:textId="77777777">
      <w:pPr>
        <w:rPr>
          <w:rFonts w:cs="Arial"/>
        </w:rPr>
      </w:pPr>
      <w:r w:rsidRPr="00130F52">
        <w:rPr>
          <w:rFonts w:cs="Arial"/>
        </w:rPr>
        <w:t>In my practice, I assisted an older man who needed help with some morning activities but was able to perform a number of activities on his own. A medical diagnosis could not be found, and the primary issue was to ensure functional independence, dignity and personal choice whilst offering safe support. He liked having a routine in the morning, liked to drink first thing in the morning, liked to select what he wanted to wear and do as much personal care as he could before asking for help. A staff-centred approach, based on staff timetables, might have accelerated such activities, decreased participation and increased dependency. I then enquired what he wished for the morning, ascertained his needs and gave him enough time to be active on his own. For older people, personalised communication is key to person-centred care (Lombard 2021) and recognising capabilities, preferences and opportunities for participation (Liao et al. 2023). In this context, person-centred practice fostered autonomy, confidence and well-being.</w:t>
      </w:r>
    </w:p>
    <w:p w:rsidRPr="00130F52" w:rsidR="006640C2" w:rsidP="006640C2" w:rsidRDefault="006640C2" w14:paraId="6B9DD5D8" w14:textId="589C6CED">
      <w:pPr>
        <w:rPr>
          <w:rFonts w:cs="Arial"/>
        </w:rPr>
      </w:pPr>
      <w:r w:rsidRPr="00130F52">
        <w:rPr>
          <w:rFonts w:cs="Arial"/>
        </w:rPr>
        <w:t>His preferences and independence were recorded and shared during handover to ensure that the care was not reliant on one member of staff remembering them. This increased continuity and partnership working. Henderson et al. (202</w:t>
      </w:r>
      <w:r w:rsidRPr="00130F52" w:rsidR="00A43E88">
        <w:rPr>
          <w:rFonts w:cs="Arial"/>
        </w:rPr>
        <w:t>0</w:t>
      </w:r>
      <w:r w:rsidRPr="00130F52">
        <w:rPr>
          <w:rFonts w:cs="Arial"/>
        </w:rPr>
        <w:t>) report service users' preference for trustful relationships, communication and involvement and Lalani and Marshall (202</w:t>
      </w:r>
      <w:r w:rsidRPr="00130F52" w:rsidR="00DC3C6C">
        <w:rPr>
          <w:rFonts w:cs="Arial"/>
        </w:rPr>
        <w:t>0</w:t>
      </w:r>
      <w:r w:rsidRPr="00130F52">
        <w:rPr>
          <w:rFonts w:cs="Arial"/>
        </w:rPr>
        <w:t>) demonstrate how joined-up working is better when teams have communication and information-sharing arrangements. The nurse might be able to assess his physical condition, the occupational therapist could evaluate his independence in activities, and the social worker could review the care plan for the proportionate response to his goals. This mirrors the direction of integration in the Health and Care Act 2022</w:t>
      </w:r>
      <w:r w:rsidRPr="00130F52" w:rsidR="00A43E88">
        <w:rPr>
          <w:rFonts w:cs="Arial"/>
        </w:rPr>
        <w:t xml:space="preserve"> as explained in GOV.UK (2022)</w:t>
      </w:r>
      <w:r w:rsidRPr="00130F52">
        <w:rPr>
          <w:rFonts w:cs="Arial"/>
        </w:rPr>
        <w:t>, but Thomson (2024) note that organisational boundaries and unclear professional roles can impede the way to integrated care.</w:t>
      </w:r>
    </w:p>
    <w:p w:rsidRPr="00130F52" w:rsidR="006640C2" w:rsidP="006640C2" w:rsidRDefault="006640C2" w14:paraId="2121A3CD" w14:textId="789AF441">
      <w:pPr>
        <w:rPr>
          <w:rFonts w:cs="Arial"/>
          <w:lang w:val="en-US"/>
        </w:rPr>
      </w:pPr>
      <w:r w:rsidRPr="00130F52">
        <w:rPr>
          <w:rFonts w:cs="Arial"/>
        </w:rPr>
        <w:t>Ethically, the older man's wishes were given the most credit since there was no evidence that he was incapable of making his own decisions. Under the Mental Capacity Act 2005, there is a presumption of capacity, which means that the presumption is that a person has capacity unless there is good evidence to the contrary</w:t>
      </w:r>
      <w:r w:rsidRPr="00130F52" w:rsidR="00A43E88">
        <w:rPr>
          <w:rFonts w:cs="Arial"/>
        </w:rPr>
        <w:t xml:space="preserve"> </w:t>
      </w:r>
      <w:r w:rsidRPr="00130F52" w:rsidR="00A43E88">
        <w:rPr>
          <w:rFonts w:cs="Arial"/>
          <w:lang w:val="en-US"/>
        </w:rPr>
        <w:t>(Department of Health, 2005)</w:t>
      </w:r>
      <w:r w:rsidRPr="00130F52">
        <w:rPr>
          <w:rFonts w:cs="Arial"/>
        </w:rPr>
        <w:t>. Shared decision-</w:t>
      </w:r>
      <w:r w:rsidRPr="00130F52">
        <w:rPr>
          <w:rFonts w:cs="Arial"/>
        </w:rPr>
        <w:t>making had to be meaningful, especially given the importance of allowing older people to express their preferences in the absence of equality of power (Martínez-Angulo et al., 2023). Thus, Care planning should be co-created to ensure that the decisions made are practical, understandable and based on what matters to the person (</w:t>
      </w:r>
      <w:proofErr w:type="spellStart"/>
      <w:r w:rsidRPr="00130F52">
        <w:rPr>
          <w:rFonts w:cs="Arial"/>
        </w:rPr>
        <w:t>Kunneman</w:t>
      </w:r>
      <w:proofErr w:type="spellEnd"/>
      <w:r w:rsidRPr="00130F52">
        <w:rPr>
          <w:rFonts w:cs="Arial"/>
        </w:rPr>
        <w:t xml:space="preserve"> et al., 202</w:t>
      </w:r>
      <w:r w:rsidRPr="00130F52" w:rsidR="00DC3C6C">
        <w:rPr>
          <w:rFonts w:cs="Arial"/>
        </w:rPr>
        <w:t>1</w:t>
      </w:r>
      <w:r w:rsidRPr="00130F52">
        <w:rPr>
          <w:rFonts w:cs="Arial"/>
        </w:rPr>
        <w:t>).</w:t>
      </w:r>
    </w:p>
    <w:p w:rsidRPr="00130F52" w:rsidR="00A11336" w:rsidP="006640C2" w:rsidRDefault="006640C2" w14:paraId="4408143D" w14:textId="57015EDD">
      <w:pPr>
        <w:rPr>
          <w:rFonts w:cs="Arial"/>
          <w:lang w:val="en-US"/>
        </w:rPr>
      </w:pPr>
      <w:r w:rsidRPr="00130F52">
        <w:rPr>
          <w:rFonts w:cs="Arial"/>
        </w:rPr>
        <w:t>The promotion of wellbeing, including dignity, control and participation, is required under Section 1 of the Care Act 2014 and personal information should be shared only where it is necessary and lawful under the Data Protection Act 2018</w:t>
      </w:r>
      <w:r w:rsidRPr="00130F52" w:rsidR="00A43E88">
        <w:rPr>
          <w:rFonts w:cs="Arial"/>
        </w:rPr>
        <w:t xml:space="preserve"> </w:t>
      </w:r>
      <w:r w:rsidRPr="00130F52" w:rsidR="00A43E88">
        <w:rPr>
          <w:rFonts w:cs="Arial"/>
          <w:lang w:val="en-US"/>
        </w:rPr>
        <w:t>(GOV.UK, 2014; GOV.UK, 2018)</w:t>
      </w:r>
      <w:r w:rsidRPr="00130F52">
        <w:rPr>
          <w:rFonts w:cs="Arial"/>
        </w:rPr>
        <w:t xml:space="preserve">. </w:t>
      </w:r>
      <w:r w:rsidRPr="00130F52" w:rsidR="00A43E88">
        <w:rPr>
          <w:rFonts w:cs="Arial"/>
        </w:rPr>
        <w:t xml:space="preserve">Moreover, </w:t>
      </w:r>
      <w:r w:rsidRPr="00130F52">
        <w:rPr>
          <w:rFonts w:cs="Arial"/>
        </w:rPr>
        <w:t>Ewuoso, Hall and Dierickx (2021) demonstrate that information management poses ongoing ethical dilemmas. NICE (2021) also endorses shared decision-making, connecting the options available with what is important to the individual. Proportional support was appropriate: maintained his routine, monitored changes, promoted independence, documented preferences, and consulted relevant professionals without displacing his voice. These principles can keep the person independent, safe, continued, well and trusted in care.</w:t>
      </w:r>
    </w:p>
    <w:p w:rsidRPr="00130F52" w:rsidR="00A11336" w:rsidP="002C275A" w:rsidRDefault="00A11336" w14:paraId="04FD4AEB" w14:textId="77777777">
      <w:pPr>
        <w:pStyle w:val="Heading1"/>
        <w:rPr>
          <w:rFonts w:eastAsia="Arial" w:cs="Arial"/>
          <w:bCs/>
          <w:szCs w:val="24"/>
        </w:rPr>
      </w:pPr>
      <w:bookmarkStart w:name="_Toc242126568" w:id="2"/>
      <w:r w:rsidRPr="00130F52">
        <w:rPr>
          <w:rFonts w:cs="Arial"/>
        </w:rPr>
        <w:t>Task 3: Critical Self-Reflection and Professional Development</w:t>
      </w:r>
      <w:bookmarkEnd w:id="2"/>
    </w:p>
    <w:p w:rsidRPr="00130F52" w:rsidR="00A20CAC" w:rsidP="00A11336" w:rsidRDefault="00A20CAC" w14:paraId="22EF7944" w14:textId="6F6C242D">
      <w:pPr>
        <w:rPr>
          <w:rFonts w:cs="Arial"/>
        </w:rPr>
      </w:pPr>
      <w:r w:rsidRPr="00130F52">
        <w:rPr>
          <w:rFonts w:cs="Arial"/>
        </w:rPr>
        <w:t>I have used a Gibbs reflective model to explore what my practice uncovered about a service user, and have maintained a focus on analysis and action, rather than just re-telling events.</w:t>
      </w:r>
      <w:r w:rsidRPr="00130F52" w:rsidR="00A11336">
        <w:rPr>
          <w:rFonts w:cs="Arial"/>
        </w:rPr>
        <w:t xml:space="preserve"> </w:t>
      </w:r>
    </w:p>
    <w:p w:rsidRPr="00130F52" w:rsidR="00A20CAC" w:rsidP="00A20CAC" w:rsidRDefault="00A20CAC" w14:paraId="077C5AAD" w14:textId="77777777">
      <w:pPr>
        <w:rPr>
          <w:rFonts w:cs="Arial"/>
          <w:b/>
          <w:bCs/>
        </w:rPr>
      </w:pPr>
      <w:r w:rsidRPr="00130F52">
        <w:rPr>
          <w:rFonts w:cs="Arial"/>
          <w:b/>
          <w:bCs/>
        </w:rPr>
        <w:t>Description</w:t>
      </w:r>
    </w:p>
    <w:p w:rsidRPr="00130F52" w:rsidR="00A20CAC" w:rsidP="00A20CAC" w:rsidRDefault="00A20CAC" w14:paraId="08B11C96" w14:textId="1F988BD8">
      <w:pPr>
        <w:rPr>
          <w:rFonts w:cs="Arial"/>
        </w:rPr>
      </w:pPr>
      <w:r w:rsidRPr="00130F52">
        <w:rPr>
          <w:rFonts w:cs="Arial"/>
        </w:rPr>
        <w:t>As a developing health and social care worker, I had the opportunity to support an older man with some personal care needs in the morning, whilst he could undertake some activities independently. He wanted a regular routine with time to wake up properly, drink a beverage, select his clothes and do as much personal care as possible prior to support. I helped him out, but not to the detriment of his ability to do things himself. I asked him how he wanted his morning care to go and spent time finding out what support he needed and gave him enough time to do activities without assistance. I have also noted his preferences and shared them with other staff at handover to ensure that he is supported in the same way. Where required, information could also be shared appropriately with nurses, occupational therapists and social workers to support safe, coordinated and person-centred care.</w:t>
      </w:r>
    </w:p>
    <w:p w:rsidRPr="00130F52" w:rsidR="00A20CAC" w:rsidP="00A20CAC" w:rsidRDefault="00A20CAC" w14:paraId="2ACC54F6" w14:textId="4D4D0A7F">
      <w:pPr>
        <w:rPr>
          <w:rFonts w:cs="Arial"/>
          <w:b/>
          <w:bCs/>
        </w:rPr>
      </w:pPr>
      <w:r w:rsidRPr="00130F52">
        <w:rPr>
          <w:rFonts w:cs="Arial"/>
          <w:b/>
          <w:bCs/>
        </w:rPr>
        <w:t>Feelings</w:t>
      </w:r>
    </w:p>
    <w:p w:rsidRPr="00130F52" w:rsidR="00A20CAC" w:rsidP="00A20CAC" w:rsidRDefault="00A20CAC" w14:paraId="7D221909" w14:textId="2227008E">
      <w:pPr>
        <w:rPr>
          <w:rFonts w:cs="Arial"/>
        </w:rPr>
      </w:pPr>
      <w:r w:rsidRPr="00130F52">
        <w:rPr>
          <w:rFonts w:cs="Arial"/>
        </w:rPr>
        <w:t xml:space="preserve">I was confident when listening to the service user, as it is one of my strengths. I asked him what was important to him, heard what he likes to do in the morning and gave him time to do things on his own. I felt this treated me with dignity and respect for my identity. I did notice discomfort, though, when I think about how I would argue for his preferences in a meeting involving multiple disciplines, where senior staff might feel inclined to go with a more </w:t>
      </w:r>
      <w:r w:rsidRPr="00130F52">
        <w:rPr>
          <w:rFonts w:cs="Arial"/>
        </w:rPr>
        <w:t>conservative strategy. That discomfort taught me that if I don't feel confident in my ability to represent what the service user has said, then I don't have the means to listen.</w:t>
      </w:r>
    </w:p>
    <w:p w:rsidRPr="00130F52" w:rsidR="00A20CAC" w:rsidP="00A20CAC" w:rsidRDefault="00A20CAC" w14:paraId="2330706E" w14:textId="2C03A03D">
      <w:pPr>
        <w:rPr>
          <w:rFonts w:cs="Arial"/>
          <w:b/>
          <w:bCs/>
        </w:rPr>
      </w:pPr>
      <w:r w:rsidRPr="00130F52">
        <w:rPr>
          <w:rFonts w:cs="Arial"/>
          <w:b/>
          <w:bCs/>
        </w:rPr>
        <w:t>Evaluation</w:t>
      </w:r>
    </w:p>
    <w:p w:rsidRPr="00130F52" w:rsidR="00A20CAC" w:rsidP="00A20CAC" w:rsidRDefault="00A20CAC" w14:paraId="1455FC70" w14:textId="21A86580">
      <w:pPr>
        <w:rPr>
          <w:rFonts w:cs="Arial"/>
        </w:rPr>
      </w:pPr>
      <w:r w:rsidRPr="00130F52">
        <w:rPr>
          <w:rFonts w:cs="Arial"/>
        </w:rPr>
        <w:t>One strength was to be an active listener. I didn't believe that efficiency meant that I was caring. Rather, I made his day-to-day activities significant. Attending to individual needs and participation is crucial for person-centred interventions for older adults (Ebrahimi et al., 202</w:t>
      </w:r>
      <w:r w:rsidRPr="00130F52" w:rsidR="00A43E88">
        <w:rPr>
          <w:rFonts w:cs="Arial"/>
        </w:rPr>
        <w:t>0</w:t>
      </w:r>
      <w:r w:rsidRPr="00130F52">
        <w:rPr>
          <w:rFonts w:cs="Arial"/>
        </w:rPr>
        <w:t>), and mechanisms of person-centred care include attentive listening and understandable communication (Ahmed, Muijsenbergh</w:t>
      </w:r>
      <w:r w:rsidRPr="00130F52" w:rsidR="00A43E88">
        <w:rPr>
          <w:rFonts w:cs="Arial"/>
        </w:rPr>
        <w:t>,</w:t>
      </w:r>
      <w:r w:rsidRPr="00130F52">
        <w:rPr>
          <w:rFonts w:cs="Arial"/>
        </w:rPr>
        <w:t xml:space="preserve"> and </w:t>
      </w:r>
      <w:proofErr w:type="spellStart"/>
      <w:r w:rsidRPr="00130F52">
        <w:rPr>
          <w:rFonts w:cs="Arial"/>
        </w:rPr>
        <w:t>Vrijhoef</w:t>
      </w:r>
      <w:proofErr w:type="spellEnd"/>
      <w:r w:rsidRPr="00130F52">
        <w:rPr>
          <w:rFonts w:cs="Arial"/>
        </w:rPr>
        <w:t>, 2022). This approach also helped to promote dignity; as demonstrated by Clancy et al. (2021), older people can suffer from loss of recognition when care makes them socially invisible.</w:t>
      </w:r>
    </w:p>
    <w:p w:rsidRPr="00130F52" w:rsidR="00A20CAC" w:rsidP="00A20CAC" w:rsidRDefault="00A20CAC" w14:paraId="41C20B4F" w14:textId="61AA853D">
      <w:pPr>
        <w:rPr>
          <w:rFonts w:cs="Arial"/>
        </w:rPr>
      </w:pPr>
      <w:r w:rsidRPr="00130F52">
        <w:rPr>
          <w:rFonts w:cs="Arial"/>
        </w:rPr>
        <w:t>Other strengths were the confidentiality and informed choice. I'm careful about what I record, who needs to see it and whether it has a justified care purpose. Legal guidance is provided by the Data Protection Act 2018, and Skills for Care (</w:t>
      </w:r>
      <w:r w:rsidRPr="00130F52" w:rsidR="00DC3C6C">
        <w:rPr>
          <w:rFonts w:cs="Arial"/>
        </w:rPr>
        <w:t>2022</w:t>
      </w:r>
      <w:r w:rsidRPr="00130F52">
        <w:rPr>
          <w:rFonts w:cs="Arial"/>
        </w:rPr>
        <w:t xml:space="preserve">) states that confidentiality is one of the expectations of good professional practice. The authors </w:t>
      </w:r>
      <w:proofErr w:type="spellStart"/>
      <w:r w:rsidRPr="00130F52">
        <w:rPr>
          <w:rFonts w:cs="Arial"/>
        </w:rPr>
        <w:t>Ewuoso</w:t>
      </w:r>
      <w:proofErr w:type="spellEnd"/>
      <w:r w:rsidRPr="00130F52">
        <w:rPr>
          <w:rFonts w:cs="Arial"/>
        </w:rPr>
        <w:t>, Hall and Dierickx (2021) demonstrate that making ethical decisions related to information sharing can be challenging. Therefore, I must not presume that involvement in a multidisciplinary team means that there is no need to limit information sharing.</w:t>
      </w:r>
    </w:p>
    <w:p w:rsidRPr="00130F52" w:rsidR="00A20CAC" w:rsidP="00A20CAC" w:rsidRDefault="00A20CAC" w14:paraId="38175742" w14:textId="3490A480">
      <w:pPr>
        <w:rPr>
          <w:rFonts w:cs="Arial"/>
        </w:rPr>
      </w:pPr>
      <w:r w:rsidRPr="00130F52">
        <w:rPr>
          <w:rFonts w:cs="Arial"/>
        </w:rPr>
        <w:t xml:space="preserve">I have a good team working ability as I appreciate the input of nurses, OTs and SWs. The research of Pascucci et al. (2021) showed that interprofessional working leads to better quality of chronic care, and the research of </w:t>
      </w:r>
      <w:proofErr w:type="spellStart"/>
      <w:r w:rsidRPr="00130F52">
        <w:rPr>
          <w:rFonts w:cs="Arial"/>
        </w:rPr>
        <w:t>Doornebosch</w:t>
      </w:r>
      <w:proofErr w:type="spellEnd"/>
      <w:r w:rsidRPr="00130F52">
        <w:rPr>
          <w:rFonts w:cs="Arial"/>
        </w:rPr>
        <w:t xml:space="preserve">, </w:t>
      </w:r>
      <w:proofErr w:type="spellStart"/>
      <w:r w:rsidRPr="00130F52">
        <w:rPr>
          <w:rFonts w:cs="Arial"/>
        </w:rPr>
        <w:t>Smaling</w:t>
      </w:r>
      <w:proofErr w:type="spellEnd"/>
      <w:r w:rsidRPr="00130F52">
        <w:rPr>
          <w:rFonts w:cs="Arial"/>
        </w:rPr>
        <w:t xml:space="preserve"> and Achterberg (2022) highlights the importance of communication, role clarification and team processes in long-term care. My weakness, however, is being too cautious with my meetings with the senior professionals. In situations where I only report information but don't clearly represent or promote service </w:t>
      </w:r>
      <w:proofErr w:type="gramStart"/>
      <w:r w:rsidRPr="00130F52">
        <w:rPr>
          <w:rFonts w:cs="Arial"/>
        </w:rPr>
        <w:t>users'</w:t>
      </w:r>
      <w:proofErr w:type="gramEnd"/>
      <w:r w:rsidRPr="00130F52">
        <w:rPr>
          <w:rFonts w:cs="Arial"/>
        </w:rPr>
        <w:t xml:space="preserve"> expressed preferences, professional hierarchy can impact person-centred care.</w:t>
      </w:r>
    </w:p>
    <w:p w:rsidRPr="00130F52" w:rsidR="00A20CAC" w:rsidP="00A20CAC" w:rsidRDefault="00A20CAC" w14:paraId="01A9347D" w14:textId="37FE5F09">
      <w:pPr>
        <w:rPr>
          <w:rFonts w:cs="Arial"/>
          <w:b/>
          <w:bCs/>
        </w:rPr>
      </w:pPr>
      <w:r w:rsidRPr="00130F52">
        <w:rPr>
          <w:rFonts w:cs="Arial"/>
          <w:b/>
          <w:bCs/>
        </w:rPr>
        <w:t xml:space="preserve">Analysis </w:t>
      </w:r>
    </w:p>
    <w:p w:rsidRPr="00130F52" w:rsidR="00A20CAC" w:rsidP="00A20CAC" w:rsidRDefault="00A20CAC" w14:paraId="534F5608" w14:textId="0C2D7A22">
      <w:pPr>
        <w:rPr>
          <w:rFonts w:cs="Arial"/>
        </w:rPr>
      </w:pPr>
      <w:r w:rsidRPr="00130F52">
        <w:rPr>
          <w:rFonts w:cs="Arial"/>
        </w:rPr>
        <w:t>There is a primary moral dilemma of autonomy and safety. The Mental Capacity Act 2005 is not particularly easy to understand and will not alleviate the challenge of making decisions under pressure. A person who has capacity can select an unwise option, one which professionals think is not advisable. My role is to explain material risks, verify understanding, think of proportionate alternatives, and record the rationale, not to be paternalistic about the duty of care. According to Andersson et al. (2022), it is most useful to develop recognition, reasoning and responses to realistic dilemmas through the process of ethical education. This is a reminder of the importance of ethical decision-making and not just theoretical knowledge.</w:t>
      </w:r>
    </w:p>
    <w:p w:rsidRPr="00130F52" w:rsidR="00A20CAC" w:rsidP="00A20CAC" w:rsidRDefault="00A20CAC" w14:paraId="2D38A2FA" w14:textId="7C941953">
      <w:pPr>
        <w:rPr>
          <w:rFonts w:cs="Arial"/>
        </w:rPr>
      </w:pPr>
      <w:r w:rsidRPr="00130F52">
        <w:rPr>
          <w:rFonts w:cs="Arial"/>
        </w:rPr>
        <w:t xml:space="preserve">I would also like to have more operational understanding of local policy. Miller, Glasby and Dickinson (2021) demonstrate that, although the policy of integrated care is in place, it does not lead to effective collaboration, and Thomson (2024) identify ongoing barriers in UK systems. </w:t>
      </w:r>
      <w:r w:rsidRPr="00130F52" w:rsidR="006640C2">
        <w:rPr>
          <w:rFonts w:cs="Arial"/>
        </w:rPr>
        <w:t xml:space="preserve">Thus, </w:t>
      </w:r>
      <w:r w:rsidRPr="00130F52">
        <w:rPr>
          <w:rFonts w:cs="Arial"/>
        </w:rPr>
        <w:t>I must be aware of the local pathways for responsibility allocation and when there are conflicting views between professionals and the service user, how to escalate disagreements.</w:t>
      </w:r>
    </w:p>
    <w:p w:rsidRPr="00130F52" w:rsidR="00A20CAC" w:rsidP="00A20CAC" w:rsidRDefault="00A20CAC" w14:paraId="22C8EDCB" w14:textId="0B8FEC6F">
      <w:pPr>
        <w:rPr>
          <w:rFonts w:cs="Arial"/>
          <w:b/>
          <w:bCs/>
        </w:rPr>
      </w:pPr>
      <w:r w:rsidRPr="00130F52">
        <w:rPr>
          <w:rFonts w:cs="Arial"/>
          <w:b/>
          <w:bCs/>
        </w:rPr>
        <w:t>Conclusion</w:t>
      </w:r>
    </w:p>
    <w:p w:rsidRPr="00130F52" w:rsidR="00A20CAC" w:rsidP="00A20CAC" w:rsidRDefault="00A20CAC" w14:paraId="5D678E19" w14:textId="38115252">
      <w:pPr>
        <w:rPr>
          <w:rFonts w:cs="Arial"/>
        </w:rPr>
      </w:pPr>
      <w:r w:rsidRPr="00130F52">
        <w:rPr>
          <w:rFonts w:cs="Arial"/>
        </w:rPr>
        <w:t>From this reflection, I have identified my strengths as being active listening, confidentiality and collaborative working, but these strengths can be limited if I don't communicate assertively when decisions become contentious. This situation with the service user emphasised the need for more than listening when providing person-centred care. This also demands professional courage, ethical thinking and policy expertise. My key development areas are advocacy, ethical decision-making and effective use of legislation and local procedures with confidence.</w:t>
      </w:r>
    </w:p>
    <w:p w:rsidRPr="00130F52" w:rsidR="00A20CAC" w:rsidP="00A20CAC" w:rsidRDefault="00A20CAC" w14:paraId="240598BC" w14:textId="2CA10388">
      <w:pPr>
        <w:rPr>
          <w:rFonts w:cs="Arial"/>
          <w:b/>
          <w:bCs/>
        </w:rPr>
      </w:pPr>
      <w:r w:rsidRPr="00130F52">
        <w:rPr>
          <w:rFonts w:cs="Arial"/>
          <w:b/>
          <w:bCs/>
        </w:rPr>
        <w:t>Action plan</w:t>
      </w:r>
    </w:p>
    <w:p w:rsidRPr="00130F52" w:rsidR="00A11336" w:rsidP="00A20CAC" w:rsidRDefault="00A20CAC" w14:paraId="1315A360" w14:textId="5E603A14">
      <w:pPr>
        <w:rPr>
          <w:rFonts w:cs="Arial"/>
        </w:rPr>
      </w:pPr>
      <w:r w:rsidRPr="00130F52">
        <w:rPr>
          <w:rFonts w:cs="Arial"/>
        </w:rPr>
        <w:t>Within three months, I will take an assertive communication workshop and deliver at least two service user summaries in handovers or multidisciplinary meetings, seeking feedback from my supervisor on the clarity of my communication of preferences, evidence and recommended action. In the next 6 months, I will be undertaking the CPD on the Mental Capacity Act 2005 and ethical decision-making, and will be discussing each month, in supervision, one anonymised ethical dilemma to help improve my judgement in difficult situations. Over the following 12 months, I will be keeping an eye on updates on integrated care on a quarterly basis, document one practical change after each update and assess how far I have come with my supervisor on a quarterly basis and at three, six and 12 months using documented feedback.</w:t>
      </w:r>
    </w:p>
    <w:p w:rsidRPr="00130F52" w:rsidR="006524ED" w:rsidP="002C275A" w:rsidRDefault="006D2F2D" w14:paraId="40295465" w14:textId="77777777">
      <w:pPr>
        <w:pStyle w:val="Heading1"/>
        <w:rPr>
          <w:rFonts w:cs="Arial"/>
          <w:bCs/>
          <w:szCs w:val="24"/>
        </w:rPr>
      </w:pPr>
      <w:bookmarkStart w:name="_Toc242126569" w:id="3"/>
      <w:r w:rsidRPr="00130F52">
        <w:rPr>
          <w:rFonts w:cs="Arial"/>
        </w:rPr>
        <w:t>Conclusion</w:t>
      </w:r>
      <w:bookmarkEnd w:id="3"/>
    </w:p>
    <w:p w:rsidRPr="00130F52" w:rsidR="004F5B88" w:rsidP="00594FAC" w:rsidRDefault="006640C2" w14:paraId="0C977B37" w14:textId="20D73A95">
      <w:pPr>
        <w:rPr>
          <w:rFonts w:cs="Arial"/>
        </w:rPr>
      </w:pPr>
      <w:r w:rsidRPr="00130F52">
        <w:rPr>
          <w:rFonts w:cs="Arial"/>
        </w:rPr>
        <w:t>To ensure dignity, autonomy, independence and safety in health and social care, partnership working, caring, and ethical practice are essential. The practice example demonstrated the positive impact that listening, coordinated team working, and proportionate decision-making can have on continuity and trust. Additionally, strengths were noted in communication, confidentiality and teamwork and areas for development were noted in advocacy, ethical judgement and policy application. A structured action plan will support further professional development and confidence to practice in a person-centred way.</w:t>
      </w:r>
    </w:p>
    <w:p w:rsidRPr="00130F52" w:rsidR="006D2F2D" w:rsidP="00A43E88" w:rsidRDefault="00DC3C6C" w14:paraId="2A5E9C43" w14:textId="6B73E21E">
      <w:pPr>
        <w:pStyle w:val="Heading1"/>
        <w:rPr>
          <w:rFonts w:cs="Arial"/>
          <w:bCs/>
          <w:szCs w:val="24"/>
        </w:rPr>
      </w:pPr>
      <w:r w:rsidRPr="00130F52">
        <w:rPr>
          <w:rFonts w:cs="Arial"/>
        </w:rPr>
        <w:br w:type="column"/>
      </w:r>
      <w:bookmarkStart w:name="_Toc242126570" w:id="4"/>
      <w:r w:rsidRPr="00130F52" w:rsidR="006D2F2D">
        <w:rPr>
          <w:rFonts w:cs="Arial"/>
        </w:rPr>
        <w:t>References</w:t>
      </w:r>
      <w:bookmarkEnd w:id="4"/>
    </w:p>
    <w:p w:rsidRPr="00DC3C6C" w:rsidR="00DC3C6C" w:rsidP="00DC3C6C" w:rsidRDefault="00DC3C6C" w14:paraId="0E29F049" w14:textId="77777777">
      <w:pPr>
        <w:rPr>
          <w:rFonts w:cs="Arial"/>
          <w:b/>
          <w:bCs/>
          <w:lang w:val="en-US"/>
        </w:rPr>
      </w:pPr>
      <w:r w:rsidRPr="00DC3C6C">
        <w:rPr>
          <w:rFonts w:cs="Arial"/>
          <w:b/>
          <w:bCs/>
          <w:lang w:val="en-US"/>
        </w:rPr>
        <w:t>Reference list</w:t>
      </w:r>
    </w:p>
    <w:p w:rsidRPr="00DC3C6C" w:rsidR="00DC3C6C" w:rsidP="00DC3C6C" w:rsidRDefault="00DC3C6C" w14:paraId="79F3CC20" w14:textId="77777777">
      <w:pPr>
        <w:rPr>
          <w:rFonts w:cs="Arial"/>
          <w:lang w:val="en-US"/>
        </w:rPr>
      </w:pPr>
      <w:r w:rsidRPr="00DC3C6C">
        <w:rPr>
          <w:rFonts w:cs="Arial"/>
          <w:lang w:val="en-US"/>
        </w:rPr>
        <w:t xml:space="preserve">Ahmed, A., Muijsenbergh, M.E.T.C. van den and </w:t>
      </w:r>
      <w:proofErr w:type="spellStart"/>
      <w:r w:rsidRPr="00DC3C6C">
        <w:rPr>
          <w:rFonts w:cs="Arial"/>
          <w:lang w:val="en-US"/>
        </w:rPr>
        <w:t>Vrijhoef</w:t>
      </w:r>
      <w:proofErr w:type="spellEnd"/>
      <w:r w:rsidRPr="00DC3C6C">
        <w:rPr>
          <w:rFonts w:cs="Arial"/>
          <w:lang w:val="en-US"/>
        </w:rPr>
        <w:t>, H.J.M. (2022). Person</w:t>
      </w:r>
      <w:r w:rsidRPr="00DC3C6C">
        <w:rPr>
          <w:rFonts w:ascii="Cambria Math" w:hAnsi="Cambria Math" w:cs="Cambria Math"/>
          <w:lang w:val="en-US"/>
        </w:rPr>
        <w:t>‐</w:t>
      </w:r>
      <w:proofErr w:type="spellStart"/>
      <w:r w:rsidRPr="00DC3C6C">
        <w:rPr>
          <w:rFonts w:cs="Arial"/>
          <w:lang w:val="en-US"/>
        </w:rPr>
        <w:t>centred</w:t>
      </w:r>
      <w:proofErr w:type="spellEnd"/>
      <w:r w:rsidRPr="00DC3C6C">
        <w:rPr>
          <w:rFonts w:cs="Arial"/>
          <w:lang w:val="en-US"/>
        </w:rPr>
        <w:t xml:space="preserve"> care in primary care: What works for whom, how and in what circumstances? </w:t>
      </w:r>
      <w:r w:rsidRPr="00DC3C6C">
        <w:rPr>
          <w:rFonts w:cs="Arial"/>
          <w:i/>
          <w:iCs/>
          <w:lang w:val="en-US"/>
        </w:rPr>
        <w:t>Health &amp; Social Care in the Community</w:t>
      </w:r>
      <w:r w:rsidRPr="00DC3C6C">
        <w:rPr>
          <w:rFonts w:cs="Arial"/>
          <w:lang w:val="en-US"/>
        </w:rPr>
        <w:t>, 30(6).</w:t>
      </w:r>
    </w:p>
    <w:p w:rsidRPr="00DC3C6C" w:rsidR="00DC3C6C" w:rsidP="00DC3C6C" w:rsidRDefault="00DC3C6C" w14:paraId="18EADCE4" w14:textId="77777777">
      <w:pPr>
        <w:rPr>
          <w:rFonts w:cs="Arial"/>
          <w:lang w:val="en-US"/>
        </w:rPr>
      </w:pPr>
      <w:r w:rsidRPr="00DC3C6C">
        <w:rPr>
          <w:rFonts w:cs="Arial"/>
          <w:lang w:val="en-US"/>
        </w:rPr>
        <w:t xml:space="preserve">Andersson, H., Svensson, A., Frank, C., Rantala, A., Holmberg, M. and Bremer, A. (2022). Ethics education to support ethical competence learning in healthcare: An integrative systematic review. </w:t>
      </w:r>
      <w:r w:rsidRPr="00DC3C6C">
        <w:rPr>
          <w:rFonts w:cs="Arial"/>
          <w:i/>
          <w:iCs/>
          <w:lang w:val="en-US"/>
        </w:rPr>
        <w:t>BioMed Central Medical Ethics</w:t>
      </w:r>
      <w:r w:rsidRPr="00DC3C6C">
        <w:rPr>
          <w:rFonts w:cs="Arial"/>
          <w:lang w:val="en-US"/>
        </w:rPr>
        <w:t>, 23(1), pp.1–26.</w:t>
      </w:r>
    </w:p>
    <w:p w:rsidRPr="00DC3C6C" w:rsidR="00DC3C6C" w:rsidP="00DC3C6C" w:rsidRDefault="00DC3C6C" w14:paraId="0528D4A6" w14:textId="77777777">
      <w:pPr>
        <w:rPr>
          <w:rFonts w:cs="Arial"/>
          <w:lang w:val="en-US"/>
        </w:rPr>
      </w:pPr>
      <w:r w:rsidRPr="00DC3C6C">
        <w:rPr>
          <w:rFonts w:cs="Arial"/>
          <w:lang w:val="en-US"/>
        </w:rPr>
        <w:t xml:space="preserve">Clancy, A., Simonsen, N., Lind, J., Liveng, A. and Johannessen, A. (2020). The meaning of dignity for older adults: A meta-synthesis. </w:t>
      </w:r>
      <w:r w:rsidRPr="00DC3C6C">
        <w:rPr>
          <w:rFonts w:cs="Arial"/>
          <w:i/>
          <w:iCs/>
          <w:lang w:val="en-US"/>
        </w:rPr>
        <w:t>Nursing Ethics</w:t>
      </w:r>
      <w:r w:rsidRPr="00DC3C6C">
        <w:rPr>
          <w:rFonts w:cs="Arial"/>
          <w:lang w:val="en-US"/>
        </w:rPr>
        <w:t>, 28(6), p.096973302092813.</w:t>
      </w:r>
    </w:p>
    <w:p w:rsidRPr="00DC3C6C" w:rsidR="00DC3C6C" w:rsidP="00DC3C6C" w:rsidRDefault="00DC3C6C" w14:paraId="0A72922A" w14:textId="77777777">
      <w:pPr>
        <w:rPr>
          <w:rFonts w:cs="Arial"/>
          <w:lang w:val="en-US"/>
        </w:rPr>
      </w:pPr>
      <w:r w:rsidRPr="00DC3C6C">
        <w:rPr>
          <w:rFonts w:cs="Arial"/>
          <w:lang w:val="en-US"/>
        </w:rPr>
        <w:t xml:space="preserve">Department of Health (2005). </w:t>
      </w:r>
      <w:r w:rsidRPr="00DC3C6C">
        <w:rPr>
          <w:rFonts w:cs="Arial"/>
          <w:i/>
          <w:iCs/>
          <w:lang w:val="en-US"/>
        </w:rPr>
        <w:t>Mental capacity act 2005</w:t>
      </w:r>
      <w:r w:rsidRPr="00DC3C6C">
        <w:rPr>
          <w:rFonts w:cs="Arial"/>
          <w:lang w:val="en-US"/>
        </w:rPr>
        <w:t>. [online] Available at: https://www.legislation.gov.uk/ukpga/2005/9/pdfs/ukpga_20050009_en.pdf.</w:t>
      </w:r>
    </w:p>
    <w:p w:rsidRPr="00DC3C6C" w:rsidR="00DC3C6C" w:rsidP="00DC3C6C" w:rsidRDefault="00DC3C6C" w14:paraId="685E0F07" w14:textId="77777777">
      <w:pPr>
        <w:rPr>
          <w:rFonts w:cs="Arial"/>
          <w:lang w:val="en-US"/>
        </w:rPr>
      </w:pPr>
      <w:proofErr w:type="spellStart"/>
      <w:r w:rsidRPr="00DC3C6C">
        <w:rPr>
          <w:rFonts w:cs="Arial"/>
          <w:lang w:val="en-US"/>
        </w:rPr>
        <w:t>Doornebosch</w:t>
      </w:r>
      <w:proofErr w:type="spellEnd"/>
      <w:r w:rsidRPr="00DC3C6C">
        <w:rPr>
          <w:rFonts w:cs="Arial"/>
          <w:lang w:val="en-US"/>
        </w:rPr>
        <w:t xml:space="preserve">, A.J., </w:t>
      </w:r>
      <w:proofErr w:type="spellStart"/>
      <w:r w:rsidRPr="00DC3C6C">
        <w:rPr>
          <w:rFonts w:cs="Arial"/>
          <w:lang w:val="en-US"/>
        </w:rPr>
        <w:t>Smaling</w:t>
      </w:r>
      <w:proofErr w:type="spellEnd"/>
      <w:r w:rsidRPr="00DC3C6C">
        <w:rPr>
          <w:rFonts w:cs="Arial"/>
          <w:lang w:val="en-US"/>
        </w:rPr>
        <w:t xml:space="preserve">, H.J.A. and Achterberg, W.P. (2022). Interprofessional collaboration in long-term care and rehabilitation: A systematic review. </w:t>
      </w:r>
      <w:r w:rsidRPr="00DC3C6C">
        <w:rPr>
          <w:rFonts w:cs="Arial"/>
          <w:i/>
          <w:iCs/>
          <w:lang w:val="en-US"/>
        </w:rPr>
        <w:t>Journal of the American Medical Directors Association</w:t>
      </w:r>
      <w:r w:rsidRPr="00DC3C6C">
        <w:rPr>
          <w:rFonts w:cs="Arial"/>
          <w:lang w:val="en-US"/>
        </w:rPr>
        <w:t>, 23(5), pp.764–777.</w:t>
      </w:r>
    </w:p>
    <w:p w:rsidRPr="00DC3C6C" w:rsidR="00DC3C6C" w:rsidP="00DC3C6C" w:rsidRDefault="00DC3C6C" w14:paraId="7B735B1A" w14:textId="77777777">
      <w:pPr>
        <w:rPr>
          <w:rFonts w:cs="Arial"/>
          <w:lang w:val="en-US"/>
        </w:rPr>
      </w:pPr>
      <w:r w:rsidRPr="00DC3C6C">
        <w:rPr>
          <w:rFonts w:cs="Arial"/>
          <w:lang w:val="en-US"/>
        </w:rPr>
        <w:t xml:space="preserve">Ebrahimi, Z., Patel, H., Wijk, H., Ekman, I. and Olaya-Contreras, P. (2020). A systematic review on implementation of person-centered care interventions for older people in out-of-hospital settings. </w:t>
      </w:r>
      <w:r w:rsidRPr="00DC3C6C">
        <w:rPr>
          <w:rFonts w:cs="Arial"/>
          <w:i/>
          <w:iCs/>
          <w:lang w:val="en-US"/>
        </w:rPr>
        <w:t>Geriatric Nursing</w:t>
      </w:r>
      <w:r w:rsidRPr="00DC3C6C">
        <w:rPr>
          <w:rFonts w:cs="Arial"/>
          <w:lang w:val="en-US"/>
        </w:rPr>
        <w:t>, 42(1), pp.213–224.</w:t>
      </w:r>
    </w:p>
    <w:p w:rsidRPr="00DC3C6C" w:rsidR="00DC3C6C" w:rsidP="00DC3C6C" w:rsidRDefault="00DC3C6C" w14:paraId="137AF34D" w14:textId="77777777">
      <w:pPr>
        <w:rPr>
          <w:rFonts w:cs="Arial"/>
          <w:lang w:val="en-US"/>
        </w:rPr>
      </w:pPr>
      <w:r w:rsidRPr="00DC3C6C">
        <w:rPr>
          <w:rFonts w:cs="Arial"/>
          <w:lang w:val="en-US"/>
        </w:rPr>
        <w:t xml:space="preserve">Ewuoso, C., Hall, S. and Dierickx, K. (2021). How do healthcare professionals respond to ethical challenges regarding information management? A review of empirical studies. </w:t>
      </w:r>
      <w:r w:rsidRPr="00DC3C6C">
        <w:rPr>
          <w:rFonts w:cs="Arial"/>
          <w:i/>
          <w:iCs/>
          <w:lang w:val="en-US"/>
        </w:rPr>
        <w:t>Global Bioethics</w:t>
      </w:r>
      <w:r w:rsidRPr="00DC3C6C">
        <w:rPr>
          <w:rFonts w:cs="Arial"/>
          <w:lang w:val="en-US"/>
        </w:rPr>
        <w:t>, 32(1), pp.67–84.</w:t>
      </w:r>
    </w:p>
    <w:p w:rsidRPr="00DC3C6C" w:rsidR="00DC3C6C" w:rsidP="00DC3C6C" w:rsidRDefault="00DC3C6C" w14:paraId="6ED49860" w14:textId="77777777">
      <w:pPr>
        <w:rPr>
          <w:rFonts w:cs="Arial"/>
          <w:lang w:val="en-US"/>
        </w:rPr>
      </w:pPr>
      <w:r w:rsidRPr="00DC3C6C">
        <w:rPr>
          <w:rFonts w:cs="Arial"/>
          <w:lang w:val="en-US"/>
        </w:rPr>
        <w:t xml:space="preserve">Giusti, A., Nkhoma, K., Petrus, R., Petersen, I., Gwyther, L., Farrant, L., </w:t>
      </w:r>
      <w:proofErr w:type="spellStart"/>
      <w:r w:rsidRPr="00DC3C6C">
        <w:rPr>
          <w:rFonts w:cs="Arial"/>
          <w:lang w:val="en-US"/>
        </w:rPr>
        <w:t>Venkatapuram</w:t>
      </w:r>
      <w:proofErr w:type="spellEnd"/>
      <w:r w:rsidRPr="00DC3C6C">
        <w:rPr>
          <w:rFonts w:cs="Arial"/>
          <w:lang w:val="en-US"/>
        </w:rPr>
        <w:t>, S. and Harding, R. (2020). The empirical evidence underpinning the concept and practice of person-</w:t>
      </w:r>
      <w:proofErr w:type="spellStart"/>
      <w:r w:rsidRPr="00DC3C6C">
        <w:rPr>
          <w:rFonts w:cs="Arial"/>
          <w:lang w:val="en-US"/>
        </w:rPr>
        <w:t>centred</w:t>
      </w:r>
      <w:proofErr w:type="spellEnd"/>
      <w:r w:rsidRPr="00DC3C6C">
        <w:rPr>
          <w:rFonts w:cs="Arial"/>
          <w:lang w:val="en-US"/>
        </w:rPr>
        <w:t xml:space="preserve"> care for serious illness: A systematic review. </w:t>
      </w:r>
      <w:r w:rsidRPr="00DC3C6C">
        <w:rPr>
          <w:rFonts w:cs="Arial"/>
          <w:i/>
          <w:iCs/>
          <w:lang w:val="en-US"/>
        </w:rPr>
        <w:t>BMJ Global Health</w:t>
      </w:r>
      <w:r w:rsidRPr="00DC3C6C">
        <w:rPr>
          <w:rFonts w:cs="Arial"/>
          <w:lang w:val="en-US"/>
        </w:rPr>
        <w:t>, 5(12).</w:t>
      </w:r>
    </w:p>
    <w:p w:rsidRPr="00DC3C6C" w:rsidR="00DC3C6C" w:rsidP="00DC3C6C" w:rsidRDefault="00DC3C6C" w14:paraId="6CE69F0C" w14:textId="77777777">
      <w:pPr>
        <w:rPr>
          <w:rFonts w:cs="Arial"/>
          <w:lang w:val="en-US"/>
        </w:rPr>
      </w:pPr>
      <w:r w:rsidRPr="00DC3C6C">
        <w:rPr>
          <w:rFonts w:cs="Arial"/>
          <w:lang w:val="en-US"/>
        </w:rPr>
        <w:t xml:space="preserve">GOV.UK (2014). </w:t>
      </w:r>
      <w:r w:rsidRPr="00DC3C6C">
        <w:rPr>
          <w:rFonts w:cs="Arial"/>
          <w:i/>
          <w:iCs/>
          <w:lang w:val="en-US"/>
        </w:rPr>
        <w:t>Care act 2014</w:t>
      </w:r>
      <w:r w:rsidRPr="00DC3C6C">
        <w:rPr>
          <w:rFonts w:cs="Arial"/>
          <w:lang w:val="en-US"/>
        </w:rPr>
        <w:t>. [online] Available at: https://www.legislation.gov.uk/ukpga/2014/23/pdfs/ukpga_20140023_en.pdf.</w:t>
      </w:r>
    </w:p>
    <w:p w:rsidRPr="00DC3C6C" w:rsidR="00DC3C6C" w:rsidP="00DC3C6C" w:rsidRDefault="00DC3C6C" w14:paraId="66707915" w14:textId="77777777">
      <w:pPr>
        <w:rPr>
          <w:rFonts w:cs="Arial"/>
          <w:lang w:val="en-US"/>
        </w:rPr>
      </w:pPr>
      <w:r w:rsidRPr="00DC3C6C">
        <w:rPr>
          <w:rFonts w:cs="Arial"/>
          <w:lang w:val="en-US"/>
        </w:rPr>
        <w:t xml:space="preserve">GOV.UK (2018). </w:t>
      </w:r>
      <w:r w:rsidRPr="00DC3C6C">
        <w:rPr>
          <w:rFonts w:cs="Arial"/>
          <w:i/>
          <w:iCs/>
          <w:lang w:val="en-US"/>
        </w:rPr>
        <w:t xml:space="preserve">Data protection </w:t>
      </w:r>
      <w:proofErr w:type="gramStart"/>
      <w:r w:rsidRPr="00DC3C6C">
        <w:rPr>
          <w:rFonts w:cs="Arial"/>
          <w:i/>
          <w:iCs/>
          <w:lang w:val="en-US"/>
        </w:rPr>
        <w:t>act</w:t>
      </w:r>
      <w:proofErr w:type="gramEnd"/>
      <w:r w:rsidRPr="00DC3C6C">
        <w:rPr>
          <w:rFonts w:cs="Arial"/>
          <w:i/>
          <w:iCs/>
          <w:lang w:val="en-US"/>
        </w:rPr>
        <w:t xml:space="preserve"> 2018</w:t>
      </w:r>
      <w:r w:rsidRPr="00DC3C6C">
        <w:rPr>
          <w:rFonts w:cs="Arial"/>
          <w:lang w:val="en-US"/>
        </w:rPr>
        <w:t>. [online] legislation.gov.uk. Available at: https://www.legislation.gov.uk/ukpga/2018/12/contents.</w:t>
      </w:r>
    </w:p>
    <w:p w:rsidRPr="00DC3C6C" w:rsidR="00DC3C6C" w:rsidP="00DC3C6C" w:rsidRDefault="00DC3C6C" w14:paraId="03E1FFDC" w14:textId="77777777">
      <w:pPr>
        <w:rPr>
          <w:rFonts w:cs="Arial"/>
          <w:lang w:val="en-US"/>
        </w:rPr>
      </w:pPr>
      <w:r w:rsidRPr="00DC3C6C">
        <w:rPr>
          <w:rFonts w:cs="Arial"/>
          <w:lang w:val="en-US"/>
        </w:rPr>
        <w:t xml:space="preserve">GOV.UK (2022). </w:t>
      </w:r>
      <w:r w:rsidRPr="00DC3C6C">
        <w:rPr>
          <w:rFonts w:cs="Arial"/>
          <w:i/>
          <w:iCs/>
          <w:lang w:val="en-US"/>
        </w:rPr>
        <w:t>Health and care act 2022</w:t>
      </w:r>
      <w:r w:rsidRPr="00DC3C6C">
        <w:rPr>
          <w:rFonts w:cs="Arial"/>
          <w:lang w:val="en-US"/>
        </w:rPr>
        <w:t>. [online] Legislation.gov.uk. Available at: https://www.legislation.gov.uk/id/ukpga/2022/31.</w:t>
      </w:r>
    </w:p>
    <w:p w:rsidRPr="00DC3C6C" w:rsidR="00DC3C6C" w:rsidP="00DC3C6C" w:rsidRDefault="00DC3C6C" w14:paraId="10215D9C" w14:textId="77777777">
      <w:pPr>
        <w:rPr>
          <w:rFonts w:cs="Arial"/>
          <w:lang w:val="en-US"/>
        </w:rPr>
      </w:pPr>
      <w:r w:rsidRPr="00DC3C6C">
        <w:rPr>
          <w:rFonts w:cs="Arial"/>
          <w:lang w:val="en-US"/>
        </w:rPr>
        <w:t xml:space="preserve">Hayre-Kwan, S., Quinn, B., Chu, T., Orr, P. and Snoke, J. (2021). Nursing and Maslow’s hierarchy. </w:t>
      </w:r>
      <w:r w:rsidRPr="00DC3C6C">
        <w:rPr>
          <w:rFonts w:cs="Arial"/>
          <w:i/>
          <w:iCs/>
          <w:lang w:val="en-US"/>
        </w:rPr>
        <w:t>Nurse Leader</w:t>
      </w:r>
      <w:r w:rsidRPr="00DC3C6C">
        <w:rPr>
          <w:rFonts w:cs="Arial"/>
          <w:lang w:val="en-US"/>
        </w:rPr>
        <w:t>, 19(6), pp.590–595.</w:t>
      </w:r>
    </w:p>
    <w:p w:rsidRPr="00DC3C6C" w:rsidR="00DC3C6C" w:rsidP="00DC3C6C" w:rsidRDefault="00DC3C6C" w14:paraId="6B10F679" w14:textId="77777777">
      <w:pPr>
        <w:rPr>
          <w:rFonts w:cs="Arial"/>
          <w:lang w:val="en-US"/>
        </w:rPr>
      </w:pPr>
      <w:r w:rsidRPr="00DC3C6C">
        <w:rPr>
          <w:rFonts w:cs="Arial"/>
          <w:lang w:val="en-US"/>
        </w:rPr>
        <w:t>Henderson, L., Bain, H., Allan, E. and Kennedy, C. (2020). Integrated health and social care in the community: A critical integrative review of the experiences and well</w:t>
      </w:r>
      <w:r w:rsidRPr="00DC3C6C">
        <w:rPr>
          <w:rFonts w:ascii="Cambria Math" w:hAnsi="Cambria Math" w:cs="Cambria Math"/>
          <w:lang w:val="en-US"/>
        </w:rPr>
        <w:t>‐</w:t>
      </w:r>
      <w:r w:rsidRPr="00DC3C6C">
        <w:rPr>
          <w:rFonts w:cs="Arial"/>
          <w:lang w:val="en-US"/>
        </w:rPr>
        <w:t xml:space="preserve">being needs of service users and their families. </w:t>
      </w:r>
      <w:r w:rsidRPr="00DC3C6C">
        <w:rPr>
          <w:rFonts w:cs="Arial"/>
          <w:i/>
          <w:iCs/>
          <w:lang w:val="en-US"/>
        </w:rPr>
        <w:t>Health &amp; Social Care in the Community</w:t>
      </w:r>
      <w:r w:rsidRPr="00DC3C6C">
        <w:rPr>
          <w:rFonts w:cs="Arial"/>
          <w:lang w:val="en-US"/>
        </w:rPr>
        <w:t>, 29(4).</w:t>
      </w:r>
    </w:p>
    <w:p w:rsidRPr="00DC3C6C" w:rsidR="00DC3C6C" w:rsidP="00DC3C6C" w:rsidRDefault="00DC3C6C" w14:paraId="04CC60C5" w14:textId="77777777">
      <w:pPr>
        <w:rPr>
          <w:rFonts w:cs="Arial"/>
          <w:lang w:val="en-US"/>
        </w:rPr>
      </w:pPr>
      <w:r w:rsidRPr="00DC3C6C">
        <w:rPr>
          <w:rFonts w:cs="Arial"/>
          <w:lang w:val="en-US"/>
        </w:rPr>
        <w:t xml:space="preserve">Kaiser, L., Conrad, S., Neugebauer, E.A.M., Pietsch, B. and Pieper, D. (2022). Interprofessional collaboration and patient-reported outcomes in inpatient care: A systematic review. </w:t>
      </w:r>
      <w:r w:rsidRPr="00DC3C6C">
        <w:rPr>
          <w:rFonts w:cs="Arial"/>
          <w:i/>
          <w:iCs/>
          <w:lang w:val="en-US"/>
        </w:rPr>
        <w:t>Systematic Reviews</w:t>
      </w:r>
      <w:r w:rsidRPr="00DC3C6C">
        <w:rPr>
          <w:rFonts w:cs="Arial"/>
          <w:lang w:val="en-US"/>
        </w:rPr>
        <w:t>, 11(169).</w:t>
      </w:r>
    </w:p>
    <w:p w:rsidRPr="00DC3C6C" w:rsidR="00DC3C6C" w:rsidP="00DC3C6C" w:rsidRDefault="00DC3C6C" w14:paraId="2FA90CC1" w14:textId="77777777">
      <w:pPr>
        <w:rPr>
          <w:rFonts w:cs="Arial"/>
          <w:lang w:val="en-US"/>
        </w:rPr>
      </w:pPr>
      <w:proofErr w:type="spellStart"/>
      <w:r w:rsidRPr="00DC3C6C">
        <w:rPr>
          <w:rFonts w:cs="Arial"/>
          <w:lang w:val="en-US"/>
        </w:rPr>
        <w:t>Kunneman</w:t>
      </w:r>
      <w:proofErr w:type="spellEnd"/>
      <w:r w:rsidRPr="00DC3C6C">
        <w:rPr>
          <w:rFonts w:cs="Arial"/>
          <w:lang w:val="en-US"/>
        </w:rPr>
        <w:t xml:space="preserve">, M., Hargraves, I.G., </w:t>
      </w:r>
      <w:proofErr w:type="spellStart"/>
      <w:r w:rsidRPr="00DC3C6C">
        <w:rPr>
          <w:rFonts w:cs="Arial"/>
          <w:lang w:val="en-US"/>
        </w:rPr>
        <w:t>Sivly</w:t>
      </w:r>
      <w:proofErr w:type="spellEnd"/>
      <w:r w:rsidRPr="00DC3C6C">
        <w:rPr>
          <w:rFonts w:cs="Arial"/>
          <w:lang w:val="en-US"/>
        </w:rPr>
        <w:t xml:space="preserve">, A.L., Branda, M.E., LaVecchia, C.M., Labrie, N.H.M., Brand-McCarthy, S. and Montori, V. (2021). Co-creating sensible care plans using shared decision making: Patients’ reflections and observations of encounters. </w:t>
      </w:r>
      <w:r w:rsidRPr="00DC3C6C">
        <w:rPr>
          <w:rFonts w:cs="Arial"/>
          <w:i/>
          <w:iCs/>
          <w:lang w:val="en-US"/>
        </w:rPr>
        <w:t>Patient Education and Counseling</w:t>
      </w:r>
      <w:r w:rsidRPr="00DC3C6C">
        <w:rPr>
          <w:rFonts w:cs="Arial"/>
          <w:lang w:val="en-US"/>
        </w:rPr>
        <w:t>, 105(6).</w:t>
      </w:r>
    </w:p>
    <w:p w:rsidRPr="00DC3C6C" w:rsidR="00DC3C6C" w:rsidP="00DC3C6C" w:rsidRDefault="00DC3C6C" w14:paraId="035B21E2" w14:textId="77777777">
      <w:pPr>
        <w:rPr>
          <w:rFonts w:cs="Arial"/>
          <w:lang w:val="en-US"/>
        </w:rPr>
      </w:pPr>
      <w:r w:rsidRPr="00DC3C6C">
        <w:rPr>
          <w:rFonts w:cs="Arial"/>
          <w:lang w:val="en-US"/>
        </w:rPr>
        <w:t>Lalani, M. and Marshall, M. (2020). Co</w:t>
      </w:r>
      <w:r w:rsidRPr="00DC3C6C">
        <w:rPr>
          <w:rFonts w:ascii="Cambria Math" w:hAnsi="Cambria Math" w:cs="Cambria Math"/>
          <w:lang w:val="en-US"/>
        </w:rPr>
        <w:t>‐</w:t>
      </w:r>
      <w:r w:rsidRPr="00DC3C6C">
        <w:rPr>
          <w:rFonts w:cs="Arial"/>
          <w:lang w:val="en-US"/>
        </w:rPr>
        <w:t xml:space="preserve">location, an enabler for service integration? Lessons from an evaluation of integrated community care teams in East London. </w:t>
      </w:r>
      <w:r w:rsidRPr="00DC3C6C">
        <w:rPr>
          <w:rFonts w:cs="Arial"/>
          <w:i/>
          <w:iCs/>
          <w:lang w:val="en-US"/>
        </w:rPr>
        <w:t>Health &amp; Social Care in the Community</w:t>
      </w:r>
      <w:r w:rsidRPr="00DC3C6C">
        <w:rPr>
          <w:rFonts w:cs="Arial"/>
          <w:lang w:val="en-US"/>
        </w:rPr>
        <w:t>, 30(2).</w:t>
      </w:r>
    </w:p>
    <w:p w:rsidRPr="00DC3C6C" w:rsidR="00DC3C6C" w:rsidP="00DC3C6C" w:rsidRDefault="00DC3C6C" w14:paraId="5A2F7F71" w14:textId="77777777">
      <w:pPr>
        <w:rPr>
          <w:rFonts w:cs="Arial"/>
          <w:lang w:val="en-US"/>
        </w:rPr>
      </w:pPr>
      <w:r w:rsidRPr="00DC3C6C">
        <w:rPr>
          <w:rFonts w:cs="Arial"/>
          <w:lang w:val="en-US"/>
        </w:rPr>
        <w:t xml:space="preserve">Liao, L., Feng, M., You, Y., Chen, Y., Guan, C. and Liu, Y. (2023). Experiences of older people, healthcare providers and caregivers on implementing person-centered care for community-dwelling older people: A systematic review and qualitative meta-synthesis. </w:t>
      </w:r>
      <w:r w:rsidRPr="00DC3C6C">
        <w:rPr>
          <w:rFonts w:cs="Arial"/>
          <w:i/>
          <w:iCs/>
          <w:lang w:val="en-US"/>
        </w:rPr>
        <w:t>BMC geriatrics</w:t>
      </w:r>
      <w:r w:rsidRPr="00DC3C6C">
        <w:rPr>
          <w:rFonts w:cs="Arial"/>
          <w:lang w:val="en-US"/>
        </w:rPr>
        <w:t>, 23(1), p.207.</w:t>
      </w:r>
    </w:p>
    <w:p w:rsidRPr="00DC3C6C" w:rsidR="00DC3C6C" w:rsidP="00DC3C6C" w:rsidRDefault="00DC3C6C" w14:paraId="6B38EF8F" w14:textId="77777777">
      <w:pPr>
        <w:rPr>
          <w:rFonts w:cs="Arial"/>
          <w:lang w:val="en-US"/>
        </w:rPr>
      </w:pPr>
      <w:r w:rsidRPr="00DC3C6C">
        <w:rPr>
          <w:rFonts w:cs="Arial"/>
          <w:lang w:val="en-US"/>
        </w:rPr>
        <w:t>Lombard, D. (2021). Person-</w:t>
      </w:r>
      <w:proofErr w:type="spellStart"/>
      <w:r w:rsidRPr="00DC3C6C">
        <w:rPr>
          <w:rFonts w:cs="Arial"/>
          <w:lang w:val="en-US"/>
        </w:rPr>
        <w:t>centred</w:t>
      </w:r>
      <w:proofErr w:type="spellEnd"/>
      <w:r w:rsidRPr="00DC3C6C">
        <w:rPr>
          <w:rFonts w:cs="Arial"/>
          <w:lang w:val="en-US"/>
        </w:rPr>
        <w:t xml:space="preserve"> communication in long-term care with older people: A scoping review. </w:t>
      </w:r>
      <w:r w:rsidRPr="00DC3C6C">
        <w:rPr>
          <w:rFonts w:cs="Arial"/>
          <w:i/>
          <w:iCs/>
          <w:lang w:val="en-US"/>
        </w:rPr>
        <w:t>Journal of Integrated Care</w:t>
      </w:r>
      <w:r w:rsidRPr="00DC3C6C">
        <w:rPr>
          <w:rFonts w:cs="Arial"/>
          <w:lang w:val="en-US"/>
        </w:rPr>
        <w:t>, ahead-of-print(ahead-of-print).</w:t>
      </w:r>
    </w:p>
    <w:p w:rsidRPr="00DC3C6C" w:rsidR="00DC3C6C" w:rsidP="00DC3C6C" w:rsidRDefault="00DC3C6C" w14:paraId="024B352B" w14:textId="77777777">
      <w:pPr>
        <w:rPr>
          <w:rFonts w:cs="Arial"/>
          <w:lang w:val="en-US"/>
        </w:rPr>
      </w:pPr>
      <w:r w:rsidRPr="00DC3C6C">
        <w:rPr>
          <w:rFonts w:cs="Arial"/>
          <w:lang w:val="en-US"/>
        </w:rPr>
        <w:t>Martínez-Angulo, P., Rich-Ruiz, M., Ventura-</w:t>
      </w:r>
      <w:proofErr w:type="spellStart"/>
      <w:r w:rsidRPr="00DC3C6C">
        <w:rPr>
          <w:rFonts w:cs="Arial"/>
          <w:lang w:val="en-US"/>
        </w:rPr>
        <w:t>Puertos</w:t>
      </w:r>
      <w:proofErr w:type="spellEnd"/>
      <w:r w:rsidRPr="00DC3C6C">
        <w:rPr>
          <w:rFonts w:cs="Arial"/>
          <w:lang w:val="en-US"/>
        </w:rPr>
        <w:t xml:space="preserve">, P.E. and López-Quero, S. (2023). Integrating shared decision-making, expressing preferences and active participation of older adults in primary care nursing: A systematic review of qualitative studies and qualitative meta-synthesis. </w:t>
      </w:r>
      <w:r w:rsidRPr="00DC3C6C">
        <w:rPr>
          <w:rFonts w:cs="Arial"/>
          <w:i/>
          <w:iCs/>
          <w:lang w:val="en-US"/>
        </w:rPr>
        <w:t>BMJ Open</w:t>
      </w:r>
      <w:r w:rsidRPr="00DC3C6C">
        <w:rPr>
          <w:rFonts w:cs="Arial"/>
          <w:lang w:val="en-US"/>
        </w:rPr>
        <w:t>, 13(6), p.e071549.</w:t>
      </w:r>
    </w:p>
    <w:p w:rsidRPr="00DC3C6C" w:rsidR="00DC3C6C" w:rsidP="00DC3C6C" w:rsidRDefault="00DC3C6C" w14:paraId="1A435B9C" w14:textId="77777777">
      <w:pPr>
        <w:rPr>
          <w:rFonts w:cs="Arial"/>
          <w:lang w:val="en-US"/>
        </w:rPr>
      </w:pPr>
      <w:r w:rsidRPr="00DC3C6C">
        <w:rPr>
          <w:rFonts w:cs="Arial"/>
          <w:lang w:val="en-US"/>
        </w:rPr>
        <w:t xml:space="preserve">Miller, R., Glasby, J. and Dickinson, H. (2021). Integrated Health and Social Care in England: Ten years on. </w:t>
      </w:r>
      <w:r w:rsidRPr="00DC3C6C">
        <w:rPr>
          <w:rFonts w:cs="Arial"/>
          <w:i/>
          <w:iCs/>
          <w:lang w:val="en-US"/>
        </w:rPr>
        <w:t>International Journal of Integrated Care</w:t>
      </w:r>
      <w:r w:rsidRPr="00DC3C6C">
        <w:rPr>
          <w:rFonts w:cs="Arial"/>
          <w:lang w:val="en-US"/>
        </w:rPr>
        <w:t>, 21(4).</w:t>
      </w:r>
    </w:p>
    <w:p w:rsidRPr="00DC3C6C" w:rsidR="00DC3C6C" w:rsidP="00DC3C6C" w:rsidRDefault="00DC3C6C" w14:paraId="251E30DD" w14:textId="77777777">
      <w:pPr>
        <w:rPr>
          <w:rFonts w:cs="Arial"/>
          <w:lang w:val="en-US"/>
        </w:rPr>
      </w:pPr>
      <w:r w:rsidRPr="00DC3C6C">
        <w:rPr>
          <w:rFonts w:cs="Arial"/>
          <w:lang w:val="en-US"/>
        </w:rPr>
        <w:t xml:space="preserve">NICE (2021). </w:t>
      </w:r>
      <w:r w:rsidRPr="00DC3C6C">
        <w:rPr>
          <w:rFonts w:cs="Arial"/>
          <w:i/>
          <w:iCs/>
          <w:lang w:val="en-US"/>
        </w:rPr>
        <w:t>Overview | shared decision making | guidance | NICE</w:t>
      </w:r>
      <w:r w:rsidRPr="00DC3C6C">
        <w:rPr>
          <w:rFonts w:cs="Arial"/>
          <w:lang w:val="en-US"/>
        </w:rPr>
        <w:t>. [online] www.nice.org.uk. Available at: https://www.nice.org.uk/guidance/ng197.</w:t>
      </w:r>
    </w:p>
    <w:p w:rsidRPr="00DC3C6C" w:rsidR="00DC3C6C" w:rsidP="00DC3C6C" w:rsidRDefault="00DC3C6C" w14:paraId="124559D1" w14:textId="77777777">
      <w:pPr>
        <w:rPr>
          <w:rFonts w:cs="Arial"/>
          <w:lang w:val="en-US"/>
        </w:rPr>
      </w:pPr>
      <w:r w:rsidRPr="00DC3C6C">
        <w:rPr>
          <w:rFonts w:cs="Arial"/>
          <w:lang w:val="en-US"/>
        </w:rPr>
        <w:t xml:space="preserve">Pascucci, D., Sassano, M., </w:t>
      </w:r>
      <w:proofErr w:type="spellStart"/>
      <w:r w:rsidRPr="00DC3C6C">
        <w:rPr>
          <w:rFonts w:cs="Arial"/>
          <w:lang w:val="en-US"/>
        </w:rPr>
        <w:t>Nurchis</w:t>
      </w:r>
      <w:proofErr w:type="spellEnd"/>
      <w:r w:rsidRPr="00DC3C6C">
        <w:rPr>
          <w:rFonts w:cs="Arial"/>
          <w:lang w:val="en-US"/>
        </w:rPr>
        <w:t xml:space="preserve">, M.C., Cicconi, M., Acampora, A., Park, D., Morano, C. and Damiani, G. (2021). Impact of interprofessional collaboration on chronic disease management: Findings from a systematic review of clinical trial and meta-analysis. </w:t>
      </w:r>
      <w:r w:rsidRPr="00DC3C6C">
        <w:rPr>
          <w:rFonts w:cs="Arial"/>
          <w:i/>
          <w:iCs/>
          <w:lang w:val="en-US"/>
        </w:rPr>
        <w:t>Health Policy</w:t>
      </w:r>
      <w:r w:rsidRPr="00DC3C6C">
        <w:rPr>
          <w:rFonts w:cs="Arial"/>
          <w:lang w:val="en-US"/>
        </w:rPr>
        <w:t>, 125(2), pp.191–202.</w:t>
      </w:r>
    </w:p>
    <w:p w:rsidRPr="00DC3C6C" w:rsidR="00DC3C6C" w:rsidP="00DC3C6C" w:rsidRDefault="00DC3C6C" w14:paraId="09935E00" w14:textId="77777777">
      <w:pPr>
        <w:rPr>
          <w:rFonts w:cs="Arial"/>
          <w:lang w:val="en-US"/>
        </w:rPr>
      </w:pPr>
      <w:r w:rsidRPr="00DC3C6C">
        <w:rPr>
          <w:rFonts w:cs="Arial"/>
          <w:lang w:val="en-US"/>
        </w:rPr>
        <w:t>Rossiter, C., Levett-Jones, T. and Pich, J. (2020). The impact of person-</w:t>
      </w:r>
      <w:proofErr w:type="spellStart"/>
      <w:r w:rsidRPr="00DC3C6C">
        <w:rPr>
          <w:rFonts w:cs="Arial"/>
          <w:lang w:val="en-US"/>
        </w:rPr>
        <w:t>centred</w:t>
      </w:r>
      <w:proofErr w:type="spellEnd"/>
      <w:r w:rsidRPr="00DC3C6C">
        <w:rPr>
          <w:rFonts w:cs="Arial"/>
          <w:lang w:val="en-US"/>
        </w:rPr>
        <w:t xml:space="preserve"> care on patient safety: An umbrella review of systematic reviews. </w:t>
      </w:r>
      <w:r w:rsidRPr="00DC3C6C">
        <w:rPr>
          <w:rFonts w:cs="Arial"/>
          <w:i/>
          <w:iCs/>
          <w:lang w:val="en-US"/>
        </w:rPr>
        <w:t>International Journal of Nursing Studies</w:t>
      </w:r>
      <w:r w:rsidRPr="00DC3C6C">
        <w:rPr>
          <w:rFonts w:cs="Arial"/>
          <w:lang w:val="en-US"/>
        </w:rPr>
        <w:t>, 109(103658), p.103658.</w:t>
      </w:r>
    </w:p>
    <w:p w:rsidRPr="00DC3C6C" w:rsidR="00DC3C6C" w:rsidP="00DC3C6C" w:rsidRDefault="00DC3C6C" w14:paraId="7589ECE1" w14:textId="77777777">
      <w:pPr>
        <w:rPr>
          <w:rFonts w:cs="Arial"/>
          <w:lang w:val="en-US"/>
        </w:rPr>
      </w:pPr>
      <w:r w:rsidRPr="00DC3C6C">
        <w:rPr>
          <w:rFonts w:cs="Arial"/>
          <w:lang w:val="en-US"/>
        </w:rPr>
        <w:t xml:space="preserve">Skills for Care (2022). </w:t>
      </w:r>
      <w:r w:rsidRPr="00DC3C6C">
        <w:rPr>
          <w:rFonts w:cs="Arial"/>
          <w:i/>
          <w:iCs/>
          <w:lang w:val="en-US"/>
        </w:rPr>
        <w:t>Code of Conduct</w:t>
      </w:r>
      <w:r w:rsidRPr="00DC3C6C">
        <w:rPr>
          <w:rFonts w:cs="Arial"/>
          <w:lang w:val="en-US"/>
        </w:rPr>
        <w:t>. [online] www.skillsforcare.org.uk. Available at: https://www.skillsforcare.org.uk/Support-for-leaders-and-managers/Managing-people/Code-of-Conduct.aspx.</w:t>
      </w:r>
    </w:p>
    <w:p w:rsidRPr="00DC3C6C" w:rsidR="00DC3C6C" w:rsidP="00DC3C6C" w:rsidRDefault="00DC3C6C" w14:paraId="47516D7F" w14:textId="77777777">
      <w:pPr>
        <w:rPr>
          <w:rFonts w:cs="Arial"/>
          <w:lang w:val="en-US"/>
        </w:rPr>
      </w:pPr>
      <w:r w:rsidRPr="00DC3C6C">
        <w:rPr>
          <w:rFonts w:cs="Arial"/>
          <w:lang w:val="en-US"/>
        </w:rPr>
        <w:t xml:space="preserve">Thomson, L. (2024). Barriers and enablers of integrated care in the UK: A Rapid evidence review of review articles and grey literature 2018–2022. </w:t>
      </w:r>
      <w:r w:rsidRPr="00DC3C6C">
        <w:rPr>
          <w:rFonts w:cs="Arial"/>
          <w:i/>
          <w:iCs/>
          <w:lang w:val="en-US"/>
        </w:rPr>
        <w:t>Frontiers in Public Health</w:t>
      </w:r>
      <w:r w:rsidRPr="00DC3C6C">
        <w:rPr>
          <w:rFonts w:cs="Arial"/>
          <w:lang w:val="en-US"/>
        </w:rPr>
        <w:t>, 11(1).</w:t>
      </w:r>
    </w:p>
    <w:p w:rsidRPr="00DC3C6C" w:rsidR="00DC3C6C" w:rsidP="00DC3C6C" w:rsidRDefault="00DC3C6C" w14:paraId="19E2816C" w14:textId="77777777">
      <w:pPr>
        <w:rPr>
          <w:rFonts w:cs="Arial"/>
          <w:lang w:val="en-US"/>
        </w:rPr>
      </w:pPr>
      <w:r w:rsidRPr="00DC3C6C">
        <w:rPr>
          <w:rFonts w:cs="Arial"/>
          <w:lang w:val="en-US"/>
        </w:rPr>
        <w:t xml:space="preserve">Wei, H., Horns, P., Sears, S.F., Huang, K., Smith, C.M. and Wei, T.L. (2022). A systematic meta-review of systematic reviews about interprofessional collaboration: Facilitators, barriers, and outcomes. </w:t>
      </w:r>
      <w:r w:rsidRPr="00DC3C6C">
        <w:rPr>
          <w:rFonts w:cs="Arial"/>
          <w:i/>
          <w:iCs/>
          <w:lang w:val="en-US"/>
        </w:rPr>
        <w:t>Journal of Interprofessional Care</w:t>
      </w:r>
      <w:r w:rsidRPr="00DC3C6C">
        <w:rPr>
          <w:rFonts w:cs="Arial"/>
          <w:lang w:val="en-US"/>
        </w:rPr>
        <w:t>, 36(5), pp.735–749.</w:t>
      </w:r>
    </w:p>
    <w:p w:rsidRPr="00DC3C6C" w:rsidR="001D345E" w:rsidP="001D345E" w:rsidRDefault="001D345E" w14:paraId="06EA2B04" w14:textId="77777777">
      <w:pPr>
        <w:rPr>
          <w:rFonts w:cs="Arial"/>
        </w:rPr>
      </w:pPr>
    </w:p>
    <w:p w:rsidRPr="00DC3C6C" w:rsidR="006D2F2D" w:rsidP="00594FAC" w:rsidRDefault="006D2F2D" w14:paraId="6080DC91" w14:textId="77777777">
      <w:pPr>
        <w:rPr>
          <w:rFonts w:cs="Arial"/>
        </w:rPr>
      </w:pPr>
    </w:p>
    <w:sectPr w:rsidRPr="00DC3C6C" w:rsidR="006D2F2D">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601F" w:rsidP="00B21FE6" w:rsidRDefault="0072601F" w14:paraId="28F32647" w14:textId="77777777">
      <w:pPr>
        <w:spacing w:after="0" w:line="240" w:lineRule="auto"/>
      </w:pPr>
      <w:r>
        <w:separator/>
      </w:r>
    </w:p>
  </w:endnote>
  <w:endnote w:type="continuationSeparator" w:id="0">
    <w:p w:rsidR="0072601F" w:rsidP="00B21FE6" w:rsidRDefault="0072601F" w14:paraId="6E3610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3CFD" w:rsidRDefault="00000000" w14:paraId="51EB426A" w14:textId="77777777">
    <w:pPr>
      <w:pStyle w:val="Footer"/>
      <w:jc w:val="center"/>
    </w:pPr>
    <w:r>
      <w:t xml:space="preserve">Page </w:t>
    </w:r>
    <w:r>
      <w:fldChar w:fldCharType="begin"/>
    </w:r>
    <w:r>
      <w:instrText xml:space="preserve"> PAGE </w:instrText>
    </w:r>
    <w:r>
      <w:fldChar w:fldCharType="separate"/>
    </w:r>
    <w:r w:rsidR="002C275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601F" w:rsidP="00B21FE6" w:rsidRDefault="0072601F" w14:paraId="3D55E9C2" w14:textId="77777777">
      <w:pPr>
        <w:spacing w:after="0" w:line="240" w:lineRule="auto"/>
      </w:pPr>
      <w:r>
        <w:separator/>
      </w:r>
    </w:p>
  </w:footnote>
  <w:footnote w:type="continuationSeparator" w:id="0">
    <w:p w:rsidR="0072601F" w:rsidP="00B21FE6" w:rsidRDefault="0072601F" w14:paraId="1BF4C33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3F6A"/>
    <w:rsid w:val="000269A0"/>
    <w:rsid w:val="00052089"/>
    <w:rsid w:val="00130F52"/>
    <w:rsid w:val="001333C2"/>
    <w:rsid w:val="001D345E"/>
    <w:rsid w:val="00220640"/>
    <w:rsid w:val="00296D72"/>
    <w:rsid w:val="002C275A"/>
    <w:rsid w:val="002D39BD"/>
    <w:rsid w:val="00317E3D"/>
    <w:rsid w:val="00350D4F"/>
    <w:rsid w:val="004F5B88"/>
    <w:rsid w:val="0058218C"/>
    <w:rsid w:val="00594FAC"/>
    <w:rsid w:val="005B456D"/>
    <w:rsid w:val="00610A5B"/>
    <w:rsid w:val="006524ED"/>
    <w:rsid w:val="006640C2"/>
    <w:rsid w:val="006D2F2D"/>
    <w:rsid w:val="006E1FF9"/>
    <w:rsid w:val="006E38AB"/>
    <w:rsid w:val="0072601F"/>
    <w:rsid w:val="00785886"/>
    <w:rsid w:val="007F3A6A"/>
    <w:rsid w:val="00815B54"/>
    <w:rsid w:val="0086260D"/>
    <w:rsid w:val="00887FBB"/>
    <w:rsid w:val="008F6D4B"/>
    <w:rsid w:val="009045C6"/>
    <w:rsid w:val="009B3CFD"/>
    <w:rsid w:val="009E5C5F"/>
    <w:rsid w:val="00A11336"/>
    <w:rsid w:val="00A20CAC"/>
    <w:rsid w:val="00A43E88"/>
    <w:rsid w:val="00AE7DDA"/>
    <w:rsid w:val="00B21FE6"/>
    <w:rsid w:val="00BC79FE"/>
    <w:rsid w:val="00C558B0"/>
    <w:rsid w:val="00D00A38"/>
    <w:rsid w:val="00D0627B"/>
    <w:rsid w:val="00D545BA"/>
    <w:rsid w:val="00D66C96"/>
    <w:rsid w:val="00DC3C6C"/>
    <w:rsid w:val="00E5569A"/>
    <w:rsid w:val="00E81204"/>
    <w:rsid w:val="00F81510"/>
    <w:rsid w:val="00FA6248"/>
    <w:rsid w:val="1C209F93"/>
    <w:rsid w:val="6D0DA7DA"/>
    <w:rsid w:val="713371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E52A8"/>
  <w15:chartTrackingRefBased/>
  <w15:docId w15:val="{647EBCD7-631C-4DB8-B919-7AD492B628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C275A"/>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2C275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2C275A"/>
    <w:pPr>
      <w:keepNext/>
      <w:keepLines/>
      <w:spacing w:before="40" w:after="0"/>
      <w:outlineLvl w:val="1"/>
    </w:pPr>
    <w:rPr>
      <w:rFonts w:eastAsiaTheme="majorEastAsia" w:cstheme="majorBidi"/>
      <w:b/>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character" w:styleId="Heading1Char" w:customStyle="1">
    <w:name w:val="Heading 1 Char"/>
    <w:basedOn w:val="DefaultParagraphFont"/>
    <w:link w:val="Heading1"/>
    <w:uiPriority w:val="9"/>
    <w:rsid w:val="002C275A"/>
    <w:rPr>
      <w:rFonts w:ascii="Arial" w:hAnsi="Arial" w:eastAsiaTheme="majorEastAsia" w:cstheme="majorBidi"/>
      <w:b/>
      <w:color w:val="000000" w:themeColor="text1"/>
      <w:szCs w:val="32"/>
    </w:rPr>
  </w:style>
  <w:style w:type="character" w:styleId="Heading2Char" w:customStyle="1">
    <w:name w:val="Heading 2 Char"/>
    <w:basedOn w:val="DefaultParagraphFont"/>
    <w:link w:val="Heading2"/>
    <w:uiPriority w:val="9"/>
    <w:semiHidden/>
    <w:rsid w:val="002C275A"/>
    <w:rPr>
      <w:rFonts w:ascii="Arial" w:hAnsi="Arial" w:eastAsiaTheme="majorEastAsia" w:cstheme="majorBidi"/>
      <w:b/>
      <w:color w:val="000000" w:themeColor="text1"/>
      <w:szCs w:val="26"/>
    </w:rPr>
  </w:style>
  <w:style w:type="paragraph" w:styleId="TOCHeading">
    <w:name w:val="TOC Heading"/>
    <w:basedOn w:val="Heading1"/>
    <w:next w:val="Normal"/>
    <w:uiPriority w:val="39"/>
    <w:unhideWhenUsed/>
    <w:qFormat/>
    <w:rsid w:val="006640C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640C2"/>
    <w:pPr>
      <w:spacing w:after="100"/>
    </w:pPr>
  </w:style>
  <w:style w:type="character" w:styleId="Hyperlink">
    <w:name w:val="Hyperlink"/>
    <w:basedOn w:val="DefaultParagraphFont"/>
    <w:uiPriority w:val="99"/>
    <w:unhideWhenUsed/>
    <w:rsid w:val="006640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28C4E-6950-4A52-B373-11A0F41E4B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BMHP5016 Component 1 Reflective Report</dc:title>
  <dc:subject>Principles of Health and Social Care Practice</dc:subject>
  <dc:creator>Diola Bijlhout</dc:creator>
  <keywords>person-centred care, partnership working, ethics, reflection</keywords>
  <dc:description/>
  <lastModifiedBy>Felix Olukunmi Ojo (2508025)</lastModifiedBy>
  <revision>9</revision>
  <dcterms:created xsi:type="dcterms:W3CDTF">2026-09-30T11:15:00.0000000Z</dcterms:created>
  <dcterms:modified xsi:type="dcterms:W3CDTF">2026-10-09T18:23:19.2686300Z</dcterms:modified>
</coreProperties>
</file>