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490B3" w14:textId="77777777" w:rsidR="001519BE" w:rsidRDefault="001519BE">
      <w:pPr>
        <w:jc w:val="center"/>
        <w:rPr>
          <w:rFonts w:ascii="Tahoma" w:eastAsia="Tahoma" w:hAnsi="Tahoma" w:cs="Tahoma"/>
          <w:b/>
          <w:u w:val="single"/>
        </w:rPr>
      </w:pPr>
    </w:p>
    <w:p w14:paraId="563490B4" w14:textId="77777777" w:rsidR="001519BE" w:rsidRDefault="001519BE">
      <w:pPr>
        <w:jc w:val="both"/>
        <w:rPr>
          <w:rFonts w:ascii="Tahoma" w:eastAsia="Tahoma" w:hAnsi="Tahoma" w:cs="Tahoma"/>
          <w:b/>
          <w:u w:val="single"/>
        </w:rPr>
      </w:pPr>
    </w:p>
    <w:p w14:paraId="563490B5" w14:textId="77777777" w:rsidR="001519BE" w:rsidRDefault="001519BE">
      <w:pPr>
        <w:jc w:val="both"/>
        <w:rPr>
          <w:rFonts w:ascii="Tahoma" w:eastAsia="Tahoma" w:hAnsi="Tahoma" w:cs="Tahoma"/>
          <w:b/>
          <w:u w:val="single"/>
        </w:rPr>
      </w:pPr>
    </w:p>
    <w:p w14:paraId="563490B6" w14:textId="77777777" w:rsidR="001519BE" w:rsidRDefault="00311CE9">
      <w:pPr>
        <w:jc w:val="both"/>
        <w:rPr>
          <w:rFonts w:ascii="Tahoma" w:eastAsia="Tahoma" w:hAnsi="Tahoma" w:cs="Tahoma"/>
          <w:b/>
          <w:u w:val="single"/>
        </w:rPr>
      </w:pPr>
      <w:r>
        <w:rPr>
          <w:rFonts w:ascii="Tahoma" w:eastAsia="Tahoma" w:hAnsi="Tahoma" w:cs="Tahoma"/>
          <w:b/>
          <w:u w:val="single"/>
        </w:rPr>
        <w:t xml:space="preserve">LEVEL 4 – Student Journal </w:t>
      </w:r>
    </w:p>
    <w:p w14:paraId="563490BD" w14:textId="5CE6751D" w:rsidR="001519BE" w:rsidRDefault="00311CE9">
      <w:pPr>
        <w:jc w:val="both"/>
        <w:rPr>
          <w:rFonts w:ascii="Tahoma" w:eastAsia="Tahoma" w:hAnsi="Tahoma" w:cs="Tahoma"/>
        </w:rPr>
      </w:pPr>
      <w:r>
        <w:rPr>
          <w:rFonts w:ascii="Tahoma" w:eastAsia="Tahoma" w:hAnsi="Tahoma" w:cs="Tahoma"/>
        </w:rPr>
        <w:t xml:space="preserve"> </w:t>
      </w:r>
    </w:p>
    <w:p w14:paraId="563490BE" w14:textId="77777777" w:rsidR="001519BE" w:rsidRDefault="001519BE">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1519BE" w14:paraId="563490C6" w14:textId="77777777">
        <w:tc>
          <w:tcPr>
            <w:tcW w:w="3987" w:type="dxa"/>
            <w:shd w:val="clear" w:color="auto" w:fill="8DB3E2"/>
          </w:tcPr>
          <w:p w14:paraId="563490BF" w14:textId="37EF8B09" w:rsidR="001519BE" w:rsidRDefault="00311CE9">
            <w:pPr>
              <w:rPr>
                <w:rFonts w:ascii="Tahoma" w:eastAsia="Tahoma" w:hAnsi="Tahoma" w:cs="Tahoma"/>
                <w:b/>
                <w:sz w:val="20"/>
                <w:szCs w:val="20"/>
              </w:rPr>
            </w:pPr>
            <w:r>
              <w:rPr>
                <w:rFonts w:ascii="Tahoma" w:eastAsia="Tahoma" w:hAnsi="Tahoma" w:cs="Tahoma"/>
                <w:b/>
                <w:sz w:val="20"/>
                <w:szCs w:val="20"/>
              </w:rPr>
              <w:t xml:space="preserve">Student Name: </w:t>
            </w:r>
            <w:r w:rsidR="00EC0428">
              <w:rPr>
                <w:rFonts w:ascii="Tahoma" w:eastAsia="Tahoma" w:hAnsi="Tahoma" w:cs="Tahoma"/>
                <w:b/>
                <w:sz w:val="20"/>
                <w:szCs w:val="20"/>
              </w:rPr>
              <w:t>Atikuz Zaman</w:t>
            </w:r>
          </w:p>
          <w:p w14:paraId="563490C0" w14:textId="77777777" w:rsidR="001519BE" w:rsidRDefault="001519BE">
            <w:pPr>
              <w:rPr>
                <w:rFonts w:ascii="Tahoma" w:eastAsia="Tahoma" w:hAnsi="Tahoma" w:cs="Tahoma"/>
                <w:b/>
                <w:sz w:val="20"/>
                <w:szCs w:val="20"/>
              </w:rPr>
            </w:pPr>
          </w:p>
          <w:p w14:paraId="563490C1" w14:textId="59798277" w:rsidR="001519BE" w:rsidRDefault="00311CE9">
            <w:pPr>
              <w:rPr>
                <w:rFonts w:ascii="Tahoma" w:eastAsia="Tahoma" w:hAnsi="Tahoma" w:cs="Tahoma"/>
                <w:b/>
                <w:sz w:val="20"/>
                <w:szCs w:val="20"/>
              </w:rPr>
            </w:pPr>
            <w:r>
              <w:rPr>
                <w:rFonts w:ascii="Tahoma" w:eastAsia="Tahoma" w:hAnsi="Tahoma" w:cs="Tahoma"/>
                <w:b/>
                <w:sz w:val="20"/>
                <w:szCs w:val="20"/>
              </w:rPr>
              <w:t xml:space="preserve">Student Number: </w:t>
            </w:r>
            <w:r w:rsidR="00EC0428">
              <w:rPr>
                <w:rFonts w:ascii="Tahoma" w:eastAsia="Tahoma" w:hAnsi="Tahoma" w:cs="Tahoma"/>
                <w:b/>
                <w:sz w:val="20"/>
                <w:szCs w:val="20"/>
              </w:rPr>
              <w:t>2019017</w:t>
            </w:r>
          </w:p>
          <w:p w14:paraId="563490C2" w14:textId="77777777" w:rsidR="001519BE" w:rsidRDefault="001519BE">
            <w:pPr>
              <w:rPr>
                <w:rFonts w:ascii="Tahoma" w:eastAsia="Tahoma" w:hAnsi="Tahoma" w:cs="Tahoma"/>
                <w:b/>
                <w:sz w:val="20"/>
                <w:szCs w:val="20"/>
              </w:rPr>
            </w:pPr>
          </w:p>
        </w:tc>
        <w:tc>
          <w:tcPr>
            <w:tcW w:w="7195" w:type="dxa"/>
            <w:shd w:val="clear" w:color="auto" w:fill="8DB3E2"/>
          </w:tcPr>
          <w:p w14:paraId="563490C3" w14:textId="61594BBE" w:rsidR="001519BE" w:rsidRDefault="00311CE9">
            <w:pPr>
              <w:rPr>
                <w:rFonts w:ascii="Tahoma" w:eastAsia="Tahoma" w:hAnsi="Tahoma" w:cs="Tahoma"/>
                <w:b/>
                <w:sz w:val="20"/>
                <w:szCs w:val="20"/>
              </w:rPr>
            </w:pPr>
            <w:r>
              <w:rPr>
                <w:rFonts w:ascii="Tahoma" w:eastAsia="Tahoma" w:hAnsi="Tahoma" w:cs="Tahoma"/>
                <w:b/>
                <w:sz w:val="20"/>
                <w:szCs w:val="20"/>
              </w:rPr>
              <w:t xml:space="preserve">Module: </w:t>
            </w:r>
            <w:r w:rsidR="00CA11DE">
              <w:rPr>
                <w:rFonts w:ascii="Tahoma" w:eastAsia="Tahoma" w:hAnsi="Tahoma" w:cs="Tahoma"/>
                <w:b/>
                <w:sz w:val="20"/>
                <w:szCs w:val="20"/>
              </w:rPr>
              <w:t>BMIH</w:t>
            </w:r>
            <w:r w:rsidR="00A53A69">
              <w:rPr>
                <w:rFonts w:ascii="Tahoma" w:eastAsia="Tahoma" w:hAnsi="Tahoma" w:cs="Tahoma"/>
                <w:b/>
                <w:sz w:val="20"/>
                <w:szCs w:val="20"/>
              </w:rPr>
              <w:t xml:space="preserve">4002 </w:t>
            </w:r>
            <w:r w:rsidR="00EC0428">
              <w:rPr>
                <w:rFonts w:ascii="Tahoma" w:eastAsia="Tahoma" w:hAnsi="Tahoma" w:cs="Tahoma"/>
                <w:b/>
                <w:sz w:val="20"/>
                <w:szCs w:val="20"/>
              </w:rPr>
              <w:t xml:space="preserve">Food and Beverage </w:t>
            </w:r>
            <w:r w:rsidR="00CA11DE">
              <w:rPr>
                <w:rFonts w:ascii="Tahoma" w:eastAsia="Tahoma" w:hAnsi="Tahoma" w:cs="Tahoma"/>
                <w:b/>
                <w:sz w:val="20"/>
                <w:szCs w:val="20"/>
              </w:rPr>
              <w:t xml:space="preserve">Operation </w:t>
            </w:r>
          </w:p>
          <w:p w14:paraId="563490C4" w14:textId="77777777" w:rsidR="001519BE" w:rsidRDefault="001519BE">
            <w:pPr>
              <w:rPr>
                <w:rFonts w:ascii="Tahoma" w:eastAsia="Tahoma" w:hAnsi="Tahoma" w:cs="Tahoma"/>
                <w:b/>
                <w:sz w:val="20"/>
                <w:szCs w:val="20"/>
              </w:rPr>
            </w:pPr>
          </w:p>
          <w:p w14:paraId="563490C5" w14:textId="2EB258E2" w:rsidR="001519BE" w:rsidRDefault="00311CE9">
            <w:pPr>
              <w:rPr>
                <w:rFonts w:ascii="Tahoma" w:eastAsia="Tahoma" w:hAnsi="Tahoma" w:cs="Tahoma"/>
                <w:b/>
                <w:sz w:val="20"/>
                <w:szCs w:val="20"/>
              </w:rPr>
            </w:pPr>
            <w:r>
              <w:rPr>
                <w:rFonts w:ascii="Tahoma" w:eastAsia="Tahoma" w:hAnsi="Tahoma" w:cs="Tahoma"/>
                <w:b/>
                <w:sz w:val="20"/>
                <w:szCs w:val="20"/>
              </w:rPr>
              <w:t xml:space="preserve">Lecturer: </w:t>
            </w:r>
            <w:r w:rsidR="00EC0428">
              <w:rPr>
                <w:rFonts w:ascii="Tahoma" w:eastAsia="Tahoma" w:hAnsi="Tahoma" w:cs="Tahoma"/>
                <w:b/>
                <w:sz w:val="20"/>
                <w:szCs w:val="20"/>
              </w:rPr>
              <w:t>Ryan Peters</w:t>
            </w:r>
          </w:p>
        </w:tc>
      </w:tr>
    </w:tbl>
    <w:p w14:paraId="563490C7" w14:textId="77777777" w:rsidR="001519BE" w:rsidRDefault="001519BE">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1519BE" w14:paraId="563490CC" w14:textId="77777777">
        <w:tc>
          <w:tcPr>
            <w:tcW w:w="3983" w:type="dxa"/>
            <w:shd w:val="clear" w:color="auto" w:fill="FBD5B5"/>
          </w:tcPr>
          <w:p w14:paraId="563490C8" w14:textId="51899DF1" w:rsidR="001519BE" w:rsidRDefault="00311CE9">
            <w:pPr>
              <w:rPr>
                <w:rFonts w:ascii="Tahoma" w:eastAsia="Tahoma" w:hAnsi="Tahoma" w:cs="Tahoma"/>
                <w:b/>
                <w:sz w:val="20"/>
                <w:szCs w:val="20"/>
              </w:rPr>
            </w:pPr>
            <w:r>
              <w:rPr>
                <w:rFonts w:ascii="Tahoma" w:eastAsia="Tahoma" w:hAnsi="Tahoma" w:cs="Tahoma"/>
                <w:b/>
                <w:sz w:val="20"/>
                <w:szCs w:val="20"/>
              </w:rPr>
              <w:t xml:space="preserve">Topic of choice: </w:t>
            </w:r>
            <w:r w:rsidR="00EC0428">
              <w:rPr>
                <w:rFonts w:ascii="Tahoma" w:eastAsia="Tahoma" w:hAnsi="Tahoma" w:cs="Tahoma"/>
                <w:b/>
                <w:sz w:val="20"/>
                <w:szCs w:val="20"/>
              </w:rPr>
              <w:t>Allergies and Intolerance and the importance within the industry</w:t>
            </w:r>
          </w:p>
        </w:tc>
        <w:tc>
          <w:tcPr>
            <w:tcW w:w="7199" w:type="dxa"/>
            <w:shd w:val="clear" w:color="auto" w:fill="FBD5B5"/>
          </w:tcPr>
          <w:p w14:paraId="563490C9" w14:textId="77777777" w:rsidR="001519BE" w:rsidRDefault="00311CE9">
            <w:pPr>
              <w:rPr>
                <w:rFonts w:ascii="Tahoma" w:eastAsia="Tahoma" w:hAnsi="Tahoma" w:cs="Tahoma"/>
                <w:b/>
                <w:sz w:val="20"/>
                <w:szCs w:val="20"/>
              </w:rPr>
            </w:pPr>
            <w:r>
              <w:rPr>
                <w:rFonts w:ascii="Tahoma" w:eastAsia="Tahoma" w:hAnsi="Tahoma" w:cs="Tahoma"/>
                <w:b/>
                <w:sz w:val="20"/>
                <w:szCs w:val="20"/>
              </w:rPr>
              <w:t xml:space="preserve">Date Completed: </w:t>
            </w:r>
          </w:p>
          <w:p w14:paraId="563490CA" w14:textId="77777777" w:rsidR="001519BE" w:rsidRDefault="001519BE">
            <w:pPr>
              <w:jc w:val="center"/>
              <w:rPr>
                <w:rFonts w:ascii="Tahoma" w:eastAsia="Tahoma" w:hAnsi="Tahoma" w:cs="Tahoma"/>
                <w:b/>
                <w:sz w:val="20"/>
                <w:szCs w:val="20"/>
              </w:rPr>
            </w:pPr>
          </w:p>
          <w:p w14:paraId="563490CB" w14:textId="597A07F5" w:rsidR="001519BE" w:rsidRDefault="0076109C">
            <w:pPr>
              <w:jc w:val="center"/>
              <w:rPr>
                <w:rFonts w:ascii="Tahoma" w:eastAsia="Tahoma" w:hAnsi="Tahoma" w:cs="Tahoma"/>
                <w:b/>
                <w:sz w:val="20"/>
                <w:szCs w:val="20"/>
              </w:rPr>
            </w:pPr>
            <w:r>
              <w:rPr>
                <w:rFonts w:ascii="Tahoma" w:eastAsia="Tahoma" w:hAnsi="Tahoma" w:cs="Tahoma"/>
                <w:b/>
                <w:sz w:val="20"/>
                <w:szCs w:val="20"/>
              </w:rPr>
              <w:t>17/10/2021</w:t>
            </w:r>
          </w:p>
        </w:tc>
      </w:tr>
      <w:tr w:rsidR="001519BE" w14:paraId="563490E3" w14:textId="77777777">
        <w:trPr>
          <w:trHeight w:val="2494"/>
        </w:trPr>
        <w:tc>
          <w:tcPr>
            <w:tcW w:w="11182" w:type="dxa"/>
            <w:gridSpan w:val="2"/>
          </w:tcPr>
          <w:p w14:paraId="563490CD" w14:textId="77777777" w:rsidR="00354806" w:rsidRPr="00905487" w:rsidRDefault="00354806" w:rsidP="00354806">
            <w:pPr>
              <w:spacing w:line="360" w:lineRule="auto"/>
              <w:jc w:val="both"/>
              <w:rPr>
                <w:rFonts w:ascii="Arial" w:hAnsi="Arial" w:cs="Arial"/>
              </w:rPr>
            </w:pPr>
            <w:r>
              <w:rPr>
                <w:rFonts w:ascii="Arial" w:hAnsi="Arial" w:cs="Arial"/>
              </w:rPr>
              <w:t>I have become acquainted</w:t>
            </w:r>
            <w:r w:rsidRPr="00905487">
              <w:rPr>
                <w:rFonts w:ascii="Arial" w:hAnsi="Arial" w:cs="Arial"/>
              </w:rPr>
              <w:t xml:space="preserve"> with the food allergies and intolerances within the industry, the law on information and labelling, Natasha’s law, cross contamination, and the fourteen major allergens. Food allergy refers to a reaction of the abnormal immune system of the body after eating certain types of food in which the allergic reaction may gradually go from mild to severe. On the other hand, food intolerances mean the chemical reaction of the body to eating particular foods or drinks</w:t>
            </w:r>
            <w:r w:rsidRPr="00567F1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(Brimer, 2011)</w:t>
            </w:r>
            <w:r w:rsidRPr="00905487">
              <w:rPr>
                <w:rFonts w:ascii="Arial" w:hAnsi="Arial" w:cs="Arial"/>
              </w:rPr>
              <w:t>. Although certain differences have existed between food allergies and intolerance, both symptoms are sometimes similar.</w:t>
            </w:r>
          </w:p>
          <w:p w14:paraId="563490CE" w14:textId="77777777" w:rsidR="00282B28" w:rsidRDefault="00282B28" w:rsidP="00354806">
            <w:pPr>
              <w:spacing w:line="360" w:lineRule="auto"/>
              <w:jc w:val="both"/>
              <w:rPr>
                <w:rFonts w:ascii="Arial" w:hAnsi="Arial" w:cs="Arial"/>
              </w:rPr>
            </w:pPr>
          </w:p>
          <w:p w14:paraId="563490CF" w14:textId="77777777" w:rsidR="00354806" w:rsidRPr="00905487" w:rsidRDefault="00354806" w:rsidP="00354806">
            <w:pPr>
              <w:spacing w:line="360" w:lineRule="auto"/>
              <w:jc w:val="both"/>
              <w:rPr>
                <w:rFonts w:ascii="Arial" w:hAnsi="Arial" w:cs="Arial"/>
              </w:rPr>
            </w:pPr>
            <w:r w:rsidRPr="00905487">
              <w:rPr>
                <w:rFonts w:ascii="Arial" w:hAnsi="Arial" w:cs="Arial"/>
              </w:rPr>
              <w:t>Herein, the physical reaction to the specific food is common, but most of the time, it is caused by the food intolerance rather than the food allergy. Most of the time, food intolerance can cause the same symptoms and signs as a food allergy, so people are confused about those. True food allergies cause a reaction of the immune systems that affect the different organs of the human body. It can also cause a wide range of symptoms; sometimes an allergic food reaction can cause severe harm or make life difficult. In contrast, the food intolerance syndromes are less harmful and often limited by the digestive problems of the human body. They are referred to as the fourteen types of allergens, such as eggs, fish, mustard, soybeans, sulphur dioxide, lupin, and more specific items that can cause allergy problems. People who run the food business as well as the catering sector are needed to provide all the allergen information about food and also ensure the law on labelling is set out clearly. This means that food business operators must provide information about the labelling of pre-packed food and non-packed food. Besides, the food provider must ensure that they manage food allergens efficiently in preparing food and make sure that staff in the food production gets enough training on allergens. Natasha Edanan Laperouse, a teenager, died as a result of an allergic reaction caused by eating a pre-packed baguette that did not provide allergen labelling, that’s why, on October 1st, 2021, the UK food information amendment has introduced the food labelling law in which food business has to require catering of detailed ingredient lists and allergen labelling on foods pre-packed for sale. This law is also known as Natasha’s Law</w:t>
            </w:r>
            <w:r w:rsidRPr="00567F1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(Albert, 2010)</w:t>
            </w:r>
            <w:r w:rsidRPr="00905487">
              <w:rPr>
                <w:rFonts w:ascii="Arial" w:hAnsi="Arial" w:cs="Arial"/>
              </w:rPr>
              <w:t xml:space="preserve">. Cross contamination occurs when a small amount of allergy food gets mixed with another food intentionally or accidentally by preparing or servicing food. As the small amount of </w:t>
            </w:r>
            <w:r w:rsidRPr="00905487">
              <w:rPr>
                <w:rFonts w:ascii="Arial" w:hAnsi="Arial" w:cs="Arial"/>
              </w:rPr>
              <w:lastRenderedPageBreak/>
              <w:t>cross contamination can cause an allergic reaction, the food industry should ensure individual cleanliness, the cleanliness of surfaces and utensils, enough storage of food, and the disposal of waste within the food preparation areas to eradicate cross contamination. Since food allergy can do intense harm to health, it is necessary to check out all the ingredients used in food, review each item on the product list, and create awareness among people about allergens.</w:t>
            </w:r>
          </w:p>
          <w:p w14:paraId="563490D0" w14:textId="77777777" w:rsidR="00282B28" w:rsidRDefault="00282B28" w:rsidP="00354806">
            <w:pPr>
              <w:spacing w:line="360" w:lineRule="auto"/>
              <w:jc w:val="both"/>
              <w:rPr>
                <w:rFonts w:ascii="Arial" w:hAnsi="Arial" w:cs="Arial"/>
              </w:rPr>
            </w:pPr>
          </w:p>
          <w:p w14:paraId="563490D1" w14:textId="77777777" w:rsidR="00354806" w:rsidRPr="00905487" w:rsidRDefault="00354806" w:rsidP="00354806">
            <w:pPr>
              <w:spacing w:line="360" w:lineRule="auto"/>
              <w:jc w:val="both"/>
              <w:rPr>
                <w:rFonts w:ascii="Arial" w:hAnsi="Arial" w:cs="Arial"/>
              </w:rPr>
            </w:pPr>
            <w:r w:rsidRPr="00905487">
              <w:rPr>
                <w:rFonts w:ascii="Arial" w:hAnsi="Arial" w:cs="Arial"/>
              </w:rPr>
              <w:t>By studying this, I have gained different kinds of knowledge about food allergies and intolerances within the industry. I have also acquired the knowledge of food labelling law that can make me conscious about food packing. Besides, I also know the fourteen major allergen foods that can assist me distinguish among the non-allergy foods. I have made myself responsible for disposing of the cross-contamination of allergies, such as keeping safe non-allergy food separate from allergic food</w:t>
            </w:r>
            <w:r w:rsidRPr="00567F1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(Lessof, 2013)</w:t>
            </w:r>
            <w:r w:rsidRPr="00905487">
              <w:rPr>
                <w:rFonts w:ascii="Arial" w:hAnsi="Arial" w:cs="Arial"/>
              </w:rPr>
              <w:t>. On the other hand, I think that some expansions have to be made in the lecture, such as including how to communicate with customers about their allergic problems and how to set up the allergy and ingredients tracking management department within the hotel and hospitality industry to make a positive impression on guests.</w:t>
            </w:r>
          </w:p>
          <w:p w14:paraId="563490D2" w14:textId="77777777" w:rsidR="00354806" w:rsidRDefault="00354806" w:rsidP="00354806">
            <w:pPr>
              <w:spacing w:line="360" w:lineRule="auto"/>
              <w:jc w:val="both"/>
              <w:rPr>
                <w:rFonts w:ascii="Arial" w:hAnsi="Arial" w:cs="Arial"/>
              </w:rPr>
            </w:pPr>
          </w:p>
          <w:p w14:paraId="563490D3" w14:textId="77777777" w:rsidR="00354806" w:rsidRPr="00905487" w:rsidRDefault="00354806" w:rsidP="00354806">
            <w:pPr>
              <w:spacing w:line="360" w:lineRule="auto"/>
              <w:jc w:val="both"/>
              <w:rPr>
                <w:rFonts w:ascii="Arial" w:hAnsi="Arial" w:cs="Arial"/>
              </w:rPr>
            </w:pPr>
            <w:r w:rsidRPr="00905487">
              <w:rPr>
                <w:rFonts w:ascii="Arial" w:hAnsi="Arial" w:cs="Arial"/>
              </w:rPr>
              <w:t>Acquiring knowledge will assist me to enrich my personal as well as professional life. As I have acquired a clear understanding of allergic food and intolerances, I will apply this skill within the hotel sector while doing jobs. Besides, I will train the housekeeping supervisors about allergens in food so that they will deliver better performance in the workplace</w:t>
            </w:r>
            <w:r w:rsidRPr="00567F1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(James, Burks and Eigenmann, 2018)</w:t>
            </w:r>
            <w:r w:rsidRPr="00905487">
              <w:rPr>
                <w:rFonts w:ascii="Arial" w:hAnsi="Arial" w:cs="Arial"/>
              </w:rPr>
              <w:t>. As the chief head of the food management department, I will ensure the non-allergy food is catered to the guests by preventing cross contamination in the hotel and hospitality sector.</w:t>
            </w:r>
          </w:p>
          <w:p w14:paraId="563490D4" w14:textId="77777777" w:rsidR="00354806" w:rsidRDefault="00354806" w:rsidP="00354806">
            <w:pPr>
              <w:spacing w:line="360" w:lineRule="auto"/>
              <w:jc w:val="both"/>
              <w:rPr>
                <w:rFonts w:ascii="Arial" w:hAnsi="Arial" w:cs="Arial"/>
              </w:rPr>
            </w:pPr>
          </w:p>
          <w:p w14:paraId="563490E0" w14:textId="53DC2407" w:rsidR="001519BE" w:rsidRDefault="00354806" w:rsidP="00A53A69">
            <w:pPr>
              <w:spacing w:line="360" w:lineRule="auto"/>
              <w:jc w:val="both"/>
              <w:rPr>
                <w:rFonts w:ascii="Arial" w:hAnsi="Arial" w:cs="Arial"/>
              </w:rPr>
            </w:pPr>
            <w:r w:rsidRPr="00905487">
              <w:rPr>
                <w:rFonts w:ascii="Arial" w:hAnsi="Arial" w:cs="Arial"/>
              </w:rPr>
              <w:t>In a nutshell, food allergies and intolerances can cause great harm to the health and sometimes cause the death of people. So food retailers as well as food providers should show all the mandatory information and ingredients list in food packages, and it would help the hotel industry to ensure they serve non-allergenic food to their guests. Besides, people who work for the food caterer directly with the guests should be aware of cross contamination between allergy food and non-allergy food</w:t>
            </w:r>
            <w:r w:rsidRPr="00567F1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(Eliot, </w:t>
            </w:r>
            <w:proofErr w:type="gramStart"/>
            <w:r>
              <w:rPr>
                <w:rFonts w:ascii="Arial" w:hAnsi="Arial" w:cs="Arial"/>
                <w:color w:val="000000"/>
                <w:sz w:val="20"/>
                <w:szCs w:val="20"/>
                <w:shd w:val="clear" w:color="auto" w:fill="FFFFFF"/>
              </w:rPr>
              <w:t>Haight</w:t>
            </w:r>
            <w:proofErr w:type="gramEnd"/>
            <w:r>
              <w:rPr>
                <w:rFonts w:ascii="Arial" w:hAnsi="Arial" w:cs="Arial"/>
                <w:color w:val="000000"/>
                <w:sz w:val="20"/>
                <w:szCs w:val="20"/>
                <w:shd w:val="clear" w:color="auto" w:fill="FFFFFF"/>
              </w:rPr>
              <w:t xml:space="preserve"> and Atkinson, 2015)</w:t>
            </w:r>
            <w:r w:rsidRPr="00905487">
              <w:rPr>
                <w:rFonts w:ascii="Arial" w:hAnsi="Arial" w:cs="Arial"/>
              </w:rPr>
              <w:t xml:space="preserve">. </w:t>
            </w:r>
          </w:p>
          <w:p w14:paraId="3F5F0852" w14:textId="3BCEFB38" w:rsidR="00A53A69" w:rsidRDefault="00A53A69" w:rsidP="00A53A69">
            <w:pPr>
              <w:spacing w:line="360" w:lineRule="auto"/>
              <w:jc w:val="both"/>
              <w:rPr>
                <w:rFonts w:ascii="Arial" w:hAnsi="Arial" w:cs="Arial"/>
              </w:rPr>
            </w:pPr>
          </w:p>
          <w:p w14:paraId="0E886D7C" w14:textId="22DCF53B" w:rsidR="00A53A69" w:rsidRDefault="00A53A69" w:rsidP="00A53A69">
            <w:pPr>
              <w:spacing w:line="360" w:lineRule="auto"/>
              <w:jc w:val="both"/>
              <w:rPr>
                <w:rFonts w:ascii="Arial" w:hAnsi="Arial" w:cs="Arial"/>
              </w:rPr>
            </w:pPr>
          </w:p>
          <w:p w14:paraId="11B8A158" w14:textId="77777777" w:rsidR="00A53A69" w:rsidRPr="00A53A69" w:rsidRDefault="00A53A69" w:rsidP="00A53A69">
            <w:pPr>
              <w:spacing w:line="360" w:lineRule="auto"/>
              <w:jc w:val="both"/>
              <w:rPr>
                <w:rFonts w:ascii="Arial" w:hAnsi="Arial" w:cs="Arial"/>
              </w:rPr>
            </w:pPr>
          </w:p>
          <w:p w14:paraId="563490E1" w14:textId="77777777" w:rsidR="001519BE" w:rsidRDefault="001519BE">
            <w:pPr>
              <w:jc w:val="both"/>
              <w:rPr>
                <w:rFonts w:ascii="Tahoma" w:eastAsia="Tahoma" w:hAnsi="Tahoma" w:cs="Tahoma"/>
                <w:sz w:val="20"/>
                <w:szCs w:val="20"/>
              </w:rPr>
            </w:pPr>
          </w:p>
          <w:p w14:paraId="563490E2" w14:textId="77777777" w:rsidR="001519BE" w:rsidRDefault="001519BE">
            <w:pPr>
              <w:jc w:val="both"/>
              <w:rPr>
                <w:rFonts w:ascii="Tahoma" w:eastAsia="Tahoma" w:hAnsi="Tahoma" w:cs="Tahoma"/>
                <w:sz w:val="20"/>
                <w:szCs w:val="20"/>
              </w:rPr>
            </w:pPr>
          </w:p>
        </w:tc>
      </w:tr>
    </w:tbl>
    <w:p w14:paraId="563490E4" w14:textId="77777777" w:rsidR="001519BE" w:rsidRDefault="001519BE">
      <w:pPr>
        <w:rPr>
          <w:rFonts w:ascii="Tahoma" w:eastAsia="Tahoma" w:hAnsi="Tahoma" w:cs="Tahoma"/>
          <w:b/>
        </w:rPr>
      </w:pPr>
    </w:p>
    <w:tbl>
      <w:tblPr>
        <w:tblStyle w:val="a1"/>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10"/>
        <w:gridCol w:w="272"/>
      </w:tblGrid>
      <w:tr w:rsidR="001519BE" w14:paraId="563490E8" w14:textId="77777777">
        <w:tc>
          <w:tcPr>
            <w:tcW w:w="10910" w:type="dxa"/>
            <w:shd w:val="clear" w:color="auto" w:fill="FBD5B5"/>
          </w:tcPr>
          <w:p w14:paraId="563490E5" w14:textId="77777777" w:rsidR="001519BE" w:rsidRDefault="00311CE9">
            <w:pPr>
              <w:rPr>
                <w:rFonts w:ascii="Tahoma" w:eastAsia="Tahoma" w:hAnsi="Tahoma" w:cs="Tahoma"/>
                <w:b/>
                <w:sz w:val="20"/>
                <w:szCs w:val="20"/>
              </w:rPr>
            </w:pPr>
            <w:r>
              <w:rPr>
                <w:rFonts w:ascii="Tahoma" w:eastAsia="Tahoma" w:hAnsi="Tahoma" w:cs="Tahoma"/>
                <w:b/>
                <w:sz w:val="20"/>
                <w:szCs w:val="20"/>
              </w:rPr>
              <w:t xml:space="preserve">REFERENCE LIST </w:t>
            </w:r>
          </w:p>
        </w:tc>
        <w:tc>
          <w:tcPr>
            <w:tcW w:w="272" w:type="dxa"/>
            <w:shd w:val="clear" w:color="auto" w:fill="FBD5B5"/>
          </w:tcPr>
          <w:p w14:paraId="563490E6" w14:textId="77777777" w:rsidR="001519BE" w:rsidRDefault="001519BE">
            <w:pPr>
              <w:jc w:val="center"/>
              <w:rPr>
                <w:rFonts w:ascii="Tahoma" w:eastAsia="Tahoma" w:hAnsi="Tahoma" w:cs="Tahoma"/>
                <w:b/>
                <w:sz w:val="20"/>
                <w:szCs w:val="20"/>
              </w:rPr>
            </w:pPr>
          </w:p>
          <w:p w14:paraId="563490E7" w14:textId="77777777" w:rsidR="001519BE" w:rsidRDefault="001519BE">
            <w:pPr>
              <w:jc w:val="center"/>
              <w:rPr>
                <w:rFonts w:ascii="Tahoma" w:eastAsia="Tahoma" w:hAnsi="Tahoma" w:cs="Tahoma"/>
                <w:b/>
                <w:sz w:val="20"/>
                <w:szCs w:val="20"/>
              </w:rPr>
            </w:pPr>
          </w:p>
        </w:tc>
      </w:tr>
      <w:tr w:rsidR="001519BE" w14:paraId="563490FD" w14:textId="77777777">
        <w:trPr>
          <w:trHeight w:val="2494"/>
        </w:trPr>
        <w:tc>
          <w:tcPr>
            <w:tcW w:w="11182" w:type="dxa"/>
            <w:gridSpan w:val="2"/>
          </w:tcPr>
          <w:p w14:paraId="563490E9" w14:textId="77777777" w:rsidR="001519BE" w:rsidRDefault="001519BE">
            <w:pPr>
              <w:rPr>
                <w:rFonts w:ascii="Tahoma" w:eastAsia="Tahoma" w:hAnsi="Tahoma" w:cs="Tahoma"/>
                <w:sz w:val="20"/>
                <w:szCs w:val="20"/>
              </w:rPr>
            </w:pPr>
          </w:p>
          <w:p w14:paraId="563490EA" w14:textId="77777777" w:rsidR="001519BE" w:rsidRDefault="001519BE">
            <w:pPr>
              <w:spacing w:line="360" w:lineRule="auto"/>
              <w:jc w:val="both"/>
              <w:rPr>
                <w:rFonts w:ascii="Arial" w:eastAsia="Arial" w:hAnsi="Arial" w:cs="Arial"/>
              </w:rPr>
            </w:pPr>
          </w:p>
          <w:p w14:paraId="5EFF07FC"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Albert, J., 2017. Innovations in food labelling. Oxford: Woodhead.</w:t>
            </w:r>
          </w:p>
          <w:p w14:paraId="78E2293F" w14:textId="77777777" w:rsidR="00A53A69" w:rsidRPr="00A53A69" w:rsidRDefault="00A53A69" w:rsidP="00A53A69">
            <w:pPr>
              <w:spacing w:line="360" w:lineRule="auto"/>
              <w:jc w:val="both"/>
              <w:rPr>
                <w:rFonts w:ascii="Arial" w:eastAsia="Arial" w:hAnsi="Arial" w:cs="Arial"/>
              </w:rPr>
            </w:pPr>
            <w:proofErr w:type="spellStart"/>
            <w:r w:rsidRPr="00A53A69">
              <w:rPr>
                <w:rFonts w:ascii="Arial" w:eastAsia="Arial" w:hAnsi="Arial" w:cs="Arial"/>
              </w:rPr>
              <w:t>Brimer</w:t>
            </w:r>
            <w:proofErr w:type="spellEnd"/>
            <w:r w:rsidRPr="00A53A69">
              <w:rPr>
                <w:rFonts w:ascii="Arial" w:eastAsia="Arial" w:hAnsi="Arial" w:cs="Arial"/>
              </w:rPr>
              <w:t xml:space="preserve">, L., 2015. Chemical food safety. </w:t>
            </w:r>
            <w:proofErr w:type="spellStart"/>
            <w:r w:rsidRPr="00A53A69">
              <w:rPr>
                <w:rFonts w:ascii="Arial" w:eastAsia="Arial" w:hAnsi="Arial" w:cs="Arial"/>
              </w:rPr>
              <w:t>Nosworthy</w:t>
            </w:r>
            <w:proofErr w:type="spellEnd"/>
            <w:r w:rsidRPr="00A53A69">
              <w:rPr>
                <w:rFonts w:ascii="Arial" w:eastAsia="Arial" w:hAnsi="Arial" w:cs="Arial"/>
              </w:rPr>
              <w:t xml:space="preserve"> Way, Wallingford, Oxfordshire, U.K.: CABI.</w:t>
            </w:r>
          </w:p>
          <w:p w14:paraId="17553E31"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Eliot, G., Haight, G. and Atkinson, J.,2015. The mill on the floss.</w:t>
            </w:r>
          </w:p>
          <w:p w14:paraId="3C3F8B48"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Eliot, G., Haight, G. and Atkinson, J.,2017. The mill on the floss.</w:t>
            </w:r>
          </w:p>
          <w:p w14:paraId="6CCF2CCF"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 xml:space="preserve">James, J., Burks, W. and </w:t>
            </w:r>
            <w:proofErr w:type="spellStart"/>
            <w:r w:rsidRPr="00A53A69">
              <w:rPr>
                <w:rFonts w:ascii="Arial" w:eastAsia="Arial" w:hAnsi="Arial" w:cs="Arial"/>
              </w:rPr>
              <w:t>Eigenmann</w:t>
            </w:r>
            <w:proofErr w:type="spellEnd"/>
            <w:r w:rsidRPr="00A53A69">
              <w:rPr>
                <w:rFonts w:ascii="Arial" w:eastAsia="Arial" w:hAnsi="Arial" w:cs="Arial"/>
              </w:rPr>
              <w:t>, P., 2019. Food allergy. Edinburgh: Elsevier/Saunders.</w:t>
            </w:r>
          </w:p>
          <w:p w14:paraId="62F6F15D"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Leatherhead Food International, 2008. Essential guide to food additives. Leatherhead: Leatherhead Food International.</w:t>
            </w:r>
          </w:p>
          <w:p w14:paraId="369679D7" w14:textId="77777777" w:rsidR="00A53A69" w:rsidRPr="00A53A69" w:rsidRDefault="00A53A69" w:rsidP="00A53A69">
            <w:pPr>
              <w:spacing w:line="360" w:lineRule="auto"/>
              <w:jc w:val="both"/>
              <w:rPr>
                <w:rFonts w:ascii="Arial" w:eastAsia="Arial" w:hAnsi="Arial" w:cs="Arial"/>
              </w:rPr>
            </w:pPr>
            <w:proofErr w:type="spellStart"/>
            <w:r w:rsidRPr="00A53A69">
              <w:rPr>
                <w:rFonts w:ascii="Arial" w:eastAsia="Arial" w:hAnsi="Arial" w:cs="Arial"/>
              </w:rPr>
              <w:t>Lessof</w:t>
            </w:r>
            <w:proofErr w:type="spellEnd"/>
            <w:r w:rsidRPr="00A53A69">
              <w:rPr>
                <w:rFonts w:ascii="Arial" w:eastAsia="Arial" w:hAnsi="Arial" w:cs="Arial"/>
              </w:rPr>
              <w:t>, M., 2014. Food Intolerance. New York, NY: Springer.</w:t>
            </w:r>
          </w:p>
          <w:p w14:paraId="45CD0D03"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 xml:space="preserve">Leung, A. and Leung, J., 2015. Food allergy. New York: </w:t>
            </w:r>
            <w:proofErr w:type="spellStart"/>
            <w:r w:rsidRPr="00A53A69">
              <w:rPr>
                <w:rFonts w:ascii="Arial" w:eastAsia="Arial" w:hAnsi="Arial" w:cs="Arial"/>
              </w:rPr>
              <w:t>Novinka</w:t>
            </w:r>
            <w:proofErr w:type="spellEnd"/>
            <w:r w:rsidRPr="00A53A69">
              <w:rPr>
                <w:rFonts w:ascii="Arial" w:eastAsia="Arial" w:hAnsi="Arial" w:cs="Arial"/>
              </w:rPr>
              <w:t>/Nova Science Publishers.</w:t>
            </w:r>
          </w:p>
          <w:p w14:paraId="6679191C" w14:textId="77777777" w:rsidR="00A53A69" w:rsidRPr="00A53A69" w:rsidRDefault="00A53A69" w:rsidP="00A53A69">
            <w:pPr>
              <w:spacing w:line="360" w:lineRule="auto"/>
              <w:jc w:val="both"/>
              <w:rPr>
                <w:rFonts w:ascii="Arial" w:eastAsia="Arial" w:hAnsi="Arial" w:cs="Arial"/>
              </w:rPr>
            </w:pPr>
            <w:r w:rsidRPr="00A53A69">
              <w:rPr>
                <w:rFonts w:ascii="Arial" w:eastAsia="Arial" w:hAnsi="Arial" w:cs="Arial"/>
              </w:rPr>
              <w:t xml:space="preserve">Madsen, C., </w:t>
            </w:r>
            <w:proofErr w:type="spellStart"/>
            <w:r w:rsidRPr="00A53A69">
              <w:rPr>
                <w:rFonts w:ascii="Arial" w:eastAsia="Arial" w:hAnsi="Arial" w:cs="Arial"/>
              </w:rPr>
              <w:t>Crevel</w:t>
            </w:r>
            <w:proofErr w:type="spellEnd"/>
            <w:r w:rsidRPr="00A53A69">
              <w:rPr>
                <w:rFonts w:ascii="Arial" w:eastAsia="Arial" w:hAnsi="Arial" w:cs="Arial"/>
              </w:rPr>
              <w:t>, R., Mills, E. and Taylor, S., 2014. Risk management for food allergy. London: Academic Press.</w:t>
            </w:r>
          </w:p>
          <w:p w14:paraId="563490EB" w14:textId="4EC52C06" w:rsidR="001519BE" w:rsidRDefault="00A53A69" w:rsidP="00A53A69">
            <w:pPr>
              <w:spacing w:line="360" w:lineRule="auto"/>
              <w:jc w:val="both"/>
              <w:rPr>
                <w:rFonts w:ascii="Arial" w:eastAsia="Arial" w:hAnsi="Arial" w:cs="Arial"/>
              </w:rPr>
            </w:pPr>
            <w:r w:rsidRPr="00A53A69">
              <w:rPr>
                <w:rFonts w:ascii="Arial" w:eastAsia="Arial" w:hAnsi="Arial" w:cs="Arial"/>
              </w:rPr>
              <w:t xml:space="preserve">Somogyi, J., </w:t>
            </w:r>
            <w:proofErr w:type="spellStart"/>
            <w:r w:rsidRPr="00A53A69">
              <w:rPr>
                <w:rFonts w:ascii="Arial" w:eastAsia="Arial" w:hAnsi="Arial" w:cs="Arial"/>
              </w:rPr>
              <w:t>Müller</w:t>
            </w:r>
            <w:proofErr w:type="spellEnd"/>
            <w:r w:rsidRPr="00A53A69">
              <w:rPr>
                <w:rFonts w:ascii="Arial" w:eastAsia="Arial" w:hAnsi="Arial" w:cs="Arial"/>
              </w:rPr>
              <w:t xml:space="preserve">, H. and </w:t>
            </w:r>
            <w:proofErr w:type="spellStart"/>
            <w:r w:rsidRPr="00A53A69">
              <w:rPr>
                <w:rFonts w:ascii="Arial" w:eastAsia="Arial" w:hAnsi="Arial" w:cs="Arial"/>
              </w:rPr>
              <w:t>Ockhuizen</w:t>
            </w:r>
            <w:proofErr w:type="spellEnd"/>
            <w:r w:rsidRPr="00A53A69">
              <w:rPr>
                <w:rFonts w:ascii="Arial" w:eastAsia="Arial" w:hAnsi="Arial" w:cs="Arial"/>
              </w:rPr>
              <w:t>, T., 2015. Food allergy and food intolerance. Basel: Karger</w:t>
            </w:r>
          </w:p>
          <w:p w14:paraId="563490EC" w14:textId="77777777" w:rsidR="001519BE" w:rsidRDefault="001519BE">
            <w:pPr>
              <w:spacing w:line="360" w:lineRule="auto"/>
              <w:jc w:val="both"/>
              <w:rPr>
                <w:rFonts w:ascii="Arial" w:eastAsia="Arial" w:hAnsi="Arial" w:cs="Arial"/>
              </w:rPr>
            </w:pPr>
          </w:p>
          <w:p w14:paraId="563490ED" w14:textId="77777777" w:rsidR="001519BE" w:rsidRDefault="001519BE">
            <w:pPr>
              <w:spacing w:line="360" w:lineRule="auto"/>
              <w:jc w:val="both"/>
              <w:rPr>
                <w:rFonts w:ascii="Arial" w:eastAsia="Arial" w:hAnsi="Arial" w:cs="Arial"/>
              </w:rPr>
            </w:pPr>
          </w:p>
          <w:p w14:paraId="563490EE" w14:textId="77777777" w:rsidR="001519BE" w:rsidRDefault="001519BE">
            <w:pPr>
              <w:spacing w:line="360" w:lineRule="auto"/>
              <w:jc w:val="both"/>
              <w:rPr>
                <w:rFonts w:ascii="Arial" w:eastAsia="Arial" w:hAnsi="Arial" w:cs="Arial"/>
              </w:rPr>
            </w:pPr>
          </w:p>
          <w:p w14:paraId="563490EF" w14:textId="77777777" w:rsidR="001519BE" w:rsidRDefault="001519BE">
            <w:pPr>
              <w:spacing w:line="360" w:lineRule="auto"/>
              <w:jc w:val="both"/>
              <w:rPr>
                <w:rFonts w:ascii="Arial" w:eastAsia="Arial" w:hAnsi="Arial" w:cs="Arial"/>
              </w:rPr>
            </w:pPr>
          </w:p>
          <w:p w14:paraId="563490FB" w14:textId="77777777" w:rsidR="001519BE" w:rsidRDefault="001519BE">
            <w:pPr>
              <w:spacing w:line="360" w:lineRule="auto"/>
              <w:jc w:val="both"/>
              <w:rPr>
                <w:rFonts w:ascii="Arial" w:eastAsia="Arial" w:hAnsi="Arial" w:cs="Arial"/>
              </w:rPr>
            </w:pPr>
          </w:p>
          <w:p w14:paraId="563490FC" w14:textId="77777777" w:rsidR="001519BE" w:rsidRDefault="001519BE">
            <w:pPr>
              <w:jc w:val="both"/>
              <w:rPr>
                <w:rFonts w:ascii="Tahoma" w:eastAsia="Tahoma" w:hAnsi="Tahoma" w:cs="Tahoma"/>
                <w:sz w:val="20"/>
                <w:szCs w:val="20"/>
              </w:rPr>
            </w:pPr>
          </w:p>
        </w:tc>
      </w:tr>
    </w:tbl>
    <w:p w14:paraId="563490FE" w14:textId="77777777" w:rsidR="001519BE" w:rsidRDefault="001519BE">
      <w:pPr>
        <w:rPr>
          <w:rFonts w:ascii="Tahoma" w:eastAsia="Tahoma" w:hAnsi="Tahoma" w:cs="Tahoma"/>
          <w:b/>
        </w:rPr>
      </w:pPr>
    </w:p>
    <w:p w14:paraId="563490FF" w14:textId="77777777" w:rsidR="001519BE" w:rsidRDefault="001519BE">
      <w:pPr>
        <w:rPr>
          <w:rFonts w:ascii="Tahoma" w:eastAsia="Tahoma" w:hAnsi="Tahoma" w:cs="Tahoma"/>
          <w:b/>
        </w:rPr>
      </w:pPr>
    </w:p>
    <w:p w14:paraId="56349100" w14:textId="77777777" w:rsidR="001519BE" w:rsidRDefault="001519BE">
      <w:pPr>
        <w:rPr>
          <w:rFonts w:ascii="Tahoma" w:eastAsia="Tahoma" w:hAnsi="Tahoma" w:cs="Tahoma"/>
          <w:b/>
        </w:rPr>
      </w:pPr>
    </w:p>
    <w:p w14:paraId="56349101" w14:textId="77777777" w:rsidR="001519BE" w:rsidRDefault="001519BE">
      <w:pPr>
        <w:rPr>
          <w:rFonts w:ascii="Tahoma" w:eastAsia="Tahoma" w:hAnsi="Tahoma" w:cs="Tahoma"/>
          <w:b/>
        </w:rPr>
      </w:pPr>
    </w:p>
    <w:p w14:paraId="56349102" w14:textId="77777777" w:rsidR="001519BE" w:rsidRDefault="001519BE">
      <w:pPr>
        <w:rPr>
          <w:rFonts w:ascii="Tahoma" w:eastAsia="Tahoma" w:hAnsi="Tahoma" w:cs="Tahoma"/>
          <w:b/>
        </w:rPr>
      </w:pPr>
    </w:p>
    <w:p w14:paraId="56349103" w14:textId="77777777" w:rsidR="001519BE" w:rsidRDefault="001519BE">
      <w:pPr>
        <w:rPr>
          <w:rFonts w:ascii="Tahoma" w:eastAsia="Tahoma" w:hAnsi="Tahoma" w:cs="Tahoma"/>
          <w:b/>
        </w:rPr>
      </w:pPr>
    </w:p>
    <w:p w14:paraId="56349104" w14:textId="77777777" w:rsidR="001519BE" w:rsidRDefault="001519BE">
      <w:pPr>
        <w:rPr>
          <w:rFonts w:ascii="Tahoma" w:eastAsia="Tahoma" w:hAnsi="Tahoma" w:cs="Tahoma"/>
          <w:b/>
        </w:rPr>
      </w:pPr>
    </w:p>
    <w:sectPr w:rsidR="001519BE">
      <w:headerReference w:type="default" r:id="rId8"/>
      <w:footerReference w:type="default" r:id="rId9"/>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9107" w14:textId="77777777" w:rsidR="00BD4934" w:rsidRDefault="00BD4934">
      <w:r>
        <w:separator/>
      </w:r>
    </w:p>
  </w:endnote>
  <w:endnote w:type="continuationSeparator" w:id="0">
    <w:p w14:paraId="56349108" w14:textId="77777777" w:rsidR="00BD4934" w:rsidRDefault="00BD4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910A" w14:textId="77777777" w:rsidR="001519BE" w:rsidRDefault="00311CE9">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282B28">
      <w:rPr>
        <w:noProof/>
        <w:color w:val="000000"/>
      </w:rPr>
      <w:t>1</w:t>
    </w:r>
    <w:r>
      <w:rPr>
        <w:color w:val="000000"/>
      </w:rPr>
      <w:fldChar w:fldCharType="end"/>
    </w:r>
  </w:p>
  <w:p w14:paraId="5634910B" w14:textId="77777777" w:rsidR="001519BE" w:rsidRDefault="001519B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49105" w14:textId="77777777" w:rsidR="00BD4934" w:rsidRDefault="00BD4934">
      <w:r>
        <w:separator/>
      </w:r>
    </w:p>
  </w:footnote>
  <w:footnote w:type="continuationSeparator" w:id="0">
    <w:p w14:paraId="56349106" w14:textId="77777777" w:rsidR="00BD4934" w:rsidRDefault="00BD49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9109" w14:textId="77777777" w:rsidR="001519BE" w:rsidRDefault="00311CE9">
    <w:pPr>
      <w:pBdr>
        <w:top w:val="nil"/>
        <w:left w:val="nil"/>
        <w:bottom w:val="nil"/>
        <w:right w:val="nil"/>
        <w:between w:val="nil"/>
      </w:pBdr>
      <w:tabs>
        <w:tab w:val="center" w:pos="4153"/>
        <w:tab w:val="right" w:pos="8306"/>
      </w:tabs>
      <w:jc w:val="right"/>
      <w:rPr>
        <w:rFonts w:ascii="Calibri" w:eastAsia="Calibri" w:hAnsi="Calibri" w:cs="Calibri"/>
        <w:color w:val="000000"/>
      </w:rPr>
    </w:pPr>
    <w:r>
      <w:rPr>
        <w:rFonts w:ascii="Calibri" w:eastAsia="Calibri" w:hAnsi="Calibri" w:cs="Calibri"/>
        <w:noProof/>
        <w:color w:val="000000"/>
      </w:rPr>
      <w:drawing>
        <wp:anchor distT="0" distB="0" distL="114300" distR="114300" simplePos="0" relativeHeight="251658240" behindDoc="0" locked="0" layoutInCell="1" hidden="0" allowOverlap="1" wp14:anchorId="5634910C" wp14:editId="5634910D">
          <wp:simplePos x="0" y="0"/>
          <wp:positionH relativeFrom="margin">
            <wp:posOffset>1380</wp:posOffset>
          </wp:positionH>
          <wp:positionV relativeFrom="margin">
            <wp:posOffset>-357614</wp:posOffset>
          </wp:positionV>
          <wp:extent cx="2303780" cy="765175"/>
          <wp:effectExtent l="0" t="0" r="0" b="0"/>
          <wp:wrapSquare wrapText="bothSides" distT="0" distB="0" distL="114300" distR="114300"/>
          <wp:docPr id="1" name="image1.png" descr="uwtsd-logo-bilingual"/>
          <wp:cNvGraphicFramePr/>
          <a:graphic xmlns:a="http://schemas.openxmlformats.org/drawingml/2006/main">
            <a:graphicData uri="http://schemas.openxmlformats.org/drawingml/2006/picture">
              <pic:pic xmlns:pic="http://schemas.openxmlformats.org/drawingml/2006/picture">
                <pic:nvPicPr>
                  <pic:cNvPr id="0" name="image1.png" descr="uwtsd-logo-bilingual"/>
                  <pic:cNvPicPr preferRelativeResize="0"/>
                </pic:nvPicPr>
                <pic:blipFill>
                  <a:blip r:embed="rId1"/>
                  <a:srcRect/>
                  <a:stretch>
                    <a:fillRect/>
                  </a:stretch>
                </pic:blipFill>
                <pic:spPr>
                  <a:xfrm>
                    <a:off x="0" y="0"/>
                    <a:ext cx="2303780" cy="765175"/>
                  </a:xfrm>
                  <a:prstGeom prst="rect">
                    <a:avLst/>
                  </a:prstGeom>
                  <a:ln/>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327EF9"/>
    <w:multiLevelType w:val="multilevel"/>
    <w:tmpl w:val="BFB04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BE"/>
    <w:rsid w:val="001519BE"/>
    <w:rsid w:val="00282B28"/>
    <w:rsid w:val="00311CE9"/>
    <w:rsid w:val="00312B92"/>
    <w:rsid w:val="00354806"/>
    <w:rsid w:val="0076109C"/>
    <w:rsid w:val="00A53A69"/>
    <w:rsid w:val="00A60A20"/>
    <w:rsid w:val="00BD4934"/>
    <w:rsid w:val="00CA11DE"/>
    <w:rsid w:val="00EC0428"/>
    <w:rsid w:val="00FF3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490B3"/>
  <w15:docId w15:val="{3A404FD6-2DE2-47DC-A122-E9B45946E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901D9-399F-4EF9-AF34-2B53BC2A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Atikuz Zaman</cp:lastModifiedBy>
  <cp:revision>6</cp:revision>
  <dcterms:created xsi:type="dcterms:W3CDTF">2021-10-19T18:06:00Z</dcterms:created>
  <dcterms:modified xsi:type="dcterms:W3CDTF">2021-10-19T18:09:00Z</dcterms:modified>
</cp:coreProperties>
</file>