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CA421" w14:textId="60EE05EB" w:rsidR="00C904BA" w:rsidRPr="00A14F1C" w:rsidRDefault="00C904BA" w:rsidP="00C904BA">
      <w:pPr>
        <w:rPr>
          <w:rFonts w:ascii="Aptos" w:eastAsia="Aptos" w:hAnsi="Aptos" w:cs="Times New Roman"/>
          <w:b/>
          <w:color w:val="000000"/>
          <w:sz w:val="52"/>
          <w:szCs w:val="52"/>
        </w:rPr>
      </w:pPr>
      <w:r w:rsidRPr="00A14F1C">
        <w:rPr>
          <w:rFonts w:ascii="Aptos" w:eastAsia="Aptos" w:hAnsi="Aptos" w:cs="Times New Roman"/>
          <w:b/>
          <w:color w:val="000000"/>
          <w:sz w:val="52"/>
          <w:szCs w:val="52"/>
        </w:rPr>
        <w:t xml:space="preserve">Module name: </w:t>
      </w:r>
      <w:r>
        <w:rPr>
          <w:rFonts w:ascii="Aptos" w:eastAsia="Aptos" w:hAnsi="Aptos" w:cs="Times New Roman"/>
          <w:b/>
          <w:color w:val="000000"/>
          <w:sz w:val="52"/>
          <w:szCs w:val="52"/>
        </w:rPr>
        <w:t xml:space="preserve">Data Handling </w:t>
      </w:r>
      <w:r w:rsidR="00D45664">
        <w:rPr>
          <w:rFonts w:ascii="Aptos" w:eastAsia="Aptos" w:hAnsi="Aptos" w:cs="Times New Roman"/>
          <w:b/>
          <w:color w:val="000000"/>
          <w:sz w:val="52"/>
          <w:szCs w:val="52"/>
        </w:rPr>
        <w:t xml:space="preserve">&amp; </w:t>
      </w:r>
      <w:r w:rsidR="00C50A59">
        <w:rPr>
          <w:rFonts w:ascii="Aptos" w:eastAsia="Aptos" w:hAnsi="Aptos" w:cs="Times New Roman"/>
          <w:b/>
          <w:color w:val="000000"/>
          <w:sz w:val="52"/>
          <w:szCs w:val="52"/>
        </w:rPr>
        <w:t xml:space="preserve">      </w:t>
      </w:r>
      <w:r w:rsidR="00D45664">
        <w:rPr>
          <w:rFonts w:ascii="Aptos" w:eastAsia="Aptos" w:hAnsi="Aptos" w:cs="Times New Roman"/>
          <w:b/>
          <w:color w:val="000000"/>
          <w:sz w:val="52"/>
          <w:szCs w:val="52"/>
        </w:rPr>
        <w:t>Business Intelligence</w:t>
      </w:r>
    </w:p>
    <w:p w14:paraId="5D915B55" w14:textId="77777777" w:rsidR="00C904BA" w:rsidRPr="00A14F1C" w:rsidRDefault="00C904BA" w:rsidP="00C904BA">
      <w:pPr>
        <w:jc w:val="center"/>
        <w:rPr>
          <w:rFonts w:ascii="Aptos" w:eastAsia="Aptos" w:hAnsi="Aptos" w:cs="Times New Roman"/>
          <w:b/>
          <w:color w:val="000000"/>
          <w:sz w:val="52"/>
          <w:szCs w:val="52"/>
        </w:rPr>
      </w:pPr>
      <w:r w:rsidRPr="00A14F1C">
        <w:rPr>
          <w:rFonts w:ascii="Aptos" w:eastAsia="Aptos" w:hAnsi="Aptos" w:cs="Times New Roman"/>
          <w:b/>
          <w:color w:val="000000"/>
          <w:sz w:val="52"/>
          <w:szCs w:val="52"/>
        </w:rPr>
        <w:t>Assessment 1</w:t>
      </w:r>
    </w:p>
    <w:p w14:paraId="2C69A173" w14:textId="62F69293" w:rsidR="00C904BA" w:rsidRPr="00A14F1C" w:rsidRDefault="00C904BA" w:rsidP="00C904BA">
      <w:pPr>
        <w:jc w:val="center"/>
        <w:rPr>
          <w:rFonts w:ascii="Aptos" w:eastAsia="Aptos" w:hAnsi="Aptos" w:cs="Times New Roman"/>
          <w:b/>
          <w:color w:val="000000"/>
          <w:sz w:val="52"/>
          <w:szCs w:val="52"/>
        </w:rPr>
      </w:pPr>
      <w:r w:rsidRPr="00A14F1C">
        <w:rPr>
          <w:rFonts w:ascii="Aptos" w:eastAsia="Aptos" w:hAnsi="Aptos" w:cs="Times New Roman"/>
          <w:b/>
          <w:color w:val="000000"/>
          <w:sz w:val="52"/>
          <w:szCs w:val="52"/>
        </w:rPr>
        <w:t>Module code: LCBB50</w:t>
      </w:r>
      <w:r w:rsidR="00D45664">
        <w:rPr>
          <w:rFonts w:ascii="Aptos" w:eastAsia="Aptos" w:hAnsi="Aptos" w:cs="Times New Roman"/>
          <w:b/>
          <w:color w:val="000000"/>
          <w:sz w:val="52"/>
          <w:szCs w:val="52"/>
        </w:rPr>
        <w:t>14</w:t>
      </w:r>
    </w:p>
    <w:p w14:paraId="6B637CE3" w14:textId="7F8F3483" w:rsidR="00C904BA" w:rsidRPr="00A14F1C" w:rsidRDefault="00C904BA" w:rsidP="00C904BA">
      <w:pPr>
        <w:jc w:val="center"/>
        <w:rPr>
          <w:rFonts w:ascii="Aptos" w:eastAsia="Aptos" w:hAnsi="Aptos" w:cs="Times New Roman"/>
          <w:b/>
          <w:color w:val="000000"/>
          <w:sz w:val="52"/>
          <w:szCs w:val="52"/>
        </w:rPr>
      </w:pPr>
      <w:r w:rsidRPr="00A14F1C">
        <w:rPr>
          <w:rFonts w:ascii="Aptos" w:eastAsia="Aptos" w:hAnsi="Aptos" w:cs="Times New Roman"/>
          <w:b/>
          <w:color w:val="000000"/>
          <w:sz w:val="52"/>
          <w:szCs w:val="52"/>
        </w:rPr>
        <w:t xml:space="preserve">Lecturer: </w:t>
      </w:r>
      <w:r w:rsidR="00B7510F">
        <w:rPr>
          <w:rFonts w:ascii="Aptos" w:eastAsia="Aptos" w:hAnsi="Aptos" w:cs="Times New Roman"/>
          <w:b/>
          <w:color w:val="000000"/>
          <w:sz w:val="52"/>
          <w:szCs w:val="52"/>
        </w:rPr>
        <w:t>Xa</w:t>
      </w:r>
      <w:r w:rsidR="00021B84">
        <w:rPr>
          <w:rFonts w:ascii="Aptos" w:eastAsia="Aptos" w:hAnsi="Aptos" w:cs="Times New Roman"/>
          <w:b/>
          <w:color w:val="000000"/>
          <w:sz w:val="52"/>
          <w:szCs w:val="52"/>
        </w:rPr>
        <w:t>vier Matieni</w:t>
      </w:r>
      <w:r w:rsidR="00CF4CA8">
        <w:rPr>
          <w:rFonts w:ascii="Aptos" w:eastAsia="Aptos" w:hAnsi="Aptos" w:cs="Times New Roman"/>
          <w:b/>
          <w:color w:val="000000"/>
          <w:sz w:val="52"/>
          <w:szCs w:val="52"/>
        </w:rPr>
        <w:t>.</w:t>
      </w:r>
    </w:p>
    <w:p w14:paraId="62BAEE93" w14:textId="77777777" w:rsidR="00C904BA" w:rsidRPr="00A14F1C" w:rsidRDefault="00C904BA" w:rsidP="00C904BA">
      <w:pPr>
        <w:jc w:val="center"/>
        <w:rPr>
          <w:rFonts w:ascii="Aptos" w:eastAsia="Aptos" w:hAnsi="Aptos" w:cs="Times New Roman"/>
          <w:b/>
          <w:color w:val="000000"/>
          <w:sz w:val="52"/>
          <w:szCs w:val="52"/>
        </w:rPr>
      </w:pPr>
      <w:r w:rsidRPr="00A14F1C">
        <w:rPr>
          <w:rFonts w:ascii="Aptos" w:eastAsia="Aptos" w:hAnsi="Aptos" w:cs="Times New Roman"/>
          <w:b/>
          <w:color w:val="000000"/>
          <w:sz w:val="52"/>
          <w:szCs w:val="52"/>
        </w:rPr>
        <w:t>Student ID: 1921604</w:t>
      </w:r>
    </w:p>
    <w:p w14:paraId="385F5CA3" w14:textId="77777777" w:rsidR="00C904BA" w:rsidRPr="00A14F1C" w:rsidRDefault="00C904BA" w:rsidP="00C904BA">
      <w:pPr>
        <w:rPr>
          <w:rFonts w:ascii="Aptos" w:eastAsia="Aptos" w:hAnsi="Aptos" w:cs="Times New Roman"/>
          <w:b/>
          <w:bCs/>
        </w:rPr>
      </w:pPr>
      <w:r w:rsidRPr="00A14F1C">
        <w:rPr>
          <w:rFonts w:ascii="Aptos" w:eastAsia="Aptos" w:hAnsi="Aptos" w:cs="Times New Roman"/>
          <w:b/>
          <w:color w:val="000000"/>
          <w:sz w:val="52"/>
          <w:szCs w:val="52"/>
        </w:rPr>
        <w:t>Student name: Vasile-Claudiu Neacsu</w:t>
      </w:r>
    </w:p>
    <w:p w14:paraId="450C6DDB" w14:textId="77777777" w:rsidR="00923D75" w:rsidRPr="008F6347" w:rsidRDefault="00923D75" w:rsidP="00D91BC2">
      <w:pPr>
        <w:rPr>
          <w:rFonts w:ascii="Times New Roman" w:hAnsi="Times New Roman" w:cs="Times New Roman"/>
          <w:b/>
          <w:bCs/>
        </w:rPr>
      </w:pPr>
    </w:p>
    <w:p w14:paraId="7A3B589C" w14:textId="77777777" w:rsidR="00923D75" w:rsidRPr="008F6347" w:rsidRDefault="00923D75" w:rsidP="00D91BC2">
      <w:pPr>
        <w:rPr>
          <w:rFonts w:ascii="Times New Roman" w:hAnsi="Times New Roman" w:cs="Times New Roman"/>
          <w:b/>
          <w:bCs/>
        </w:rPr>
      </w:pPr>
    </w:p>
    <w:p w14:paraId="4C04D444" w14:textId="77777777" w:rsidR="00923D75" w:rsidRPr="008F6347" w:rsidRDefault="00923D75" w:rsidP="00D91BC2">
      <w:pPr>
        <w:rPr>
          <w:rFonts w:ascii="Times New Roman" w:hAnsi="Times New Roman" w:cs="Times New Roman"/>
          <w:b/>
          <w:bCs/>
        </w:rPr>
      </w:pPr>
    </w:p>
    <w:p w14:paraId="2A80D256" w14:textId="2DC3A136" w:rsidR="00D91BC2" w:rsidRPr="00376698" w:rsidRDefault="00D91BC2" w:rsidP="00376698">
      <w:pPr>
        <w:rPr>
          <w:rFonts w:ascii="Times New Roman" w:hAnsi="Times New Roman" w:cs="Times New Roman"/>
          <w:b/>
          <w:bCs/>
        </w:rPr>
      </w:pPr>
      <w:r w:rsidRPr="00376698">
        <w:rPr>
          <w:rFonts w:ascii="Times New Roman" w:hAnsi="Times New Roman" w:cs="Times New Roman"/>
          <w:b/>
          <w:bCs/>
        </w:rPr>
        <w:t>Executive Summary</w:t>
      </w:r>
    </w:p>
    <w:p w14:paraId="2B1206DC" w14:textId="460C114E" w:rsidR="00D91BC2" w:rsidRPr="00376698" w:rsidRDefault="00D91BC2" w:rsidP="00376698">
      <w:pPr>
        <w:rPr>
          <w:rFonts w:ascii="Times New Roman" w:hAnsi="Times New Roman" w:cs="Times New Roman"/>
        </w:rPr>
      </w:pPr>
      <w:r w:rsidRPr="00376698">
        <w:rPr>
          <w:rFonts w:ascii="Times New Roman" w:hAnsi="Times New Roman" w:cs="Times New Roman"/>
        </w:rPr>
        <w:t xml:space="preserve">In today’s data-driven environment, organisations rely heavily on information to remain competitive and efficient. </w:t>
      </w:r>
      <w:r w:rsidR="00374435" w:rsidRPr="00376698">
        <w:rPr>
          <w:rFonts w:ascii="Times New Roman" w:hAnsi="Times New Roman" w:cs="Times New Roman"/>
        </w:rPr>
        <w:t>This study examines</w:t>
      </w:r>
      <w:r w:rsidR="008A1FA7" w:rsidRPr="00376698">
        <w:rPr>
          <w:rFonts w:ascii="Times New Roman" w:hAnsi="Times New Roman" w:cs="Times New Roman"/>
        </w:rPr>
        <w:t xml:space="preserve"> how DHL, a multinational logistic corporation</w:t>
      </w:r>
      <w:r w:rsidR="00532F26" w:rsidRPr="00376698">
        <w:rPr>
          <w:rFonts w:ascii="Times New Roman" w:hAnsi="Times New Roman" w:cs="Times New Roman"/>
        </w:rPr>
        <w:t>, may use Business Intelligence (BI)</w:t>
      </w:r>
      <w:r w:rsidR="00CF5D9B" w:rsidRPr="00376698">
        <w:rPr>
          <w:rFonts w:ascii="Times New Roman" w:hAnsi="Times New Roman" w:cs="Times New Roman"/>
        </w:rPr>
        <w:t>,</w:t>
      </w:r>
      <w:r w:rsidR="00532F26" w:rsidRPr="00376698">
        <w:rPr>
          <w:rFonts w:ascii="Times New Roman" w:hAnsi="Times New Roman" w:cs="Times New Roman"/>
        </w:rPr>
        <w:t xml:space="preserve"> </w:t>
      </w:r>
      <w:r w:rsidR="00CF5D9B" w:rsidRPr="00376698">
        <w:rPr>
          <w:rFonts w:ascii="Times New Roman" w:hAnsi="Times New Roman" w:cs="Times New Roman"/>
        </w:rPr>
        <w:t>Data warehousing (DW),</w:t>
      </w:r>
      <w:r w:rsidR="00B76D5D" w:rsidRPr="00376698">
        <w:rPr>
          <w:rFonts w:ascii="Times New Roman" w:hAnsi="Times New Roman" w:cs="Times New Roman"/>
        </w:rPr>
        <w:t xml:space="preserve"> and Data Mining (DM) to improve operational performance </w:t>
      </w:r>
      <w:r w:rsidR="003E10B6" w:rsidRPr="00376698">
        <w:rPr>
          <w:rFonts w:ascii="Times New Roman" w:hAnsi="Times New Roman" w:cs="Times New Roman"/>
        </w:rPr>
        <w:t>and strategic decision-making.</w:t>
      </w:r>
    </w:p>
    <w:p w14:paraId="6D9DE2B0" w14:textId="7B792603" w:rsidR="00D91BC2" w:rsidRPr="00376698" w:rsidRDefault="004D35D3" w:rsidP="00376698">
      <w:pPr>
        <w:rPr>
          <w:rFonts w:ascii="Times New Roman" w:hAnsi="Times New Roman" w:cs="Times New Roman"/>
        </w:rPr>
      </w:pPr>
      <w:r w:rsidRPr="00376698">
        <w:rPr>
          <w:rFonts w:ascii="Times New Roman" w:hAnsi="Times New Roman" w:cs="Times New Roman"/>
        </w:rPr>
        <w:t xml:space="preserve">The first section </w:t>
      </w:r>
      <w:r w:rsidR="00392D9C" w:rsidRPr="00376698">
        <w:rPr>
          <w:rFonts w:ascii="Times New Roman" w:hAnsi="Times New Roman" w:cs="Times New Roman"/>
        </w:rPr>
        <w:t xml:space="preserve">of the report looks at current trends </w:t>
      </w:r>
      <w:r w:rsidR="00D91BC2" w:rsidRPr="00376698">
        <w:rPr>
          <w:rFonts w:ascii="Times New Roman" w:hAnsi="Times New Roman" w:cs="Times New Roman"/>
        </w:rPr>
        <w:t>in BI, including the increasing use of artificial intelligence, cloud-based data storage, and real-time analytics. It then considers how DHL could benefit from implementing a centralised data warehouse to integrate and manage large volumes of operational data. In addition, two data mining techniques—clustering and regression—are analysed in relation to their practical use within logistics.</w:t>
      </w:r>
    </w:p>
    <w:p w14:paraId="5D0E5FB0"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The report also evaluates predictive analytics tools such as Power BI, Excel, and RapidMiner, highlighting their strengths and limitations. Ethical and security considerations, particularly those linked to GDPR compliance, are discussed to emphasise the importance of responsible data usage. Finally, the report outlines the value of dashboards and reporting tools in improving visibility and decision-making.</w:t>
      </w:r>
    </w:p>
    <w:p w14:paraId="0B79D68E"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Overall, the findings suggest that adopting advanced BI solutions can significantly enhance DHL’s efficiency, accuracy, and long-term strategic capabilities.</w:t>
      </w:r>
    </w:p>
    <w:p w14:paraId="5C28C37A" w14:textId="77777777" w:rsidR="00D91BC2" w:rsidRPr="00376698" w:rsidRDefault="00BC5FD2" w:rsidP="00376698">
      <w:pPr>
        <w:rPr>
          <w:rFonts w:ascii="Times New Roman" w:hAnsi="Times New Roman" w:cs="Times New Roman"/>
        </w:rPr>
      </w:pPr>
      <w:r>
        <w:rPr>
          <w:rFonts w:ascii="Times New Roman" w:hAnsi="Times New Roman" w:cs="Times New Roman"/>
        </w:rPr>
        <w:lastRenderedPageBreak/>
        <w:pict w14:anchorId="12DC9463">
          <v:rect id="_x0000_i1025" style="width:0;height:1.5pt" o:hralign="center" o:hrstd="t" o:hr="t" fillcolor="#a0a0a0" stroked="f"/>
        </w:pict>
      </w:r>
    </w:p>
    <w:p w14:paraId="22DFFA83" w14:textId="0B06313C" w:rsidR="00D91BC2" w:rsidRPr="00376698" w:rsidRDefault="00D91BC2" w:rsidP="00376698">
      <w:pPr>
        <w:rPr>
          <w:rFonts w:ascii="Times New Roman" w:hAnsi="Times New Roman" w:cs="Times New Roman"/>
          <w:b/>
          <w:bCs/>
        </w:rPr>
      </w:pPr>
      <w:r w:rsidRPr="00376698">
        <w:rPr>
          <w:rFonts w:ascii="Times New Roman" w:hAnsi="Times New Roman" w:cs="Times New Roman"/>
          <w:b/>
          <w:bCs/>
        </w:rPr>
        <w:t xml:space="preserve">1. Introduction </w:t>
      </w:r>
    </w:p>
    <w:p w14:paraId="059A293E"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DHL is one of the world’s leading logistics companies, providing international shipping, courier services, and supply chain solutions across a wide range of industries. Operating on a global scale, the company manages complex logistics networks that require accurate, timely, and reliable data to function effectively.</w:t>
      </w:r>
    </w:p>
    <w:p w14:paraId="062CE51A"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The purpose of this report is to examine how Business Intelligence (BI), Data Warehousing (DW), and Data Mining (DM) can be used within DHL to improve decision-making and operational performance. As logistics is highly dependent on real-time information, the ability to collect, store, and analyse data has become increasingly important.</w:t>
      </w:r>
    </w:p>
    <w:p w14:paraId="035DC50E"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This report will first explore key trends in BI technologies, followed by an analysis of how data warehousing can support DHL’s operations. It will then discuss relevant data mining techniques, evaluate predictive analytics tools, and consider ethical and security challenges. Finally, it will present recommendations for reporting and dashboard solutions that can enhance organisational performance.</w:t>
      </w:r>
    </w:p>
    <w:p w14:paraId="3F5D5CD0" w14:textId="77777777" w:rsidR="00D91BC2" w:rsidRPr="00376698" w:rsidRDefault="00BC5FD2" w:rsidP="00376698">
      <w:pPr>
        <w:rPr>
          <w:rFonts w:ascii="Times New Roman" w:hAnsi="Times New Roman" w:cs="Times New Roman"/>
        </w:rPr>
      </w:pPr>
      <w:r>
        <w:rPr>
          <w:rFonts w:ascii="Times New Roman" w:hAnsi="Times New Roman" w:cs="Times New Roman"/>
        </w:rPr>
        <w:pict w14:anchorId="333551B6">
          <v:rect id="_x0000_i1026" style="width:0;height:1.5pt" o:hralign="center" o:hrstd="t" o:hr="t" fillcolor="#a0a0a0" stroked="f"/>
        </w:pict>
      </w:r>
    </w:p>
    <w:p w14:paraId="7BBE7046" w14:textId="75281F80" w:rsidR="00D91BC2" w:rsidRPr="00376698" w:rsidRDefault="00D91BC2" w:rsidP="00376698">
      <w:pPr>
        <w:rPr>
          <w:rFonts w:ascii="Times New Roman" w:hAnsi="Times New Roman" w:cs="Times New Roman"/>
          <w:b/>
          <w:bCs/>
        </w:rPr>
      </w:pPr>
      <w:r w:rsidRPr="00376698">
        <w:rPr>
          <w:rFonts w:ascii="Times New Roman" w:hAnsi="Times New Roman" w:cs="Times New Roman"/>
          <w:b/>
          <w:bCs/>
        </w:rPr>
        <w:t xml:space="preserve">2. Trends in BI, DW, and DM </w:t>
      </w:r>
    </w:p>
    <w:p w14:paraId="53E63007"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Business Intelligence (BI) refers to a range of tools and processes that allow organisations to transform raw data into meaningful insights. Data Warehousing (DW) involves storing structured data in a central repository, while Data Mining (DM) focuses on analysing this data to identify patterns and relationships.</w:t>
      </w:r>
    </w:p>
    <w:p w14:paraId="40CD6D76"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One of the most noticeable trends in BI is the growing use of artificial intelligence and machine learning. These technologies allow companies like DHL to analyse large datasets more efficiently and generate predictions about future events, such as delivery delays or changes in demand. This represents a shift from reactive to proactive decision-making.</w:t>
      </w:r>
    </w:p>
    <w:p w14:paraId="23ED1771"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Another important trend is the move towards real-time analytics. In the logistics industry, delays or disruptions can occur at any moment, and having access to live data allows organisations to respond quickly. Real-time BI systems provide DHL with the ability to monitor shipments, track performance, and make immediate adjustments when necessary.</w:t>
      </w:r>
    </w:p>
    <w:p w14:paraId="59A92024" w14:textId="76DF0F0F" w:rsidR="00D91BC2" w:rsidRPr="00376698" w:rsidRDefault="00D91BC2" w:rsidP="00376698">
      <w:pPr>
        <w:rPr>
          <w:rFonts w:ascii="Times New Roman" w:hAnsi="Times New Roman" w:cs="Times New Roman"/>
        </w:rPr>
      </w:pPr>
      <w:r w:rsidRPr="00376698">
        <w:rPr>
          <w:rFonts w:ascii="Times New Roman" w:hAnsi="Times New Roman" w:cs="Times New Roman"/>
        </w:rPr>
        <w:t xml:space="preserve">Cloud-based data warehousing is also becoming increasingly popular. Rather than relying on traditional </w:t>
      </w:r>
      <w:r w:rsidR="0069596E" w:rsidRPr="00376698">
        <w:rPr>
          <w:rFonts w:ascii="Times New Roman" w:hAnsi="Times New Roman" w:cs="Times New Roman"/>
        </w:rPr>
        <w:t>on-premises</w:t>
      </w:r>
      <w:r w:rsidRPr="00376698">
        <w:rPr>
          <w:rFonts w:ascii="Times New Roman" w:hAnsi="Times New Roman" w:cs="Times New Roman"/>
        </w:rPr>
        <w:t xml:space="preserve"> systems, companies can now store data in the cloud, allowing for greater flexibility, scalability, and cost efficiency. This is particularly beneficial for a global company like DHL, which generates large volumes of data daily.</w:t>
      </w:r>
    </w:p>
    <w:p w14:paraId="4842F9F7"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From a theoretical perspective, Kimball’s data warehouse architecture emphasises the importance of organising data into subject-specific areas to improve accessibility and usability. Similarly, the CRISP-DM model provides a structured approach to data mining, guiding organisations through stages such as data preparation, modelling, and evaluation.</w:t>
      </w:r>
    </w:p>
    <w:p w14:paraId="4C7C605B"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lastRenderedPageBreak/>
        <w:t>These trends highlight how BI technologies are evolving to become more intelligent, responsive, and integrated into everyday business operations.</w:t>
      </w:r>
    </w:p>
    <w:p w14:paraId="5A8964EA" w14:textId="77777777" w:rsidR="00D91BC2" w:rsidRPr="00376698" w:rsidRDefault="00BC5FD2" w:rsidP="00376698">
      <w:pPr>
        <w:rPr>
          <w:rFonts w:ascii="Times New Roman" w:hAnsi="Times New Roman" w:cs="Times New Roman"/>
        </w:rPr>
      </w:pPr>
      <w:r>
        <w:rPr>
          <w:rFonts w:ascii="Times New Roman" w:hAnsi="Times New Roman" w:cs="Times New Roman"/>
        </w:rPr>
        <w:pict w14:anchorId="1F8C925A">
          <v:rect id="_x0000_i1027" style="width:0;height:1.5pt" o:hralign="center" o:hrstd="t" o:hr="t" fillcolor="#a0a0a0" stroked="f"/>
        </w:pict>
      </w:r>
    </w:p>
    <w:p w14:paraId="63F14763" w14:textId="1F4D7394" w:rsidR="00D91BC2" w:rsidRPr="00376698" w:rsidRDefault="00D91BC2" w:rsidP="00376698">
      <w:pPr>
        <w:rPr>
          <w:rFonts w:ascii="Times New Roman" w:hAnsi="Times New Roman" w:cs="Times New Roman"/>
        </w:rPr>
      </w:pPr>
      <w:r w:rsidRPr="00376698">
        <w:rPr>
          <w:rFonts w:ascii="Times New Roman" w:hAnsi="Times New Roman" w:cs="Times New Roman"/>
        </w:rPr>
        <w:t xml:space="preserve">3. Data Warehousing in DHL Applications </w:t>
      </w:r>
    </w:p>
    <w:p w14:paraId="3A4C8DC3"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A data warehouse is a centralised system designed to store data collected from multiple sources, making it easier to analyse and use for decision-making. For a company like DHL, which operates across numerous regions and handles millions of shipments daily, a data warehouse plays a critical role in ensuring efficiency and consistency.</w:t>
      </w:r>
    </w:p>
    <w:p w14:paraId="25E741CA"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One of the main advantages of a data warehouse is its ability to integrate data from different departments. In DHL’s case, this could include data from transportation systems, warehouse operations, customer databases, and financial systems. Without a centralised structure, this data may remain fragmented, making it difficult to obtain a clear and accurate overview of operations.</w:t>
      </w:r>
    </w:p>
    <w:p w14:paraId="33D3B4F4"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By consolidating data into a single system, DHL can improve data accessibility. Managers can quickly retrieve information about delivery performance, customer satisfaction, or operational costs. This not only saves time but also reduces the risk of errors caused by inconsistent data sources.</w:t>
      </w:r>
    </w:p>
    <w:p w14:paraId="5BD1D4EC"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Another key benefit is improved decision-making. For example, by analysing historical delivery data, DHL can identify patterns related to delays or inefficiencies. This allows the company to take preventive measures, such as adjusting delivery routes or reallocating resources. Over time, this can lead to significant cost savings and improved service quality.</w:t>
      </w:r>
    </w:p>
    <w:p w14:paraId="1BE24B3C"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Data warehousing also supports supply chain optimisation. DHL can analyse data from suppliers, distribution centres, and transportation networks to identify bottlenecks and inefficiencies. By addressing these issues, the company can streamline operations and improve overall performance.</w:t>
      </w:r>
    </w:p>
    <w:p w14:paraId="536D0D0B"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In addition, a data warehouse enhances reporting capabilities. DHL can generate detailed reports on key performance indicators such as delivery times, shipment volumes, and operational costs. These reports provide valuable insights that support both short-term decision-making and long-term strategic planning.</w:t>
      </w:r>
    </w:p>
    <w:p w14:paraId="662D8D5D" w14:textId="77777777" w:rsidR="009E4E47" w:rsidRPr="00376698" w:rsidRDefault="00DC6B3A" w:rsidP="00376698">
      <w:pPr>
        <w:rPr>
          <w:rFonts w:ascii="Times New Roman" w:hAnsi="Times New Roman" w:cs="Times New Roman"/>
        </w:rPr>
      </w:pPr>
      <w:r w:rsidRPr="00376698">
        <w:rPr>
          <w:rFonts w:ascii="Times New Roman" w:hAnsi="Times New Roman" w:cs="Times New Roman"/>
        </w:rPr>
        <w:t xml:space="preserve">All things considerate, the deployment of data warehouse </w:t>
      </w:r>
      <w:r w:rsidR="00D012D4" w:rsidRPr="00376698">
        <w:rPr>
          <w:rFonts w:ascii="Times New Roman" w:hAnsi="Times New Roman" w:cs="Times New Roman"/>
        </w:rPr>
        <w:t>enable DHL to turn unprocessed</w:t>
      </w:r>
      <w:r w:rsidR="000A07A6" w:rsidRPr="00376698">
        <w:rPr>
          <w:rFonts w:ascii="Times New Roman" w:hAnsi="Times New Roman" w:cs="Times New Roman"/>
        </w:rPr>
        <w:t xml:space="preserve"> data into useful resource, facilitating </w:t>
      </w:r>
      <w:r w:rsidR="0003443F" w:rsidRPr="00376698">
        <w:rPr>
          <w:rFonts w:ascii="Times New Roman" w:hAnsi="Times New Roman" w:cs="Times New Roman"/>
        </w:rPr>
        <w:t>enhanced efficiency, better coor</w:t>
      </w:r>
      <w:r w:rsidR="00E521BA" w:rsidRPr="00376698">
        <w:rPr>
          <w:rFonts w:ascii="Times New Roman" w:hAnsi="Times New Roman" w:cs="Times New Roman"/>
        </w:rPr>
        <w:t>dination, and more informed decision-making</w:t>
      </w:r>
      <w:r w:rsidR="009E4E47" w:rsidRPr="00376698">
        <w:rPr>
          <w:rFonts w:ascii="Times New Roman" w:hAnsi="Times New Roman" w:cs="Times New Roman"/>
        </w:rPr>
        <w:t>.</w:t>
      </w:r>
    </w:p>
    <w:p w14:paraId="6A307BAF" w14:textId="6E379A76" w:rsidR="00D91BC2" w:rsidRPr="00376698" w:rsidRDefault="00D91BC2" w:rsidP="00376698">
      <w:pPr>
        <w:rPr>
          <w:rFonts w:ascii="Times New Roman" w:hAnsi="Times New Roman" w:cs="Times New Roman"/>
        </w:rPr>
      </w:pPr>
      <w:r w:rsidRPr="00376698">
        <w:rPr>
          <w:rFonts w:ascii="Times New Roman" w:hAnsi="Times New Roman" w:cs="Times New Roman"/>
        </w:rPr>
        <w:t>Another important advantage of data warehousing within DHL is the ability to support long-term strategic planning through historical data analysis. Unlike operational databases that focus on current transactions, a data warehouse stores large volumes of historical data over extended periods. This allows DHL to identify long-term trends in customer demand, seasonal fluctuations, and performance patterns across different regions.</w:t>
      </w:r>
    </w:p>
    <w:p w14:paraId="6105CB67"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lastRenderedPageBreak/>
        <w:t>For example, DHL may observe increased shipment volumes during peak periods such as holidays or major sales events. By analysing this historical data, the company can better prepare for future demand by allocating additional resources, adjusting staffing levels, and optimising warehouse capacity. This proactive approach reduces the risk of delays and improves overall service reliability.</w:t>
      </w:r>
    </w:p>
    <w:p w14:paraId="36591EA9" w14:textId="528A4BF9" w:rsidR="00D91BC2" w:rsidRPr="00376698" w:rsidRDefault="00455913" w:rsidP="00376698">
      <w:pPr>
        <w:rPr>
          <w:rFonts w:ascii="Times New Roman" w:hAnsi="Times New Roman" w:cs="Times New Roman"/>
        </w:rPr>
      </w:pPr>
      <w:r w:rsidRPr="00376698">
        <w:rPr>
          <w:rFonts w:ascii="Times New Roman" w:hAnsi="Times New Roman" w:cs="Times New Roman"/>
        </w:rPr>
        <w:t>Mor</w:t>
      </w:r>
      <w:r w:rsidR="00AC1C4C" w:rsidRPr="00376698">
        <w:rPr>
          <w:rFonts w:ascii="Times New Roman" w:hAnsi="Times New Roman" w:cs="Times New Roman"/>
        </w:rPr>
        <w:t>eover ,improved performance benchmarking</w:t>
      </w:r>
      <w:r w:rsidR="001151B3" w:rsidRPr="00376698">
        <w:rPr>
          <w:rFonts w:ascii="Times New Roman" w:hAnsi="Times New Roman" w:cs="Times New Roman"/>
        </w:rPr>
        <w:t xml:space="preserve"> is made possible by data warehousing</w:t>
      </w:r>
      <w:r w:rsidR="00D91BC2" w:rsidRPr="00376698">
        <w:rPr>
          <w:rFonts w:ascii="Times New Roman" w:hAnsi="Times New Roman" w:cs="Times New Roman"/>
        </w:rPr>
        <w:t>. DHL can compare performance across different regions, warehouses, or delivery routes to identify best practices and areas for improvement. For instance, if one distribution centre consistently performs better than others, the company can analyse its processes and replicate successful strategies elsewhere.</w:t>
      </w:r>
    </w:p>
    <w:p w14:paraId="13FA16FC" w14:textId="5B209053" w:rsidR="00D91BC2" w:rsidRPr="00376698" w:rsidRDefault="00072229" w:rsidP="00376698">
      <w:pPr>
        <w:rPr>
          <w:rFonts w:ascii="Times New Roman" w:hAnsi="Times New Roman" w:cs="Times New Roman"/>
        </w:rPr>
      </w:pPr>
      <w:r w:rsidRPr="00376698">
        <w:rPr>
          <w:rFonts w:ascii="Times New Roman" w:hAnsi="Times New Roman" w:cs="Times New Roman"/>
        </w:rPr>
        <w:t xml:space="preserve">Increased Data consistency </w:t>
      </w:r>
      <w:r w:rsidR="00AB0E22" w:rsidRPr="00376698">
        <w:rPr>
          <w:rFonts w:ascii="Times New Roman" w:hAnsi="Times New Roman" w:cs="Times New Roman"/>
        </w:rPr>
        <w:t>and quality is another important advantage. By</w:t>
      </w:r>
      <w:r w:rsidR="00D91BC2" w:rsidRPr="00376698">
        <w:rPr>
          <w:rFonts w:ascii="Times New Roman" w:hAnsi="Times New Roman" w:cs="Times New Roman"/>
        </w:rPr>
        <w:t xml:space="preserve"> standardising data from multiple sources, the data warehouse reduces duplication and inconsistencies. This ensures that decision-makers are working with accurate and reliable information, which is essential for effective planning and analysis.</w:t>
      </w:r>
    </w:p>
    <w:p w14:paraId="7C507000" w14:textId="58CE42CD" w:rsidR="00D91BC2" w:rsidRPr="00376698" w:rsidRDefault="00D91BC2" w:rsidP="00376698">
      <w:pPr>
        <w:rPr>
          <w:rFonts w:ascii="Times New Roman" w:hAnsi="Times New Roman" w:cs="Times New Roman"/>
        </w:rPr>
      </w:pPr>
      <w:r w:rsidRPr="00376698">
        <w:rPr>
          <w:rFonts w:ascii="Times New Roman" w:hAnsi="Times New Roman" w:cs="Times New Roman"/>
        </w:rPr>
        <w:t xml:space="preserve">Overall, these </w:t>
      </w:r>
      <w:r w:rsidR="00DC62FA" w:rsidRPr="00376698">
        <w:rPr>
          <w:rFonts w:ascii="Times New Roman" w:hAnsi="Times New Roman" w:cs="Times New Roman"/>
        </w:rPr>
        <w:t>additional</w:t>
      </w:r>
      <w:r w:rsidRPr="00376698">
        <w:rPr>
          <w:rFonts w:ascii="Times New Roman" w:hAnsi="Times New Roman" w:cs="Times New Roman"/>
        </w:rPr>
        <w:t xml:space="preserve"> capabilities </w:t>
      </w:r>
      <w:r w:rsidR="0068657C" w:rsidRPr="00376698">
        <w:rPr>
          <w:rFonts w:ascii="Times New Roman" w:hAnsi="Times New Roman" w:cs="Times New Roman"/>
        </w:rPr>
        <w:t>reinforced</w:t>
      </w:r>
      <w:r w:rsidRPr="00376698">
        <w:rPr>
          <w:rFonts w:ascii="Times New Roman" w:hAnsi="Times New Roman" w:cs="Times New Roman"/>
        </w:rPr>
        <w:t xml:space="preserve"> the strategic value of data warehousing, not only as a tool for daily operations but also as a foundation for long-term organisational growth and continuous improvement.</w:t>
      </w:r>
    </w:p>
    <w:p w14:paraId="1ABAB523" w14:textId="77777777" w:rsidR="00D91BC2" w:rsidRPr="00376698" w:rsidRDefault="00D91BC2" w:rsidP="00376698">
      <w:pPr>
        <w:rPr>
          <w:rFonts w:ascii="Times New Roman" w:hAnsi="Times New Roman" w:cs="Times New Roman"/>
        </w:rPr>
      </w:pPr>
    </w:p>
    <w:p w14:paraId="4F99B7D9" w14:textId="77777777" w:rsidR="00D91BC2" w:rsidRPr="00376698" w:rsidRDefault="00BC5FD2" w:rsidP="00376698">
      <w:pPr>
        <w:rPr>
          <w:rFonts w:ascii="Times New Roman" w:hAnsi="Times New Roman" w:cs="Times New Roman"/>
        </w:rPr>
      </w:pPr>
      <w:r>
        <w:rPr>
          <w:rFonts w:ascii="Times New Roman" w:hAnsi="Times New Roman" w:cs="Times New Roman"/>
        </w:rPr>
        <w:pict w14:anchorId="6ED75B5D">
          <v:rect id="_x0000_i1028" style="width:0;height:1.5pt" o:hralign="center" o:hrstd="t" o:hr="t" fillcolor="#a0a0a0" stroked="f"/>
        </w:pict>
      </w:r>
    </w:p>
    <w:p w14:paraId="572EEAD4" w14:textId="7957B4D3" w:rsidR="00D91BC2" w:rsidRPr="00376698" w:rsidRDefault="00D91BC2" w:rsidP="00376698">
      <w:pPr>
        <w:rPr>
          <w:rFonts w:ascii="Times New Roman" w:hAnsi="Times New Roman" w:cs="Times New Roman"/>
          <w:b/>
          <w:bCs/>
        </w:rPr>
      </w:pPr>
      <w:r w:rsidRPr="00376698">
        <w:rPr>
          <w:rFonts w:ascii="Times New Roman" w:hAnsi="Times New Roman" w:cs="Times New Roman"/>
          <w:b/>
          <w:bCs/>
        </w:rPr>
        <w:t xml:space="preserve">4. Data Mining Techniques </w:t>
      </w:r>
    </w:p>
    <w:p w14:paraId="3DF3AF8B"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Data mining involves analysing large datasets to uncover hidden patterns and relationships that can support decision-making. Two techniques that are particularly relevant to DHL are clustering and regression.</w:t>
      </w:r>
    </w:p>
    <w:p w14:paraId="48A229E2"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Clustering is used to group data based on similarities. In the context of DHL, this technique can be applied to customer segmentation. For instance, customers can be grouped based on their shipping frequency, location, or service preferences. This allows DHL to tailor its services and marketing strategies more effectively. For example, high-frequency business clients may require priority services, while occasional users may benefit from promotional offers.</w:t>
      </w:r>
    </w:p>
    <w:p w14:paraId="102D9A65"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Regression analysis, on the other hand, is used to identify relationships between variables and predict future outcomes. DHL can use regression models to estimate delivery times based on factors such as distance, traffic conditions, and weather. This helps the company provide more accurate delivery estimates and improve customer satisfaction.</w:t>
      </w:r>
    </w:p>
    <w:p w14:paraId="4088DF9F"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These techniques can be implemented using advanced analytics tools such as RapidMiner or Python-based platforms. By applying data mining methods, DHL can gain deeper insights into its operations and identify opportunities for improvement.</w:t>
      </w:r>
    </w:p>
    <w:p w14:paraId="5DF7A2D0" w14:textId="510E3340" w:rsidR="00D91BC2" w:rsidRPr="00376698" w:rsidRDefault="009B5EA0" w:rsidP="00376698">
      <w:pPr>
        <w:rPr>
          <w:rFonts w:ascii="Times New Roman" w:hAnsi="Times New Roman" w:cs="Times New Roman"/>
        </w:rPr>
      </w:pPr>
      <w:r w:rsidRPr="00376698">
        <w:rPr>
          <w:rFonts w:ascii="Times New Roman" w:hAnsi="Times New Roman" w:cs="Times New Roman"/>
        </w:rPr>
        <w:lastRenderedPageBreak/>
        <w:t>Data min</w:t>
      </w:r>
      <w:r w:rsidR="009240D8" w:rsidRPr="00376698">
        <w:rPr>
          <w:rFonts w:ascii="Times New Roman" w:hAnsi="Times New Roman" w:cs="Times New Roman"/>
        </w:rPr>
        <w:t>ing can also be used to find abnormalities</w:t>
      </w:r>
      <w:r w:rsidR="00614887" w:rsidRPr="00376698">
        <w:rPr>
          <w:rFonts w:ascii="Times New Roman" w:hAnsi="Times New Roman" w:cs="Times New Roman"/>
        </w:rPr>
        <w:t xml:space="preserve"> in cargo data, such unfor</w:t>
      </w:r>
      <w:r w:rsidR="00513560" w:rsidRPr="00376698">
        <w:rPr>
          <w:rFonts w:ascii="Times New Roman" w:hAnsi="Times New Roman" w:cs="Times New Roman"/>
        </w:rPr>
        <w:t xml:space="preserve">eseen delays or odd trends. </w:t>
      </w:r>
      <w:r w:rsidR="00D91BC2" w:rsidRPr="00376698">
        <w:rPr>
          <w:rFonts w:ascii="Times New Roman" w:hAnsi="Times New Roman" w:cs="Times New Roman"/>
        </w:rPr>
        <w:t>Identifying these issues early allows DHL to take corrective action and minimise disruptions.</w:t>
      </w:r>
    </w:p>
    <w:p w14:paraId="002DED6B" w14:textId="77777777" w:rsidR="00D91BC2" w:rsidRPr="00376698" w:rsidRDefault="00BC5FD2" w:rsidP="00376698">
      <w:pPr>
        <w:rPr>
          <w:rFonts w:ascii="Times New Roman" w:hAnsi="Times New Roman" w:cs="Times New Roman"/>
        </w:rPr>
      </w:pPr>
      <w:r>
        <w:rPr>
          <w:rFonts w:ascii="Times New Roman" w:hAnsi="Times New Roman" w:cs="Times New Roman"/>
        </w:rPr>
        <w:pict w14:anchorId="56D8E25D">
          <v:rect id="_x0000_i1029" style="width:0;height:1.5pt" o:hralign="center" o:hrstd="t" o:hr="t" fillcolor="#a0a0a0" stroked="f"/>
        </w:pict>
      </w:r>
    </w:p>
    <w:p w14:paraId="7CF9CBE7" w14:textId="66C531D8" w:rsidR="00D91BC2" w:rsidRPr="00376698" w:rsidRDefault="00D91BC2" w:rsidP="00376698">
      <w:pPr>
        <w:rPr>
          <w:rFonts w:ascii="Times New Roman" w:hAnsi="Times New Roman" w:cs="Times New Roman"/>
          <w:b/>
          <w:bCs/>
        </w:rPr>
      </w:pPr>
      <w:r w:rsidRPr="00376698">
        <w:rPr>
          <w:rFonts w:ascii="Times New Roman" w:hAnsi="Times New Roman" w:cs="Times New Roman"/>
          <w:b/>
          <w:bCs/>
        </w:rPr>
        <w:t xml:space="preserve">5. Predictive Analysis </w:t>
      </w:r>
    </w:p>
    <w:p w14:paraId="1610594E" w14:textId="7D64C140" w:rsidR="00D91BC2" w:rsidRPr="00376698" w:rsidRDefault="002628BF" w:rsidP="00376698">
      <w:pPr>
        <w:rPr>
          <w:rFonts w:ascii="Times New Roman" w:hAnsi="Times New Roman" w:cs="Times New Roman"/>
        </w:rPr>
      </w:pPr>
      <w:r w:rsidRPr="00376698">
        <w:rPr>
          <w:rFonts w:ascii="Times New Roman" w:hAnsi="Times New Roman" w:cs="Times New Roman"/>
        </w:rPr>
        <w:t xml:space="preserve">The goal of predictive </w:t>
      </w:r>
      <w:r w:rsidR="00F45DCE" w:rsidRPr="00376698">
        <w:rPr>
          <w:rFonts w:ascii="Times New Roman" w:hAnsi="Times New Roman" w:cs="Times New Roman"/>
        </w:rPr>
        <w:t xml:space="preserve">analytics is to predict future events </w:t>
      </w:r>
      <w:r w:rsidR="00D331E7" w:rsidRPr="00376698">
        <w:rPr>
          <w:rFonts w:ascii="Times New Roman" w:hAnsi="Times New Roman" w:cs="Times New Roman"/>
        </w:rPr>
        <w:t>by utilizing past data</w:t>
      </w:r>
      <w:r w:rsidR="00D91BC2" w:rsidRPr="00376698">
        <w:rPr>
          <w:rFonts w:ascii="Times New Roman" w:hAnsi="Times New Roman" w:cs="Times New Roman"/>
        </w:rPr>
        <w:t>. In the logistics industry, this can provide a significant advantage by enabling organisations to anticipate demand, optimise routes, and reduce operational risks.</w:t>
      </w:r>
    </w:p>
    <w:p w14:paraId="0C3EB4EB"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Several tools can support predictive analytics within DHL. Microsoft Power BI is widely used due to its strong visualisation capabilities and ability to integrate with multiple data sources. It allows users to create interactive dashboards and perform real-time analysis.</w:t>
      </w:r>
    </w:p>
    <w:p w14:paraId="5CAF5BF5"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Microsoft Excel is another commonly used tool, particularly for smaller-scale analysis. While it offers useful forecasting functions, it may not be suitable for handling large datasets or complex models.</w:t>
      </w:r>
    </w:p>
    <w:p w14:paraId="4E67B5DF"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RapidMiner provides more advanced features, including machine learning and data mining capabilities. It enables DHL to build predictive models that can forecast delivery times, identify potential disruptions, and optimise resource allocation.</w:t>
      </w:r>
    </w:p>
    <w:p w14:paraId="7BB90D1E"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Each tool has its advantages. Power BI excels in visualisation and reporting, RapidMiner offers advanced analytics, and Excel provides accessibility and ease of use. By combining these tools, DHL can develop a comprehensive predictive analytics strategy.</w:t>
      </w:r>
    </w:p>
    <w:p w14:paraId="05392154" w14:textId="77777777" w:rsidR="00D91BC2" w:rsidRPr="00376698" w:rsidRDefault="00BC5FD2" w:rsidP="00376698">
      <w:pPr>
        <w:rPr>
          <w:rFonts w:ascii="Times New Roman" w:hAnsi="Times New Roman" w:cs="Times New Roman"/>
        </w:rPr>
      </w:pPr>
      <w:r>
        <w:rPr>
          <w:rFonts w:ascii="Times New Roman" w:hAnsi="Times New Roman" w:cs="Times New Roman"/>
        </w:rPr>
        <w:pict w14:anchorId="5970F30F">
          <v:rect id="_x0000_i1030" style="width:0;height:1.5pt" o:hralign="center" o:hrstd="t" o:hr="t" fillcolor="#a0a0a0" stroked="f"/>
        </w:pict>
      </w:r>
    </w:p>
    <w:p w14:paraId="7BC03681" w14:textId="36161E1C" w:rsidR="00D91BC2" w:rsidRPr="00376698" w:rsidRDefault="00D91BC2" w:rsidP="00376698">
      <w:pPr>
        <w:rPr>
          <w:rFonts w:ascii="Times New Roman" w:hAnsi="Times New Roman" w:cs="Times New Roman"/>
          <w:b/>
          <w:bCs/>
        </w:rPr>
      </w:pPr>
      <w:r w:rsidRPr="00376698">
        <w:rPr>
          <w:rFonts w:ascii="Times New Roman" w:hAnsi="Times New Roman" w:cs="Times New Roman"/>
          <w:b/>
          <w:bCs/>
        </w:rPr>
        <w:t xml:space="preserve">6. Ethical and Data Security Considerations </w:t>
      </w:r>
    </w:p>
    <w:p w14:paraId="17F7EC66"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The use of BI systems raises several ethical and security concerns that organisations must address. One of the most important considerations is compliance with the General Data Protection Regulation (GDPR), which governs how personal data is collected, stored, and processed.</w:t>
      </w:r>
    </w:p>
    <w:p w14:paraId="1D34D083" w14:textId="21DC9FCD" w:rsidR="00D91BC2" w:rsidRPr="00376698" w:rsidRDefault="00D91BC2" w:rsidP="00376698">
      <w:pPr>
        <w:rPr>
          <w:rFonts w:ascii="Times New Roman" w:hAnsi="Times New Roman" w:cs="Times New Roman"/>
        </w:rPr>
      </w:pPr>
      <w:r w:rsidRPr="00376698">
        <w:rPr>
          <w:rFonts w:ascii="Times New Roman" w:hAnsi="Times New Roman" w:cs="Times New Roman"/>
        </w:rPr>
        <w:t>DHL must ensure that customer data is handled responsibly, with clear consent and transparency</w:t>
      </w:r>
      <w:r w:rsidR="003716DD" w:rsidRPr="00376698">
        <w:rPr>
          <w:rFonts w:ascii="Times New Roman" w:hAnsi="Times New Roman" w:cs="Times New Roman"/>
        </w:rPr>
        <w:t>. Significan</w:t>
      </w:r>
      <w:r w:rsidR="00F03000" w:rsidRPr="00376698">
        <w:rPr>
          <w:rFonts w:ascii="Times New Roman" w:hAnsi="Times New Roman" w:cs="Times New Roman"/>
        </w:rPr>
        <w:t>t legal repercussions and rep</w:t>
      </w:r>
      <w:r w:rsidR="00371AD9" w:rsidRPr="00376698">
        <w:rPr>
          <w:rFonts w:ascii="Times New Roman" w:hAnsi="Times New Roman" w:cs="Times New Roman"/>
        </w:rPr>
        <w:t>utational harm to the business may arise from noncompliance with GDPR</w:t>
      </w:r>
      <w:r w:rsidR="005E7701" w:rsidRPr="00376698">
        <w:rPr>
          <w:rFonts w:ascii="Times New Roman" w:hAnsi="Times New Roman" w:cs="Times New Roman"/>
        </w:rPr>
        <w:t>.</w:t>
      </w:r>
    </w:p>
    <w:p w14:paraId="0E2FE1B2"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Data security is another critical issue. DHL must implement measures such as encryption, access controls, and secure data storage to protect sensitive information. Internal risks, such as employee misuse of data, should also be managed through strict policies and monitoring systems.</w:t>
      </w:r>
    </w:p>
    <w:p w14:paraId="5DF234AA"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External threats, including cyberattacks and data breaches, pose additional challenges. To mitigate these risks, DHL should invest in robust cybersecurity systems and regularly update its security protocols.</w:t>
      </w:r>
    </w:p>
    <w:p w14:paraId="0CAAE3D0" w14:textId="0C72BD78" w:rsidR="00D91BC2" w:rsidRPr="00376698" w:rsidRDefault="00A04D13" w:rsidP="00376698">
      <w:pPr>
        <w:rPr>
          <w:rFonts w:ascii="Times New Roman" w:hAnsi="Times New Roman" w:cs="Times New Roman"/>
        </w:rPr>
      </w:pPr>
      <w:r w:rsidRPr="00376698">
        <w:rPr>
          <w:rFonts w:ascii="Times New Roman" w:hAnsi="Times New Roman" w:cs="Times New Roman"/>
        </w:rPr>
        <w:lastRenderedPageBreak/>
        <w:t xml:space="preserve">DHL can increase </w:t>
      </w:r>
      <w:r w:rsidR="00EA1F50" w:rsidRPr="00376698">
        <w:rPr>
          <w:rFonts w:ascii="Times New Roman" w:hAnsi="Times New Roman" w:cs="Times New Roman"/>
        </w:rPr>
        <w:t>customer trust and guarantee</w:t>
      </w:r>
      <w:r w:rsidR="009C5606" w:rsidRPr="00376698">
        <w:rPr>
          <w:rFonts w:ascii="Times New Roman" w:hAnsi="Times New Roman" w:cs="Times New Roman"/>
        </w:rPr>
        <w:t xml:space="preserve"> the proper and safe use of </w:t>
      </w:r>
      <w:r w:rsidR="00277131" w:rsidRPr="00376698">
        <w:rPr>
          <w:rFonts w:ascii="Times New Roman" w:hAnsi="Times New Roman" w:cs="Times New Roman"/>
        </w:rPr>
        <w:t xml:space="preserve">data by addressing </w:t>
      </w:r>
      <w:r w:rsidR="002B623C" w:rsidRPr="00376698">
        <w:rPr>
          <w:rFonts w:ascii="Times New Roman" w:hAnsi="Times New Roman" w:cs="Times New Roman"/>
        </w:rPr>
        <w:t>these ethical and security issues.</w:t>
      </w:r>
      <w:r w:rsidR="00BC5FD2">
        <w:rPr>
          <w:rFonts w:ascii="Times New Roman" w:hAnsi="Times New Roman" w:cs="Times New Roman"/>
        </w:rPr>
        <w:pict w14:anchorId="5D296827">
          <v:rect id="_x0000_i1031" style="width:0;height:1.5pt" o:hralign="center" o:hrstd="t" o:hr="t" fillcolor="#a0a0a0" stroked="f"/>
        </w:pict>
      </w:r>
    </w:p>
    <w:p w14:paraId="12F24CFA" w14:textId="098DEE91" w:rsidR="00D91BC2" w:rsidRPr="00376698" w:rsidRDefault="00D91BC2" w:rsidP="00376698">
      <w:pPr>
        <w:rPr>
          <w:rFonts w:ascii="Times New Roman" w:hAnsi="Times New Roman" w:cs="Times New Roman"/>
          <w:b/>
          <w:bCs/>
        </w:rPr>
      </w:pPr>
      <w:r w:rsidRPr="00376698">
        <w:rPr>
          <w:rFonts w:ascii="Times New Roman" w:hAnsi="Times New Roman" w:cs="Times New Roman"/>
          <w:b/>
          <w:bCs/>
        </w:rPr>
        <w:t xml:space="preserve">7. Reporting and Dashboard Solutions </w:t>
      </w:r>
    </w:p>
    <w:p w14:paraId="747FBEF3"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Reporting and dashboards are essential components of Business Intelligence, as they allow organisations to present data in a clear and accessible format. Tools such as Microsoft Power BI and Tableau are widely used to create interactive dashboards.</w:t>
      </w:r>
    </w:p>
    <w:p w14:paraId="63CD6FF4"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For DHL, dashboards can display key performance indicators such as delivery times, shipment volumes, customer satisfaction, and operational costs. These metrics provide valuable insights into business performance and help managers identify areas for improvement.</w:t>
      </w:r>
    </w:p>
    <w:p w14:paraId="5B4CD142"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Real-time dashboards are particularly useful in logistics, where conditions can change rapidly. By monitoring live data, DHL can quickly respond to delays, disruptions, or changes in demand.</w:t>
      </w:r>
    </w:p>
    <w:p w14:paraId="2D04C737"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In addition, dashboards improve communication within the organisation by ensuring that all stakeholders have access to consistent and up-to-date information. This supports better collaboration and more informed decision-making.</w:t>
      </w:r>
    </w:p>
    <w:p w14:paraId="2B5B5496" w14:textId="77777777" w:rsidR="00D91BC2" w:rsidRPr="00376698" w:rsidRDefault="00BC5FD2" w:rsidP="00376698">
      <w:pPr>
        <w:rPr>
          <w:rFonts w:ascii="Times New Roman" w:hAnsi="Times New Roman" w:cs="Times New Roman"/>
        </w:rPr>
      </w:pPr>
      <w:r>
        <w:rPr>
          <w:rFonts w:ascii="Times New Roman" w:hAnsi="Times New Roman" w:cs="Times New Roman"/>
        </w:rPr>
        <w:pict w14:anchorId="188D9AFA">
          <v:rect id="_x0000_i1032" style="width:0;height:1.5pt" o:hralign="center" o:hrstd="t" o:hr="t" fillcolor="#a0a0a0" stroked="f"/>
        </w:pict>
      </w:r>
    </w:p>
    <w:p w14:paraId="69C8BC88" w14:textId="2505F4B6" w:rsidR="00D91BC2" w:rsidRPr="00376698" w:rsidRDefault="00D91BC2" w:rsidP="00376698">
      <w:pPr>
        <w:rPr>
          <w:rFonts w:ascii="Times New Roman" w:hAnsi="Times New Roman" w:cs="Times New Roman"/>
          <w:b/>
          <w:bCs/>
        </w:rPr>
      </w:pPr>
      <w:r w:rsidRPr="00376698">
        <w:rPr>
          <w:rFonts w:ascii="Times New Roman" w:hAnsi="Times New Roman" w:cs="Times New Roman"/>
          <w:b/>
          <w:bCs/>
        </w:rPr>
        <w:t xml:space="preserve">Conclusion </w:t>
      </w:r>
    </w:p>
    <w:p w14:paraId="54F59688"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This report has examined how Business Intelligence, Data Warehousing, and Data Mining can be applied within DHL to improve operational efficiency and strategic decision-making. The analysis has shown that modern BI technologies, including AI, cloud systems, and real-time analytics, play a crucial role in managing complex logistics operations.</w:t>
      </w:r>
    </w:p>
    <w:p w14:paraId="6C9CB32C"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By implementing a data warehouse, DHL can centralise its data and improve accessibility, while data mining techniques provide valuable insights into customer behaviour and operational performance. Predictive analytics tools further enhance the company’s ability to anticipate future trends and make informed decisions.</w:t>
      </w:r>
    </w:p>
    <w:p w14:paraId="5292A208" w14:textId="77777777" w:rsidR="00D91BC2" w:rsidRPr="00376698" w:rsidRDefault="00D91BC2" w:rsidP="00376698">
      <w:pPr>
        <w:rPr>
          <w:rFonts w:ascii="Times New Roman" w:hAnsi="Times New Roman" w:cs="Times New Roman"/>
        </w:rPr>
      </w:pPr>
      <w:r w:rsidRPr="00376698">
        <w:rPr>
          <w:rFonts w:ascii="Times New Roman" w:hAnsi="Times New Roman" w:cs="Times New Roman"/>
        </w:rPr>
        <w:t>However, it is essential to address ethical and security concerns to ensure compliance and protect sensitive information. Overall, BI technologies offer significant benefits and are essential for maintaining DHL’s competitive advantage in the logistics industry.</w:t>
      </w:r>
    </w:p>
    <w:p w14:paraId="5E5F0145" w14:textId="77777777" w:rsidR="00D91BC2" w:rsidRPr="008F6347" w:rsidRDefault="00BC5FD2" w:rsidP="00D91BC2">
      <w:pPr>
        <w:rPr>
          <w:rFonts w:ascii="Times New Roman" w:hAnsi="Times New Roman" w:cs="Times New Roman"/>
        </w:rPr>
      </w:pPr>
      <w:r>
        <w:rPr>
          <w:rFonts w:ascii="Times New Roman" w:hAnsi="Times New Roman" w:cs="Times New Roman"/>
        </w:rPr>
        <w:pict w14:anchorId="0B7F3780">
          <v:rect id="_x0000_i1033" style="width:0;height:1.5pt" o:hralign="center" o:hrstd="t" o:hr="t" fillcolor="#a0a0a0" stroked="f"/>
        </w:pict>
      </w:r>
    </w:p>
    <w:p w14:paraId="7DC09146" w14:textId="77777777" w:rsidR="00D91BC2" w:rsidRPr="00D2489D" w:rsidRDefault="00D91BC2" w:rsidP="00D2489D">
      <w:pPr>
        <w:rPr>
          <w:b/>
          <w:bCs/>
        </w:rPr>
      </w:pPr>
      <w:r w:rsidRPr="00D2489D">
        <w:rPr>
          <w:b/>
          <w:bCs/>
        </w:rPr>
        <w:t>References (Harvard – UWTSD Style)</w:t>
      </w:r>
    </w:p>
    <w:p w14:paraId="5F922922" w14:textId="77777777" w:rsidR="00D91BC2" w:rsidRPr="00D2489D" w:rsidRDefault="00D91BC2" w:rsidP="00D2489D">
      <w:r w:rsidRPr="00D2489D">
        <w:t>Chen, H., Chiang, R. and Storey, V. (2012) Business Intelligence and Analytics. MIS Quarterly.</w:t>
      </w:r>
    </w:p>
    <w:p w14:paraId="0540DD30" w14:textId="77777777" w:rsidR="00D91BC2" w:rsidRPr="00D2489D" w:rsidRDefault="00D91BC2" w:rsidP="00D2489D">
      <w:r w:rsidRPr="00D2489D">
        <w:t>Davenport, T. (2018) Analytics at Work. Harvard Business Review Press.</w:t>
      </w:r>
    </w:p>
    <w:p w14:paraId="24723A21" w14:textId="77777777" w:rsidR="00D91BC2" w:rsidRPr="00D2489D" w:rsidRDefault="00D91BC2" w:rsidP="00D2489D">
      <w:r w:rsidRPr="00D2489D">
        <w:lastRenderedPageBreak/>
        <w:t>Elmasri, R. and Navathe, S. (2016) Fundamentals of Database Systems. Pearson.</w:t>
      </w:r>
    </w:p>
    <w:p w14:paraId="4D2CC699" w14:textId="77777777" w:rsidR="00D91BC2" w:rsidRPr="00D2489D" w:rsidRDefault="00D91BC2" w:rsidP="00D2489D">
      <w:r w:rsidRPr="00D2489D">
        <w:t>Han, J., Kamber, M. and Pei, J. (2012) Data Mining: Concepts and Techniques. Morgan Kaufmann.</w:t>
      </w:r>
    </w:p>
    <w:p w14:paraId="49CBC7C7" w14:textId="77777777" w:rsidR="00D91BC2" w:rsidRPr="00D2489D" w:rsidRDefault="00D91BC2" w:rsidP="00D2489D">
      <w:r w:rsidRPr="00D2489D">
        <w:t>Kimball, R. and Ross, M. (2013) The Data Warehouse Toolkit. Wiley.</w:t>
      </w:r>
    </w:p>
    <w:p w14:paraId="29BC0239" w14:textId="77777777" w:rsidR="00D91BC2" w:rsidRPr="00D2489D" w:rsidRDefault="00D91BC2" w:rsidP="00D2489D">
      <w:r w:rsidRPr="00D2489D">
        <w:t>Kotu, V. and Deshpande, B. (2019) Data Science: Concepts and Practice.</w:t>
      </w:r>
    </w:p>
    <w:p w14:paraId="2CAE11E2" w14:textId="77777777" w:rsidR="00D91BC2" w:rsidRPr="00D2489D" w:rsidRDefault="00D91BC2" w:rsidP="00D2489D">
      <w:r w:rsidRPr="00D2489D">
        <w:t>Laudon, K. and Laudon, J. (2020) Management Information Systems. Pearson.</w:t>
      </w:r>
    </w:p>
    <w:p w14:paraId="2CF0E864" w14:textId="77777777" w:rsidR="00D91BC2" w:rsidRPr="00D2489D" w:rsidRDefault="00D91BC2" w:rsidP="00D2489D">
      <w:r w:rsidRPr="00D2489D">
        <w:t>Power, D. (2019) Decision Support and Business Intelligence Systems.</w:t>
      </w:r>
    </w:p>
    <w:p w14:paraId="310FFD46" w14:textId="77777777" w:rsidR="00D91BC2" w:rsidRPr="00D2489D" w:rsidRDefault="00D91BC2" w:rsidP="00D2489D">
      <w:r w:rsidRPr="00D2489D">
        <w:t>Wirth, R. and Hipp, J. (2000) CRISP-DM Model.</w:t>
      </w:r>
    </w:p>
    <w:p w14:paraId="4D744211" w14:textId="219AA8B6" w:rsidR="00D91BC2" w:rsidRPr="00D2489D" w:rsidRDefault="00D91BC2" w:rsidP="00D2489D">
      <w:r w:rsidRPr="00D2489D">
        <w:t>Ziko</w:t>
      </w:r>
      <w:r w:rsidR="008C3745" w:rsidRPr="00D2489D">
        <w:t>p</w:t>
      </w:r>
      <w:r w:rsidRPr="00D2489D">
        <w:t>oulos, P. et al. (2017) Understanding Big Data. McGraw-Hill.</w:t>
      </w:r>
    </w:p>
    <w:p w14:paraId="0C3D601B" w14:textId="77777777" w:rsidR="00D91BC2" w:rsidRPr="00D2489D" w:rsidRDefault="00D91BC2" w:rsidP="00D2489D"/>
    <w:sectPr w:rsidR="00D91BC2" w:rsidRPr="00D2489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B9F39" w14:textId="77777777" w:rsidR="00BC5FD2" w:rsidRDefault="00BC5FD2" w:rsidP="002701BA">
      <w:pPr>
        <w:spacing w:after="0" w:line="240" w:lineRule="auto"/>
      </w:pPr>
      <w:r>
        <w:separator/>
      </w:r>
    </w:p>
  </w:endnote>
  <w:endnote w:type="continuationSeparator" w:id="0">
    <w:p w14:paraId="15032A88" w14:textId="77777777" w:rsidR="00BC5FD2" w:rsidRDefault="00BC5FD2" w:rsidP="00270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FDDEB" w14:textId="77777777" w:rsidR="00BC5FD2" w:rsidRDefault="00BC5FD2" w:rsidP="002701BA">
      <w:pPr>
        <w:spacing w:after="0" w:line="240" w:lineRule="auto"/>
      </w:pPr>
      <w:r>
        <w:separator/>
      </w:r>
    </w:p>
  </w:footnote>
  <w:footnote w:type="continuationSeparator" w:id="0">
    <w:p w14:paraId="00D10F57" w14:textId="77777777" w:rsidR="00BC5FD2" w:rsidRDefault="00BC5FD2" w:rsidP="002701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0A896" w14:textId="77777777" w:rsidR="002701BA" w:rsidRPr="00646C4B" w:rsidRDefault="002701BA" w:rsidP="00DB33B8">
    <w:pPr>
      <w:pStyle w:val="Header"/>
      <w:spacing w:line="360" w:lineRule="auto"/>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BC2"/>
    <w:rsid w:val="0000375B"/>
    <w:rsid w:val="00021B84"/>
    <w:rsid w:val="0003443F"/>
    <w:rsid w:val="00065BF2"/>
    <w:rsid w:val="00072229"/>
    <w:rsid w:val="00072338"/>
    <w:rsid w:val="000A07A6"/>
    <w:rsid w:val="000A6E66"/>
    <w:rsid w:val="001151B3"/>
    <w:rsid w:val="001A3B11"/>
    <w:rsid w:val="00244E50"/>
    <w:rsid w:val="002628BF"/>
    <w:rsid w:val="002701BA"/>
    <w:rsid w:val="00277131"/>
    <w:rsid w:val="0028719D"/>
    <w:rsid w:val="002B623C"/>
    <w:rsid w:val="002F75F1"/>
    <w:rsid w:val="003716DD"/>
    <w:rsid w:val="00371AD9"/>
    <w:rsid w:val="00374435"/>
    <w:rsid w:val="00376698"/>
    <w:rsid w:val="00392D9C"/>
    <w:rsid w:val="003E10B6"/>
    <w:rsid w:val="00455913"/>
    <w:rsid w:val="004902DB"/>
    <w:rsid w:val="004D35D3"/>
    <w:rsid w:val="004F4D35"/>
    <w:rsid w:val="00513560"/>
    <w:rsid w:val="0052330C"/>
    <w:rsid w:val="00532F26"/>
    <w:rsid w:val="005E7701"/>
    <w:rsid w:val="00614887"/>
    <w:rsid w:val="00646C4B"/>
    <w:rsid w:val="0068657C"/>
    <w:rsid w:val="00692617"/>
    <w:rsid w:val="0069596E"/>
    <w:rsid w:val="007B0AA7"/>
    <w:rsid w:val="007F66A5"/>
    <w:rsid w:val="008A1FA7"/>
    <w:rsid w:val="008C3745"/>
    <w:rsid w:val="008F6347"/>
    <w:rsid w:val="00923D75"/>
    <w:rsid w:val="009240D8"/>
    <w:rsid w:val="009B5EA0"/>
    <w:rsid w:val="009C5606"/>
    <w:rsid w:val="009E4E47"/>
    <w:rsid w:val="00A04D13"/>
    <w:rsid w:val="00AB0E22"/>
    <w:rsid w:val="00AC1C4C"/>
    <w:rsid w:val="00AD1770"/>
    <w:rsid w:val="00B52861"/>
    <w:rsid w:val="00B7510F"/>
    <w:rsid w:val="00B76D5D"/>
    <w:rsid w:val="00BC5FD2"/>
    <w:rsid w:val="00C50A59"/>
    <w:rsid w:val="00C904BA"/>
    <w:rsid w:val="00CF4CA8"/>
    <w:rsid w:val="00CF5D9B"/>
    <w:rsid w:val="00D012D4"/>
    <w:rsid w:val="00D2489D"/>
    <w:rsid w:val="00D331E7"/>
    <w:rsid w:val="00D45664"/>
    <w:rsid w:val="00D91BC2"/>
    <w:rsid w:val="00DB33B8"/>
    <w:rsid w:val="00DC62FA"/>
    <w:rsid w:val="00DC6B3A"/>
    <w:rsid w:val="00E46CD5"/>
    <w:rsid w:val="00E521BA"/>
    <w:rsid w:val="00EA1F50"/>
    <w:rsid w:val="00F03000"/>
    <w:rsid w:val="00F171A8"/>
    <w:rsid w:val="00F45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0A366"/>
  <w15:chartTrackingRefBased/>
  <w15:docId w15:val="{DA949491-3149-452B-B8D1-1CF22A7B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1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1B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1B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1B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1B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B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B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B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B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1B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1B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1B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1B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1B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B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B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BC2"/>
    <w:rPr>
      <w:rFonts w:eastAsiaTheme="majorEastAsia" w:cstheme="majorBidi"/>
      <w:color w:val="272727" w:themeColor="text1" w:themeTint="D8"/>
    </w:rPr>
  </w:style>
  <w:style w:type="paragraph" w:styleId="Title">
    <w:name w:val="Title"/>
    <w:basedOn w:val="Normal"/>
    <w:next w:val="Normal"/>
    <w:link w:val="TitleChar"/>
    <w:uiPriority w:val="10"/>
    <w:qFormat/>
    <w:rsid w:val="00D91B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B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B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BC2"/>
    <w:pPr>
      <w:spacing w:before="160"/>
      <w:jc w:val="center"/>
    </w:pPr>
    <w:rPr>
      <w:i/>
      <w:iCs/>
      <w:color w:val="404040" w:themeColor="text1" w:themeTint="BF"/>
    </w:rPr>
  </w:style>
  <w:style w:type="character" w:customStyle="1" w:styleId="QuoteChar">
    <w:name w:val="Quote Char"/>
    <w:basedOn w:val="DefaultParagraphFont"/>
    <w:link w:val="Quote"/>
    <w:uiPriority w:val="29"/>
    <w:rsid w:val="00D91BC2"/>
    <w:rPr>
      <w:i/>
      <w:iCs/>
      <w:color w:val="404040" w:themeColor="text1" w:themeTint="BF"/>
    </w:rPr>
  </w:style>
  <w:style w:type="paragraph" w:styleId="ListParagraph">
    <w:name w:val="List Paragraph"/>
    <w:basedOn w:val="Normal"/>
    <w:uiPriority w:val="34"/>
    <w:qFormat/>
    <w:rsid w:val="00D91BC2"/>
    <w:pPr>
      <w:ind w:left="720"/>
      <w:contextualSpacing/>
    </w:pPr>
  </w:style>
  <w:style w:type="character" w:styleId="IntenseEmphasis">
    <w:name w:val="Intense Emphasis"/>
    <w:basedOn w:val="DefaultParagraphFont"/>
    <w:uiPriority w:val="21"/>
    <w:qFormat/>
    <w:rsid w:val="00D91BC2"/>
    <w:rPr>
      <w:i/>
      <w:iCs/>
      <w:color w:val="0F4761" w:themeColor="accent1" w:themeShade="BF"/>
    </w:rPr>
  </w:style>
  <w:style w:type="paragraph" w:styleId="IntenseQuote">
    <w:name w:val="Intense Quote"/>
    <w:basedOn w:val="Normal"/>
    <w:next w:val="Normal"/>
    <w:link w:val="IntenseQuoteChar"/>
    <w:uiPriority w:val="30"/>
    <w:qFormat/>
    <w:rsid w:val="00D91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1BC2"/>
    <w:rPr>
      <w:i/>
      <w:iCs/>
      <w:color w:val="0F4761" w:themeColor="accent1" w:themeShade="BF"/>
    </w:rPr>
  </w:style>
  <w:style w:type="character" w:styleId="IntenseReference">
    <w:name w:val="Intense Reference"/>
    <w:basedOn w:val="DefaultParagraphFont"/>
    <w:uiPriority w:val="32"/>
    <w:qFormat/>
    <w:rsid w:val="00D91BC2"/>
    <w:rPr>
      <w:b/>
      <w:bCs/>
      <w:smallCaps/>
      <w:color w:val="0F4761" w:themeColor="accent1" w:themeShade="BF"/>
      <w:spacing w:val="5"/>
    </w:rPr>
  </w:style>
  <w:style w:type="paragraph" w:styleId="Header">
    <w:name w:val="header"/>
    <w:basedOn w:val="Normal"/>
    <w:link w:val="HeaderChar"/>
    <w:uiPriority w:val="99"/>
    <w:unhideWhenUsed/>
    <w:rsid w:val="00270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1BA"/>
  </w:style>
  <w:style w:type="paragraph" w:styleId="Footer">
    <w:name w:val="footer"/>
    <w:basedOn w:val="Normal"/>
    <w:link w:val="FooterChar"/>
    <w:uiPriority w:val="99"/>
    <w:unhideWhenUsed/>
    <w:rsid w:val="00270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1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TotalTime>
  <Pages>7</Pages>
  <Words>2096</Words>
  <Characters>12938</Characters>
  <Application>Microsoft Office Word</Application>
  <DocSecurity>0</DocSecurity>
  <Lines>219</Lines>
  <Paragraphs>84</Paragraphs>
  <ScaleCrop>false</ScaleCrop>
  <Company/>
  <LinksUpToDate>false</LinksUpToDate>
  <CharactersWithSpaces>14950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Claudiu Neacsu (1921604)</dc:creator>
  <cp:keywords/>
  <dc:description/>
  <cp:lastModifiedBy>Vasile Claudiu Neacsu</cp:lastModifiedBy>
  <cp:revision>66</cp:revision>
  <dcterms:created xsi:type="dcterms:W3CDTF">2026-03-27T00:17:00Z</dcterms:created>
  <dcterms:modified xsi:type="dcterms:W3CDTF">2026-03-28T00:40:00Z</dcterms:modified>
</cp:coreProperties>
</file>