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32565C" w14:textId="77777777" w:rsidR="00D80E8F" w:rsidRDefault="00D80E8F" w:rsidP="00D80E8F">
      <w:pPr>
        <w:spacing w:line="360" w:lineRule="auto"/>
        <w:rPr>
          <w:rFonts w:ascii="Times New Roman" w:hAnsi="Times New Roman" w:cs="Times New Roman"/>
          <w:szCs w:val="24"/>
        </w:rPr>
      </w:pPr>
      <w:r>
        <w:rPr>
          <w:rFonts w:ascii="Times New Roman" w:hAnsi="Times New Roman" w:cs="Times New Roman"/>
          <w:noProof/>
          <w:szCs w:val="24"/>
          <w:lang w:val="en-US" w:eastAsia="en-US"/>
        </w:rPr>
        <w:drawing>
          <wp:anchor distT="0" distB="0" distL="114300" distR="114300" simplePos="0" relativeHeight="251667456" behindDoc="0" locked="0" layoutInCell="1" allowOverlap="1" wp14:anchorId="797A4FEA" wp14:editId="6458CC13">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9" name="Picture 9"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14:paraId="4527DB91" w14:textId="77777777" w:rsidR="00D80E8F" w:rsidRDefault="00D80E8F" w:rsidP="00D80E8F">
      <w:pPr>
        <w:spacing w:line="360" w:lineRule="auto"/>
        <w:rPr>
          <w:rFonts w:ascii="Times New Roman" w:hAnsi="Times New Roman" w:cs="Times New Roman"/>
          <w:szCs w:val="24"/>
        </w:rPr>
      </w:pPr>
    </w:p>
    <w:p w14:paraId="251F22D8" w14:textId="77777777" w:rsidR="00D80E8F" w:rsidRDefault="00D80E8F" w:rsidP="00D80E8F">
      <w:pPr>
        <w:spacing w:line="360" w:lineRule="auto"/>
        <w:rPr>
          <w:rFonts w:ascii="Times New Roman" w:hAnsi="Times New Roman" w:cs="Times New Roman"/>
          <w:szCs w:val="24"/>
        </w:rPr>
      </w:pPr>
    </w:p>
    <w:p w14:paraId="368871CA" w14:textId="77777777" w:rsidR="00D80E8F" w:rsidRDefault="00D80E8F" w:rsidP="00D80E8F">
      <w:pPr>
        <w:spacing w:line="360" w:lineRule="auto"/>
        <w:rPr>
          <w:rFonts w:ascii="Times New Roman" w:hAnsi="Times New Roman" w:cs="Times New Roman"/>
          <w:szCs w:val="24"/>
        </w:rPr>
      </w:pPr>
    </w:p>
    <w:p w14:paraId="2B822A80" w14:textId="77777777" w:rsidR="00D80E8F" w:rsidRDefault="00D80E8F" w:rsidP="00D80E8F">
      <w:pPr>
        <w:tabs>
          <w:tab w:val="left" w:pos="6540"/>
        </w:tabs>
        <w:spacing w:line="360" w:lineRule="auto"/>
        <w:rPr>
          <w:rFonts w:ascii="Times New Roman" w:hAnsi="Times New Roman" w:cs="Times New Roman"/>
          <w:sz w:val="28"/>
          <w:szCs w:val="28"/>
        </w:rPr>
      </w:pPr>
    </w:p>
    <w:p w14:paraId="3BA53B5B" w14:textId="1D012137" w:rsidR="00D80E8F" w:rsidRDefault="00D80E8F" w:rsidP="00D80E8F">
      <w:pPr>
        <w:tabs>
          <w:tab w:val="left" w:pos="6540"/>
        </w:tabs>
        <w:spacing w:line="360" w:lineRule="auto"/>
        <w:rPr>
          <w:rFonts w:ascii="Times New Roman" w:hAnsi="Times New Roman" w:cs="Times New Roman"/>
          <w:sz w:val="28"/>
          <w:szCs w:val="28"/>
        </w:rPr>
      </w:pPr>
      <w:bookmarkStart w:id="0" w:name="_Hlk119323191"/>
      <w:r>
        <w:rPr>
          <w:rFonts w:ascii="Times New Roman" w:hAnsi="Times New Roman" w:cs="Times New Roman"/>
          <w:b/>
          <w:bCs/>
          <w:sz w:val="28"/>
          <w:szCs w:val="28"/>
        </w:rPr>
        <w:t>Student name</w:t>
      </w:r>
      <w:r>
        <w:rPr>
          <w:rFonts w:ascii="Times New Roman" w:hAnsi="Times New Roman" w:cs="Times New Roman"/>
          <w:sz w:val="28"/>
          <w:szCs w:val="28"/>
        </w:rPr>
        <w:t xml:space="preserve">: </w:t>
      </w:r>
      <w:r w:rsidRPr="00964A48">
        <w:rPr>
          <w:rFonts w:ascii="Arial" w:hAnsi="Arial" w:cs="Arial"/>
          <w:sz w:val="28"/>
          <w:szCs w:val="28"/>
        </w:rPr>
        <w:t>Francis Egbeonu</w:t>
      </w:r>
    </w:p>
    <w:p w14:paraId="35646C0D" w14:textId="0025FBDF" w:rsidR="00D80E8F" w:rsidRPr="00964A48" w:rsidRDefault="00D80E8F" w:rsidP="00D80E8F">
      <w:pPr>
        <w:tabs>
          <w:tab w:val="left" w:pos="6540"/>
        </w:tabs>
        <w:spacing w:line="360" w:lineRule="auto"/>
        <w:rPr>
          <w:rFonts w:ascii="Times New Roman" w:hAnsi="Times New Roman" w:cs="Times New Roman"/>
          <w:sz w:val="28"/>
          <w:szCs w:val="28"/>
          <w:lang w:val="nl-NL"/>
        </w:rPr>
      </w:pPr>
      <w:r>
        <w:rPr>
          <w:rFonts w:ascii="Times New Roman" w:hAnsi="Times New Roman" w:cs="Times New Roman"/>
          <w:b/>
          <w:bCs/>
          <w:sz w:val="28"/>
          <w:szCs w:val="28"/>
          <w:lang w:val="nl-NL"/>
        </w:rPr>
        <w:t>Student ID</w:t>
      </w:r>
      <w:r>
        <w:rPr>
          <w:rFonts w:ascii="Times New Roman" w:hAnsi="Times New Roman" w:cs="Times New Roman"/>
          <w:sz w:val="28"/>
          <w:szCs w:val="28"/>
          <w:lang w:val="nl-NL"/>
        </w:rPr>
        <w:t>: 2438118</w:t>
      </w:r>
    </w:p>
    <w:p w14:paraId="6891FEBE" w14:textId="267BF53C" w:rsidR="00D80E8F" w:rsidRDefault="00D80E8F" w:rsidP="00D80E8F">
      <w:pPr>
        <w:tabs>
          <w:tab w:val="left" w:pos="6540"/>
        </w:tabs>
        <w:spacing w:line="360" w:lineRule="auto"/>
        <w:rPr>
          <w:rFonts w:ascii="Times New Roman" w:hAnsi="Times New Roman" w:cs="Times New Roman"/>
          <w:sz w:val="28"/>
          <w:szCs w:val="28"/>
          <w:lang w:val="nl-NL"/>
        </w:rPr>
      </w:pPr>
      <w:r>
        <w:rPr>
          <w:rFonts w:ascii="Times New Roman" w:hAnsi="Times New Roman" w:cs="Times New Roman"/>
          <w:b/>
          <w:bCs/>
          <w:sz w:val="28"/>
          <w:szCs w:val="28"/>
          <w:lang w:val="nl-NL"/>
        </w:rPr>
        <w:t>Module name</w:t>
      </w:r>
      <w:r>
        <w:rPr>
          <w:rFonts w:ascii="Times New Roman" w:hAnsi="Times New Roman" w:cs="Times New Roman"/>
          <w:sz w:val="28"/>
          <w:szCs w:val="28"/>
          <w:lang w:val="nl-NL"/>
        </w:rPr>
        <w:t xml:space="preserve">: </w:t>
      </w:r>
      <w:r w:rsidRPr="00964A48">
        <w:rPr>
          <w:rFonts w:ascii="Arial" w:hAnsi="Arial" w:cs="Arial"/>
          <w:sz w:val="28"/>
          <w:szCs w:val="28"/>
          <w:lang w:val="nl-NL"/>
        </w:rPr>
        <w:t>Introduction To</w:t>
      </w:r>
      <w:r w:rsidR="003252FE">
        <w:rPr>
          <w:rFonts w:ascii="Arial" w:hAnsi="Arial" w:cs="Arial"/>
          <w:sz w:val="28"/>
          <w:szCs w:val="28"/>
          <w:lang w:val="nl-NL"/>
        </w:rPr>
        <w:t xml:space="preserve"> </w:t>
      </w:r>
      <w:r w:rsidR="0072513F">
        <w:rPr>
          <w:rFonts w:ascii="Arial" w:hAnsi="Arial" w:cs="Arial"/>
          <w:sz w:val="28"/>
          <w:szCs w:val="28"/>
          <w:lang w:val="nl-NL"/>
        </w:rPr>
        <w:t>Health</w:t>
      </w:r>
      <w:r w:rsidRPr="00964A48">
        <w:rPr>
          <w:rFonts w:ascii="Arial" w:hAnsi="Arial" w:cs="Arial"/>
          <w:sz w:val="28"/>
          <w:szCs w:val="28"/>
          <w:lang w:val="nl-NL"/>
        </w:rPr>
        <w:t xml:space="preserve"> and Social Care </w:t>
      </w:r>
      <w:r>
        <w:rPr>
          <w:rFonts w:ascii="Times New Roman" w:hAnsi="Times New Roman" w:cs="Times New Roman"/>
          <w:sz w:val="28"/>
          <w:szCs w:val="28"/>
          <w:lang w:val="nl-NL"/>
        </w:rPr>
        <w:t xml:space="preserve"> </w:t>
      </w:r>
    </w:p>
    <w:p w14:paraId="43E6BEED" w14:textId="14C05574" w:rsidR="00D80E8F" w:rsidRDefault="00D80E8F" w:rsidP="00D80E8F">
      <w:pPr>
        <w:tabs>
          <w:tab w:val="left" w:pos="6540"/>
        </w:tabs>
        <w:spacing w:line="360" w:lineRule="auto"/>
        <w:rPr>
          <w:rFonts w:ascii="Times New Roman" w:hAnsi="Times New Roman" w:cs="Times New Roman"/>
          <w:sz w:val="28"/>
          <w:szCs w:val="28"/>
        </w:rPr>
      </w:pPr>
      <w:r>
        <w:rPr>
          <w:rFonts w:ascii="Times New Roman" w:hAnsi="Times New Roman" w:cs="Times New Roman"/>
          <w:b/>
          <w:bCs/>
          <w:sz w:val="28"/>
          <w:szCs w:val="28"/>
        </w:rPr>
        <w:t>Module code</w:t>
      </w:r>
      <w:r>
        <w:rPr>
          <w:rFonts w:ascii="Times New Roman" w:hAnsi="Times New Roman" w:cs="Times New Roman"/>
          <w:sz w:val="28"/>
          <w:szCs w:val="28"/>
        </w:rPr>
        <w:t>: LCHS4003</w:t>
      </w:r>
    </w:p>
    <w:p w14:paraId="165ADBDA" w14:textId="5D8ABBD0" w:rsidR="00D80E8F" w:rsidRPr="00D80E8F" w:rsidRDefault="00D80E8F" w:rsidP="00D80E8F">
      <w:pPr>
        <w:rPr>
          <w:rFonts w:ascii="Times New Roman" w:hAnsi="Times New Roman" w:cs="Times New Roman"/>
          <w:sz w:val="24"/>
          <w:szCs w:val="24"/>
        </w:rPr>
        <w:sectPr w:rsidR="00D80E8F" w:rsidRPr="00D80E8F" w:rsidSect="00D80E8F">
          <w:headerReference w:type="default" r:id="rId8"/>
          <w:footerReference w:type="default" r:id="rId9"/>
          <w:pgSz w:w="11906" w:h="16838"/>
          <w:pgMar w:top="1440" w:right="1440" w:bottom="1440" w:left="1440" w:header="708" w:footer="708" w:gutter="0"/>
          <w:cols w:space="708"/>
          <w:docGrid w:linePitch="360"/>
        </w:sectPr>
      </w:pPr>
      <w:r>
        <w:rPr>
          <w:rFonts w:ascii="Times New Roman" w:hAnsi="Times New Roman" w:cs="Times New Roman"/>
          <w:b/>
          <w:bCs/>
          <w:sz w:val="28"/>
          <w:szCs w:val="28"/>
        </w:rPr>
        <w:t>Lecturer name</w:t>
      </w:r>
      <w:bookmarkEnd w:id="0"/>
      <w:r w:rsidRPr="00D80E8F">
        <w:rPr>
          <w:rFonts w:ascii="Times New Roman" w:hAnsi="Times New Roman" w:cs="Times New Roman"/>
          <w:sz w:val="28"/>
          <w:szCs w:val="28"/>
        </w:rPr>
        <w:t xml:space="preserve">: </w:t>
      </w:r>
      <w:r w:rsidRPr="00964A48">
        <w:rPr>
          <w:rFonts w:ascii="Arial" w:hAnsi="Arial" w:cs="Arial"/>
          <w:sz w:val="28"/>
          <w:szCs w:val="28"/>
        </w:rPr>
        <w:t>Mark Kane</w:t>
      </w:r>
    </w:p>
    <w:p w14:paraId="36B106EC" w14:textId="77777777" w:rsidR="00D80E8F" w:rsidRDefault="00D80E8F" w:rsidP="00D80E8F">
      <w:pPr>
        <w:rPr>
          <w:rFonts w:ascii="Times New Roman" w:hAnsi="Times New Roman" w:cs="Times New Roman"/>
          <w:b/>
          <w:bCs/>
          <w:sz w:val="28"/>
          <w:szCs w:val="28"/>
        </w:rPr>
      </w:pPr>
      <w:r>
        <w:rPr>
          <w:rFonts w:ascii="Times New Roman" w:hAnsi="Times New Roman" w:cs="Times New Roman"/>
          <w:b/>
          <w:bCs/>
          <w:sz w:val="28"/>
          <w:szCs w:val="28"/>
        </w:rPr>
        <w:lastRenderedPageBreak/>
        <w:t xml:space="preserve">Content page </w:t>
      </w:r>
    </w:p>
    <w:p w14:paraId="40636593" w14:textId="77777777" w:rsidR="00D80E8F" w:rsidRDefault="00D80E8F" w:rsidP="00D80E8F">
      <w:pPr>
        <w:rPr>
          <w:rFonts w:ascii="Times New Roman" w:hAnsi="Times New Roman" w:cs="Times New Roman"/>
          <w:b/>
          <w:bCs/>
          <w:sz w:val="28"/>
          <w:szCs w:val="28"/>
        </w:rPr>
      </w:pPr>
    </w:p>
    <w:p w14:paraId="403C8A13" w14:textId="77777777" w:rsidR="00D80E8F" w:rsidRDefault="00D80E8F" w:rsidP="00D80E8F">
      <w:pPr>
        <w:rPr>
          <w:rFonts w:ascii="Times New Roman" w:hAnsi="Times New Roman" w:cs="Times New Roman"/>
        </w:rPr>
        <w:sectPr w:rsidR="00D80E8F" w:rsidSect="00D80E8F">
          <w:pgSz w:w="11906" w:h="16838"/>
          <w:pgMar w:top="1440" w:right="1440" w:bottom="1440" w:left="1440" w:header="708" w:footer="708" w:gutter="0"/>
          <w:cols w:space="708"/>
          <w:docGrid w:linePitch="360"/>
        </w:sectPr>
      </w:pPr>
      <w:r>
        <w:rPr>
          <w:rFonts w:ascii="Times New Roman" w:hAnsi="Times New Roman" w:cs="Times New Roman"/>
          <w:b/>
          <w:bCs/>
          <w:sz w:val="28"/>
          <w:szCs w:val="28"/>
        </w:rPr>
        <w:t>Element 1 …………………………………………………………</w:t>
      </w:r>
      <w:proofErr w:type="gramStart"/>
      <w:r>
        <w:rPr>
          <w:rFonts w:ascii="Times New Roman" w:hAnsi="Times New Roman" w:cs="Times New Roman"/>
          <w:b/>
          <w:bCs/>
          <w:sz w:val="28"/>
          <w:szCs w:val="28"/>
        </w:rPr>
        <w:t>…..</w:t>
      </w:r>
      <w:proofErr w:type="gramEnd"/>
      <w:r>
        <w:rPr>
          <w:rFonts w:ascii="Times New Roman" w:hAnsi="Times New Roman" w:cs="Times New Roman"/>
          <w:b/>
          <w:bCs/>
          <w:sz w:val="28"/>
          <w:szCs w:val="28"/>
        </w:rPr>
        <w:t xml:space="preserve"> page</w:t>
      </w:r>
    </w:p>
    <w:p w14:paraId="6D89D44A" w14:textId="77777777" w:rsidR="00D80E8F" w:rsidRDefault="00D80E8F" w:rsidP="00D80E8F">
      <w:pPr>
        <w:rPr>
          <w:rFonts w:ascii="Times New Roman" w:hAnsi="Times New Roman" w:cs="Times New Roman"/>
        </w:rPr>
        <w:sectPr w:rsidR="00D80E8F" w:rsidSect="00D80E8F">
          <w:pgSz w:w="16838" w:h="11906" w:orient="landscape"/>
          <w:pgMar w:top="1440" w:right="1440" w:bottom="1440" w:left="1440" w:header="708" w:footer="708" w:gutter="0"/>
          <w:cols w:space="708"/>
          <w:docGrid w:linePitch="360"/>
        </w:sectPr>
      </w:pPr>
      <w:r>
        <w:rPr>
          <w:rFonts w:ascii="Times New Roman" w:hAnsi="Times New Roman" w:cs="Times New Roman"/>
          <w:noProof/>
          <w:lang w:val="en-US" w:eastAsia="en-US"/>
        </w:rPr>
        <w:lastRenderedPageBreak/>
        <mc:AlternateContent>
          <mc:Choice Requires="wps">
            <w:drawing>
              <wp:anchor distT="45720" distB="45720" distL="114300" distR="114300" simplePos="0" relativeHeight="251665408" behindDoc="0" locked="0" layoutInCell="1" allowOverlap="1" wp14:anchorId="3D99EFB6" wp14:editId="558DE7CA">
                <wp:simplePos x="0" y="0"/>
                <wp:positionH relativeFrom="page">
                  <wp:posOffset>34925</wp:posOffset>
                </wp:positionH>
                <wp:positionV relativeFrom="paragraph">
                  <wp:posOffset>4411980</wp:posOffset>
                </wp:positionV>
                <wp:extent cx="5522595" cy="1284605"/>
                <wp:effectExtent l="19050" t="19050" r="40005" b="2984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2595" cy="1284605"/>
                        </a:xfrm>
                        <a:prstGeom prst="rect">
                          <a:avLst/>
                        </a:prstGeom>
                        <a:solidFill>
                          <a:srgbClr val="FFFFFF"/>
                        </a:solidFill>
                        <a:ln w="47625">
                          <a:solidFill>
                            <a:srgbClr val="000000"/>
                          </a:solidFill>
                          <a:miter lim="800000"/>
                        </a:ln>
                        <a:effectLst>
                          <a:softEdge rad="25400"/>
                        </a:effectLst>
                      </wps:spPr>
                      <wps:txbx>
                        <w:txbxContent>
                          <w:p w14:paraId="5B52F482" w14:textId="77777777" w:rsidR="00D80E8F" w:rsidRDefault="00D80E8F" w:rsidP="00D80E8F">
                            <w:pPr>
                              <w:spacing w:after="0" w:line="240" w:lineRule="auto"/>
                              <w:rPr>
                                <w:rFonts w:ascii="Arial" w:hAnsi="Arial" w:cs="Arial"/>
                                <w:b/>
                                <w:bCs/>
                                <w:color w:val="275317" w:themeColor="accent6" w:themeShade="80"/>
                                <w:sz w:val="16"/>
                                <w:szCs w:val="16"/>
                              </w:rPr>
                            </w:pPr>
                            <w:bookmarkStart w:id="1" w:name="_Hlk214144528"/>
                            <w:bookmarkStart w:id="2" w:name="_Hlk214144527"/>
                            <w:bookmarkStart w:id="3" w:name="_Hlk214144534"/>
                            <w:bookmarkStart w:id="4" w:name="_Hlk214144533"/>
                            <w:bookmarkStart w:id="5" w:name="_Hlk214144535"/>
                            <w:bookmarkStart w:id="6" w:name="_Hlk214144536"/>
                            <w:r>
                              <w:rPr>
                                <w:rFonts w:ascii="Arial" w:hAnsi="Arial" w:cs="Arial"/>
                                <w:b/>
                                <w:bCs/>
                                <w:color w:val="275317" w:themeColor="accent6" w:themeShade="80"/>
                                <w:sz w:val="16"/>
                                <w:szCs w:val="16"/>
                              </w:rPr>
                              <w:t>Current Functioning of the Service</w:t>
                            </w:r>
                          </w:p>
                          <w:p w14:paraId="187AFB3E" w14:textId="77777777" w:rsidR="00D80E8F" w:rsidRDefault="00D80E8F" w:rsidP="00D80E8F">
                            <w:pPr>
                              <w:spacing w:after="0" w:line="240" w:lineRule="auto"/>
                              <w:rPr>
                                <w:rFonts w:ascii="Arial" w:hAnsi="Arial" w:cs="Arial"/>
                                <w:color w:val="275317" w:themeColor="accent6" w:themeShade="80"/>
                                <w:sz w:val="14"/>
                                <w:szCs w:val="14"/>
                              </w:rPr>
                            </w:pPr>
                            <w:r>
                              <w:rPr>
                                <w:rFonts w:ascii="Arial" w:hAnsi="Arial" w:cs="Arial"/>
                                <w:color w:val="275317" w:themeColor="accent6" w:themeShade="80"/>
                                <w:sz w:val="14"/>
                                <w:szCs w:val="14"/>
                              </w:rPr>
                              <w:t>The contemporary function of the community pharmacy is regulated by the national CPCF, which outlines the services for which the pharmacy is contracted and paid by the NHS (Department of Health &amp; Social Care, 2023). The current function is characterised by how it links in with the NHS primary care pathway. The NHS Pharmacy First service embodies this - a patient can walk into any participating pharmacy. Once there, they will be encouraged to have a private consultation for one of the seven defined conditions. Following a clinical assessment by the pharmacist, they can, under a Patient Group Direction (PGD), provide the patient with the relevant prescription-only medicines without charge to the patient, and without them seeing a GP. In doing this, the service is logged easily into the NHS system. Pharmacies also manage a complicated supply chain for medicines, provide structured support for adherence services, such as the NMS, and function as health information hubs. This multi-functional role places them as key and accessible links in the Integrated Care Systems (ICSs), which now govern the NHS in England, working collaboratively with GPs, hospitals and social care to manage population health (NHS Confederation, 2023).</w:t>
                            </w:r>
                          </w:p>
                          <w:bookmarkEnd w:id="1"/>
                          <w:bookmarkEnd w:id="2"/>
                          <w:bookmarkEnd w:id="3"/>
                          <w:bookmarkEnd w:id="4"/>
                          <w:bookmarkEnd w:id="5"/>
                          <w:bookmarkEnd w:id="6"/>
                          <w:p w14:paraId="41052F19" w14:textId="77777777" w:rsidR="00D80E8F" w:rsidRDefault="00D80E8F" w:rsidP="00D80E8F">
                            <w:pPr>
                              <w:spacing w:after="0" w:line="240" w:lineRule="auto"/>
                              <w:rPr>
                                <w:rFonts w:ascii="Arial" w:hAnsi="Arial" w:cs="Arial"/>
                                <w:sz w:val="16"/>
                                <w:szCs w:val="16"/>
                              </w:rPr>
                            </w:pPr>
                          </w:p>
                        </w:txbxContent>
                      </wps:txbx>
                      <wps:bodyPr rot="0" vert="horz" wrap="square" lIns="91440" tIns="45720" rIns="91440" bIns="45720" anchor="t" anchorCtr="0">
                        <a:noAutofit/>
                      </wps:bodyPr>
                    </wps:wsp>
                  </a:graphicData>
                </a:graphic>
              </wp:anchor>
            </w:drawing>
          </mc:Choice>
          <mc:Fallback>
            <w:pict>
              <v:shapetype w14:anchorId="3D99EFB6" id="_x0000_t202" coordsize="21600,21600" o:spt="202" path="m,l,21600r21600,l21600,xe">
                <v:stroke joinstyle="miter"/>
                <v:path gradientshapeok="t" o:connecttype="rect"/>
              </v:shapetype>
              <v:shape id="Text Box 7" o:spid="_x0000_s1026" type="#_x0000_t202" style="position:absolute;margin-left:2.75pt;margin-top:347.4pt;width:434.85pt;height:101.15pt;z-index:251665408;visibility:visible;mso-wrap-style:square;mso-wrap-distance-left:9pt;mso-wrap-distance-top:3.6pt;mso-wrap-distance-right:9pt;mso-wrap-distance-bottom:3.6pt;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" strokeweight="3.75pt">
                <v:textbox>
                  <w:txbxContent>
                    <w:p w14:paraId="5B52F482" w14:textId="77777777" w:rsidR="00D80E8F" w:rsidRDefault="00D80E8F" w:rsidP="00D80E8F">
                      <w:pPr>
                        <w:spacing w:after="0" w:line="240" w:lineRule="auto"/>
                        <w:rPr>
                          <w:rFonts w:ascii="Arial" w:hAnsi="Arial" w:cs="Arial"/>
                          <w:b/>
                          <w:bCs/>
                          <w:color w:val="275317" w:themeColor="accent6" w:themeShade="80"/>
                          <w:sz w:val="16"/>
                          <w:szCs w:val="16"/>
                        </w:rPr>
                      </w:pPr>
                      <w:bookmarkStart w:id="7" w:name="_Hlk214144528"/>
                      <w:bookmarkStart w:id="8" w:name="_Hlk214144527"/>
                      <w:bookmarkStart w:id="9" w:name="_Hlk214144534"/>
                      <w:bookmarkStart w:id="10" w:name="_Hlk214144533"/>
                      <w:bookmarkStart w:id="11" w:name="_Hlk214144535"/>
                      <w:bookmarkStart w:id="12" w:name="_Hlk214144536"/>
                      <w:r>
                        <w:rPr>
                          <w:rFonts w:ascii="Arial" w:hAnsi="Arial" w:cs="Arial"/>
                          <w:b/>
                          <w:bCs/>
                          <w:color w:val="275317" w:themeColor="accent6" w:themeShade="80"/>
                          <w:sz w:val="16"/>
                          <w:szCs w:val="16"/>
                        </w:rPr>
                        <w:t>Current Functioning of the Service</w:t>
                      </w:r>
                    </w:p>
                    <w:p w14:paraId="187AFB3E" w14:textId="77777777" w:rsidR="00D80E8F" w:rsidRDefault="00D80E8F" w:rsidP="00D80E8F">
                      <w:pPr>
                        <w:spacing w:after="0" w:line="240" w:lineRule="auto"/>
                        <w:rPr>
                          <w:rFonts w:ascii="Arial" w:hAnsi="Arial" w:cs="Arial"/>
                          <w:color w:val="275317" w:themeColor="accent6" w:themeShade="80"/>
                          <w:sz w:val="14"/>
                          <w:szCs w:val="14"/>
                        </w:rPr>
                      </w:pPr>
                      <w:r>
                        <w:rPr>
                          <w:rFonts w:ascii="Arial" w:hAnsi="Arial" w:cs="Arial"/>
                          <w:color w:val="275317" w:themeColor="accent6" w:themeShade="80"/>
                          <w:sz w:val="14"/>
                          <w:szCs w:val="14"/>
                        </w:rPr>
                        <w:t>The contemporary function of the community pharmacy is regulated by the national CPCF, which outlines the services for which the pharmacy is contracted and paid by the NHS (Department of Health &amp; Social Care, 2023). The current function is characterised by how it links in with the NHS primary care pathway. The NHS Pharmacy First service embodies this - a patient can walk into any participating pharmacy. Once there, they will be encouraged to have a private consultation for one of the seven defined conditions. Following a clinical assessment by the pharmacist, they can, under a Patient Group Direction (PGD), provide the patient with the relevant prescription-only medicines without charge to the patient, and without them seeing a GP. In doing this, the service is logged easily into the NHS system. Pharmacies also manage a complicated supply chain for medicines, provide structured support for adherence services, such as the NMS, and function as health information hubs. This multi-functional role places them as key and accessible links in the Integrated Care Systems (ICSs), which now govern the NHS in England, working collaboratively with GPs, hospitals and social care to manage population health (NHS Confederation, 2023).</w:t>
                      </w:r>
                    </w:p>
                    <w:bookmarkEnd w:id="7"/>
                    <w:bookmarkEnd w:id="8"/>
                    <w:bookmarkEnd w:id="9"/>
                    <w:bookmarkEnd w:id="10"/>
                    <w:bookmarkEnd w:id="11"/>
                    <w:bookmarkEnd w:id="12"/>
                    <w:p w14:paraId="41052F19" w14:textId="77777777" w:rsidR="00D80E8F" w:rsidRDefault="00D80E8F" w:rsidP="00D80E8F">
                      <w:pPr>
                        <w:spacing w:after="0" w:line="240" w:lineRule="auto"/>
                        <w:rPr>
                          <w:rFonts w:ascii="Arial" w:hAnsi="Arial" w:cs="Arial"/>
                          <w:sz w:val="16"/>
                          <w:szCs w:val="16"/>
                        </w:rPr>
                      </w:pPr>
                    </w:p>
                  </w:txbxContent>
                </v:textbox>
                <w10:wrap type="square" anchorx="page"/>
              </v:shape>
            </w:pict>
          </mc:Fallback>
        </mc:AlternateContent>
      </w:r>
      <w:r>
        <w:rPr>
          <w:rFonts w:ascii="Times New Roman" w:hAnsi="Times New Roman" w:cs="Times New Roman"/>
          <w:noProof/>
          <w:lang w:val="en-US" w:eastAsia="en-US"/>
        </w:rPr>
        <mc:AlternateContent>
          <mc:Choice Requires="wps">
            <w:drawing>
              <wp:anchor distT="45720" distB="45720" distL="114300" distR="114300" simplePos="0" relativeHeight="251666432" behindDoc="0" locked="0" layoutInCell="1" allowOverlap="1" wp14:anchorId="400225F2" wp14:editId="2D768E88">
                <wp:simplePos x="0" y="0"/>
                <wp:positionH relativeFrom="page">
                  <wp:posOffset>5592445</wp:posOffset>
                </wp:positionH>
                <wp:positionV relativeFrom="paragraph">
                  <wp:posOffset>1296035</wp:posOffset>
                </wp:positionV>
                <wp:extent cx="2239010" cy="2066925"/>
                <wp:effectExtent l="19050" t="19050" r="46990" b="4762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9010" cy="2066925"/>
                        </a:xfrm>
                        <a:prstGeom prst="rect">
                          <a:avLst/>
                        </a:prstGeom>
                        <a:solidFill>
                          <a:srgbClr val="FFFFFF"/>
                        </a:solidFill>
                        <a:ln w="47625">
                          <a:solidFill>
                            <a:srgbClr val="000000"/>
                          </a:solidFill>
                          <a:miter lim="800000"/>
                        </a:ln>
                        <a:effectLst>
                          <a:softEdge rad="25400"/>
                        </a:effectLst>
                      </wps:spPr>
                      <wps:txbx>
                        <w:txbxContent>
                          <w:p w14:paraId="57D176D0" w14:textId="77777777" w:rsidR="00D80E8F" w:rsidRDefault="00D80E8F" w:rsidP="00D80E8F">
                            <w:pPr>
                              <w:spacing w:after="0" w:line="240" w:lineRule="auto"/>
                              <w:rPr>
                                <w:rFonts w:ascii="Arial" w:hAnsi="Arial" w:cs="Arial"/>
                                <w:b/>
                                <w:bCs/>
                                <w:color w:val="275317" w:themeColor="accent6" w:themeShade="80"/>
                                <w:sz w:val="14"/>
                                <w:szCs w:val="14"/>
                              </w:rPr>
                            </w:pPr>
                            <w:bookmarkStart w:id="13" w:name="_Hlk214144666"/>
                            <w:bookmarkStart w:id="14" w:name="_Hlk214144665"/>
                            <w:r>
                              <w:rPr>
                                <w:rFonts w:ascii="Arial" w:hAnsi="Arial" w:cs="Arial"/>
                                <w:b/>
                                <w:bCs/>
                                <w:color w:val="275317" w:themeColor="accent6" w:themeShade="80"/>
                                <w:sz w:val="14"/>
                                <w:szCs w:val="14"/>
                              </w:rPr>
                              <w:t>Challenge 1: Workload &amp; Funding Pressures</w:t>
                            </w:r>
                          </w:p>
                          <w:p w14:paraId="19C7E25B" w14:textId="77777777" w:rsidR="00D80E8F" w:rsidRDefault="00D80E8F" w:rsidP="00D80E8F">
                            <w:pPr>
                              <w:spacing w:after="0" w:line="240" w:lineRule="auto"/>
                              <w:rPr>
                                <w:rFonts w:ascii="Arial" w:hAnsi="Arial" w:cs="Arial"/>
                                <w:color w:val="275317" w:themeColor="accent6" w:themeShade="80"/>
                                <w:sz w:val="14"/>
                                <w:szCs w:val="14"/>
                              </w:rPr>
                            </w:pPr>
                            <w:r>
                              <w:rPr>
                                <w:rFonts w:ascii="Arial" w:hAnsi="Arial" w:cs="Arial"/>
                                <w:color w:val="275317" w:themeColor="accent6" w:themeShade="80"/>
                                <w:sz w:val="14"/>
                                <w:szCs w:val="14"/>
                              </w:rPr>
                              <w:t>The pharmacy sector is grappling with a significant sustainability crisis. The real-term funding received for its core activities, even though it is increasing its clinical workload, is not aligned with the rising costs of operations (Community Pharmacy England 2024). Funding pressures directly affect staffing; 89% of pharmacies report some level of severe difficulties in recruitment, causing unsustainable workload, burnout, and retention issues (Community Pharmacy England, 2024). Funding pressures reveal a culpable paradox: while the NHS turns to pharmacies to address access issues in primary care, the way it funds the sector risks destabilising the model it depends on. The Health and Social Care Committee (2024) expressly contended that without a route towards sustained funding, the delivery capacity of the network goes into crisis mode.</w:t>
                            </w:r>
                          </w:p>
                          <w:p w14:paraId="244379E7" w14:textId="77777777" w:rsidR="00D80E8F" w:rsidRDefault="00D80E8F" w:rsidP="00D80E8F">
                            <w:pPr>
                              <w:spacing w:after="0" w:line="240" w:lineRule="auto"/>
                              <w:rPr>
                                <w:rFonts w:ascii="Arial" w:hAnsi="Arial" w:cs="Arial"/>
                                <w:b/>
                                <w:bCs/>
                                <w:color w:val="275317" w:themeColor="accent6" w:themeShade="80"/>
                                <w:sz w:val="14"/>
                                <w:szCs w:val="14"/>
                              </w:rPr>
                            </w:pPr>
                          </w:p>
                          <w:bookmarkEnd w:id="13"/>
                          <w:bookmarkEnd w:id="14"/>
                          <w:p w14:paraId="4BA85946" w14:textId="77777777" w:rsidR="00D80E8F" w:rsidRDefault="00D80E8F" w:rsidP="00D80E8F">
                            <w:pPr>
                              <w:spacing w:after="0" w:line="240" w:lineRule="auto"/>
                              <w:rPr>
                                <w:rFonts w:ascii="Arial" w:hAnsi="Arial" w:cs="Arial"/>
                                <w:sz w:val="14"/>
                                <w:szCs w:val="14"/>
                              </w:rPr>
                            </w:pPr>
                          </w:p>
                        </w:txbxContent>
                      </wps:txbx>
                      <wps:bodyPr rot="0" vert="horz" wrap="square" lIns="91440" tIns="45720" rIns="91440" bIns="45720" anchor="t" anchorCtr="0">
                        <a:noAutofit/>
                      </wps:bodyPr>
                    </wps:wsp>
                  </a:graphicData>
                </a:graphic>
              </wp:anchor>
            </w:drawing>
          </mc:Choice>
          <mc:Fallback>
            <w:pict>
              <v:shape w14:anchorId="400225F2" id="Text Box 8" o:spid="_x0000_s1027" type="#_x0000_t202" style="position:absolute;margin-left:440.35pt;margin-top:102.05pt;width:176.3pt;height:162.75pt;z-index:251666432;visibility:visible;mso-wrap-style:square;mso-wrap-distance-left:9pt;mso-wrap-distance-top:3.6pt;mso-wrap-distance-right:9pt;mso-wrap-distance-bottom:3.6pt;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" strokeweight="3.75pt">
                <v:textbox>
                  <w:txbxContent>
                    <w:p w14:paraId="57D176D0" w14:textId="77777777" w:rsidR="00D80E8F" w:rsidRDefault="00D80E8F" w:rsidP="00D80E8F">
                      <w:pPr>
                        <w:spacing w:after="0" w:line="240" w:lineRule="auto"/>
                        <w:rPr>
                          <w:rFonts w:ascii="Arial" w:hAnsi="Arial" w:cs="Arial"/>
                          <w:b/>
                          <w:bCs/>
                          <w:color w:val="275317" w:themeColor="accent6" w:themeShade="80"/>
                          <w:sz w:val="14"/>
                          <w:szCs w:val="14"/>
                        </w:rPr>
                      </w:pPr>
                      <w:bookmarkStart w:id="15" w:name="_Hlk214144666"/>
                      <w:bookmarkStart w:id="16" w:name="_Hlk214144665"/>
                      <w:r>
                        <w:rPr>
                          <w:rFonts w:ascii="Arial" w:hAnsi="Arial" w:cs="Arial"/>
                          <w:b/>
                          <w:bCs/>
                          <w:color w:val="275317" w:themeColor="accent6" w:themeShade="80"/>
                          <w:sz w:val="14"/>
                          <w:szCs w:val="14"/>
                        </w:rPr>
                        <w:t>Challenge 1: Workload &amp; Funding Pressures</w:t>
                      </w:r>
                    </w:p>
                    <w:p w14:paraId="19C7E25B" w14:textId="77777777" w:rsidR="00D80E8F" w:rsidRDefault="00D80E8F" w:rsidP="00D80E8F">
                      <w:pPr>
                        <w:spacing w:after="0" w:line="240" w:lineRule="auto"/>
                        <w:rPr>
                          <w:rFonts w:ascii="Arial" w:hAnsi="Arial" w:cs="Arial"/>
                          <w:color w:val="275317" w:themeColor="accent6" w:themeShade="80"/>
                          <w:sz w:val="14"/>
                          <w:szCs w:val="14"/>
                        </w:rPr>
                      </w:pPr>
                      <w:r>
                        <w:rPr>
                          <w:rFonts w:ascii="Arial" w:hAnsi="Arial" w:cs="Arial"/>
                          <w:color w:val="275317" w:themeColor="accent6" w:themeShade="80"/>
                          <w:sz w:val="14"/>
                          <w:szCs w:val="14"/>
                        </w:rPr>
                        <w:t>The pharmacy sector is grappling with a significant sustainability crisis. The real-term funding received for its core activities, even though it is increasing its clinical workload, is not aligned with the rising costs of operations (Community Pharmacy England 2024). Funding pressures directly affect staffing; 89% of pharmacies report some level of severe difficulties in recruitment, causing unsustainable workload, burnout, and retention issues (Community Pharmacy England, 2024). Funding pressures reveal a culpable paradox: while the NHS turns to pharmacies to address access issues in primary care, the way it funds the sector risks destabilising the model it depends on. The Health and Social Care Committee (2024) expressly contended that without a route towards sustained funding, the delivery capacity of the network goes into crisis mode.</w:t>
                      </w:r>
                    </w:p>
                    <w:p w14:paraId="244379E7" w14:textId="77777777" w:rsidR="00D80E8F" w:rsidRDefault="00D80E8F" w:rsidP="00D80E8F">
                      <w:pPr>
                        <w:spacing w:after="0" w:line="240" w:lineRule="auto"/>
                        <w:rPr>
                          <w:rFonts w:ascii="Arial" w:hAnsi="Arial" w:cs="Arial"/>
                          <w:b/>
                          <w:bCs/>
                          <w:color w:val="275317" w:themeColor="accent6" w:themeShade="80"/>
                          <w:sz w:val="14"/>
                          <w:szCs w:val="14"/>
                        </w:rPr>
                      </w:pPr>
                    </w:p>
                    <w:bookmarkEnd w:id="15"/>
                    <w:bookmarkEnd w:id="16"/>
                    <w:p w14:paraId="4BA85946" w14:textId="77777777" w:rsidR="00D80E8F" w:rsidRDefault="00D80E8F" w:rsidP="00D80E8F">
                      <w:pPr>
                        <w:spacing w:after="0" w:line="240" w:lineRule="auto"/>
                        <w:rPr>
                          <w:rFonts w:ascii="Arial" w:hAnsi="Arial" w:cs="Arial"/>
                          <w:sz w:val="14"/>
                          <w:szCs w:val="14"/>
                        </w:rPr>
                      </w:pPr>
                    </w:p>
                  </w:txbxContent>
                </v:textbox>
                <w10:wrap type="square" anchorx="page"/>
              </v:shape>
            </w:pict>
          </mc:Fallback>
        </mc:AlternateContent>
      </w:r>
      <w:r>
        <w:rPr>
          <w:rFonts w:ascii="Times New Roman" w:hAnsi="Times New Roman" w:cs="Times New Roman"/>
          <w:noProof/>
          <w:lang w:val="en-US" w:eastAsia="en-US"/>
        </w:rPr>
        <mc:AlternateContent>
          <mc:Choice Requires="wps">
            <w:drawing>
              <wp:anchor distT="45720" distB="45720" distL="114300" distR="114300" simplePos="0" relativeHeight="251663360" behindDoc="0" locked="0" layoutInCell="1" allowOverlap="1" wp14:anchorId="3846B42D" wp14:editId="0B7AE1BE">
                <wp:simplePos x="0" y="0"/>
                <wp:positionH relativeFrom="margin">
                  <wp:posOffset>4681220</wp:posOffset>
                </wp:positionH>
                <wp:positionV relativeFrom="paragraph">
                  <wp:posOffset>3377565</wp:posOffset>
                </wp:positionV>
                <wp:extent cx="2223135" cy="2302510"/>
                <wp:effectExtent l="19050" t="19050" r="24765" b="2159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3135" cy="2302510"/>
                        </a:xfrm>
                        <a:prstGeom prst="rect">
                          <a:avLst/>
                        </a:prstGeom>
                        <a:solidFill>
                          <a:srgbClr val="FFFFFF"/>
                        </a:solidFill>
                        <a:ln w="44450">
                          <a:solidFill>
                            <a:srgbClr val="000000"/>
                          </a:solidFill>
                          <a:miter lim="800000"/>
                        </a:ln>
                        <a:effectLst>
                          <a:softEdge rad="25400"/>
                        </a:effectLst>
                      </wps:spPr>
                      <wps:txbx>
                        <w:txbxContent>
                          <w:p w14:paraId="04979FA0" w14:textId="77777777" w:rsidR="00D80E8F" w:rsidRDefault="00D80E8F" w:rsidP="00D80E8F">
                            <w:pPr>
                              <w:spacing w:after="0" w:line="240" w:lineRule="auto"/>
                              <w:rPr>
                                <w:rFonts w:ascii="Arial" w:hAnsi="Arial" w:cs="Arial"/>
                                <w:b/>
                                <w:bCs/>
                                <w:color w:val="275317" w:themeColor="accent6" w:themeShade="80"/>
                                <w:sz w:val="14"/>
                                <w:szCs w:val="14"/>
                              </w:rPr>
                            </w:pPr>
                            <w:bookmarkStart w:id="17" w:name="_Hlk214144961"/>
                            <w:bookmarkStart w:id="18" w:name="_Hlk214144963"/>
                            <w:bookmarkStart w:id="19" w:name="_Hlk214144960"/>
                            <w:bookmarkStart w:id="20" w:name="_Hlk214144962"/>
                            <w:r>
                              <w:rPr>
                                <w:rFonts w:ascii="Arial" w:hAnsi="Arial" w:cs="Arial"/>
                                <w:b/>
                                <w:bCs/>
                                <w:color w:val="275317" w:themeColor="accent6" w:themeShade="80"/>
                                <w:sz w:val="14"/>
                                <w:szCs w:val="14"/>
                              </w:rPr>
                              <w:t>Challenge 2: Systemic Integration &amp; Recognition</w:t>
                            </w:r>
                          </w:p>
                          <w:p w14:paraId="47D376AB" w14:textId="77777777" w:rsidR="00D80E8F" w:rsidRDefault="00D80E8F" w:rsidP="00D80E8F">
                            <w:pPr>
                              <w:spacing w:after="0" w:line="240" w:lineRule="auto"/>
                              <w:rPr>
                                <w:rFonts w:ascii="Arial" w:hAnsi="Arial" w:cs="Arial"/>
                                <w:sz w:val="14"/>
                                <w:szCs w:val="14"/>
                              </w:rPr>
                            </w:pPr>
                            <w:r>
                              <w:rPr>
                                <w:rFonts w:ascii="Arial" w:hAnsi="Arial" w:cs="Arial"/>
                                <w:sz w:val="14"/>
                                <w:szCs w:val="14"/>
                              </w:rPr>
                              <w:t>While the policy documentation describes an ambitious, fully integrated future, there are some considerable system barriers (Baird et al., 2023). One of the barriers is the lack of interoperable IT systems, which means that pharmacists cannot often see the patient's full GP records, and GPs may not update their records after a pharmacy consultation, which may increase the risk to patient safety and coordinated care. In addition, public awareness has not caught up with the evolution of clinical care, and many patients do not know that they can receive treatment for their infections through their pharmacist. Finally, many of the system pressures of the NHS lead to an overwhelming demand from patients waiting to be seen by their GP or waiting for a hospital bed to become vacant (Nuffield Trust, 2024). The barriers of technology, awareness, and system pressure need to be resolved.</w:t>
                            </w:r>
                            <w:bookmarkEnd w:id="17"/>
                            <w:bookmarkEnd w:id="18"/>
                            <w:bookmarkEnd w:id="19"/>
                            <w:bookmarkEnd w:id="20"/>
                          </w:p>
                        </w:txbxContent>
                      </wps:txbx>
                      <wps:bodyPr rot="0" vert="horz" wrap="square" lIns="91440" tIns="45720" rIns="91440" bIns="45720" anchor="t" anchorCtr="0">
                        <a:noAutofit/>
                      </wps:bodyPr>
                    </wps:wsp>
                  </a:graphicData>
                </a:graphic>
              </wp:anchor>
            </w:drawing>
          </mc:Choice>
          <mc:Fallback>
            <w:pict>
              <v:shape w14:anchorId="3846B42D" id="Text Box 2" o:spid="_x0000_s1028" type="#_x0000_t202" style="position:absolute;margin-left:368.6pt;margin-top:265.95pt;width:175.05pt;height:181.3pt;z-index:251663360;visibility:visible;mso-wrap-style:square;mso-wrap-distance-left:9pt;mso-wrap-distance-top:3.6pt;mso-wrap-distance-right:9pt;mso-wrap-distance-bottom:3.6pt;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" strokeweight="3.5pt">
                <v:textbox>
                  <w:txbxContent>
                    <w:p w14:paraId="04979FA0" w14:textId="77777777" w:rsidR="00D80E8F" w:rsidRDefault="00D80E8F" w:rsidP="00D80E8F">
                      <w:pPr>
                        <w:spacing w:after="0" w:line="240" w:lineRule="auto"/>
                        <w:rPr>
                          <w:rFonts w:ascii="Arial" w:hAnsi="Arial" w:cs="Arial"/>
                          <w:b/>
                          <w:bCs/>
                          <w:color w:val="275317" w:themeColor="accent6" w:themeShade="80"/>
                          <w:sz w:val="14"/>
                          <w:szCs w:val="14"/>
                        </w:rPr>
                      </w:pPr>
                      <w:bookmarkStart w:id="21" w:name="_Hlk214144961"/>
                      <w:bookmarkStart w:id="22" w:name="_Hlk214144963"/>
                      <w:bookmarkStart w:id="23" w:name="_Hlk214144960"/>
                      <w:bookmarkStart w:id="24" w:name="_Hlk214144962"/>
                      <w:r>
                        <w:rPr>
                          <w:rFonts w:ascii="Arial" w:hAnsi="Arial" w:cs="Arial"/>
                          <w:b/>
                          <w:bCs/>
                          <w:color w:val="275317" w:themeColor="accent6" w:themeShade="80"/>
                          <w:sz w:val="14"/>
                          <w:szCs w:val="14"/>
                        </w:rPr>
                        <w:t>Challenge 2: Systemic Integration &amp; Recognition</w:t>
                      </w:r>
                    </w:p>
                    <w:p w14:paraId="47D376AB" w14:textId="77777777" w:rsidR="00D80E8F" w:rsidRDefault="00D80E8F" w:rsidP="00D80E8F">
                      <w:pPr>
                        <w:spacing w:after="0" w:line="240" w:lineRule="auto"/>
                        <w:rPr>
                          <w:rFonts w:ascii="Arial" w:hAnsi="Arial" w:cs="Arial"/>
                          <w:sz w:val="14"/>
                          <w:szCs w:val="14"/>
                        </w:rPr>
                      </w:pPr>
                      <w:r>
                        <w:rPr>
                          <w:rFonts w:ascii="Arial" w:hAnsi="Arial" w:cs="Arial"/>
                          <w:sz w:val="14"/>
                          <w:szCs w:val="14"/>
                        </w:rPr>
                        <w:t>While the policy documentation describes an ambitious, fully integrated future, there are some considerable system barriers (Baird et al., 2023). One of the barriers is the lack of interoperable IT systems, which means that pharmacists cannot often see the patient's full GP records, and GPs may not update their records after a pharmacy consultation, which may increase the risk to patient safety and coordinated care. In addition, public awareness has not caught up with the evolution of clinical care, and many patients do not know that they can receive treatment for their infections through their pharmacist. Finally, many of the system pressures of the NHS lead to an overwhelming demand from patients waiting to be seen by their GP or waiting for a hospital bed to become vacant (Nuffield Trust, 2024). The barriers of technology, awareness, and system pressure need to be resolved.</w:t>
                      </w:r>
                      <w:bookmarkEnd w:id="21"/>
                      <w:bookmarkEnd w:id="22"/>
                      <w:bookmarkEnd w:id="23"/>
                      <w:bookmarkEnd w:id="24"/>
                    </w:p>
                  </w:txbxContent>
                </v:textbox>
                <w10:wrap type="square" anchorx="margin"/>
              </v:shape>
            </w:pict>
          </mc:Fallback>
        </mc:AlternateContent>
      </w:r>
      <w:r>
        <w:rPr>
          <w:rFonts w:ascii="Times New Roman" w:hAnsi="Times New Roman" w:cs="Times New Roman"/>
          <w:noProof/>
          <w:lang w:val="en-US" w:eastAsia="en-US"/>
        </w:rPr>
        <mc:AlternateContent>
          <mc:Choice Requires="wps">
            <w:drawing>
              <wp:anchor distT="45720" distB="45720" distL="114300" distR="114300" simplePos="0" relativeHeight="251660288" behindDoc="0" locked="0" layoutInCell="1" allowOverlap="1" wp14:anchorId="0432DCC4" wp14:editId="2E4BFB29">
                <wp:simplePos x="0" y="0"/>
                <wp:positionH relativeFrom="margin">
                  <wp:posOffset>750570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ln>
                        <a:effectLst>
                          <a:softEdge rad="50800"/>
                        </a:effectLst>
                      </wps:spPr>
                      <wps:txbx>
                        <w:txbxContent>
                          <w:p w14:paraId="3E2728EF" w14:textId="77777777" w:rsidR="00D80E8F" w:rsidRDefault="00D80E8F" w:rsidP="00D80E8F">
                            <w:pPr>
                              <w:shd w:val="clear" w:color="auto" w:fill="F1A983" w:themeFill="accent2" w:themeFillTint="99"/>
                              <w:jc w:val="center"/>
                              <w:rPr>
                                <w:b/>
                                <w:bCs/>
                                <w:i/>
                                <w:iCs/>
                                <w:color w:val="00B0F0"/>
                                <w:sz w:val="48"/>
                                <w:szCs w:val="48"/>
                              </w:rPr>
                            </w:pPr>
                            <w:r>
                              <w:rPr>
                                <w:b/>
                                <w:bCs/>
                                <w:i/>
                                <w:iCs/>
                                <w:color w:val="00B0F0"/>
                                <w:sz w:val="48"/>
                                <w:szCs w:val="48"/>
                              </w:rPr>
                              <w:t>Pharmacy Services in the UK: Evolution, Function, and Challenges</w:t>
                            </w:r>
                          </w:p>
                          <w:p w14:paraId="7F5A1F07" w14:textId="057241DB" w:rsidR="00D80E8F" w:rsidRDefault="00D80E8F" w:rsidP="00D80E8F">
                            <w:pPr>
                              <w:shd w:val="clear" w:color="auto" w:fill="F1A983" w:themeFill="accent2" w:themeFillTint="99"/>
                              <w:jc w:val="center"/>
                              <w:rPr>
                                <w:sz w:val="20"/>
                                <w:szCs w:val="20"/>
                              </w:rPr>
                            </w:pPr>
                            <w:r>
                              <w:rPr>
                                <w:sz w:val="20"/>
                                <w:szCs w:val="20"/>
                              </w:rPr>
                              <w:t>Student Name,</w:t>
                            </w:r>
                            <w:r w:rsidR="007D49E1">
                              <w:rPr>
                                <w:sz w:val="20"/>
                                <w:szCs w:val="20"/>
                              </w:rPr>
                              <w:t xml:space="preserve"> </w:t>
                            </w:r>
                            <w:r w:rsidR="00CE00C7">
                              <w:rPr>
                                <w:sz w:val="20"/>
                                <w:szCs w:val="20"/>
                              </w:rPr>
                              <w:t>Francis Egb</w:t>
                            </w:r>
                            <w:r w:rsidR="00D73DE3">
                              <w:rPr>
                                <w:sz w:val="20"/>
                                <w:szCs w:val="20"/>
                              </w:rPr>
                              <w:t>eonu</w:t>
                            </w:r>
                            <w:r>
                              <w:rPr>
                                <w:sz w:val="20"/>
                                <w:szCs w:val="20"/>
                              </w:rPr>
                              <w:t xml:space="preserve"> Course</w:t>
                            </w:r>
                            <w:r w:rsidR="00D73DE3">
                              <w:rPr>
                                <w:sz w:val="20"/>
                                <w:szCs w:val="20"/>
                              </w:rPr>
                              <w:t xml:space="preserve"> HSC </w:t>
                            </w:r>
                            <w:r w:rsidR="005A2BA9">
                              <w:rPr>
                                <w:sz w:val="20"/>
                                <w:szCs w:val="20"/>
                              </w:rPr>
                              <w:t>HE Cert.</w:t>
                            </w:r>
                            <w:r>
                              <w:rPr>
                                <w:sz w:val="20"/>
                                <w:szCs w:val="20"/>
                              </w:rPr>
                              <w:t xml:space="preserve"> Email Details</w:t>
                            </w:r>
                            <w:r w:rsidR="003C4941">
                              <w:rPr>
                                <w:sz w:val="20"/>
                                <w:szCs w:val="20"/>
                              </w:rPr>
                              <w:t xml:space="preserve"> 2438118@student</w:t>
                            </w:r>
                            <w:r w:rsidR="00BC1C77">
                              <w:rPr>
                                <w:sz w:val="20"/>
                                <w:szCs w:val="20"/>
                              </w:rPr>
                              <w:t>.uwtsd.ac.uk</w:t>
                            </w:r>
                          </w:p>
                          <w:p w14:paraId="3F655750" w14:textId="77777777" w:rsidR="00D80E8F" w:rsidRDefault="00D80E8F" w:rsidP="00D80E8F">
                            <w:pPr>
                              <w:shd w:val="clear" w:color="auto" w:fill="F1A983" w:themeFill="accent2" w:themeFillTint="99"/>
                              <w:rPr>
                                <w:color w:val="00B0F0"/>
                                <w:sz w:val="70"/>
                                <w:szCs w:val="70"/>
                              </w:rPr>
                            </w:pPr>
                          </w:p>
                        </w:txbxContent>
                      </wps:txbx>
                      <wps:bodyPr rot="0" vert="horz" wrap="square" lIns="91440" tIns="45720" rIns="91440" bIns="45720" anchor="t" anchorCtr="0">
                        <a:noAutofit/>
                      </wps:bodyPr>
                    </wps:wsp>
                  </a:graphicData>
                </a:graphic>
              </wp:anchor>
            </w:drawing>
          </mc:Choice>
          <mc:Fallback>
            <w:pict>
              <v:shape w14:anchorId="0432DCC4" id="_x0000_s1029" type="#_x0000_t202" style="position:absolute;margin-left:59.1pt;margin-top:0;width:514.7pt;height:90.8pt;z-index:251660288;visibility:visible;mso-wrap-style:square;mso-wrap-distance-left:9pt;mso-wrap-distance-top:3.6pt;mso-wrap-distance-right:9pt;mso-wrap-distance-bottom:3.6pt;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">
                <v:textbox>
                  <w:txbxContent>
                    <w:p w14:paraId="3E2728EF" w14:textId="77777777" w:rsidR="00D80E8F" w:rsidRDefault="00D80E8F" w:rsidP="00D80E8F">
                      <w:pPr>
                        <w:shd w:val="clear" w:color="auto" w:fill="F1A983" w:themeFill="accent2" w:themeFillTint="99"/>
                        <w:jc w:val="center"/>
                        <w:rPr>
                          <w:b/>
                          <w:bCs/>
                          <w:i/>
                          <w:iCs/>
                          <w:color w:val="00B0F0"/>
                          <w:sz w:val="48"/>
                          <w:szCs w:val="48"/>
                        </w:rPr>
                      </w:pPr>
                      <w:r>
                        <w:rPr>
                          <w:b/>
                          <w:bCs/>
                          <w:i/>
                          <w:iCs/>
                          <w:color w:val="00B0F0"/>
                          <w:sz w:val="48"/>
                          <w:szCs w:val="48"/>
                        </w:rPr>
                        <w:t>Pharmacy Services in the UK: Evolution, Function, and Challenges</w:t>
                      </w:r>
                    </w:p>
                    <w:p w14:paraId="7F5A1F07" w14:textId="057241DB" w:rsidR="00D80E8F" w:rsidRDefault="00D80E8F" w:rsidP="00D80E8F">
                      <w:pPr>
                        <w:shd w:val="clear" w:color="auto" w:fill="F1A983" w:themeFill="accent2" w:themeFillTint="99"/>
                        <w:jc w:val="center"/>
                        <w:rPr>
                          <w:sz w:val="20"/>
                          <w:szCs w:val="20"/>
                        </w:rPr>
                      </w:pPr>
                      <w:r>
                        <w:rPr>
                          <w:sz w:val="20"/>
                          <w:szCs w:val="20"/>
                        </w:rPr>
                        <w:t>Student Name,</w:t>
                      </w:r>
                      <w:r w:rsidR="007D49E1">
                        <w:rPr>
                          <w:sz w:val="20"/>
                          <w:szCs w:val="20"/>
                        </w:rPr>
                        <w:t xml:space="preserve"> </w:t>
                      </w:r>
                      <w:r w:rsidR="00CE00C7">
                        <w:rPr>
                          <w:sz w:val="20"/>
                          <w:szCs w:val="20"/>
                        </w:rPr>
                        <w:t>Francis Egb</w:t>
                      </w:r>
                      <w:r w:rsidR="00D73DE3">
                        <w:rPr>
                          <w:sz w:val="20"/>
                          <w:szCs w:val="20"/>
                        </w:rPr>
                        <w:t>eonu</w:t>
                      </w:r>
                      <w:r>
                        <w:rPr>
                          <w:sz w:val="20"/>
                          <w:szCs w:val="20"/>
                        </w:rPr>
                        <w:t xml:space="preserve"> Course</w:t>
                      </w:r>
                      <w:r w:rsidR="00D73DE3">
                        <w:rPr>
                          <w:sz w:val="20"/>
                          <w:szCs w:val="20"/>
                        </w:rPr>
                        <w:t xml:space="preserve"> HSC </w:t>
                      </w:r>
                      <w:r w:rsidR="005A2BA9">
                        <w:rPr>
                          <w:sz w:val="20"/>
                          <w:szCs w:val="20"/>
                        </w:rPr>
                        <w:t>HE Cert.</w:t>
                      </w:r>
                      <w:r>
                        <w:rPr>
                          <w:sz w:val="20"/>
                          <w:szCs w:val="20"/>
                        </w:rPr>
                        <w:t xml:space="preserve"> Email Details</w:t>
                      </w:r>
                      <w:r w:rsidR="003C4941">
                        <w:rPr>
                          <w:sz w:val="20"/>
                          <w:szCs w:val="20"/>
                        </w:rPr>
                        <w:t xml:space="preserve"> 2438118@student</w:t>
                      </w:r>
                      <w:r w:rsidR="00BC1C77">
                        <w:rPr>
                          <w:sz w:val="20"/>
                          <w:szCs w:val="20"/>
                        </w:rPr>
                        <w:t>.uwtsd.ac.uk</w:t>
                      </w:r>
                    </w:p>
                    <w:p w14:paraId="3F655750" w14:textId="77777777" w:rsidR="00D80E8F" w:rsidRDefault="00D80E8F" w:rsidP="00D80E8F">
                      <w:pPr>
                        <w:shd w:val="clear" w:color="auto" w:fill="F1A983" w:themeFill="accent2" w:themeFillTint="99"/>
                        <w:rPr>
                          <w:color w:val="00B0F0"/>
                          <w:sz w:val="70"/>
                          <w:szCs w:val="70"/>
                        </w:rPr>
                      </w:pPr>
                    </w:p>
                  </w:txbxContent>
                </v:textbox>
                <w10:wrap type="square" anchorx="margin"/>
              </v:shape>
            </w:pict>
          </mc:Fallback>
        </mc:AlternateContent>
      </w:r>
      <w:r>
        <w:rPr>
          <w:rFonts w:ascii="Times New Roman" w:hAnsi="Times New Roman" w:cs="Times New Roman"/>
          <w:noProof/>
          <w:lang w:val="en-US" w:eastAsia="en-US"/>
        </w:rPr>
        <mc:AlternateContent>
          <mc:Choice Requires="wps">
            <w:drawing>
              <wp:anchor distT="45720" distB="45720" distL="114300" distR="114300" simplePos="0" relativeHeight="251661312" behindDoc="0" locked="0" layoutInCell="1" allowOverlap="1" wp14:anchorId="33EF10F6" wp14:editId="756A88A0">
                <wp:simplePos x="0" y="0"/>
                <wp:positionH relativeFrom="page">
                  <wp:posOffset>46355</wp:posOffset>
                </wp:positionH>
                <wp:positionV relativeFrom="paragraph">
                  <wp:posOffset>1572895</wp:posOffset>
                </wp:positionV>
                <wp:extent cx="2879090" cy="2791460"/>
                <wp:effectExtent l="19050" t="19050" r="35560" b="4699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9090" cy="2791460"/>
                        </a:xfrm>
                        <a:prstGeom prst="rect">
                          <a:avLst/>
                        </a:prstGeom>
                        <a:solidFill>
                          <a:srgbClr val="FFFFFF"/>
                        </a:solidFill>
                        <a:ln w="47625">
                          <a:solidFill>
                            <a:schemeClr val="accent2"/>
                          </a:solidFill>
                          <a:miter lim="800000"/>
                        </a:ln>
                        <a:effectLst>
                          <a:softEdge rad="25400"/>
                        </a:effectLst>
                      </wps:spPr>
                      <wps:txbx>
                        <w:txbxContent>
                          <w:p w14:paraId="2488F3CC" w14:textId="77777777" w:rsidR="00D80E8F" w:rsidRDefault="00D80E8F" w:rsidP="00D80E8F">
                            <w:pPr>
                              <w:spacing w:after="0" w:line="240" w:lineRule="auto"/>
                              <w:rPr>
                                <w:rFonts w:ascii="Arial" w:hAnsi="Arial" w:cs="Arial"/>
                                <w:b/>
                                <w:bCs/>
                                <w:color w:val="275317" w:themeColor="accent6" w:themeShade="80"/>
                                <w:sz w:val="14"/>
                                <w:szCs w:val="14"/>
                              </w:rPr>
                            </w:pPr>
                            <w:r>
                              <w:rPr>
                                <w:rFonts w:ascii="Arial" w:hAnsi="Arial" w:cs="Arial"/>
                                <w:b/>
                                <w:bCs/>
                                <w:color w:val="275317" w:themeColor="accent6" w:themeShade="80"/>
                                <w:sz w:val="14"/>
                                <w:szCs w:val="14"/>
                              </w:rPr>
                              <w:t>Explanation of the Chosen Healthcare Service</w:t>
                            </w:r>
                          </w:p>
                          <w:p w14:paraId="34FDA6D0" w14:textId="77777777" w:rsidR="00D80E8F" w:rsidRDefault="00D80E8F" w:rsidP="00D80E8F">
                            <w:pPr>
                              <w:spacing w:after="0" w:line="240" w:lineRule="auto"/>
                              <w:rPr>
                                <w:rFonts w:ascii="Arial" w:hAnsi="Arial" w:cs="Arial"/>
                                <w:sz w:val="14"/>
                                <w:szCs w:val="14"/>
                              </w:rPr>
                            </w:pPr>
                            <w:r>
                              <w:rPr>
                                <w:rFonts w:ascii="Arial" w:hAnsi="Arial" w:cs="Arial"/>
                                <w:sz w:val="14"/>
                                <w:szCs w:val="14"/>
                              </w:rPr>
                              <w:t xml:space="preserve">Community pharmacy is a key component of the UK's National Health Service (NHS), providing the most accessible entry point to primary healthcare for millions of people (Baird, 2025). Accessible in local communities, these services deliver much more than conventional dispensing of doctor-prescribed medicines. The modern pharmacy offers a range of important and complex services, including: </w:t>
                            </w:r>
                          </w:p>
                          <w:p w14:paraId="01F53AE7" w14:textId="77777777" w:rsidR="00D80E8F" w:rsidRDefault="00D80E8F" w:rsidP="00D80E8F">
                            <w:pPr>
                              <w:spacing w:after="0" w:line="240" w:lineRule="auto"/>
                              <w:rPr>
                                <w:rFonts w:ascii="Arial" w:hAnsi="Arial" w:cs="Arial"/>
                                <w:sz w:val="14"/>
                                <w:szCs w:val="14"/>
                              </w:rPr>
                            </w:pPr>
                            <w:r>
                              <w:rPr>
                                <w:rFonts w:ascii="Arial" w:hAnsi="Arial" w:cs="Arial"/>
                                <w:sz w:val="14"/>
                                <w:szCs w:val="14"/>
                              </w:rPr>
                              <w:t xml:space="preserve">Medicines Management: Providing New Medicine Service (NMS) consultations and Medicine use reviews (MURs), contributing to the safe and effective use of medicines. </w:t>
                            </w:r>
                          </w:p>
                          <w:p w14:paraId="37E17261" w14:textId="77777777" w:rsidR="00D80E8F" w:rsidRDefault="00D80E8F" w:rsidP="00D80E8F">
                            <w:pPr>
                              <w:spacing w:after="0" w:line="240" w:lineRule="auto"/>
                              <w:rPr>
                                <w:rFonts w:ascii="Arial" w:hAnsi="Arial" w:cs="Arial"/>
                                <w:sz w:val="14"/>
                                <w:szCs w:val="14"/>
                              </w:rPr>
                            </w:pPr>
                            <w:r>
                              <w:rPr>
                                <w:rFonts w:ascii="Arial" w:hAnsi="Arial" w:cs="Arial"/>
                                <w:sz w:val="14"/>
                                <w:szCs w:val="14"/>
                              </w:rPr>
                              <w:t>Public Health: Contributing to smoking cessation, providing emergency contraception, supporting healthy lifestyle advice processes, and promoting healthy travel.</w:t>
                            </w:r>
                          </w:p>
                          <w:p w14:paraId="5EEDD180" w14:textId="77777777" w:rsidR="00D80E8F" w:rsidRDefault="00D80E8F" w:rsidP="00D80E8F">
                            <w:pPr>
                              <w:spacing w:after="0" w:line="240" w:lineRule="auto"/>
                              <w:rPr>
                                <w:rFonts w:ascii="Arial" w:hAnsi="Arial" w:cs="Arial"/>
                                <w:sz w:val="14"/>
                                <w:szCs w:val="14"/>
                              </w:rPr>
                            </w:pPr>
                            <w:r>
                              <w:rPr>
                                <w:rFonts w:ascii="Arial" w:hAnsi="Arial" w:cs="Arial"/>
                                <w:sz w:val="14"/>
                                <w:szCs w:val="14"/>
                              </w:rPr>
                              <w:t xml:space="preserve">Urgent Treatment: The NHS Pharmacy First Scheme in England (and an equivalent scheme in devolved nations) allows pharmacists to consult on a range of minor illnesses (e.g., sinusitis, sore throat, and urinary tract infection), provide advice and supply prescription-only medicines (Baird, 2025). </w:t>
                            </w:r>
                          </w:p>
                          <w:p w14:paraId="648AF94F" w14:textId="77777777" w:rsidR="00D80E8F" w:rsidRDefault="00D80E8F" w:rsidP="00D80E8F">
                            <w:pPr>
                              <w:spacing w:after="0" w:line="240" w:lineRule="auto"/>
                              <w:rPr>
                                <w:rFonts w:ascii="Arial" w:hAnsi="Arial" w:cs="Arial"/>
                                <w:sz w:val="14"/>
                                <w:szCs w:val="14"/>
                              </w:rPr>
                            </w:pPr>
                            <w:r>
                              <w:rPr>
                                <w:rFonts w:ascii="Arial" w:hAnsi="Arial" w:cs="Arial"/>
                                <w:sz w:val="14"/>
                                <w:szCs w:val="14"/>
                              </w:rPr>
                              <w:t xml:space="preserve">Clinical Checking: Blood pressure checks, cholesterol testing, and a range of other point-of-care testing. </w:t>
                            </w:r>
                          </w:p>
                          <w:p w14:paraId="428B356C" w14:textId="77777777" w:rsidR="00D80E8F" w:rsidRDefault="00D80E8F" w:rsidP="00D80E8F">
                            <w:pPr>
                              <w:spacing w:after="0" w:line="240" w:lineRule="auto"/>
                              <w:rPr>
                                <w:rFonts w:ascii="Arial" w:hAnsi="Arial" w:cs="Arial"/>
                                <w:sz w:val="14"/>
                                <w:szCs w:val="14"/>
                              </w:rPr>
                            </w:pPr>
                            <w:r>
                              <w:rPr>
                                <w:rFonts w:ascii="Arial" w:hAnsi="Arial" w:cs="Arial"/>
                                <w:sz w:val="14"/>
                                <w:szCs w:val="14"/>
                              </w:rPr>
                              <w:t>Across the country, more than 11,000 community pharmacies are contributing to the promotion of health, supporting self-care, supporting social pressure on General Practitioners and A&amp;E departments, and contributing to the safe and effective use of medicines in the population (NHS England, 2024).</w:t>
                            </w:r>
                          </w:p>
                        </w:txbxContent>
                      </wps:txbx>
                      <wps:bodyPr rot="0" vert="horz" wrap="square" lIns="91440" tIns="45720" rIns="91440" bIns="45720" anchor="t" anchorCtr="0">
                        <a:noAutofit/>
                      </wps:bodyPr>
                    </wps:wsp>
                  </a:graphicData>
                </a:graphic>
              </wp:anchor>
            </w:drawing>
          </mc:Choice>
          <mc:Fallback>
            <w:pict>
              <v:shape w14:anchorId="33EF10F6" id="Text Box 4" o:spid="_x0000_s1030" type="#_x0000_t202" style="position:absolute;margin-left:3.65pt;margin-top:123.85pt;width:226.7pt;height:219.8pt;z-index:251661312;visibility:visible;mso-wrap-style:square;mso-wrap-distance-left:9pt;mso-wrap-distance-top:3.6pt;mso-wrap-distance-right:9pt;mso-wrap-distance-bottom:3.6pt;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" strokecolor="#e97132 [3205]" strokeweight="3.75pt">
                <v:textbox>
                  <w:txbxContent>
                    <w:p w14:paraId="2488F3CC" w14:textId="77777777" w:rsidR="00D80E8F" w:rsidRDefault="00D80E8F" w:rsidP="00D80E8F">
                      <w:pPr>
                        <w:spacing w:after="0" w:line="240" w:lineRule="auto"/>
                        <w:rPr>
                          <w:rFonts w:ascii="Arial" w:hAnsi="Arial" w:cs="Arial"/>
                          <w:b/>
                          <w:bCs/>
                          <w:color w:val="275317" w:themeColor="accent6" w:themeShade="80"/>
                          <w:sz w:val="14"/>
                          <w:szCs w:val="14"/>
                        </w:rPr>
                      </w:pPr>
                      <w:r>
                        <w:rPr>
                          <w:rFonts w:ascii="Arial" w:hAnsi="Arial" w:cs="Arial"/>
                          <w:b/>
                          <w:bCs/>
                          <w:color w:val="275317" w:themeColor="accent6" w:themeShade="80"/>
                          <w:sz w:val="14"/>
                          <w:szCs w:val="14"/>
                        </w:rPr>
                        <w:t>Explanation of the Chosen Healthcare Service</w:t>
                      </w:r>
                    </w:p>
                    <w:p w14:paraId="34FDA6D0" w14:textId="77777777" w:rsidR="00D80E8F" w:rsidRDefault="00D80E8F" w:rsidP="00D80E8F">
                      <w:pPr>
                        <w:spacing w:after="0" w:line="240" w:lineRule="auto"/>
                        <w:rPr>
                          <w:rFonts w:ascii="Arial" w:hAnsi="Arial" w:cs="Arial"/>
                          <w:sz w:val="14"/>
                          <w:szCs w:val="14"/>
                        </w:rPr>
                      </w:pPr>
                      <w:r>
                        <w:rPr>
                          <w:rFonts w:ascii="Arial" w:hAnsi="Arial" w:cs="Arial"/>
                          <w:sz w:val="14"/>
                          <w:szCs w:val="14"/>
                        </w:rPr>
                        <w:t xml:space="preserve">Community pharmacy is a key component of the UK's National Health Service (NHS), providing the most accessible entry point to primary healthcare for millions of people (Baird, 2025). Accessible in local communities, these services deliver much more than conventional dispensing of doctor-prescribed medicines. The modern pharmacy offers a range of important and complex services, including: </w:t>
                      </w:r>
                    </w:p>
                    <w:p w14:paraId="01F53AE7" w14:textId="77777777" w:rsidR="00D80E8F" w:rsidRDefault="00D80E8F" w:rsidP="00D80E8F">
                      <w:pPr>
                        <w:spacing w:after="0" w:line="240" w:lineRule="auto"/>
                        <w:rPr>
                          <w:rFonts w:ascii="Arial" w:hAnsi="Arial" w:cs="Arial"/>
                          <w:sz w:val="14"/>
                          <w:szCs w:val="14"/>
                        </w:rPr>
                      </w:pPr>
                      <w:r>
                        <w:rPr>
                          <w:rFonts w:ascii="Arial" w:hAnsi="Arial" w:cs="Arial"/>
                          <w:sz w:val="14"/>
                          <w:szCs w:val="14"/>
                        </w:rPr>
                        <w:t xml:space="preserve">Medicines Management: Providing New Medicine Service (NMS) consultations and Medicine use reviews (MURs), contributing to the safe and effective use of medicines. </w:t>
                      </w:r>
                    </w:p>
                    <w:p w14:paraId="37E17261" w14:textId="77777777" w:rsidR="00D80E8F" w:rsidRDefault="00D80E8F" w:rsidP="00D80E8F">
                      <w:pPr>
                        <w:spacing w:after="0" w:line="240" w:lineRule="auto"/>
                        <w:rPr>
                          <w:rFonts w:ascii="Arial" w:hAnsi="Arial" w:cs="Arial"/>
                          <w:sz w:val="14"/>
                          <w:szCs w:val="14"/>
                        </w:rPr>
                      </w:pPr>
                      <w:r>
                        <w:rPr>
                          <w:rFonts w:ascii="Arial" w:hAnsi="Arial" w:cs="Arial"/>
                          <w:sz w:val="14"/>
                          <w:szCs w:val="14"/>
                        </w:rPr>
                        <w:t>Public Health: Contributing to smoking cessation, providing emergency contraception, supporting healthy lifestyle advice processes, and promoting healthy travel.</w:t>
                      </w:r>
                    </w:p>
                    <w:p w14:paraId="5EEDD180" w14:textId="77777777" w:rsidR="00D80E8F" w:rsidRDefault="00D80E8F" w:rsidP="00D80E8F">
                      <w:pPr>
                        <w:spacing w:after="0" w:line="240" w:lineRule="auto"/>
                        <w:rPr>
                          <w:rFonts w:ascii="Arial" w:hAnsi="Arial" w:cs="Arial"/>
                          <w:sz w:val="14"/>
                          <w:szCs w:val="14"/>
                        </w:rPr>
                      </w:pPr>
                      <w:r>
                        <w:rPr>
                          <w:rFonts w:ascii="Arial" w:hAnsi="Arial" w:cs="Arial"/>
                          <w:sz w:val="14"/>
                          <w:szCs w:val="14"/>
                        </w:rPr>
                        <w:t xml:space="preserve">Urgent Treatment: The NHS Pharmacy First Scheme in England (and an equivalent scheme in devolved nations) allows pharmacists to consult on a range of minor illnesses (e.g., sinusitis, sore throat, and urinary tract infection), provide advice and supply prescription-only medicines (Baird, 2025). </w:t>
                      </w:r>
                    </w:p>
                    <w:p w14:paraId="648AF94F" w14:textId="77777777" w:rsidR="00D80E8F" w:rsidRDefault="00D80E8F" w:rsidP="00D80E8F">
                      <w:pPr>
                        <w:spacing w:after="0" w:line="240" w:lineRule="auto"/>
                        <w:rPr>
                          <w:rFonts w:ascii="Arial" w:hAnsi="Arial" w:cs="Arial"/>
                          <w:sz w:val="14"/>
                          <w:szCs w:val="14"/>
                        </w:rPr>
                      </w:pPr>
                      <w:r>
                        <w:rPr>
                          <w:rFonts w:ascii="Arial" w:hAnsi="Arial" w:cs="Arial"/>
                          <w:sz w:val="14"/>
                          <w:szCs w:val="14"/>
                        </w:rPr>
                        <w:t xml:space="preserve">Clinical Checking: Blood pressure checks, cholesterol testing, and a range of other point-of-care testing. </w:t>
                      </w:r>
                    </w:p>
                    <w:p w14:paraId="428B356C" w14:textId="77777777" w:rsidR="00D80E8F" w:rsidRDefault="00D80E8F" w:rsidP="00D80E8F">
                      <w:pPr>
                        <w:spacing w:after="0" w:line="240" w:lineRule="auto"/>
                        <w:rPr>
                          <w:rFonts w:ascii="Arial" w:hAnsi="Arial" w:cs="Arial"/>
                          <w:sz w:val="14"/>
                          <w:szCs w:val="14"/>
                        </w:rPr>
                      </w:pPr>
                      <w:r>
                        <w:rPr>
                          <w:rFonts w:ascii="Arial" w:hAnsi="Arial" w:cs="Arial"/>
                          <w:sz w:val="14"/>
                          <w:szCs w:val="14"/>
                        </w:rPr>
                        <w:t>Across the country, more than 11,000 community pharmacies are contributing to the promotion of health, supporting self-care, supporting social pressure on General Practitioners and A&amp;E departments, and contributing to the safe and effective use of medicines in the population (NHS England, 2024).</w:t>
                      </w:r>
                    </w:p>
                  </w:txbxContent>
                </v:textbox>
                <w10:wrap type="square" anchorx="page"/>
              </v:shape>
            </w:pict>
          </mc:Fallback>
        </mc:AlternateContent>
      </w:r>
      <w:r>
        <w:rPr>
          <w:rFonts w:ascii="Times New Roman" w:hAnsi="Times New Roman" w:cs="Times New Roman"/>
          <w:noProof/>
          <w:lang w:val="en-US" w:eastAsia="en-US"/>
        </w:rPr>
        <mc:AlternateContent>
          <mc:Choice Requires="wps">
            <w:drawing>
              <wp:anchor distT="45720" distB="45720" distL="114300" distR="114300" simplePos="0" relativeHeight="251662336" behindDoc="0" locked="0" layoutInCell="1" allowOverlap="1" wp14:anchorId="13086B79" wp14:editId="450FB27C">
                <wp:simplePos x="0" y="0"/>
                <wp:positionH relativeFrom="margin">
                  <wp:posOffset>2041525</wp:posOffset>
                </wp:positionH>
                <wp:positionV relativeFrom="paragraph">
                  <wp:posOffset>1536700</wp:posOffset>
                </wp:positionV>
                <wp:extent cx="2588895" cy="2815590"/>
                <wp:effectExtent l="19050" t="19050" r="20955" b="2286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8895" cy="2815590"/>
                        </a:xfrm>
                        <a:prstGeom prst="rect">
                          <a:avLst/>
                        </a:prstGeom>
                        <a:solidFill>
                          <a:srgbClr val="FFFFFF"/>
                        </a:solidFill>
                        <a:ln w="44450">
                          <a:solidFill>
                            <a:srgbClr val="000000"/>
                          </a:solidFill>
                          <a:miter lim="800000"/>
                        </a:ln>
                        <a:effectLst>
                          <a:softEdge rad="25400"/>
                        </a:effectLst>
                      </wps:spPr>
                      <wps:txbx>
                        <w:txbxContent>
                          <w:p w14:paraId="5611990C" w14:textId="77777777" w:rsidR="00D80E8F" w:rsidRDefault="00D80E8F" w:rsidP="00D80E8F">
                            <w:pPr>
                              <w:spacing w:after="0" w:line="240" w:lineRule="auto"/>
                              <w:rPr>
                                <w:rFonts w:ascii="Arial" w:hAnsi="Arial" w:cs="Arial"/>
                                <w:b/>
                                <w:bCs/>
                                <w:color w:val="275317" w:themeColor="accent6" w:themeShade="80"/>
                                <w:sz w:val="14"/>
                                <w:szCs w:val="14"/>
                              </w:rPr>
                            </w:pPr>
                            <w:r>
                              <w:rPr>
                                <w:rFonts w:ascii="Arial" w:hAnsi="Arial" w:cs="Arial"/>
                                <w:b/>
                                <w:bCs/>
                                <w:color w:val="275317" w:themeColor="accent6" w:themeShade="80"/>
                                <w:sz w:val="14"/>
                                <w:szCs w:val="14"/>
                              </w:rPr>
                              <w:t>A Brief History of the Service</w:t>
                            </w:r>
                          </w:p>
                          <w:p w14:paraId="7C29325A" w14:textId="77777777" w:rsidR="00D80E8F" w:rsidRDefault="00D80E8F" w:rsidP="00D80E8F">
                            <w:pPr>
                              <w:spacing w:after="0" w:line="240" w:lineRule="auto"/>
                              <w:rPr>
                                <w:rFonts w:ascii="Arial" w:hAnsi="Arial" w:cs="Arial"/>
                                <w:sz w:val="14"/>
                                <w:szCs w:val="14"/>
                              </w:rPr>
                            </w:pPr>
                            <w:r>
                              <w:rPr>
                                <w:rFonts w:ascii="Arial" w:hAnsi="Arial" w:cs="Arial"/>
                                <w:sz w:val="14"/>
                                <w:szCs w:val="14"/>
                              </w:rPr>
                              <w:t xml:space="preserve">• 19th Century Regulation: The Pharmacy Act 1868 marked a key point by legally defining the profession and creating the Royal Pharmaceutical Society to regulate the profession, separating suitably qualified 'chemists and druggists' from other traders. </w:t>
                            </w:r>
                          </w:p>
                          <w:p w14:paraId="537DB475" w14:textId="77777777" w:rsidR="00D80E8F" w:rsidRDefault="00D80E8F" w:rsidP="00D80E8F">
                            <w:pPr>
                              <w:spacing w:after="0" w:line="240" w:lineRule="auto"/>
                              <w:rPr>
                                <w:rFonts w:ascii="Arial" w:hAnsi="Arial" w:cs="Arial"/>
                                <w:sz w:val="14"/>
                                <w:szCs w:val="14"/>
                              </w:rPr>
                            </w:pPr>
                            <w:r>
                              <w:rPr>
                                <w:rFonts w:ascii="Arial" w:hAnsi="Arial" w:cs="Arial"/>
                                <w:sz w:val="14"/>
                                <w:szCs w:val="14"/>
                              </w:rPr>
                              <w:t xml:space="preserve">• The Creation of the NHS (1948): The establishment of the NHS made community pharmacy a key part of publicly funded healthcare in the UK, although initially it remained a supply-driven medicine dispensing service. </w:t>
                            </w:r>
                          </w:p>
                          <w:p w14:paraId="1880DFD2" w14:textId="77777777" w:rsidR="00D80E8F" w:rsidRDefault="00D80E8F" w:rsidP="00D80E8F">
                            <w:pPr>
                              <w:spacing w:after="0" w:line="240" w:lineRule="auto"/>
                              <w:rPr>
                                <w:rFonts w:ascii="Arial" w:hAnsi="Arial" w:cs="Arial"/>
                                <w:sz w:val="14"/>
                                <w:szCs w:val="14"/>
                              </w:rPr>
                            </w:pPr>
                            <w:r>
                              <w:rPr>
                                <w:rFonts w:ascii="Arial" w:hAnsi="Arial" w:cs="Arial"/>
                                <w:sz w:val="14"/>
                                <w:szCs w:val="14"/>
                              </w:rPr>
                              <w:t xml:space="preserve">• The Transition to Clinical Services (Late 20th Century): Beginning in the 1980s, an intentional transition occurred that shifted pharmacists' roles from compounders and suppliers of medicines to providers of patient-facing health advice and services. </w:t>
                            </w:r>
                          </w:p>
                          <w:p w14:paraId="231743AC" w14:textId="77777777" w:rsidR="00D80E8F" w:rsidRDefault="00D80E8F" w:rsidP="00D80E8F">
                            <w:pPr>
                              <w:spacing w:after="0" w:line="240" w:lineRule="auto"/>
                              <w:rPr>
                                <w:rFonts w:ascii="Arial" w:hAnsi="Arial" w:cs="Arial"/>
                                <w:sz w:val="14"/>
                                <w:szCs w:val="14"/>
                              </w:rPr>
                            </w:pPr>
                            <w:r>
                              <w:rPr>
                                <w:rFonts w:ascii="Arial" w:hAnsi="Arial" w:cs="Arial"/>
                                <w:sz w:val="14"/>
                                <w:szCs w:val="14"/>
                              </w:rPr>
                              <w:t xml:space="preserve">• The New Contract (2005): The introduction of the new Community Pharmacy Contractual Framework (CPCF) formally established this transition, establishing services as 'Essential' (dispensing), 'Advanced' (e.g., MURs), in which the role of pharmacists continued to expand </w:t>
                            </w:r>
                            <w:proofErr w:type="gramStart"/>
                            <w:r>
                              <w:rPr>
                                <w:rFonts w:ascii="Arial" w:hAnsi="Arial" w:cs="Arial"/>
                                <w:sz w:val="14"/>
                                <w:szCs w:val="14"/>
                              </w:rPr>
                              <w:t>to providing</w:t>
                            </w:r>
                            <w:proofErr w:type="gramEnd"/>
                            <w:r>
                              <w:rPr>
                                <w:rFonts w:ascii="Arial" w:hAnsi="Arial" w:cs="Arial"/>
                                <w:sz w:val="14"/>
                                <w:szCs w:val="14"/>
                              </w:rPr>
                              <w:t xml:space="preserve"> a clinical service model (</w:t>
                            </w:r>
                            <w:proofErr w:type="spellStart"/>
                            <w:r>
                              <w:rPr>
                                <w:rFonts w:ascii="Arial" w:hAnsi="Arial" w:cs="Arial"/>
                                <w:sz w:val="14"/>
                                <w:szCs w:val="14"/>
                              </w:rPr>
                              <w:t>Paloumpi</w:t>
                            </w:r>
                            <w:proofErr w:type="spellEnd"/>
                            <w:r>
                              <w:rPr>
                                <w:rFonts w:ascii="Arial" w:hAnsi="Arial" w:cs="Arial"/>
                                <w:sz w:val="14"/>
                                <w:szCs w:val="14"/>
                              </w:rPr>
                              <w:t xml:space="preserve"> et al, 2023a). </w:t>
                            </w:r>
                          </w:p>
                          <w:p w14:paraId="4E8BE2CB" w14:textId="77777777" w:rsidR="00D80E8F" w:rsidRDefault="00D80E8F" w:rsidP="00D80E8F">
                            <w:pPr>
                              <w:spacing w:after="0" w:line="240" w:lineRule="auto"/>
                              <w:rPr>
                                <w:rFonts w:ascii="Arial" w:hAnsi="Arial" w:cs="Arial"/>
                                <w:sz w:val="14"/>
                                <w:szCs w:val="14"/>
                              </w:rPr>
                            </w:pPr>
                            <w:r>
                              <w:rPr>
                                <w:rFonts w:ascii="Arial" w:hAnsi="Arial" w:cs="Arial"/>
                                <w:sz w:val="14"/>
                                <w:szCs w:val="14"/>
                              </w:rPr>
                              <w:t>• The Pharmacy First Era (2024): The NHS Pharmacy First service launching nationally in England is the most recent and one of the biggest expansions, embedding community pharmacy as a first point of access to urgent care for several common conditions (Dowden, 2023).</w:t>
                            </w:r>
                          </w:p>
                        </w:txbxContent>
                      </wps:txbx>
                      <wps:bodyPr rot="0" vert="horz" wrap="square" lIns="91440" tIns="45720" rIns="91440" bIns="45720" anchor="t" anchorCtr="0">
                        <a:noAutofit/>
                      </wps:bodyPr>
                    </wps:wsp>
                  </a:graphicData>
                </a:graphic>
              </wp:anchor>
            </w:drawing>
          </mc:Choice>
          <mc:Fallback>
            <w:pict>
              <v:shape w14:anchorId="13086B79" id="Text Box 5" o:spid="_x0000_s1031" type="#_x0000_t202" style="position:absolute;margin-left:160.75pt;margin-top:121pt;width:203.85pt;height:221.7pt;z-index:251662336;visibility:visible;mso-wrap-style:square;mso-wrap-distance-left:9pt;mso-wrap-distance-top:3.6pt;mso-wrap-distance-right:9pt;mso-wrap-distance-bottom:3.6pt;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" strokeweight="3.5pt">
                <v:textbox>
                  <w:txbxContent>
                    <w:p w14:paraId="5611990C" w14:textId="77777777" w:rsidR="00D80E8F" w:rsidRDefault="00D80E8F" w:rsidP="00D80E8F">
                      <w:pPr>
                        <w:spacing w:after="0" w:line="240" w:lineRule="auto"/>
                        <w:rPr>
                          <w:rFonts w:ascii="Arial" w:hAnsi="Arial" w:cs="Arial"/>
                          <w:b/>
                          <w:bCs/>
                          <w:color w:val="275317" w:themeColor="accent6" w:themeShade="80"/>
                          <w:sz w:val="14"/>
                          <w:szCs w:val="14"/>
                        </w:rPr>
                      </w:pPr>
                      <w:r>
                        <w:rPr>
                          <w:rFonts w:ascii="Arial" w:hAnsi="Arial" w:cs="Arial"/>
                          <w:b/>
                          <w:bCs/>
                          <w:color w:val="275317" w:themeColor="accent6" w:themeShade="80"/>
                          <w:sz w:val="14"/>
                          <w:szCs w:val="14"/>
                        </w:rPr>
                        <w:t>A Brief History of the Service</w:t>
                      </w:r>
                    </w:p>
                    <w:p w14:paraId="7C29325A" w14:textId="77777777" w:rsidR="00D80E8F" w:rsidRDefault="00D80E8F" w:rsidP="00D80E8F">
                      <w:pPr>
                        <w:spacing w:after="0" w:line="240" w:lineRule="auto"/>
                        <w:rPr>
                          <w:rFonts w:ascii="Arial" w:hAnsi="Arial" w:cs="Arial"/>
                          <w:sz w:val="14"/>
                          <w:szCs w:val="14"/>
                        </w:rPr>
                      </w:pPr>
                      <w:r>
                        <w:rPr>
                          <w:rFonts w:ascii="Arial" w:hAnsi="Arial" w:cs="Arial"/>
                          <w:sz w:val="14"/>
                          <w:szCs w:val="14"/>
                        </w:rPr>
                        <w:t xml:space="preserve">• 19th Century Regulation: The Pharmacy Act 1868 marked a key point by legally defining the profession and creating the Royal Pharmaceutical Society to regulate the profession, separating suitably qualified 'chemists and druggists' from other traders. </w:t>
                      </w:r>
                    </w:p>
                    <w:p w14:paraId="537DB475" w14:textId="77777777" w:rsidR="00D80E8F" w:rsidRDefault="00D80E8F" w:rsidP="00D80E8F">
                      <w:pPr>
                        <w:spacing w:after="0" w:line="240" w:lineRule="auto"/>
                        <w:rPr>
                          <w:rFonts w:ascii="Arial" w:hAnsi="Arial" w:cs="Arial"/>
                          <w:sz w:val="14"/>
                          <w:szCs w:val="14"/>
                        </w:rPr>
                      </w:pPr>
                      <w:r>
                        <w:rPr>
                          <w:rFonts w:ascii="Arial" w:hAnsi="Arial" w:cs="Arial"/>
                          <w:sz w:val="14"/>
                          <w:szCs w:val="14"/>
                        </w:rPr>
                        <w:t xml:space="preserve">• The Creation of the NHS (1948): The establishment of the NHS made community pharmacy a key part of publicly funded healthcare in the UK, although initially it remained a supply-driven medicine dispensing service. </w:t>
                      </w:r>
                    </w:p>
                    <w:p w14:paraId="1880DFD2" w14:textId="77777777" w:rsidR="00D80E8F" w:rsidRDefault="00D80E8F" w:rsidP="00D80E8F">
                      <w:pPr>
                        <w:spacing w:after="0" w:line="240" w:lineRule="auto"/>
                        <w:rPr>
                          <w:rFonts w:ascii="Arial" w:hAnsi="Arial" w:cs="Arial"/>
                          <w:sz w:val="14"/>
                          <w:szCs w:val="14"/>
                        </w:rPr>
                      </w:pPr>
                      <w:r>
                        <w:rPr>
                          <w:rFonts w:ascii="Arial" w:hAnsi="Arial" w:cs="Arial"/>
                          <w:sz w:val="14"/>
                          <w:szCs w:val="14"/>
                        </w:rPr>
                        <w:t xml:space="preserve">• The Transition to Clinical Services (Late 20th Century): Beginning in the 1980s, an intentional transition occurred that shifted pharmacists' roles from compounders and suppliers of medicines to providers of patient-facing health advice and services. </w:t>
                      </w:r>
                    </w:p>
                    <w:p w14:paraId="231743AC" w14:textId="77777777" w:rsidR="00D80E8F" w:rsidRDefault="00D80E8F" w:rsidP="00D80E8F">
                      <w:pPr>
                        <w:spacing w:after="0" w:line="240" w:lineRule="auto"/>
                        <w:rPr>
                          <w:rFonts w:ascii="Arial" w:hAnsi="Arial" w:cs="Arial"/>
                          <w:sz w:val="14"/>
                          <w:szCs w:val="14"/>
                        </w:rPr>
                      </w:pPr>
                      <w:r>
                        <w:rPr>
                          <w:rFonts w:ascii="Arial" w:hAnsi="Arial" w:cs="Arial"/>
                          <w:sz w:val="14"/>
                          <w:szCs w:val="14"/>
                        </w:rPr>
                        <w:t xml:space="preserve">• The New Contract (2005): The introduction of the new Community Pharmacy Contractual Framework (CPCF) formally established this transition, establishing services as 'Essential' (dispensing), 'Advanced' (e.g., MURs), in which the role of pharmacists continued to expand </w:t>
                      </w:r>
                      <w:proofErr w:type="gramStart"/>
                      <w:r>
                        <w:rPr>
                          <w:rFonts w:ascii="Arial" w:hAnsi="Arial" w:cs="Arial"/>
                          <w:sz w:val="14"/>
                          <w:szCs w:val="14"/>
                        </w:rPr>
                        <w:t>to providing</w:t>
                      </w:r>
                      <w:proofErr w:type="gramEnd"/>
                      <w:r>
                        <w:rPr>
                          <w:rFonts w:ascii="Arial" w:hAnsi="Arial" w:cs="Arial"/>
                          <w:sz w:val="14"/>
                          <w:szCs w:val="14"/>
                        </w:rPr>
                        <w:t xml:space="preserve"> a clinical service model (</w:t>
                      </w:r>
                      <w:proofErr w:type="spellStart"/>
                      <w:r>
                        <w:rPr>
                          <w:rFonts w:ascii="Arial" w:hAnsi="Arial" w:cs="Arial"/>
                          <w:sz w:val="14"/>
                          <w:szCs w:val="14"/>
                        </w:rPr>
                        <w:t>Paloumpi</w:t>
                      </w:r>
                      <w:proofErr w:type="spellEnd"/>
                      <w:r>
                        <w:rPr>
                          <w:rFonts w:ascii="Arial" w:hAnsi="Arial" w:cs="Arial"/>
                          <w:sz w:val="14"/>
                          <w:szCs w:val="14"/>
                        </w:rPr>
                        <w:t xml:space="preserve"> et al, 2023a). </w:t>
                      </w:r>
                    </w:p>
                    <w:p w14:paraId="4E8BE2CB" w14:textId="77777777" w:rsidR="00D80E8F" w:rsidRDefault="00D80E8F" w:rsidP="00D80E8F">
                      <w:pPr>
                        <w:spacing w:after="0" w:line="240" w:lineRule="auto"/>
                        <w:rPr>
                          <w:rFonts w:ascii="Arial" w:hAnsi="Arial" w:cs="Arial"/>
                          <w:sz w:val="14"/>
                          <w:szCs w:val="14"/>
                        </w:rPr>
                      </w:pPr>
                      <w:r>
                        <w:rPr>
                          <w:rFonts w:ascii="Arial" w:hAnsi="Arial" w:cs="Arial"/>
                          <w:sz w:val="14"/>
                          <w:szCs w:val="14"/>
                        </w:rPr>
                        <w:t>• The Pharmacy First Era (2024): The NHS Pharmacy First service launching nationally in England is the most recent and one of the biggest expansions, embedding community pharmacy as a first point of access to urgent care for several common conditions (Dowden, 2023).</w:t>
                      </w:r>
                    </w:p>
                  </w:txbxContent>
                </v:textbox>
                <w10:wrap type="square" anchorx="margin"/>
              </v:shape>
            </w:pict>
          </mc:Fallback>
        </mc:AlternateContent>
      </w:r>
      <w:r>
        <w:rPr>
          <w:rFonts w:ascii="Times New Roman" w:hAnsi="Times New Roman" w:cs="Times New Roman"/>
          <w:noProof/>
          <w:lang w:val="en-US" w:eastAsia="en-US"/>
        </w:rPr>
        <mc:AlternateContent>
          <mc:Choice Requires="wps">
            <w:drawing>
              <wp:anchor distT="45720" distB="45720" distL="114300" distR="114300" simplePos="0" relativeHeight="251664384" behindDoc="0" locked="0" layoutInCell="1" allowOverlap="1" wp14:anchorId="063F1B5D" wp14:editId="3E0969DF">
                <wp:simplePos x="0" y="0"/>
                <wp:positionH relativeFrom="page">
                  <wp:align>right</wp:align>
                </wp:positionH>
                <wp:positionV relativeFrom="paragraph">
                  <wp:posOffset>1286510</wp:posOffset>
                </wp:positionV>
                <wp:extent cx="2792095" cy="3519170"/>
                <wp:effectExtent l="19050" t="19050" r="27305" b="2413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2095" cy="3519170"/>
                        </a:xfrm>
                        <a:prstGeom prst="rect">
                          <a:avLst/>
                        </a:prstGeom>
                        <a:solidFill>
                          <a:srgbClr val="FFFFFF"/>
                        </a:solidFill>
                        <a:ln w="44450">
                          <a:solidFill>
                            <a:srgbClr val="000000"/>
                          </a:solidFill>
                          <a:miter lim="800000"/>
                        </a:ln>
                        <a:effectLst>
                          <a:softEdge rad="25400"/>
                        </a:effectLst>
                      </wps:spPr>
                      <wps:txbx>
                        <w:txbxContent>
                          <w:p w14:paraId="75E1ADFF" w14:textId="77777777" w:rsidR="00D80E8F" w:rsidRDefault="00D80E8F" w:rsidP="00D80E8F">
                            <w:pPr>
                              <w:spacing w:after="0" w:line="360" w:lineRule="auto"/>
                              <w:rPr>
                                <w:rFonts w:ascii="Arial" w:hAnsi="Arial" w:cs="Arial"/>
                                <w:b/>
                                <w:bCs/>
                                <w:color w:val="275317" w:themeColor="accent6" w:themeShade="80"/>
                                <w:sz w:val="16"/>
                                <w:szCs w:val="16"/>
                              </w:rPr>
                            </w:pPr>
                            <w:r>
                              <w:rPr>
                                <w:rFonts w:ascii="Arial" w:hAnsi="Arial" w:cs="Arial"/>
                                <w:b/>
                                <w:bCs/>
                                <w:color w:val="275317" w:themeColor="accent6" w:themeShade="80"/>
                                <w:sz w:val="16"/>
                                <w:szCs w:val="16"/>
                              </w:rPr>
                              <w:t>Visual Element: The Pharmacy First Patient Pathway</w:t>
                            </w:r>
                          </w:p>
                          <w:p w14:paraId="6DDD10A9" w14:textId="77777777" w:rsidR="00D80E8F" w:rsidRDefault="00D80E8F" w:rsidP="00D80E8F">
                            <w:pPr>
                              <w:spacing w:after="0" w:line="360" w:lineRule="auto"/>
                              <w:rPr>
                                <w:rFonts w:ascii="Arial" w:hAnsi="Arial" w:cs="Arial"/>
                                <w:color w:val="275317" w:themeColor="accent6" w:themeShade="80"/>
                                <w:sz w:val="16"/>
                                <w:szCs w:val="16"/>
                              </w:rPr>
                            </w:pPr>
                            <w:r>
                              <w:rPr>
                                <w:rFonts w:ascii="Arial" w:hAnsi="Arial" w:cs="Arial"/>
                                <w:color w:val="275317" w:themeColor="accent6" w:themeShade="80"/>
                                <w:sz w:val="16"/>
                                <w:szCs w:val="16"/>
                              </w:rPr>
                              <w:t>This flowchart illustrates the streamlined process of the NHS Pharmacy First service, a key part of current pharmacy functioning:</w:t>
                            </w:r>
                          </w:p>
                          <w:p w14:paraId="54D51B81" w14:textId="77777777" w:rsidR="00D80E8F" w:rsidRDefault="00D80E8F" w:rsidP="00D80E8F">
                            <w:pPr>
                              <w:spacing w:after="0" w:line="360" w:lineRule="auto"/>
                              <w:rPr>
                                <w:rFonts w:ascii="Arial" w:hAnsi="Arial" w:cs="Arial"/>
                                <w:color w:val="275317" w:themeColor="accent6" w:themeShade="80"/>
                                <w:sz w:val="16"/>
                                <w:szCs w:val="16"/>
                              </w:rPr>
                            </w:pPr>
                            <w:r>
                              <w:rPr>
                                <w:rFonts w:ascii="Arial" w:hAnsi="Arial" w:cs="Arial"/>
                                <w:color w:val="275317" w:themeColor="accent6" w:themeShade="80"/>
                                <w:sz w:val="16"/>
                                <w:szCs w:val="16"/>
                              </w:rPr>
                              <w:t>Figure 1: The NHS Pharmacy First patient pathway (Adapted from NHS England, 2024).</w:t>
                            </w:r>
                          </w:p>
                          <w:p w14:paraId="0E8D044D" w14:textId="77777777" w:rsidR="00D80E8F" w:rsidRDefault="00D80E8F" w:rsidP="00D80E8F">
                            <w:pPr>
                              <w:spacing w:after="0" w:line="360" w:lineRule="auto"/>
                              <w:rPr>
                                <w:rFonts w:ascii="Arial" w:hAnsi="Arial" w:cs="Arial"/>
                                <w:color w:val="275317" w:themeColor="accent6" w:themeShade="80"/>
                                <w:sz w:val="16"/>
                                <w:szCs w:val="16"/>
                              </w:rPr>
                            </w:pPr>
                          </w:p>
                          <w:p w14:paraId="52EAA8AE" w14:textId="77777777" w:rsidR="00D80E8F" w:rsidRDefault="00D80E8F" w:rsidP="00D80E8F">
                            <w:pPr>
                              <w:rPr>
                                <w:rFonts w:ascii="Arial" w:hAnsi="Arial" w:cs="Arial"/>
                                <w:color w:val="275317" w:themeColor="accent6" w:themeShade="80"/>
                                <w:sz w:val="14"/>
                                <w:szCs w:val="14"/>
                              </w:rPr>
                            </w:pPr>
                            <w:r>
                              <w:rPr>
                                <w:noProof/>
                                <w:lang w:val="en-US" w:eastAsia="en-US"/>
                              </w:rPr>
                              <w:drawing>
                                <wp:inline distT="0" distB="0" distL="0" distR="0" wp14:anchorId="30633319" wp14:editId="68AC0B17">
                                  <wp:extent cx="2617470" cy="2071370"/>
                                  <wp:effectExtent l="0" t="0" r="24130" b="11430"/>
                                  <wp:docPr id="20492688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26886"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2617470" cy="2071370"/>
                                          </a:xfrm>
                                          <a:prstGeom prst="rect">
                                            <a:avLst/>
                                          </a:prstGeom>
                                          <a:noFill/>
                                          <a:ln>
                                            <a:noFill/>
                                          </a:ln>
                                        </pic:spPr>
                                      </pic:pic>
                                    </a:graphicData>
                                  </a:graphic>
                                </wp:inline>
                              </w:drawing>
                            </w:r>
                          </w:p>
                          <w:p w14:paraId="0F560995" w14:textId="77777777" w:rsidR="00D80E8F" w:rsidRDefault="00D80E8F" w:rsidP="00D80E8F">
                            <w:pPr>
                              <w:rPr>
                                <w:rFonts w:ascii="Arial" w:hAnsi="Arial" w:cs="Arial"/>
                                <w:color w:val="275317" w:themeColor="accent6" w:themeShade="80"/>
                                <w:sz w:val="10"/>
                                <w:szCs w:val="10"/>
                              </w:rPr>
                            </w:pPr>
                          </w:p>
                          <w:p w14:paraId="72BA61F5" w14:textId="77777777" w:rsidR="00D80E8F" w:rsidRDefault="00D80E8F" w:rsidP="00D80E8F">
                            <w:pPr>
                              <w:spacing w:after="0" w:line="240" w:lineRule="auto"/>
                              <w:jc w:val="center"/>
                              <w:rPr>
                                <w:rFonts w:ascii="Arial" w:hAnsi="Arial" w:cs="Arial"/>
                                <w:color w:val="275317" w:themeColor="accent6" w:themeShade="80"/>
                                <w:sz w:val="10"/>
                                <w:szCs w:val="10"/>
                              </w:rPr>
                            </w:pPr>
                          </w:p>
                          <w:p w14:paraId="734CE31F" w14:textId="77777777" w:rsidR="00D80E8F" w:rsidRDefault="00D80E8F" w:rsidP="00D80E8F">
                            <w:pPr>
                              <w:spacing w:after="0" w:line="240" w:lineRule="auto"/>
                              <w:rPr>
                                <w:rFonts w:ascii="Arial" w:hAnsi="Arial" w:cs="Arial"/>
                                <w:color w:val="275317" w:themeColor="accent6" w:themeShade="80"/>
                                <w:sz w:val="10"/>
                                <w:szCs w:val="10"/>
                              </w:rPr>
                            </w:pPr>
                          </w:p>
                          <w:p w14:paraId="67B2047C" w14:textId="77777777" w:rsidR="00D80E8F" w:rsidRDefault="00D80E8F" w:rsidP="00D80E8F">
                            <w:pPr>
                              <w:spacing w:after="0" w:line="240" w:lineRule="auto"/>
                              <w:rPr>
                                <w:rFonts w:ascii="Arial" w:hAnsi="Arial" w:cs="Arial"/>
                                <w:color w:val="275317" w:themeColor="accent6" w:themeShade="80"/>
                                <w:sz w:val="10"/>
                                <w:szCs w:val="10"/>
                              </w:rPr>
                            </w:pPr>
                          </w:p>
                          <w:p w14:paraId="3362FC5D" w14:textId="77777777" w:rsidR="00D80E8F" w:rsidRDefault="00D80E8F" w:rsidP="00D80E8F">
                            <w:pPr>
                              <w:spacing w:after="0" w:line="240" w:lineRule="auto"/>
                              <w:rPr>
                                <w:rFonts w:ascii="Arial" w:hAnsi="Arial" w:cs="Arial"/>
                                <w:color w:val="275317" w:themeColor="accent6" w:themeShade="80"/>
                                <w:sz w:val="10"/>
                                <w:szCs w:val="10"/>
                              </w:rPr>
                            </w:pPr>
                          </w:p>
                          <w:p w14:paraId="7778442A" w14:textId="77777777" w:rsidR="00D80E8F" w:rsidRDefault="00D80E8F" w:rsidP="00D80E8F">
                            <w:pPr>
                              <w:spacing w:after="0" w:line="240" w:lineRule="auto"/>
                              <w:rPr>
                                <w:rFonts w:ascii="Arial" w:hAnsi="Arial" w:cs="Arial"/>
                                <w:color w:val="275317" w:themeColor="accent6" w:themeShade="80"/>
                                <w:sz w:val="10"/>
                                <w:szCs w:val="10"/>
                              </w:rPr>
                            </w:pPr>
                          </w:p>
                          <w:p w14:paraId="5BDBEAEE" w14:textId="77777777" w:rsidR="00D80E8F" w:rsidRDefault="00D80E8F" w:rsidP="00D80E8F">
                            <w:pPr>
                              <w:spacing w:after="0" w:line="240" w:lineRule="auto"/>
                              <w:rPr>
                                <w:rFonts w:ascii="Arial" w:hAnsi="Arial" w:cs="Arial"/>
                                <w:color w:val="275317" w:themeColor="accent6" w:themeShade="80"/>
                                <w:sz w:val="10"/>
                                <w:szCs w:val="10"/>
                              </w:rPr>
                            </w:pPr>
                          </w:p>
                          <w:p w14:paraId="1ED0870D" w14:textId="77777777" w:rsidR="00D80E8F" w:rsidRDefault="00D80E8F" w:rsidP="00D80E8F">
                            <w:pPr>
                              <w:spacing w:after="0" w:line="240" w:lineRule="auto"/>
                              <w:rPr>
                                <w:rFonts w:ascii="Arial" w:hAnsi="Arial" w:cs="Arial"/>
                                <w:color w:val="275317" w:themeColor="accent6" w:themeShade="80"/>
                                <w:sz w:val="10"/>
                                <w:szCs w:val="10"/>
                              </w:rPr>
                            </w:pPr>
                          </w:p>
                          <w:p w14:paraId="40D9C85A" w14:textId="77777777" w:rsidR="00D80E8F" w:rsidRDefault="00D80E8F" w:rsidP="00D80E8F">
                            <w:pPr>
                              <w:spacing w:after="0" w:line="240" w:lineRule="auto"/>
                              <w:rPr>
                                <w:rFonts w:ascii="Arial" w:hAnsi="Arial" w:cs="Arial"/>
                                <w:color w:val="275317" w:themeColor="accent6" w:themeShade="80"/>
                                <w:sz w:val="10"/>
                                <w:szCs w:val="10"/>
                              </w:rPr>
                            </w:pPr>
                          </w:p>
                          <w:p w14:paraId="7DE7FB3C" w14:textId="77777777" w:rsidR="00D80E8F" w:rsidRDefault="00D80E8F" w:rsidP="00D80E8F">
                            <w:pPr>
                              <w:spacing w:after="0" w:line="240" w:lineRule="auto"/>
                              <w:rPr>
                                <w:rFonts w:ascii="Arial" w:hAnsi="Arial" w:cs="Arial"/>
                                <w:color w:val="275317" w:themeColor="accent6" w:themeShade="80"/>
                                <w:sz w:val="10"/>
                                <w:szCs w:val="10"/>
                              </w:rPr>
                            </w:pPr>
                          </w:p>
                          <w:p w14:paraId="479E2522" w14:textId="77777777" w:rsidR="00D80E8F" w:rsidRDefault="00D80E8F" w:rsidP="00D80E8F">
                            <w:pPr>
                              <w:spacing w:after="0" w:line="240" w:lineRule="auto"/>
                              <w:rPr>
                                <w:rFonts w:ascii="Arial" w:hAnsi="Arial" w:cs="Arial"/>
                                <w:color w:val="275317" w:themeColor="accent6" w:themeShade="80"/>
                                <w:sz w:val="10"/>
                                <w:szCs w:val="10"/>
                              </w:rPr>
                            </w:pPr>
                          </w:p>
                        </w:txbxContent>
                      </wps:txbx>
                      <wps:bodyPr rot="0" vert="horz" wrap="square" lIns="91440" tIns="45720" rIns="91440" bIns="45720" anchor="t" anchorCtr="0">
                        <a:noAutofit/>
                      </wps:bodyPr>
                    </wps:wsp>
                  </a:graphicData>
                </a:graphic>
              </wp:anchor>
            </w:drawing>
          </mc:Choice>
          <mc:Fallback>
            <w:pict>
              <v:shape w14:anchorId="063F1B5D" id="Text Box 6" o:spid="_x0000_s1032" type="#_x0000_t202" style="position:absolute;margin-left:168.65pt;margin-top:101.3pt;width:219.85pt;height:277.1pt;z-index:251664384;visibility:visible;mso-wrap-style:square;mso-wrap-distance-left:9pt;mso-wrap-distance-top:3.6pt;mso-wrap-distance-right:9pt;mso-wrap-distance-bottom:3.6pt;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" strokeweight="3.5pt">
                <v:textbox>
                  <w:txbxContent>
                    <w:p w14:paraId="75E1ADFF" w14:textId="77777777" w:rsidR="00D80E8F" w:rsidRDefault="00D80E8F" w:rsidP="00D80E8F">
                      <w:pPr>
                        <w:spacing w:after="0" w:line="360" w:lineRule="auto"/>
                        <w:rPr>
                          <w:rFonts w:ascii="Arial" w:hAnsi="Arial" w:cs="Arial"/>
                          <w:b/>
                          <w:bCs/>
                          <w:color w:val="275317" w:themeColor="accent6" w:themeShade="80"/>
                          <w:sz w:val="16"/>
                          <w:szCs w:val="16"/>
                        </w:rPr>
                      </w:pPr>
                      <w:r>
                        <w:rPr>
                          <w:rFonts w:ascii="Arial" w:hAnsi="Arial" w:cs="Arial"/>
                          <w:b/>
                          <w:bCs/>
                          <w:color w:val="275317" w:themeColor="accent6" w:themeShade="80"/>
                          <w:sz w:val="16"/>
                          <w:szCs w:val="16"/>
                        </w:rPr>
                        <w:t>Visual Element: The Pharmacy First Patient Pathway</w:t>
                      </w:r>
                    </w:p>
                    <w:p w14:paraId="6DDD10A9" w14:textId="77777777" w:rsidR="00D80E8F" w:rsidRDefault="00D80E8F" w:rsidP="00D80E8F">
                      <w:pPr>
                        <w:spacing w:after="0" w:line="360" w:lineRule="auto"/>
                        <w:rPr>
                          <w:rFonts w:ascii="Arial" w:hAnsi="Arial" w:cs="Arial"/>
                          <w:color w:val="275317" w:themeColor="accent6" w:themeShade="80"/>
                          <w:sz w:val="16"/>
                          <w:szCs w:val="16"/>
                        </w:rPr>
                      </w:pPr>
                      <w:r>
                        <w:rPr>
                          <w:rFonts w:ascii="Arial" w:hAnsi="Arial" w:cs="Arial"/>
                          <w:color w:val="275317" w:themeColor="accent6" w:themeShade="80"/>
                          <w:sz w:val="16"/>
                          <w:szCs w:val="16"/>
                        </w:rPr>
                        <w:t>This flowchart illustrates the streamlined process of the NHS Pharmacy First service, a key part of current pharmacy functioning:</w:t>
                      </w:r>
                    </w:p>
                    <w:p w14:paraId="54D51B81" w14:textId="77777777" w:rsidR="00D80E8F" w:rsidRDefault="00D80E8F" w:rsidP="00D80E8F">
                      <w:pPr>
                        <w:spacing w:after="0" w:line="360" w:lineRule="auto"/>
                        <w:rPr>
                          <w:rFonts w:ascii="Arial" w:hAnsi="Arial" w:cs="Arial"/>
                          <w:color w:val="275317" w:themeColor="accent6" w:themeShade="80"/>
                          <w:sz w:val="16"/>
                          <w:szCs w:val="16"/>
                        </w:rPr>
                      </w:pPr>
                      <w:r>
                        <w:rPr>
                          <w:rFonts w:ascii="Arial" w:hAnsi="Arial" w:cs="Arial"/>
                          <w:color w:val="275317" w:themeColor="accent6" w:themeShade="80"/>
                          <w:sz w:val="16"/>
                          <w:szCs w:val="16"/>
                        </w:rPr>
                        <w:t>Figure 1: The NHS Pharmacy First patient pathway (Adapted from NHS England, 2024).</w:t>
                      </w:r>
                    </w:p>
                    <w:p w14:paraId="0E8D044D" w14:textId="77777777" w:rsidR="00D80E8F" w:rsidRDefault="00D80E8F" w:rsidP="00D80E8F">
                      <w:pPr>
                        <w:spacing w:after="0" w:line="360" w:lineRule="auto"/>
                        <w:rPr>
                          <w:rFonts w:ascii="Arial" w:hAnsi="Arial" w:cs="Arial"/>
                          <w:color w:val="275317" w:themeColor="accent6" w:themeShade="80"/>
                          <w:sz w:val="16"/>
                          <w:szCs w:val="16"/>
                        </w:rPr>
                      </w:pPr>
                    </w:p>
                    <w:p w14:paraId="52EAA8AE" w14:textId="77777777" w:rsidR="00D80E8F" w:rsidRDefault="00D80E8F" w:rsidP="00D80E8F">
                      <w:pPr>
                        <w:rPr>
                          <w:rFonts w:ascii="Arial" w:hAnsi="Arial" w:cs="Arial"/>
                          <w:color w:val="275317" w:themeColor="accent6" w:themeShade="80"/>
                          <w:sz w:val="14"/>
                          <w:szCs w:val="14"/>
                        </w:rPr>
                      </w:pPr>
                      <w:r>
                        <w:rPr>
                          <w:noProof/>
                          <w:lang w:val="en-US" w:eastAsia="en-US"/>
                        </w:rPr>
                        <w:drawing>
                          <wp:inline distT="0" distB="0" distL="0" distR="0" wp14:anchorId="30633319" wp14:editId="68AC0B17">
                            <wp:extent cx="2617470" cy="2071370"/>
                            <wp:effectExtent l="0" t="0" r="24130" b="11430"/>
                            <wp:docPr id="20492688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26886"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2617470" cy="2071370"/>
                                    </a:xfrm>
                                    <a:prstGeom prst="rect">
                                      <a:avLst/>
                                    </a:prstGeom>
                                    <a:noFill/>
                                    <a:ln>
                                      <a:noFill/>
                                    </a:ln>
                                  </pic:spPr>
                                </pic:pic>
                              </a:graphicData>
                            </a:graphic>
                          </wp:inline>
                        </w:drawing>
                      </w:r>
                    </w:p>
                    <w:p w14:paraId="0F560995" w14:textId="77777777" w:rsidR="00D80E8F" w:rsidRDefault="00D80E8F" w:rsidP="00D80E8F">
                      <w:pPr>
                        <w:rPr>
                          <w:rFonts w:ascii="Arial" w:hAnsi="Arial" w:cs="Arial"/>
                          <w:color w:val="275317" w:themeColor="accent6" w:themeShade="80"/>
                          <w:sz w:val="10"/>
                          <w:szCs w:val="10"/>
                        </w:rPr>
                      </w:pPr>
                    </w:p>
                    <w:p w14:paraId="72BA61F5" w14:textId="77777777" w:rsidR="00D80E8F" w:rsidRDefault="00D80E8F" w:rsidP="00D80E8F">
                      <w:pPr>
                        <w:spacing w:after="0" w:line="240" w:lineRule="auto"/>
                        <w:jc w:val="center"/>
                        <w:rPr>
                          <w:rFonts w:ascii="Arial" w:hAnsi="Arial" w:cs="Arial"/>
                          <w:color w:val="275317" w:themeColor="accent6" w:themeShade="80"/>
                          <w:sz w:val="10"/>
                          <w:szCs w:val="10"/>
                        </w:rPr>
                      </w:pPr>
                    </w:p>
                    <w:p w14:paraId="734CE31F" w14:textId="77777777" w:rsidR="00D80E8F" w:rsidRDefault="00D80E8F" w:rsidP="00D80E8F">
                      <w:pPr>
                        <w:spacing w:after="0" w:line="240" w:lineRule="auto"/>
                        <w:rPr>
                          <w:rFonts w:ascii="Arial" w:hAnsi="Arial" w:cs="Arial"/>
                          <w:color w:val="275317" w:themeColor="accent6" w:themeShade="80"/>
                          <w:sz w:val="10"/>
                          <w:szCs w:val="10"/>
                        </w:rPr>
                      </w:pPr>
                    </w:p>
                    <w:p w14:paraId="67B2047C" w14:textId="77777777" w:rsidR="00D80E8F" w:rsidRDefault="00D80E8F" w:rsidP="00D80E8F">
                      <w:pPr>
                        <w:spacing w:after="0" w:line="240" w:lineRule="auto"/>
                        <w:rPr>
                          <w:rFonts w:ascii="Arial" w:hAnsi="Arial" w:cs="Arial"/>
                          <w:color w:val="275317" w:themeColor="accent6" w:themeShade="80"/>
                          <w:sz w:val="10"/>
                          <w:szCs w:val="10"/>
                        </w:rPr>
                      </w:pPr>
                    </w:p>
                    <w:p w14:paraId="3362FC5D" w14:textId="77777777" w:rsidR="00D80E8F" w:rsidRDefault="00D80E8F" w:rsidP="00D80E8F">
                      <w:pPr>
                        <w:spacing w:after="0" w:line="240" w:lineRule="auto"/>
                        <w:rPr>
                          <w:rFonts w:ascii="Arial" w:hAnsi="Arial" w:cs="Arial"/>
                          <w:color w:val="275317" w:themeColor="accent6" w:themeShade="80"/>
                          <w:sz w:val="10"/>
                          <w:szCs w:val="10"/>
                        </w:rPr>
                      </w:pPr>
                    </w:p>
                    <w:p w14:paraId="7778442A" w14:textId="77777777" w:rsidR="00D80E8F" w:rsidRDefault="00D80E8F" w:rsidP="00D80E8F">
                      <w:pPr>
                        <w:spacing w:after="0" w:line="240" w:lineRule="auto"/>
                        <w:rPr>
                          <w:rFonts w:ascii="Arial" w:hAnsi="Arial" w:cs="Arial"/>
                          <w:color w:val="275317" w:themeColor="accent6" w:themeShade="80"/>
                          <w:sz w:val="10"/>
                          <w:szCs w:val="10"/>
                        </w:rPr>
                      </w:pPr>
                    </w:p>
                    <w:p w14:paraId="5BDBEAEE" w14:textId="77777777" w:rsidR="00D80E8F" w:rsidRDefault="00D80E8F" w:rsidP="00D80E8F">
                      <w:pPr>
                        <w:spacing w:after="0" w:line="240" w:lineRule="auto"/>
                        <w:rPr>
                          <w:rFonts w:ascii="Arial" w:hAnsi="Arial" w:cs="Arial"/>
                          <w:color w:val="275317" w:themeColor="accent6" w:themeShade="80"/>
                          <w:sz w:val="10"/>
                          <w:szCs w:val="10"/>
                        </w:rPr>
                      </w:pPr>
                    </w:p>
                    <w:p w14:paraId="1ED0870D" w14:textId="77777777" w:rsidR="00D80E8F" w:rsidRDefault="00D80E8F" w:rsidP="00D80E8F">
                      <w:pPr>
                        <w:spacing w:after="0" w:line="240" w:lineRule="auto"/>
                        <w:rPr>
                          <w:rFonts w:ascii="Arial" w:hAnsi="Arial" w:cs="Arial"/>
                          <w:color w:val="275317" w:themeColor="accent6" w:themeShade="80"/>
                          <w:sz w:val="10"/>
                          <w:szCs w:val="10"/>
                        </w:rPr>
                      </w:pPr>
                    </w:p>
                    <w:p w14:paraId="40D9C85A" w14:textId="77777777" w:rsidR="00D80E8F" w:rsidRDefault="00D80E8F" w:rsidP="00D80E8F">
                      <w:pPr>
                        <w:spacing w:after="0" w:line="240" w:lineRule="auto"/>
                        <w:rPr>
                          <w:rFonts w:ascii="Arial" w:hAnsi="Arial" w:cs="Arial"/>
                          <w:color w:val="275317" w:themeColor="accent6" w:themeShade="80"/>
                          <w:sz w:val="10"/>
                          <w:szCs w:val="10"/>
                        </w:rPr>
                      </w:pPr>
                    </w:p>
                    <w:p w14:paraId="7DE7FB3C" w14:textId="77777777" w:rsidR="00D80E8F" w:rsidRDefault="00D80E8F" w:rsidP="00D80E8F">
                      <w:pPr>
                        <w:spacing w:after="0" w:line="240" w:lineRule="auto"/>
                        <w:rPr>
                          <w:rFonts w:ascii="Arial" w:hAnsi="Arial" w:cs="Arial"/>
                          <w:color w:val="275317" w:themeColor="accent6" w:themeShade="80"/>
                          <w:sz w:val="10"/>
                          <w:szCs w:val="10"/>
                        </w:rPr>
                      </w:pPr>
                    </w:p>
                    <w:p w14:paraId="479E2522" w14:textId="77777777" w:rsidR="00D80E8F" w:rsidRDefault="00D80E8F" w:rsidP="00D80E8F">
                      <w:pPr>
                        <w:spacing w:after="0" w:line="240" w:lineRule="auto"/>
                        <w:rPr>
                          <w:rFonts w:ascii="Arial" w:hAnsi="Arial" w:cs="Arial"/>
                          <w:color w:val="275317" w:themeColor="accent6" w:themeShade="80"/>
                          <w:sz w:val="10"/>
                          <w:szCs w:val="10"/>
                        </w:rPr>
                      </w:pPr>
                    </w:p>
                  </w:txbxContent>
                </v:textbox>
                <w10:wrap type="square" anchorx="page"/>
              </v:shape>
            </w:pict>
          </mc:Fallback>
        </mc:AlternateContent>
      </w:r>
      <w:r>
        <w:rPr>
          <w:rFonts w:ascii="Times New Roman" w:hAnsi="Times New Roman" w:cs="Times New Roman"/>
          <w:noProof/>
          <w:lang w:val="en-US" w:eastAsia="en-US"/>
        </w:rPr>
        <mc:AlternateContent>
          <mc:Choice Requires="wps">
            <w:drawing>
              <wp:anchor distT="0" distB="0" distL="114300" distR="114300" simplePos="0" relativeHeight="251659264" behindDoc="1" locked="0" layoutInCell="1" allowOverlap="1" wp14:anchorId="0A2F5480" wp14:editId="54C966B9">
                <wp:simplePos x="0" y="0"/>
                <wp:positionH relativeFrom="page">
                  <wp:posOffset>6350</wp:posOffset>
                </wp:positionH>
                <wp:positionV relativeFrom="paragraph">
                  <wp:posOffset>-894715</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275D4CE1" id="Rectangle 1" o:spid="_x0000_s1026" style="position:absolute;margin-left:.5pt;margin-top:-70.45pt;width:840.6pt;height:540pt;z-index:-251657216;visibility:visible;mso-wrap-style:square;mso-wrap-distance-left:9pt;mso-wrap-distance-top:0;mso-wrap-distance-right:9pt;mso-wrap-distance-bottom:0;mso-position-horizontal:absolute;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" fillcolor="gray [1629]" strokecolor="#92d050" strokeweight="1.5pt">
                <v:fill opacity="30069f"/>
                <w10:wrap anchorx="page"/>
              </v:rect>
            </w:pict>
          </mc:Fallback>
        </mc:AlternateContent>
      </w:r>
    </w:p>
    <w:p w14:paraId="5BA20F78" w14:textId="77777777" w:rsidR="00D80E8F" w:rsidRPr="00964A48" w:rsidRDefault="00D80E8F" w:rsidP="00D80E8F">
      <w:pPr>
        <w:spacing w:after="0" w:line="480" w:lineRule="auto"/>
        <w:ind w:firstLine="720"/>
        <w:jc w:val="center"/>
        <w:rPr>
          <w:rFonts w:ascii="Arial" w:hAnsi="Arial" w:cs="Arial"/>
          <w:b/>
          <w:bCs/>
        </w:rPr>
      </w:pPr>
      <w:r w:rsidRPr="00964A48">
        <w:rPr>
          <w:rFonts w:ascii="Arial" w:hAnsi="Arial" w:cs="Arial"/>
          <w:b/>
          <w:bCs/>
        </w:rPr>
        <w:lastRenderedPageBreak/>
        <w:t>The National Health Service: Founding Principles and Contemporary Challenges</w:t>
      </w:r>
    </w:p>
    <w:p w14:paraId="733860B5" w14:textId="77777777" w:rsidR="00D80E8F" w:rsidRPr="00964A48" w:rsidRDefault="00D80E8F" w:rsidP="00D80E8F">
      <w:pPr>
        <w:spacing w:after="0" w:line="480" w:lineRule="auto"/>
        <w:ind w:firstLine="720"/>
        <w:rPr>
          <w:rFonts w:ascii="Arial" w:hAnsi="Arial" w:cs="Arial"/>
        </w:rPr>
      </w:pPr>
      <w:r w:rsidRPr="00964A48">
        <w:rPr>
          <w:rFonts w:ascii="Arial" w:hAnsi="Arial" w:cs="Arial"/>
        </w:rPr>
        <w:t>The National Health Service (NHS) is a significant group in the United Kingdom, born out of a unique post-war best of a more equitable society. This essay will first talk about the origin of the NHS, including the social-historical context that led to its founding. Secondly, it will be about the founding principles of the NHS that lie at its coronary heart. Finally, it will recollect the present-day infrastructure and functioning of the NHS</w:t>
      </w:r>
      <w:proofErr w:type="gramStart"/>
      <w:r w:rsidRPr="00964A48">
        <w:rPr>
          <w:rFonts w:ascii="Arial" w:hAnsi="Arial" w:cs="Arial"/>
        </w:rPr>
        <w:t>, in particular, how</w:t>
      </w:r>
      <w:proofErr w:type="gramEnd"/>
      <w:r w:rsidRPr="00964A48">
        <w:rPr>
          <w:rFonts w:ascii="Arial" w:hAnsi="Arial" w:cs="Arial"/>
        </w:rPr>
        <w:t xml:space="preserve"> this seventy-five-year-old group will resist the primary challenges of the 21st century.</w:t>
      </w:r>
    </w:p>
    <w:p w14:paraId="54E2F218" w14:textId="77777777" w:rsidR="00D80E8F" w:rsidRPr="00964A48" w:rsidRDefault="00D80E8F" w:rsidP="00D80E8F">
      <w:pPr>
        <w:spacing w:after="0" w:line="480" w:lineRule="auto"/>
        <w:jc w:val="center"/>
        <w:rPr>
          <w:rFonts w:ascii="Arial" w:hAnsi="Arial" w:cs="Arial"/>
          <w:b/>
          <w:bCs/>
        </w:rPr>
      </w:pPr>
      <w:r w:rsidRPr="00964A48">
        <w:rPr>
          <w:rFonts w:ascii="Arial" w:hAnsi="Arial" w:cs="Arial"/>
          <w:b/>
          <w:bCs/>
        </w:rPr>
        <w:t>Origins and Historical Context</w:t>
      </w:r>
    </w:p>
    <w:p w14:paraId="216E63C1" w14:textId="77777777" w:rsidR="00D80E8F" w:rsidRPr="00964A48" w:rsidRDefault="00D80E8F" w:rsidP="00D80E8F">
      <w:pPr>
        <w:spacing w:after="0" w:line="480" w:lineRule="auto"/>
        <w:ind w:firstLine="720"/>
        <w:rPr>
          <w:rFonts w:ascii="Arial" w:hAnsi="Arial" w:cs="Arial"/>
        </w:rPr>
      </w:pPr>
      <w:r w:rsidRPr="00964A48">
        <w:rPr>
          <w:rFonts w:ascii="Arial" w:hAnsi="Arial" w:cs="Arial"/>
        </w:rPr>
        <w:t xml:space="preserve">The origins of the NHS in 1948 arose from a prolonged process of social reform and the context of the Second World War. Notably, </w:t>
      </w:r>
      <w:proofErr w:type="gramStart"/>
      <w:r w:rsidRPr="00964A48">
        <w:rPr>
          <w:rFonts w:ascii="Arial" w:hAnsi="Arial" w:cs="Arial"/>
        </w:rPr>
        <w:t>a number of</w:t>
      </w:r>
      <w:proofErr w:type="gramEnd"/>
      <w:r w:rsidRPr="00964A48">
        <w:rPr>
          <w:rFonts w:ascii="Arial" w:hAnsi="Arial" w:cs="Arial"/>
        </w:rPr>
        <w:t xml:space="preserve"> the 5 'Giant Evils' proposed by the Beveridge Report (1942) to create a welfare state, became 'disorder' (The Health Foundation, 2023). The battle fostered a collective spirit and a consensus that the pre-struggle patchwork of health coverage and the current revolts of those denied enough insurance have become intolerable. Clement 1st Earl Attlee's Labour Party received an awesome electoral mandate in 1945, which sparked the political will to set up an NHS under the stewardship of Minister of Health Aneurin Bevan, which became a thorough act setting up a health provider for the first time, funded largely through principal taxation.</w:t>
      </w:r>
    </w:p>
    <w:p w14:paraId="22F59F35" w14:textId="77777777" w:rsidR="00D80E8F" w:rsidRPr="00964A48" w:rsidRDefault="00D80E8F" w:rsidP="00D80E8F">
      <w:pPr>
        <w:spacing w:after="0" w:line="480" w:lineRule="auto"/>
        <w:jc w:val="center"/>
        <w:rPr>
          <w:rFonts w:ascii="Arial" w:hAnsi="Arial" w:cs="Arial"/>
          <w:b/>
          <w:bCs/>
        </w:rPr>
      </w:pPr>
      <w:r w:rsidRPr="00964A48">
        <w:rPr>
          <w:rFonts w:ascii="Arial" w:hAnsi="Arial" w:cs="Arial"/>
          <w:b/>
          <w:bCs/>
        </w:rPr>
        <w:t>Key Founding Principles</w:t>
      </w:r>
    </w:p>
    <w:p w14:paraId="43E981A8" w14:textId="77777777" w:rsidR="00D80E8F" w:rsidRPr="00964A48" w:rsidRDefault="00D80E8F" w:rsidP="00D80E8F">
      <w:pPr>
        <w:spacing w:after="0" w:line="480" w:lineRule="auto"/>
        <w:ind w:firstLine="720"/>
        <w:rPr>
          <w:rFonts w:ascii="Arial" w:hAnsi="Arial" w:cs="Arial"/>
        </w:rPr>
      </w:pPr>
      <w:r w:rsidRPr="00964A48">
        <w:rPr>
          <w:rFonts w:ascii="Arial" w:hAnsi="Arial" w:cs="Arial"/>
        </w:rPr>
        <w:t xml:space="preserve">Bevan's vision was built on three fundamental principles that were solidly embedded in the NHS identity. The first principle was that services should be </w:t>
      </w:r>
      <w:proofErr w:type="gramStart"/>
      <w:r w:rsidRPr="00964A48">
        <w:rPr>
          <w:rFonts w:ascii="Arial" w:hAnsi="Arial" w:cs="Arial"/>
        </w:rPr>
        <w:t>comprehensive, or</w:t>
      </w:r>
      <w:proofErr w:type="gramEnd"/>
      <w:r w:rsidRPr="00964A48">
        <w:rPr>
          <w:rFonts w:ascii="Arial" w:hAnsi="Arial" w:cs="Arial"/>
        </w:rPr>
        <w:t xml:space="preserve"> ideally </w:t>
      </w:r>
      <w:proofErr w:type="gramStart"/>
      <w:r w:rsidRPr="00964A48">
        <w:rPr>
          <w:rFonts w:ascii="Arial" w:hAnsi="Arial" w:cs="Arial"/>
        </w:rPr>
        <w:t>take into account</w:t>
      </w:r>
      <w:proofErr w:type="gramEnd"/>
      <w:r w:rsidRPr="00964A48">
        <w:rPr>
          <w:rFonts w:ascii="Arial" w:hAnsi="Arial" w:cs="Arial"/>
        </w:rPr>
        <w:t xml:space="preserve"> the needs of all. The second principle was that access should be universal and free at the point of delivery, such that residents' health was not dependent on wealth. The third principle stated that care should be provided only to someone based on clinical need, not the ability to pay (</w:t>
      </w:r>
      <w:proofErr w:type="spellStart"/>
      <w:r w:rsidRPr="00964A48">
        <w:rPr>
          <w:rFonts w:ascii="Arial" w:hAnsi="Arial" w:cs="Arial"/>
        </w:rPr>
        <w:t>Exworthy</w:t>
      </w:r>
      <w:proofErr w:type="spellEnd"/>
      <w:r w:rsidRPr="00964A48">
        <w:rPr>
          <w:rFonts w:ascii="Arial" w:hAnsi="Arial" w:cs="Arial"/>
        </w:rPr>
        <w:t xml:space="preserve"> et al., 2023). These principles are intended to remove the fear of financial ruin (or worse) that illness could create, and to promote a healthier population and economic productivity.</w:t>
      </w:r>
    </w:p>
    <w:p w14:paraId="701FD5DB" w14:textId="77777777" w:rsidR="00D80E8F" w:rsidRPr="00964A48" w:rsidRDefault="00D80E8F" w:rsidP="00D80E8F">
      <w:pPr>
        <w:spacing w:after="0" w:line="480" w:lineRule="auto"/>
        <w:jc w:val="center"/>
        <w:rPr>
          <w:rFonts w:ascii="Arial" w:hAnsi="Arial" w:cs="Arial"/>
          <w:b/>
          <w:bCs/>
        </w:rPr>
      </w:pPr>
    </w:p>
    <w:p w14:paraId="105C2BDF" w14:textId="77777777" w:rsidR="00D80E8F" w:rsidRPr="00964A48" w:rsidRDefault="00D80E8F" w:rsidP="00D80E8F">
      <w:pPr>
        <w:spacing w:after="0" w:line="480" w:lineRule="auto"/>
        <w:jc w:val="center"/>
        <w:rPr>
          <w:rFonts w:ascii="Arial" w:hAnsi="Arial" w:cs="Arial"/>
          <w:b/>
          <w:bCs/>
        </w:rPr>
      </w:pPr>
      <w:r w:rsidRPr="00964A48">
        <w:rPr>
          <w:rFonts w:ascii="Arial" w:hAnsi="Arial" w:cs="Arial"/>
          <w:b/>
          <w:bCs/>
        </w:rPr>
        <w:lastRenderedPageBreak/>
        <w:t>Current Structure and Critical Examination</w:t>
      </w:r>
    </w:p>
    <w:p w14:paraId="3B0BC07C" w14:textId="77777777" w:rsidR="00D80E8F" w:rsidRPr="00964A48" w:rsidRDefault="00D80E8F" w:rsidP="00D80E8F">
      <w:pPr>
        <w:spacing w:after="0" w:line="480" w:lineRule="auto"/>
        <w:ind w:firstLine="720"/>
        <w:rPr>
          <w:rFonts w:ascii="Arial" w:hAnsi="Arial" w:cs="Arial"/>
        </w:rPr>
      </w:pPr>
      <w:r w:rsidRPr="00964A48">
        <w:rPr>
          <w:rFonts w:ascii="Arial" w:hAnsi="Arial" w:cs="Arial"/>
        </w:rPr>
        <w:t>At the structural level, the NHS has been devolved into four UK systems, with England rolling out Integrated Care Systems (ICSs) recently, which will be local partnerships of NHS, local government, and other organisations to take the focus away from episodic care towards population health management (NHS England, 2025). This has taken place amidst an increasing pressure on one of the founding principles of the NHS, that of universality, which reduces inequalities in access (Williams, 2024). Funding divergence from need, which, when considered against an ageing population (Kulakiewicz &amp; Powell, 2024), has led to significantly long waiting lists for treatment (The King's Fund, 2024), is one of the biggest challenges. Although the NHS Long Term Workforce Plan (Holden, 2023) begins to address workforce shortages, implementation poses a significant question for the sustainability of the systems.</w:t>
      </w:r>
    </w:p>
    <w:p w14:paraId="4CE430E9" w14:textId="77777777" w:rsidR="00D80E8F" w:rsidRPr="00964A48" w:rsidRDefault="00D80E8F" w:rsidP="00D80E8F">
      <w:pPr>
        <w:spacing w:after="0" w:line="480" w:lineRule="auto"/>
        <w:jc w:val="center"/>
        <w:rPr>
          <w:rFonts w:ascii="Arial" w:hAnsi="Arial" w:cs="Arial"/>
          <w:b/>
          <w:bCs/>
        </w:rPr>
      </w:pPr>
      <w:r w:rsidRPr="00964A48">
        <w:rPr>
          <w:rFonts w:ascii="Arial" w:hAnsi="Arial" w:cs="Arial"/>
          <w:b/>
          <w:bCs/>
        </w:rPr>
        <w:t>Conclusion</w:t>
      </w:r>
    </w:p>
    <w:p w14:paraId="693528A5" w14:textId="77777777" w:rsidR="00D80E8F" w:rsidRPr="00964A48" w:rsidRDefault="00D80E8F" w:rsidP="00D80E8F">
      <w:pPr>
        <w:spacing w:after="0" w:line="480" w:lineRule="auto"/>
        <w:ind w:firstLine="720"/>
        <w:rPr>
          <w:rFonts w:ascii="Arial" w:hAnsi="Arial" w:cs="Arial"/>
        </w:rPr>
      </w:pPr>
      <w:r w:rsidRPr="00964A48">
        <w:rPr>
          <w:rFonts w:ascii="Arial" w:hAnsi="Arial" w:cs="Arial"/>
        </w:rPr>
        <w:t xml:space="preserve">The NHS was established at a specific historic moment, predicated on the radical principles of universalism, free-to-access, and clinical need. Although there have been some incremental changes since its inception, </w:t>
      </w:r>
      <w:proofErr w:type="gramStart"/>
      <w:r w:rsidRPr="00964A48">
        <w:rPr>
          <w:rFonts w:ascii="Arial" w:hAnsi="Arial" w:cs="Arial"/>
        </w:rPr>
        <w:t>in particular,</w:t>
      </w:r>
      <w:proofErr w:type="gramEnd"/>
      <w:r w:rsidRPr="00964A48">
        <w:rPr>
          <w:rFonts w:ascii="Arial" w:hAnsi="Arial" w:cs="Arial"/>
        </w:rPr>
        <w:t xml:space="preserve"> the establishment of integrated care systems (ICS) to facilitate greater integration, the underlying principles that form the bedrock of its function have not changed. The critical question it now faces is how the NHS can retain those core principles against a backdrop of increasing demand and constrained resources. The continued relevance of the founding principles of the NHS is, therefore, how to use those principles as a reference point to assess existing practice and engender an impassioned dialogue concerning the future.</w:t>
      </w:r>
    </w:p>
    <w:p w14:paraId="37651F27" w14:textId="77777777" w:rsidR="00D80E8F" w:rsidRDefault="00D80E8F" w:rsidP="00D80E8F">
      <w:pPr>
        <w:rPr>
          <w:rFonts w:ascii="Times New Roman" w:hAnsi="Times New Roman" w:cs="Times New Roman"/>
          <w:sz w:val="28"/>
          <w:szCs w:val="28"/>
        </w:rPr>
      </w:pPr>
    </w:p>
    <w:p w14:paraId="3D68F382" w14:textId="77777777" w:rsidR="00D80E8F" w:rsidRDefault="00D80E8F" w:rsidP="00D80E8F">
      <w:pPr>
        <w:rPr>
          <w:rFonts w:ascii="Times New Roman" w:hAnsi="Times New Roman" w:cs="Times New Roman"/>
          <w:b/>
          <w:bCs/>
          <w:sz w:val="28"/>
          <w:szCs w:val="28"/>
        </w:rPr>
      </w:pPr>
    </w:p>
    <w:p w14:paraId="7E52A1FB" w14:textId="77777777" w:rsidR="00D80E8F" w:rsidRDefault="00D80E8F" w:rsidP="00D80E8F">
      <w:pPr>
        <w:rPr>
          <w:rFonts w:ascii="Times New Roman" w:hAnsi="Times New Roman" w:cs="Times New Roman"/>
          <w:b/>
          <w:bCs/>
          <w:sz w:val="28"/>
          <w:szCs w:val="28"/>
        </w:rPr>
      </w:pPr>
    </w:p>
    <w:p w14:paraId="431D1FA2" w14:textId="77777777" w:rsidR="00D80E8F" w:rsidRDefault="00D80E8F" w:rsidP="00D80E8F">
      <w:pPr>
        <w:rPr>
          <w:rFonts w:ascii="Times New Roman" w:hAnsi="Times New Roman" w:cs="Times New Roman"/>
          <w:b/>
          <w:bCs/>
          <w:sz w:val="28"/>
          <w:szCs w:val="28"/>
        </w:rPr>
      </w:pPr>
    </w:p>
    <w:p w14:paraId="4F5350A8" w14:textId="77777777" w:rsidR="00D80E8F" w:rsidRDefault="00D80E8F" w:rsidP="00D80E8F">
      <w:pPr>
        <w:rPr>
          <w:rFonts w:ascii="Times New Roman" w:hAnsi="Times New Roman" w:cs="Times New Roman"/>
          <w:b/>
          <w:bCs/>
          <w:sz w:val="28"/>
          <w:szCs w:val="28"/>
        </w:rPr>
      </w:pPr>
    </w:p>
    <w:p w14:paraId="4A4A2FD2" w14:textId="77777777" w:rsidR="00D80E8F" w:rsidRDefault="00D80E8F" w:rsidP="00D80E8F">
      <w:pPr>
        <w:rPr>
          <w:rFonts w:ascii="Times New Roman" w:hAnsi="Times New Roman" w:cs="Times New Roman"/>
          <w:b/>
          <w:bCs/>
          <w:sz w:val="28"/>
          <w:szCs w:val="28"/>
        </w:rPr>
      </w:pPr>
    </w:p>
    <w:p w14:paraId="1B196F9F" w14:textId="77777777" w:rsidR="00D80E8F" w:rsidRDefault="00D80E8F" w:rsidP="00D80E8F">
      <w:pPr>
        <w:ind w:left="720" w:hanging="720"/>
        <w:jc w:val="center"/>
        <w:rPr>
          <w:rFonts w:ascii="Arial" w:hAnsi="Arial" w:cs="Arial"/>
          <w:b/>
          <w:bCs/>
          <w:lang w:val="en-US"/>
        </w:rPr>
      </w:pPr>
      <w:r>
        <w:rPr>
          <w:rFonts w:ascii="Arial" w:hAnsi="Arial" w:cs="Arial"/>
          <w:b/>
          <w:bCs/>
          <w:lang w:val="en-US"/>
        </w:rPr>
        <w:t>Reference list</w:t>
      </w:r>
    </w:p>
    <w:p w14:paraId="39DBE28E" w14:textId="77777777" w:rsidR="00D80E8F" w:rsidRDefault="00D80E8F" w:rsidP="00D80E8F">
      <w:pPr>
        <w:ind w:left="720" w:hanging="720"/>
        <w:rPr>
          <w:rFonts w:ascii="Arial" w:hAnsi="Arial" w:cs="Arial"/>
          <w:lang w:val="en-US"/>
        </w:rPr>
      </w:pPr>
      <w:r>
        <w:rPr>
          <w:rFonts w:ascii="Arial" w:hAnsi="Arial" w:cs="Arial"/>
          <w:lang w:val="en-US"/>
        </w:rPr>
        <w:t xml:space="preserve">Arnold, S., </w:t>
      </w:r>
      <w:proofErr w:type="spellStart"/>
      <w:r>
        <w:rPr>
          <w:rFonts w:ascii="Arial" w:hAnsi="Arial" w:cs="Arial"/>
          <w:lang w:val="en-US"/>
        </w:rPr>
        <w:t>Purbrick</w:t>
      </w:r>
      <w:proofErr w:type="spellEnd"/>
      <w:r>
        <w:rPr>
          <w:rFonts w:ascii="Arial" w:hAnsi="Arial" w:cs="Arial"/>
          <w:lang w:val="en-US"/>
        </w:rPr>
        <w:t xml:space="preserve">-Thompson, K., Baird, B., Jefferies, D., Charles, A., Baylis, A., Mistry, P., Buck, D. and Buckingham, N. (2025). </w:t>
      </w:r>
      <w:r>
        <w:rPr>
          <w:rFonts w:ascii="Arial" w:hAnsi="Arial" w:cs="Arial"/>
          <w:i/>
          <w:iCs/>
          <w:lang w:val="en-US"/>
        </w:rPr>
        <w:t>NHS priorities for 2026/27 to 2028/29: what does it mean for the system, staff and patients?</w:t>
      </w:r>
      <w:r>
        <w:rPr>
          <w:rFonts w:ascii="Arial" w:hAnsi="Arial" w:cs="Arial"/>
          <w:lang w:val="en-US"/>
        </w:rPr>
        <w:t xml:space="preserve"> [online] The King’s Fund. Available at: </w:t>
      </w:r>
      <w:hyperlink r:id="rId11" w:history="1">
        <w:r>
          <w:rPr>
            <w:rStyle w:val="Hyperlink"/>
            <w:rFonts w:ascii="Arial" w:hAnsi="Arial" w:cs="Arial"/>
            <w:lang w:val="en-US"/>
          </w:rPr>
          <w:t>https://www.kingsfund.org.uk/insight-and-analysis/blogs/nhs-priorities-2026-27-to-2028-29-system-staff-patients</w:t>
        </w:r>
      </w:hyperlink>
      <w:r>
        <w:rPr>
          <w:rFonts w:ascii="Arial" w:hAnsi="Arial" w:cs="Arial"/>
          <w:lang w:val="en-US"/>
        </w:rPr>
        <w:t>.</w:t>
      </w:r>
    </w:p>
    <w:p w14:paraId="438F397A" w14:textId="77777777" w:rsidR="00D80E8F" w:rsidRDefault="00D80E8F" w:rsidP="00D80E8F">
      <w:pPr>
        <w:ind w:left="720" w:hanging="720"/>
        <w:rPr>
          <w:rFonts w:ascii="Arial" w:hAnsi="Arial" w:cs="Arial"/>
          <w:lang w:val="en-US"/>
        </w:rPr>
      </w:pPr>
      <w:r>
        <w:rPr>
          <w:rFonts w:ascii="Arial" w:hAnsi="Arial" w:cs="Arial"/>
          <w:lang w:val="en-US"/>
        </w:rPr>
        <w:t xml:space="preserve">Baker, C. (2024). NHS Key Statistics: England, February 2020. </w:t>
      </w:r>
      <w:r>
        <w:rPr>
          <w:rFonts w:ascii="Arial" w:hAnsi="Arial" w:cs="Arial"/>
          <w:i/>
          <w:iCs/>
          <w:lang w:val="en-US"/>
        </w:rPr>
        <w:t>commonslibrary.parliament.uk</w:t>
      </w:r>
      <w:r>
        <w:rPr>
          <w:rFonts w:ascii="Arial" w:hAnsi="Arial" w:cs="Arial"/>
          <w:lang w:val="en-US"/>
        </w:rPr>
        <w:t xml:space="preserve">. [online] Available at: </w:t>
      </w:r>
      <w:hyperlink r:id="rId12" w:history="1">
        <w:r>
          <w:rPr>
            <w:rStyle w:val="Hyperlink"/>
            <w:rFonts w:ascii="Arial" w:hAnsi="Arial" w:cs="Arial"/>
            <w:lang w:val="en-US"/>
          </w:rPr>
          <w:t>https://commonslibrary.parliament.uk/research-briefings/cbp-7281/</w:t>
        </w:r>
      </w:hyperlink>
      <w:r>
        <w:rPr>
          <w:rFonts w:ascii="Arial" w:hAnsi="Arial" w:cs="Arial"/>
          <w:lang w:val="en-US"/>
        </w:rPr>
        <w:t>.</w:t>
      </w:r>
    </w:p>
    <w:p w14:paraId="689CD9A1" w14:textId="77777777" w:rsidR="00D80E8F" w:rsidRDefault="00D80E8F" w:rsidP="00D80E8F">
      <w:pPr>
        <w:ind w:left="720" w:hanging="720"/>
        <w:rPr>
          <w:rFonts w:ascii="Arial" w:hAnsi="Arial" w:cs="Arial"/>
          <w:lang w:val="en-US"/>
        </w:rPr>
      </w:pPr>
      <w:r>
        <w:rPr>
          <w:rFonts w:ascii="Arial" w:hAnsi="Arial" w:cs="Arial"/>
          <w:lang w:val="en-US"/>
        </w:rPr>
        <w:t xml:space="preserve">Department of Health and Social Care (2025). </w:t>
      </w:r>
      <w:r>
        <w:rPr>
          <w:rFonts w:ascii="Arial" w:hAnsi="Arial" w:cs="Arial"/>
          <w:i/>
          <w:iCs/>
          <w:lang w:val="en-US"/>
        </w:rPr>
        <w:t>Road to recovery: the government’s 2025 Mandate to NHS England</w:t>
      </w:r>
      <w:r>
        <w:rPr>
          <w:rFonts w:ascii="Arial" w:hAnsi="Arial" w:cs="Arial"/>
          <w:lang w:val="en-US"/>
        </w:rPr>
        <w:t xml:space="preserve">. [online] GOV.UK. Available at: </w:t>
      </w:r>
      <w:hyperlink r:id="rId13" w:history="1">
        <w:r>
          <w:rPr>
            <w:rStyle w:val="Hyperlink"/>
            <w:rFonts w:ascii="Arial" w:hAnsi="Arial" w:cs="Arial"/>
            <w:lang w:val="en-US"/>
          </w:rPr>
          <w:t>https://www.gov.uk/government/publications/road-to-recovery-the-governments-2025-mandate-to-nhs-england/road-to-recovery-the-governments-2025-mandate-to-nhs-england</w:t>
        </w:r>
      </w:hyperlink>
      <w:r>
        <w:rPr>
          <w:rFonts w:ascii="Arial" w:hAnsi="Arial" w:cs="Arial"/>
          <w:lang w:val="en-US"/>
        </w:rPr>
        <w:t>.</w:t>
      </w:r>
    </w:p>
    <w:p w14:paraId="6455ED4C" w14:textId="77777777" w:rsidR="00D80E8F" w:rsidRDefault="00D80E8F" w:rsidP="00D80E8F">
      <w:pPr>
        <w:ind w:left="720" w:hanging="720"/>
        <w:rPr>
          <w:rFonts w:ascii="Arial" w:hAnsi="Arial" w:cs="Arial"/>
          <w:lang w:val="en-US"/>
        </w:rPr>
      </w:pPr>
      <w:proofErr w:type="spellStart"/>
      <w:r>
        <w:rPr>
          <w:rFonts w:ascii="Arial" w:hAnsi="Arial" w:cs="Arial"/>
          <w:lang w:val="en-US"/>
        </w:rPr>
        <w:t>Exworthy</w:t>
      </w:r>
      <w:proofErr w:type="spellEnd"/>
      <w:r>
        <w:rPr>
          <w:rFonts w:ascii="Arial" w:hAnsi="Arial" w:cs="Arial"/>
          <w:lang w:val="en-US"/>
        </w:rPr>
        <w:t xml:space="preserve">, M., Mannion, R. and Powell, M. eds., (2023). The NHS at 75: The State of UK Health Policy. [online] Doi: </w:t>
      </w:r>
      <w:hyperlink r:id="rId14" w:history="1">
        <w:r>
          <w:rPr>
            <w:rStyle w:val="Hyperlink"/>
            <w:rFonts w:ascii="Arial" w:hAnsi="Arial" w:cs="Arial"/>
            <w:lang w:val="en-US"/>
          </w:rPr>
          <w:t>https://doi.org/10.1332/policypress/9781447368595.001.0001</w:t>
        </w:r>
      </w:hyperlink>
      <w:r>
        <w:rPr>
          <w:rFonts w:ascii="Arial" w:hAnsi="Arial" w:cs="Arial"/>
          <w:lang w:val="en-US"/>
        </w:rPr>
        <w:t>.</w:t>
      </w:r>
    </w:p>
    <w:p w14:paraId="4F7D6775" w14:textId="77777777" w:rsidR="00D80E8F" w:rsidRDefault="00D80E8F" w:rsidP="00D80E8F">
      <w:pPr>
        <w:ind w:left="720" w:hanging="720"/>
        <w:rPr>
          <w:rFonts w:ascii="Arial" w:hAnsi="Arial" w:cs="Arial"/>
          <w:lang w:val="en-US"/>
        </w:rPr>
      </w:pPr>
      <w:r>
        <w:rPr>
          <w:rFonts w:ascii="Arial" w:hAnsi="Arial" w:cs="Arial"/>
          <w:lang w:val="en-US"/>
        </w:rPr>
        <w:t xml:space="preserve">Holden, J. (2023). </w:t>
      </w:r>
      <w:r>
        <w:rPr>
          <w:rFonts w:ascii="Arial" w:hAnsi="Arial" w:cs="Arial"/>
          <w:i/>
          <w:iCs/>
          <w:lang w:val="en-US"/>
        </w:rPr>
        <w:t>The NHS Long-Term Workforce Plan Explained</w:t>
      </w:r>
      <w:r>
        <w:rPr>
          <w:rFonts w:ascii="Arial" w:hAnsi="Arial" w:cs="Arial"/>
          <w:lang w:val="en-US"/>
        </w:rPr>
        <w:t xml:space="preserve">. [online] The King’s Fund. Available at: </w:t>
      </w:r>
      <w:hyperlink r:id="rId15" w:history="1">
        <w:r>
          <w:rPr>
            <w:rStyle w:val="Hyperlink"/>
            <w:rFonts w:ascii="Arial" w:hAnsi="Arial" w:cs="Arial"/>
            <w:lang w:val="en-US"/>
          </w:rPr>
          <w:t>https://www.kingsfund.org.uk/insight-and-analysis/long-reads/nhs-long-term-workforce-plan-explained</w:t>
        </w:r>
      </w:hyperlink>
      <w:r>
        <w:rPr>
          <w:rFonts w:ascii="Arial" w:hAnsi="Arial" w:cs="Arial"/>
          <w:lang w:val="en-US"/>
        </w:rPr>
        <w:t>.</w:t>
      </w:r>
    </w:p>
    <w:p w14:paraId="18F6CE18" w14:textId="77777777" w:rsidR="00D80E8F" w:rsidRDefault="00D80E8F" w:rsidP="00D80E8F">
      <w:pPr>
        <w:ind w:left="720" w:hanging="720"/>
        <w:rPr>
          <w:rFonts w:ascii="Arial" w:hAnsi="Arial" w:cs="Arial"/>
          <w:lang w:val="en-US"/>
        </w:rPr>
      </w:pPr>
      <w:r>
        <w:rPr>
          <w:rFonts w:ascii="Arial" w:hAnsi="Arial" w:cs="Arial"/>
          <w:lang w:val="en-US"/>
        </w:rPr>
        <w:t xml:space="preserve">Kulakiewicz, A. and Powell, T. (2024). </w:t>
      </w:r>
      <w:r>
        <w:rPr>
          <w:rFonts w:ascii="Arial" w:hAnsi="Arial" w:cs="Arial"/>
          <w:i/>
          <w:iCs/>
          <w:lang w:val="en-US"/>
        </w:rPr>
        <w:t>Future of the National Health Service</w:t>
      </w:r>
      <w:r>
        <w:rPr>
          <w:rFonts w:ascii="Arial" w:hAnsi="Arial" w:cs="Arial"/>
          <w:lang w:val="en-US"/>
        </w:rPr>
        <w:t xml:space="preserve">. [online] House of Commons Library. Available at: </w:t>
      </w:r>
      <w:hyperlink r:id="rId16" w:history="1">
        <w:r>
          <w:rPr>
            <w:rStyle w:val="Hyperlink"/>
            <w:rFonts w:ascii="Arial" w:hAnsi="Arial" w:cs="Arial"/>
            <w:lang w:val="en-US"/>
          </w:rPr>
          <w:t>https://commonslibrary.parliament.uk/research-briefings/cdp-2021-0150/</w:t>
        </w:r>
      </w:hyperlink>
      <w:r>
        <w:rPr>
          <w:rFonts w:ascii="Arial" w:hAnsi="Arial" w:cs="Arial"/>
          <w:lang w:val="en-US"/>
        </w:rPr>
        <w:t>.</w:t>
      </w:r>
    </w:p>
    <w:p w14:paraId="4F4D3959" w14:textId="77777777" w:rsidR="00D80E8F" w:rsidRDefault="00D80E8F" w:rsidP="00D80E8F">
      <w:pPr>
        <w:ind w:left="720" w:hanging="720"/>
        <w:rPr>
          <w:rFonts w:ascii="Arial" w:hAnsi="Arial" w:cs="Arial"/>
          <w:lang w:val="en-US"/>
        </w:rPr>
      </w:pPr>
      <w:r>
        <w:rPr>
          <w:rFonts w:ascii="Arial" w:hAnsi="Arial" w:cs="Arial"/>
          <w:lang w:val="en-US"/>
        </w:rPr>
        <w:t xml:space="preserve">NHS England (2024). </w:t>
      </w:r>
      <w:r>
        <w:rPr>
          <w:rFonts w:ascii="Arial" w:hAnsi="Arial" w:cs="Arial"/>
          <w:i/>
          <w:iCs/>
          <w:lang w:val="en-US"/>
        </w:rPr>
        <w:t>Structure of the NHS</w:t>
      </w:r>
      <w:r>
        <w:rPr>
          <w:rFonts w:ascii="Arial" w:hAnsi="Arial" w:cs="Arial"/>
          <w:lang w:val="en-US"/>
        </w:rPr>
        <w:t xml:space="preserve">. [online] www.england.nhs.uk. Available at: </w:t>
      </w:r>
      <w:hyperlink r:id="rId17" w:history="1">
        <w:r>
          <w:rPr>
            <w:rStyle w:val="Hyperlink"/>
            <w:rFonts w:ascii="Arial" w:hAnsi="Arial" w:cs="Arial"/>
            <w:lang w:val="en-US"/>
          </w:rPr>
          <w:t>https://www.england.nhs.uk/long-read/structure-of-the-nhs/</w:t>
        </w:r>
      </w:hyperlink>
      <w:r>
        <w:rPr>
          <w:rFonts w:ascii="Arial" w:hAnsi="Arial" w:cs="Arial"/>
          <w:lang w:val="en-US"/>
        </w:rPr>
        <w:t>.</w:t>
      </w:r>
    </w:p>
    <w:p w14:paraId="609DE1DF" w14:textId="77777777" w:rsidR="00D80E8F" w:rsidRDefault="00D80E8F" w:rsidP="00D80E8F">
      <w:pPr>
        <w:ind w:left="720" w:hanging="720"/>
        <w:rPr>
          <w:rFonts w:ascii="Arial" w:hAnsi="Arial" w:cs="Arial"/>
          <w:lang w:val="en-US"/>
        </w:rPr>
      </w:pPr>
      <w:r>
        <w:rPr>
          <w:rFonts w:ascii="Arial" w:hAnsi="Arial" w:cs="Arial"/>
          <w:lang w:val="en-US"/>
        </w:rPr>
        <w:t xml:space="preserve">NHS England (2025). </w:t>
      </w:r>
      <w:r>
        <w:rPr>
          <w:rFonts w:ascii="Arial" w:hAnsi="Arial" w:cs="Arial"/>
          <w:i/>
          <w:iCs/>
          <w:lang w:val="en-US"/>
        </w:rPr>
        <w:t>NHS England Integrated Care</w:t>
      </w:r>
      <w:r>
        <w:rPr>
          <w:rFonts w:ascii="Arial" w:hAnsi="Arial" w:cs="Arial"/>
          <w:lang w:val="en-US"/>
        </w:rPr>
        <w:t xml:space="preserve">. [online] England.nhs.uk. Available at: </w:t>
      </w:r>
      <w:hyperlink r:id="rId18" w:history="1">
        <w:r>
          <w:rPr>
            <w:rStyle w:val="Hyperlink"/>
            <w:rFonts w:ascii="Arial" w:hAnsi="Arial" w:cs="Arial"/>
            <w:lang w:val="en-US"/>
          </w:rPr>
          <w:t>https://www.england.nhs.uk/integratedcare/</w:t>
        </w:r>
      </w:hyperlink>
      <w:r>
        <w:rPr>
          <w:rFonts w:ascii="Arial" w:hAnsi="Arial" w:cs="Arial"/>
          <w:lang w:val="en-US"/>
        </w:rPr>
        <w:t>.</w:t>
      </w:r>
    </w:p>
    <w:p w14:paraId="23EF2059" w14:textId="77777777" w:rsidR="00D80E8F" w:rsidRDefault="00D80E8F" w:rsidP="00D80E8F">
      <w:pPr>
        <w:ind w:left="720" w:hanging="720"/>
        <w:rPr>
          <w:rFonts w:ascii="Arial" w:hAnsi="Arial" w:cs="Arial"/>
          <w:lang w:val="en-US"/>
        </w:rPr>
      </w:pPr>
      <w:r>
        <w:rPr>
          <w:rFonts w:ascii="Arial" w:hAnsi="Arial" w:cs="Arial"/>
          <w:lang w:val="en-US"/>
        </w:rPr>
        <w:t xml:space="preserve">Nuffield Trust (2024). </w:t>
      </w:r>
      <w:r>
        <w:rPr>
          <w:rFonts w:ascii="Arial" w:hAnsi="Arial" w:cs="Arial"/>
          <w:i/>
          <w:iCs/>
          <w:lang w:val="en-US"/>
        </w:rPr>
        <w:t>NHS performance dashboard</w:t>
      </w:r>
      <w:r>
        <w:rPr>
          <w:rFonts w:ascii="Arial" w:hAnsi="Arial" w:cs="Arial"/>
          <w:lang w:val="en-US"/>
        </w:rPr>
        <w:t xml:space="preserve">. [online] Nuffield Trust. Available at: </w:t>
      </w:r>
      <w:hyperlink r:id="rId19" w:history="1">
        <w:r>
          <w:rPr>
            <w:rStyle w:val="Hyperlink"/>
            <w:rFonts w:ascii="Arial" w:hAnsi="Arial" w:cs="Arial"/>
            <w:lang w:val="en-US"/>
          </w:rPr>
          <w:t>https://www.nuffieldtrust.org.uk/qualitywatch/nhs-performance-dashboard</w:t>
        </w:r>
      </w:hyperlink>
      <w:r>
        <w:rPr>
          <w:rFonts w:ascii="Arial" w:hAnsi="Arial" w:cs="Arial"/>
          <w:lang w:val="en-US"/>
        </w:rPr>
        <w:t>.</w:t>
      </w:r>
    </w:p>
    <w:p w14:paraId="27B8C53C" w14:textId="77777777" w:rsidR="00D80E8F" w:rsidRDefault="00D80E8F" w:rsidP="00D80E8F">
      <w:pPr>
        <w:ind w:left="720" w:hanging="720"/>
        <w:rPr>
          <w:rFonts w:ascii="Arial" w:hAnsi="Arial" w:cs="Arial"/>
          <w:lang w:val="en-US"/>
        </w:rPr>
      </w:pPr>
      <w:r>
        <w:rPr>
          <w:rFonts w:ascii="Arial" w:hAnsi="Arial" w:cs="Arial"/>
          <w:lang w:val="en-US"/>
        </w:rPr>
        <w:t xml:space="preserve">The Health Foundation (2023). </w:t>
      </w:r>
      <w:r>
        <w:rPr>
          <w:rFonts w:ascii="Arial" w:hAnsi="Arial" w:cs="Arial"/>
          <w:i/>
          <w:iCs/>
          <w:lang w:val="en-US"/>
        </w:rPr>
        <w:t>The NHS at 75: the past, the present and the future</w:t>
      </w:r>
      <w:r>
        <w:rPr>
          <w:rFonts w:ascii="Arial" w:hAnsi="Arial" w:cs="Arial"/>
          <w:lang w:val="en-US"/>
        </w:rPr>
        <w:t xml:space="preserve">. [online] The Health Foundation. Available at: </w:t>
      </w:r>
      <w:hyperlink r:id="rId20" w:history="1">
        <w:r>
          <w:rPr>
            <w:rStyle w:val="Hyperlink"/>
            <w:rFonts w:ascii="Arial" w:hAnsi="Arial" w:cs="Arial"/>
            <w:lang w:val="en-US"/>
          </w:rPr>
          <w:t>https://www.health.org.uk/events/the-nhs-at-75-the-past-the-present-and-the-future</w:t>
        </w:r>
      </w:hyperlink>
      <w:r>
        <w:rPr>
          <w:rFonts w:ascii="Arial" w:hAnsi="Arial" w:cs="Arial"/>
          <w:lang w:val="en-US"/>
        </w:rPr>
        <w:t>.</w:t>
      </w:r>
    </w:p>
    <w:p w14:paraId="76734C89" w14:textId="77777777" w:rsidR="00D80E8F" w:rsidRDefault="00D80E8F" w:rsidP="00D80E8F">
      <w:pPr>
        <w:ind w:left="720" w:hanging="720"/>
        <w:rPr>
          <w:rFonts w:ascii="Arial" w:hAnsi="Arial" w:cs="Arial"/>
          <w:lang w:val="en-US"/>
        </w:rPr>
      </w:pPr>
      <w:r>
        <w:rPr>
          <w:rFonts w:ascii="Arial" w:hAnsi="Arial" w:cs="Arial"/>
          <w:lang w:val="en-US"/>
        </w:rPr>
        <w:t xml:space="preserve">The King's Fund (2024). </w:t>
      </w:r>
      <w:r>
        <w:rPr>
          <w:rFonts w:ascii="Arial" w:hAnsi="Arial" w:cs="Arial"/>
          <w:i/>
          <w:iCs/>
          <w:lang w:val="en-US"/>
        </w:rPr>
        <w:t>Patient Waiting Times</w:t>
      </w:r>
      <w:r>
        <w:rPr>
          <w:rFonts w:ascii="Arial" w:hAnsi="Arial" w:cs="Arial"/>
          <w:lang w:val="en-US"/>
        </w:rPr>
        <w:t xml:space="preserve">. [online] The King’s Fund. Available at: </w:t>
      </w:r>
      <w:hyperlink r:id="rId21" w:history="1">
        <w:r>
          <w:rPr>
            <w:rStyle w:val="Hyperlink"/>
            <w:rFonts w:ascii="Arial" w:hAnsi="Arial" w:cs="Arial"/>
            <w:lang w:val="en-US"/>
          </w:rPr>
          <w:t>https://www.kingsfund.org.uk/insight-and-analysis/data-and-charts/patient-waiting-times</w:t>
        </w:r>
      </w:hyperlink>
      <w:r>
        <w:rPr>
          <w:rFonts w:ascii="Arial" w:hAnsi="Arial" w:cs="Arial"/>
          <w:lang w:val="en-US"/>
        </w:rPr>
        <w:t>.</w:t>
      </w:r>
    </w:p>
    <w:p w14:paraId="404C1762" w14:textId="77777777" w:rsidR="00D80E8F" w:rsidRDefault="00D80E8F" w:rsidP="00D80E8F">
      <w:pPr>
        <w:ind w:left="720" w:hanging="720"/>
        <w:rPr>
          <w:rFonts w:ascii="Arial" w:hAnsi="Arial" w:cs="Arial"/>
          <w:lang w:val="en-US"/>
        </w:rPr>
      </w:pPr>
      <w:r>
        <w:rPr>
          <w:rFonts w:ascii="Arial" w:hAnsi="Arial" w:cs="Arial"/>
          <w:lang w:val="en-US"/>
        </w:rPr>
        <w:t xml:space="preserve">The Kings Fund (2025). </w:t>
      </w:r>
      <w:r>
        <w:rPr>
          <w:rFonts w:ascii="Arial" w:hAnsi="Arial" w:cs="Arial"/>
          <w:i/>
          <w:iCs/>
          <w:lang w:val="en-US"/>
        </w:rPr>
        <w:t>NHS: Key Facts and Figures</w:t>
      </w:r>
      <w:r>
        <w:rPr>
          <w:rFonts w:ascii="Arial" w:hAnsi="Arial" w:cs="Arial"/>
          <w:lang w:val="en-US"/>
        </w:rPr>
        <w:t xml:space="preserve">. [online] The King’s Fund. Available at: </w:t>
      </w:r>
      <w:hyperlink r:id="rId22" w:history="1">
        <w:r>
          <w:rPr>
            <w:rStyle w:val="Hyperlink"/>
            <w:rFonts w:ascii="Arial" w:hAnsi="Arial" w:cs="Arial"/>
            <w:lang w:val="en-US"/>
          </w:rPr>
          <w:t>https://www.kingsfund.org.uk/insight-and-analysis/data-and-charts/key-facts-figures-nhs</w:t>
        </w:r>
      </w:hyperlink>
      <w:r>
        <w:rPr>
          <w:rFonts w:ascii="Arial" w:hAnsi="Arial" w:cs="Arial"/>
          <w:lang w:val="en-US"/>
        </w:rPr>
        <w:t>.</w:t>
      </w:r>
    </w:p>
    <w:p w14:paraId="4229EEEE" w14:textId="77777777" w:rsidR="00D80E8F" w:rsidRDefault="00D80E8F" w:rsidP="00D80E8F">
      <w:pPr>
        <w:ind w:left="720" w:hanging="720"/>
        <w:rPr>
          <w:rFonts w:ascii="Arial" w:hAnsi="Arial" w:cs="Arial"/>
          <w:lang w:val="en-US"/>
        </w:rPr>
      </w:pPr>
      <w:r>
        <w:rPr>
          <w:rFonts w:ascii="Arial" w:hAnsi="Arial" w:cs="Arial"/>
          <w:lang w:val="en-US"/>
        </w:rPr>
        <w:t xml:space="preserve">Williams, B. (2024). The British NHS at 75: Past, Contemporary, and Future Challenges. </w:t>
      </w:r>
      <w:r>
        <w:rPr>
          <w:rFonts w:ascii="Arial" w:hAnsi="Arial" w:cs="Arial"/>
          <w:i/>
          <w:iCs/>
          <w:lang w:val="en-US"/>
        </w:rPr>
        <w:t>International Journal of Social Determinants of Health and Health Services</w:t>
      </w:r>
      <w:r>
        <w:rPr>
          <w:rFonts w:ascii="Arial" w:hAnsi="Arial" w:cs="Arial"/>
          <w:lang w:val="en-US"/>
        </w:rPr>
        <w:t xml:space="preserve">, [online] 55(1). Doi: </w:t>
      </w:r>
      <w:hyperlink r:id="rId23" w:history="1">
        <w:r>
          <w:rPr>
            <w:rStyle w:val="Hyperlink"/>
            <w:rFonts w:ascii="Arial" w:hAnsi="Arial" w:cs="Arial"/>
            <w:lang w:val="en-US"/>
          </w:rPr>
          <w:t>https://doi.org/10.1177/27551938241280175</w:t>
        </w:r>
      </w:hyperlink>
      <w:r>
        <w:rPr>
          <w:rFonts w:ascii="Arial" w:hAnsi="Arial" w:cs="Arial"/>
          <w:lang w:val="en-US"/>
        </w:rPr>
        <w:t>.</w:t>
      </w:r>
    </w:p>
    <w:p w14:paraId="5DC0029E" w14:textId="77777777" w:rsidR="00D80E8F" w:rsidRDefault="00D80E8F" w:rsidP="00D80E8F">
      <w:pPr>
        <w:ind w:left="720" w:hanging="720"/>
        <w:rPr>
          <w:rFonts w:ascii="Arial" w:hAnsi="Arial" w:cs="Arial"/>
          <w:lang w:val="en-US"/>
        </w:rPr>
      </w:pPr>
      <w:r>
        <w:rPr>
          <w:rFonts w:ascii="Arial" w:hAnsi="Arial" w:cs="Arial"/>
          <w:lang w:val="en-US"/>
        </w:rPr>
        <w:lastRenderedPageBreak/>
        <w:t xml:space="preserve">Wood, R.M., Fox, S.S., Morgan, L.E. and Walton, N.S. (2025). The NHS waiting list in England must halve to reach waiting time targets. </w:t>
      </w:r>
      <w:r>
        <w:rPr>
          <w:rFonts w:ascii="Arial" w:hAnsi="Arial" w:cs="Arial"/>
          <w:i/>
          <w:iCs/>
          <w:lang w:val="en-US"/>
        </w:rPr>
        <w:t>Future Healthcare Journal</w:t>
      </w:r>
      <w:r>
        <w:rPr>
          <w:rFonts w:ascii="Arial" w:hAnsi="Arial" w:cs="Arial"/>
          <w:lang w:val="en-US"/>
        </w:rPr>
        <w:t xml:space="preserve">, [online] p.100478. Doi: </w:t>
      </w:r>
      <w:hyperlink r:id="rId24" w:history="1">
        <w:r>
          <w:rPr>
            <w:rStyle w:val="Hyperlink"/>
            <w:rFonts w:ascii="Arial" w:hAnsi="Arial" w:cs="Arial"/>
            <w:lang w:val="en-US"/>
          </w:rPr>
          <w:t>https://doi.org/10.1016/j.fhj.2025.100478</w:t>
        </w:r>
      </w:hyperlink>
      <w:r>
        <w:rPr>
          <w:rFonts w:ascii="Arial" w:hAnsi="Arial" w:cs="Arial"/>
          <w:lang w:val="en-US"/>
        </w:rPr>
        <w:t>.</w:t>
      </w:r>
    </w:p>
    <w:p w14:paraId="2A313F4A" w14:textId="77777777" w:rsidR="00D80E8F" w:rsidRDefault="00D80E8F" w:rsidP="00D80E8F">
      <w:pPr>
        <w:ind w:left="720" w:hanging="720"/>
        <w:rPr>
          <w:rFonts w:ascii="Arial" w:hAnsi="Arial" w:cs="Arial"/>
          <w:lang w:val="en-US"/>
        </w:rPr>
      </w:pPr>
      <w:r>
        <w:rPr>
          <w:rFonts w:ascii="Arial" w:hAnsi="Arial" w:cs="Arial"/>
          <w:lang w:val="en-US"/>
        </w:rPr>
        <w:t xml:space="preserve">Baird, B. (2025). </w:t>
      </w:r>
      <w:r>
        <w:rPr>
          <w:rFonts w:ascii="Arial" w:hAnsi="Arial" w:cs="Arial"/>
          <w:i/>
          <w:iCs/>
          <w:lang w:val="en-US"/>
        </w:rPr>
        <w:t>Community Pharmacy Explained</w:t>
      </w:r>
      <w:r>
        <w:rPr>
          <w:rFonts w:ascii="Arial" w:hAnsi="Arial" w:cs="Arial"/>
          <w:lang w:val="en-US"/>
        </w:rPr>
        <w:t xml:space="preserve">. [online] The King’s Fund. Available at: </w:t>
      </w:r>
      <w:hyperlink r:id="rId25" w:history="1">
        <w:r>
          <w:rPr>
            <w:rStyle w:val="Hyperlink"/>
            <w:rFonts w:ascii="Arial" w:hAnsi="Arial" w:cs="Arial"/>
            <w:lang w:val="en-US"/>
          </w:rPr>
          <w:t>https://www.kingsfund.org.uk/insight-and-analysis/long-reads/community-pharmacy-explained</w:t>
        </w:r>
      </w:hyperlink>
      <w:r>
        <w:rPr>
          <w:rFonts w:ascii="Arial" w:hAnsi="Arial" w:cs="Arial"/>
          <w:lang w:val="en-US"/>
        </w:rPr>
        <w:t>.</w:t>
      </w:r>
    </w:p>
    <w:p w14:paraId="3E55D632" w14:textId="77777777" w:rsidR="00D80E8F" w:rsidRDefault="00D80E8F" w:rsidP="00D80E8F">
      <w:pPr>
        <w:ind w:left="720" w:hanging="720"/>
        <w:rPr>
          <w:rFonts w:ascii="Arial" w:hAnsi="Arial" w:cs="Arial"/>
          <w:lang w:val="en-US"/>
        </w:rPr>
      </w:pPr>
      <w:r>
        <w:rPr>
          <w:rFonts w:ascii="Arial" w:hAnsi="Arial" w:cs="Arial"/>
          <w:lang w:val="en-US"/>
        </w:rPr>
        <w:t xml:space="preserve">Baird, B., Buckingham, H., Charles, A. and Murray, R. (2023). </w:t>
      </w:r>
      <w:r>
        <w:rPr>
          <w:rFonts w:ascii="Arial" w:hAnsi="Arial" w:cs="Arial"/>
          <w:i/>
          <w:iCs/>
          <w:lang w:val="en-US"/>
        </w:rPr>
        <w:t>A vision for community pharmacy</w:t>
      </w:r>
      <w:r>
        <w:rPr>
          <w:rFonts w:ascii="Arial" w:hAnsi="Arial" w:cs="Arial"/>
          <w:lang w:val="en-US"/>
        </w:rPr>
        <w:t xml:space="preserve">. [online] pp.1–66. Available at: </w:t>
      </w:r>
      <w:hyperlink r:id="rId26" w:history="1">
        <w:r>
          <w:rPr>
            <w:rStyle w:val="Hyperlink"/>
            <w:rFonts w:ascii="Arial" w:hAnsi="Arial" w:cs="Arial"/>
            <w:lang w:val="en-US"/>
          </w:rPr>
          <w:t>https://cpe.org.uk/wp-content/uploads/2023/09/Nuffield-Trust-and-The-Kings-Fund-A-vision-for-community-pharmacy_WEB_FINAL.pdf</w:t>
        </w:r>
      </w:hyperlink>
      <w:r>
        <w:rPr>
          <w:rFonts w:ascii="Arial" w:hAnsi="Arial" w:cs="Arial"/>
          <w:lang w:val="en-US"/>
        </w:rPr>
        <w:t>.</w:t>
      </w:r>
    </w:p>
    <w:p w14:paraId="7E070D9C" w14:textId="77777777" w:rsidR="00D80E8F" w:rsidRDefault="00D80E8F" w:rsidP="00D80E8F">
      <w:pPr>
        <w:ind w:left="720" w:hanging="720"/>
        <w:rPr>
          <w:rFonts w:ascii="Arial" w:hAnsi="Arial" w:cs="Arial"/>
          <w:lang w:val="en-US"/>
        </w:rPr>
      </w:pPr>
      <w:r>
        <w:rPr>
          <w:rFonts w:ascii="Arial" w:hAnsi="Arial" w:cs="Arial"/>
          <w:lang w:val="en-US"/>
        </w:rPr>
        <w:t xml:space="preserve">Community Pharmacy England (2024). </w:t>
      </w:r>
      <w:r>
        <w:rPr>
          <w:rFonts w:ascii="Arial" w:hAnsi="Arial" w:cs="Arial"/>
          <w:i/>
          <w:iCs/>
          <w:lang w:val="en-US"/>
        </w:rPr>
        <w:t>Critical staffing pressures in Community Pharmacies hitting patients - Community Pharmacy England</w:t>
      </w:r>
      <w:r>
        <w:rPr>
          <w:rFonts w:ascii="Arial" w:hAnsi="Arial" w:cs="Arial"/>
          <w:lang w:val="en-US"/>
        </w:rPr>
        <w:t xml:space="preserve">. [online] Community Pharmacy England. Available at: </w:t>
      </w:r>
      <w:hyperlink r:id="rId27" w:history="1">
        <w:r>
          <w:rPr>
            <w:rStyle w:val="Hyperlink"/>
            <w:rFonts w:ascii="Arial" w:hAnsi="Arial" w:cs="Arial"/>
            <w:lang w:val="en-US"/>
          </w:rPr>
          <w:t>https://cpe.org.uk/our-news/critical-staffing-pressures-in-community-pharmacies-hitting-patients/</w:t>
        </w:r>
      </w:hyperlink>
      <w:r>
        <w:rPr>
          <w:rFonts w:ascii="Arial" w:hAnsi="Arial" w:cs="Arial"/>
          <w:lang w:val="en-US"/>
        </w:rPr>
        <w:t>.</w:t>
      </w:r>
    </w:p>
    <w:p w14:paraId="6FA20484" w14:textId="77777777" w:rsidR="00D80E8F" w:rsidRDefault="00D80E8F" w:rsidP="00D80E8F">
      <w:pPr>
        <w:ind w:left="720" w:hanging="720"/>
        <w:rPr>
          <w:rFonts w:ascii="Arial" w:hAnsi="Arial" w:cs="Arial"/>
          <w:lang w:val="en-US"/>
        </w:rPr>
      </w:pPr>
      <w:r>
        <w:rPr>
          <w:rFonts w:ascii="Arial" w:hAnsi="Arial" w:cs="Arial"/>
          <w:lang w:val="en-US"/>
        </w:rPr>
        <w:t xml:space="preserve">Department of Health &amp; Social Care (2024). </w:t>
      </w:r>
      <w:r>
        <w:rPr>
          <w:rFonts w:ascii="Arial" w:hAnsi="Arial" w:cs="Arial"/>
          <w:i/>
          <w:iCs/>
          <w:lang w:val="en-US"/>
        </w:rPr>
        <w:t>Government response to the consultation on hub and spoke dispensing</w:t>
      </w:r>
      <w:r>
        <w:rPr>
          <w:rFonts w:ascii="Arial" w:hAnsi="Arial" w:cs="Arial"/>
          <w:lang w:val="en-US"/>
        </w:rPr>
        <w:t xml:space="preserve">. [online] GOV.UK. Available at: </w:t>
      </w:r>
      <w:hyperlink r:id="rId28" w:history="1">
        <w:r>
          <w:rPr>
            <w:rStyle w:val="Hyperlink"/>
            <w:rFonts w:ascii="Arial" w:hAnsi="Arial" w:cs="Arial"/>
            <w:lang w:val="en-US"/>
          </w:rPr>
          <w:t>https://www.gov.uk/government/consultations/hub-and-spoke-dispensing/outcome/government-response-to-the-consultation-on-hub-and-spoke-dispensing</w:t>
        </w:r>
      </w:hyperlink>
      <w:r>
        <w:rPr>
          <w:rFonts w:ascii="Arial" w:hAnsi="Arial" w:cs="Arial"/>
          <w:lang w:val="en-US"/>
        </w:rPr>
        <w:t>.</w:t>
      </w:r>
    </w:p>
    <w:p w14:paraId="35943D0E" w14:textId="77777777" w:rsidR="00D80E8F" w:rsidRDefault="00D80E8F" w:rsidP="00D80E8F">
      <w:pPr>
        <w:ind w:left="720" w:hanging="720"/>
        <w:rPr>
          <w:rFonts w:ascii="Arial" w:hAnsi="Arial" w:cs="Arial"/>
          <w:lang w:val="en-US"/>
        </w:rPr>
      </w:pPr>
      <w:r>
        <w:rPr>
          <w:rFonts w:ascii="Arial" w:hAnsi="Arial" w:cs="Arial"/>
          <w:lang w:val="en-US"/>
        </w:rPr>
        <w:t xml:space="preserve">Department of Health &amp; Social Care (2023). </w:t>
      </w:r>
      <w:r>
        <w:rPr>
          <w:rFonts w:ascii="Arial" w:hAnsi="Arial" w:cs="Arial"/>
          <w:i/>
          <w:iCs/>
          <w:lang w:val="en-US"/>
        </w:rPr>
        <w:t>Community Pharmacy Contractual Framework 5-year deal: year 3 (2021 to 2022)</w:t>
      </w:r>
      <w:r>
        <w:rPr>
          <w:rFonts w:ascii="Arial" w:hAnsi="Arial" w:cs="Arial"/>
          <w:lang w:val="en-US"/>
        </w:rPr>
        <w:t xml:space="preserve">. [online] GOV.UK. Available at: </w:t>
      </w:r>
      <w:hyperlink r:id="rId29" w:history="1">
        <w:r>
          <w:rPr>
            <w:rStyle w:val="Hyperlink"/>
            <w:rFonts w:ascii="Arial" w:hAnsi="Arial" w:cs="Arial"/>
            <w:lang w:val="en-US"/>
          </w:rPr>
          <w:t>https://www.gov.uk/government/publications/community-pharmacy-contractual-framework-2019-to-2024/community-pharmacy-contractual-framework-5-year-deal-year-3-2021-to-2022</w:t>
        </w:r>
      </w:hyperlink>
      <w:r>
        <w:rPr>
          <w:rFonts w:ascii="Arial" w:hAnsi="Arial" w:cs="Arial"/>
          <w:lang w:val="en-US"/>
        </w:rPr>
        <w:t>.</w:t>
      </w:r>
    </w:p>
    <w:p w14:paraId="12F71ABB" w14:textId="77777777" w:rsidR="00D80E8F" w:rsidRDefault="00D80E8F" w:rsidP="00D80E8F">
      <w:pPr>
        <w:ind w:left="720" w:hanging="720"/>
        <w:rPr>
          <w:rFonts w:ascii="Arial" w:hAnsi="Arial" w:cs="Arial"/>
          <w:lang w:val="en-US"/>
        </w:rPr>
      </w:pPr>
      <w:r>
        <w:rPr>
          <w:rFonts w:ascii="Arial" w:hAnsi="Arial" w:cs="Arial"/>
          <w:lang w:val="en-US"/>
        </w:rPr>
        <w:t xml:space="preserve">Dowden, A. (2023). Views on the delivery plan for recovering access to primary care. </w:t>
      </w:r>
      <w:r>
        <w:rPr>
          <w:rFonts w:ascii="Arial" w:hAnsi="Arial" w:cs="Arial"/>
          <w:i/>
          <w:iCs/>
          <w:lang w:val="en-US"/>
        </w:rPr>
        <w:t>Prescriber</w:t>
      </w:r>
      <w:r>
        <w:rPr>
          <w:rFonts w:ascii="Arial" w:hAnsi="Arial" w:cs="Arial"/>
          <w:lang w:val="en-US"/>
        </w:rPr>
        <w:t xml:space="preserve">, 34(11-12), pp.11–14. Doi: </w:t>
      </w:r>
      <w:hyperlink r:id="rId30" w:history="1">
        <w:r>
          <w:rPr>
            <w:rStyle w:val="Hyperlink"/>
            <w:rFonts w:ascii="Arial" w:hAnsi="Arial" w:cs="Arial"/>
            <w:lang w:val="en-US"/>
          </w:rPr>
          <w:t>https://doi.org/10.1002/psb.2100</w:t>
        </w:r>
      </w:hyperlink>
      <w:r>
        <w:rPr>
          <w:rFonts w:ascii="Arial" w:hAnsi="Arial" w:cs="Arial"/>
          <w:lang w:val="en-US"/>
        </w:rPr>
        <w:t>.</w:t>
      </w:r>
    </w:p>
    <w:p w14:paraId="2CC926D7" w14:textId="77777777" w:rsidR="00D80E8F" w:rsidRDefault="00D80E8F" w:rsidP="00D80E8F">
      <w:pPr>
        <w:ind w:left="720" w:hanging="720"/>
        <w:rPr>
          <w:rFonts w:ascii="Arial" w:hAnsi="Arial" w:cs="Arial"/>
          <w:lang w:val="en-US"/>
        </w:rPr>
      </w:pPr>
      <w:r>
        <w:rPr>
          <w:rFonts w:ascii="Arial" w:hAnsi="Arial" w:cs="Arial"/>
          <w:lang w:val="en-US"/>
        </w:rPr>
        <w:t xml:space="preserve">Health and Social Care Committee (2024). </w:t>
      </w:r>
      <w:r>
        <w:rPr>
          <w:rFonts w:ascii="Arial" w:hAnsi="Arial" w:cs="Arial"/>
          <w:i/>
          <w:iCs/>
          <w:lang w:val="en-US"/>
        </w:rPr>
        <w:t>Pharmacy - Health and Social Care Committee</w:t>
      </w:r>
      <w:r>
        <w:rPr>
          <w:rFonts w:ascii="Arial" w:hAnsi="Arial" w:cs="Arial"/>
          <w:lang w:val="en-US"/>
        </w:rPr>
        <w:t xml:space="preserve">. [online] Parliament.uk. Available at: </w:t>
      </w:r>
      <w:hyperlink r:id="rId31" w:history="1">
        <w:r>
          <w:rPr>
            <w:rStyle w:val="Hyperlink"/>
            <w:rFonts w:ascii="Arial" w:hAnsi="Arial" w:cs="Arial"/>
            <w:lang w:val="en-US"/>
          </w:rPr>
          <w:t>https://publications.parliament.uk/pa/cm5804/cmselect/cmhealth/140/report.html</w:t>
        </w:r>
      </w:hyperlink>
      <w:r>
        <w:rPr>
          <w:rFonts w:ascii="Arial" w:hAnsi="Arial" w:cs="Arial"/>
          <w:lang w:val="en-US"/>
        </w:rPr>
        <w:t>.</w:t>
      </w:r>
    </w:p>
    <w:p w14:paraId="3BE3D4B5" w14:textId="77777777" w:rsidR="00D80E8F" w:rsidRDefault="00D80E8F" w:rsidP="00D80E8F">
      <w:pPr>
        <w:ind w:left="720" w:hanging="720"/>
        <w:rPr>
          <w:rFonts w:ascii="Arial" w:hAnsi="Arial" w:cs="Arial"/>
          <w:lang w:val="en-US"/>
        </w:rPr>
      </w:pPr>
      <w:r>
        <w:rPr>
          <w:rFonts w:ascii="Arial" w:hAnsi="Arial" w:cs="Arial"/>
          <w:lang w:val="en-US"/>
        </w:rPr>
        <w:t xml:space="preserve">NHS Confederation (2023). </w:t>
      </w:r>
      <w:r>
        <w:rPr>
          <w:rFonts w:ascii="Arial" w:hAnsi="Arial" w:cs="Arial"/>
          <w:i/>
          <w:iCs/>
          <w:lang w:val="en-US"/>
        </w:rPr>
        <w:t>Delivery plan for recovering primary care access | NHS Confederation</w:t>
      </w:r>
      <w:r>
        <w:rPr>
          <w:rFonts w:ascii="Arial" w:hAnsi="Arial" w:cs="Arial"/>
          <w:lang w:val="en-US"/>
        </w:rPr>
        <w:t xml:space="preserve">. [online] www.nhsconfed.org. Available at: </w:t>
      </w:r>
      <w:hyperlink r:id="rId32" w:history="1">
        <w:r>
          <w:rPr>
            <w:rStyle w:val="Hyperlink"/>
            <w:rFonts w:ascii="Arial" w:hAnsi="Arial" w:cs="Arial"/>
            <w:lang w:val="en-US"/>
          </w:rPr>
          <w:t>https://www.nhsconfed.org/publications/delivery-plan-recovering-primary-care-access</w:t>
        </w:r>
      </w:hyperlink>
      <w:r>
        <w:rPr>
          <w:rFonts w:ascii="Arial" w:hAnsi="Arial" w:cs="Arial"/>
          <w:lang w:val="en-US"/>
        </w:rPr>
        <w:t>.</w:t>
      </w:r>
    </w:p>
    <w:p w14:paraId="2E63EBFC" w14:textId="77777777" w:rsidR="00D80E8F" w:rsidRDefault="00D80E8F" w:rsidP="00D80E8F">
      <w:pPr>
        <w:ind w:left="720" w:hanging="720"/>
        <w:rPr>
          <w:rFonts w:ascii="Arial" w:hAnsi="Arial" w:cs="Arial"/>
          <w:lang w:val="en-US"/>
        </w:rPr>
      </w:pPr>
      <w:r>
        <w:rPr>
          <w:rFonts w:ascii="Arial" w:hAnsi="Arial" w:cs="Arial"/>
          <w:lang w:val="en-US"/>
        </w:rPr>
        <w:t xml:space="preserve">NHS England (2024). </w:t>
      </w:r>
      <w:r>
        <w:rPr>
          <w:rFonts w:ascii="Arial" w:hAnsi="Arial" w:cs="Arial"/>
          <w:i/>
          <w:iCs/>
          <w:lang w:val="en-US"/>
        </w:rPr>
        <w:t>Pharmacy First</w:t>
      </w:r>
      <w:r>
        <w:rPr>
          <w:rFonts w:ascii="Arial" w:hAnsi="Arial" w:cs="Arial"/>
          <w:lang w:val="en-US"/>
        </w:rPr>
        <w:t xml:space="preserve">. [online] www.england.nhs.uk. Available at: </w:t>
      </w:r>
      <w:hyperlink r:id="rId33" w:history="1">
        <w:r>
          <w:rPr>
            <w:rStyle w:val="Hyperlink"/>
            <w:rFonts w:ascii="Arial" w:hAnsi="Arial" w:cs="Arial"/>
            <w:lang w:val="en-US"/>
          </w:rPr>
          <w:t>https://www.england.nhs.uk/primary-care/pharmacy/pharmacy-services/pharmacy-first/</w:t>
        </w:r>
      </w:hyperlink>
      <w:r>
        <w:rPr>
          <w:rFonts w:ascii="Arial" w:hAnsi="Arial" w:cs="Arial"/>
          <w:lang w:val="en-US"/>
        </w:rPr>
        <w:t>.</w:t>
      </w:r>
    </w:p>
    <w:p w14:paraId="4A610048" w14:textId="77777777" w:rsidR="00D80E8F" w:rsidRDefault="00D80E8F" w:rsidP="00D80E8F">
      <w:pPr>
        <w:ind w:left="720" w:hanging="720"/>
        <w:rPr>
          <w:rFonts w:ascii="Arial" w:hAnsi="Arial" w:cs="Arial"/>
          <w:lang w:val="en-US"/>
        </w:rPr>
      </w:pPr>
      <w:proofErr w:type="spellStart"/>
      <w:r>
        <w:rPr>
          <w:rFonts w:ascii="Arial" w:hAnsi="Arial" w:cs="Arial"/>
          <w:lang w:val="en-US"/>
        </w:rPr>
        <w:t>Paloumpi</w:t>
      </w:r>
      <w:proofErr w:type="spellEnd"/>
      <w:r>
        <w:rPr>
          <w:rFonts w:ascii="Arial" w:hAnsi="Arial" w:cs="Arial"/>
          <w:lang w:val="en-US"/>
        </w:rPr>
        <w:t xml:space="preserve">, E., Ozieranski, P., Watson, M.C. and Jones, M.D. (2023a). Professional and governmental policy on community pharmacy: A 10-year policy review and comparative analysis (2008–2017). </w:t>
      </w:r>
      <w:r>
        <w:rPr>
          <w:rFonts w:ascii="Arial" w:hAnsi="Arial" w:cs="Arial"/>
          <w:i/>
          <w:iCs/>
          <w:lang w:val="en-US"/>
        </w:rPr>
        <w:t>Exploratory Research in Clinical and Social Pharmacy</w:t>
      </w:r>
      <w:r>
        <w:rPr>
          <w:rFonts w:ascii="Arial" w:hAnsi="Arial" w:cs="Arial"/>
          <w:lang w:val="en-US"/>
        </w:rPr>
        <w:t xml:space="preserve">, [online] 11, p.100298. Doi: </w:t>
      </w:r>
      <w:hyperlink r:id="rId34" w:history="1">
        <w:r>
          <w:rPr>
            <w:rStyle w:val="Hyperlink"/>
            <w:rFonts w:ascii="Arial" w:hAnsi="Arial" w:cs="Arial"/>
            <w:lang w:val="en-US"/>
          </w:rPr>
          <w:t>https://doi.org/10.1016/j.rcsop.2023.100298</w:t>
        </w:r>
      </w:hyperlink>
      <w:r>
        <w:rPr>
          <w:rFonts w:ascii="Arial" w:hAnsi="Arial" w:cs="Arial"/>
          <w:lang w:val="en-US"/>
        </w:rPr>
        <w:t>.</w:t>
      </w:r>
    </w:p>
    <w:p w14:paraId="264A05BB" w14:textId="0654ACEA" w:rsidR="005D095C" w:rsidRDefault="00D80E8F" w:rsidP="00D80E8F">
      <w:proofErr w:type="spellStart"/>
      <w:r>
        <w:rPr>
          <w:rFonts w:ascii="Arial" w:hAnsi="Arial" w:cs="Arial"/>
          <w:lang w:val="en-US"/>
        </w:rPr>
        <w:t>Paloumpi</w:t>
      </w:r>
      <w:proofErr w:type="spellEnd"/>
      <w:r>
        <w:rPr>
          <w:rFonts w:ascii="Arial" w:hAnsi="Arial" w:cs="Arial"/>
          <w:lang w:val="en-US"/>
        </w:rPr>
        <w:t xml:space="preserve">, E., Ozieranski, P., Watson, M.C. and Jones, M.D. (2023b). Professional stakeholders’ expectations for the future of community pharmacy practice in England: a qualitative study. </w:t>
      </w:r>
      <w:r>
        <w:rPr>
          <w:rFonts w:ascii="Arial" w:hAnsi="Arial" w:cs="Arial"/>
          <w:i/>
          <w:iCs/>
          <w:lang w:val="en-US"/>
        </w:rPr>
        <w:t>BMJ Open</w:t>
      </w:r>
      <w:r>
        <w:rPr>
          <w:rFonts w:ascii="Arial" w:hAnsi="Arial" w:cs="Arial"/>
          <w:lang w:val="en-US"/>
        </w:rPr>
        <w:t xml:space="preserve">, [online] 13(10), p.e075069. Doi: </w:t>
      </w:r>
      <w:hyperlink r:id="rId35" w:history="1">
        <w:r>
          <w:rPr>
            <w:rStyle w:val="Hyperlink"/>
            <w:rFonts w:ascii="Arial" w:hAnsi="Arial" w:cs="Arial"/>
            <w:lang w:val="en-US"/>
          </w:rPr>
          <w:t>https://doi.org/10.1136/bmjopen-2023-075069</w:t>
        </w:r>
      </w:hyperlink>
    </w:p>
    <w:sectPr w:rsidR="005D095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D17773" w14:textId="77777777" w:rsidR="007D49E1" w:rsidRDefault="007D49E1">
      <w:pPr>
        <w:spacing w:after="0" w:line="240" w:lineRule="auto"/>
      </w:pPr>
      <w:r>
        <w:separator/>
      </w:r>
    </w:p>
  </w:endnote>
  <w:endnote w:type="continuationSeparator" w:id="0">
    <w:p w14:paraId="4CB7F91F" w14:textId="77777777" w:rsidR="007D49E1" w:rsidRDefault="007D49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9D9283" w14:textId="77777777" w:rsidR="00D80E8F" w:rsidRDefault="00D80E8F">
    <w:pPr>
      <w:pStyle w:val="Footer"/>
      <w:jc w:val="right"/>
    </w:pPr>
  </w:p>
  <w:p w14:paraId="180A9F35" w14:textId="77777777" w:rsidR="00D80E8F" w:rsidRDefault="00D80E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A45C06" w14:textId="77777777" w:rsidR="007D49E1" w:rsidRDefault="007D49E1">
      <w:pPr>
        <w:spacing w:after="0" w:line="240" w:lineRule="auto"/>
      </w:pPr>
      <w:r>
        <w:separator/>
      </w:r>
    </w:p>
  </w:footnote>
  <w:footnote w:type="continuationSeparator" w:id="0">
    <w:p w14:paraId="60D9234F" w14:textId="77777777" w:rsidR="007D49E1" w:rsidRDefault="007D49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76B833" w14:textId="77777777" w:rsidR="00D80E8F" w:rsidRDefault="00D80E8F">
    <w:pPr>
      <w:pStyle w:val="Header"/>
      <w:ind w:left="11520"/>
    </w:pPr>
    <w:r>
      <w:rPr>
        <w:noProof/>
        <w:lang w:val="en-US" w:eastAsia="en-US"/>
      </w:rPr>
      <w:drawing>
        <wp:inline distT="0" distB="0" distL="0" distR="0" wp14:anchorId="3BD0AB83" wp14:editId="4F508F7D">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E8F"/>
    <w:rsid w:val="00115E9C"/>
    <w:rsid w:val="001D36C5"/>
    <w:rsid w:val="003252FE"/>
    <w:rsid w:val="003C4941"/>
    <w:rsid w:val="005A2BA9"/>
    <w:rsid w:val="005D095C"/>
    <w:rsid w:val="0069340B"/>
    <w:rsid w:val="0072513F"/>
    <w:rsid w:val="007D49E1"/>
    <w:rsid w:val="00964A48"/>
    <w:rsid w:val="00BC1C77"/>
    <w:rsid w:val="00CD4ED9"/>
    <w:rsid w:val="00CE00C7"/>
    <w:rsid w:val="00D73DE3"/>
    <w:rsid w:val="00D80E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CC81C"/>
  <w15:chartTrackingRefBased/>
  <w15:docId w15:val="{04AD3107-8229-4C68-93BA-9964B8843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0E8F"/>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D80E8F"/>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D80E8F"/>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D80E8F"/>
    <w:pPr>
      <w:keepNext/>
      <w:keepLines/>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D80E8F"/>
    <w:pPr>
      <w:keepNext/>
      <w:keepLines/>
      <w:spacing w:before="80" w:after="40" w:line="278" w:lineRule="auto"/>
      <w:outlineLvl w:val="3"/>
    </w:pPr>
    <w:rPr>
      <w:rFonts w:eastAsiaTheme="majorEastAsia"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D80E8F"/>
    <w:pPr>
      <w:keepNext/>
      <w:keepLines/>
      <w:spacing w:before="80" w:after="40" w:line="278" w:lineRule="auto"/>
      <w:outlineLvl w:val="4"/>
    </w:pPr>
    <w:rPr>
      <w:rFonts w:eastAsiaTheme="majorEastAsia"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D80E8F"/>
    <w:pPr>
      <w:keepNext/>
      <w:keepLines/>
      <w:spacing w:before="40" w:after="0" w:line="278" w:lineRule="auto"/>
      <w:outlineLvl w:val="5"/>
    </w:pPr>
    <w:rPr>
      <w:rFonts w:eastAsiaTheme="majorEastAsia"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D80E8F"/>
    <w:pPr>
      <w:keepNext/>
      <w:keepLines/>
      <w:spacing w:before="40" w:after="0" w:line="278" w:lineRule="auto"/>
      <w:outlineLvl w:val="6"/>
    </w:pPr>
    <w:rPr>
      <w:rFonts w:eastAsiaTheme="majorEastAsia"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D80E8F"/>
    <w:pPr>
      <w:keepNext/>
      <w:keepLines/>
      <w:spacing w:after="0" w:line="278" w:lineRule="auto"/>
      <w:outlineLvl w:val="7"/>
    </w:pPr>
    <w:rPr>
      <w:rFonts w:eastAsiaTheme="majorEastAsia"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D80E8F"/>
    <w:pPr>
      <w:keepNext/>
      <w:keepLines/>
      <w:spacing w:after="0" w:line="278" w:lineRule="auto"/>
      <w:outlineLvl w:val="8"/>
    </w:pPr>
    <w:rPr>
      <w:rFonts w:eastAsiaTheme="majorEastAsia"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0E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0E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0E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0E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0E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0E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0E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0E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0E8F"/>
    <w:rPr>
      <w:rFonts w:eastAsiaTheme="majorEastAsia" w:cstheme="majorBidi"/>
      <w:color w:val="272727" w:themeColor="text1" w:themeTint="D8"/>
    </w:rPr>
  </w:style>
  <w:style w:type="paragraph" w:styleId="Title">
    <w:name w:val="Title"/>
    <w:basedOn w:val="Normal"/>
    <w:next w:val="Normal"/>
    <w:link w:val="TitleChar"/>
    <w:uiPriority w:val="10"/>
    <w:qFormat/>
    <w:rsid w:val="00D80E8F"/>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D80E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0E8F"/>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D80E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0E8F"/>
    <w:pPr>
      <w:spacing w:before="160" w:line="278" w:lineRule="auto"/>
      <w:jc w:val="center"/>
    </w:pPr>
    <w:rPr>
      <w:rFonts w:eastAsiaTheme="minorHAns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D80E8F"/>
    <w:rPr>
      <w:i/>
      <w:iCs/>
      <w:color w:val="404040" w:themeColor="text1" w:themeTint="BF"/>
    </w:rPr>
  </w:style>
  <w:style w:type="paragraph" w:styleId="ListParagraph">
    <w:name w:val="List Paragraph"/>
    <w:basedOn w:val="Normal"/>
    <w:uiPriority w:val="34"/>
    <w:qFormat/>
    <w:rsid w:val="00D80E8F"/>
    <w:pPr>
      <w:spacing w:line="278" w:lineRule="auto"/>
      <w:ind w:left="720"/>
      <w:contextualSpacing/>
    </w:pPr>
    <w:rPr>
      <w:rFonts w:eastAsiaTheme="minorHAnsi"/>
      <w:kern w:val="2"/>
      <w:sz w:val="24"/>
      <w:szCs w:val="24"/>
      <w:lang w:eastAsia="en-US"/>
      <w14:ligatures w14:val="standardContextual"/>
    </w:rPr>
  </w:style>
  <w:style w:type="character" w:styleId="IntenseEmphasis">
    <w:name w:val="Intense Emphasis"/>
    <w:basedOn w:val="DefaultParagraphFont"/>
    <w:uiPriority w:val="21"/>
    <w:qFormat/>
    <w:rsid w:val="00D80E8F"/>
    <w:rPr>
      <w:i/>
      <w:iCs/>
      <w:color w:val="0F4761" w:themeColor="accent1" w:themeShade="BF"/>
    </w:rPr>
  </w:style>
  <w:style w:type="paragraph" w:styleId="IntenseQuote">
    <w:name w:val="Intense Quote"/>
    <w:basedOn w:val="Normal"/>
    <w:next w:val="Normal"/>
    <w:link w:val="IntenseQuoteChar"/>
    <w:uiPriority w:val="30"/>
    <w:qFormat/>
    <w:rsid w:val="00D80E8F"/>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D80E8F"/>
    <w:rPr>
      <w:i/>
      <w:iCs/>
      <w:color w:val="0F4761" w:themeColor="accent1" w:themeShade="BF"/>
    </w:rPr>
  </w:style>
  <w:style w:type="character" w:styleId="IntenseReference">
    <w:name w:val="Intense Reference"/>
    <w:basedOn w:val="DefaultParagraphFont"/>
    <w:uiPriority w:val="32"/>
    <w:qFormat/>
    <w:rsid w:val="00D80E8F"/>
    <w:rPr>
      <w:b/>
      <w:bCs/>
      <w:smallCaps/>
      <w:color w:val="0F4761" w:themeColor="accent1" w:themeShade="BF"/>
      <w:spacing w:val="5"/>
    </w:rPr>
  </w:style>
  <w:style w:type="paragraph" w:styleId="Footer">
    <w:name w:val="footer"/>
    <w:basedOn w:val="Normal"/>
    <w:link w:val="FooterChar"/>
    <w:uiPriority w:val="99"/>
    <w:unhideWhenUsed/>
    <w:rsid w:val="00D80E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0E8F"/>
    <w:rPr>
      <w:rFonts w:eastAsiaTheme="minorEastAsia"/>
      <w:kern w:val="0"/>
      <w:sz w:val="22"/>
      <w:szCs w:val="22"/>
      <w:lang w:eastAsia="zh-CN"/>
      <w14:ligatures w14:val="none"/>
    </w:rPr>
  </w:style>
  <w:style w:type="paragraph" w:styleId="Header">
    <w:name w:val="header"/>
    <w:basedOn w:val="Normal"/>
    <w:link w:val="HeaderChar"/>
    <w:uiPriority w:val="99"/>
    <w:unhideWhenUsed/>
    <w:rsid w:val="00D80E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0E8F"/>
    <w:rPr>
      <w:rFonts w:eastAsiaTheme="minorEastAsia"/>
      <w:kern w:val="0"/>
      <w:sz w:val="22"/>
      <w:szCs w:val="22"/>
      <w:lang w:eastAsia="zh-CN"/>
      <w14:ligatures w14:val="none"/>
    </w:rPr>
  </w:style>
  <w:style w:type="character" w:styleId="Hyperlink">
    <w:name w:val="Hyperlink"/>
    <w:basedOn w:val="DefaultParagraphFont"/>
    <w:uiPriority w:val="99"/>
    <w:unhideWhenUsed/>
    <w:rsid w:val="00D80E8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road-to-recovery-the-governments-2025-mandate-to-nhs-england/road-to-recovery-the-governments-2025-mandate-to-nhs-england" TargetMode="External"/><Relationship Id="rId18" Type="http://schemas.openxmlformats.org/officeDocument/2006/relationships/hyperlink" Target="https://www.england.nhs.uk/integratedcare/" TargetMode="External"/><Relationship Id="rId26" Type="http://schemas.openxmlformats.org/officeDocument/2006/relationships/hyperlink" Target="https://cpe.org.uk/wp-content/uploads/2023/09/Nuffield-Trust-and-The-Kings-Fund-A-vision-for-community-pharmacy_WEB_FINAL.pdf" TargetMode="External"/><Relationship Id="rId21" Type="http://schemas.openxmlformats.org/officeDocument/2006/relationships/hyperlink" Target="https://www.kingsfund.org.uk/insight-and-analysis/data-and-charts/patient-waiting-times" TargetMode="External"/><Relationship Id="rId34" Type="http://schemas.openxmlformats.org/officeDocument/2006/relationships/hyperlink" Target="https://doi.org/10.1016/j.rcsop.2023.100298" TargetMode="External"/><Relationship Id="rId7" Type="http://schemas.openxmlformats.org/officeDocument/2006/relationships/image" Target="cid:image001.png@01D0EA4A.2BD679A0" TargetMode="External"/><Relationship Id="rId12" Type="http://schemas.openxmlformats.org/officeDocument/2006/relationships/hyperlink" Target="https://commonslibrary.parliament.uk/research-briefings/cbp-7281/" TargetMode="External"/><Relationship Id="rId17" Type="http://schemas.openxmlformats.org/officeDocument/2006/relationships/hyperlink" Target="https://www.england.nhs.uk/long-read/structure-of-the-nhs/" TargetMode="External"/><Relationship Id="rId25" Type="http://schemas.openxmlformats.org/officeDocument/2006/relationships/hyperlink" Target="https://www.kingsfund.org.uk/insight-and-analysis/long-reads/community-pharmacy-explained" TargetMode="External"/><Relationship Id="rId33" Type="http://schemas.openxmlformats.org/officeDocument/2006/relationships/hyperlink" Target="https://www.england.nhs.uk/primary-care/pharmacy/pharmacy-services/pharmacy-first/" TargetMode="External"/><Relationship Id="rId2" Type="http://schemas.openxmlformats.org/officeDocument/2006/relationships/settings" Target="settings.xml"/><Relationship Id="rId16" Type="http://schemas.openxmlformats.org/officeDocument/2006/relationships/hyperlink" Target="https://commonslibrary.parliament.uk/research-briefings/cdp-2021-0150/" TargetMode="External"/><Relationship Id="rId20" Type="http://schemas.openxmlformats.org/officeDocument/2006/relationships/hyperlink" Target="https://www.health.org.uk/events/the-nhs-at-75-the-past-the-present-and-the-future" TargetMode="External"/><Relationship Id="rId29" Type="http://schemas.openxmlformats.org/officeDocument/2006/relationships/hyperlink" Target="https://www.gov.uk/government/publications/community-pharmacy-contractual-framework-2019-to-2024/community-pharmacy-contractual-framework-5-year-deal-year-3-2021-to-2022"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kingsfund.org.uk/insight-and-analysis/blogs/nhs-priorities-2026-27-to-2028-29-system-staff-patients" TargetMode="External"/><Relationship Id="rId24" Type="http://schemas.openxmlformats.org/officeDocument/2006/relationships/hyperlink" Target="https://doi.org/10.1016/j.fhj.2025.100478" TargetMode="External"/><Relationship Id="rId32" Type="http://schemas.openxmlformats.org/officeDocument/2006/relationships/hyperlink" Target="https://www.nhsconfed.org/publications/delivery-plan-recovering-primary-care-access"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kingsfund.org.uk/insight-and-analysis/long-reads/nhs-long-term-workforce-plan-explained" TargetMode="External"/><Relationship Id="rId23" Type="http://schemas.openxmlformats.org/officeDocument/2006/relationships/hyperlink" Target="https://doi.org/10.1177/27551938241280175" TargetMode="External"/><Relationship Id="rId28" Type="http://schemas.openxmlformats.org/officeDocument/2006/relationships/hyperlink" Target="https://www.gov.uk/government/consultations/hub-and-spoke-dispensing/outcome/government-response-to-the-consultation-on-hub-and-spoke-dispensing" TargetMode="External"/><Relationship Id="rId36"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hyperlink" Target="https://www.nuffieldtrust.org.uk/qualitywatch/nhs-performance-dashboard" TargetMode="External"/><Relationship Id="rId31" Type="http://schemas.openxmlformats.org/officeDocument/2006/relationships/hyperlink" Target="https://publications.parliament.uk/pa/cm5804/cmselect/cmhealth/140/report.html" TargetMode="Externa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hyperlink" Target="https://doi.org/10.1332/policypress/9781447368595.001.0001" TargetMode="External"/><Relationship Id="rId22" Type="http://schemas.openxmlformats.org/officeDocument/2006/relationships/hyperlink" Target="https://www.kingsfund.org.uk/insight-and-analysis/data-and-charts/key-facts-figures-nhs" TargetMode="External"/><Relationship Id="rId27" Type="http://schemas.openxmlformats.org/officeDocument/2006/relationships/hyperlink" Target="https://cpe.org.uk/our-news/critical-staffing-pressures-in-community-pharmacies-hitting-patients/" TargetMode="External"/><Relationship Id="rId30" Type="http://schemas.openxmlformats.org/officeDocument/2006/relationships/hyperlink" Target="https://doi.org/10.1002/psb.2100" TargetMode="External"/><Relationship Id="rId35" Type="http://schemas.openxmlformats.org/officeDocument/2006/relationships/hyperlink" Target="https://doi.org/10.1136/bmjopen-2023-075069" TargetMode="External"/><Relationship Id="rId8" Type="http://schemas.openxmlformats.org/officeDocument/2006/relationships/header" Target="header1.xml"/><Relationship Id="rId3"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TotalTime>
  <Pages>7</Pages>
  <Words>1812</Words>
  <Characters>10334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francisegbeonu@yahoo.com</dc:creator>
  <cp:keywords/>
  <dc:description/>
  <cp:lastModifiedBy>francisegbeonu@yahoo.com</cp:lastModifiedBy>
  <cp:revision>9</cp:revision>
  <dcterms:created xsi:type="dcterms:W3CDTF">2025-11-16T20:44:00Z</dcterms:created>
  <dcterms:modified xsi:type="dcterms:W3CDTF">2025-11-17T09:36:00Z</dcterms:modified>
</cp:coreProperties>
</file>