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4423E57" w14:textId="77777777" w:rsidR="00175A64" w:rsidRPr="00077B97" w:rsidRDefault="00175A64" w:rsidP="00752DCC">
      <w:pPr>
        <w:spacing w:line="360" w:lineRule="auto"/>
        <w:rPr>
          <w:rFonts w:eastAsia="Times New Roman"/>
          <w:b/>
          <w:bCs/>
          <w:lang w:val="en-GB"/>
        </w:rPr>
      </w:pPr>
    </w:p>
    <w:p w14:paraId="2C5E87F1" w14:textId="3DC43605" w:rsidR="00175A64" w:rsidRPr="00077B97" w:rsidRDefault="00E75D91" w:rsidP="00103806">
      <w:pPr>
        <w:spacing w:line="360" w:lineRule="auto"/>
        <w:jc w:val="center"/>
        <w:rPr>
          <w:rFonts w:eastAsia="Times New Roman"/>
          <w:b/>
          <w:bCs/>
          <w:lang w:val="en-GB"/>
        </w:rPr>
      </w:pPr>
      <w:r w:rsidRPr="00077B97">
        <w:rPr>
          <w:noProof/>
          <w:lang w:val="en-GB"/>
        </w:rPr>
        <w:drawing>
          <wp:inline distT="0" distB="0" distL="0" distR="0" wp14:anchorId="135B3CC4" wp14:editId="5A59B010">
            <wp:extent cx="2857500" cy="1143000"/>
            <wp:effectExtent l="0" t="0" r="0" b="0"/>
            <wp:docPr id="886417348" name="Picture 1" descr="University of Wales Trinity Saint David Clearing 20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Clearing 202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57500" cy="1143000"/>
                    </a:xfrm>
                    <a:prstGeom prst="rect">
                      <a:avLst/>
                    </a:prstGeom>
                    <a:noFill/>
                    <a:ln>
                      <a:noFill/>
                    </a:ln>
                  </pic:spPr>
                </pic:pic>
              </a:graphicData>
            </a:graphic>
          </wp:inline>
        </w:drawing>
      </w:r>
    </w:p>
    <w:p w14:paraId="7D644A5A" w14:textId="77777777" w:rsidR="00175A64" w:rsidRPr="00C15835" w:rsidRDefault="00175A64" w:rsidP="00C15835">
      <w:pPr>
        <w:spacing w:line="240" w:lineRule="auto"/>
        <w:jc w:val="both"/>
        <w:rPr>
          <w:rFonts w:eastAsia="Times New Roman"/>
          <w:b/>
          <w:bCs/>
          <w:sz w:val="24"/>
          <w:szCs w:val="24"/>
          <w:lang w:val="en-GB"/>
        </w:rPr>
      </w:pPr>
    </w:p>
    <w:p w14:paraId="0B855935" w14:textId="18383F8B" w:rsidR="00175A64" w:rsidRPr="00C15835" w:rsidRDefault="00E75D91" w:rsidP="00C15835">
      <w:pPr>
        <w:spacing w:line="240" w:lineRule="auto"/>
        <w:jc w:val="both"/>
        <w:rPr>
          <w:b/>
          <w:bCs/>
          <w:sz w:val="24"/>
          <w:szCs w:val="24"/>
          <w:lang w:val="en-GB"/>
        </w:rPr>
      </w:pPr>
      <w:r w:rsidRPr="00C15835">
        <w:rPr>
          <w:b/>
          <w:bCs/>
          <w:sz w:val="24"/>
          <w:szCs w:val="24"/>
          <w:lang w:val="en-GB"/>
        </w:rPr>
        <w:t>Programme: MSc Public Health and Social Care in Practice</w:t>
      </w:r>
    </w:p>
    <w:p w14:paraId="56CBCBA6" w14:textId="77777777" w:rsidR="00E75D91" w:rsidRPr="00C15835" w:rsidRDefault="00E75D91" w:rsidP="00C15835">
      <w:pPr>
        <w:spacing w:line="240" w:lineRule="auto"/>
        <w:jc w:val="both"/>
        <w:rPr>
          <w:b/>
          <w:bCs/>
          <w:sz w:val="24"/>
          <w:szCs w:val="24"/>
          <w:lang w:val="en-GB"/>
        </w:rPr>
      </w:pPr>
    </w:p>
    <w:p w14:paraId="7AAA4B68" w14:textId="3DA254E6" w:rsidR="00E75D91" w:rsidRPr="00C15835" w:rsidRDefault="00E75D91" w:rsidP="00C15835">
      <w:pPr>
        <w:spacing w:line="240" w:lineRule="auto"/>
        <w:jc w:val="both"/>
        <w:rPr>
          <w:b/>
          <w:bCs/>
          <w:sz w:val="24"/>
          <w:szCs w:val="24"/>
          <w:lang w:val="en-GB"/>
        </w:rPr>
      </w:pPr>
      <w:r w:rsidRPr="00C15835">
        <w:rPr>
          <w:b/>
          <w:bCs/>
          <w:sz w:val="24"/>
          <w:szCs w:val="24"/>
          <w:lang w:val="en-GB"/>
        </w:rPr>
        <w:t>Module: Quality Assurance and Service Improvements</w:t>
      </w:r>
    </w:p>
    <w:p w14:paraId="24498F54" w14:textId="77777777" w:rsidR="00E75D91" w:rsidRPr="00C15835" w:rsidRDefault="00E75D91" w:rsidP="00C15835">
      <w:pPr>
        <w:spacing w:line="240" w:lineRule="auto"/>
        <w:jc w:val="both"/>
        <w:rPr>
          <w:b/>
          <w:bCs/>
          <w:sz w:val="24"/>
          <w:szCs w:val="24"/>
          <w:lang w:val="en-GB"/>
        </w:rPr>
      </w:pPr>
    </w:p>
    <w:p w14:paraId="7C8E591B" w14:textId="7AFA7446" w:rsidR="00E75D91" w:rsidRPr="00C15835" w:rsidRDefault="00E75D91" w:rsidP="00C15835">
      <w:pPr>
        <w:spacing w:line="240" w:lineRule="auto"/>
        <w:jc w:val="both"/>
        <w:rPr>
          <w:b/>
          <w:bCs/>
          <w:sz w:val="24"/>
          <w:szCs w:val="24"/>
          <w:lang w:val="en-GB"/>
        </w:rPr>
      </w:pPr>
      <w:r w:rsidRPr="00C15835">
        <w:rPr>
          <w:b/>
          <w:bCs/>
          <w:sz w:val="24"/>
          <w:szCs w:val="24"/>
          <w:lang w:val="en-GB"/>
        </w:rPr>
        <w:t>Module code: LCHS7006</w:t>
      </w:r>
    </w:p>
    <w:p w14:paraId="3213C7DE" w14:textId="77777777" w:rsidR="00E75D91" w:rsidRPr="00C15835" w:rsidRDefault="00E75D91" w:rsidP="00C15835">
      <w:pPr>
        <w:spacing w:line="240" w:lineRule="auto"/>
        <w:jc w:val="both"/>
        <w:rPr>
          <w:b/>
          <w:bCs/>
          <w:sz w:val="24"/>
          <w:szCs w:val="24"/>
          <w:lang w:val="en-GB"/>
        </w:rPr>
      </w:pPr>
    </w:p>
    <w:p w14:paraId="65B52741" w14:textId="4DDD4C30" w:rsidR="00E75D91" w:rsidRPr="00C15835" w:rsidRDefault="00E75D91" w:rsidP="00C15835">
      <w:pPr>
        <w:spacing w:line="240" w:lineRule="auto"/>
        <w:jc w:val="both"/>
        <w:rPr>
          <w:b/>
          <w:bCs/>
          <w:sz w:val="24"/>
          <w:szCs w:val="24"/>
          <w:lang w:val="en-GB"/>
        </w:rPr>
      </w:pPr>
      <w:r w:rsidRPr="00C15835">
        <w:rPr>
          <w:b/>
          <w:bCs/>
          <w:sz w:val="24"/>
          <w:szCs w:val="24"/>
          <w:lang w:val="en-GB"/>
        </w:rPr>
        <w:t xml:space="preserve">Lecturer: Christopher </w:t>
      </w:r>
      <w:proofErr w:type="spellStart"/>
      <w:r w:rsidRPr="00C15835">
        <w:rPr>
          <w:b/>
          <w:bCs/>
          <w:sz w:val="24"/>
          <w:szCs w:val="24"/>
          <w:lang w:val="en-GB"/>
        </w:rPr>
        <w:t>Mafuva</w:t>
      </w:r>
      <w:proofErr w:type="spellEnd"/>
    </w:p>
    <w:p w14:paraId="376D9618" w14:textId="77777777" w:rsidR="00E75D91" w:rsidRPr="00C15835" w:rsidRDefault="00E75D91" w:rsidP="00C15835">
      <w:pPr>
        <w:spacing w:line="240" w:lineRule="auto"/>
        <w:jc w:val="both"/>
        <w:rPr>
          <w:b/>
          <w:bCs/>
          <w:sz w:val="24"/>
          <w:szCs w:val="24"/>
          <w:lang w:val="en-GB"/>
        </w:rPr>
      </w:pPr>
    </w:p>
    <w:p w14:paraId="6D5640AE" w14:textId="28699D7C" w:rsidR="00E75D91" w:rsidRPr="00C15835" w:rsidRDefault="00E75D91" w:rsidP="00C15835">
      <w:pPr>
        <w:spacing w:line="240" w:lineRule="auto"/>
        <w:jc w:val="both"/>
        <w:rPr>
          <w:b/>
          <w:bCs/>
          <w:sz w:val="24"/>
          <w:szCs w:val="24"/>
          <w:lang w:val="en-GB"/>
        </w:rPr>
      </w:pPr>
      <w:r w:rsidRPr="00C15835">
        <w:rPr>
          <w:b/>
          <w:bCs/>
          <w:sz w:val="24"/>
          <w:szCs w:val="24"/>
          <w:lang w:val="en-GB"/>
        </w:rPr>
        <w:t>Assignment Title: Component 2 Service Improvement Report</w:t>
      </w:r>
    </w:p>
    <w:p w14:paraId="030C764F" w14:textId="77777777" w:rsidR="00752DCC" w:rsidRPr="00C15835" w:rsidRDefault="00752DCC" w:rsidP="00C15835">
      <w:pPr>
        <w:spacing w:line="240" w:lineRule="auto"/>
        <w:jc w:val="both"/>
        <w:rPr>
          <w:b/>
          <w:bCs/>
          <w:sz w:val="24"/>
          <w:szCs w:val="24"/>
          <w:lang w:val="en-GB"/>
        </w:rPr>
      </w:pPr>
    </w:p>
    <w:p w14:paraId="3829E5FD" w14:textId="1DA7D4D9" w:rsidR="00752DCC" w:rsidRPr="00C15835" w:rsidRDefault="00752DCC" w:rsidP="00C15835">
      <w:pPr>
        <w:spacing w:line="240" w:lineRule="auto"/>
        <w:jc w:val="both"/>
        <w:rPr>
          <w:b/>
          <w:bCs/>
          <w:sz w:val="24"/>
          <w:szCs w:val="24"/>
          <w:lang w:val="en-GB"/>
        </w:rPr>
      </w:pPr>
      <w:r w:rsidRPr="00C15835">
        <w:rPr>
          <w:b/>
          <w:bCs/>
          <w:sz w:val="24"/>
          <w:szCs w:val="24"/>
          <w:lang w:val="en-GB"/>
        </w:rPr>
        <w:t xml:space="preserve">Student Name: </w:t>
      </w:r>
      <w:r w:rsidR="007E52E1" w:rsidRPr="00C15835">
        <w:rPr>
          <w:b/>
          <w:bCs/>
          <w:sz w:val="24"/>
          <w:szCs w:val="24"/>
          <w:lang w:val="en-GB"/>
        </w:rPr>
        <w:t xml:space="preserve">Solanki </w:t>
      </w:r>
      <w:proofErr w:type="spellStart"/>
      <w:r w:rsidR="007E52E1" w:rsidRPr="00C15835">
        <w:rPr>
          <w:b/>
          <w:bCs/>
          <w:sz w:val="24"/>
          <w:szCs w:val="24"/>
          <w:lang w:val="en-GB"/>
        </w:rPr>
        <w:t>Yashkumar</w:t>
      </w:r>
      <w:proofErr w:type="spellEnd"/>
    </w:p>
    <w:p w14:paraId="1CDD9DBE" w14:textId="77777777" w:rsidR="00752DCC" w:rsidRPr="00C15835" w:rsidRDefault="00752DCC" w:rsidP="00C15835">
      <w:pPr>
        <w:spacing w:line="240" w:lineRule="auto"/>
        <w:jc w:val="both"/>
        <w:rPr>
          <w:b/>
          <w:bCs/>
          <w:sz w:val="24"/>
          <w:szCs w:val="24"/>
          <w:lang w:val="en-GB"/>
        </w:rPr>
      </w:pPr>
    </w:p>
    <w:p w14:paraId="021E434D" w14:textId="129B14BC" w:rsidR="00752DCC" w:rsidRPr="00C15835" w:rsidRDefault="00752DCC" w:rsidP="00C15835">
      <w:pPr>
        <w:spacing w:line="240" w:lineRule="auto"/>
        <w:jc w:val="both"/>
        <w:rPr>
          <w:b/>
          <w:bCs/>
          <w:sz w:val="24"/>
          <w:szCs w:val="24"/>
          <w:lang w:val="en-GB"/>
        </w:rPr>
      </w:pPr>
      <w:r w:rsidRPr="00C15835">
        <w:rPr>
          <w:b/>
          <w:bCs/>
          <w:sz w:val="24"/>
          <w:szCs w:val="24"/>
          <w:lang w:val="en-GB"/>
        </w:rPr>
        <w:t xml:space="preserve">Student ID: </w:t>
      </w:r>
      <w:r w:rsidR="007E52E1" w:rsidRPr="00C15835">
        <w:rPr>
          <w:b/>
          <w:bCs/>
          <w:sz w:val="24"/>
          <w:szCs w:val="24"/>
          <w:lang w:val="en-GB"/>
        </w:rPr>
        <w:t>2525952</w:t>
      </w:r>
    </w:p>
    <w:p w14:paraId="33E53CC2" w14:textId="77777777" w:rsidR="00E75D91" w:rsidRPr="00077B97" w:rsidRDefault="00E75D91" w:rsidP="00103806">
      <w:pPr>
        <w:spacing w:line="360" w:lineRule="auto"/>
        <w:jc w:val="center"/>
        <w:rPr>
          <w:b/>
          <w:bCs/>
          <w:lang w:val="en-GB"/>
        </w:rPr>
      </w:pPr>
    </w:p>
    <w:p w14:paraId="15BBF922" w14:textId="77777777" w:rsidR="00175A64" w:rsidRPr="00077B97" w:rsidRDefault="00175A64" w:rsidP="00103806">
      <w:pPr>
        <w:spacing w:line="360" w:lineRule="auto"/>
        <w:jc w:val="center"/>
        <w:rPr>
          <w:rFonts w:eastAsia="Times New Roman"/>
          <w:b/>
          <w:bCs/>
          <w:lang w:val="en-GB"/>
        </w:rPr>
      </w:pPr>
    </w:p>
    <w:p w14:paraId="67514DA3" w14:textId="77777777" w:rsidR="00175A64" w:rsidRPr="00077B97" w:rsidRDefault="00175A64" w:rsidP="00103806">
      <w:pPr>
        <w:spacing w:line="360" w:lineRule="auto"/>
        <w:jc w:val="center"/>
        <w:rPr>
          <w:rFonts w:eastAsia="Times New Roman"/>
          <w:b/>
          <w:bCs/>
          <w:lang w:val="en-GB"/>
        </w:rPr>
      </w:pPr>
    </w:p>
    <w:p w14:paraId="349054F6" w14:textId="77777777" w:rsidR="00A063AF" w:rsidRPr="00077B97" w:rsidRDefault="00A063AF">
      <w:pPr>
        <w:rPr>
          <w:rFonts w:eastAsia="Times New Roman"/>
          <w:b/>
          <w:bCs/>
          <w:lang w:val="en-GB"/>
        </w:rPr>
      </w:pPr>
      <w:r w:rsidRPr="00077B97">
        <w:rPr>
          <w:rFonts w:eastAsia="Times New Roman"/>
          <w:b/>
          <w:bCs/>
          <w:lang w:val="en-GB"/>
        </w:rPr>
        <w:br w:type="page"/>
      </w:r>
    </w:p>
    <w:p w14:paraId="074382EC" w14:textId="6DDE7F7C" w:rsidR="00752DCC" w:rsidRPr="00077B97" w:rsidRDefault="00752DCC" w:rsidP="00A063AF">
      <w:pPr>
        <w:spacing w:line="360" w:lineRule="auto"/>
        <w:jc w:val="center"/>
        <w:rPr>
          <w:rFonts w:eastAsia="Times New Roman"/>
          <w:b/>
          <w:bCs/>
          <w:lang w:val="en-GB"/>
        </w:rPr>
      </w:pPr>
      <w:r w:rsidRPr="00077B97">
        <w:rPr>
          <w:rFonts w:eastAsia="Times New Roman"/>
          <w:b/>
          <w:bCs/>
          <w:lang w:val="en-GB"/>
        </w:rPr>
        <w:t>Executive Summary</w:t>
      </w:r>
    </w:p>
    <w:p w14:paraId="61D088BB" w14:textId="3D966F21" w:rsidR="00A063AF" w:rsidRPr="00077B97" w:rsidRDefault="00752DCC" w:rsidP="00A063AF">
      <w:pPr>
        <w:spacing w:line="360" w:lineRule="auto"/>
        <w:jc w:val="both"/>
        <w:rPr>
          <w:rFonts w:eastAsia="Times New Roman"/>
          <w:lang w:val="en-GB"/>
        </w:rPr>
      </w:pPr>
      <w:r w:rsidRPr="00077B97">
        <w:rPr>
          <w:rFonts w:eastAsia="Times New Roman"/>
          <w:lang w:val="en-GB"/>
        </w:rPr>
        <w:t xml:space="preserve">The report sheds light on the neonatal case study by Lucy led by at Countess of Chester Hospital. </w:t>
      </w:r>
      <w:r w:rsidR="00A063AF" w:rsidRPr="00077B97">
        <w:rPr>
          <w:rFonts w:eastAsia="Times New Roman"/>
          <w:lang w:val="en-GB"/>
        </w:rPr>
        <w:t xml:space="preserve">The custody has significantly focused on the fishbone analysis to justify the root cause as well as five buys analysis to evaluate the root cause and possible areas of development. The overall study has focused on developing possible recommendation with the help of lean and Sigma Model. Also the PDSA and PDCA model has helped to define the possible areas of development that can be managed through effectiveness. </w:t>
      </w:r>
    </w:p>
    <w:p w14:paraId="5D310B96" w14:textId="51D8310C" w:rsidR="007A74CA" w:rsidRPr="00077B97" w:rsidRDefault="00A063AF" w:rsidP="00A063AF">
      <w:pPr>
        <w:rPr>
          <w:rFonts w:eastAsia="Times New Roman"/>
          <w:lang w:val="en-GB"/>
        </w:rPr>
      </w:pPr>
      <w:r w:rsidRPr="00077B97">
        <w:rPr>
          <w:rFonts w:eastAsia="Times New Roman"/>
          <w:lang w:val="en-GB"/>
        </w:rPr>
        <w:br w:type="page"/>
      </w:r>
    </w:p>
    <w:sdt>
      <w:sdtPr>
        <w:rPr>
          <w:rFonts w:ascii="Arial" w:eastAsia="Arial" w:hAnsi="Arial" w:cs="Arial"/>
          <w:b/>
          <w:bCs/>
          <w:color w:val="000000" w:themeColor="text1"/>
          <w:sz w:val="22"/>
          <w:szCs w:val="22"/>
          <w:lang w:val="en-GB"/>
        </w:rPr>
        <w:id w:val="-840538670"/>
        <w:docPartObj>
          <w:docPartGallery w:val="Table of Contents"/>
          <w:docPartUnique/>
        </w:docPartObj>
      </w:sdtPr>
      <w:sdtEndPr>
        <w:rPr>
          <w:noProof/>
          <w:color w:val="auto"/>
        </w:rPr>
      </w:sdtEndPr>
      <w:sdtContent>
        <w:p w14:paraId="661426F8" w14:textId="728B5975" w:rsidR="007A74CA" w:rsidRPr="00077B97" w:rsidRDefault="007A74CA" w:rsidP="00103806">
          <w:pPr>
            <w:pStyle w:val="TOCHeading"/>
            <w:spacing w:line="360" w:lineRule="auto"/>
            <w:jc w:val="center"/>
            <w:rPr>
              <w:rFonts w:ascii="Arial" w:hAnsi="Arial" w:cs="Arial"/>
              <w:b/>
              <w:bCs/>
              <w:color w:val="000000" w:themeColor="text1"/>
              <w:sz w:val="22"/>
              <w:szCs w:val="22"/>
              <w:lang w:val="en-GB"/>
            </w:rPr>
          </w:pPr>
          <w:r w:rsidRPr="00077B97">
            <w:rPr>
              <w:rFonts w:ascii="Arial" w:hAnsi="Arial" w:cs="Arial"/>
              <w:b/>
              <w:bCs/>
              <w:color w:val="000000" w:themeColor="text1"/>
              <w:sz w:val="22"/>
              <w:szCs w:val="22"/>
              <w:lang w:val="en-GB"/>
            </w:rPr>
            <w:t>Table of Contents</w:t>
          </w:r>
        </w:p>
        <w:p w14:paraId="1AB47C6B" w14:textId="1C7E2EE6" w:rsidR="00F27F3C" w:rsidRPr="00077B97" w:rsidRDefault="007A74CA" w:rsidP="00F27F3C">
          <w:pPr>
            <w:pStyle w:val="TOC1"/>
            <w:tabs>
              <w:tab w:val="right" w:leader="dot" w:pos="9350"/>
            </w:tabs>
            <w:spacing w:line="360" w:lineRule="auto"/>
            <w:jc w:val="both"/>
            <w:rPr>
              <w:rFonts w:asciiTheme="minorHAnsi" w:eastAsiaTheme="minorEastAsia" w:hAnsiTheme="minorHAnsi" w:cstheme="minorBidi"/>
              <w:noProof/>
              <w:kern w:val="2"/>
              <w:lang w:val="en-IN" w:eastAsia="en-IN"/>
              <w14:ligatures w14:val="standardContextual"/>
            </w:rPr>
          </w:pPr>
          <w:r w:rsidRPr="00077B97">
            <w:rPr>
              <w:lang w:val="en-GB"/>
            </w:rPr>
            <w:fldChar w:fldCharType="begin"/>
          </w:r>
          <w:r w:rsidRPr="00077B97">
            <w:rPr>
              <w:lang w:val="en-GB"/>
            </w:rPr>
            <w:instrText xml:space="preserve"> TOC \o "1-3" \h \z \u </w:instrText>
          </w:r>
          <w:r w:rsidRPr="00077B97">
            <w:rPr>
              <w:lang w:val="en-GB"/>
            </w:rPr>
            <w:fldChar w:fldCharType="separate"/>
          </w:r>
          <w:hyperlink w:anchor="_Toc237398566" w:history="1">
            <w:r w:rsidR="00F27F3C" w:rsidRPr="00077B97">
              <w:rPr>
                <w:rStyle w:val="Hyperlink"/>
                <w:noProof/>
                <w:lang w:val="en-GB"/>
              </w:rPr>
              <w:t>Introduction</w:t>
            </w:r>
            <w:r w:rsidR="00F27F3C" w:rsidRPr="00077B97">
              <w:rPr>
                <w:noProof/>
                <w:webHidden/>
              </w:rPr>
              <w:tab/>
            </w:r>
            <w:r w:rsidR="00F27F3C" w:rsidRPr="00077B97">
              <w:rPr>
                <w:noProof/>
                <w:webHidden/>
              </w:rPr>
              <w:fldChar w:fldCharType="begin"/>
            </w:r>
            <w:r w:rsidR="00F27F3C" w:rsidRPr="00077B97">
              <w:rPr>
                <w:noProof/>
                <w:webHidden/>
              </w:rPr>
              <w:instrText xml:space="preserve"> PAGEREF _Toc237398566 \h </w:instrText>
            </w:r>
            <w:r w:rsidR="00F27F3C" w:rsidRPr="00077B97">
              <w:rPr>
                <w:noProof/>
                <w:webHidden/>
              </w:rPr>
            </w:r>
            <w:r w:rsidR="00F27F3C" w:rsidRPr="00077B97">
              <w:rPr>
                <w:noProof/>
                <w:webHidden/>
              </w:rPr>
              <w:fldChar w:fldCharType="separate"/>
            </w:r>
            <w:r w:rsidR="00F27F3C" w:rsidRPr="00077B97">
              <w:rPr>
                <w:noProof/>
                <w:webHidden/>
              </w:rPr>
              <w:t>4</w:t>
            </w:r>
            <w:r w:rsidR="00F27F3C" w:rsidRPr="00077B97">
              <w:rPr>
                <w:noProof/>
                <w:webHidden/>
              </w:rPr>
              <w:fldChar w:fldCharType="end"/>
            </w:r>
          </w:hyperlink>
        </w:p>
        <w:p w14:paraId="1915E25A" w14:textId="567DABDA" w:rsidR="00F27F3C" w:rsidRPr="00077B97" w:rsidRDefault="00F27F3C" w:rsidP="00F27F3C">
          <w:pPr>
            <w:pStyle w:val="TOC2"/>
            <w:tabs>
              <w:tab w:val="right" w:leader="dot" w:pos="9350"/>
            </w:tabs>
            <w:spacing w:line="360" w:lineRule="auto"/>
            <w:jc w:val="both"/>
            <w:rPr>
              <w:rFonts w:asciiTheme="minorHAnsi" w:eastAsiaTheme="minorEastAsia" w:hAnsiTheme="minorHAnsi" w:cstheme="minorBidi"/>
              <w:noProof/>
              <w:kern w:val="2"/>
              <w:lang w:val="en-IN" w:eastAsia="en-IN"/>
              <w14:ligatures w14:val="standardContextual"/>
            </w:rPr>
          </w:pPr>
          <w:hyperlink w:anchor="_Toc237398567" w:history="1">
            <w:r w:rsidRPr="00077B97">
              <w:rPr>
                <w:rStyle w:val="Hyperlink"/>
                <w:noProof/>
                <w:lang w:val="en-GB"/>
              </w:rPr>
              <w:t>Background of the case study</w:t>
            </w:r>
            <w:r w:rsidRPr="00077B97">
              <w:rPr>
                <w:noProof/>
                <w:webHidden/>
              </w:rPr>
              <w:tab/>
            </w:r>
            <w:r w:rsidRPr="00077B97">
              <w:rPr>
                <w:noProof/>
                <w:webHidden/>
              </w:rPr>
              <w:fldChar w:fldCharType="begin"/>
            </w:r>
            <w:r w:rsidRPr="00077B97">
              <w:rPr>
                <w:noProof/>
                <w:webHidden/>
              </w:rPr>
              <w:instrText xml:space="preserve"> PAGEREF _Toc237398567 \h </w:instrText>
            </w:r>
            <w:r w:rsidRPr="00077B97">
              <w:rPr>
                <w:noProof/>
                <w:webHidden/>
              </w:rPr>
            </w:r>
            <w:r w:rsidRPr="00077B97">
              <w:rPr>
                <w:noProof/>
                <w:webHidden/>
              </w:rPr>
              <w:fldChar w:fldCharType="separate"/>
            </w:r>
            <w:r w:rsidRPr="00077B97">
              <w:rPr>
                <w:noProof/>
                <w:webHidden/>
              </w:rPr>
              <w:t>4</w:t>
            </w:r>
            <w:r w:rsidRPr="00077B97">
              <w:rPr>
                <w:noProof/>
                <w:webHidden/>
              </w:rPr>
              <w:fldChar w:fldCharType="end"/>
            </w:r>
          </w:hyperlink>
        </w:p>
        <w:p w14:paraId="77994320" w14:textId="00E982D3" w:rsidR="00F27F3C" w:rsidRPr="00077B97" w:rsidRDefault="00F27F3C" w:rsidP="00F27F3C">
          <w:pPr>
            <w:pStyle w:val="TOC2"/>
            <w:tabs>
              <w:tab w:val="right" w:leader="dot" w:pos="9350"/>
            </w:tabs>
            <w:spacing w:line="360" w:lineRule="auto"/>
            <w:jc w:val="both"/>
            <w:rPr>
              <w:rFonts w:asciiTheme="minorHAnsi" w:eastAsiaTheme="minorEastAsia" w:hAnsiTheme="minorHAnsi" w:cstheme="minorBidi"/>
              <w:noProof/>
              <w:kern w:val="2"/>
              <w:lang w:val="en-IN" w:eastAsia="en-IN"/>
              <w14:ligatures w14:val="standardContextual"/>
            </w:rPr>
          </w:pPr>
          <w:hyperlink w:anchor="_Toc237398568" w:history="1">
            <w:r w:rsidRPr="00077B97">
              <w:rPr>
                <w:rStyle w:val="Hyperlink"/>
                <w:noProof/>
                <w:lang w:val="en-GB"/>
              </w:rPr>
              <w:t>Identified problem as a concern</w:t>
            </w:r>
            <w:r w:rsidRPr="00077B97">
              <w:rPr>
                <w:noProof/>
                <w:webHidden/>
              </w:rPr>
              <w:tab/>
            </w:r>
            <w:r w:rsidRPr="00077B97">
              <w:rPr>
                <w:noProof/>
                <w:webHidden/>
              </w:rPr>
              <w:fldChar w:fldCharType="begin"/>
            </w:r>
            <w:r w:rsidRPr="00077B97">
              <w:rPr>
                <w:noProof/>
                <w:webHidden/>
              </w:rPr>
              <w:instrText xml:space="preserve"> PAGEREF _Toc237398568 \h </w:instrText>
            </w:r>
            <w:r w:rsidRPr="00077B97">
              <w:rPr>
                <w:noProof/>
                <w:webHidden/>
              </w:rPr>
            </w:r>
            <w:r w:rsidRPr="00077B97">
              <w:rPr>
                <w:noProof/>
                <w:webHidden/>
              </w:rPr>
              <w:fldChar w:fldCharType="separate"/>
            </w:r>
            <w:r w:rsidRPr="00077B97">
              <w:rPr>
                <w:noProof/>
                <w:webHidden/>
              </w:rPr>
              <w:t>4</w:t>
            </w:r>
            <w:r w:rsidRPr="00077B97">
              <w:rPr>
                <w:noProof/>
                <w:webHidden/>
              </w:rPr>
              <w:fldChar w:fldCharType="end"/>
            </w:r>
          </w:hyperlink>
        </w:p>
        <w:p w14:paraId="4DB117D0" w14:textId="29DF11B2" w:rsidR="00F27F3C" w:rsidRPr="00077B97" w:rsidRDefault="00F27F3C" w:rsidP="00F27F3C">
          <w:pPr>
            <w:pStyle w:val="TOC1"/>
            <w:tabs>
              <w:tab w:val="right" w:leader="dot" w:pos="9350"/>
            </w:tabs>
            <w:spacing w:line="360" w:lineRule="auto"/>
            <w:jc w:val="both"/>
            <w:rPr>
              <w:rFonts w:asciiTheme="minorHAnsi" w:eastAsiaTheme="minorEastAsia" w:hAnsiTheme="minorHAnsi" w:cstheme="minorBidi"/>
              <w:noProof/>
              <w:kern w:val="2"/>
              <w:lang w:val="en-IN" w:eastAsia="en-IN"/>
              <w14:ligatures w14:val="standardContextual"/>
            </w:rPr>
          </w:pPr>
          <w:hyperlink w:anchor="_Toc237398569" w:history="1">
            <w:r w:rsidRPr="00077B97">
              <w:rPr>
                <w:rStyle w:val="Hyperlink"/>
                <w:noProof/>
                <w:lang w:val="en-GB"/>
              </w:rPr>
              <w:t>Main Body</w:t>
            </w:r>
            <w:r w:rsidRPr="00077B97">
              <w:rPr>
                <w:noProof/>
                <w:webHidden/>
              </w:rPr>
              <w:tab/>
            </w:r>
            <w:r w:rsidRPr="00077B97">
              <w:rPr>
                <w:noProof/>
                <w:webHidden/>
              </w:rPr>
              <w:fldChar w:fldCharType="begin"/>
            </w:r>
            <w:r w:rsidRPr="00077B97">
              <w:rPr>
                <w:noProof/>
                <w:webHidden/>
              </w:rPr>
              <w:instrText xml:space="preserve"> PAGEREF _Toc237398569 \h </w:instrText>
            </w:r>
            <w:r w:rsidRPr="00077B97">
              <w:rPr>
                <w:noProof/>
                <w:webHidden/>
              </w:rPr>
            </w:r>
            <w:r w:rsidRPr="00077B97">
              <w:rPr>
                <w:noProof/>
                <w:webHidden/>
              </w:rPr>
              <w:fldChar w:fldCharType="separate"/>
            </w:r>
            <w:r w:rsidRPr="00077B97">
              <w:rPr>
                <w:noProof/>
                <w:webHidden/>
              </w:rPr>
              <w:t>5</w:t>
            </w:r>
            <w:r w:rsidRPr="00077B97">
              <w:rPr>
                <w:noProof/>
                <w:webHidden/>
              </w:rPr>
              <w:fldChar w:fldCharType="end"/>
            </w:r>
          </w:hyperlink>
        </w:p>
        <w:p w14:paraId="1DEB63B3" w14:textId="1343D24C" w:rsidR="00F27F3C" w:rsidRPr="00077B97" w:rsidRDefault="00F27F3C" w:rsidP="00F27F3C">
          <w:pPr>
            <w:pStyle w:val="TOC2"/>
            <w:tabs>
              <w:tab w:val="right" w:leader="dot" w:pos="9350"/>
            </w:tabs>
            <w:spacing w:line="360" w:lineRule="auto"/>
            <w:jc w:val="both"/>
            <w:rPr>
              <w:rFonts w:asciiTheme="minorHAnsi" w:eastAsiaTheme="minorEastAsia" w:hAnsiTheme="minorHAnsi" w:cstheme="minorBidi"/>
              <w:noProof/>
              <w:kern w:val="2"/>
              <w:lang w:val="en-IN" w:eastAsia="en-IN"/>
              <w14:ligatures w14:val="standardContextual"/>
            </w:rPr>
          </w:pPr>
          <w:hyperlink w:anchor="_Toc237398570" w:history="1">
            <w:r w:rsidRPr="00077B97">
              <w:rPr>
                <w:rStyle w:val="Hyperlink"/>
                <w:noProof/>
                <w:lang w:val="en-GB"/>
              </w:rPr>
              <w:t>Application of Fishbone Diagram</w:t>
            </w:r>
            <w:r w:rsidRPr="00077B97">
              <w:rPr>
                <w:noProof/>
                <w:webHidden/>
              </w:rPr>
              <w:tab/>
            </w:r>
            <w:r w:rsidRPr="00077B97">
              <w:rPr>
                <w:noProof/>
                <w:webHidden/>
              </w:rPr>
              <w:fldChar w:fldCharType="begin"/>
            </w:r>
            <w:r w:rsidRPr="00077B97">
              <w:rPr>
                <w:noProof/>
                <w:webHidden/>
              </w:rPr>
              <w:instrText xml:space="preserve"> PAGEREF _Toc237398570 \h </w:instrText>
            </w:r>
            <w:r w:rsidRPr="00077B97">
              <w:rPr>
                <w:noProof/>
                <w:webHidden/>
              </w:rPr>
            </w:r>
            <w:r w:rsidRPr="00077B97">
              <w:rPr>
                <w:noProof/>
                <w:webHidden/>
              </w:rPr>
              <w:fldChar w:fldCharType="separate"/>
            </w:r>
            <w:r w:rsidRPr="00077B97">
              <w:rPr>
                <w:noProof/>
                <w:webHidden/>
              </w:rPr>
              <w:t>5</w:t>
            </w:r>
            <w:r w:rsidRPr="00077B97">
              <w:rPr>
                <w:noProof/>
                <w:webHidden/>
              </w:rPr>
              <w:fldChar w:fldCharType="end"/>
            </w:r>
          </w:hyperlink>
        </w:p>
        <w:p w14:paraId="6A5C9B66" w14:textId="64F7AC82" w:rsidR="00F27F3C" w:rsidRPr="00077B97" w:rsidRDefault="00F27F3C" w:rsidP="00F27F3C">
          <w:pPr>
            <w:pStyle w:val="TOC2"/>
            <w:tabs>
              <w:tab w:val="right" w:leader="dot" w:pos="9350"/>
            </w:tabs>
            <w:spacing w:line="360" w:lineRule="auto"/>
            <w:jc w:val="both"/>
            <w:rPr>
              <w:rFonts w:asciiTheme="minorHAnsi" w:eastAsiaTheme="minorEastAsia" w:hAnsiTheme="minorHAnsi" w:cstheme="minorBidi"/>
              <w:noProof/>
              <w:kern w:val="2"/>
              <w:lang w:val="en-IN" w:eastAsia="en-IN"/>
              <w14:ligatures w14:val="standardContextual"/>
            </w:rPr>
          </w:pPr>
          <w:hyperlink w:anchor="_Toc237398571" w:history="1">
            <w:r w:rsidRPr="00077B97">
              <w:rPr>
                <w:rStyle w:val="Hyperlink"/>
                <w:noProof/>
                <w:lang w:val="en-GB"/>
              </w:rPr>
              <w:t>Application of 5 Whys Model</w:t>
            </w:r>
            <w:r w:rsidRPr="00077B97">
              <w:rPr>
                <w:noProof/>
                <w:webHidden/>
              </w:rPr>
              <w:tab/>
            </w:r>
            <w:r w:rsidRPr="00077B97">
              <w:rPr>
                <w:noProof/>
                <w:webHidden/>
              </w:rPr>
              <w:fldChar w:fldCharType="begin"/>
            </w:r>
            <w:r w:rsidRPr="00077B97">
              <w:rPr>
                <w:noProof/>
                <w:webHidden/>
              </w:rPr>
              <w:instrText xml:space="preserve"> PAGEREF _Toc237398571 \h </w:instrText>
            </w:r>
            <w:r w:rsidRPr="00077B97">
              <w:rPr>
                <w:noProof/>
                <w:webHidden/>
              </w:rPr>
            </w:r>
            <w:r w:rsidRPr="00077B97">
              <w:rPr>
                <w:noProof/>
                <w:webHidden/>
              </w:rPr>
              <w:fldChar w:fldCharType="separate"/>
            </w:r>
            <w:r w:rsidRPr="00077B97">
              <w:rPr>
                <w:noProof/>
                <w:webHidden/>
              </w:rPr>
              <w:t>7</w:t>
            </w:r>
            <w:r w:rsidRPr="00077B97">
              <w:rPr>
                <w:noProof/>
                <w:webHidden/>
              </w:rPr>
              <w:fldChar w:fldCharType="end"/>
            </w:r>
          </w:hyperlink>
        </w:p>
        <w:p w14:paraId="7DC27BEE" w14:textId="3B8A150C" w:rsidR="00F27F3C" w:rsidRPr="00077B97" w:rsidRDefault="00F27F3C" w:rsidP="00F27F3C">
          <w:pPr>
            <w:pStyle w:val="TOC2"/>
            <w:tabs>
              <w:tab w:val="right" w:leader="dot" w:pos="9350"/>
            </w:tabs>
            <w:spacing w:line="360" w:lineRule="auto"/>
            <w:jc w:val="both"/>
            <w:rPr>
              <w:rFonts w:asciiTheme="minorHAnsi" w:eastAsiaTheme="minorEastAsia" w:hAnsiTheme="minorHAnsi" w:cstheme="minorBidi"/>
              <w:noProof/>
              <w:kern w:val="2"/>
              <w:lang w:val="en-IN" w:eastAsia="en-IN"/>
              <w14:ligatures w14:val="standardContextual"/>
            </w:rPr>
          </w:pPr>
          <w:hyperlink w:anchor="_Toc237398572" w:history="1">
            <w:r w:rsidRPr="00077B97">
              <w:rPr>
                <w:rStyle w:val="Hyperlink"/>
                <w:noProof/>
                <w:lang w:val="en-GB"/>
              </w:rPr>
              <w:t>Application of Donabedian Model in the context of case</w:t>
            </w:r>
            <w:r w:rsidRPr="00077B97">
              <w:rPr>
                <w:noProof/>
                <w:webHidden/>
              </w:rPr>
              <w:tab/>
            </w:r>
            <w:r w:rsidRPr="00077B97">
              <w:rPr>
                <w:noProof/>
                <w:webHidden/>
              </w:rPr>
              <w:fldChar w:fldCharType="begin"/>
            </w:r>
            <w:r w:rsidRPr="00077B97">
              <w:rPr>
                <w:noProof/>
                <w:webHidden/>
              </w:rPr>
              <w:instrText xml:space="preserve"> PAGEREF _Toc237398572 \h </w:instrText>
            </w:r>
            <w:r w:rsidRPr="00077B97">
              <w:rPr>
                <w:noProof/>
                <w:webHidden/>
              </w:rPr>
            </w:r>
            <w:r w:rsidRPr="00077B97">
              <w:rPr>
                <w:noProof/>
                <w:webHidden/>
              </w:rPr>
              <w:fldChar w:fldCharType="separate"/>
            </w:r>
            <w:r w:rsidRPr="00077B97">
              <w:rPr>
                <w:noProof/>
                <w:webHidden/>
              </w:rPr>
              <w:t>8</w:t>
            </w:r>
            <w:r w:rsidRPr="00077B97">
              <w:rPr>
                <w:noProof/>
                <w:webHidden/>
              </w:rPr>
              <w:fldChar w:fldCharType="end"/>
            </w:r>
          </w:hyperlink>
        </w:p>
        <w:p w14:paraId="29195E89" w14:textId="79B0ED48" w:rsidR="00F27F3C" w:rsidRPr="00077B97" w:rsidRDefault="00F27F3C" w:rsidP="00F27F3C">
          <w:pPr>
            <w:pStyle w:val="TOC2"/>
            <w:tabs>
              <w:tab w:val="right" w:leader="dot" w:pos="9350"/>
            </w:tabs>
            <w:spacing w:line="360" w:lineRule="auto"/>
            <w:jc w:val="both"/>
            <w:rPr>
              <w:rFonts w:asciiTheme="minorHAnsi" w:eastAsiaTheme="minorEastAsia" w:hAnsiTheme="minorHAnsi" w:cstheme="minorBidi"/>
              <w:noProof/>
              <w:kern w:val="2"/>
              <w:lang w:val="en-IN" w:eastAsia="en-IN"/>
              <w14:ligatures w14:val="standardContextual"/>
            </w:rPr>
          </w:pPr>
          <w:hyperlink w:anchor="_Toc237398573" w:history="1">
            <w:r w:rsidRPr="00077B97">
              <w:rPr>
                <w:rStyle w:val="Hyperlink"/>
                <w:noProof/>
                <w:lang w:val="en-GB"/>
              </w:rPr>
              <w:t>Application of SWOT analysis</w:t>
            </w:r>
            <w:r w:rsidRPr="00077B97">
              <w:rPr>
                <w:noProof/>
                <w:webHidden/>
              </w:rPr>
              <w:tab/>
            </w:r>
            <w:r w:rsidRPr="00077B97">
              <w:rPr>
                <w:noProof/>
                <w:webHidden/>
              </w:rPr>
              <w:fldChar w:fldCharType="begin"/>
            </w:r>
            <w:r w:rsidRPr="00077B97">
              <w:rPr>
                <w:noProof/>
                <w:webHidden/>
              </w:rPr>
              <w:instrText xml:space="preserve"> PAGEREF _Toc237398573 \h </w:instrText>
            </w:r>
            <w:r w:rsidRPr="00077B97">
              <w:rPr>
                <w:noProof/>
                <w:webHidden/>
              </w:rPr>
            </w:r>
            <w:r w:rsidRPr="00077B97">
              <w:rPr>
                <w:noProof/>
                <w:webHidden/>
              </w:rPr>
              <w:fldChar w:fldCharType="separate"/>
            </w:r>
            <w:r w:rsidRPr="00077B97">
              <w:rPr>
                <w:noProof/>
                <w:webHidden/>
              </w:rPr>
              <w:t>9</w:t>
            </w:r>
            <w:r w:rsidRPr="00077B97">
              <w:rPr>
                <w:noProof/>
                <w:webHidden/>
              </w:rPr>
              <w:fldChar w:fldCharType="end"/>
            </w:r>
          </w:hyperlink>
        </w:p>
        <w:p w14:paraId="4D4C7806" w14:textId="756DB6E5" w:rsidR="00F27F3C" w:rsidRPr="00077B97" w:rsidRDefault="00F27F3C" w:rsidP="00F27F3C">
          <w:pPr>
            <w:pStyle w:val="TOC1"/>
            <w:tabs>
              <w:tab w:val="right" w:leader="dot" w:pos="9350"/>
            </w:tabs>
            <w:spacing w:line="360" w:lineRule="auto"/>
            <w:jc w:val="both"/>
            <w:rPr>
              <w:rFonts w:asciiTheme="minorHAnsi" w:eastAsiaTheme="minorEastAsia" w:hAnsiTheme="minorHAnsi" w:cstheme="minorBidi"/>
              <w:noProof/>
              <w:kern w:val="2"/>
              <w:lang w:val="en-IN" w:eastAsia="en-IN"/>
              <w14:ligatures w14:val="standardContextual"/>
            </w:rPr>
          </w:pPr>
          <w:hyperlink w:anchor="_Toc237398574" w:history="1">
            <w:r w:rsidRPr="00077B97">
              <w:rPr>
                <w:rStyle w:val="Hyperlink"/>
                <w:noProof/>
                <w:lang w:val="en-GB"/>
              </w:rPr>
              <w:t>Recommendation</w:t>
            </w:r>
            <w:r w:rsidRPr="00077B97">
              <w:rPr>
                <w:noProof/>
                <w:webHidden/>
              </w:rPr>
              <w:tab/>
            </w:r>
            <w:r w:rsidRPr="00077B97">
              <w:rPr>
                <w:noProof/>
                <w:webHidden/>
              </w:rPr>
              <w:fldChar w:fldCharType="begin"/>
            </w:r>
            <w:r w:rsidRPr="00077B97">
              <w:rPr>
                <w:noProof/>
                <w:webHidden/>
              </w:rPr>
              <w:instrText xml:space="preserve"> PAGEREF _Toc237398574 \h </w:instrText>
            </w:r>
            <w:r w:rsidRPr="00077B97">
              <w:rPr>
                <w:noProof/>
                <w:webHidden/>
              </w:rPr>
            </w:r>
            <w:r w:rsidRPr="00077B97">
              <w:rPr>
                <w:noProof/>
                <w:webHidden/>
              </w:rPr>
              <w:fldChar w:fldCharType="separate"/>
            </w:r>
            <w:r w:rsidRPr="00077B97">
              <w:rPr>
                <w:noProof/>
                <w:webHidden/>
              </w:rPr>
              <w:t>10</w:t>
            </w:r>
            <w:r w:rsidRPr="00077B97">
              <w:rPr>
                <w:noProof/>
                <w:webHidden/>
              </w:rPr>
              <w:fldChar w:fldCharType="end"/>
            </w:r>
          </w:hyperlink>
        </w:p>
        <w:p w14:paraId="09A5583F" w14:textId="7BF9FCD9" w:rsidR="00F27F3C" w:rsidRPr="00077B97" w:rsidRDefault="00F27F3C" w:rsidP="00F27F3C">
          <w:pPr>
            <w:pStyle w:val="TOC2"/>
            <w:tabs>
              <w:tab w:val="right" w:leader="dot" w:pos="9350"/>
            </w:tabs>
            <w:spacing w:line="360" w:lineRule="auto"/>
            <w:jc w:val="both"/>
            <w:rPr>
              <w:rFonts w:asciiTheme="minorHAnsi" w:eastAsiaTheme="minorEastAsia" w:hAnsiTheme="minorHAnsi" w:cstheme="minorBidi"/>
              <w:noProof/>
              <w:kern w:val="2"/>
              <w:lang w:val="en-IN" w:eastAsia="en-IN"/>
              <w14:ligatures w14:val="standardContextual"/>
            </w:rPr>
          </w:pPr>
          <w:hyperlink w:anchor="_Toc237398575" w:history="1">
            <w:r w:rsidRPr="00077B97">
              <w:rPr>
                <w:rStyle w:val="Hyperlink"/>
                <w:noProof/>
                <w:lang w:val="en-GB"/>
              </w:rPr>
              <w:t>Recommend Plan-Do-Study-Act (PDSA) tool to develop root cause of quality issues</w:t>
            </w:r>
            <w:r w:rsidRPr="00077B97">
              <w:rPr>
                <w:noProof/>
                <w:webHidden/>
              </w:rPr>
              <w:tab/>
            </w:r>
            <w:r w:rsidRPr="00077B97">
              <w:rPr>
                <w:noProof/>
                <w:webHidden/>
              </w:rPr>
              <w:fldChar w:fldCharType="begin"/>
            </w:r>
            <w:r w:rsidRPr="00077B97">
              <w:rPr>
                <w:noProof/>
                <w:webHidden/>
              </w:rPr>
              <w:instrText xml:space="preserve"> PAGEREF _Toc237398575 \h </w:instrText>
            </w:r>
            <w:r w:rsidRPr="00077B97">
              <w:rPr>
                <w:noProof/>
                <w:webHidden/>
              </w:rPr>
            </w:r>
            <w:r w:rsidRPr="00077B97">
              <w:rPr>
                <w:noProof/>
                <w:webHidden/>
              </w:rPr>
              <w:fldChar w:fldCharType="separate"/>
            </w:r>
            <w:r w:rsidRPr="00077B97">
              <w:rPr>
                <w:noProof/>
                <w:webHidden/>
              </w:rPr>
              <w:t>10</w:t>
            </w:r>
            <w:r w:rsidRPr="00077B97">
              <w:rPr>
                <w:noProof/>
                <w:webHidden/>
              </w:rPr>
              <w:fldChar w:fldCharType="end"/>
            </w:r>
          </w:hyperlink>
        </w:p>
        <w:p w14:paraId="2737291A" w14:textId="2718730D" w:rsidR="00F27F3C" w:rsidRPr="00077B97" w:rsidRDefault="00F27F3C" w:rsidP="00F27F3C">
          <w:pPr>
            <w:pStyle w:val="TOC2"/>
            <w:tabs>
              <w:tab w:val="right" w:leader="dot" w:pos="9350"/>
            </w:tabs>
            <w:spacing w:line="360" w:lineRule="auto"/>
            <w:jc w:val="both"/>
            <w:rPr>
              <w:rFonts w:asciiTheme="minorHAnsi" w:eastAsiaTheme="minorEastAsia" w:hAnsiTheme="minorHAnsi" w:cstheme="minorBidi"/>
              <w:noProof/>
              <w:kern w:val="2"/>
              <w:lang w:val="en-IN" w:eastAsia="en-IN"/>
              <w14:ligatures w14:val="standardContextual"/>
            </w:rPr>
          </w:pPr>
          <w:hyperlink w:anchor="_Toc237398576" w:history="1">
            <w:r w:rsidRPr="00077B97">
              <w:rPr>
                <w:rStyle w:val="Hyperlink"/>
                <w:noProof/>
                <w:lang w:val="en-GB"/>
              </w:rPr>
              <w:t>Application of Plan-Do-Check-Act (PDCA) tool develop quality</w:t>
            </w:r>
            <w:r w:rsidRPr="00077B97">
              <w:rPr>
                <w:noProof/>
                <w:webHidden/>
              </w:rPr>
              <w:tab/>
            </w:r>
            <w:r w:rsidRPr="00077B97">
              <w:rPr>
                <w:noProof/>
                <w:webHidden/>
              </w:rPr>
              <w:fldChar w:fldCharType="begin"/>
            </w:r>
            <w:r w:rsidRPr="00077B97">
              <w:rPr>
                <w:noProof/>
                <w:webHidden/>
              </w:rPr>
              <w:instrText xml:space="preserve"> PAGEREF _Toc237398576 \h </w:instrText>
            </w:r>
            <w:r w:rsidRPr="00077B97">
              <w:rPr>
                <w:noProof/>
                <w:webHidden/>
              </w:rPr>
            </w:r>
            <w:r w:rsidRPr="00077B97">
              <w:rPr>
                <w:noProof/>
                <w:webHidden/>
              </w:rPr>
              <w:fldChar w:fldCharType="separate"/>
            </w:r>
            <w:r w:rsidRPr="00077B97">
              <w:rPr>
                <w:noProof/>
                <w:webHidden/>
              </w:rPr>
              <w:t>11</w:t>
            </w:r>
            <w:r w:rsidRPr="00077B97">
              <w:rPr>
                <w:noProof/>
                <w:webHidden/>
              </w:rPr>
              <w:fldChar w:fldCharType="end"/>
            </w:r>
          </w:hyperlink>
        </w:p>
        <w:p w14:paraId="0A30977A" w14:textId="2912A478" w:rsidR="00F27F3C" w:rsidRPr="00077B97" w:rsidRDefault="00F27F3C" w:rsidP="00F27F3C">
          <w:pPr>
            <w:pStyle w:val="TOC2"/>
            <w:tabs>
              <w:tab w:val="right" w:leader="dot" w:pos="9350"/>
            </w:tabs>
            <w:spacing w:line="360" w:lineRule="auto"/>
            <w:jc w:val="both"/>
            <w:rPr>
              <w:rFonts w:asciiTheme="minorHAnsi" w:eastAsiaTheme="minorEastAsia" w:hAnsiTheme="minorHAnsi" w:cstheme="minorBidi"/>
              <w:noProof/>
              <w:kern w:val="2"/>
              <w:lang w:val="en-IN" w:eastAsia="en-IN"/>
              <w14:ligatures w14:val="standardContextual"/>
            </w:rPr>
          </w:pPr>
          <w:hyperlink w:anchor="_Toc237398577" w:history="1">
            <w:r w:rsidRPr="00077B97">
              <w:rPr>
                <w:rStyle w:val="Hyperlink"/>
                <w:noProof/>
                <w:lang w:val="en-GB"/>
              </w:rPr>
              <w:t>Recommend Lean and Six Sigma to outline practical improvements</w:t>
            </w:r>
            <w:r w:rsidRPr="00077B97">
              <w:rPr>
                <w:noProof/>
                <w:webHidden/>
              </w:rPr>
              <w:tab/>
            </w:r>
            <w:r w:rsidRPr="00077B97">
              <w:rPr>
                <w:noProof/>
                <w:webHidden/>
              </w:rPr>
              <w:fldChar w:fldCharType="begin"/>
            </w:r>
            <w:r w:rsidRPr="00077B97">
              <w:rPr>
                <w:noProof/>
                <w:webHidden/>
              </w:rPr>
              <w:instrText xml:space="preserve"> PAGEREF _Toc237398577 \h </w:instrText>
            </w:r>
            <w:r w:rsidRPr="00077B97">
              <w:rPr>
                <w:noProof/>
                <w:webHidden/>
              </w:rPr>
            </w:r>
            <w:r w:rsidRPr="00077B97">
              <w:rPr>
                <w:noProof/>
                <w:webHidden/>
              </w:rPr>
              <w:fldChar w:fldCharType="separate"/>
            </w:r>
            <w:r w:rsidRPr="00077B97">
              <w:rPr>
                <w:noProof/>
                <w:webHidden/>
              </w:rPr>
              <w:t>13</w:t>
            </w:r>
            <w:r w:rsidRPr="00077B97">
              <w:rPr>
                <w:noProof/>
                <w:webHidden/>
              </w:rPr>
              <w:fldChar w:fldCharType="end"/>
            </w:r>
          </w:hyperlink>
        </w:p>
        <w:p w14:paraId="052FCC4F" w14:textId="6253164B" w:rsidR="00F27F3C" w:rsidRPr="00077B97" w:rsidRDefault="00F27F3C" w:rsidP="00F27F3C">
          <w:pPr>
            <w:pStyle w:val="TOC1"/>
            <w:tabs>
              <w:tab w:val="right" w:leader="dot" w:pos="9350"/>
            </w:tabs>
            <w:spacing w:line="360" w:lineRule="auto"/>
            <w:jc w:val="both"/>
            <w:rPr>
              <w:rFonts w:asciiTheme="minorHAnsi" w:eastAsiaTheme="minorEastAsia" w:hAnsiTheme="minorHAnsi" w:cstheme="minorBidi"/>
              <w:noProof/>
              <w:kern w:val="2"/>
              <w:lang w:val="en-IN" w:eastAsia="en-IN"/>
              <w14:ligatures w14:val="standardContextual"/>
            </w:rPr>
          </w:pPr>
          <w:hyperlink w:anchor="_Toc237398578" w:history="1">
            <w:r w:rsidRPr="00077B97">
              <w:rPr>
                <w:rStyle w:val="Hyperlink"/>
                <w:noProof/>
                <w:lang w:val="en-GB"/>
              </w:rPr>
              <w:t>Conclusion</w:t>
            </w:r>
            <w:r w:rsidRPr="00077B97">
              <w:rPr>
                <w:noProof/>
                <w:webHidden/>
              </w:rPr>
              <w:tab/>
            </w:r>
            <w:r w:rsidRPr="00077B97">
              <w:rPr>
                <w:noProof/>
                <w:webHidden/>
              </w:rPr>
              <w:fldChar w:fldCharType="begin"/>
            </w:r>
            <w:r w:rsidRPr="00077B97">
              <w:rPr>
                <w:noProof/>
                <w:webHidden/>
              </w:rPr>
              <w:instrText xml:space="preserve"> PAGEREF _Toc237398578 \h </w:instrText>
            </w:r>
            <w:r w:rsidRPr="00077B97">
              <w:rPr>
                <w:noProof/>
                <w:webHidden/>
              </w:rPr>
            </w:r>
            <w:r w:rsidRPr="00077B97">
              <w:rPr>
                <w:noProof/>
                <w:webHidden/>
              </w:rPr>
              <w:fldChar w:fldCharType="separate"/>
            </w:r>
            <w:r w:rsidRPr="00077B97">
              <w:rPr>
                <w:noProof/>
                <w:webHidden/>
              </w:rPr>
              <w:t>14</w:t>
            </w:r>
            <w:r w:rsidRPr="00077B97">
              <w:rPr>
                <w:noProof/>
                <w:webHidden/>
              </w:rPr>
              <w:fldChar w:fldCharType="end"/>
            </w:r>
          </w:hyperlink>
        </w:p>
        <w:p w14:paraId="15BDB3E4" w14:textId="7FEA82A7" w:rsidR="00F27F3C" w:rsidRPr="00077B97" w:rsidRDefault="00F27F3C" w:rsidP="00F27F3C">
          <w:pPr>
            <w:pStyle w:val="TOC1"/>
            <w:tabs>
              <w:tab w:val="right" w:leader="dot" w:pos="9350"/>
            </w:tabs>
            <w:spacing w:line="360" w:lineRule="auto"/>
            <w:jc w:val="both"/>
            <w:rPr>
              <w:rFonts w:asciiTheme="minorHAnsi" w:eastAsiaTheme="minorEastAsia" w:hAnsiTheme="minorHAnsi" w:cstheme="minorBidi"/>
              <w:noProof/>
              <w:kern w:val="2"/>
              <w:lang w:val="en-IN" w:eastAsia="en-IN"/>
              <w14:ligatures w14:val="standardContextual"/>
            </w:rPr>
          </w:pPr>
          <w:hyperlink w:anchor="_Toc237398579" w:history="1">
            <w:r w:rsidRPr="00077B97">
              <w:rPr>
                <w:rStyle w:val="Hyperlink"/>
                <w:noProof/>
                <w:lang w:val="en-GB"/>
              </w:rPr>
              <w:t>References</w:t>
            </w:r>
            <w:r w:rsidRPr="00077B97">
              <w:rPr>
                <w:noProof/>
                <w:webHidden/>
              </w:rPr>
              <w:tab/>
            </w:r>
            <w:r w:rsidRPr="00077B97">
              <w:rPr>
                <w:noProof/>
                <w:webHidden/>
              </w:rPr>
              <w:fldChar w:fldCharType="begin"/>
            </w:r>
            <w:r w:rsidRPr="00077B97">
              <w:rPr>
                <w:noProof/>
                <w:webHidden/>
              </w:rPr>
              <w:instrText xml:space="preserve"> PAGEREF _Toc237398579 \h </w:instrText>
            </w:r>
            <w:r w:rsidRPr="00077B97">
              <w:rPr>
                <w:noProof/>
                <w:webHidden/>
              </w:rPr>
            </w:r>
            <w:r w:rsidRPr="00077B97">
              <w:rPr>
                <w:noProof/>
                <w:webHidden/>
              </w:rPr>
              <w:fldChar w:fldCharType="separate"/>
            </w:r>
            <w:r w:rsidRPr="00077B97">
              <w:rPr>
                <w:noProof/>
                <w:webHidden/>
              </w:rPr>
              <w:t>16</w:t>
            </w:r>
            <w:r w:rsidRPr="00077B97">
              <w:rPr>
                <w:noProof/>
                <w:webHidden/>
              </w:rPr>
              <w:fldChar w:fldCharType="end"/>
            </w:r>
          </w:hyperlink>
        </w:p>
        <w:p w14:paraId="2E27E903" w14:textId="29AAE65B" w:rsidR="007A74CA" w:rsidRPr="00077B97" w:rsidRDefault="007A74CA" w:rsidP="00F27F3C">
          <w:pPr>
            <w:spacing w:line="360" w:lineRule="auto"/>
            <w:jc w:val="both"/>
            <w:rPr>
              <w:lang w:val="en-GB"/>
            </w:rPr>
          </w:pPr>
          <w:r w:rsidRPr="00077B97">
            <w:rPr>
              <w:b/>
              <w:bCs/>
              <w:noProof/>
              <w:lang w:val="en-GB"/>
            </w:rPr>
            <w:fldChar w:fldCharType="end"/>
          </w:r>
        </w:p>
      </w:sdtContent>
    </w:sdt>
    <w:p w14:paraId="479E764B" w14:textId="77777777" w:rsidR="007A74CA" w:rsidRPr="00077B97" w:rsidRDefault="007A74CA" w:rsidP="00F27F3C">
      <w:pPr>
        <w:spacing w:line="360" w:lineRule="auto"/>
        <w:jc w:val="both"/>
        <w:rPr>
          <w:rFonts w:eastAsia="Times New Roman"/>
          <w:b/>
          <w:bCs/>
          <w:lang w:val="en-GB"/>
        </w:rPr>
      </w:pPr>
    </w:p>
    <w:p w14:paraId="1CB1B2A2" w14:textId="77777777" w:rsidR="00175A64" w:rsidRPr="00077B97" w:rsidRDefault="00C23E20" w:rsidP="00103806">
      <w:pPr>
        <w:spacing w:line="360" w:lineRule="auto"/>
        <w:jc w:val="center"/>
        <w:rPr>
          <w:rFonts w:eastAsia="Times New Roman"/>
          <w:b/>
          <w:bCs/>
          <w:lang w:val="en-GB"/>
        </w:rPr>
      </w:pPr>
      <w:r w:rsidRPr="00077B97">
        <w:rPr>
          <w:lang w:val="en-GB"/>
        </w:rPr>
        <w:br w:type="page"/>
      </w:r>
    </w:p>
    <w:p w14:paraId="60051AC6" w14:textId="77777777" w:rsidR="00103806" w:rsidRPr="00077B97" w:rsidRDefault="00103806" w:rsidP="00103806">
      <w:pPr>
        <w:pStyle w:val="Heading1"/>
        <w:rPr>
          <w:sz w:val="22"/>
          <w:szCs w:val="22"/>
          <w:lang w:val="en-GB"/>
        </w:rPr>
      </w:pPr>
      <w:bookmarkStart w:id="0" w:name="_Toc237398566"/>
      <w:r w:rsidRPr="00077B97">
        <w:rPr>
          <w:sz w:val="22"/>
          <w:szCs w:val="22"/>
          <w:lang w:val="en-GB"/>
        </w:rPr>
        <w:t>Introduction</w:t>
      </w:r>
      <w:bookmarkEnd w:id="0"/>
      <w:r w:rsidRPr="00077B97">
        <w:rPr>
          <w:sz w:val="22"/>
          <w:szCs w:val="22"/>
          <w:lang w:val="en-GB"/>
        </w:rPr>
        <w:t xml:space="preserve"> </w:t>
      </w:r>
    </w:p>
    <w:p w14:paraId="3EE0FB11" w14:textId="77777777" w:rsidR="00103806" w:rsidRPr="00077B97" w:rsidRDefault="00103806" w:rsidP="00103806">
      <w:pPr>
        <w:pStyle w:val="Heading2"/>
        <w:rPr>
          <w:szCs w:val="22"/>
          <w:lang w:val="en-GB"/>
        </w:rPr>
      </w:pPr>
      <w:bookmarkStart w:id="1" w:name="_Toc237398567"/>
      <w:r w:rsidRPr="00077B97">
        <w:rPr>
          <w:szCs w:val="22"/>
          <w:lang w:val="en-GB"/>
        </w:rPr>
        <w:t>Background of the case study</w:t>
      </w:r>
      <w:bookmarkEnd w:id="1"/>
      <w:r w:rsidRPr="00077B97">
        <w:rPr>
          <w:szCs w:val="22"/>
          <w:lang w:val="en-GB"/>
        </w:rPr>
        <w:t xml:space="preserve"> </w:t>
      </w:r>
    </w:p>
    <w:p w14:paraId="580C8C8C" w14:textId="6D12E1DA" w:rsidR="00103806" w:rsidRPr="00077B97" w:rsidRDefault="00103806" w:rsidP="00103806">
      <w:pPr>
        <w:spacing w:line="360" w:lineRule="auto"/>
        <w:jc w:val="both"/>
        <w:rPr>
          <w:lang w:val="en-GB"/>
        </w:rPr>
      </w:pPr>
      <w:r w:rsidRPr="00077B97">
        <w:rPr>
          <w:lang w:val="en-GB"/>
        </w:rPr>
        <w:t>Lucy Letby case has focused on the severe failure in the care industry of premature and critically ill babies at the Countess of Chester Hospital Neonatal unit in England (</w:t>
      </w:r>
      <w:r w:rsidR="00752DCC" w:rsidRPr="00077B97">
        <w:rPr>
          <w:lang w:val="en-IN" w:eastAsia="en-IN"/>
        </w:rPr>
        <w:t>Gov, 2023a</w:t>
      </w:r>
      <w:r w:rsidRPr="00077B97">
        <w:rPr>
          <w:lang w:val="en-GB"/>
        </w:rPr>
        <w:t>). The custody has focused on the neonatal nurse employed by the hospital and convicted in 2023 that murdering seven babies and attempting to murder six others during the duty hours since June 2015 to June 2016. The custody has significantly focused on unusual neonatal deaths and define how the situation has collapsed the entire condition where doctors notice the pattern associated with Letby presence and raised concern with the hospital management (</w:t>
      </w:r>
      <w:r w:rsidR="00752DCC" w:rsidRPr="00077B97">
        <w:rPr>
          <w:lang w:val="en-GB"/>
        </w:rPr>
        <w:t>(</w:t>
      </w:r>
      <w:r w:rsidR="00752DCC" w:rsidRPr="00077B97">
        <w:rPr>
          <w:lang w:val="en-IN" w:eastAsia="en-IN"/>
        </w:rPr>
        <w:t>Gov, 2023b</w:t>
      </w:r>
      <w:r w:rsidRPr="00077B97">
        <w:rPr>
          <w:lang w:val="en-GB"/>
        </w:rPr>
        <w:t>). Whereas the concern has escalated the situation by acted up in the urgency where hospital has experienced several operational failures including the shortage of experienced and loyal nursing staff excessive workload and limited senior clinical presence which leads to difficulty in managing the babies beyond the unit capabilities. The entire case has focused on the quality perspective where it is showing the weakness of clinical governance in England and significantly identified the risk associated with patient safety (</w:t>
      </w:r>
      <w:proofErr w:type="spellStart"/>
      <w:r w:rsidR="00752DCC" w:rsidRPr="00077B97">
        <w:rPr>
          <w:color w:val="000000" w:themeColor="text1"/>
          <w:lang w:val="en-GB"/>
        </w:rPr>
        <w:t>Theguardian</w:t>
      </w:r>
      <w:proofErr w:type="spellEnd"/>
      <w:r w:rsidR="00752DCC" w:rsidRPr="00077B97">
        <w:rPr>
          <w:color w:val="000000" w:themeColor="text1"/>
          <w:lang w:val="en-GB"/>
        </w:rPr>
        <w:t>, 2025</w:t>
      </w:r>
      <w:r w:rsidRPr="00077B97">
        <w:rPr>
          <w:lang w:val="en-GB"/>
        </w:rPr>
        <w:t>). The critical situation has focused on Thirlwall Inquiry and examine how staff and management should handle the escalation concern and as well as define the governance structure in the hospitals to support effectiveness as per NHS guideline for protecting neonatal cases and babies. Therefore, the study focuses on the importance of defining failure and oversighting the organisational changes regarding patient safety in healthcare organisation which can lead to the serious concern</w:t>
      </w:r>
    </w:p>
    <w:p w14:paraId="7478BABC" w14:textId="77777777" w:rsidR="00103806" w:rsidRPr="00077B97" w:rsidRDefault="00103806" w:rsidP="00103806">
      <w:pPr>
        <w:pStyle w:val="Heading2"/>
        <w:rPr>
          <w:szCs w:val="22"/>
          <w:lang w:val="en-GB"/>
        </w:rPr>
      </w:pPr>
      <w:bookmarkStart w:id="2" w:name="_Toc237398568"/>
      <w:r w:rsidRPr="00077B97">
        <w:rPr>
          <w:szCs w:val="22"/>
          <w:lang w:val="en-GB"/>
        </w:rPr>
        <w:t>Identified problem as a concern</w:t>
      </w:r>
      <w:bookmarkEnd w:id="2"/>
    </w:p>
    <w:p w14:paraId="64C4768E" w14:textId="5E3F9F60" w:rsidR="00103806" w:rsidRPr="00077B97" w:rsidRDefault="00103806" w:rsidP="00103806">
      <w:pPr>
        <w:spacing w:line="360" w:lineRule="auto"/>
        <w:jc w:val="both"/>
        <w:rPr>
          <w:lang w:val="en-GB"/>
        </w:rPr>
      </w:pPr>
      <w:r w:rsidRPr="00077B97">
        <w:rPr>
          <w:lang w:val="en-GB"/>
        </w:rPr>
        <w:t xml:space="preserve">The identified problem of the case of Lucy defines how the failure of hospital can lead to clinical governance issue as well as patient safety concern. </w:t>
      </w:r>
      <w:r w:rsidR="00752DCC" w:rsidRPr="00077B97">
        <w:rPr>
          <w:lang w:val="en-GB"/>
        </w:rPr>
        <w:t>T</w:t>
      </w:r>
      <w:r w:rsidRPr="00077B97">
        <w:rPr>
          <w:lang w:val="en-GB"/>
        </w:rPr>
        <w:t>he escalation and related respondent process can create warning signs in the hospitals thus clinicians must focus on unusual pattern and deterioration</w:t>
      </w:r>
      <w:r w:rsidR="00752DCC" w:rsidRPr="00077B97">
        <w:rPr>
          <w:lang w:val="en-GB"/>
        </w:rPr>
        <w:t xml:space="preserve"> (</w:t>
      </w:r>
      <w:proofErr w:type="spellStart"/>
      <w:r w:rsidR="00752DCC" w:rsidRPr="00077B97">
        <w:rPr>
          <w:color w:val="000000" w:themeColor="text1"/>
          <w:lang w:val="en-GB"/>
        </w:rPr>
        <w:t>Theguardian</w:t>
      </w:r>
      <w:proofErr w:type="spellEnd"/>
      <w:r w:rsidR="00752DCC" w:rsidRPr="00077B97">
        <w:rPr>
          <w:color w:val="000000" w:themeColor="text1"/>
          <w:lang w:val="en-GB"/>
        </w:rPr>
        <w:t>, 2025</w:t>
      </w:r>
      <w:r w:rsidR="00752DCC" w:rsidRPr="00077B97">
        <w:rPr>
          <w:lang w:val="en-GB"/>
        </w:rPr>
        <w:t>)</w:t>
      </w:r>
      <w:r w:rsidRPr="00077B97">
        <w:rPr>
          <w:lang w:val="en-GB"/>
        </w:rPr>
        <w:t>. In this case scenario the senior clinician has already noticed the unusual presence of Lucy Letby in case they have identified in the initial stage this escalation may be controlled by the external authorities. Therefore, the case study specifically focuses on thrill world inquiry which can specifically examine the suspicious behaviour in the healthcare organisation in order to trace the activities of individuals like Lucy Letby so that they can suspend them sooner and the external bodies can maintain safety concern (</w:t>
      </w:r>
      <w:r w:rsidR="00752DCC" w:rsidRPr="00077B97">
        <w:rPr>
          <w:lang w:val="en-IN" w:eastAsia="en-IN"/>
        </w:rPr>
        <w:t>Gov, 2026</w:t>
      </w:r>
      <w:r w:rsidRPr="00077B97">
        <w:rPr>
          <w:lang w:val="en-GB"/>
        </w:rPr>
        <w:t>). The problem of the study has significantly identified the compounded weakness in staffing and leadership process which could indicate the neonatal unit was understaff and under skilled that has affected the substantial workload of the hospital. (</w:t>
      </w:r>
      <w:r w:rsidR="00752DCC" w:rsidRPr="00077B97">
        <w:rPr>
          <w:lang w:val="en-IN" w:eastAsia="en-IN"/>
        </w:rPr>
        <w:t>Gov, 2026</w:t>
      </w:r>
      <w:r w:rsidRPr="00077B97">
        <w:rPr>
          <w:lang w:val="en-GB"/>
        </w:rPr>
        <w:t xml:space="preserve">) Articulated the nursing staff can increasingly replace the less experienced staff in a hospital by reducing the organisational ability to manage the deteriorating patients in a comprehensive way to maintain the effectiveness of cleaning. Overall, the major concern of the study is to investigate the clinical oversight and organisational culture to effectively define the report concerns and managers should demonstrate openness as well as accountability within the staff. </w:t>
      </w:r>
    </w:p>
    <w:p w14:paraId="681EB269" w14:textId="3C82109F" w:rsidR="00175A64" w:rsidRPr="00077B97" w:rsidRDefault="00C23E20" w:rsidP="00103806">
      <w:pPr>
        <w:pStyle w:val="Heading1"/>
        <w:rPr>
          <w:sz w:val="22"/>
          <w:szCs w:val="22"/>
          <w:lang w:val="en-GB"/>
        </w:rPr>
      </w:pPr>
      <w:bookmarkStart w:id="3" w:name="_Toc237398569"/>
      <w:r w:rsidRPr="00077B97">
        <w:rPr>
          <w:sz w:val="22"/>
          <w:szCs w:val="22"/>
          <w:lang w:val="en-GB"/>
        </w:rPr>
        <w:t>Main Body</w:t>
      </w:r>
      <w:bookmarkEnd w:id="3"/>
      <w:r w:rsidRPr="00077B97">
        <w:rPr>
          <w:sz w:val="22"/>
          <w:szCs w:val="22"/>
          <w:lang w:val="en-GB"/>
        </w:rPr>
        <w:t xml:space="preserve"> </w:t>
      </w:r>
    </w:p>
    <w:p w14:paraId="7CAF63DF" w14:textId="77777777" w:rsidR="00175A64" w:rsidRPr="00077B97" w:rsidRDefault="00C23E20" w:rsidP="00103806">
      <w:pPr>
        <w:spacing w:line="360" w:lineRule="auto"/>
        <w:jc w:val="both"/>
        <w:rPr>
          <w:rFonts w:eastAsia="Times New Roman"/>
          <w:lang w:val="en-GB"/>
        </w:rPr>
      </w:pPr>
      <w:r w:rsidRPr="00077B97">
        <w:rPr>
          <w:rFonts w:eastAsia="Times New Roman"/>
          <w:lang w:val="en-GB"/>
        </w:rPr>
        <w:t xml:space="preserve">In order to critically analyse the cases of neonatal deaths at the Countess of Chester Hospital, which rose alarmingly, the application of different theoretical concepts and integration of the changed functional aspiration are effective in balancing the formal ways of case scenario determination most effectively. For example, </w:t>
      </w:r>
    </w:p>
    <w:p w14:paraId="6F975A45" w14:textId="77777777" w:rsidR="00175A64" w:rsidRPr="00077B97" w:rsidRDefault="00C23E20" w:rsidP="00103806">
      <w:pPr>
        <w:pStyle w:val="Heading2"/>
        <w:rPr>
          <w:szCs w:val="22"/>
          <w:lang w:val="en-GB"/>
        </w:rPr>
      </w:pPr>
      <w:bookmarkStart w:id="4" w:name="_Toc237398570"/>
      <w:r w:rsidRPr="00077B97">
        <w:rPr>
          <w:szCs w:val="22"/>
          <w:lang w:val="en-GB"/>
        </w:rPr>
        <w:t>Application of Fishbone Diagram</w:t>
      </w:r>
      <w:bookmarkEnd w:id="4"/>
      <w:r w:rsidRPr="00077B97">
        <w:rPr>
          <w:szCs w:val="22"/>
          <w:lang w:val="en-GB"/>
        </w:rPr>
        <w:t xml:space="preserve"> </w:t>
      </w:r>
    </w:p>
    <w:p w14:paraId="1C6EF770" w14:textId="77777777" w:rsidR="00175A64" w:rsidRPr="00077B97" w:rsidRDefault="00C23E20" w:rsidP="00103806">
      <w:pPr>
        <w:spacing w:line="360" w:lineRule="auto"/>
        <w:jc w:val="both"/>
        <w:rPr>
          <w:rFonts w:eastAsia="Times New Roman"/>
          <w:lang w:val="en-GB"/>
        </w:rPr>
      </w:pPr>
      <w:r w:rsidRPr="00077B97">
        <w:rPr>
          <w:rFonts w:eastAsia="Times New Roman"/>
          <w:lang w:val="en-GB"/>
        </w:rPr>
        <w:t xml:space="preserve">Kumah </w:t>
      </w:r>
      <w:r w:rsidRPr="00077B97">
        <w:rPr>
          <w:rFonts w:eastAsia="Times New Roman"/>
          <w:i/>
          <w:iCs/>
          <w:lang w:val="en-GB"/>
        </w:rPr>
        <w:t xml:space="preserve">et al. </w:t>
      </w:r>
      <w:r w:rsidRPr="00077B97">
        <w:rPr>
          <w:rFonts w:eastAsia="Times New Roman"/>
          <w:lang w:val="en-GB"/>
        </w:rPr>
        <w:t>(2024) have shown that the diagram serves as a visualised tool for identifying the root cause of a specific case scenario by sorting potential reasons within a category-based grouping system analysis. The diagram-oriented structure and anticipation process of a fish also indicate a long, horizontal pointing, branching out from each spine-based determination and format process for effective change. However, man, machine, materials and methods are contemplated as the key components of the framework, which integrates the root cause analysis concepts of situational efficacy for a firm in a more accurate way (</w:t>
      </w:r>
      <w:proofErr w:type="spellStart"/>
      <w:r w:rsidRPr="00077B97">
        <w:rPr>
          <w:rFonts w:eastAsia="Times New Roman"/>
          <w:lang w:val="en-GB"/>
        </w:rPr>
        <w:t>Sakdiyah</w:t>
      </w:r>
      <w:proofErr w:type="spellEnd"/>
      <w:r w:rsidRPr="00077B97">
        <w:rPr>
          <w:rFonts w:eastAsia="Times New Roman"/>
          <w:lang w:val="en-GB"/>
        </w:rPr>
        <w:t xml:space="preserve"> </w:t>
      </w:r>
      <w:r w:rsidRPr="00077B97">
        <w:rPr>
          <w:rFonts w:eastAsia="Times New Roman"/>
          <w:i/>
          <w:iCs/>
          <w:lang w:val="en-GB"/>
        </w:rPr>
        <w:t xml:space="preserve">et al. </w:t>
      </w:r>
      <w:r w:rsidRPr="00077B97">
        <w:rPr>
          <w:rFonts w:eastAsia="Times New Roman"/>
          <w:lang w:val="en-GB"/>
        </w:rPr>
        <w:t xml:space="preserve">2022). </w:t>
      </w:r>
    </w:p>
    <w:p w14:paraId="68174C97" w14:textId="77777777" w:rsidR="00175A64" w:rsidRPr="00077B97" w:rsidRDefault="00C23E20" w:rsidP="00103806">
      <w:pPr>
        <w:spacing w:line="360" w:lineRule="auto"/>
        <w:jc w:val="center"/>
        <w:rPr>
          <w:rFonts w:eastAsia="Times New Roman"/>
          <w:lang w:val="en-GB"/>
        </w:rPr>
      </w:pPr>
      <w:r w:rsidRPr="00077B97">
        <w:rPr>
          <w:rFonts w:eastAsia="Times New Roman"/>
          <w:noProof/>
          <w:lang w:val="en-GB"/>
        </w:rPr>
        <w:drawing>
          <wp:inline distT="114300" distB="114300" distL="114300" distR="114300" wp14:anchorId="4F8A8868" wp14:editId="109FE8A2">
            <wp:extent cx="5318453" cy="2275684"/>
            <wp:effectExtent l="25400" t="25400" r="25400" b="25400"/>
            <wp:docPr id="2" name="image3.png"/>
            <wp:cNvGraphicFramePr/>
            <a:graphic xmlns:a="http://schemas.openxmlformats.org/drawingml/2006/main">
              <a:graphicData uri="http://schemas.openxmlformats.org/drawingml/2006/picture">
                <pic:pic xmlns:pic="http://schemas.openxmlformats.org/drawingml/2006/picture">
                  <pic:nvPicPr>
                    <pic:cNvPr id="2" name="image3.png"/>
                    <pic:cNvPicPr/>
                  </pic:nvPicPr>
                  <pic:blipFill>
                    <a:blip r:embed="rId9"/>
                    <a:stretch>
                      <a:fillRect/>
                    </a:stretch>
                  </pic:blipFill>
                  <pic:spPr>
                    <a:xfrm>
                      <a:off x="0" y="0"/>
                      <a:ext cx="5318453" cy="2275684"/>
                    </a:xfrm>
                    <a:prstGeom prst="rect">
                      <a:avLst/>
                    </a:prstGeom>
                    <a:ln w="25400">
                      <a:solidFill>
                        <a:srgbClr val="000000"/>
                      </a:solidFill>
                      <a:prstDash val="solid"/>
                    </a:ln>
                  </pic:spPr>
                </pic:pic>
              </a:graphicData>
            </a:graphic>
          </wp:inline>
        </w:drawing>
      </w:r>
    </w:p>
    <w:p w14:paraId="60E232F1" w14:textId="77777777" w:rsidR="00175A64" w:rsidRPr="00077B97" w:rsidRDefault="00C23E20" w:rsidP="00103806">
      <w:pPr>
        <w:spacing w:line="360" w:lineRule="auto"/>
        <w:jc w:val="center"/>
        <w:rPr>
          <w:rFonts w:eastAsia="Times New Roman"/>
          <w:b/>
          <w:bCs/>
          <w:lang w:val="en-GB"/>
        </w:rPr>
      </w:pPr>
      <w:r w:rsidRPr="00077B97">
        <w:rPr>
          <w:rFonts w:eastAsia="Times New Roman"/>
          <w:b/>
          <w:bCs/>
          <w:lang w:val="en-GB"/>
        </w:rPr>
        <w:t xml:space="preserve">Figure 1: Fishbone diagram </w:t>
      </w:r>
    </w:p>
    <w:p w14:paraId="60C92B94" w14:textId="77777777" w:rsidR="00175A64" w:rsidRPr="00077B97" w:rsidRDefault="00C23E20" w:rsidP="00103806">
      <w:pPr>
        <w:spacing w:line="360" w:lineRule="auto"/>
        <w:jc w:val="center"/>
        <w:rPr>
          <w:rFonts w:eastAsia="Times New Roman"/>
          <w:lang w:val="en-GB"/>
        </w:rPr>
      </w:pPr>
      <w:r w:rsidRPr="00077B97">
        <w:rPr>
          <w:rFonts w:eastAsia="Times New Roman"/>
          <w:lang w:val="en-GB"/>
        </w:rPr>
        <w:t>(Source: Self-developed)</w:t>
      </w:r>
    </w:p>
    <w:p w14:paraId="2099B96A" w14:textId="77777777" w:rsidR="00175A64" w:rsidRPr="00077B97" w:rsidRDefault="00C23E20" w:rsidP="00103806">
      <w:pPr>
        <w:spacing w:line="360" w:lineRule="auto"/>
        <w:jc w:val="both"/>
        <w:rPr>
          <w:rFonts w:eastAsia="Times New Roman"/>
          <w:lang w:val="en-GB"/>
        </w:rPr>
      </w:pPr>
      <w:r w:rsidRPr="00077B97">
        <w:rPr>
          <w:rFonts w:eastAsia="Times New Roman"/>
          <w:lang w:val="en-GB"/>
        </w:rPr>
        <w:t xml:space="preserve">According to the case study of nurse Lucy Letby, the specific identification of the problem related to issues resulting in 13 neonatal deaths can be outlined depending on the ongoing unstructured process followed by the hospital and their unchanged operational security. Specifically, failure of the hospital in their clinical governance management, lack of identification of the patients' safety and security systems, as well as response towards the effective ‘neonatal deterioration and concerns about Letby’ can also be outlined to understand the impact on the procedures on individuals. Such as, </w:t>
      </w:r>
    </w:p>
    <w:p w14:paraId="446AD985" w14:textId="77777777" w:rsidR="00175A64" w:rsidRPr="00077B97" w:rsidRDefault="00C23E20" w:rsidP="00103806">
      <w:pPr>
        <w:spacing w:line="360" w:lineRule="auto"/>
        <w:jc w:val="both"/>
        <w:rPr>
          <w:rFonts w:eastAsia="Times New Roman"/>
          <w:lang w:val="en-GB"/>
        </w:rPr>
      </w:pPr>
      <w:r w:rsidRPr="00077B97">
        <w:rPr>
          <w:rFonts w:eastAsia="Times New Roman"/>
          <w:b/>
          <w:bCs/>
          <w:i/>
          <w:iCs/>
          <w:lang w:val="en-GB"/>
        </w:rPr>
        <w:t>Man</w:t>
      </w:r>
      <w:r w:rsidRPr="00077B97">
        <w:rPr>
          <w:rFonts w:eastAsia="Times New Roman"/>
          <w:lang w:val="en-GB"/>
        </w:rPr>
        <w:t xml:space="preserve">- The first concept of the model defines the human resources, leadership and the proper training gap within an organisation to manage their staff's coordination procedures in an effective way (Haq and </w:t>
      </w:r>
      <w:proofErr w:type="spellStart"/>
      <w:r w:rsidRPr="00077B97">
        <w:rPr>
          <w:rFonts w:eastAsia="Times New Roman"/>
          <w:lang w:val="en-GB"/>
        </w:rPr>
        <w:t>Roesminingsih</w:t>
      </w:r>
      <w:proofErr w:type="spellEnd"/>
      <w:r w:rsidRPr="00077B97">
        <w:rPr>
          <w:rFonts w:eastAsia="Times New Roman"/>
          <w:lang w:val="en-GB"/>
        </w:rPr>
        <w:t>, 2024). However, in this case, the failure of the senior management to act in a concerned way, monitoring the overall hospital structure overnight and the main delay in taking any actions against Letby is an example of the likelihood of errors. According to the evidence, the '2016 CQC inspection' structure highlighted that the challenges developed due to the clinic's overreliance on nursing staff as well as the agency staff, even after understanding the non-sustainable process of the engagement where more than 5000 staff were employed (</w:t>
      </w:r>
      <w:proofErr w:type="spellStart"/>
      <w:r w:rsidRPr="00077B97">
        <w:rPr>
          <w:rFonts w:eastAsia="Times New Roman"/>
          <w:lang w:val="en-GB"/>
        </w:rPr>
        <w:t>Cqc</w:t>
      </w:r>
      <w:proofErr w:type="spellEnd"/>
      <w:r w:rsidRPr="00077B97">
        <w:rPr>
          <w:rFonts w:eastAsia="Times New Roman"/>
          <w:lang w:val="en-GB"/>
        </w:rPr>
        <w:t xml:space="preserve">, 2023). </w:t>
      </w:r>
    </w:p>
    <w:p w14:paraId="52279E21" w14:textId="77777777" w:rsidR="00175A64" w:rsidRPr="00077B97" w:rsidRDefault="00C23E20" w:rsidP="00103806">
      <w:pPr>
        <w:spacing w:line="360" w:lineRule="auto"/>
        <w:jc w:val="both"/>
        <w:rPr>
          <w:rFonts w:eastAsia="Times New Roman"/>
          <w:lang w:val="en-GB"/>
        </w:rPr>
      </w:pPr>
      <w:r w:rsidRPr="00077B97">
        <w:rPr>
          <w:rFonts w:eastAsia="Times New Roman"/>
          <w:b/>
          <w:bCs/>
          <w:i/>
          <w:iCs/>
          <w:lang w:val="en-GB"/>
        </w:rPr>
        <w:t>Machine</w:t>
      </w:r>
      <w:r w:rsidRPr="00077B97">
        <w:rPr>
          <w:rFonts w:eastAsia="Times New Roman"/>
          <w:lang w:val="en-GB"/>
        </w:rPr>
        <w:t xml:space="preserve">- The failures related to technological advancement, equipment, and tools are considered as the key mechanism process for an organisation while balancing their operational changes (Verga </w:t>
      </w:r>
      <w:r w:rsidRPr="00077B97">
        <w:rPr>
          <w:rFonts w:eastAsia="Times New Roman"/>
          <w:i/>
          <w:iCs/>
          <w:lang w:val="en-GB"/>
        </w:rPr>
        <w:t xml:space="preserve">et al. </w:t>
      </w:r>
      <w:r w:rsidRPr="00077B97">
        <w:rPr>
          <w:rFonts w:eastAsia="Times New Roman"/>
          <w:lang w:val="en-GB"/>
        </w:rPr>
        <w:t>2023). As per the case structure, the clinical functions were already suffering from ageing neonatal facilities, contaminated tap water, and inadequate clinical surveillance; therefore, proactive patient support, safety and monitoring are also estimated to be affected. Even so, the trust's concern about their electronic information and patients' records and learning from the incidents and deaths has been evident as one of the major mechanism failures of the trust in their ways (</w:t>
      </w:r>
      <w:proofErr w:type="spellStart"/>
      <w:r w:rsidRPr="00077B97">
        <w:rPr>
          <w:rFonts w:eastAsia="Times New Roman"/>
          <w:lang w:val="en-GB"/>
        </w:rPr>
        <w:t>Cqc</w:t>
      </w:r>
      <w:proofErr w:type="spellEnd"/>
      <w:r w:rsidRPr="00077B97">
        <w:rPr>
          <w:rFonts w:eastAsia="Times New Roman"/>
          <w:lang w:val="en-GB"/>
        </w:rPr>
        <w:t xml:space="preserve">, 2025). For that, developing an earlier analysis of clinical abnormalities, enabling the management of data and its outcomes, can be safer for the trust to emphasise their better operating conceptualisation. </w:t>
      </w:r>
    </w:p>
    <w:p w14:paraId="54EA3785" w14:textId="77777777" w:rsidR="00175A64" w:rsidRPr="00077B97" w:rsidRDefault="00C23E20" w:rsidP="00103806">
      <w:pPr>
        <w:spacing w:line="360" w:lineRule="auto"/>
        <w:jc w:val="both"/>
        <w:rPr>
          <w:rFonts w:eastAsia="Times New Roman"/>
          <w:lang w:val="en-GB"/>
        </w:rPr>
      </w:pPr>
      <w:r w:rsidRPr="00077B97">
        <w:rPr>
          <w:rFonts w:eastAsia="Times New Roman"/>
          <w:b/>
          <w:bCs/>
          <w:i/>
          <w:iCs/>
          <w:lang w:val="en-GB"/>
        </w:rPr>
        <w:t>Materials</w:t>
      </w:r>
      <w:r w:rsidRPr="00077B97">
        <w:rPr>
          <w:rFonts w:eastAsia="Times New Roman"/>
          <w:lang w:val="en-GB"/>
        </w:rPr>
        <w:t>- The concept of materials defines the human and physical resources-based delivery safety structure and process of the clinic to manage vulnerable special equipment balancing frames more accurately. According to the internal structure of the trust, inadequate staff, limited neonatal specialist workforce, insufficient safety and clinical government resources are critically defining the affected operational scalability by poor standard management in the 'neonatal unit and children's ward' (</w:t>
      </w:r>
      <w:proofErr w:type="spellStart"/>
      <w:r w:rsidRPr="00077B97">
        <w:rPr>
          <w:rFonts w:eastAsia="Times New Roman"/>
          <w:lang w:val="en-GB"/>
        </w:rPr>
        <w:t>Cqc</w:t>
      </w:r>
      <w:proofErr w:type="spellEnd"/>
      <w:r w:rsidRPr="00077B97">
        <w:rPr>
          <w:rFonts w:eastAsia="Times New Roman"/>
          <w:lang w:val="en-GB"/>
        </w:rPr>
        <w:t xml:space="preserve">, 2023). Therefore, developing an identification team for the individualised criminal behaviour-based analysis within the trust would be effective and reliable for them to balance the repetitive situational practices. </w:t>
      </w:r>
    </w:p>
    <w:p w14:paraId="3860D9DC" w14:textId="77777777" w:rsidR="00175A64" w:rsidRPr="00077B97" w:rsidRDefault="00C23E20" w:rsidP="00103806">
      <w:pPr>
        <w:spacing w:line="360" w:lineRule="auto"/>
        <w:jc w:val="both"/>
        <w:rPr>
          <w:rFonts w:eastAsia="Times New Roman"/>
          <w:lang w:val="en-GB"/>
        </w:rPr>
      </w:pPr>
      <w:r w:rsidRPr="00077B97">
        <w:rPr>
          <w:rFonts w:eastAsia="Times New Roman"/>
          <w:b/>
          <w:bCs/>
          <w:i/>
          <w:iCs/>
          <w:lang w:val="en-GB"/>
        </w:rPr>
        <w:t>Methods</w:t>
      </w:r>
      <w:r w:rsidRPr="00077B97">
        <w:rPr>
          <w:rFonts w:eastAsia="Times New Roman"/>
          <w:lang w:val="en-GB"/>
        </w:rPr>
        <w:t xml:space="preserve">- Maintaining the standardised rules, operational processes, and structures within an organisation mostly defines the key methods to amplify situational objectives (Weller </w:t>
      </w:r>
      <w:r w:rsidRPr="00077B97">
        <w:rPr>
          <w:rFonts w:eastAsia="Times New Roman"/>
          <w:i/>
          <w:iCs/>
          <w:lang w:val="en-GB"/>
        </w:rPr>
        <w:t xml:space="preserve">et al. </w:t>
      </w:r>
      <w:r w:rsidRPr="00077B97">
        <w:rPr>
          <w:rFonts w:eastAsia="Times New Roman"/>
          <w:lang w:val="en-GB"/>
        </w:rPr>
        <w:t xml:space="preserve">2024). Whistleblowing procedures and a poor structure of root cause analysis by the hospital to understand their internal operational changes have been identified as the key challenging methods to evolve. In this segment, developing a complete incident management, involvement of the appropriate governance and learning from the previous major death-related issues to ensure individuals' safety would help to manage the sustainability of the trust further (Hibbert </w:t>
      </w:r>
      <w:r w:rsidRPr="00077B97">
        <w:rPr>
          <w:rFonts w:eastAsia="Times New Roman"/>
          <w:i/>
          <w:iCs/>
          <w:lang w:val="en-GB"/>
        </w:rPr>
        <w:t xml:space="preserve">et al. </w:t>
      </w:r>
      <w:r w:rsidRPr="00077B97">
        <w:rPr>
          <w:rFonts w:eastAsia="Times New Roman"/>
          <w:lang w:val="en-GB"/>
        </w:rPr>
        <w:t xml:space="preserve">2023). </w:t>
      </w:r>
    </w:p>
    <w:p w14:paraId="7692A004" w14:textId="77777777" w:rsidR="00175A64" w:rsidRPr="00077B97" w:rsidRDefault="00C23E20" w:rsidP="00103806">
      <w:pPr>
        <w:pStyle w:val="Heading2"/>
        <w:rPr>
          <w:szCs w:val="22"/>
          <w:lang w:val="en-GB"/>
        </w:rPr>
      </w:pPr>
      <w:bookmarkStart w:id="5" w:name="_Toc237398571"/>
      <w:r w:rsidRPr="00077B97">
        <w:rPr>
          <w:szCs w:val="22"/>
          <w:lang w:val="en-GB"/>
        </w:rPr>
        <w:t>Application of 5 Whys Model</w:t>
      </w:r>
      <w:bookmarkEnd w:id="5"/>
      <w:r w:rsidRPr="00077B97">
        <w:rPr>
          <w:szCs w:val="22"/>
          <w:lang w:val="en-GB"/>
        </w:rPr>
        <w:t xml:space="preserve"> </w:t>
      </w:r>
    </w:p>
    <w:p w14:paraId="7211A426" w14:textId="77777777" w:rsidR="00175A64" w:rsidRPr="00077B97" w:rsidRDefault="00C23E20" w:rsidP="00103806">
      <w:pPr>
        <w:spacing w:line="360" w:lineRule="auto"/>
        <w:jc w:val="both"/>
        <w:rPr>
          <w:rFonts w:eastAsia="Times New Roman"/>
          <w:lang w:val="en-GB"/>
        </w:rPr>
      </w:pPr>
      <w:r w:rsidRPr="00077B97">
        <w:rPr>
          <w:rFonts w:eastAsia="Times New Roman"/>
          <w:lang w:val="en-GB"/>
        </w:rPr>
        <w:t>The model is discussed as a simplified problem-solving method which follows a structured approach to critically analyse the specific root cause and treat the surface issues effectively. Deeper organisational causes analysis, identification of the changed segmented practices and determination are mostly structured for defining further issues related to firm-based changes effectively (</w:t>
      </w:r>
      <w:proofErr w:type="spellStart"/>
      <w:r w:rsidRPr="00077B97">
        <w:rPr>
          <w:rFonts w:eastAsia="Times New Roman"/>
          <w:lang w:val="en-GB"/>
        </w:rPr>
        <w:t>Mukti</w:t>
      </w:r>
      <w:proofErr w:type="spellEnd"/>
      <w:r w:rsidRPr="00077B97">
        <w:rPr>
          <w:rFonts w:eastAsia="Times New Roman"/>
          <w:lang w:val="en-GB"/>
        </w:rPr>
        <w:t xml:space="preserve"> and </w:t>
      </w:r>
      <w:proofErr w:type="spellStart"/>
      <w:r w:rsidRPr="00077B97">
        <w:rPr>
          <w:rFonts w:eastAsia="Times New Roman"/>
          <w:lang w:val="en-GB"/>
        </w:rPr>
        <w:t>Rochmoeljati</w:t>
      </w:r>
      <w:proofErr w:type="spellEnd"/>
      <w:r w:rsidRPr="00077B97">
        <w:rPr>
          <w:rFonts w:eastAsia="Times New Roman"/>
          <w:lang w:val="en-GB"/>
        </w:rPr>
        <w:t xml:space="preserve">, 2026). </w:t>
      </w:r>
    </w:p>
    <w:p w14:paraId="29D338D2" w14:textId="77777777" w:rsidR="00175A64" w:rsidRPr="00077B97" w:rsidRDefault="00C23E20" w:rsidP="00103806">
      <w:pPr>
        <w:spacing w:line="360" w:lineRule="auto"/>
        <w:jc w:val="center"/>
        <w:rPr>
          <w:rFonts w:eastAsia="Times New Roman"/>
          <w:lang w:val="en-GB"/>
        </w:rPr>
      </w:pPr>
      <w:r w:rsidRPr="00077B97">
        <w:rPr>
          <w:rFonts w:eastAsia="Times New Roman"/>
          <w:noProof/>
          <w:lang w:val="en-GB"/>
        </w:rPr>
        <w:drawing>
          <wp:inline distT="114300" distB="114300" distL="114300" distR="114300" wp14:anchorId="61AC4313" wp14:editId="289620E5">
            <wp:extent cx="2561586" cy="2519363"/>
            <wp:effectExtent l="25400" t="25400" r="25400" b="25400"/>
            <wp:docPr id="3" name="image2.png"/>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10"/>
                    <a:srcRect l="21154" t="6250" r="20513" b="7692"/>
                    <a:stretch>
                      <a:fillRect/>
                    </a:stretch>
                  </pic:blipFill>
                  <pic:spPr>
                    <a:xfrm>
                      <a:off x="0" y="0"/>
                      <a:ext cx="2561586" cy="2519363"/>
                    </a:xfrm>
                    <a:prstGeom prst="rect">
                      <a:avLst/>
                    </a:prstGeom>
                    <a:ln w="25400">
                      <a:solidFill>
                        <a:srgbClr val="000000"/>
                      </a:solidFill>
                      <a:prstDash val="solid"/>
                    </a:ln>
                  </pic:spPr>
                </pic:pic>
              </a:graphicData>
            </a:graphic>
          </wp:inline>
        </w:drawing>
      </w:r>
    </w:p>
    <w:p w14:paraId="2737A33D" w14:textId="77777777" w:rsidR="00175A64" w:rsidRPr="00077B97" w:rsidRDefault="00C23E20" w:rsidP="00103806">
      <w:pPr>
        <w:spacing w:line="360" w:lineRule="auto"/>
        <w:jc w:val="center"/>
        <w:rPr>
          <w:rFonts w:eastAsia="Times New Roman"/>
          <w:b/>
          <w:bCs/>
          <w:lang w:val="en-GB"/>
        </w:rPr>
      </w:pPr>
      <w:r w:rsidRPr="00077B97">
        <w:rPr>
          <w:rFonts w:eastAsia="Times New Roman"/>
          <w:b/>
          <w:bCs/>
          <w:lang w:val="en-GB"/>
        </w:rPr>
        <w:t>Figure 2: 5 Whys Model</w:t>
      </w:r>
    </w:p>
    <w:p w14:paraId="1C7E1190" w14:textId="77777777" w:rsidR="00175A64" w:rsidRPr="00077B97" w:rsidRDefault="00C23E20" w:rsidP="00103806">
      <w:pPr>
        <w:spacing w:line="360" w:lineRule="auto"/>
        <w:jc w:val="center"/>
        <w:rPr>
          <w:rFonts w:eastAsia="Times New Roman"/>
          <w:lang w:val="en-GB"/>
        </w:rPr>
      </w:pPr>
      <w:r w:rsidRPr="00077B97">
        <w:rPr>
          <w:rFonts w:eastAsia="Times New Roman"/>
          <w:lang w:val="en-GB"/>
        </w:rPr>
        <w:t xml:space="preserve">(Source: </w:t>
      </w:r>
      <w:proofErr w:type="spellStart"/>
      <w:r w:rsidRPr="00077B97">
        <w:rPr>
          <w:rFonts w:eastAsia="Times New Roman"/>
          <w:lang w:val="en-GB"/>
        </w:rPr>
        <w:t>Mukti</w:t>
      </w:r>
      <w:proofErr w:type="spellEnd"/>
      <w:r w:rsidRPr="00077B97">
        <w:rPr>
          <w:rFonts w:eastAsia="Times New Roman"/>
          <w:lang w:val="en-GB"/>
        </w:rPr>
        <w:t xml:space="preserve"> and </w:t>
      </w:r>
      <w:proofErr w:type="spellStart"/>
      <w:r w:rsidRPr="00077B97">
        <w:rPr>
          <w:rFonts w:eastAsia="Times New Roman"/>
          <w:lang w:val="en-GB"/>
        </w:rPr>
        <w:t>Rochmoeljati</w:t>
      </w:r>
      <w:proofErr w:type="spellEnd"/>
      <w:r w:rsidRPr="00077B97">
        <w:rPr>
          <w:rFonts w:eastAsia="Times New Roman"/>
          <w:lang w:val="en-GB"/>
        </w:rPr>
        <w:t>, 2026)</w:t>
      </w:r>
    </w:p>
    <w:p w14:paraId="2B746FD8" w14:textId="77777777" w:rsidR="00175A64" w:rsidRPr="00077B97" w:rsidRDefault="00C23E20" w:rsidP="00103806">
      <w:pPr>
        <w:spacing w:line="360" w:lineRule="auto"/>
        <w:jc w:val="both"/>
        <w:rPr>
          <w:rFonts w:eastAsia="Times New Roman"/>
          <w:lang w:val="en-GB"/>
        </w:rPr>
      </w:pPr>
      <w:r w:rsidRPr="00077B97">
        <w:rPr>
          <w:rFonts w:eastAsia="Times New Roman"/>
          <w:lang w:val="en-GB"/>
        </w:rPr>
        <w:t xml:space="preserve">Analysis of the key problems and their root cause may effectively help to connect with the failure identified in the clinic in differentiated ways. </w:t>
      </w:r>
    </w:p>
    <w:p w14:paraId="2CF38397" w14:textId="77777777" w:rsidR="00175A64" w:rsidRPr="00077B97" w:rsidRDefault="00C23E20" w:rsidP="00103806">
      <w:pPr>
        <w:spacing w:line="360" w:lineRule="auto"/>
        <w:jc w:val="both"/>
        <w:rPr>
          <w:rFonts w:eastAsia="Times New Roman"/>
          <w:i/>
          <w:iCs/>
          <w:lang w:val="en-GB"/>
        </w:rPr>
      </w:pPr>
      <w:r w:rsidRPr="00077B97">
        <w:rPr>
          <w:rFonts w:eastAsia="Times New Roman"/>
          <w:i/>
          <w:iCs/>
          <w:lang w:val="en-GB"/>
        </w:rPr>
        <w:t xml:space="preserve">Key problem: Why were the unusual repeated neonatal incidents not properly addressed as a concern effectively? </w:t>
      </w:r>
    </w:p>
    <w:p w14:paraId="150C14B2" w14:textId="77777777" w:rsidR="00175A64" w:rsidRPr="00077B97" w:rsidRDefault="00C23E20" w:rsidP="00103806">
      <w:pPr>
        <w:spacing w:line="360" w:lineRule="auto"/>
        <w:jc w:val="both"/>
        <w:rPr>
          <w:rFonts w:eastAsia="Times New Roman"/>
          <w:lang w:val="en-GB"/>
        </w:rPr>
      </w:pPr>
      <w:r w:rsidRPr="00077B97">
        <w:rPr>
          <w:rFonts w:eastAsia="Times New Roman"/>
          <w:b/>
          <w:bCs/>
          <w:lang w:val="en-GB"/>
        </w:rPr>
        <w:t>Why 1: Why was the patient's safety area not protected sufficiently?</w:t>
      </w:r>
      <w:r w:rsidRPr="00077B97">
        <w:rPr>
          <w:rFonts w:eastAsia="Times New Roman"/>
          <w:lang w:val="en-GB"/>
        </w:rPr>
        <w:t xml:space="preserve"> </w:t>
      </w:r>
    </w:p>
    <w:p w14:paraId="0B82A62B" w14:textId="77777777" w:rsidR="00175A64" w:rsidRPr="00077B97" w:rsidRDefault="00C23E20" w:rsidP="00103806">
      <w:pPr>
        <w:spacing w:line="360" w:lineRule="auto"/>
        <w:jc w:val="both"/>
        <w:rPr>
          <w:rFonts w:eastAsia="Times New Roman"/>
          <w:lang w:val="en-GB"/>
        </w:rPr>
      </w:pPr>
      <w:r w:rsidRPr="00077B97">
        <w:rPr>
          <w:rFonts w:eastAsia="Times New Roman"/>
          <w:lang w:val="en-GB"/>
        </w:rPr>
        <w:t xml:space="preserve">Because there was insufficient investigation into the neonatal deaths and collapse issues that were raised. </w:t>
      </w:r>
    </w:p>
    <w:p w14:paraId="2E2D6742" w14:textId="77777777" w:rsidR="00175A64" w:rsidRPr="00077B97" w:rsidRDefault="00C23E20" w:rsidP="00103806">
      <w:pPr>
        <w:spacing w:line="360" w:lineRule="auto"/>
        <w:jc w:val="both"/>
        <w:rPr>
          <w:rFonts w:eastAsia="Times New Roman"/>
          <w:b/>
          <w:bCs/>
          <w:lang w:val="en-GB"/>
        </w:rPr>
      </w:pPr>
      <w:r w:rsidRPr="00077B97">
        <w:rPr>
          <w:rFonts w:eastAsia="Times New Roman"/>
          <w:b/>
          <w:bCs/>
          <w:lang w:val="en-GB"/>
        </w:rPr>
        <w:t xml:space="preserve">Why 2: Why were the concerns not properly escalated? </w:t>
      </w:r>
    </w:p>
    <w:p w14:paraId="1EDF2C31" w14:textId="77777777" w:rsidR="00175A64" w:rsidRPr="00077B97" w:rsidRDefault="00C23E20" w:rsidP="00103806">
      <w:pPr>
        <w:spacing w:line="360" w:lineRule="auto"/>
        <w:jc w:val="both"/>
        <w:rPr>
          <w:rFonts w:eastAsia="Times New Roman"/>
          <w:lang w:val="en-GB"/>
        </w:rPr>
      </w:pPr>
      <w:r w:rsidRPr="00077B97">
        <w:rPr>
          <w:rFonts w:eastAsia="Times New Roman"/>
          <w:lang w:val="en-GB"/>
        </w:rPr>
        <w:t xml:space="preserve">Because the clinical concerns were not translated properly into decisive management, such as external escalation and appropriate investigation. </w:t>
      </w:r>
    </w:p>
    <w:p w14:paraId="72AF05C6" w14:textId="77777777" w:rsidR="00175A64" w:rsidRPr="00077B97" w:rsidRDefault="00C23E20" w:rsidP="00103806">
      <w:pPr>
        <w:spacing w:line="360" w:lineRule="auto"/>
        <w:jc w:val="both"/>
        <w:rPr>
          <w:rFonts w:eastAsia="Times New Roman"/>
          <w:lang w:val="en-GB"/>
        </w:rPr>
      </w:pPr>
      <w:r w:rsidRPr="00077B97">
        <w:rPr>
          <w:rFonts w:eastAsia="Times New Roman"/>
          <w:b/>
          <w:bCs/>
          <w:lang w:val="en-GB"/>
        </w:rPr>
        <w:t>Why 3: Why did the clinical management action remain ineffective?</w:t>
      </w:r>
      <w:r w:rsidRPr="00077B97">
        <w:rPr>
          <w:rFonts w:eastAsia="Times New Roman"/>
          <w:lang w:val="en-GB"/>
        </w:rPr>
        <w:t xml:space="preserve"> </w:t>
      </w:r>
    </w:p>
    <w:p w14:paraId="3F7D830D" w14:textId="77777777" w:rsidR="00175A64" w:rsidRPr="00077B97" w:rsidRDefault="00C23E20" w:rsidP="00103806">
      <w:pPr>
        <w:spacing w:line="360" w:lineRule="auto"/>
        <w:jc w:val="both"/>
        <w:rPr>
          <w:rFonts w:eastAsia="Times New Roman"/>
          <w:lang w:val="en-GB"/>
        </w:rPr>
      </w:pPr>
      <w:r w:rsidRPr="00077B97">
        <w:rPr>
          <w:rFonts w:eastAsia="Times New Roman"/>
          <w:lang w:val="en-GB"/>
        </w:rPr>
        <w:t xml:space="preserve">Because escalation arrangements and governance were not sufficiently challenged due to integrated concerns developed by the different clinician processes. </w:t>
      </w:r>
    </w:p>
    <w:p w14:paraId="4D1968F5" w14:textId="77777777" w:rsidR="00175A64" w:rsidRPr="00077B97" w:rsidRDefault="00C23E20" w:rsidP="00103806">
      <w:pPr>
        <w:spacing w:line="360" w:lineRule="auto"/>
        <w:jc w:val="both"/>
        <w:rPr>
          <w:rFonts w:eastAsia="Times New Roman"/>
          <w:b/>
          <w:bCs/>
          <w:lang w:val="en-GB"/>
        </w:rPr>
      </w:pPr>
      <w:r w:rsidRPr="00077B97">
        <w:rPr>
          <w:rFonts w:eastAsia="Times New Roman"/>
          <w:b/>
          <w:bCs/>
          <w:lang w:val="en-GB"/>
        </w:rPr>
        <w:t xml:space="preserve">Why 4: Why was the overall governance system unable to completely identify the wider patterns? </w:t>
      </w:r>
    </w:p>
    <w:p w14:paraId="62DC53AC" w14:textId="77777777" w:rsidR="00175A64" w:rsidRPr="00077B97" w:rsidRDefault="00C23E20" w:rsidP="00103806">
      <w:pPr>
        <w:spacing w:line="360" w:lineRule="auto"/>
        <w:jc w:val="both"/>
        <w:rPr>
          <w:rFonts w:eastAsia="Times New Roman"/>
          <w:lang w:val="en-GB"/>
        </w:rPr>
      </w:pPr>
      <w:r w:rsidRPr="00077B97">
        <w:rPr>
          <w:rFonts w:eastAsia="Times New Roman"/>
          <w:lang w:val="en-GB"/>
        </w:rPr>
        <w:t xml:space="preserve">Because of the clinical review, reporting, and the changed organisational learning functions, poor integration of the patient safety system balances has been analysed as a challenge. </w:t>
      </w:r>
    </w:p>
    <w:p w14:paraId="3982D111" w14:textId="77777777" w:rsidR="00175A64" w:rsidRPr="00077B97" w:rsidRDefault="00C23E20" w:rsidP="00103806">
      <w:pPr>
        <w:spacing w:line="360" w:lineRule="auto"/>
        <w:jc w:val="both"/>
        <w:rPr>
          <w:rFonts w:eastAsia="Times New Roman"/>
          <w:b/>
          <w:bCs/>
          <w:lang w:val="en-GB"/>
        </w:rPr>
      </w:pPr>
      <w:r w:rsidRPr="00077B97">
        <w:rPr>
          <w:rFonts w:eastAsia="Times New Roman"/>
          <w:b/>
          <w:bCs/>
          <w:lang w:val="en-GB"/>
        </w:rPr>
        <w:t xml:space="preserve">Why 5: Why was the overall system insufficiently integrated? </w:t>
      </w:r>
    </w:p>
    <w:p w14:paraId="6A9B3C02" w14:textId="77777777" w:rsidR="00175A64" w:rsidRPr="00077B97" w:rsidRDefault="00C23E20" w:rsidP="00103806">
      <w:pPr>
        <w:spacing w:line="360" w:lineRule="auto"/>
        <w:jc w:val="both"/>
        <w:rPr>
          <w:rFonts w:eastAsia="Times New Roman"/>
          <w:lang w:val="en-GB"/>
        </w:rPr>
      </w:pPr>
      <w:r w:rsidRPr="00077B97">
        <w:rPr>
          <w:rFonts w:eastAsia="Times New Roman"/>
          <w:lang w:val="en-GB"/>
        </w:rPr>
        <w:t xml:space="preserve">Because the organisational leadership, culture, external scrutiny and accountability were not shared adequately, despite repeated warnings and signals of challenges upon the independent acts. </w:t>
      </w:r>
    </w:p>
    <w:p w14:paraId="605A19D4" w14:textId="77777777" w:rsidR="00175A64" w:rsidRPr="00077B97" w:rsidRDefault="00C23E20" w:rsidP="00103806">
      <w:pPr>
        <w:spacing w:line="360" w:lineRule="auto"/>
        <w:jc w:val="both"/>
        <w:rPr>
          <w:rFonts w:eastAsia="Times New Roman"/>
          <w:lang w:val="en-GB"/>
        </w:rPr>
      </w:pPr>
      <w:r w:rsidRPr="00077B97">
        <w:rPr>
          <w:rFonts w:eastAsia="Times New Roman"/>
          <w:lang w:val="en-GB"/>
        </w:rPr>
        <w:t xml:space="preserve">Thus, the key lessons have been identified that incident-oriented reporting is required to be recorded as actionable intelligence. Based on that, the repeated incident triggers and senior-based escalation with the independent external investigations would also be minimised as process-related changes. </w:t>
      </w:r>
    </w:p>
    <w:p w14:paraId="7B9DB294" w14:textId="77777777" w:rsidR="00175A64" w:rsidRPr="00077B97" w:rsidRDefault="00C23E20" w:rsidP="00103806">
      <w:pPr>
        <w:pStyle w:val="Heading2"/>
        <w:rPr>
          <w:szCs w:val="22"/>
          <w:lang w:val="en-GB"/>
        </w:rPr>
      </w:pPr>
      <w:bookmarkStart w:id="6" w:name="_Toc237398572"/>
      <w:r w:rsidRPr="00077B97">
        <w:rPr>
          <w:szCs w:val="22"/>
          <w:lang w:val="en-GB"/>
        </w:rPr>
        <w:t>Application of Donabedian Model in the context of case</w:t>
      </w:r>
      <w:bookmarkEnd w:id="6"/>
      <w:r w:rsidRPr="00077B97">
        <w:rPr>
          <w:szCs w:val="22"/>
          <w:lang w:val="en-GB"/>
        </w:rPr>
        <w:t xml:space="preserve"> </w:t>
      </w:r>
    </w:p>
    <w:p w14:paraId="6BD8CC6D" w14:textId="77777777" w:rsidR="00175A64" w:rsidRPr="00077B97" w:rsidRDefault="00C23E20" w:rsidP="00103806">
      <w:pPr>
        <w:spacing w:line="360" w:lineRule="auto"/>
        <w:jc w:val="both"/>
        <w:rPr>
          <w:rFonts w:eastAsia="Times New Roman"/>
          <w:lang w:val="en-GB"/>
        </w:rPr>
      </w:pPr>
      <w:r w:rsidRPr="00077B97">
        <w:rPr>
          <w:rFonts w:eastAsia="Times New Roman"/>
          <w:lang w:val="en-GB"/>
        </w:rPr>
        <w:t xml:space="preserve">The theoretical framework defines the conceptualised structure of evaluation of health and medical process-related services to outline the accurate issue behind the areas (McCullough </w:t>
      </w:r>
      <w:r w:rsidRPr="00077B97">
        <w:rPr>
          <w:rFonts w:eastAsia="Times New Roman"/>
          <w:i/>
          <w:iCs/>
          <w:lang w:val="en-GB"/>
        </w:rPr>
        <w:t xml:space="preserve">et al. </w:t>
      </w:r>
      <w:r w:rsidRPr="00077B97">
        <w:rPr>
          <w:rFonts w:eastAsia="Times New Roman"/>
          <w:lang w:val="en-GB"/>
        </w:rPr>
        <w:t xml:space="preserve">2023). Measuring the quality of the situational factors and the functional changes, 'Structure, Process, and Outcome' are contemplated as the key components of the model to justify the functional ways of change. </w:t>
      </w:r>
    </w:p>
    <w:p w14:paraId="77276AC1" w14:textId="77777777" w:rsidR="00175A64" w:rsidRPr="00077B97" w:rsidRDefault="00C23E20" w:rsidP="00103806">
      <w:pPr>
        <w:spacing w:line="360" w:lineRule="auto"/>
        <w:jc w:val="center"/>
        <w:rPr>
          <w:rFonts w:eastAsia="Times New Roman"/>
          <w:lang w:val="en-GB"/>
        </w:rPr>
      </w:pPr>
      <w:r w:rsidRPr="00077B97">
        <w:rPr>
          <w:rFonts w:eastAsia="Times New Roman"/>
          <w:noProof/>
          <w:lang w:val="en-GB"/>
        </w:rPr>
        <w:drawing>
          <wp:inline distT="114300" distB="114300" distL="114300" distR="114300" wp14:anchorId="2278C7BC" wp14:editId="0E934946">
            <wp:extent cx="4348163" cy="1424137"/>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1"/>
                    <a:srcRect l="4327" t="2326" r="3686" b="4138"/>
                    <a:stretch>
                      <a:fillRect/>
                    </a:stretch>
                  </pic:blipFill>
                  <pic:spPr>
                    <a:xfrm>
                      <a:off x="0" y="0"/>
                      <a:ext cx="4348163" cy="1424137"/>
                    </a:xfrm>
                    <a:prstGeom prst="rect">
                      <a:avLst/>
                    </a:prstGeom>
                    <a:ln w="25400">
                      <a:solidFill>
                        <a:srgbClr val="000000"/>
                      </a:solidFill>
                      <a:prstDash val="solid"/>
                    </a:ln>
                  </pic:spPr>
                </pic:pic>
              </a:graphicData>
            </a:graphic>
          </wp:inline>
        </w:drawing>
      </w:r>
    </w:p>
    <w:p w14:paraId="3E376360" w14:textId="77777777" w:rsidR="00175A64" w:rsidRPr="00077B97" w:rsidRDefault="00C23E20" w:rsidP="00103806">
      <w:pPr>
        <w:spacing w:line="360" w:lineRule="auto"/>
        <w:jc w:val="center"/>
        <w:rPr>
          <w:rFonts w:eastAsia="Times New Roman"/>
          <w:b/>
          <w:bCs/>
          <w:lang w:val="en-GB"/>
        </w:rPr>
      </w:pPr>
      <w:r w:rsidRPr="00077B97">
        <w:rPr>
          <w:rFonts w:eastAsia="Times New Roman"/>
          <w:b/>
          <w:bCs/>
          <w:lang w:val="en-GB"/>
        </w:rPr>
        <w:t>Figure 3: Donabedian Model</w:t>
      </w:r>
    </w:p>
    <w:p w14:paraId="6DEC3E0D" w14:textId="77777777" w:rsidR="00175A64" w:rsidRPr="00077B97" w:rsidRDefault="00C23E20" w:rsidP="00103806">
      <w:pPr>
        <w:spacing w:line="360" w:lineRule="auto"/>
        <w:jc w:val="center"/>
        <w:rPr>
          <w:rFonts w:eastAsia="Times New Roman"/>
          <w:lang w:val="en-GB"/>
        </w:rPr>
      </w:pPr>
      <w:r w:rsidRPr="00077B97">
        <w:rPr>
          <w:rFonts w:eastAsia="Times New Roman"/>
          <w:lang w:val="en-GB"/>
        </w:rPr>
        <w:t xml:space="preserve">(Source: McCullough </w:t>
      </w:r>
      <w:r w:rsidRPr="00077B97">
        <w:rPr>
          <w:rFonts w:eastAsia="Times New Roman"/>
          <w:i/>
          <w:iCs/>
          <w:lang w:val="en-GB"/>
        </w:rPr>
        <w:t xml:space="preserve">et al. </w:t>
      </w:r>
      <w:r w:rsidRPr="00077B97">
        <w:rPr>
          <w:rFonts w:eastAsia="Times New Roman"/>
          <w:lang w:val="en-GB"/>
        </w:rPr>
        <w:t>2023)</w:t>
      </w:r>
    </w:p>
    <w:p w14:paraId="1B15734F" w14:textId="77777777" w:rsidR="00175A64" w:rsidRPr="00077B97" w:rsidRDefault="00C23E20" w:rsidP="00103806">
      <w:pPr>
        <w:spacing w:line="360" w:lineRule="auto"/>
        <w:jc w:val="both"/>
        <w:rPr>
          <w:rFonts w:eastAsia="Times New Roman"/>
          <w:lang w:val="en-GB"/>
        </w:rPr>
      </w:pPr>
      <w:r w:rsidRPr="00077B97">
        <w:rPr>
          <w:rFonts w:eastAsia="Times New Roman"/>
          <w:b/>
          <w:bCs/>
          <w:i/>
          <w:iCs/>
          <w:lang w:val="en-GB"/>
        </w:rPr>
        <w:t>Structure</w:t>
      </w:r>
      <w:r w:rsidRPr="00077B97">
        <w:rPr>
          <w:rFonts w:eastAsia="Times New Roman"/>
          <w:lang w:val="en-GB"/>
        </w:rPr>
        <w:t xml:space="preserve">- The key concept of structure refers to the core condition of an organisation for delivering healthcare, including leadership, facilities, staffing, policies and governance for coordination (Chakraborty </w:t>
      </w:r>
      <w:r w:rsidRPr="00077B97">
        <w:rPr>
          <w:rFonts w:eastAsia="Times New Roman"/>
          <w:i/>
          <w:iCs/>
          <w:lang w:val="en-GB"/>
        </w:rPr>
        <w:t xml:space="preserve">et al. </w:t>
      </w:r>
      <w:r w:rsidRPr="00077B97">
        <w:rPr>
          <w:rFonts w:eastAsia="Times New Roman"/>
          <w:lang w:val="en-GB"/>
        </w:rPr>
        <w:t xml:space="preserve">2023). In the current case analysis, a major structural weakness has been identified, including the lack of proper governance arrangements, access to experienced neonatal professionals, and concerns about the staffing goals of the trust. The overall reliance on agency-based staff and changes in the area of coordination have also been identified as the major challenging areas, which highlighted the concerns regarding the trust's structural alignments. For that, hospitals are required to have effective information systems, a competent structure of leadership and appropriate processes of staffing to understand the internal productivity functions accurately (Bhati </w:t>
      </w:r>
      <w:r w:rsidRPr="00077B97">
        <w:rPr>
          <w:rFonts w:eastAsia="Times New Roman"/>
          <w:i/>
          <w:iCs/>
          <w:lang w:val="en-GB"/>
        </w:rPr>
        <w:t xml:space="preserve">et al. </w:t>
      </w:r>
      <w:r w:rsidRPr="00077B97">
        <w:rPr>
          <w:rFonts w:eastAsia="Times New Roman"/>
          <w:lang w:val="en-GB"/>
        </w:rPr>
        <w:t xml:space="preserve">2023). </w:t>
      </w:r>
    </w:p>
    <w:p w14:paraId="20F55779" w14:textId="77777777" w:rsidR="00175A64" w:rsidRPr="00077B97" w:rsidRDefault="00C23E20" w:rsidP="00103806">
      <w:pPr>
        <w:spacing w:line="360" w:lineRule="auto"/>
        <w:jc w:val="both"/>
        <w:rPr>
          <w:rFonts w:eastAsia="Times New Roman"/>
          <w:lang w:val="en-GB"/>
        </w:rPr>
      </w:pPr>
      <w:r w:rsidRPr="00077B97">
        <w:rPr>
          <w:rFonts w:eastAsia="Times New Roman"/>
          <w:b/>
          <w:bCs/>
          <w:i/>
          <w:iCs/>
          <w:lang w:val="en-GB"/>
        </w:rPr>
        <w:t>Process</w:t>
      </w:r>
      <w:r w:rsidRPr="00077B97">
        <w:rPr>
          <w:rFonts w:eastAsia="Times New Roman"/>
          <w:lang w:val="en-GB"/>
        </w:rPr>
        <w:t>- In the clinical segment, processes recommending escalation about necessities, multidisciplinary review systems analysis, investigating the unexpected outcomes for the changes (</w:t>
      </w:r>
      <w:proofErr w:type="spellStart"/>
      <w:r w:rsidRPr="00077B97">
        <w:rPr>
          <w:rFonts w:eastAsia="Times New Roman"/>
          <w:lang w:val="en-GB"/>
        </w:rPr>
        <w:t>Almughamisi</w:t>
      </w:r>
      <w:proofErr w:type="spellEnd"/>
      <w:r w:rsidRPr="00077B97">
        <w:rPr>
          <w:rFonts w:eastAsia="Times New Roman"/>
          <w:lang w:val="en-GB"/>
        </w:rPr>
        <w:t xml:space="preserve"> </w:t>
      </w:r>
      <w:r w:rsidRPr="00077B97">
        <w:rPr>
          <w:rFonts w:eastAsia="Times New Roman"/>
          <w:i/>
          <w:iCs/>
          <w:lang w:val="en-GB"/>
        </w:rPr>
        <w:t xml:space="preserve">et al. </w:t>
      </w:r>
      <w:r w:rsidRPr="00077B97">
        <w:rPr>
          <w:rFonts w:eastAsia="Times New Roman"/>
          <w:lang w:val="en-GB"/>
        </w:rPr>
        <w:t>2025). Similarly, on the central process-oriented failure, a measured gap between converting concerns rather than taking actions and recognising the factors related to concerns has highlighted the process failure area of trust (</w:t>
      </w:r>
      <w:proofErr w:type="spellStart"/>
      <w:r w:rsidRPr="00077B97">
        <w:rPr>
          <w:rFonts w:eastAsia="Times New Roman"/>
          <w:lang w:val="en-GB"/>
        </w:rPr>
        <w:t>Theguardian</w:t>
      </w:r>
      <w:proofErr w:type="spellEnd"/>
      <w:r w:rsidRPr="00077B97">
        <w:rPr>
          <w:rFonts w:eastAsia="Times New Roman"/>
          <w:lang w:val="en-GB"/>
        </w:rPr>
        <w:t xml:space="preserve">, 2025). In this context, meeting the quality assurance and incident formation-based identification can be reliable and effective for the hospital to balance its further issues-related objectives in an effective way.  </w:t>
      </w:r>
    </w:p>
    <w:p w14:paraId="7F297227" w14:textId="77777777" w:rsidR="00175A64" w:rsidRPr="00077B97" w:rsidRDefault="00C23E20" w:rsidP="00103806">
      <w:pPr>
        <w:spacing w:line="360" w:lineRule="auto"/>
        <w:jc w:val="both"/>
        <w:rPr>
          <w:rFonts w:eastAsia="Times New Roman"/>
          <w:lang w:val="en-GB"/>
        </w:rPr>
      </w:pPr>
      <w:r w:rsidRPr="00077B97">
        <w:rPr>
          <w:rFonts w:eastAsia="Times New Roman"/>
          <w:b/>
          <w:bCs/>
          <w:i/>
          <w:iCs/>
          <w:lang w:val="en-GB"/>
        </w:rPr>
        <w:t>Outcome</w:t>
      </w:r>
      <w:r w:rsidRPr="00077B97">
        <w:rPr>
          <w:rFonts w:eastAsia="Times New Roman"/>
          <w:lang w:val="en-GB"/>
        </w:rPr>
        <w:t xml:space="preserve">- As per the case-related demonstration, insufficient structure of monitoring, unexpectedly late in the overall investigation process to balance the conventional operational quality, highlights the limitation of the hospital to balance their positive outcome-based areas engagement. For that, appearing on the structure of effective implications and acquisition could be reliable for the trust to emphasise their changed operational affiliations in a more concerned manner. </w:t>
      </w:r>
    </w:p>
    <w:p w14:paraId="740D4105" w14:textId="77777777" w:rsidR="00175A64" w:rsidRPr="00077B97" w:rsidRDefault="00C23E20" w:rsidP="00103806">
      <w:pPr>
        <w:pStyle w:val="Heading2"/>
        <w:rPr>
          <w:szCs w:val="22"/>
          <w:lang w:val="en-GB"/>
        </w:rPr>
      </w:pPr>
      <w:bookmarkStart w:id="7" w:name="_Toc237398573"/>
      <w:r w:rsidRPr="00077B97">
        <w:rPr>
          <w:szCs w:val="22"/>
          <w:lang w:val="en-GB"/>
        </w:rPr>
        <w:t>Application of SWOT analysis</w:t>
      </w:r>
      <w:bookmarkEnd w:id="7"/>
    </w:p>
    <w:tbl>
      <w:tblPr>
        <w:tblStyle w:val="TableGrid"/>
        <w:tblW w:w="9360" w:type="dxa"/>
        <w:shd w:val="clear" w:color="auto" w:fill="DAEEF3" w:themeFill="accent5" w:themeFillTint="33"/>
        <w:tblLayout w:type="fixed"/>
        <w:tblLook w:val="0600" w:firstRow="0" w:lastRow="0" w:firstColumn="0" w:lastColumn="0" w:noHBand="1" w:noVBand="1"/>
      </w:tblPr>
      <w:tblGrid>
        <w:gridCol w:w="4680"/>
        <w:gridCol w:w="4680"/>
      </w:tblGrid>
      <w:tr w:rsidR="00175A64" w:rsidRPr="00077B97" w14:paraId="51826591" w14:textId="77777777" w:rsidTr="00673CF0">
        <w:tc>
          <w:tcPr>
            <w:tcW w:w="4680" w:type="dxa"/>
            <w:shd w:val="clear" w:color="auto" w:fill="DAEEF3" w:themeFill="accent5" w:themeFillTint="33"/>
          </w:tcPr>
          <w:p w14:paraId="3B844A96" w14:textId="77777777" w:rsidR="00175A64" w:rsidRPr="00077B97" w:rsidRDefault="00C23E20" w:rsidP="00103806">
            <w:pPr>
              <w:widowControl w:val="0"/>
              <w:pBdr>
                <w:top w:val="nil"/>
                <w:left w:val="nil"/>
                <w:bottom w:val="nil"/>
                <w:right w:val="nil"/>
                <w:between w:val="nil"/>
              </w:pBdr>
              <w:spacing w:line="360" w:lineRule="auto"/>
              <w:jc w:val="center"/>
              <w:rPr>
                <w:rFonts w:eastAsia="Times New Roman"/>
                <w:b/>
                <w:bCs/>
                <w:i/>
                <w:iCs/>
                <w:lang w:val="en-GB"/>
              </w:rPr>
            </w:pPr>
            <w:r w:rsidRPr="00077B97">
              <w:rPr>
                <w:rFonts w:eastAsia="Times New Roman"/>
                <w:b/>
                <w:bCs/>
                <w:i/>
                <w:iCs/>
                <w:lang w:val="en-GB"/>
              </w:rPr>
              <w:t xml:space="preserve">Strength </w:t>
            </w:r>
          </w:p>
        </w:tc>
        <w:tc>
          <w:tcPr>
            <w:tcW w:w="4680" w:type="dxa"/>
            <w:shd w:val="clear" w:color="auto" w:fill="DAEEF3" w:themeFill="accent5" w:themeFillTint="33"/>
          </w:tcPr>
          <w:p w14:paraId="5D2E3A60" w14:textId="77777777" w:rsidR="00175A64" w:rsidRPr="00077B97" w:rsidRDefault="00C23E20" w:rsidP="00103806">
            <w:pPr>
              <w:widowControl w:val="0"/>
              <w:pBdr>
                <w:top w:val="nil"/>
                <w:left w:val="nil"/>
                <w:bottom w:val="nil"/>
                <w:right w:val="nil"/>
                <w:between w:val="nil"/>
              </w:pBdr>
              <w:spacing w:line="360" w:lineRule="auto"/>
              <w:jc w:val="center"/>
              <w:rPr>
                <w:rFonts w:eastAsia="Times New Roman"/>
                <w:b/>
                <w:bCs/>
                <w:i/>
                <w:iCs/>
                <w:lang w:val="en-GB"/>
              </w:rPr>
            </w:pPr>
            <w:r w:rsidRPr="00077B97">
              <w:rPr>
                <w:rFonts w:eastAsia="Times New Roman"/>
                <w:b/>
                <w:bCs/>
                <w:i/>
                <w:iCs/>
                <w:lang w:val="en-GB"/>
              </w:rPr>
              <w:t xml:space="preserve">Weakness </w:t>
            </w:r>
          </w:p>
        </w:tc>
      </w:tr>
      <w:tr w:rsidR="00175A64" w:rsidRPr="00077B97" w14:paraId="581820F7" w14:textId="77777777" w:rsidTr="00673CF0">
        <w:tc>
          <w:tcPr>
            <w:tcW w:w="4680" w:type="dxa"/>
            <w:shd w:val="clear" w:color="auto" w:fill="DAEEF3" w:themeFill="accent5" w:themeFillTint="33"/>
          </w:tcPr>
          <w:p w14:paraId="127F4CB6" w14:textId="77777777" w:rsidR="00175A64" w:rsidRPr="00077B97" w:rsidRDefault="00C23E20" w:rsidP="00103806">
            <w:pPr>
              <w:widowControl w:val="0"/>
              <w:numPr>
                <w:ilvl w:val="0"/>
                <w:numId w:val="2"/>
              </w:numPr>
              <w:pBdr>
                <w:top w:val="nil"/>
                <w:left w:val="nil"/>
                <w:bottom w:val="nil"/>
                <w:right w:val="nil"/>
                <w:between w:val="nil"/>
              </w:pBdr>
              <w:spacing w:line="360" w:lineRule="auto"/>
              <w:jc w:val="both"/>
              <w:rPr>
                <w:rFonts w:eastAsia="Times New Roman"/>
                <w:lang w:val="en-GB"/>
              </w:rPr>
            </w:pPr>
            <w:r w:rsidRPr="00077B97">
              <w:rPr>
                <w:rFonts w:eastAsia="Times New Roman"/>
                <w:lang w:val="en-GB"/>
              </w:rPr>
              <w:t>Establishment of the NHS-based quality care framework (</w:t>
            </w:r>
            <w:proofErr w:type="spellStart"/>
            <w:r w:rsidRPr="00077B97">
              <w:rPr>
                <w:rFonts w:eastAsia="Times New Roman"/>
                <w:lang w:val="en-GB"/>
              </w:rPr>
              <w:t>Nhs</w:t>
            </w:r>
            <w:proofErr w:type="spellEnd"/>
            <w:r w:rsidRPr="00077B97">
              <w:rPr>
                <w:rFonts w:eastAsia="Times New Roman"/>
                <w:lang w:val="en-GB"/>
              </w:rPr>
              <w:t xml:space="preserve">, 2026). </w:t>
            </w:r>
          </w:p>
          <w:p w14:paraId="38AE9E36" w14:textId="77777777" w:rsidR="00175A64" w:rsidRPr="00077B97" w:rsidRDefault="00C23E20" w:rsidP="00103806">
            <w:pPr>
              <w:widowControl w:val="0"/>
              <w:numPr>
                <w:ilvl w:val="0"/>
                <w:numId w:val="2"/>
              </w:numPr>
              <w:pBdr>
                <w:top w:val="nil"/>
                <w:left w:val="nil"/>
                <w:bottom w:val="nil"/>
                <w:right w:val="nil"/>
                <w:between w:val="nil"/>
              </w:pBdr>
              <w:spacing w:line="360" w:lineRule="auto"/>
              <w:jc w:val="both"/>
              <w:rPr>
                <w:rFonts w:eastAsia="Times New Roman"/>
                <w:lang w:val="en-GB"/>
              </w:rPr>
            </w:pPr>
            <w:r w:rsidRPr="00077B97">
              <w:rPr>
                <w:rFonts w:eastAsia="Times New Roman"/>
                <w:lang w:val="en-GB"/>
              </w:rPr>
              <w:t xml:space="preserve">Assurance of multidisciplinary clinical expertise engagement </w:t>
            </w:r>
          </w:p>
          <w:p w14:paraId="1DF84B05" w14:textId="77777777" w:rsidR="00175A64" w:rsidRPr="00077B97" w:rsidRDefault="00C23E20" w:rsidP="00103806">
            <w:pPr>
              <w:widowControl w:val="0"/>
              <w:numPr>
                <w:ilvl w:val="0"/>
                <w:numId w:val="2"/>
              </w:numPr>
              <w:pBdr>
                <w:top w:val="nil"/>
                <w:left w:val="nil"/>
                <w:bottom w:val="nil"/>
                <w:right w:val="nil"/>
                <w:between w:val="nil"/>
              </w:pBdr>
              <w:spacing w:line="360" w:lineRule="auto"/>
              <w:jc w:val="both"/>
              <w:rPr>
                <w:rFonts w:eastAsia="Times New Roman"/>
                <w:lang w:val="en-GB"/>
              </w:rPr>
            </w:pPr>
            <w:r w:rsidRPr="00077B97">
              <w:rPr>
                <w:rFonts w:eastAsia="Times New Roman"/>
                <w:lang w:val="en-GB"/>
              </w:rPr>
              <w:t xml:space="preserve">Existing data synthesis as per the changed information-based structure integration </w:t>
            </w:r>
          </w:p>
        </w:tc>
        <w:tc>
          <w:tcPr>
            <w:tcW w:w="4680" w:type="dxa"/>
            <w:shd w:val="clear" w:color="auto" w:fill="DAEEF3" w:themeFill="accent5" w:themeFillTint="33"/>
          </w:tcPr>
          <w:p w14:paraId="5962CAA5" w14:textId="77777777" w:rsidR="00175A64" w:rsidRPr="00077B97" w:rsidRDefault="00C23E20" w:rsidP="00103806">
            <w:pPr>
              <w:widowControl w:val="0"/>
              <w:numPr>
                <w:ilvl w:val="0"/>
                <w:numId w:val="2"/>
              </w:numPr>
              <w:pBdr>
                <w:top w:val="nil"/>
                <w:left w:val="nil"/>
                <w:bottom w:val="nil"/>
                <w:right w:val="nil"/>
                <w:between w:val="nil"/>
              </w:pBdr>
              <w:spacing w:line="360" w:lineRule="auto"/>
              <w:jc w:val="both"/>
              <w:rPr>
                <w:rFonts w:eastAsia="Times New Roman"/>
                <w:lang w:val="en-GB"/>
              </w:rPr>
            </w:pPr>
            <w:r w:rsidRPr="00077B97">
              <w:rPr>
                <w:rFonts w:eastAsia="Times New Roman"/>
                <w:lang w:val="en-GB"/>
              </w:rPr>
              <w:t xml:space="preserve">Weak escalation on the concerned and emergency process </w:t>
            </w:r>
          </w:p>
          <w:p w14:paraId="3E04EEE3" w14:textId="77777777" w:rsidR="00175A64" w:rsidRPr="00077B97" w:rsidRDefault="00C23E20" w:rsidP="00103806">
            <w:pPr>
              <w:widowControl w:val="0"/>
              <w:numPr>
                <w:ilvl w:val="0"/>
                <w:numId w:val="2"/>
              </w:numPr>
              <w:pBdr>
                <w:top w:val="nil"/>
                <w:left w:val="nil"/>
                <w:bottom w:val="nil"/>
                <w:right w:val="nil"/>
                <w:between w:val="nil"/>
              </w:pBdr>
              <w:spacing w:line="360" w:lineRule="auto"/>
              <w:jc w:val="both"/>
              <w:rPr>
                <w:rFonts w:eastAsia="Times New Roman"/>
                <w:lang w:val="en-GB"/>
              </w:rPr>
            </w:pPr>
            <w:r w:rsidRPr="00077B97">
              <w:rPr>
                <w:rFonts w:eastAsia="Times New Roman"/>
                <w:lang w:val="en-GB"/>
              </w:rPr>
              <w:t>Pressure of unmonitored area of staffing (</w:t>
            </w:r>
            <w:proofErr w:type="spellStart"/>
            <w:r w:rsidRPr="00077B97">
              <w:rPr>
                <w:rFonts w:eastAsia="Times New Roman"/>
                <w:lang w:val="en-GB"/>
              </w:rPr>
              <w:t>Theguardian</w:t>
            </w:r>
            <w:proofErr w:type="spellEnd"/>
            <w:r w:rsidRPr="00077B97">
              <w:rPr>
                <w:rFonts w:eastAsia="Times New Roman"/>
                <w:lang w:val="en-GB"/>
              </w:rPr>
              <w:t xml:space="preserve">, 2025). </w:t>
            </w:r>
          </w:p>
          <w:p w14:paraId="5E4D5739" w14:textId="77777777" w:rsidR="00175A64" w:rsidRPr="00077B97" w:rsidRDefault="00C23E20" w:rsidP="00103806">
            <w:pPr>
              <w:widowControl w:val="0"/>
              <w:numPr>
                <w:ilvl w:val="0"/>
                <w:numId w:val="2"/>
              </w:numPr>
              <w:pBdr>
                <w:top w:val="nil"/>
                <w:left w:val="nil"/>
                <w:bottom w:val="nil"/>
                <w:right w:val="nil"/>
                <w:between w:val="nil"/>
              </w:pBdr>
              <w:spacing w:line="360" w:lineRule="auto"/>
              <w:jc w:val="both"/>
              <w:rPr>
                <w:rFonts w:eastAsia="Times New Roman"/>
                <w:lang w:val="en-GB"/>
              </w:rPr>
            </w:pPr>
            <w:r w:rsidRPr="00077B97">
              <w:rPr>
                <w:rFonts w:eastAsia="Times New Roman"/>
                <w:lang w:val="en-GB"/>
              </w:rPr>
              <w:t xml:space="preserve">Leadership vulnerabilities and the poor organisational learning concepts for management </w:t>
            </w:r>
          </w:p>
        </w:tc>
      </w:tr>
      <w:tr w:rsidR="00175A64" w:rsidRPr="00077B97" w14:paraId="3DA253C5" w14:textId="77777777" w:rsidTr="00673CF0">
        <w:tc>
          <w:tcPr>
            <w:tcW w:w="4680" w:type="dxa"/>
            <w:shd w:val="clear" w:color="auto" w:fill="DAEEF3" w:themeFill="accent5" w:themeFillTint="33"/>
          </w:tcPr>
          <w:p w14:paraId="30B575DA" w14:textId="77777777" w:rsidR="00175A64" w:rsidRPr="00077B97" w:rsidRDefault="00C23E20" w:rsidP="00103806">
            <w:pPr>
              <w:widowControl w:val="0"/>
              <w:pBdr>
                <w:top w:val="nil"/>
                <w:left w:val="nil"/>
                <w:bottom w:val="nil"/>
                <w:right w:val="nil"/>
                <w:between w:val="nil"/>
              </w:pBdr>
              <w:spacing w:line="360" w:lineRule="auto"/>
              <w:jc w:val="center"/>
              <w:rPr>
                <w:rFonts w:eastAsia="Times New Roman"/>
                <w:b/>
                <w:bCs/>
                <w:i/>
                <w:iCs/>
                <w:lang w:val="en-GB"/>
              </w:rPr>
            </w:pPr>
            <w:r w:rsidRPr="00077B97">
              <w:rPr>
                <w:rFonts w:eastAsia="Times New Roman"/>
                <w:b/>
                <w:bCs/>
                <w:i/>
                <w:iCs/>
                <w:lang w:val="en-GB"/>
              </w:rPr>
              <w:t xml:space="preserve">Opportunity </w:t>
            </w:r>
          </w:p>
        </w:tc>
        <w:tc>
          <w:tcPr>
            <w:tcW w:w="4680" w:type="dxa"/>
            <w:shd w:val="clear" w:color="auto" w:fill="DAEEF3" w:themeFill="accent5" w:themeFillTint="33"/>
          </w:tcPr>
          <w:p w14:paraId="3C770908" w14:textId="77777777" w:rsidR="00175A64" w:rsidRPr="00077B97" w:rsidRDefault="00C23E20" w:rsidP="00103806">
            <w:pPr>
              <w:widowControl w:val="0"/>
              <w:pBdr>
                <w:top w:val="nil"/>
                <w:left w:val="nil"/>
                <w:bottom w:val="nil"/>
                <w:right w:val="nil"/>
                <w:between w:val="nil"/>
              </w:pBdr>
              <w:spacing w:line="360" w:lineRule="auto"/>
              <w:jc w:val="center"/>
              <w:rPr>
                <w:rFonts w:eastAsia="Times New Roman"/>
                <w:b/>
                <w:bCs/>
                <w:i/>
                <w:iCs/>
                <w:lang w:val="en-GB"/>
              </w:rPr>
            </w:pPr>
            <w:r w:rsidRPr="00077B97">
              <w:rPr>
                <w:rFonts w:eastAsia="Times New Roman"/>
                <w:b/>
                <w:bCs/>
                <w:i/>
                <w:iCs/>
                <w:lang w:val="en-GB"/>
              </w:rPr>
              <w:t xml:space="preserve">Threat </w:t>
            </w:r>
          </w:p>
        </w:tc>
      </w:tr>
      <w:tr w:rsidR="00175A64" w:rsidRPr="00077B97" w14:paraId="60A4EFDE" w14:textId="77777777" w:rsidTr="00673CF0">
        <w:tc>
          <w:tcPr>
            <w:tcW w:w="4680" w:type="dxa"/>
            <w:shd w:val="clear" w:color="auto" w:fill="DAEEF3" w:themeFill="accent5" w:themeFillTint="33"/>
          </w:tcPr>
          <w:p w14:paraId="17747A92" w14:textId="77777777" w:rsidR="00175A64" w:rsidRPr="00077B97" w:rsidRDefault="00C23E20" w:rsidP="00103806">
            <w:pPr>
              <w:widowControl w:val="0"/>
              <w:numPr>
                <w:ilvl w:val="0"/>
                <w:numId w:val="1"/>
              </w:numPr>
              <w:pBdr>
                <w:top w:val="nil"/>
                <w:left w:val="nil"/>
                <w:bottom w:val="nil"/>
                <w:right w:val="nil"/>
                <w:between w:val="nil"/>
              </w:pBdr>
              <w:spacing w:line="360" w:lineRule="auto"/>
              <w:jc w:val="both"/>
              <w:rPr>
                <w:rFonts w:eastAsia="Times New Roman"/>
                <w:lang w:val="en-GB"/>
              </w:rPr>
            </w:pPr>
            <w:r w:rsidRPr="00077B97">
              <w:rPr>
                <w:rFonts w:eastAsia="Times New Roman"/>
                <w:lang w:val="en-GB"/>
              </w:rPr>
              <w:t>Enable Artificial Intelligence-based incident surveillance to continue monitoring structure (</w:t>
            </w:r>
            <w:proofErr w:type="spellStart"/>
            <w:r w:rsidRPr="00077B97">
              <w:rPr>
                <w:rFonts w:eastAsia="Times New Roman"/>
                <w:lang w:val="en-GB"/>
              </w:rPr>
              <w:t>Al-Fahadi</w:t>
            </w:r>
            <w:proofErr w:type="spellEnd"/>
            <w:r w:rsidRPr="00077B97">
              <w:rPr>
                <w:rFonts w:eastAsia="Times New Roman"/>
                <w:lang w:val="en-GB"/>
              </w:rPr>
              <w:t xml:space="preserve"> </w:t>
            </w:r>
            <w:r w:rsidRPr="00077B97">
              <w:rPr>
                <w:rFonts w:eastAsia="Times New Roman"/>
                <w:i/>
                <w:iCs/>
                <w:lang w:val="en-GB"/>
              </w:rPr>
              <w:t xml:space="preserve">et al. </w:t>
            </w:r>
            <w:r w:rsidRPr="00077B97">
              <w:rPr>
                <w:rFonts w:eastAsia="Times New Roman"/>
                <w:lang w:val="en-GB"/>
              </w:rPr>
              <w:t xml:space="preserve">2025). </w:t>
            </w:r>
          </w:p>
          <w:p w14:paraId="6A8EE9E2" w14:textId="77777777" w:rsidR="00175A64" w:rsidRPr="00077B97" w:rsidRDefault="00C23E20" w:rsidP="00103806">
            <w:pPr>
              <w:widowControl w:val="0"/>
              <w:numPr>
                <w:ilvl w:val="0"/>
                <w:numId w:val="1"/>
              </w:numPr>
              <w:pBdr>
                <w:top w:val="nil"/>
                <w:left w:val="nil"/>
                <w:bottom w:val="nil"/>
                <w:right w:val="nil"/>
                <w:between w:val="nil"/>
              </w:pBdr>
              <w:spacing w:line="360" w:lineRule="auto"/>
              <w:jc w:val="both"/>
              <w:rPr>
                <w:rFonts w:eastAsia="Times New Roman"/>
                <w:lang w:val="en-GB"/>
              </w:rPr>
            </w:pPr>
            <w:r w:rsidRPr="00077B97">
              <w:rPr>
                <w:rFonts w:eastAsia="Times New Roman"/>
                <w:lang w:val="en-GB"/>
              </w:rPr>
              <w:t xml:space="preserve">Independent clinical review functions from patients' understanding </w:t>
            </w:r>
          </w:p>
          <w:p w14:paraId="07AF81CF" w14:textId="77777777" w:rsidR="00175A64" w:rsidRPr="00077B97" w:rsidRDefault="00C23E20" w:rsidP="00103806">
            <w:pPr>
              <w:widowControl w:val="0"/>
              <w:numPr>
                <w:ilvl w:val="0"/>
                <w:numId w:val="1"/>
              </w:numPr>
              <w:pBdr>
                <w:top w:val="nil"/>
                <w:left w:val="nil"/>
                <w:bottom w:val="nil"/>
                <w:right w:val="nil"/>
                <w:between w:val="nil"/>
              </w:pBdr>
              <w:spacing w:line="360" w:lineRule="auto"/>
              <w:jc w:val="both"/>
              <w:rPr>
                <w:rFonts w:eastAsia="Times New Roman"/>
                <w:lang w:val="en-GB"/>
              </w:rPr>
            </w:pPr>
            <w:r w:rsidRPr="00077B97">
              <w:rPr>
                <w:rFonts w:eastAsia="Times New Roman"/>
                <w:lang w:val="en-GB"/>
              </w:rPr>
              <w:t xml:space="preserve">Stronger process of the whistleblowing mechanisms in clinical process advancement (Quon </w:t>
            </w:r>
            <w:r w:rsidRPr="00077B97">
              <w:rPr>
                <w:rFonts w:eastAsia="Times New Roman"/>
                <w:i/>
                <w:iCs/>
                <w:lang w:val="en-GB"/>
              </w:rPr>
              <w:t xml:space="preserve">et al. </w:t>
            </w:r>
            <w:r w:rsidRPr="00077B97">
              <w:rPr>
                <w:rFonts w:eastAsia="Times New Roman"/>
                <w:lang w:val="en-GB"/>
              </w:rPr>
              <w:t xml:space="preserve">2025). </w:t>
            </w:r>
          </w:p>
        </w:tc>
        <w:tc>
          <w:tcPr>
            <w:tcW w:w="4680" w:type="dxa"/>
            <w:shd w:val="clear" w:color="auto" w:fill="DAEEF3" w:themeFill="accent5" w:themeFillTint="33"/>
          </w:tcPr>
          <w:p w14:paraId="73139B97" w14:textId="77777777" w:rsidR="00175A64" w:rsidRPr="00077B97" w:rsidRDefault="00C23E20" w:rsidP="00103806">
            <w:pPr>
              <w:widowControl w:val="0"/>
              <w:numPr>
                <w:ilvl w:val="0"/>
                <w:numId w:val="1"/>
              </w:numPr>
              <w:pBdr>
                <w:top w:val="nil"/>
                <w:left w:val="nil"/>
                <w:bottom w:val="nil"/>
                <w:right w:val="nil"/>
                <w:between w:val="nil"/>
              </w:pBdr>
              <w:spacing w:line="360" w:lineRule="auto"/>
              <w:jc w:val="both"/>
              <w:rPr>
                <w:rFonts w:eastAsia="Times New Roman"/>
                <w:lang w:val="en-GB"/>
              </w:rPr>
            </w:pPr>
            <w:r w:rsidRPr="00077B97">
              <w:rPr>
                <w:rFonts w:eastAsia="Times New Roman"/>
                <w:lang w:val="en-GB"/>
              </w:rPr>
              <w:t xml:space="preserve">Compliance related to policy-making without understanding the essential areas of changes </w:t>
            </w:r>
          </w:p>
          <w:p w14:paraId="5244F54D" w14:textId="77777777" w:rsidR="00175A64" w:rsidRPr="00077B97" w:rsidRDefault="00C23E20" w:rsidP="00103806">
            <w:pPr>
              <w:widowControl w:val="0"/>
              <w:numPr>
                <w:ilvl w:val="0"/>
                <w:numId w:val="1"/>
              </w:numPr>
              <w:pBdr>
                <w:top w:val="nil"/>
                <w:left w:val="nil"/>
                <w:bottom w:val="nil"/>
                <w:right w:val="nil"/>
                <w:between w:val="nil"/>
              </w:pBdr>
              <w:spacing w:line="360" w:lineRule="auto"/>
              <w:jc w:val="both"/>
              <w:rPr>
                <w:rFonts w:eastAsia="Times New Roman"/>
                <w:lang w:val="en-GB"/>
              </w:rPr>
            </w:pPr>
            <w:r w:rsidRPr="00077B97">
              <w:rPr>
                <w:rFonts w:eastAsia="Times New Roman"/>
                <w:lang w:val="en-GB"/>
              </w:rPr>
              <w:t xml:space="preserve">Losing a large range of public trust as per the previous structure </w:t>
            </w:r>
          </w:p>
          <w:p w14:paraId="3A837825" w14:textId="77777777" w:rsidR="00175A64" w:rsidRPr="00077B97" w:rsidRDefault="00C23E20" w:rsidP="00103806">
            <w:pPr>
              <w:widowControl w:val="0"/>
              <w:numPr>
                <w:ilvl w:val="0"/>
                <w:numId w:val="1"/>
              </w:numPr>
              <w:pBdr>
                <w:top w:val="nil"/>
                <w:left w:val="nil"/>
                <w:bottom w:val="nil"/>
                <w:right w:val="nil"/>
                <w:between w:val="nil"/>
              </w:pBdr>
              <w:spacing w:line="360" w:lineRule="auto"/>
              <w:jc w:val="both"/>
              <w:rPr>
                <w:rFonts w:eastAsia="Times New Roman"/>
                <w:lang w:val="en-GB"/>
              </w:rPr>
            </w:pPr>
            <w:r w:rsidRPr="00077B97">
              <w:rPr>
                <w:rFonts w:eastAsia="Times New Roman"/>
                <w:lang w:val="en-GB"/>
              </w:rPr>
              <w:t xml:space="preserve">Continued suffering from staffing shortage issues in different ways </w:t>
            </w:r>
          </w:p>
        </w:tc>
      </w:tr>
    </w:tbl>
    <w:p w14:paraId="3292FBFB" w14:textId="77777777" w:rsidR="00175A64" w:rsidRPr="00077B97" w:rsidRDefault="00C23E20" w:rsidP="00103806">
      <w:pPr>
        <w:spacing w:line="360" w:lineRule="auto"/>
        <w:jc w:val="center"/>
        <w:rPr>
          <w:rFonts w:eastAsia="Times New Roman"/>
          <w:b/>
          <w:bCs/>
          <w:lang w:val="en-GB"/>
        </w:rPr>
      </w:pPr>
      <w:r w:rsidRPr="00077B97">
        <w:rPr>
          <w:rFonts w:eastAsia="Times New Roman"/>
          <w:b/>
          <w:bCs/>
          <w:lang w:val="en-GB"/>
        </w:rPr>
        <w:t xml:space="preserve">Table 1: SWOT analysis on the Lucy Letby case study </w:t>
      </w:r>
    </w:p>
    <w:p w14:paraId="4BD987FA" w14:textId="77777777" w:rsidR="00175A64" w:rsidRPr="00077B97" w:rsidRDefault="00C23E20" w:rsidP="00103806">
      <w:pPr>
        <w:spacing w:line="360" w:lineRule="auto"/>
        <w:jc w:val="center"/>
        <w:rPr>
          <w:rFonts w:eastAsia="Times New Roman"/>
          <w:lang w:val="en-GB"/>
        </w:rPr>
      </w:pPr>
      <w:r w:rsidRPr="00077B97">
        <w:rPr>
          <w:rFonts w:eastAsia="Times New Roman"/>
          <w:lang w:val="en-GB"/>
        </w:rPr>
        <w:t>(Source: Self-developed)</w:t>
      </w:r>
    </w:p>
    <w:p w14:paraId="5378776E" w14:textId="311E3270" w:rsidR="00175A64" w:rsidRPr="00077B97" w:rsidRDefault="00C23E20" w:rsidP="00103806">
      <w:pPr>
        <w:spacing w:line="360" w:lineRule="auto"/>
        <w:jc w:val="both"/>
        <w:rPr>
          <w:rFonts w:eastAsia="Times New Roman"/>
          <w:lang w:val="en-GB"/>
        </w:rPr>
      </w:pPr>
      <w:r w:rsidRPr="00077B97">
        <w:rPr>
          <w:rFonts w:eastAsia="Times New Roman"/>
          <w:lang w:val="en-GB"/>
        </w:rPr>
        <w:t xml:space="preserve">In terms of Lucy Letby's criminal mindset analysis and the changed formation-oriented process outlining, insufficient leadership integration and inactive monitoring structure may impact the changed operational scalability of the trust. Therefore, focusing on their AI-driven incident surveillance and continuing the monitoring structure could be effective in transforming their real competitive goals in the UK again. </w:t>
      </w:r>
    </w:p>
    <w:p w14:paraId="2BD7EBC3" w14:textId="77777777" w:rsidR="00103806" w:rsidRPr="00077B97" w:rsidRDefault="00103806" w:rsidP="00103806">
      <w:pPr>
        <w:pStyle w:val="Heading1"/>
        <w:rPr>
          <w:sz w:val="22"/>
          <w:szCs w:val="22"/>
          <w:lang w:val="en-GB"/>
        </w:rPr>
      </w:pPr>
      <w:bookmarkStart w:id="8" w:name="_Toc237398574"/>
      <w:r w:rsidRPr="00077B97">
        <w:rPr>
          <w:sz w:val="22"/>
          <w:szCs w:val="22"/>
          <w:lang w:val="en-GB"/>
        </w:rPr>
        <w:t>Recommendation</w:t>
      </w:r>
      <w:bookmarkEnd w:id="8"/>
      <w:r w:rsidRPr="00077B97">
        <w:rPr>
          <w:sz w:val="22"/>
          <w:szCs w:val="22"/>
          <w:lang w:val="en-GB"/>
        </w:rPr>
        <w:t xml:space="preserve"> </w:t>
      </w:r>
    </w:p>
    <w:p w14:paraId="157C6445" w14:textId="77777777" w:rsidR="00103806" w:rsidRPr="00077B97" w:rsidRDefault="00103806" w:rsidP="00103806">
      <w:pPr>
        <w:pStyle w:val="Heading2"/>
        <w:rPr>
          <w:szCs w:val="22"/>
          <w:lang w:val="en-GB"/>
        </w:rPr>
      </w:pPr>
      <w:bookmarkStart w:id="9" w:name="_Toc237398575"/>
      <w:r w:rsidRPr="00077B97">
        <w:rPr>
          <w:szCs w:val="22"/>
          <w:lang w:val="en-GB"/>
        </w:rPr>
        <w:t>Recommend Plan-Do-Study-Act (PDSA) tool to develop root cause of quality issues</w:t>
      </w:r>
      <w:bookmarkEnd w:id="9"/>
      <w:r w:rsidRPr="00077B97">
        <w:rPr>
          <w:szCs w:val="22"/>
          <w:lang w:val="en-GB"/>
        </w:rPr>
        <w:t xml:space="preserve"> </w:t>
      </w:r>
    </w:p>
    <w:p w14:paraId="601F6908" w14:textId="252C89F2" w:rsidR="00103806" w:rsidRPr="00077B97" w:rsidRDefault="00A063AF" w:rsidP="00103806">
      <w:pPr>
        <w:spacing w:line="360" w:lineRule="auto"/>
        <w:jc w:val="both"/>
        <w:rPr>
          <w:lang w:val="en-GB"/>
        </w:rPr>
      </w:pPr>
      <w:r w:rsidRPr="00077B97">
        <w:rPr>
          <w:color w:val="1D1B11" w:themeColor="background2" w:themeShade="1A"/>
          <w:shd w:val="clear" w:color="auto" w:fill="FFFFFF"/>
        </w:rPr>
        <w:t>Bechtold and Matteson</w:t>
      </w:r>
      <w:r w:rsidRPr="00077B97">
        <w:rPr>
          <w:rFonts w:ascii="Cambria Math" w:hAnsi="Cambria Math" w:cs="Cambria Math"/>
          <w:color w:val="1D1B11" w:themeColor="background2" w:themeShade="1A"/>
          <w:shd w:val="clear" w:color="auto" w:fill="FFFFFF"/>
        </w:rPr>
        <w:t>‐</w:t>
      </w:r>
      <w:r w:rsidRPr="00077B97">
        <w:rPr>
          <w:color w:val="1D1B11" w:themeColor="background2" w:themeShade="1A"/>
          <w:shd w:val="clear" w:color="auto" w:fill="FFFFFF"/>
        </w:rPr>
        <w:t>Kome</w:t>
      </w:r>
      <w:r w:rsidRPr="00077B97">
        <w:rPr>
          <w:lang w:val="en-GB"/>
        </w:rPr>
        <w:t xml:space="preserve"> </w:t>
      </w:r>
      <w:r w:rsidR="00103806" w:rsidRPr="00077B97">
        <w:rPr>
          <w:lang w:val="en-GB"/>
        </w:rPr>
        <w:t>(</w:t>
      </w:r>
      <w:r w:rsidRPr="00077B97">
        <w:rPr>
          <w:lang w:val="en-GB"/>
        </w:rPr>
        <w:t>2025</w:t>
      </w:r>
      <w:r w:rsidR="00103806" w:rsidRPr="00077B97">
        <w:rPr>
          <w:lang w:val="en-GB"/>
        </w:rPr>
        <w:t xml:space="preserve">) articulated PDSA means Plan-Do-Study-Act is one of the recommended quality improvement models that can address the root cause of the issue and identify the associated challenges and solution. </w:t>
      </w:r>
      <w:r w:rsidRPr="00077B97">
        <w:rPr>
          <w:color w:val="1D1B11" w:themeColor="background2" w:themeShade="1A"/>
          <w:shd w:val="clear" w:color="auto" w:fill="FFFFFF"/>
        </w:rPr>
        <w:t>Bradley</w:t>
      </w:r>
      <w:r w:rsidRPr="00077B97">
        <w:rPr>
          <w:lang w:val="en-GB"/>
        </w:rPr>
        <w:t xml:space="preserve"> </w:t>
      </w:r>
      <w:r w:rsidRPr="00077B97">
        <w:rPr>
          <w:i/>
          <w:iCs/>
          <w:lang w:val="en-GB"/>
        </w:rPr>
        <w:t xml:space="preserve">et al. </w:t>
      </w:r>
      <w:r w:rsidR="00103806" w:rsidRPr="00077B97">
        <w:rPr>
          <w:lang w:val="en-GB"/>
        </w:rPr>
        <w:t>(</w:t>
      </w:r>
      <w:r w:rsidRPr="00077B97">
        <w:rPr>
          <w:lang w:val="en-GB"/>
        </w:rPr>
        <w:t>2024</w:t>
      </w:r>
      <w:r w:rsidR="00103806" w:rsidRPr="00077B97">
        <w:rPr>
          <w:lang w:val="en-GB"/>
        </w:rPr>
        <w:t xml:space="preserve">) Stated </w:t>
      </w:r>
      <w:r w:rsidR="00103806" w:rsidRPr="00077B97">
        <w:rPr>
          <w:b/>
          <w:bCs/>
          <w:i/>
          <w:iCs/>
          <w:lang w:val="en-GB"/>
        </w:rPr>
        <w:t>Plan</w:t>
      </w:r>
      <w:r w:rsidR="00103806" w:rsidRPr="00077B97">
        <w:rPr>
          <w:lang w:val="en-GB"/>
        </w:rPr>
        <w:t xml:space="preserve"> refers to the identification of possible failures and challenges in this escalated situation. The Lucy </w:t>
      </w:r>
      <w:r w:rsidR="00752DCC" w:rsidRPr="00077B97">
        <w:rPr>
          <w:lang w:val="en-GB"/>
        </w:rPr>
        <w:t>Letby</w:t>
      </w:r>
      <w:r w:rsidR="00103806" w:rsidRPr="00077B97">
        <w:rPr>
          <w:lang w:val="en-GB"/>
        </w:rPr>
        <w:t xml:space="preserve"> case study could define the communication issues between clinicians and managers and the root cause analysis of not deporting the incident and lack of governance data. </w:t>
      </w:r>
    </w:p>
    <w:p w14:paraId="300D3A10" w14:textId="77777777" w:rsidR="00103806" w:rsidRPr="00077B97" w:rsidRDefault="00103806" w:rsidP="00103806">
      <w:pPr>
        <w:spacing w:line="360" w:lineRule="auto"/>
        <w:jc w:val="center"/>
        <w:rPr>
          <w:lang w:val="en-GB"/>
        </w:rPr>
      </w:pPr>
      <w:r w:rsidRPr="00077B97">
        <w:rPr>
          <w:noProof/>
          <w:lang w:val="en-GB"/>
        </w:rPr>
        <w:drawing>
          <wp:inline distT="0" distB="0" distL="0" distR="0" wp14:anchorId="54E96842" wp14:editId="195184B2">
            <wp:extent cx="3299012" cy="3286136"/>
            <wp:effectExtent l="76200" t="76200" r="130175" b="123825"/>
            <wp:docPr id="2054140282" name="Picture 4" descr="Principles and Models of Quality Improvement: Plan-Do-Study-Act |  Anesthesia Ke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rinciples and Models of Quality Improvement: Plan-Do-Study-Act |  Anesthesia Key"/>
                    <pic:cNvPicPr>
                      <a:picLocks noChangeAspect="1" noChangeArrowheads="1"/>
                    </pic:cNvPicPr>
                  </pic:nvPicPr>
                  <pic:blipFill rotWithShape="1">
                    <a:blip r:embed="rId12">
                      <a:extLst>
                        <a:ext uri="{28A0092B-C50C-407E-A947-70E740481C1C}">
                          <a14:useLocalDpi xmlns:a14="http://schemas.microsoft.com/office/drawing/2010/main" val="0"/>
                        </a:ext>
                      </a:extLst>
                    </a:blip>
                    <a:srcRect b="10655"/>
                    <a:stretch>
                      <a:fillRect/>
                    </a:stretch>
                  </pic:blipFill>
                  <pic:spPr bwMode="auto">
                    <a:xfrm>
                      <a:off x="0" y="0"/>
                      <a:ext cx="3304810" cy="329191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1439C3ED" w14:textId="4428F146" w:rsidR="00103806" w:rsidRPr="00077B97" w:rsidRDefault="00103806" w:rsidP="00103806">
      <w:pPr>
        <w:spacing w:line="360" w:lineRule="auto"/>
        <w:jc w:val="center"/>
        <w:rPr>
          <w:b/>
          <w:bCs/>
          <w:lang w:val="en-GB"/>
        </w:rPr>
      </w:pPr>
      <w:r w:rsidRPr="00077B97">
        <w:rPr>
          <w:b/>
          <w:bCs/>
          <w:lang w:val="en-GB"/>
        </w:rPr>
        <w:t>Figure 4: Plan-Do-Study-Act (PDSA) Model</w:t>
      </w:r>
    </w:p>
    <w:p w14:paraId="06794FB5" w14:textId="570F62D6" w:rsidR="00103806" w:rsidRPr="00077B97" w:rsidRDefault="00103806" w:rsidP="00103806">
      <w:pPr>
        <w:spacing w:line="360" w:lineRule="auto"/>
        <w:jc w:val="center"/>
        <w:rPr>
          <w:lang w:val="en-GB"/>
        </w:rPr>
      </w:pPr>
      <w:r w:rsidRPr="00077B97">
        <w:rPr>
          <w:lang w:val="en-GB"/>
        </w:rPr>
        <w:t xml:space="preserve">(Source: </w:t>
      </w:r>
      <w:r w:rsidR="00A063AF" w:rsidRPr="00077B97">
        <w:rPr>
          <w:color w:val="1D1B11" w:themeColor="background2" w:themeShade="1A"/>
          <w:shd w:val="clear" w:color="auto" w:fill="FFFFFF"/>
        </w:rPr>
        <w:t>Elliott, 2024</w:t>
      </w:r>
      <w:r w:rsidRPr="00077B97">
        <w:rPr>
          <w:lang w:val="en-GB"/>
        </w:rPr>
        <w:t>)</w:t>
      </w:r>
    </w:p>
    <w:p w14:paraId="76F388B3" w14:textId="42600D42" w:rsidR="00103806" w:rsidRPr="00077B97" w:rsidRDefault="00A063AF" w:rsidP="00103806">
      <w:pPr>
        <w:spacing w:line="360" w:lineRule="auto"/>
        <w:jc w:val="both"/>
        <w:rPr>
          <w:lang w:val="en-GB"/>
        </w:rPr>
      </w:pPr>
      <w:r w:rsidRPr="00077B97">
        <w:rPr>
          <w:color w:val="1D1B11" w:themeColor="background2" w:themeShade="1A"/>
          <w:shd w:val="clear" w:color="auto" w:fill="FFFFFF"/>
        </w:rPr>
        <w:t>Sagun and Prudente</w:t>
      </w:r>
      <w:r w:rsidRPr="00077B97">
        <w:rPr>
          <w:lang w:val="en-GB"/>
        </w:rPr>
        <w:t xml:space="preserve"> </w:t>
      </w:r>
      <w:r w:rsidR="00103806" w:rsidRPr="00077B97">
        <w:rPr>
          <w:lang w:val="en-GB"/>
        </w:rPr>
        <w:t>(</w:t>
      </w:r>
      <w:r w:rsidRPr="00077B97">
        <w:rPr>
          <w:lang w:val="en-GB"/>
        </w:rPr>
        <w:t>2023</w:t>
      </w:r>
      <w:r w:rsidR="00103806" w:rsidRPr="00077B97">
        <w:rPr>
          <w:lang w:val="en-GB"/>
        </w:rPr>
        <w:t xml:space="preserve">) stated </w:t>
      </w:r>
      <w:r w:rsidR="00103806" w:rsidRPr="00077B97">
        <w:rPr>
          <w:b/>
          <w:bCs/>
          <w:i/>
          <w:iCs/>
          <w:lang w:val="en-GB"/>
        </w:rPr>
        <w:t>Do</w:t>
      </w:r>
      <w:r w:rsidR="00103806" w:rsidRPr="00077B97">
        <w:rPr>
          <w:lang w:val="en-GB"/>
        </w:rPr>
        <w:t xml:space="preserve"> defines the small and corrective actions that could be implemented in a system in order to balance the protocols and strengthen the reporting. In the case study with multidisciplinary safety meetings an independent review process clear routes to whistleblower towards freedom of speak up can be defined. </w:t>
      </w:r>
      <w:r w:rsidRPr="00077B97">
        <w:rPr>
          <w:color w:val="1D1B11" w:themeColor="background2" w:themeShade="1A"/>
          <w:shd w:val="clear" w:color="auto" w:fill="FFFFFF"/>
        </w:rPr>
        <w:t>Bechtold and Matteson</w:t>
      </w:r>
      <w:r w:rsidRPr="00077B97">
        <w:rPr>
          <w:rFonts w:ascii="Cambria Math" w:hAnsi="Cambria Math" w:cs="Cambria Math"/>
          <w:color w:val="1D1B11" w:themeColor="background2" w:themeShade="1A"/>
          <w:shd w:val="clear" w:color="auto" w:fill="FFFFFF"/>
        </w:rPr>
        <w:t>‐</w:t>
      </w:r>
      <w:r w:rsidRPr="00077B97">
        <w:rPr>
          <w:color w:val="1D1B11" w:themeColor="background2" w:themeShade="1A"/>
          <w:shd w:val="clear" w:color="auto" w:fill="FFFFFF"/>
        </w:rPr>
        <w:t>Kome</w:t>
      </w:r>
      <w:r w:rsidRPr="00077B97">
        <w:rPr>
          <w:lang w:val="en-GB"/>
        </w:rPr>
        <w:t xml:space="preserve"> </w:t>
      </w:r>
      <w:r w:rsidR="00103806" w:rsidRPr="00077B97">
        <w:rPr>
          <w:lang w:val="en-GB"/>
        </w:rPr>
        <w:t>(</w:t>
      </w:r>
      <w:r w:rsidRPr="00077B97">
        <w:rPr>
          <w:lang w:val="en-GB"/>
        </w:rPr>
        <w:t>2025</w:t>
      </w:r>
      <w:r w:rsidR="00103806" w:rsidRPr="00077B97">
        <w:rPr>
          <w:lang w:val="en-GB"/>
        </w:rPr>
        <w:t xml:space="preserve">) stated </w:t>
      </w:r>
      <w:r w:rsidR="00103806" w:rsidRPr="00077B97">
        <w:rPr>
          <w:b/>
          <w:bCs/>
          <w:i/>
          <w:iCs/>
          <w:lang w:val="en-GB"/>
        </w:rPr>
        <w:t>Study</w:t>
      </w:r>
      <w:r w:rsidR="00103806" w:rsidRPr="00077B97">
        <w:rPr>
          <w:lang w:val="en-GB"/>
        </w:rPr>
        <w:t xml:space="preserve"> ensures the intervention through measurable indicators and define how the concern escalation could lead to completion of Investigation. The Lucy </w:t>
      </w:r>
      <w:r w:rsidR="00752DCC" w:rsidRPr="00077B97">
        <w:rPr>
          <w:lang w:val="en-GB"/>
        </w:rPr>
        <w:t>Letby</w:t>
      </w:r>
      <w:r w:rsidR="00103806" w:rsidRPr="00077B97">
        <w:rPr>
          <w:lang w:val="en-GB"/>
        </w:rPr>
        <w:t xml:space="preserve"> case study can identify the Incident reporting quality and justify staff confidence and management responses through this model. Lastly, </w:t>
      </w:r>
      <w:r w:rsidRPr="00077B97">
        <w:rPr>
          <w:color w:val="1D1B11" w:themeColor="background2" w:themeShade="1A"/>
          <w:shd w:val="clear" w:color="auto" w:fill="FFFFFF"/>
        </w:rPr>
        <w:t>Elliott</w:t>
      </w:r>
      <w:r w:rsidRPr="00077B97">
        <w:rPr>
          <w:lang w:val="en-GB"/>
        </w:rPr>
        <w:t xml:space="preserve"> </w:t>
      </w:r>
      <w:r w:rsidR="00103806" w:rsidRPr="00077B97">
        <w:rPr>
          <w:lang w:val="en-GB"/>
        </w:rPr>
        <w:t>(</w:t>
      </w:r>
      <w:r w:rsidRPr="00077B97">
        <w:rPr>
          <w:lang w:val="en-GB"/>
        </w:rPr>
        <w:t>2024</w:t>
      </w:r>
      <w:r w:rsidR="00103806" w:rsidRPr="00077B97">
        <w:rPr>
          <w:lang w:val="en-GB"/>
        </w:rPr>
        <w:t xml:space="preserve">) stated </w:t>
      </w:r>
      <w:r w:rsidR="00103806" w:rsidRPr="00077B97">
        <w:rPr>
          <w:b/>
          <w:bCs/>
          <w:i/>
          <w:iCs/>
          <w:lang w:val="en-GB"/>
        </w:rPr>
        <w:t>Act</w:t>
      </w:r>
      <w:r w:rsidR="00103806" w:rsidRPr="00077B97">
        <w:rPr>
          <w:lang w:val="en-GB"/>
        </w:rPr>
        <w:t xml:space="preserve"> can take the formal actions on behalf of the hospital authority to improve the inadequate areas. Overall, The case study can define the support towards continuous learning and address systematic governance with cultural weakness in this model</w:t>
      </w:r>
    </w:p>
    <w:p w14:paraId="77D032D6" w14:textId="77777777" w:rsidR="00103806" w:rsidRPr="00077B97" w:rsidRDefault="00103806" w:rsidP="00103806">
      <w:pPr>
        <w:pStyle w:val="Heading2"/>
        <w:rPr>
          <w:szCs w:val="22"/>
          <w:lang w:val="en-GB"/>
        </w:rPr>
      </w:pPr>
      <w:bookmarkStart w:id="10" w:name="_Toc237398576"/>
      <w:r w:rsidRPr="00077B97">
        <w:rPr>
          <w:szCs w:val="22"/>
          <w:lang w:val="en-GB"/>
        </w:rPr>
        <w:t>Application of Plan-Do-Check-Act (PDCA) tool develop quality</w:t>
      </w:r>
      <w:bookmarkEnd w:id="10"/>
      <w:r w:rsidRPr="00077B97">
        <w:rPr>
          <w:szCs w:val="22"/>
          <w:lang w:val="en-GB"/>
        </w:rPr>
        <w:t xml:space="preserve"> </w:t>
      </w:r>
    </w:p>
    <w:p w14:paraId="093B26AB" w14:textId="70DA75DE" w:rsidR="00103806" w:rsidRPr="00077B97" w:rsidRDefault="00A063AF" w:rsidP="00103806">
      <w:pPr>
        <w:spacing w:line="360" w:lineRule="auto"/>
        <w:jc w:val="both"/>
        <w:rPr>
          <w:lang w:val="en-GB"/>
        </w:rPr>
      </w:pPr>
      <w:r w:rsidRPr="00077B97">
        <w:rPr>
          <w:color w:val="1D1B11" w:themeColor="background2" w:themeShade="1A"/>
          <w:shd w:val="clear" w:color="auto" w:fill="FFFFFF"/>
        </w:rPr>
        <w:t>Khairi</w:t>
      </w:r>
      <w:r w:rsidRPr="00077B97">
        <w:rPr>
          <w:lang w:val="en-GB"/>
        </w:rPr>
        <w:t xml:space="preserve"> </w:t>
      </w:r>
      <w:r w:rsidRPr="00077B97">
        <w:rPr>
          <w:i/>
          <w:iCs/>
          <w:lang w:val="en-GB"/>
        </w:rPr>
        <w:t xml:space="preserve">et al. </w:t>
      </w:r>
      <w:r w:rsidR="00103806" w:rsidRPr="00077B97">
        <w:rPr>
          <w:lang w:val="en-GB"/>
        </w:rPr>
        <w:t>(</w:t>
      </w:r>
      <w:r w:rsidRPr="00077B97">
        <w:rPr>
          <w:lang w:val="en-GB"/>
        </w:rPr>
        <w:t>2025</w:t>
      </w:r>
      <w:r w:rsidR="00103806" w:rsidRPr="00077B97">
        <w:rPr>
          <w:lang w:val="en-GB"/>
        </w:rPr>
        <w:t xml:space="preserve">) asserted the PDSA means Plan-Do-Check-Act is a model to strengthen the quality assurance and structural procedure of an organisation. The model has specifically focused on the thrill world inquiry of the Lucy Letby case study by justifying governance structure and organisational cultural failure protecting the babies. </w:t>
      </w:r>
      <w:proofErr w:type="spellStart"/>
      <w:r w:rsidR="00F27F3C" w:rsidRPr="00077B97">
        <w:rPr>
          <w:color w:val="1D1B11" w:themeColor="background2" w:themeShade="1A"/>
          <w:shd w:val="clear" w:color="auto" w:fill="FFFFFF"/>
        </w:rPr>
        <w:t>Realyvásquez</w:t>
      </w:r>
      <w:proofErr w:type="spellEnd"/>
      <w:r w:rsidR="00F27F3C" w:rsidRPr="00077B97">
        <w:rPr>
          <w:color w:val="1D1B11" w:themeColor="background2" w:themeShade="1A"/>
          <w:shd w:val="clear" w:color="auto" w:fill="FFFFFF"/>
        </w:rPr>
        <w:t xml:space="preserve"> Vargas</w:t>
      </w:r>
      <w:r w:rsidR="00F27F3C" w:rsidRPr="00077B97">
        <w:rPr>
          <w:lang w:val="en-GB"/>
        </w:rPr>
        <w:t xml:space="preserve"> </w:t>
      </w:r>
      <w:r w:rsidR="00F27F3C" w:rsidRPr="00077B97">
        <w:rPr>
          <w:i/>
          <w:iCs/>
          <w:lang w:val="en-GB"/>
        </w:rPr>
        <w:t xml:space="preserve">et al. </w:t>
      </w:r>
      <w:r w:rsidR="00103806" w:rsidRPr="00077B97">
        <w:rPr>
          <w:lang w:val="en-GB"/>
        </w:rPr>
        <w:t>(</w:t>
      </w:r>
      <w:r w:rsidR="00F27F3C" w:rsidRPr="00077B97">
        <w:rPr>
          <w:lang w:val="en-GB"/>
        </w:rPr>
        <w:t>2024</w:t>
      </w:r>
      <w:r w:rsidR="00103806" w:rsidRPr="00077B97">
        <w:rPr>
          <w:lang w:val="en-GB"/>
        </w:rPr>
        <w:t xml:space="preserve">) asserted </w:t>
      </w:r>
      <w:r w:rsidR="00103806" w:rsidRPr="00077B97">
        <w:rPr>
          <w:b/>
          <w:bCs/>
          <w:i/>
          <w:iCs/>
          <w:lang w:val="en-GB"/>
        </w:rPr>
        <w:t>Plan</w:t>
      </w:r>
      <w:r w:rsidR="00103806" w:rsidRPr="00077B97">
        <w:rPr>
          <w:lang w:val="en-GB"/>
        </w:rPr>
        <w:t xml:space="preserve"> focuses on identifying the quality system glitch and define the challenges which has affected the situation. In the case study ineffective incident escalation inadequate communication and delay in response has become the major weakness which needs clear procedure and defining unusual pattern of neonatal incidents. </w:t>
      </w:r>
      <w:r w:rsidR="00F27F3C" w:rsidRPr="00077B97">
        <w:rPr>
          <w:color w:val="1D1B11" w:themeColor="background2" w:themeShade="1A"/>
          <w:shd w:val="clear" w:color="auto" w:fill="FFFFFF"/>
        </w:rPr>
        <w:t>Zhong</w:t>
      </w:r>
      <w:r w:rsidR="00F27F3C" w:rsidRPr="00077B97">
        <w:rPr>
          <w:lang w:val="en-GB"/>
        </w:rPr>
        <w:t xml:space="preserve"> </w:t>
      </w:r>
      <w:r w:rsidR="00F27F3C" w:rsidRPr="00077B97">
        <w:rPr>
          <w:i/>
          <w:iCs/>
          <w:lang w:val="en-GB"/>
        </w:rPr>
        <w:t xml:space="preserve">et al. </w:t>
      </w:r>
      <w:r w:rsidR="00103806" w:rsidRPr="00077B97">
        <w:rPr>
          <w:lang w:val="en-GB"/>
        </w:rPr>
        <w:t>(</w:t>
      </w:r>
      <w:r w:rsidR="00F27F3C" w:rsidRPr="00077B97">
        <w:rPr>
          <w:lang w:val="en-GB"/>
        </w:rPr>
        <w:t>2023</w:t>
      </w:r>
      <w:r w:rsidR="00103806" w:rsidRPr="00077B97">
        <w:rPr>
          <w:lang w:val="en-GB"/>
        </w:rPr>
        <w:t xml:space="preserve">) evaluated </w:t>
      </w:r>
      <w:r w:rsidR="00103806" w:rsidRPr="00077B97">
        <w:rPr>
          <w:b/>
          <w:bCs/>
          <w:i/>
          <w:iCs/>
          <w:lang w:val="en-GB"/>
        </w:rPr>
        <w:t>Do</w:t>
      </w:r>
      <w:r w:rsidR="00103806" w:rsidRPr="00077B97">
        <w:rPr>
          <w:lang w:val="en-GB"/>
        </w:rPr>
        <w:t xml:space="preserve"> defines the proposed improvements as per the incident and report the entire procedure. </w:t>
      </w:r>
    </w:p>
    <w:p w14:paraId="3D472964" w14:textId="77777777" w:rsidR="00103806" w:rsidRPr="00077B97" w:rsidRDefault="00103806" w:rsidP="00103806">
      <w:pPr>
        <w:spacing w:line="360" w:lineRule="auto"/>
        <w:jc w:val="center"/>
        <w:rPr>
          <w:lang w:val="en-GB"/>
        </w:rPr>
      </w:pPr>
      <w:r w:rsidRPr="00077B97">
        <w:rPr>
          <w:noProof/>
          <w:lang w:val="en-GB"/>
        </w:rPr>
        <w:drawing>
          <wp:inline distT="0" distB="0" distL="0" distR="0" wp14:anchorId="675C5689" wp14:editId="5C70B69C">
            <wp:extent cx="3172460" cy="3003176"/>
            <wp:effectExtent l="76200" t="76200" r="142240" b="140335"/>
            <wp:docPr id="1742096775" name="Picture 3" descr="The PDCA Cycle: A Practical Approach to Problem-Solv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PDCA Cycle: A Practical Approach to Problem-Solving"/>
                    <pic:cNvPicPr>
                      <a:picLocks noChangeAspect="1" noChangeArrowheads="1"/>
                    </pic:cNvPicPr>
                  </pic:nvPicPr>
                  <pic:blipFill rotWithShape="1">
                    <a:blip r:embed="rId13">
                      <a:extLst>
                        <a:ext uri="{28A0092B-C50C-407E-A947-70E740481C1C}">
                          <a14:useLocalDpi xmlns:a14="http://schemas.microsoft.com/office/drawing/2010/main" val="0"/>
                        </a:ext>
                      </a:extLst>
                    </a:blip>
                    <a:srcRect l="23149" t="9634" r="21481" b="7598"/>
                    <a:stretch>
                      <a:fillRect/>
                    </a:stretch>
                  </pic:blipFill>
                  <pic:spPr bwMode="auto">
                    <a:xfrm>
                      <a:off x="0" y="0"/>
                      <a:ext cx="3173495" cy="300415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0885C083" w14:textId="62A206F1" w:rsidR="00103806" w:rsidRPr="00077B97" w:rsidRDefault="00103806" w:rsidP="00103806">
      <w:pPr>
        <w:spacing w:line="360" w:lineRule="auto"/>
        <w:jc w:val="center"/>
        <w:rPr>
          <w:b/>
          <w:bCs/>
          <w:lang w:val="en-GB"/>
        </w:rPr>
      </w:pPr>
      <w:r w:rsidRPr="00077B97">
        <w:rPr>
          <w:b/>
          <w:bCs/>
          <w:lang w:val="en-GB"/>
        </w:rPr>
        <w:t>Figure 5: Plan-Do-Check-Act (PDCA)</w:t>
      </w:r>
    </w:p>
    <w:p w14:paraId="4D957813" w14:textId="1416D0CC" w:rsidR="00103806" w:rsidRPr="00077B97" w:rsidRDefault="00103806" w:rsidP="00103806">
      <w:pPr>
        <w:spacing w:line="360" w:lineRule="auto"/>
        <w:jc w:val="center"/>
        <w:rPr>
          <w:lang w:val="en-GB"/>
        </w:rPr>
      </w:pPr>
      <w:r w:rsidRPr="00077B97">
        <w:rPr>
          <w:lang w:val="en-GB"/>
        </w:rPr>
        <w:t xml:space="preserve">(Source: </w:t>
      </w:r>
      <w:proofErr w:type="spellStart"/>
      <w:r w:rsidR="00F27F3C" w:rsidRPr="00077B97">
        <w:rPr>
          <w:color w:val="1D1B11" w:themeColor="background2" w:themeShade="1A"/>
          <w:shd w:val="clear" w:color="auto" w:fill="FFFFFF"/>
        </w:rPr>
        <w:t>Zailani</w:t>
      </w:r>
      <w:proofErr w:type="spellEnd"/>
      <w:r w:rsidR="00F27F3C" w:rsidRPr="00077B97">
        <w:rPr>
          <w:color w:val="1D1B11" w:themeColor="background2" w:themeShade="1A"/>
          <w:shd w:val="clear" w:color="auto" w:fill="FFFFFF"/>
        </w:rPr>
        <w:t xml:space="preserve"> </w:t>
      </w:r>
      <w:r w:rsidR="00F27F3C" w:rsidRPr="00077B97">
        <w:rPr>
          <w:i/>
          <w:iCs/>
          <w:color w:val="1D1B11" w:themeColor="background2" w:themeShade="1A"/>
          <w:shd w:val="clear" w:color="auto" w:fill="FFFFFF"/>
        </w:rPr>
        <w:t xml:space="preserve">et al. </w:t>
      </w:r>
      <w:r w:rsidR="00F27F3C" w:rsidRPr="00077B97">
        <w:rPr>
          <w:color w:val="1D1B11" w:themeColor="background2" w:themeShade="1A"/>
          <w:shd w:val="clear" w:color="auto" w:fill="FFFFFF"/>
        </w:rPr>
        <w:t>2023</w:t>
      </w:r>
      <w:r w:rsidRPr="00077B97">
        <w:rPr>
          <w:lang w:val="en-GB"/>
        </w:rPr>
        <w:t>)</w:t>
      </w:r>
    </w:p>
    <w:p w14:paraId="6E0BAECD" w14:textId="361B2BB9" w:rsidR="00103806" w:rsidRPr="00077B97" w:rsidRDefault="00103806" w:rsidP="00103806">
      <w:pPr>
        <w:spacing w:line="360" w:lineRule="auto"/>
        <w:jc w:val="both"/>
        <w:rPr>
          <w:lang w:val="en-GB"/>
        </w:rPr>
      </w:pPr>
      <w:r w:rsidRPr="00077B97">
        <w:rPr>
          <w:lang w:val="en-GB"/>
        </w:rPr>
        <w:t xml:space="preserve">In this case scenario with multidisciplinary safety meetings and strong clinical leadership and independent review the concern of the staff shortage and the patient safety and neonatal safety would be managed. </w:t>
      </w:r>
      <w:r w:rsidR="00F27F3C" w:rsidRPr="00077B97">
        <w:rPr>
          <w:color w:val="1D1B11" w:themeColor="background2" w:themeShade="1A"/>
          <w:shd w:val="clear" w:color="auto" w:fill="FFFFFF"/>
        </w:rPr>
        <w:t>Khairi</w:t>
      </w:r>
      <w:r w:rsidR="00F27F3C" w:rsidRPr="00077B97">
        <w:rPr>
          <w:lang w:val="en-GB"/>
        </w:rPr>
        <w:t xml:space="preserve"> </w:t>
      </w:r>
      <w:r w:rsidR="00F27F3C" w:rsidRPr="00077B97">
        <w:rPr>
          <w:i/>
          <w:iCs/>
          <w:lang w:val="en-GB"/>
        </w:rPr>
        <w:t xml:space="preserve">et al. </w:t>
      </w:r>
      <w:r w:rsidRPr="00077B97">
        <w:rPr>
          <w:lang w:val="en-GB"/>
        </w:rPr>
        <w:t>(</w:t>
      </w:r>
      <w:r w:rsidR="00F27F3C" w:rsidRPr="00077B97">
        <w:rPr>
          <w:lang w:val="en-GB"/>
        </w:rPr>
        <w:t>2025</w:t>
      </w:r>
      <w:r w:rsidRPr="00077B97">
        <w:rPr>
          <w:lang w:val="en-GB"/>
        </w:rPr>
        <w:t xml:space="preserve">) asserted </w:t>
      </w:r>
      <w:r w:rsidRPr="00077B97">
        <w:rPr>
          <w:b/>
          <w:bCs/>
          <w:i/>
          <w:iCs/>
          <w:lang w:val="en-GB"/>
        </w:rPr>
        <w:t>Check</w:t>
      </w:r>
      <w:r w:rsidRPr="00077B97">
        <w:rPr>
          <w:lang w:val="en-GB"/>
        </w:rPr>
        <w:t xml:space="preserve"> refers to the regular accessibility towards the intervention process and complete the investigation with effectiveness. In the Lucy Letby case study completing incident investigation and building staff confidence by reporting concern can lead to define the unsolved safety issue and undertake the objective assurance. Lastly, </w:t>
      </w:r>
      <w:proofErr w:type="spellStart"/>
      <w:r w:rsidR="00F27F3C" w:rsidRPr="00077B97">
        <w:rPr>
          <w:color w:val="1D1B11" w:themeColor="background2" w:themeShade="1A"/>
          <w:shd w:val="clear" w:color="auto" w:fill="FFFFFF"/>
        </w:rPr>
        <w:t>Realyvásquez</w:t>
      </w:r>
      <w:proofErr w:type="spellEnd"/>
      <w:r w:rsidR="00F27F3C" w:rsidRPr="00077B97">
        <w:rPr>
          <w:color w:val="1D1B11" w:themeColor="background2" w:themeShade="1A"/>
          <w:shd w:val="clear" w:color="auto" w:fill="FFFFFF"/>
        </w:rPr>
        <w:t xml:space="preserve"> Vargas</w:t>
      </w:r>
      <w:r w:rsidR="00F27F3C" w:rsidRPr="00077B97">
        <w:rPr>
          <w:lang w:val="en-GB"/>
        </w:rPr>
        <w:t xml:space="preserve"> </w:t>
      </w:r>
      <w:r w:rsidR="00F27F3C" w:rsidRPr="00077B97">
        <w:rPr>
          <w:i/>
          <w:iCs/>
          <w:lang w:val="en-GB"/>
        </w:rPr>
        <w:t xml:space="preserve">et al. </w:t>
      </w:r>
      <w:r w:rsidRPr="00077B97">
        <w:rPr>
          <w:lang w:val="en-GB"/>
        </w:rPr>
        <w:t>(</w:t>
      </w:r>
      <w:r w:rsidR="00F27F3C" w:rsidRPr="00077B97">
        <w:rPr>
          <w:lang w:val="en-GB"/>
        </w:rPr>
        <w:t>2024</w:t>
      </w:r>
      <w:r w:rsidRPr="00077B97">
        <w:rPr>
          <w:lang w:val="en-GB"/>
        </w:rPr>
        <w:t xml:space="preserve">) articulated </w:t>
      </w:r>
      <w:r w:rsidRPr="00077B97">
        <w:rPr>
          <w:b/>
          <w:bCs/>
          <w:i/>
          <w:iCs/>
          <w:lang w:val="en-GB"/>
        </w:rPr>
        <w:t xml:space="preserve">Act </w:t>
      </w:r>
      <w:r w:rsidRPr="00077B97">
        <w:rPr>
          <w:lang w:val="en-GB"/>
        </w:rPr>
        <w:t xml:space="preserve">defines the possible improvements and areas of taking action to ensure the deficiencies in a structured way. Overall, in the Lucy Letby case study by correcting the measurements and identifying the deficiencies could lead to improve clinical governance policies and staff training can manage the monitoring system thus NHS can focus on external security. </w:t>
      </w:r>
    </w:p>
    <w:p w14:paraId="513DE7A2" w14:textId="77777777" w:rsidR="00103806" w:rsidRPr="00077B97" w:rsidRDefault="00103806" w:rsidP="00103806">
      <w:pPr>
        <w:pStyle w:val="Heading2"/>
        <w:rPr>
          <w:szCs w:val="22"/>
          <w:lang w:val="en-GB"/>
        </w:rPr>
      </w:pPr>
      <w:bookmarkStart w:id="11" w:name="_Toc237398577"/>
      <w:r w:rsidRPr="00077B97">
        <w:rPr>
          <w:szCs w:val="22"/>
          <w:lang w:val="en-GB"/>
        </w:rPr>
        <w:t>Recommend Lean and Six Sigma to outline practical improvements</w:t>
      </w:r>
      <w:bookmarkEnd w:id="11"/>
      <w:r w:rsidRPr="00077B97">
        <w:rPr>
          <w:szCs w:val="22"/>
          <w:lang w:val="en-GB"/>
        </w:rPr>
        <w:t xml:space="preserve"> </w:t>
      </w:r>
    </w:p>
    <w:p w14:paraId="4EEC00C0" w14:textId="77777777" w:rsidR="00103806" w:rsidRPr="00077B97" w:rsidRDefault="00103806" w:rsidP="00103806">
      <w:pPr>
        <w:spacing w:line="360" w:lineRule="auto"/>
        <w:jc w:val="center"/>
        <w:rPr>
          <w:b/>
          <w:bCs/>
          <w:lang w:val="en-GB"/>
        </w:rPr>
      </w:pPr>
      <w:r w:rsidRPr="00077B97">
        <w:rPr>
          <w:noProof/>
          <w:lang w:val="en-GB"/>
        </w:rPr>
        <w:drawing>
          <wp:inline distT="0" distB="0" distL="0" distR="0" wp14:anchorId="6B1A6DA3" wp14:editId="6FED06CA">
            <wp:extent cx="3057002" cy="2968463"/>
            <wp:effectExtent l="76200" t="76200" r="124460" b="137160"/>
            <wp:docPr id="352691260" name="Picture 1" descr="The Five Principles of Le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Five Principles of Lean"/>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062386" cy="297369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9E4BD3B" w14:textId="30D1A3AD" w:rsidR="00103806" w:rsidRPr="00077B97" w:rsidRDefault="00103806" w:rsidP="00103806">
      <w:pPr>
        <w:spacing w:line="360" w:lineRule="auto"/>
        <w:jc w:val="center"/>
        <w:rPr>
          <w:b/>
          <w:lang w:val="en-GB"/>
        </w:rPr>
      </w:pPr>
      <w:r w:rsidRPr="00077B97">
        <w:rPr>
          <w:b/>
          <w:bCs/>
          <w:lang w:val="en-GB"/>
        </w:rPr>
        <w:t xml:space="preserve">Figure 6: </w:t>
      </w:r>
      <w:r w:rsidRPr="00077B97">
        <w:rPr>
          <w:b/>
          <w:lang w:val="en-GB"/>
        </w:rPr>
        <w:t>Lean Model</w:t>
      </w:r>
    </w:p>
    <w:p w14:paraId="6F49695A" w14:textId="354387D3" w:rsidR="00103806" w:rsidRPr="00077B97" w:rsidRDefault="00103806" w:rsidP="00103806">
      <w:pPr>
        <w:spacing w:line="360" w:lineRule="auto"/>
        <w:jc w:val="center"/>
        <w:rPr>
          <w:bCs/>
          <w:lang w:val="en-GB"/>
        </w:rPr>
      </w:pPr>
      <w:r w:rsidRPr="00077B97">
        <w:rPr>
          <w:bCs/>
          <w:lang w:val="en-GB"/>
        </w:rPr>
        <w:t xml:space="preserve">(Source: </w:t>
      </w:r>
      <w:r w:rsidR="00F27F3C" w:rsidRPr="00077B97">
        <w:rPr>
          <w:color w:val="1D1B11" w:themeColor="background2" w:themeShade="1A"/>
          <w:shd w:val="clear" w:color="auto" w:fill="FFFFFF"/>
        </w:rPr>
        <w:t xml:space="preserve">Costa </w:t>
      </w:r>
      <w:r w:rsidR="00F27F3C" w:rsidRPr="00077B97">
        <w:rPr>
          <w:i/>
          <w:iCs/>
          <w:color w:val="1D1B11" w:themeColor="background2" w:themeShade="1A"/>
          <w:shd w:val="clear" w:color="auto" w:fill="FFFFFF"/>
        </w:rPr>
        <w:t xml:space="preserve">et al. </w:t>
      </w:r>
      <w:r w:rsidR="00F27F3C" w:rsidRPr="00077B97">
        <w:rPr>
          <w:color w:val="1D1B11" w:themeColor="background2" w:themeShade="1A"/>
          <w:shd w:val="clear" w:color="auto" w:fill="FFFFFF"/>
        </w:rPr>
        <w:t>2024</w:t>
      </w:r>
      <w:r w:rsidRPr="00077B97">
        <w:rPr>
          <w:bCs/>
          <w:lang w:val="en-GB"/>
        </w:rPr>
        <w:t>)</w:t>
      </w:r>
    </w:p>
    <w:p w14:paraId="4EE5A9DB" w14:textId="197DA47B" w:rsidR="00103806" w:rsidRPr="00077B97" w:rsidRDefault="00103806" w:rsidP="00103806">
      <w:pPr>
        <w:spacing w:line="360" w:lineRule="auto"/>
        <w:jc w:val="both"/>
        <w:rPr>
          <w:lang w:val="en-GB"/>
        </w:rPr>
      </w:pPr>
      <w:r w:rsidRPr="00077B97">
        <w:rPr>
          <w:lang w:val="en-GB"/>
        </w:rPr>
        <w:t xml:space="preserve">The lean and Six Sigma can be recommended to the case study in order to justify the quality improvement and systematic quality assessment process. </w:t>
      </w:r>
      <w:proofErr w:type="spellStart"/>
      <w:r w:rsidR="00F27F3C" w:rsidRPr="00077B97">
        <w:rPr>
          <w:color w:val="1D1B11" w:themeColor="background2" w:themeShade="1A"/>
          <w:shd w:val="clear" w:color="auto" w:fill="FFFFFF"/>
        </w:rPr>
        <w:t>Bajjou</w:t>
      </w:r>
      <w:proofErr w:type="spellEnd"/>
      <w:r w:rsidR="00F27F3C" w:rsidRPr="00077B97">
        <w:rPr>
          <w:color w:val="1D1B11" w:themeColor="background2" w:themeShade="1A"/>
          <w:shd w:val="clear" w:color="auto" w:fill="FFFFFF"/>
        </w:rPr>
        <w:t xml:space="preserve"> and </w:t>
      </w:r>
      <w:proofErr w:type="spellStart"/>
      <w:r w:rsidR="00F27F3C" w:rsidRPr="00077B97">
        <w:rPr>
          <w:color w:val="1D1B11" w:themeColor="background2" w:themeShade="1A"/>
          <w:shd w:val="clear" w:color="auto" w:fill="FFFFFF"/>
        </w:rPr>
        <w:t>Chafi</w:t>
      </w:r>
      <w:proofErr w:type="spellEnd"/>
      <w:r w:rsidR="00F27F3C" w:rsidRPr="00077B97">
        <w:rPr>
          <w:lang w:val="en-GB"/>
        </w:rPr>
        <w:t xml:space="preserve"> </w:t>
      </w:r>
      <w:r w:rsidRPr="00077B97">
        <w:rPr>
          <w:lang w:val="en-GB"/>
        </w:rPr>
        <w:t>(</w:t>
      </w:r>
      <w:r w:rsidR="00F27F3C" w:rsidRPr="00077B97">
        <w:rPr>
          <w:lang w:val="en-GB"/>
        </w:rPr>
        <w:t>2025</w:t>
      </w:r>
      <w:r w:rsidRPr="00077B97">
        <w:rPr>
          <w:lang w:val="en-GB"/>
        </w:rPr>
        <w:t xml:space="preserve">) asserted the </w:t>
      </w:r>
      <w:r w:rsidRPr="00077B97">
        <w:rPr>
          <w:b/>
          <w:bCs/>
          <w:i/>
          <w:iCs/>
          <w:lang w:val="en-GB"/>
        </w:rPr>
        <w:t>lean model</w:t>
      </w:r>
      <w:r w:rsidRPr="00077B97">
        <w:rPr>
          <w:lang w:val="en-GB"/>
        </w:rPr>
        <w:t xml:space="preserve"> significantly focuses on the activities without adding any value and improving the flow of essential process. Thus in the Lucy Letby case study by simplifying the standardised incident reporting and finding an escalation pathway could be the clear process to map the delay in reporting process by the clinicians and lack of management point of view in order to take instant actions in this scenario. Also, </w:t>
      </w:r>
      <w:r w:rsidR="00F27F3C" w:rsidRPr="00077B97">
        <w:rPr>
          <w:color w:val="1D1B11" w:themeColor="background2" w:themeShade="1A"/>
          <w:shd w:val="clear" w:color="auto" w:fill="FFFFFF"/>
        </w:rPr>
        <w:t xml:space="preserve">Quiroz-Flores and </w:t>
      </w:r>
      <w:proofErr w:type="spellStart"/>
      <w:r w:rsidR="00F27F3C" w:rsidRPr="00077B97">
        <w:rPr>
          <w:color w:val="1D1B11" w:themeColor="background2" w:themeShade="1A"/>
          <w:shd w:val="clear" w:color="auto" w:fill="FFFFFF"/>
        </w:rPr>
        <w:t>Vega-Alvites</w:t>
      </w:r>
      <w:proofErr w:type="spellEnd"/>
      <w:r w:rsidR="00F27F3C" w:rsidRPr="00077B97">
        <w:rPr>
          <w:lang w:val="en-GB"/>
        </w:rPr>
        <w:t xml:space="preserve"> </w:t>
      </w:r>
      <w:r w:rsidRPr="00077B97">
        <w:rPr>
          <w:lang w:val="en-GB"/>
        </w:rPr>
        <w:t>(</w:t>
      </w:r>
      <w:r w:rsidR="00F27F3C" w:rsidRPr="00077B97">
        <w:rPr>
          <w:lang w:val="en-GB"/>
        </w:rPr>
        <w:t>2022</w:t>
      </w:r>
      <w:r w:rsidRPr="00077B97">
        <w:rPr>
          <w:lang w:val="en-GB"/>
        </w:rPr>
        <w:t xml:space="preserve">) contradicted lean model could discard the unnecessary administrative stages and identify the immediate actions that need to be taken. Therefore in the Lucy Letby case the urgent new letter concern and unusual presence of Lucy Letby could have been identified with lean model and the better staffing coordination and regular multidisciplinary safety meetings could help the clinicians to identify the issue. </w:t>
      </w:r>
    </w:p>
    <w:p w14:paraId="5BB203CF" w14:textId="77777777" w:rsidR="00103806" w:rsidRPr="00077B97" w:rsidRDefault="00103806" w:rsidP="00103806">
      <w:pPr>
        <w:spacing w:line="360" w:lineRule="auto"/>
        <w:jc w:val="center"/>
        <w:rPr>
          <w:lang w:val="en-GB"/>
        </w:rPr>
      </w:pPr>
      <w:r w:rsidRPr="00077B97">
        <w:rPr>
          <w:noProof/>
          <w:lang w:val="en-GB"/>
        </w:rPr>
        <w:drawing>
          <wp:inline distT="0" distB="0" distL="0" distR="0" wp14:anchorId="732A67E5" wp14:editId="14A6EF68">
            <wp:extent cx="2813694" cy="2738718"/>
            <wp:effectExtent l="76200" t="76200" r="139065" b="138430"/>
            <wp:docPr id="1070696491" name="Picture 2" descr="Using Six Sigma for Successful Project Management | Infin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sing Six Sigma for Successful Project Management | Infinity"/>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8887" t="3536" r="10254" b="4767"/>
                    <a:stretch>
                      <a:fillRect/>
                    </a:stretch>
                  </pic:blipFill>
                  <pic:spPr bwMode="auto">
                    <a:xfrm>
                      <a:off x="0" y="0"/>
                      <a:ext cx="2825127" cy="274984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1D2F7D1C" w14:textId="08F0AFCA" w:rsidR="00103806" w:rsidRPr="00077B97" w:rsidRDefault="00103806" w:rsidP="00103806">
      <w:pPr>
        <w:spacing w:line="360" w:lineRule="auto"/>
        <w:jc w:val="center"/>
        <w:rPr>
          <w:b/>
          <w:lang w:val="en-GB"/>
        </w:rPr>
      </w:pPr>
      <w:r w:rsidRPr="00077B97">
        <w:rPr>
          <w:b/>
          <w:bCs/>
          <w:lang w:val="en-GB"/>
        </w:rPr>
        <w:t>Figure 7: Six Sigma</w:t>
      </w:r>
    </w:p>
    <w:p w14:paraId="6B7FB429" w14:textId="69F684F6" w:rsidR="00103806" w:rsidRPr="00077B97" w:rsidRDefault="00103806" w:rsidP="00103806">
      <w:pPr>
        <w:spacing w:line="360" w:lineRule="auto"/>
        <w:jc w:val="center"/>
        <w:rPr>
          <w:bCs/>
          <w:lang w:val="en-GB"/>
        </w:rPr>
      </w:pPr>
      <w:r w:rsidRPr="00077B97">
        <w:rPr>
          <w:bCs/>
          <w:lang w:val="en-GB"/>
        </w:rPr>
        <w:t xml:space="preserve">(Source: </w:t>
      </w:r>
      <w:proofErr w:type="spellStart"/>
      <w:r w:rsidR="00F27F3C" w:rsidRPr="00077B97">
        <w:rPr>
          <w:color w:val="1D1B11" w:themeColor="background2" w:themeShade="1A"/>
          <w:shd w:val="clear" w:color="auto" w:fill="FFFFFF"/>
        </w:rPr>
        <w:t>Pongboonchai-Empl</w:t>
      </w:r>
      <w:proofErr w:type="spellEnd"/>
      <w:r w:rsidR="00F27F3C" w:rsidRPr="00077B97">
        <w:rPr>
          <w:color w:val="1D1B11" w:themeColor="background2" w:themeShade="1A"/>
          <w:shd w:val="clear" w:color="auto" w:fill="FFFFFF"/>
        </w:rPr>
        <w:t xml:space="preserve"> </w:t>
      </w:r>
      <w:r w:rsidR="00F27F3C" w:rsidRPr="00077B97">
        <w:rPr>
          <w:i/>
          <w:iCs/>
          <w:color w:val="1D1B11" w:themeColor="background2" w:themeShade="1A"/>
          <w:shd w:val="clear" w:color="auto" w:fill="FFFFFF"/>
        </w:rPr>
        <w:t xml:space="preserve">et al. </w:t>
      </w:r>
      <w:r w:rsidR="00F27F3C" w:rsidRPr="00077B97">
        <w:rPr>
          <w:color w:val="1D1B11" w:themeColor="background2" w:themeShade="1A"/>
          <w:shd w:val="clear" w:color="auto" w:fill="FFFFFF"/>
        </w:rPr>
        <w:t>2024</w:t>
      </w:r>
      <w:r w:rsidRPr="00077B97">
        <w:rPr>
          <w:bCs/>
          <w:lang w:val="en-GB"/>
        </w:rPr>
        <w:t>)</w:t>
      </w:r>
    </w:p>
    <w:p w14:paraId="57490074" w14:textId="4C67B716" w:rsidR="00103806" w:rsidRPr="00077B97" w:rsidRDefault="00F27F3C" w:rsidP="00103806">
      <w:pPr>
        <w:spacing w:line="360" w:lineRule="auto"/>
        <w:jc w:val="both"/>
        <w:rPr>
          <w:lang w:val="en-GB"/>
        </w:rPr>
      </w:pPr>
      <w:r w:rsidRPr="00077B97">
        <w:rPr>
          <w:color w:val="1D1B11" w:themeColor="background2" w:themeShade="1A"/>
          <w:shd w:val="clear" w:color="auto" w:fill="FFFFFF"/>
        </w:rPr>
        <w:t>Antony</w:t>
      </w:r>
      <w:r w:rsidRPr="00077B97">
        <w:rPr>
          <w:lang w:val="en-GB"/>
        </w:rPr>
        <w:t xml:space="preserve"> </w:t>
      </w:r>
      <w:r w:rsidRPr="00077B97">
        <w:rPr>
          <w:i/>
          <w:iCs/>
          <w:lang w:val="en-GB"/>
        </w:rPr>
        <w:t xml:space="preserve">et al. </w:t>
      </w:r>
      <w:r w:rsidR="00103806" w:rsidRPr="00077B97">
        <w:rPr>
          <w:lang w:val="en-GB"/>
        </w:rPr>
        <w:t>(</w:t>
      </w:r>
      <w:r w:rsidRPr="00077B97">
        <w:rPr>
          <w:lang w:val="en-GB"/>
        </w:rPr>
        <w:t>2023</w:t>
      </w:r>
      <w:r w:rsidR="00103806" w:rsidRPr="00077B97">
        <w:rPr>
          <w:lang w:val="en-GB"/>
        </w:rPr>
        <w:t xml:space="preserve">) asserted </w:t>
      </w:r>
      <w:r w:rsidR="00103806" w:rsidRPr="00077B97">
        <w:rPr>
          <w:b/>
          <w:bCs/>
          <w:i/>
          <w:iCs/>
          <w:lang w:val="en-GB"/>
        </w:rPr>
        <w:t>Six Sigma</w:t>
      </w:r>
      <w:r w:rsidR="00103806" w:rsidRPr="00077B97">
        <w:rPr>
          <w:lang w:val="en-GB"/>
        </w:rPr>
        <w:t xml:space="preserve"> is another model which could reduce the variation and identify the recurring quality failures through the DMAIC approach means define, measure, analyse, improve, and control. The Countess of Chester Hospital could utilise the Six Sigma Model in order to measure the time and define the investigation of the case study as well as evolve the unsolved concern like lack of staff response and reporting. </w:t>
      </w:r>
      <w:r w:rsidRPr="00077B97">
        <w:rPr>
          <w:color w:val="1D1B11" w:themeColor="background2" w:themeShade="1A"/>
          <w:shd w:val="clear" w:color="auto" w:fill="FFFFFF"/>
        </w:rPr>
        <w:t>Yadav</w:t>
      </w:r>
      <w:r w:rsidRPr="00077B97">
        <w:rPr>
          <w:lang w:val="en-GB"/>
        </w:rPr>
        <w:t xml:space="preserve"> </w:t>
      </w:r>
      <w:r w:rsidRPr="00077B97">
        <w:rPr>
          <w:i/>
          <w:iCs/>
          <w:lang w:val="en-GB"/>
        </w:rPr>
        <w:t xml:space="preserve">et al. </w:t>
      </w:r>
      <w:r w:rsidR="00103806" w:rsidRPr="00077B97">
        <w:rPr>
          <w:lang w:val="en-GB"/>
        </w:rPr>
        <w:t>(</w:t>
      </w:r>
      <w:r w:rsidRPr="00077B97">
        <w:rPr>
          <w:lang w:val="en-GB"/>
        </w:rPr>
        <w:t>2023</w:t>
      </w:r>
      <w:r w:rsidR="00103806" w:rsidRPr="00077B97">
        <w:rPr>
          <w:lang w:val="en-GB"/>
        </w:rPr>
        <w:t xml:space="preserve">) Stated the Six Sigma approach can identify the communication failures and accountability issues that could have created oversight chances in a scenario. Thus in the Lucy Letby case study the Six Sigma model could improve the standardised escalation criteria and mandatory define independent review of serious incidents. </w:t>
      </w:r>
    </w:p>
    <w:p w14:paraId="26A33D55" w14:textId="77777777" w:rsidR="00103806" w:rsidRPr="00077B97" w:rsidRDefault="00103806" w:rsidP="00103806">
      <w:pPr>
        <w:pStyle w:val="Heading1"/>
        <w:rPr>
          <w:sz w:val="22"/>
          <w:szCs w:val="22"/>
          <w:lang w:val="en-GB"/>
        </w:rPr>
      </w:pPr>
      <w:bookmarkStart w:id="12" w:name="_Toc237398578"/>
      <w:r w:rsidRPr="00077B97">
        <w:rPr>
          <w:sz w:val="22"/>
          <w:szCs w:val="22"/>
          <w:lang w:val="en-GB"/>
        </w:rPr>
        <w:t>Conclusion</w:t>
      </w:r>
      <w:bookmarkEnd w:id="12"/>
      <w:r w:rsidRPr="00077B97">
        <w:rPr>
          <w:sz w:val="22"/>
          <w:szCs w:val="22"/>
          <w:lang w:val="en-GB"/>
        </w:rPr>
        <w:t xml:space="preserve"> </w:t>
      </w:r>
    </w:p>
    <w:p w14:paraId="5F749B87" w14:textId="77777777" w:rsidR="00103806" w:rsidRPr="00077B97" w:rsidRDefault="00103806" w:rsidP="00103806">
      <w:pPr>
        <w:spacing w:line="360" w:lineRule="auto"/>
        <w:jc w:val="both"/>
        <w:rPr>
          <w:lang w:val="en-GB"/>
        </w:rPr>
      </w:pPr>
      <w:r w:rsidRPr="00077B97">
        <w:rPr>
          <w:lang w:val="en-GB"/>
        </w:rPr>
        <w:t xml:space="preserve">After the analysis of the entire report it can be stated that the case study of Lucy Letby has focused on the significant weakness of clinical governance and quality assurance process as well as patient safety management at Countess of Chester Hospital. The overall findings are significantly focused on defining the limited individual incidents but associated with the wider organisation and systematic failure. The fishbone analysis has identified that staff management and leadership has become the major issue as well as the clinical equipment and information management system has affected the organisational development method. Moreover inadequate staffing and limited neonatal resources have affected the contribution of hospital towards the vulnerable situation and early death of the babies. The 5 Whys analysis Significantly focused on the repeated neonatal incidents which has significantly evaluated the clinical concerns which are not consistently converted into the decisive management action. However the overall weakness in governance has reported the organisational learning and accountability which has prevented wider pattern of risk and identified the Lucy Letby has recognised the loop holes in the hospital authority system. Besides this, the overall highlight has evaluated the treating incident as report has eventually defined the actionable intelligence and ensured that repeated warning signals has received the appropriate senior and independent investigation in an authentic way. The Donabedian model has significantly evaluated the quality failure and defined the dimensions of Healthcare Equality as well as structural weakness in the organised way so that the staffing capacity has eventually accessed the experienced neonatal professionals. Besides this, the study has identified the multidisciplinary review and investigated unexpected outcome that can define structural process and deficiencies ultimately which has affected the ability of Chester Hospital to achieve safe and effective patient outcome. The swat analysis has eventually defined how national health services must focus on quality care framework and evaluate the leadership as well as core organisational learning in order to evaluate the independent clinical reviews and whistleblowing the mechanism of technology supported incident surveillance. Also, the study has significantly recommended some of the models like PDSA and PDCA as well as Six Sigma and lean to evaluate the strong leadership and organisational learning with transparent reporting and adequate staffing. At last, the mechanism has improved the case study scenario and quality assurance process by evaluating the patients safety centre in healthcare quality management. </w:t>
      </w:r>
    </w:p>
    <w:p w14:paraId="177F65FC" w14:textId="77777777" w:rsidR="00103806" w:rsidRPr="00077B97" w:rsidRDefault="00103806" w:rsidP="00103806">
      <w:pPr>
        <w:spacing w:line="360" w:lineRule="auto"/>
        <w:jc w:val="both"/>
        <w:rPr>
          <w:b/>
          <w:bCs/>
          <w:lang w:val="en-GB"/>
        </w:rPr>
      </w:pPr>
    </w:p>
    <w:p w14:paraId="0D782328" w14:textId="77777777" w:rsidR="00103806" w:rsidRPr="00077B97" w:rsidRDefault="00103806" w:rsidP="00103806">
      <w:pPr>
        <w:spacing w:line="360" w:lineRule="auto"/>
        <w:jc w:val="both"/>
        <w:rPr>
          <w:b/>
          <w:bCs/>
          <w:lang w:val="en-GB"/>
        </w:rPr>
      </w:pPr>
    </w:p>
    <w:p w14:paraId="6E81B871" w14:textId="018DCB61" w:rsidR="00CB4B3B" w:rsidRPr="00077B97" w:rsidRDefault="00CB4B3B" w:rsidP="00103806">
      <w:pPr>
        <w:spacing w:line="360" w:lineRule="auto"/>
        <w:rPr>
          <w:rFonts w:eastAsia="Times New Roman"/>
          <w:lang w:val="en-GB"/>
        </w:rPr>
      </w:pPr>
      <w:r w:rsidRPr="00077B97">
        <w:rPr>
          <w:rFonts w:eastAsia="Times New Roman"/>
          <w:lang w:val="en-GB"/>
        </w:rPr>
        <w:br w:type="page"/>
      </w:r>
    </w:p>
    <w:p w14:paraId="37BFF353" w14:textId="056717D7" w:rsidR="00CB4B3B" w:rsidRPr="00077B97" w:rsidRDefault="00CB4B3B" w:rsidP="00103806">
      <w:pPr>
        <w:pStyle w:val="Heading1"/>
        <w:rPr>
          <w:sz w:val="22"/>
          <w:szCs w:val="22"/>
          <w:lang w:val="en-GB"/>
        </w:rPr>
      </w:pPr>
      <w:bookmarkStart w:id="13" w:name="_Toc237398579"/>
      <w:r w:rsidRPr="00077B97">
        <w:rPr>
          <w:sz w:val="22"/>
          <w:szCs w:val="22"/>
          <w:lang w:val="en-GB"/>
        </w:rPr>
        <w:t>References</w:t>
      </w:r>
      <w:bookmarkEnd w:id="13"/>
      <w:r w:rsidRPr="00077B97">
        <w:rPr>
          <w:sz w:val="22"/>
          <w:szCs w:val="22"/>
          <w:lang w:val="en-GB"/>
        </w:rPr>
        <w:t xml:space="preserve"> </w:t>
      </w:r>
    </w:p>
    <w:p w14:paraId="340BE507" w14:textId="5722F9F1" w:rsidR="00F27F3C" w:rsidRPr="00077B97" w:rsidRDefault="00F27F3C" w:rsidP="00F27F3C">
      <w:pPr>
        <w:pStyle w:val="NormalWeb"/>
        <w:spacing w:before="240" w:beforeAutospacing="0" w:after="0" w:afterAutospacing="0" w:line="360" w:lineRule="auto"/>
        <w:jc w:val="both"/>
        <w:rPr>
          <w:rFonts w:ascii="Arial" w:hAnsi="Arial" w:cs="Arial"/>
          <w:color w:val="000000" w:themeColor="text1"/>
          <w:sz w:val="22"/>
          <w:szCs w:val="22"/>
          <w:lang w:val="en-GB"/>
        </w:rPr>
      </w:pPr>
      <w:proofErr w:type="spellStart"/>
      <w:r w:rsidRPr="00077B97">
        <w:rPr>
          <w:rFonts w:ascii="Arial" w:hAnsi="Arial" w:cs="Arial"/>
          <w:color w:val="000000" w:themeColor="text1"/>
          <w:sz w:val="22"/>
          <w:szCs w:val="22"/>
          <w:lang w:val="en-GB"/>
        </w:rPr>
        <w:t>Al-Fahadi</w:t>
      </w:r>
      <w:proofErr w:type="spellEnd"/>
      <w:r w:rsidRPr="00077B97">
        <w:rPr>
          <w:rFonts w:ascii="Arial" w:hAnsi="Arial" w:cs="Arial"/>
          <w:color w:val="000000" w:themeColor="text1"/>
          <w:sz w:val="22"/>
          <w:szCs w:val="22"/>
          <w:lang w:val="en-GB"/>
        </w:rPr>
        <w:t xml:space="preserve">, K.H.M., </w:t>
      </w:r>
      <w:proofErr w:type="spellStart"/>
      <w:r w:rsidRPr="00077B97">
        <w:rPr>
          <w:rFonts w:ascii="Arial" w:hAnsi="Arial" w:cs="Arial"/>
          <w:color w:val="000000" w:themeColor="text1"/>
          <w:sz w:val="22"/>
          <w:szCs w:val="22"/>
          <w:lang w:val="en-GB"/>
        </w:rPr>
        <w:t>Al-Anazi</w:t>
      </w:r>
      <w:proofErr w:type="spellEnd"/>
      <w:r w:rsidRPr="00077B97">
        <w:rPr>
          <w:rFonts w:ascii="Arial" w:hAnsi="Arial" w:cs="Arial"/>
          <w:color w:val="000000" w:themeColor="text1"/>
          <w:sz w:val="22"/>
          <w:szCs w:val="22"/>
          <w:lang w:val="en-GB"/>
        </w:rPr>
        <w:t xml:space="preserve">, T.R.M., Al-Anazi, S.K.S., Al-Saedi, O.R.S., Al-Johani, A.G.H., Al-Suhaimi, A.H.O., Al-Johani, F.S.O., Al-Shammari, W.A.K., </w:t>
      </w:r>
      <w:proofErr w:type="spellStart"/>
      <w:r w:rsidRPr="00077B97">
        <w:rPr>
          <w:rFonts w:ascii="Arial" w:hAnsi="Arial" w:cs="Arial"/>
          <w:color w:val="000000" w:themeColor="text1"/>
          <w:sz w:val="22"/>
          <w:szCs w:val="22"/>
          <w:lang w:val="en-GB"/>
        </w:rPr>
        <w:t>Al-Thaqafi</w:t>
      </w:r>
      <w:proofErr w:type="spellEnd"/>
      <w:r w:rsidRPr="00077B97">
        <w:rPr>
          <w:rFonts w:ascii="Arial" w:hAnsi="Arial" w:cs="Arial"/>
          <w:color w:val="000000" w:themeColor="text1"/>
          <w:sz w:val="22"/>
          <w:szCs w:val="22"/>
          <w:lang w:val="en-GB"/>
        </w:rPr>
        <w:t xml:space="preserve">, F.S., </w:t>
      </w:r>
      <w:proofErr w:type="spellStart"/>
      <w:r w:rsidRPr="00077B97">
        <w:rPr>
          <w:rFonts w:ascii="Arial" w:hAnsi="Arial" w:cs="Arial"/>
          <w:color w:val="000000" w:themeColor="text1"/>
          <w:sz w:val="22"/>
          <w:szCs w:val="22"/>
          <w:lang w:val="en-GB"/>
        </w:rPr>
        <w:t>Al-Juaid</w:t>
      </w:r>
      <w:proofErr w:type="spellEnd"/>
      <w:r w:rsidRPr="00077B97">
        <w:rPr>
          <w:rFonts w:ascii="Arial" w:hAnsi="Arial" w:cs="Arial"/>
          <w:color w:val="000000" w:themeColor="text1"/>
          <w:sz w:val="22"/>
          <w:szCs w:val="22"/>
          <w:lang w:val="en-GB"/>
        </w:rPr>
        <w:t xml:space="preserve">, S.S.M. and </w:t>
      </w:r>
      <w:proofErr w:type="spellStart"/>
      <w:r w:rsidRPr="00077B97">
        <w:rPr>
          <w:rFonts w:ascii="Arial" w:hAnsi="Arial" w:cs="Arial"/>
          <w:color w:val="000000" w:themeColor="text1"/>
          <w:sz w:val="22"/>
          <w:szCs w:val="22"/>
          <w:lang w:val="en-GB"/>
        </w:rPr>
        <w:t>Al-Muqati</w:t>
      </w:r>
      <w:proofErr w:type="spellEnd"/>
      <w:r w:rsidRPr="00077B97">
        <w:rPr>
          <w:rFonts w:ascii="Arial" w:hAnsi="Arial" w:cs="Arial"/>
          <w:color w:val="000000" w:themeColor="text1"/>
          <w:sz w:val="22"/>
          <w:szCs w:val="22"/>
          <w:lang w:val="en-GB"/>
        </w:rPr>
        <w:t xml:space="preserve">, W.R.H., (2025). Integration Of Artificial Intelligence Surveillance Systems To Enhance Health Security In Hospitals. </w:t>
      </w:r>
      <w:r w:rsidRPr="00077B97">
        <w:rPr>
          <w:rFonts w:ascii="Arial" w:hAnsi="Arial" w:cs="Arial"/>
          <w:i/>
          <w:iCs/>
          <w:color w:val="000000" w:themeColor="text1"/>
          <w:sz w:val="22"/>
          <w:szCs w:val="22"/>
          <w:lang w:val="en-GB"/>
        </w:rPr>
        <w:t>The Review of Diabetic Studies</w:t>
      </w:r>
      <w:r w:rsidRPr="00077B97">
        <w:rPr>
          <w:rFonts w:ascii="Arial" w:hAnsi="Arial" w:cs="Arial"/>
          <w:color w:val="000000" w:themeColor="text1"/>
          <w:sz w:val="22"/>
          <w:szCs w:val="22"/>
          <w:lang w:val="en-GB"/>
        </w:rPr>
        <w:t>, pp.1145-1153.</w:t>
      </w:r>
      <w:r w:rsidR="00466887" w:rsidRPr="00077B97">
        <w:rPr>
          <w:rFonts w:ascii="Arial" w:hAnsi="Arial" w:cs="Arial"/>
          <w:color w:val="000000" w:themeColor="text1"/>
          <w:sz w:val="22"/>
          <w:szCs w:val="22"/>
          <w:lang w:val="en-GB"/>
        </w:rPr>
        <w:t xml:space="preserve"> </w:t>
      </w:r>
      <w:hyperlink r:id="rId16" w:history="1">
        <w:r w:rsidR="00466887" w:rsidRPr="00077B97">
          <w:rPr>
            <w:rStyle w:val="Hyperlink"/>
            <w:rFonts w:ascii="Arial" w:hAnsi="Arial" w:cs="Arial"/>
            <w:sz w:val="22"/>
            <w:szCs w:val="22"/>
            <w:lang w:val="en-GB"/>
          </w:rPr>
          <w:t>https://diabeticstudies.org/index.php/RDS/article/view/1826/1634</w:t>
        </w:r>
      </w:hyperlink>
      <w:r w:rsidR="00466887" w:rsidRPr="00077B97">
        <w:rPr>
          <w:rFonts w:ascii="Arial" w:hAnsi="Arial" w:cs="Arial"/>
          <w:color w:val="000000" w:themeColor="text1"/>
          <w:sz w:val="22"/>
          <w:szCs w:val="22"/>
          <w:lang w:val="en-GB"/>
        </w:rPr>
        <w:t xml:space="preserve"> </w:t>
      </w:r>
      <w:r w:rsidRPr="00077B97">
        <w:rPr>
          <w:rFonts w:ascii="Arial" w:hAnsi="Arial" w:cs="Arial"/>
          <w:color w:val="000000" w:themeColor="text1"/>
          <w:sz w:val="22"/>
          <w:szCs w:val="22"/>
          <w:lang w:val="en-GB"/>
        </w:rPr>
        <w:t xml:space="preserve"> </w:t>
      </w:r>
    </w:p>
    <w:p w14:paraId="475E071F" w14:textId="4C457712" w:rsidR="00F27F3C" w:rsidRPr="00077B97" w:rsidRDefault="00F27F3C" w:rsidP="00F27F3C">
      <w:pPr>
        <w:pStyle w:val="NormalWeb"/>
        <w:spacing w:before="240" w:beforeAutospacing="0" w:after="0" w:afterAutospacing="0" w:line="360" w:lineRule="auto"/>
        <w:jc w:val="both"/>
        <w:rPr>
          <w:rFonts w:ascii="Arial" w:hAnsi="Arial" w:cs="Arial"/>
          <w:color w:val="000000" w:themeColor="text1"/>
          <w:sz w:val="22"/>
          <w:szCs w:val="22"/>
          <w:lang w:val="en-GB"/>
        </w:rPr>
      </w:pPr>
      <w:proofErr w:type="spellStart"/>
      <w:r w:rsidRPr="00077B97">
        <w:rPr>
          <w:rFonts w:ascii="Arial" w:hAnsi="Arial" w:cs="Arial"/>
          <w:color w:val="000000" w:themeColor="text1"/>
          <w:sz w:val="22"/>
          <w:szCs w:val="22"/>
          <w:lang w:val="en-GB"/>
        </w:rPr>
        <w:t>Almughamisi</w:t>
      </w:r>
      <w:proofErr w:type="spellEnd"/>
      <w:r w:rsidRPr="00077B97">
        <w:rPr>
          <w:rFonts w:ascii="Arial" w:hAnsi="Arial" w:cs="Arial"/>
          <w:color w:val="000000" w:themeColor="text1"/>
          <w:sz w:val="22"/>
          <w:szCs w:val="22"/>
          <w:lang w:val="en-GB"/>
        </w:rPr>
        <w:t xml:space="preserve">, A.F., </w:t>
      </w:r>
      <w:proofErr w:type="spellStart"/>
      <w:r w:rsidRPr="00077B97">
        <w:rPr>
          <w:rFonts w:ascii="Arial" w:hAnsi="Arial" w:cs="Arial"/>
          <w:color w:val="000000" w:themeColor="text1"/>
          <w:sz w:val="22"/>
          <w:szCs w:val="22"/>
          <w:lang w:val="en-GB"/>
        </w:rPr>
        <w:t>Alshehri</w:t>
      </w:r>
      <w:proofErr w:type="spellEnd"/>
      <w:r w:rsidRPr="00077B97">
        <w:rPr>
          <w:rFonts w:ascii="Arial" w:hAnsi="Arial" w:cs="Arial"/>
          <w:color w:val="000000" w:themeColor="text1"/>
          <w:sz w:val="22"/>
          <w:szCs w:val="22"/>
          <w:lang w:val="en-GB"/>
        </w:rPr>
        <w:t xml:space="preserve">, A.A.M., </w:t>
      </w:r>
      <w:proofErr w:type="spellStart"/>
      <w:r w:rsidRPr="00077B97">
        <w:rPr>
          <w:rFonts w:ascii="Arial" w:hAnsi="Arial" w:cs="Arial"/>
          <w:color w:val="000000" w:themeColor="text1"/>
          <w:sz w:val="22"/>
          <w:szCs w:val="22"/>
          <w:lang w:val="en-GB"/>
        </w:rPr>
        <w:t>Alandijani</w:t>
      </w:r>
      <w:proofErr w:type="spellEnd"/>
      <w:r w:rsidRPr="00077B97">
        <w:rPr>
          <w:rFonts w:ascii="Arial" w:hAnsi="Arial" w:cs="Arial"/>
          <w:color w:val="000000" w:themeColor="text1"/>
          <w:sz w:val="22"/>
          <w:szCs w:val="22"/>
          <w:lang w:val="en-GB"/>
        </w:rPr>
        <w:t xml:space="preserve">, M.A., </w:t>
      </w:r>
      <w:proofErr w:type="spellStart"/>
      <w:r w:rsidRPr="00077B97">
        <w:rPr>
          <w:rFonts w:ascii="Arial" w:hAnsi="Arial" w:cs="Arial"/>
          <w:color w:val="000000" w:themeColor="text1"/>
          <w:sz w:val="22"/>
          <w:szCs w:val="22"/>
          <w:lang w:val="en-GB"/>
        </w:rPr>
        <w:t>Alqarni</w:t>
      </w:r>
      <w:proofErr w:type="spellEnd"/>
      <w:r w:rsidRPr="00077B97">
        <w:rPr>
          <w:rFonts w:ascii="Arial" w:hAnsi="Arial" w:cs="Arial"/>
          <w:color w:val="000000" w:themeColor="text1"/>
          <w:sz w:val="22"/>
          <w:szCs w:val="22"/>
          <w:lang w:val="en-GB"/>
        </w:rPr>
        <w:t xml:space="preserve">, S.D., Alshehri, F.H., </w:t>
      </w:r>
      <w:proofErr w:type="spellStart"/>
      <w:r w:rsidRPr="00077B97">
        <w:rPr>
          <w:rFonts w:ascii="Arial" w:hAnsi="Arial" w:cs="Arial"/>
          <w:color w:val="000000" w:themeColor="text1"/>
          <w:sz w:val="22"/>
          <w:szCs w:val="22"/>
          <w:lang w:val="en-GB"/>
        </w:rPr>
        <w:t>Alshehri</w:t>
      </w:r>
      <w:proofErr w:type="spellEnd"/>
      <w:r w:rsidRPr="00077B97">
        <w:rPr>
          <w:rFonts w:ascii="Arial" w:hAnsi="Arial" w:cs="Arial"/>
          <w:color w:val="000000" w:themeColor="text1"/>
          <w:sz w:val="22"/>
          <w:szCs w:val="22"/>
          <w:lang w:val="en-GB"/>
        </w:rPr>
        <w:t xml:space="preserve">, K.H., </w:t>
      </w:r>
      <w:proofErr w:type="spellStart"/>
      <w:r w:rsidRPr="00077B97">
        <w:rPr>
          <w:rFonts w:ascii="Arial" w:hAnsi="Arial" w:cs="Arial"/>
          <w:color w:val="000000" w:themeColor="text1"/>
          <w:sz w:val="22"/>
          <w:szCs w:val="22"/>
          <w:lang w:val="en-GB"/>
        </w:rPr>
        <w:t>Alnefaie</w:t>
      </w:r>
      <w:proofErr w:type="spellEnd"/>
      <w:r w:rsidRPr="00077B97">
        <w:rPr>
          <w:rFonts w:ascii="Arial" w:hAnsi="Arial" w:cs="Arial"/>
          <w:color w:val="000000" w:themeColor="text1"/>
          <w:sz w:val="22"/>
          <w:szCs w:val="22"/>
          <w:lang w:val="en-GB"/>
        </w:rPr>
        <w:t xml:space="preserve">, A., Alshehri, A., </w:t>
      </w:r>
      <w:proofErr w:type="spellStart"/>
      <w:r w:rsidRPr="00077B97">
        <w:rPr>
          <w:rFonts w:ascii="Arial" w:hAnsi="Arial" w:cs="Arial"/>
          <w:color w:val="000000" w:themeColor="text1"/>
          <w:sz w:val="22"/>
          <w:szCs w:val="22"/>
          <w:lang w:val="en-GB"/>
        </w:rPr>
        <w:t>Alrajhi</w:t>
      </w:r>
      <w:proofErr w:type="spellEnd"/>
      <w:r w:rsidRPr="00077B97">
        <w:rPr>
          <w:rFonts w:ascii="Arial" w:hAnsi="Arial" w:cs="Arial"/>
          <w:color w:val="000000" w:themeColor="text1"/>
          <w:sz w:val="22"/>
          <w:szCs w:val="22"/>
          <w:lang w:val="en-GB"/>
        </w:rPr>
        <w:t xml:space="preserve">, M., </w:t>
      </w:r>
      <w:proofErr w:type="spellStart"/>
      <w:r w:rsidRPr="00077B97">
        <w:rPr>
          <w:rFonts w:ascii="Arial" w:hAnsi="Arial" w:cs="Arial"/>
          <w:color w:val="000000" w:themeColor="text1"/>
          <w:sz w:val="22"/>
          <w:szCs w:val="22"/>
          <w:lang w:val="en-GB"/>
        </w:rPr>
        <w:t>Albalawi</w:t>
      </w:r>
      <w:proofErr w:type="spellEnd"/>
      <w:r w:rsidRPr="00077B97">
        <w:rPr>
          <w:rFonts w:ascii="Arial" w:hAnsi="Arial" w:cs="Arial"/>
          <w:color w:val="000000" w:themeColor="text1"/>
          <w:sz w:val="22"/>
          <w:szCs w:val="22"/>
          <w:lang w:val="en-GB"/>
        </w:rPr>
        <w:t xml:space="preserve">, H. and </w:t>
      </w:r>
      <w:proofErr w:type="spellStart"/>
      <w:r w:rsidRPr="00077B97">
        <w:rPr>
          <w:rFonts w:ascii="Arial" w:hAnsi="Arial" w:cs="Arial"/>
          <w:color w:val="000000" w:themeColor="text1"/>
          <w:sz w:val="22"/>
          <w:szCs w:val="22"/>
          <w:lang w:val="en-GB"/>
        </w:rPr>
        <w:t>Alqurashi</w:t>
      </w:r>
      <w:proofErr w:type="spellEnd"/>
      <w:r w:rsidRPr="00077B97">
        <w:rPr>
          <w:rFonts w:ascii="Arial" w:hAnsi="Arial" w:cs="Arial"/>
          <w:color w:val="000000" w:themeColor="text1"/>
          <w:sz w:val="22"/>
          <w:szCs w:val="22"/>
          <w:lang w:val="en-GB"/>
        </w:rPr>
        <w:t xml:space="preserve">, A., (2025). Multidisciplinary team group effort in healthcare; the role of emergency, clinical, and administrative professionals in improving outcomes and hospital performance. </w:t>
      </w:r>
      <w:r w:rsidRPr="00077B97">
        <w:rPr>
          <w:rFonts w:ascii="Arial" w:hAnsi="Arial" w:cs="Arial"/>
          <w:i/>
          <w:iCs/>
          <w:color w:val="000000" w:themeColor="text1"/>
          <w:sz w:val="22"/>
          <w:szCs w:val="22"/>
          <w:lang w:val="en-GB"/>
        </w:rPr>
        <w:t>Saudi J Med Pharm Sci</w:t>
      </w:r>
      <w:r w:rsidRPr="00077B97">
        <w:rPr>
          <w:rFonts w:ascii="Arial" w:hAnsi="Arial" w:cs="Arial"/>
          <w:color w:val="000000" w:themeColor="text1"/>
          <w:sz w:val="22"/>
          <w:szCs w:val="22"/>
          <w:lang w:val="en-GB"/>
        </w:rPr>
        <w:t xml:space="preserve">, </w:t>
      </w:r>
      <w:r w:rsidRPr="00077B97">
        <w:rPr>
          <w:rFonts w:ascii="Arial" w:hAnsi="Arial" w:cs="Arial"/>
          <w:i/>
          <w:iCs/>
          <w:color w:val="000000" w:themeColor="text1"/>
          <w:sz w:val="22"/>
          <w:szCs w:val="22"/>
          <w:lang w:val="en-GB"/>
        </w:rPr>
        <w:t>11</w:t>
      </w:r>
      <w:r w:rsidRPr="00077B97">
        <w:rPr>
          <w:rFonts w:ascii="Arial" w:hAnsi="Arial" w:cs="Arial"/>
          <w:color w:val="000000" w:themeColor="text1"/>
          <w:sz w:val="22"/>
          <w:szCs w:val="22"/>
          <w:lang w:val="en-GB"/>
        </w:rPr>
        <w:t>(10), pp.928-41.</w:t>
      </w:r>
      <w:r w:rsidR="00466887" w:rsidRPr="00077B97">
        <w:rPr>
          <w:rFonts w:ascii="Arial" w:hAnsi="Arial" w:cs="Arial"/>
          <w:color w:val="000000" w:themeColor="text1"/>
          <w:sz w:val="22"/>
          <w:szCs w:val="22"/>
          <w:lang w:val="en-GB"/>
        </w:rPr>
        <w:t xml:space="preserve"> </w:t>
      </w:r>
      <w:hyperlink r:id="rId17" w:history="1">
        <w:r w:rsidR="00466887" w:rsidRPr="00077B97">
          <w:rPr>
            <w:rStyle w:val="Hyperlink"/>
            <w:rFonts w:ascii="Arial" w:hAnsi="Arial" w:cs="Arial"/>
            <w:sz w:val="22"/>
            <w:szCs w:val="22"/>
            <w:lang w:val="en-GB"/>
          </w:rPr>
          <w:t>https://saudijournals.com/media/articles/SJMPS_1110_928-941_BD.pdf</w:t>
        </w:r>
      </w:hyperlink>
      <w:r w:rsidR="00466887" w:rsidRPr="00077B97">
        <w:rPr>
          <w:rFonts w:ascii="Arial" w:hAnsi="Arial" w:cs="Arial"/>
          <w:color w:val="000000" w:themeColor="text1"/>
          <w:sz w:val="22"/>
          <w:szCs w:val="22"/>
          <w:lang w:val="en-GB"/>
        </w:rPr>
        <w:t xml:space="preserve"> </w:t>
      </w:r>
      <w:r w:rsidRPr="00077B97">
        <w:rPr>
          <w:rFonts w:ascii="Arial" w:hAnsi="Arial" w:cs="Arial"/>
          <w:color w:val="000000" w:themeColor="text1"/>
          <w:sz w:val="22"/>
          <w:szCs w:val="22"/>
          <w:lang w:val="en-GB"/>
        </w:rPr>
        <w:t> </w:t>
      </w:r>
    </w:p>
    <w:p w14:paraId="7D441855" w14:textId="5BB9D8BC" w:rsidR="00F27F3C" w:rsidRPr="00077B97" w:rsidRDefault="00F27F3C" w:rsidP="00F27F3C">
      <w:pPr>
        <w:spacing w:before="240" w:line="360" w:lineRule="auto"/>
        <w:jc w:val="both"/>
        <w:rPr>
          <w:color w:val="1D1B11" w:themeColor="background2" w:themeShade="1A"/>
          <w:shd w:val="clear" w:color="auto" w:fill="FFFFFF"/>
        </w:rPr>
      </w:pPr>
      <w:r w:rsidRPr="00077B97">
        <w:rPr>
          <w:color w:val="1D1B11" w:themeColor="background2" w:themeShade="1A"/>
          <w:shd w:val="clear" w:color="auto" w:fill="FFFFFF"/>
        </w:rPr>
        <w:t>Antony, J., McDermott, O., Powell, D., and Sony, M. (2023). The evolution and future of lean Six Sigma 4.0. </w:t>
      </w:r>
      <w:r w:rsidRPr="00077B97">
        <w:rPr>
          <w:i/>
          <w:iCs/>
          <w:color w:val="1D1B11" w:themeColor="background2" w:themeShade="1A"/>
          <w:shd w:val="clear" w:color="auto" w:fill="FFFFFF"/>
        </w:rPr>
        <w:t>The TQM Journal</w:t>
      </w:r>
      <w:r w:rsidRPr="00077B97">
        <w:rPr>
          <w:color w:val="1D1B11" w:themeColor="background2" w:themeShade="1A"/>
          <w:shd w:val="clear" w:color="auto" w:fill="FFFFFF"/>
        </w:rPr>
        <w:t>, </w:t>
      </w:r>
      <w:r w:rsidRPr="00077B97">
        <w:rPr>
          <w:i/>
          <w:iCs/>
          <w:color w:val="1D1B11" w:themeColor="background2" w:themeShade="1A"/>
          <w:shd w:val="clear" w:color="auto" w:fill="FFFFFF"/>
        </w:rPr>
        <w:t>35</w:t>
      </w:r>
      <w:r w:rsidRPr="00077B97">
        <w:rPr>
          <w:color w:val="1D1B11" w:themeColor="background2" w:themeShade="1A"/>
          <w:shd w:val="clear" w:color="auto" w:fill="FFFFFF"/>
        </w:rPr>
        <w:t xml:space="preserve">(4), 1030-1047. </w:t>
      </w:r>
      <w:hyperlink r:id="rId18" w:history="1">
        <w:r w:rsidR="00466887" w:rsidRPr="00077B97">
          <w:rPr>
            <w:rStyle w:val="Hyperlink"/>
            <w:shd w:val="clear" w:color="auto" w:fill="FFFFFF"/>
          </w:rPr>
          <w:t>https://doi.org/10.1108/TQM-04-2022-0135</w:t>
        </w:r>
      </w:hyperlink>
      <w:r w:rsidR="00466887" w:rsidRPr="00077B97">
        <w:rPr>
          <w:color w:val="1D1B11" w:themeColor="background2" w:themeShade="1A"/>
          <w:shd w:val="clear" w:color="auto" w:fill="FFFFFF"/>
        </w:rPr>
        <w:t xml:space="preserve"> </w:t>
      </w:r>
    </w:p>
    <w:p w14:paraId="3866808C" w14:textId="2219389E" w:rsidR="00F27F3C" w:rsidRPr="00077B97" w:rsidRDefault="00F27F3C" w:rsidP="00F27F3C">
      <w:pPr>
        <w:spacing w:before="240" w:line="360" w:lineRule="auto"/>
        <w:jc w:val="both"/>
        <w:rPr>
          <w:color w:val="1D1B11" w:themeColor="background2" w:themeShade="1A"/>
          <w:shd w:val="clear" w:color="auto" w:fill="FFFFFF"/>
        </w:rPr>
      </w:pPr>
      <w:proofErr w:type="spellStart"/>
      <w:r w:rsidRPr="00077B97">
        <w:rPr>
          <w:color w:val="1D1B11" w:themeColor="background2" w:themeShade="1A"/>
          <w:shd w:val="clear" w:color="auto" w:fill="FFFFFF"/>
        </w:rPr>
        <w:t>Bajjou</w:t>
      </w:r>
      <w:proofErr w:type="spellEnd"/>
      <w:r w:rsidRPr="00077B97">
        <w:rPr>
          <w:color w:val="1D1B11" w:themeColor="background2" w:themeShade="1A"/>
          <w:shd w:val="clear" w:color="auto" w:fill="FFFFFF"/>
        </w:rPr>
        <w:t>, M. S., and Chafi, A. (2025). Developing and validating a new conceptual model for successful implementation of lean construction: SEM analysis. </w:t>
      </w:r>
      <w:r w:rsidRPr="00077B97">
        <w:rPr>
          <w:i/>
          <w:iCs/>
          <w:color w:val="1D1B11" w:themeColor="background2" w:themeShade="1A"/>
          <w:shd w:val="clear" w:color="auto" w:fill="FFFFFF"/>
        </w:rPr>
        <w:t>Engineering, Construction and Architectural Management</w:t>
      </w:r>
      <w:r w:rsidRPr="00077B97">
        <w:rPr>
          <w:color w:val="1D1B11" w:themeColor="background2" w:themeShade="1A"/>
          <w:shd w:val="clear" w:color="auto" w:fill="FFFFFF"/>
        </w:rPr>
        <w:t>, </w:t>
      </w:r>
      <w:r w:rsidRPr="00077B97">
        <w:rPr>
          <w:i/>
          <w:iCs/>
          <w:color w:val="1D1B11" w:themeColor="background2" w:themeShade="1A"/>
          <w:shd w:val="clear" w:color="auto" w:fill="FFFFFF"/>
        </w:rPr>
        <w:t>32</w:t>
      </w:r>
      <w:r w:rsidRPr="00077B97">
        <w:rPr>
          <w:color w:val="1D1B11" w:themeColor="background2" w:themeShade="1A"/>
          <w:shd w:val="clear" w:color="auto" w:fill="FFFFFF"/>
        </w:rPr>
        <w:t xml:space="preserve">(3), 1581-1620. </w:t>
      </w:r>
      <w:hyperlink r:id="rId19" w:history="1">
        <w:r w:rsidR="00466887" w:rsidRPr="00077B97">
          <w:rPr>
            <w:rStyle w:val="Hyperlink"/>
            <w:shd w:val="clear" w:color="auto" w:fill="FFFFFF"/>
          </w:rPr>
          <w:t>https://doi.org/10.1108/ECAM-02-2023-0102</w:t>
        </w:r>
      </w:hyperlink>
      <w:r w:rsidR="00466887" w:rsidRPr="00077B97">
        <w:rPr>
          <w:color w:val="1D1B11" w:themeColor="background2" w:themeShade="1A"/>
          <w:shd w:val="clear" w:color="auto" w:fill="FFFFFF"/>
        </w:rPr>
        <w:t xml:space="preserve"> </w:t>
      </w:r>
    </w:p>
    <w:p w14:paraId="4F5E4483" w14:textId="692AC3A0" w:rsidR="00F27F3C" w:rsidRPr="00077B97" w:rsidRDefault="00F27F3C" w:rsidP="00F27F3C">
      <w:pPr>
        <w:spacing w:before="240" w:line="360" w:lineRule="auto"/>
        <w:jc w:val="both"/>
        <w:rPr>
          <w:color w:val="1D1B11" w:themeColor="background2" w:themeShade="1A"/>
          <w:shd w:val="clear" w:color="auto" w:fill="FFFFFF"/>
        </w:rPr>
      </w:pPr>
      <w:r w:rsidRPr="00077B97">
        <w:rPr>
          <w:color w:val="1D1B11" w:themeColor="background2" w:themeShade="1A"/>
          <w:shd w:val="clear" w:color="auto" w:fill="FFFFFF"/>
        </w:rPr>
        <w:t>Bechtold, M.L. and Matteson</w:t>
      </w:r>
      <w:r w:rsidRPr="00077B97">
        <w:rPr>
          <w:rFonts w:ascii="Cambria Math" w:hAnsi="Cambria Math" w:cs="Cambria Math"/>
          <w:color w:val="1D1B11" w:themeColor="background2" w:themeShade="1A"/>
          <w:shd w:val="clear" w:color="auto" w:fill="FFFFFF"/>
        </w:rPr>
        <w:t>‐</w:t>
      </w:r>
      <w:r w:rsidRPr="00077B97">
        <w:rPr>
          <w:color w:val="1D1B11" w:themeColor="background2" w:themeShade="1A"/>
          <w:shd w:val="clear" w:color="auto" w:fill="FFFFFF"/>
        </w:rPr>
        <w:t>Kome, M.L., 2025. Implementation science using the Plan</w:t>
      </w:r>
      <w:r w:rsidRPr="00077B97">
        <w:rPr>
          <w:rFonts w:ascii="Cambria Math" w:hAnsi="Cambria Math" w:cs="Cambria Math"/>
          <w:color w:val="1D1B11" w:themeColor="background2" w:themeShade="1A"/>
          <w:shd w:val="clear" w:color="auto" w:fill="FFFFFF"/>
        </w:rPr>
        <w:t>‐</w:t>
      </w:r>
      <w:r w:rsidRPr="00077B97">
        <w:rPr>
          <w:color w:val="1D1B11" w:themeColor="background2" w:themeShade="1A"/>
          <w:shd w:val="clear" w:color="auto" w:fill="FFFFFF"/>
        </w:rPr>
        <w:t>Do</w:t>
      </w:r>
      <w:r w:rsidRPr="00077B97">
        <w:rPr>
          <w:rFonts w:ascii="Cambria Math" w:hAnsi="Cambria Math" w:cs="Cambria Math"/>
          <w:color w:val="1D1B11" w:themeColor="background2" w:themeShade="1A"/>
          <w:shd w:val="clear" w:color="auto" w:fill="FFFFFF"/>
        </w:rPr>
        <w:t>‐</w:t>
      </w:r>
      <w:r w:rsidRPr="00077B97">
        <w:rPr>
          <w:color w:val="1D1B11" w:themeColor="background2" w:themeShade="1A"/>
          <w:shd w:val="clear" w:color="auto" w:fill="FFFFFF"/>
        </w:rPr>
        <w:t>Study</w:t>
      </w:r>
      <w:r w:rsidRPr="00077B97">
        <w:rPr>
          <w:rFonts w:ascii="Cambria Math" w:hAnsi="Cambria Math" w:cs="Cambria Math"/>
          <w:color w:val="1D1B11" w:themeColor="background2" w:themeShade="1A"/>
          <w:shd w:val="clear" w:color="auto" w:fill="FFFFFF"/>
        </w:rPr>
        <w:t>‐</w:t>
      </w:r>
      <w:r w:rsidRPr="00077B97">
        <w:rPr>
          <w:color w:val="1D1B11" w:themeColor="background2" w:themeShade="1A"/>
          <w:shd w:val="clear" w:color="auto" w:fill="FFFFFF"/>
        </w:rPr>
        <w:t>Act (PDSA) cycle: addressing hospital malnutrition with the global malnutrition composite score. </w:t>
      </w:r>
      <w:r w:rsidRPr="00077B97">
        <w:rPr>
          <w:i/>
          <w:iCs/>
          <w:color w:val="1D1B11" w:themeColor="background2" w:themeShade="1A"/>
          <w:shd w:val="clear" w:color="auto" w:fill="FFFFFF"/>
        </w:rPr>
        <w:t>Nutrition in Clinical Practice</w:t>
      </w:r>
      <w:r w:rsidRPr="00077B97">
        <w:rPr>
          <w:color w:val="1D1B11" w:themeColor="background2" w:themeShade="1A"/>
          <w:shd w:val="clear" w:color="auto" w:fill="FFFFFF"/>
        </w:rPr>
        <w:t>, </w:t>
      </w:r>
      <w:r w:rsidRPr="00077B97">
        <w:rPr>
          <w:i/>
          <w:iCs/>
          <w:color w:val="1D1B11" w:themeColor="background2" w:themeShade="1A"/>
          <w:shd w:val="clear" w:color="auto" w:fill="FFFFFF"/>
        </w:rPr>
        <w:t>40</w:t>
      </w:r>
      <w:r w:rsidRPr="00077B97">
        <w:rPr>
          <w:color w:val="1D1B11" w:themeColor="background2" w:themeShade="1A"/>
          <w:shd w:val="clear" w:color="auto" w:fill="FFFFFF"/>
        </w:rPr>
        <w:t xml:space="preserve">(6), pp.1369-1378. </w:t>
      </w:r>
      <w:hyperlink r:id="rId20" w:history="1">
        <w:r w:rsidR="00466887" w:rsidRPr="00077B97">
          <w:rPr>
            <w:rStyle w:val="Hyperlink"/>
            <w:shd w:val="clear" w:color="auto" w:fill="FFFFFF"/>
          </w:rPr>
          <w:t>https://doi.org/10.1002/ncp.70041</w:t>
        </w:r>
      </w:hyperlink>
      <w:r w:rsidR="00466887" w:rsidRPr="00077B97">
        <w:rPr>
          <w:color w:val="1D1B11" w:themeColor="background2" w:themeShade="1A"/>
          <w:shd w:val="clear" w:color="auto" w:fill="FFFFFF"/>
        </w:rPr>
        <w:t xml:space="preserve"> </w:t>
      </w:r>
    </w:p>
    <w:p w14:paraId="6E7744A2" w14:textId="4439AC89" w:rsidR="00F27F3C" w:rsidRPr="00077B97" w:rsidRDefault="00F27F3C" w:rsidP="00F27F3C">
      <w:pPr>
        <w:pStyle w:val="NormalWeb"/>
        <w:spacing w:before="240" w:beforeAutospacing="0" w:after="0" w:afterAutospacing="0" w:line="360" w:lineRule="auto"/>
        <w:jc w:val="both"/>
        <w:rPr>
          <w:rFonts w:ascii="Arial" w:hAnsi="Arial" w:cs="Arial"/>
          <w:color w:val="000000" w:themeColor="text1"/>
          <w:sz w:val="22"/>
          <w:szCs w:val="22"/>
          <w:lang w:val="en-GB"/>
        </w:rPr>
      </w:pPr>
      <w:r w:rsidRPr="00077B97">
        <w:rPr>
          <w:rFonts w:ascii="Arial" w:hAnsi="Arial" w:cs="Arial"/>
          <w:color w:val="000000" w:themeColor="text1"/>
          <w:sz w:val="22"/>
          <w:szCs w:val="22"/>
          <w:lang w:val="en-GB"/>
        </w:rPr>
        <w:t xml:space="preserve">Bhati, D., Deogade, M.S. and </w:t>
      </w:r>
      <w:proofErr w:type="spellStart"/>
      <w:r w:rsidRPr="00077B97">
        <w:rPr>
          <w:rFonts w:ascii="Arial" w:hAnsi="Arial" w:cs="Arial"/>
          <w:color w:val="000000" w:themeColor="text1"/>
          <w:sz w:val="22"/>
          <w:szCs w:val="22"/>
          <w:lang w:val="en-GB"/>
        </w:rPr>
        <w:t>Kanyal</w:t>
      </w:r>
      <w:proofErr w:type="spellEnd"/>
      <w:r w:rsidRPr="00077B97">
        <w:rPr>
          <w:rFonts w:ascii="Arial" w:hAnsi="Arial" w:cs="Arial"/>
          <w:color w:val="000000" w:themeColor="text1"/>
          <w:sz w:val="22"/>
          <w:szCs w:val="22"/>
          <w:lang w:val="en-GB"/>
        </w:rPr>
        <w:t xml:space="preserve">, D., (2023). Improving patient outcomes through effective hospital administration: a comprehensive review. </w:t>
      </w:r>
      <w:r w:rsidRPr="00077B97">
        <w:rPr>
          <w:rFonts w:ascii="Arial" w:hAnsi="Arial" w:cs="Arial"/>
          <w:i/>
          <w:iCs/>
          <w:color w:val="000000" w:themeColor="text1"/>
          <w:sz w:val="22"/>
          <w:szCs w:val="22"/>
          <w:lang w:val="en-GB"/>
        </w:rPr>
        <w:t>Cureus</w:t>
      </w:r>
      <w:r w:rsidRPr="00077B97">
        <w:rPr>
          <w:rFonts w:ascii="Arial" w:hAnsi="Arial" w:cs="Arial"/>
          <w:color w:val="000000" w:themeColor="text1"/>
          <w:sz w:val="22"/>
          <w:szCs w:val="22"/>
          <w:lang w:val="en-GB"/>
        </w:rPr>
        <w:t xml:space="preserve">, </w:t>
      </w:r>
      <w:r w:rsidRPr="00077B97">
        <w:rPr>
          <w:rFonts w:ascii="Arial" w:hAnsi="Arial" w:cs="Arial"/>
          <w:i/>
          <w:iCs/>
          <w:color w:val="000000" w:themeColor="text1"/>
          <w:sz w:val="22"/>
          <w:szCs w:val="22"/>
          <w:lang w:val="en-GB"/>
        </w:rPr>
        <w:t>15</w:t>
      </w:r>
      <w:r w:rsidRPr="00077B97">
        <w:rPr>
          <w:rFonts w:ascii="Arial" w:hAnsi="Arial" w:cs="Arial"/>
          <w:color w:val="000000" w:themeColor="text1"/>
          <w:sz w:val="22"/>
          <w:szCs w:val="22"/>
          <w:lang w:val="en-GB"/>
        </w:rPr>
        <w:t>(10).</w:t>
      </w:r>
      <w:r w:rsidR="00466887" w:rsidRPr="00077B97">
        <w:rPr>
          <w:rFonts w:ascii="Arial" w:hAnsi="Arial" w:cs="Arial"/>
          <w:color w:val="000000" w:themeColor="text1"/>
          <w:sz w:val="22"/>
          <w:szCs w:val="22"/>
          <w:lang w:val="en-GB"/>
        </w:rPr>
        <w:t xml:space="preserve"> </w:t>
      </w:r>
      <w:hyperlink r:id="rId21" w:anchor="!/" w:history="1">
        <w:r w:rsidR="00466887" w:rsidRPr="00077B97">
          <w:rPr>
            <w:rStyle w:val="Hyperlink"/>
            <w:rFonts w:ascii="Arial" w:hAnsi="Arial" w:cs="Arial"/>
            <w:sz w:val="22"/>
            <w:szCs w:val="22"/>
            <w:lang w:val="en-GB"/>
          </w:rPr>
          <w:t>https://www.cureus.com/articles/197936-improving-patient-outcomes-through-effective-hospital-administration-a-comprehensive-review#!/</w:t>
        </w:r>
      </w:hyperlink>
      <w:r w:rsidR="00466887" w:rsidRPr="00077B97">
        <w:rPr>
          <w:rFonts w:ascii="Arial" w:hAnsi="Arial" w:cs="Arial"/>
          <w:color w:val="000000" w:themeColor="text1"/>
          <w:sz w:val="22"/>
          <w:szCs w:val="22"/>
          <w:lang w:val="en-GB"/>
        </w:rPr>
        <w:t xml:space="preserve"> </w:t>
      </w:r>
    </w:p>
    <w:p w14:paraId="7090DC08" w14:textId="363FF60F" w:rsidR="00F27F3C" w:rsidRPr="00077B97" w:rsidRDefault="00F27F3C" w:rsidP="00F27F3C">
      <w:pPr>
        <w:spacing w:before="240" w:line="360" w:lineRule="auto"/>
        <w:jc w:val="both"/>
        <w:rPr>
          <w:color w:val="1D1B11" w:themeColor="background2" w:themeShade="1A"/>
          <w:shd w:val="clear" w:color="auto" w:fill="FFFFFF"/>
        </w:rPr>
      </w:pPr>
      <w:r w:rsidRPr="00077B97">
        <w:rPr>
          <w:color w:val="1D1B11" w:themeColor="background2" w:themeShade="1A"/>
          <w:shd w:val="clear" w:color="auto" w:fill="FFFFFF"/>
        </w:rPr>
        <w:t xml:space="preserve">Bradley, C., </w:t>
      </w:r>
      <w:proofErr w:type="spellStart"/>
      <w:r w:rsidRPr="00077B97">
        <w:rPr>
          <w:color w:val="1D1B11" w:themeColor="background2" w:themeShade="1A"/>
          <w:shd w:val="clear" w:color="auto" w:fill="FFFFFF"/>
        </w:rPr>
        <w:t>Sumethasorn</w:t>
      </w:r>
      <w:proofErr w:type="spellEnd"/>
      <w:r w:rsidRPr="00077B97">
        <w:rPr>
          <w:color w:val="1D1B11" w:themeColor="background2" w:themeShade="1A"/>
          <w:shd w:val="clear" w:color="auto" w:fill="FFFFFF"/>
        </w:rPr>
        <w:t>, M., Kim, J. S., Wang, S., Martinez, L., Chang, M., ... and Buxbaum, J. (2024). Plan-do-study-act (PDSA) interventions to improve real-world endoscopy unit productivity. </w:t>
      </w:r>
      <w:r w:rsidRPr="00077B97">
        <w:rPr>
          <w:i/>
          <w:iCs/>
          <w:color w:val="1D1B11" w:themeColor="background2" w:themeShade="1A"/>
          <w:shd w:val="clear" w:color="auto" w:fill="FFFFFF"/>
        </w:rPr>
        <w:t>Endoscopy international open</w:t>
      </w:r>
      <w:r w:rsidRPr="00077B97">
        <w:rPr>
          <w:color w:val="1D1B11" w:themeColor="background2" w:themeShade="1A"/>
          <w:shd w:val="clear" w:color="auto" w:fill="FFFFFF"/>
        </w:rPr>
        <w:t>, </w:t>
      </w:r>
      <w:r w:rsidRPr="00077B97">
        <w:rPr>
          <w:i/>
          <w:iCs/>
          <w:color w:val="1D1B11" w:themeColor="background2" w:themeShade="1A"/>
          <w:shd w:val="clear" w:color="auto" w:fill="FFFFFF"/>
        </w:rPr>
        <w:t>12</w:t>
      </w:r>
      <w:r w:rsidRPr="00077B97">
        <w:rPr>
          <w:color w:val="1D1B11" w:themeColor="background2" w:themeShade="1A"/>
          <w:shd w:val="clear" w:color="auto" w:fill="FFFFFF"/>
        </w:rPr>
        <w:t>(05), E642-E648.</w:t>
      </w:r>
      <w:r w:rsidR="00466887" w:rsidRPr="00077B97">
        <w:rPr>
          <w:color w:val="1D1B11" w:themeColor="background2" w:themeShade="1A"/>
          <w:shd w:val="clear" w:color="auto" w:fill="FFFFFF"/>
        </w:rPr>
        <w:t xml:space="preserve"> </w:t>
      </w:r>
      <w:hyperlink r:id="rId22" w:history="1">
        <w:r w:rsidR="00466887" w:rsidRPr="00077B97">
          <w:rPr>
            <w:rStyle w:val="Hyperlink"/>
            <w:shd w:val="clear" w:color="auto" w:fill="FFFFFF"/>
          </w:rPr>
          <w:t>https://www.thieme-connect.com/products/ejournals/html/10.1055/a-2290-0263</w:t>
        </w:r>
      </w:hyperlink>
      <w:r w:rsidR="00466887" w:rsidRPr="00077B97">
        <w:rPr>
          <w:color w:val="1D1B11" w:themeColor="background2" w:themeShade="1A"/>
          <w:shd w:val="clear" w:color="auto" w:fill="FFFFFF"/>
        </w:rPr>
        <w:t xml:space="preserve"> </w:t>
      </w:r>
      <w:r w:rsidRPr="00077B97">
        <w:rPr>
          <w:color w:val="1D1B11" w:themeColor="background2" w:themeShade="1A"/>
          <w:shd w:val="clear" w:color="auto" w:fill="FFFFFF"/>
        </w:rPr>
        <w:t xml:space="preserve"> </w:t>
      </w:r>
    </w:p>
    <w:p w14:paraId="00560F61" w14:textId="2768AE96" w:rsidR="00F27F3C" w:rsidRPr="00077B97" w:rsidRDefault="00F27F3C" w:rsidP="00F27F3C">
      <w:pPr>
        <w:pStyle w:val="NormalWeb"/>
        <w:spacing w:before="240" w:beforeAutospacing="0" w:after="0" w:afterAutospacing="0" w:line="360" w:lineRule="auto"/>
        <w:jc w:val="both"/>
        <w:rPr>
          <w:rFonts w:ascii="Arial" w:hAnsi="Arial" w:cs="Arial"/>
          <w:color w:val="000000" w:themeColor="text1"/>
          <w:sz w:val="22"/>
          <w:szCs w:val="22"/>
          <w:lang w:val="en-GB"/>
        </w:rPr>
      </w:pPr>
      <w:r w:rsidRPr="00077B97">
        <w:rPr>
          <w:rFonts w:ascii="Arial" w:hAnsi="Arial" w:cs="Arial"/>
          <w:color w:val="000000" w:themeColor="text1"/>
          <w:sz w:val="22"/>
          <w:szCs w:val="22"/>
          <w:lang w:val="en-GB"/>
        </w:rPr>
        <w:t xml:space="preserve">Chakraborty, S.B., Chakraborty, M.A., Nayek, S. and Sinha, D.K., (2023). </w:t>
      </w:r>
      <w:r w:rsidRPr="00077B97">
        <w:rPr>
          <w:rFonts w:ascii="Arial" w:hAnsi="Arial" w:cs="Arial"/>
          <w:i/>
          <w:iCs/>
          <w:color w:val="000000" w:themeColor="text1"/>
          <w:sz w:val="22"/>
          <w:szCs w:val="22"/>
          <w:lang w:val="en-GB"/>
        </w:rPr>
        <w:t>Health care administration and management</w:t>
      </w:r>
      <w:r w:rsidRPr="00077B97">
        <w:rPr>
          <w:rFonts w:ascii="Arial" w:hAnsi="Arial" w:cs="Arial"/>
          <w:color w:val="000000" w:themeColor="text1"/>
          <w:sz w:val="22"/>
          <w:szCs w:val="22"/>
          <w:lang w:val="en-GB"/>
        </w:rPr>
        <w:t>. Academic Guru Publishing House.</w:t>
      </w:r>
      <w:r w:rsidR="00466887" w:rsidRPr="00077B97">
        <w:rPr>
          <w:rFonts w:ascii="Arial" w:hAnsi="Arial" w:cs="Arial"/>
          <w:color w:val="000000" w:themeColor="text1"/>
          <w:sz w:val="22"/>
          <w:szCs w:val="22"/>
          <w:lang w:val="en-GB"/>
        </w:rPr>
        <w:t xml:space="preserve"> </w:t>
      </w:r>
      <w:hyperlink r:id="rId23" w:history="1">
        <w:r w:rsidR="00466887" w:rsidRPr="00077B97">
          <w:rPr>
            <w:rStyle w:val="Hyperlink"/>
            <w:rFonts w:ascii="Arial" w:hAnsi="Arial" w:cs="Arial"/>
            <w:sz w:val="22"/>
            <w:szCs w:val="22"/>
            <w:lang w:val="en-GB"/>
          </w:rPr>
          <w:t>https://www.researchgate.net/profile/Sumit-Nayek/publication/371276433_Health_Care_Administration_And_Management/links/647b8097d702370600cf7ba9/Health-Care-Administration-And-Management.pdf</w:t>
        </w:r>
      </w:hyperlink>
      <w:r w:rsidR="00466887" w:rsidRPr="00077B97">
        <w:rPr>
          <w:rFonts w:ascii="Arial" w:hAnsi="Arial" w:cs="Arial"/>
          <w:color w:val="000000" w:themeColor="text1"/>
          <w:sz w:val="22"/>
          <w:szCs w:val="22"/>
          <w:lang w:val="en-GB"/>
        </w:rPr>
        <w:t xml:space="preserve"> </w:t>
      </w:r>
      <w:r w:rsidRPr="00077B97">
        <w:rPr>
          <w:rFonts w:ascii="Arial" w:hAnsi="Arial" w:cs="Arial"/>
          <w:color w:val="000000" w:themeColor="text1"/>
          <w:sz w:val="22"/>
          <w:szCs w:val="22"/>
          <w:lang w:val="en-GB"/>
        </w:rPr>
        <w:t xml:space="preserve"> </w:t>
      </w:r>
    </w:p>
    <w:p w14:paraId="0098A215" w14:textId="22FCFF43" w:rsidR="00F27F3C" w:rsidRPr="00077B97" w:rsidRDefault="00F27F3C" w:rsidP="00F27F3C">
      <w:pPr>
        <w:spacing w:before="240" w:line="360" w:lineRule="auto"/>
        <w:jc w:val="both"/>
        <w:rPr>
          <w:color w:val="1D1B11" w:themeColor="background2" w:themeShade="1A"/>
          <w:shd w:val="clear" w:color="auto" w:fill="FFFFFF"/>
        </w:rPr>
      </w:pPr>
      <w:r w:rsidRPr="00077B97">
        <w:rPr>
          <w:color w:val="1D1B11" w:themeColor="background2" w:themeShade="1A"/>
          <w:shd w:val="clear" w:color="auto" w:fill="FFFFFF"/>
        </w:rPr>
        <w:t>Costa, F., Alemsan, N., Bilancia, A., Tortorella, G. L., and Staudacher, A. P. (2024). Integrating industry 4.0 and lean manufacturing for a sustainable green transition: A comprehensive model. </w:t>
      </w:r>
      <w:r w:rsidRPr="00077B97">
        <w:rPr>
          <w:i/>
          <w:iCs/>
          <w:color w:val="1D1B11" w:themeColor="background2" w:themeShade="1A"/>
          <w:shd w:val="clear" w:color="auto" w:fill="FFFFFF"/>
        </w:rPr>
        <w:t>Journal of Cleaner Production</w:t>
      </w:r>
      <w:r w:rsidRPr="00077B97">
        <w:rPr>
          <w:color w:val="1D1B11" w:themeColor="background2" w:themeShade="1A"/>
          <w:shd w:val="clear" w:color="auto" w:fill="FFFFFF"/>
        </w:rPr>
        <w:t>, </w:t>
      </w:r>
      <w:r w:rsidRPr="00077B97">
        <w:rPr>
          <w:i/>
          <w:iCs/>
          <w:color w:val="1D1B11" w:themeColor="background2" w:themeShade="1A"/>
          <w:shd w:val="clear" w:color="auto" w:fill="FFFFFF"/>
        </w:rPr>
        <w:t>465</w:t>
      </w:r>
      <w:r w:rsidRPr="00077B97">
        <w:rPr>
          <w:color w:val="1D1B11" w:themeColor="background2" w:themeShade="1A"/>
          <w:shd w:val="clear" w:color="auto" w:fill="FFFFFF"/>
        </w:rPr>
        <w:t>, 142728.</w:t>
      </w:r>
      <w:r w:rsidR="00466887" w:rsidRPr="00077B97">
        <w:rPr>
          <w:color w:val="1D1B11" w:themeColor="background2" w:themeShade="1A"/>
          <w:shd w:val="clear" w:color="auto" w:fill="FFFFFF"/>
        </w:rPr>
        <w:t xml:space="preserve"> </w:t>
      </w:r>
      <w:hyperlink r:id="rId24" w:history="1">
        <w:r w:rsidR="00466887" w:rsidRPr="00077B97">
          <w:rPr>
            <w:rStyle w:val="Hyperlink"/>
            <w:shd w:val="clear" w:color="auto" w:fill="FFFFFF"/>
          </w:rPr>
          <w:t>https://www.sciencedirect.com/science/article/pii/S0959652624021760</w:t>
        </w:r>
      </w:hyperlink>
      <w:r w:rsidR="00466887" w:rsidRPr="00077B97">
        <w:rPr>
          <w:color w:val="1D1B11" w:themeColor="background2" w:themeShade="1A"/>
          <w:shd w:val="clear" w:color="auto" w:fill="FFFFFF"/>
        </w:rPr>
        <w:t xml:space="preserve"> </w:t>
      </w:r>
      <w:r w:rsidRPr="00077B97">
        <w:rPr>
          <w:color w:val="1D1B11" w:themeColor="background2" w:themeShade="1A"/>
          <w:shd w:val="clear" w:color="auto" w:fill="FFFFFF"/>
        </w:rPr>
        <w:t xml:space="preserve"> </w:t>
      </w:r>
    </w:p>
    <w:p w14:paraId="7A8EA8B0" w14:textId="708352DF" w:rsidR="00F27F3C" w:rsidRPr="00077B97" w:rsidRDefault="00F27F3C" w:rsidP="00F27F3C">
      <w:pPr>
        <w:pStyle w:val="NormalWeb"/>
        <w:spacing w:before="240" w:beforeAutospacing="0" w:after="0" w:afterAutospacing="0" w:line="360" w:lineRule="auto"/>
        <w:jc w:val="both"/>
        <w:rPr>
          <w:rFonts w:ascii="Arial" w:hAnsi="Arial" w:cs="Arial"/>
          <w:color w:val="000000" w:themeColor="text1"/>
          <w:sz w:val="22"/>
          <w:szCs w:val="22"/>
          <w:lang w:val="en-GB"/>
        </w:rPr>
      </w:pPr>
      <w:proofErr w:type="spellStart"/>
      <w:r w:rsidRPr="00077B97">
        <w:rPr>
          <w:rFonts w:ascii="Arial" w:hAnsi="Arial" w:cs="Arial"/>
          <w:color w:val="000000" w:themeColor="text1"/>
          <w:sz w:val="22"/>
          <w:szCs w:val="22"/>
          <w:lang w:val="en-GB"/>
        </w:rPr>
        <w:t>Cqc</w:t>
      </w:r>
      <w:proofErr w:type="spellEnd"/>
      <w:r w:rsidRPr="00077B97">
        <w:rPr>
          <w:rFonts w:ascii="Arial" w:hAnsi="Arial" w:cs="Arial"/>
          <w:color w:val="000000" w:themeColor="text1"/>
          <w:sz w:val="22"/>
          <w:szCs w:val="22"/>
          <w:lang w:val="en-GB"/>
        </w:rPr>
        <w:t xml:space="preserve">, (2023). </w:t>
      </w:r>
      <w:r w:rsidRPr="00077B97">
        <w:rPr>
          <w:rFonts w:ascii="Arial" w:hAnsi="Arial" w:cs="Arial"/>
          <w:i/>
          <w:iCs/>
          <w:color w:val="000000" w:themeColor="text1"/>
          <w:sz w:val="22"/>
          <w:szCs w:val="22"/>
          <w:lang w:val="en-GB"/>
        </w:rPr>
        <w:t xml:space="preserve">Countess of Chester Hospital NHS Foundation Trust. </w:t>
      </w:r>
      <w:r w:rsidRPr="00077B97">
        <w:rPr>
          <w:rFonts w:ascii="Arial" w:hAnsi="Arial" w:cs="Arial"/>
          <w:color w:val="000000" w:themeColor="text1"/>
          <w:sz w:val="22"/>
          <w:szCs w:val="22"/>
          <w:lang w:val="en-GB"/>
        </w:rPr>
        <w:t>Available at:</w:t>
      </w:r>
      <w:r w:rsidR="00466887" w:rsidRPr="00077B97">
        <w:rPr>
          <w:rFonts w:ascii="Arial" w:hAnsi="Arial" w:cs="Arial"/>
          <w:color w:val="000000" w:themeColor="text1"/>
          <w:sz w:val="22"/>
          <w:szCs w:val="22"/>
          <w:lang w:val="en-GB"/>
        </w:rPr>
        <w:t xml:space="preserve"> </w:t>
      </w:r>
      <w:hyperlink r:id="rId25" w:history="1">
        <w:r w:rsidR="00466887" w:rsidRPr="00077B97">
          <w:rPr>
            <w:rStyle w:val="Hyperlink"/>
            <w:rFonts w:ascii="Arial" w:hAnsi="Arial" w:cs="Arial"/>
            <w:sz w:val="22"/>
            <w:szCs w:val="22"/>
            <w:lang w:val="en-GB"/>
          </w:rPr>
          <w:t>https://www.cqc.org.uk/provider/RJR/reports</w:t>
        </w:r>
      </w:hyperlink>
      <w:r w:rsidR="00466887" w:rsidRPr="00077B97">
        <w:rPr>
          <w:rFonts w:ascii="Arial" w:hAnsi="Arial" w:cs="Arial"/>
          <w:color w:val="000000" w:themeColor="text1"/>
          <w:sz w:val="22"/>
          <w:szCs w:val="22"/>
          <w:lang w:val="en-GB"/>
        </w:rPr>
        <w:t xml:space="preserve"> </w:t>
      </w:r>
      <w:r w:rsidRPr="00077B97">
        <w:rPr>
          <w:rFonts w:ascii="Arial" w:hAnsi="Arial" w:cs="Arial"/>
          <w:color w:val="000000" w:themeColor="text1"/>
          <w:sz w:val="22"/>
          <w:szCs w:val="22"/>
          <w:lang w:val="en-GB"/>
        </w:rPr>
        <w:t>(Accessed: 11 August, 2026)</w:t>
      </w:r>
    </w:p>
    <w:p w14:paraId="4DEA64D4" w14:textId="12426F3C" w:rsidR="00F27F3C" w:rsidRPr="00077B97" w:rsidRDefault="00F27F3C" w:rsidP="00F27F3C">
      <w:pPr>
        <w:pStyle w:val="NormalWeb"/>
        <w:spacing w:before="240" w:beforeAutospacing="0" w:after="0" w:afterAutospacing="0" w:line="360" w:lineRule="auto"/>
        <w:jc w:val="both"/>
        <w:rPr>
          <w:rFonts w:ascii="Arial" w:hAnsi="Arial" w:cs="Arial"/>
          <w:color w:val="000000" w:themeColor="text1"/>
          <w:sz w:val="22"/>
          <w:szCs w:val="22"/>
          <w:lang w:val="en-GB"/>
        </w:rPr>
      </w:pPr>
      <w:proofErr w:type="spellStart"/>
      <w:r w:rsidRPr="00077B97">
        <w:rPr>
          <w:rFonts w:ascii="Arial" w:hAnsi="Arial" w:cs="Arial"/>
          <w:color w:val="000000" w:themeColor="text1"/>
          <w:sz w:val="22"/>
          <w:szCs w:val="22"/>
          <w:lang w:val="en-GB"/>
        </w:rPr>
        <w:t>Cqc</w:t>
      </w:r>
      <w:proofErr w:type="spellEnd"/>
      <w:r w:rsidRPr="00077B97">
        <w:rPr>
          <w:rFonts w:ascii="Arial" w:hAnsi="Arial" w:cs="Arial"/>
          <w:color w:val="000000" w:themeColor="text1"/>
          <w:sz w:val="22"/>
          <w:szCs w:val="22"/>
          <w:lang w:val="en-GB"/>
        </w:rPr>
        <w:t xml:space="preserve">, (2025). </w:t>
      </w:r>
      <w:r w:rsidRPr="00077B97">
        <w:rPr>
          <w:rFonts w:ascii="Arial" w:hAnsi="Arial" w:cs="Arial"/>
          <w:i/>
          <w:iCs/>
          <w:color w:val="000000" w:themeColor="text1"/>
          <w:sz w:val="22"/>
          <w:szCs w:val="22"/>
          <w:lang w:val="en-GB"/>
        </w:rPr>
        <w:t>CQC publishes report on Countess of Chester Hospital NHS Foundation Trust.</w:t>
      </w:r>
      <w:r w:rsidRPr="00077B97">
        <w:rPr>
          <w:rFonts w:ascii="Arial" w:hAnsi="Arial" w:cs="Arial"/>
          <w:color w:val="000000" w:themeColor="text1"/>
          <w:sz w:val="22"/>
          <w:szCs w:val="22"/>
          <w:lang w:val="en-GB"/>
        </w:rPr>
        <w:t xml:space="preserve"> Available at: </w:t>
      </w:r>
      <w:hyperlink r:id="rId26" w:history="1">
        <w:r w:rsidR="00466887" w:rsidRPr="00077B97">
          <w:rPr>
            <w:rStyle w:val="Hyperlink"/>
            <w:rFonts w:ascii="Arial" w:hAnsi="Arial" w:cs="Arial"/>
            <w:sz w:val="22"/>
            <w:szCs w:val="22"/>
            <w:lang w:val="en-GB"/>
          </w:rPr>
          <w:t>https://www.cqc.org.uk/press-release/cqc-publishes-report-countess-chester-hospital-nhs-foundation-trust</w:t>
        </w:r>
      </w:hyperlink>
      <w:r w:rsidR="00466887" w:rsidRPr="00077B97">
        <w:rPr>
          <w:rFonts w:ascii="Arial" w:hAnsi="Arial" w:cs="Arial"/>
          <w:color w:val="000000" w:themeColor="text1"/>
          <w:sz w:val="22"/>
          <w:szCs w:val="22"/>
          <w:lang w:val="en-GB"/>
        </w:rPr>
        <w:t xml:space="preserve"> </w:t>
      </w:r>
      <w:r w:rsidRPr="00077B97">
        <w:rPr>
          <w:rFonts w:ascii="Arial" w:hAnsi="Arial" w:cs="Arial"/>
          <w:color w:val="000000" w:themeColor="text1"/>
          <w:sz w:val="22"/>
          <w:szCs w:val="22"/>
          <w:lang w:val="en-GB"/>
        </w:rPr>
        <w:t>(Accessed: 11 August, 2026)</w:t>
      </w:r>
    </w:p>
    <w:p w14:paraId="342B060A" w14:textId="66AA047A" w:rsidR="00F27F3C" w:rsidRPr="00077B97" w:rsidRDefault="00F27F3C" w:rsidP="00F27F3C">
      <w:pPr>
        <w:spacing w:before="240" w:line="360" w:lineRule="auto"/>
        <w:jc w:val="both"/>
        <w:rPr>
          <w:color w:val="1D1B11" w:themeColor="background2" w:themeShade="1A"/>
          <w:shd w:val="clear" w:color="auto" w:fill="FFFFFF"/>
        </w:rPr>
      </w:pPr>
      <w:r w:rsidRPr="00077B97">
        <w:rPr>
          <w:color w:val="1D1B11" w:themeColor="background2" w:themeShade="1A"/>
          <w:shd w:val="clear" w:color="auto" w:fill="FFFFFF"/>
        </w:rPr>
        <w:t>Elliott, A. M. (2024). Meeting quality improvement learning outcomes: Applying the Plan-Do-Study-Act cycle. </w:t>
      </w:r>
      <w:r w:rsidRPr="00077B97">
        <w:rPr>
          <w:i/>
          <w:iCs/>
          <w:color w:val="1D1B11" w:themeColor="background2" w:themeShade="1A"/>
          <w:shd w:val="clear" w:color="auto" w:fill="FFFFFF"/>
        </w:rPr>
        <w:t>Journal of Nursing Education</w:t>
      </w:r>
      <w:r w:rsidRPr="00077B97">
        <w:rPr>
          <w:color w:val="1D1B11" w:themeColor="background2" w:themeShade="1A"/>
          <w:shd w:val="clear" w:color="auto" w:fill="FFFFFF"/>
        </w:rPr>
        <w:t>, </w:t>
      </w:r>
      <w:r w:rsidRPr="00077B97">
        <w:rPr>
          <w:i/>
          <w:iCs/>
          <w:color w:val="1D1B11" w:themeColor="background2" w:themeShade="1A"/>
          <w:shd w:val="clear" w:color="auto" w:fill="FFFFFF"/>
        </w:rPr>
        <w:t>63</w:t>
      </w:r>
      <w:r w:rsidRPr="00077B97">
        <w:rPr>
          <w:color w:val="1D1B11" w:themeColor="background2" w:themeShade="1A"/>
          <w:shd w:val="clear" w:color="auto" w:fill="FFFFFF"/>
        </w:rPr>
        <w:t>(11), 788-788.</w:t>
      </w:r>
      <w:r w:rsidR="00466887" w:rsidRPr="00077B97">
        <w:rPr>
          <w:color w:val="1D1B11" w:themeColor="background2" w:themeShade="1A"/>
          <w:shd w:val="clear" w:color="auto" w:fill="FFFFFF"/>
        </w:rPr>
        <w:t xml:space="preserve"> </w:t>
      </w:r>
      <w:hyperlink r:id="rId27" w:history="1">
        <w:r w:rsidR="00466887" w:rsidRPr="00077B97">
          <w:rPr>
            <w:rStyle w:val="Hyperlink"/>
            <w:shd w:val="clear" w:color="auto" w:fill="FFFFFF"/>
          </w:rPr>
          <w:t>https://journals.healio.com/doi/full/10.3928/01484834-20240522-04</w:t>
        </w:r>
      </w:hyperlink>
      <w:r w:rsidR="00466887" w:rsidRPr="00077B97">
        <w:rPr>
          <w:color w:val="1D1B11" w:themeColor="background2" w:themeShade="1A"/>
          <w:shd w:val="clear" w:color="auto" w:fill="FFFFFF"/>
        </w:rPr>
        <w:t xml:space="preserve"> </w:t>
      </w:r>
      <w:r w:rsidRPr="00077B97">
        <w:rPr>
          <w:color w:val="1D1B11" w:themeColor="background2" w:themeShade="1A"/>
          <w:shd w:val="clear" w:color="auto" w:fill="FFFFFF"/>
        </w:rPr>
        <w:t xml:space="preserve"> </w:t>
      </w:r>
    </w:p>
    <w:p w14:paraId="71936C1F" w14:textId="4FE00EAB" w:rsidR="00F27F3C" w:rsidRPr="00077B97" w:rsidRDefault="00F27F3C" w:rsidP="00F27F3C">
      <w:pPr>
        <w:pStyle w:val="NormalWeb"/>
        <w:spacing w:before="240" w:beforeAutospacing="0" w:after="0" w:afterAutospacing="0" w:line="360" w:lineRule="auto"/>
        <w:jc w:val="both"/>
        <w:rPr>
          <w:rFonts w:ascii="Arial" w:hAnsi="Arial" w:cs="Arial"/>
          <w:color w:val="000000" w:themeColor="text1"/>
          <w:sz w:val="22"/>
          <w:szCs w:val="22"/>
          <w:lang w:val="en-GB"/>
        </w:rPr>
      </w:pPr>
      <w:r w:rsidRPr="00077B97">
        <w:rPr>
          <w:rFonts w:ascii="Arial" w:hAnsi="Arial" w:cs="Arial"/>
          <w:color w:val="1D1B11" w:themeColor="background2" w:themeShade="1A"/>
          <w:sz w:val="22"/>
          <w:szCs w:val="22"/>
          <w:lang w:val="en-IN" w:eastAsia="en-IN"/>
        </w:rPr>
        <w:t xml:space="preserve">Gov (2023a). Government agrees scope of inquiry into Lucy Letby's crimes. </w:t>
      </w:r>
      <w:r w:rsidRPr="00077B97">
        <w:rPr>
          <w:rFonts w:ascii="Arial" w:hAnsi="Arial" w:cs="Arial"/>
          <w:color w:val="000000" w:themeColor="text1"/>
          <w:sz w:val="22"/>
          <w:szCs w:val="22"/>
          <w:lang w:val="en-GB"/>
        </w:rPr>
        <w:t xml:space="preserve">Available at: </w:t>
      </w:r>
      <w:hyperlink r:id="rId28" w:history="1">
        <w:r w:rsidR="00466887" w:rsidRPr="00077B97">
          <w:rPr>
            <w:rStyle w:val="Hyperlink"/>
            <w:rFonts w:ascii="Arial" w:hAnsi="Arial" w:cs="Arial"/>
            <w:sz w:val="22"/>
            <w:szCs w:val="22"/>
            <w:lang w:val="en-GB"/>
          </w:rPr>
          <w:t>https://www.gov.uk/government/news/government-agrees-scope-of-inquiry-into-lucy-letbys-crimes</w:t>
        </w:r>
      </w:hyperlink>
      <w:r w:rsidR="00466887" w:rsidRPr="00077B97">
        <w:rPr>
          <w:rFonts w:ascii="Arial" w:hAnsi="Arial" w:cs="Arial"/>
          <w:color w:val="000000" w:themeColor="text1"/>
          <w:sz w:val="22"/>
          <w:szCs w:val="22"/>
          <w:lang w:val="en-GB"/>
        </w:rPr>
        <w:t xml:space="preserve">  </w:t>
      </w:r>
      <w:r w:rsidRPr="00077B97">
        <w:rPr>
          <w:rFonts w:ascii="Arial" w:hAnsi="Arial" w:cs="Arial"/>
          <w:color w:val="000000" w:themeColor="text1"/>
          <w:sz w:val="22"/>
          <w:szCs w:val="22"/>
          <w:lang w:val="en-GB"/>
        </w:rPr>
        <w:t>(Accessed: 11 August, 2026)</w:t>
      </w:r>
    </w:p>
    <w:p w14:paraId="3FA7CDD5" w14:textId="0B9DB064" w:rsidR="00F27F3C" w:rsidRPr="00077B97" w:rsidRDefault="00F27F3C" w:rsidP="00F27F3C">
      <w:pPr>
        <w:pStyle w:val="NormalWeb"/>
        <w:spacing w:before="240" w:beforeAutospacing="0" w:after="0" w:afterAutospacing="0" w:line="360" w:lineRule="auto"/>
        <w:jc w:val="both"/>
        <w:rPr>
          <w:rFonts w:ascii="Arial" w:hAnsi="Arial" w:cs="Arial"/>
          <w:color w:val="000000" w:themeColor="text1"/>
          <w:sz w:val="22"/>
          <w:szCs w:val="22"/>
          <w:lang w:val="en-GB"/>
        </w:rPr>
      </w:pPr>
      <w:r w:rsidRPr="00077B97">
        <w:rPr>
          <w:rFonts w:ascii="Arial" w:hAnsi="Arial" w:cs="Arial"/>
          <w:color w:val="1D1B11" w:themeColor="background2" w:themeShade="1A"/>
          <w:sz w:val="22"/>
          <w:szCs w:val="22"/>
          <w:lang w:val="en-IN" w:eastAsia="en-IN"/>
        </w:rPr>
        <w:t xml:space="preserve">Gov (2023b). Thirlwall Inquiry: terms of reference. </w:t>
      </w:r>
      <w:r w:rsidRPr="00077B97">
        <w:rPr>
          <w:rFonts w:ascii="Arial" w:hAnsi="Arial" w:cs="Arial"/>
          <w:color w:val="000000" w:themeColor="text1"/>
          <w:sz w:val="22"/>
          <w:szCs w:val="22"/>
          <w:lang w:val="en-GB"/>
        </w:rPr>
        <w:t xml:space="preserve">Available at: </w:t>
      </w:r>
      <w:hyperlink r:id="rId29" w:history="1">
        <w:r w:rsidR="00466887" w:rsidRPr="00077B97">
          <w:rPr>
            <w:rStyle w:val="Hyperlink"/>
            <w:rFonts w:ascii="Arial" w:hAnsi="Arial" w:cs="Arial"/>
            <w:sz w:val="22"/>
            <w:szCs w:val="22"/>
            <w:lang w:val="en-GB"/>
          </w:rPr>
          <w:t>https://www.gov.uk/government/publications/thirlwall-inquiry-terms-of-reference/thirlwall-inquiry-terms-of-reference</w:t>
        </w:r>
      </w:hyperlink>
      <w:r w:rsidR="00466887" w:rsidRPr="00077B97">
        <w:rPr>
          <w:rFonts w:ascii="Arial" w:hAnsi="Arial" w:cs="Arial"/>
          <w:color w:val="000000" w:themeColor="text1"/>
          <w:sz w:val="22"/>
          <w:szCs w:val="22"/>
          <w:lang w:val="en-GB"/>
        </w:rPr>
        <w:t xml:space="preserve"> </w:t>
      </w:r>
      <w:r w:rsidRPr="00077B97">
        <w:rPr>
          <w:rFonts w:ascii="Arial" w:hAnsi="Arial" w:cs="Arial"/>
          <w:color w:val="000000" w:themeColor="text1"/>
          <w:sz w:val="22"/>
          <w:szCs w:val="22"/>
          <w:lang w:val="en-GB"/>
        </w:rPr>
        <w:t>(Accessed: 11 August, 2026)</w:t>
      </w:r>
    </w:p>
    <w:p w14:paraId="239045DD" w14:textId="43AE46AD" w:rsidR="00F27F3C" w:rsidRPr="00077B97" w:rsidRDefault="00F27F3C" w:rsidP="00F27F3C">
      <w:pPr>
        <w:pStyle w:val="NormalWeb"/>
        <w:spacing w:before="240" w:beforeAutospacing="0" w:after="0" w:afterAutospacing="0" w:line="360" w:lineRule="auto"/>
        <w:jc w:val="both"/>
        <w:rPr>
          <w:rFonts w:ascii="Arial" w:hAnsi="Arial" w:cs="Arial"/>
          <w:color w:val="000000" w:themeColor="text1"/>
          <w:sz w:val="22"/>
          <w:szCs w:val="22"/>
          <w:lang w:val="en-GB"/>
        </w:rPr>
      </w:pPr>
      <w:r w:rsidRPr="00077B97">
        <w:rPr>
          <w:rFonts w:ascii="Arial" w:hAnsi="Arial" w:cs="Arial"/>
          <w:color w:val="1D1B11" w:themeColor="background2" w:themeShade="1A"/>
          <w:sz w:val="22"/>
          <w:szCs w:val="22"/>
          <w:lang w:val="en-IN" w:eastAsia="en-IN"/>
        </w:rPr>
        <w:t xml:space="preserve">Gov (2026). Lucy Letby statutory inquiry: Secretary of State statement. </w:t>
      </w:r>
      <w:r w:rsidRPr="00077B97">
        <w:rPr>
          <w:rFonts w:ascii="Arial" w:hAnsi="Arial" w:cs="Arial"/>
          <w:color w:val="000000" w:themeColor="text1"/>
          <w:sz w:val="22"/>
          <w:szCs w:val="22"/>
          <w:lang w:val="en-GB"/>
        </w:rPr>
        <w:t xml:space="preserve">Available at: </w:t>
      </w:r>
      <w:hyperlink r:id="rId30" w:history="1">
        <w:r w:rsidR="00466887" w:rsidRPr="00077B97">
          <w:rPr>
            <w:rStyle w:val="Hyperlink"/>
            <w:rFonts w:ascii="Arial" w:hAnsi="Arial" w:cs="Arial"/>
            <w:sz w:val="22"/>
            <w:szCs w:val="22"/>
          </w:rPr>
          <w:t>https://www.gov.uk/government/speeches/secretary-of-state-oral-statement-on-lucy-letby-statutory-inquiry</w:t>
        </w:r>
      </w:hyperlink>
      <w:r w:rsidR="00466887" w:rsidRPr="00077B97">
        <w:rPr>
          <w:rFonts w:ascii="Arial" w:hAnsi="Arial" w:cs="Arial"/>
          <w:color w:val="000000" w:themeColor="text1"/>
          <w:sz w:val="22"/>
          <w:szCs w:val="22"/>
          <w:lang w:val="en-GB"/>
        </w:rPr>
        <w:t xml:space="preserve"> </w:t>
      </w:r>
      <w:r w:rsidRPr="00077B97">
        <w:rPr>
          <w:rFonts w:ascii="Arial" w:hAnsi="Arial" w:cs="Arial"/>
          <w:color w:val="000000" w:themeColor="text1"/>
          <w:sz w:val="22"/>
          <w:szCs w:val="22"/>
          <w:lang w:val="en-GB"/>
        </w:rPr>
        <w:t>(Accessed: 11 August, 2026)</w:t>
      </w:r>
    </w:p>
    <w:p w14:paraId="70D4EED2" w14:textId="586271FD" w:rsidR="00F27F3C" w:rsidRPr="00077B97" w:rsidRDefault="00F27F3C" w:rsidP="00F27F3C">
      <w:pPr>
        <w:pStyle w:val="NormalWeb"/>
        <w:spacing w:before="240" w:beforeAutospacing="0" w:after="0" w:afterAutospacing="0" w:line="360" w:lineRule="auto"/>
        <w:jc w:val="both"/>
        <w:rPr>
          <w:rFonts w:ascii="Arial" w:hAnsi="Arial" w:cs="Arial"/>
          <w:color w:val="000000" w:themeColor="text1"/>
          <w:sz w:val="22"/>
          <w:szCs w:val="22"/>
          <w:lang w:val="en-GB"/>
        </w:rPr>
      </w:pPr>
      <w:r w:rsidRPr="00077B97">
        <w:rPr>
          <w:rFonts w:ascii="Arial" w:hAnsi="Arial" w:cs="Arial"/>
          <w:color w:val="000000" w:themeColor="text1"/>
          <w:sz w:val="22"/>
          <w:szCs w:val="22"/>
          <w:lang w:val="en-GB"/>
        </w:rPr>
        <w:t xml:space="preserve">Haq, A.M. and </w:t>
      </w:r>
      <w:proofErr w:type="spellStart"/>
      <w:r w:rsidRPr="00077B97">
        <w:rPr>
          <w:rFonts w:ascii="Arial" w:hAnsi="Arial" w:cs="Arial"/>
          <w:color w:val="000000" w:themeColor="text1"/>
          <w:sz w:val="22"/>
          <w:szCs w:val="22"/>
          <w:lang w:val="en-GB"/>
        </w:rPr>
        <w:t>Roesminingsih</w:t>
      </w:r>
      <w:proofErr w:type="spellEnd"/>
      <w:r w:rsidRPr="00077B97">
        <w:rPr>
          <w:rFonts w:ascii="Arial" w:hAnsi="Arial" w:cs="Arial"/>
          <w:color w:val="000000" w:themeColor="text1"/>
          <w:sz w:val="22"/>
          <w:szCs w:val="22"/>
          <w:lang w:val="en-GB"/>
        </w:rPr>
        <w:t xml:space="preserve">, E., (2024). Situational leadership skills of foundation heads in human resource development for early childhood education. </w:t>
      </w:r>
      <w:proofErr w:type="spellStart"/>
      <w:r w:rsidRPr="00077B97">
        <w:rPr>
          <w:rFonts w:ascii="Arial" w:hAnsi="Arial" w:cs="Arial"/>
          <w:i/>
          <w:iCs/>
          <w:color w:val="000000" w:themeColor="text1"/>
          <w:sz w:val="22"/>
          <w:szCs w:val="22"/>
          <w:lang w:val="en-GB"/>
        </w:rPr>
        <w:t>Munaddhomah</w:t>
      </w:r>
      <w:proofErr w:type="spellEnd"/>
      <w:r w:rsidRPr="00077B97">
        <w:rPr>
          <w:rFonts w:ascii="Arial" w:hAnsi="Arial" w:cs="Arial"/>
          <w:i/>
          <w:iCs/>
          <w:color w:val="000000" w:themeColor="text1"/>
          <w:sz w:val="22"/>
          <w:szCs w:val="22"/>
          <w:lang w:val="en-GB"/>
        </w:rPr>
        <w:t xml:space="preserve">: </w:t>
      </w:r>
      <w:proofErr w:type="spellStart"/>
      <w:r w:rsidRPr="00077B97">
        <w:rPr>
          <w:rFonts w:ascii="Arial" w:hAnsi="Arial" w:cs="Arial"/>
          <w:i/>
          <w:iCs/>
          <w:color w:val="000000" w:themeColor="text1"/>
          <w:sz w:val="22"/>
          <w:szCs w:val="22"/>
          <w:lang w:val="en-GB"/>
        </w:rPr>
        <w:t>Jurnal</w:t>
      </w:r>
      <w:proofErr w:type="spellEnd"/>
      <w:r w:rsidRPr="00077B97">
        <w:rPr>
          <w:rFonts w:ascii="Arial" w:hAnsi="Arial" w:cs="Arial"/>
          <w:i/>
          <w:iCs/>
          <w:color w:val="000000" w:themeColor="text1"/>
          <w:sz w:val="22"/>
          <w:szCs w:val="22"/>
          <w:lang w:val="en-GB"/>
        </w:rPr>
        <w:t xml:space="preserve"> </w:t>
      </w:r>
      <w:proofErr w:type="spellStart"/>
      <w:r w:rsidRPr="00077B97">
        <w:rPr>
          <w:rFonts w:ascii="Arial" w:hAnsi="Arial" w:cs="Arial"/>
          <w:i/>
          <w:iCs/>
          <w:color w:val="000000" w:themeColor="text1"/>
          <w:sz w:val="22"/>
          <w:szCs w:val="22"/>
          <w:lang w:val="en-GB"/>
        </w:rPr>
        <w:t>Manajemen</w:t>
      </w:r>
      <w:proofErr w:type="spellEnd"/>
      <w:r w:rsidRPr="00077B97">
        <w:rPr>
          <w:rFonts w:ascii="Arial" w:hAnsi="Arial" w:cs="Arial"/>
          <w:i/>
          <w:iCs/>
          <w:color w:val="000000" w:themeColor="text1"/>
          <w:sz w:val="22"/>
          <w:szCs w:val="22"/>
          <w:lang w:val="en-GB"/>
        </w:rPr>
        <w:t xml:space="preserve"> </w:t>
      </w:r>
      <w:proofErr w:type="spellStart"/>
      <w:r w:rsidRPr="00077B97">
        <w:rPr>
          <w:rFonts w:ascii="Arial" w:hAnsi="Arial" w:cs="Arial"/>
          <w:i/>
          <w:iCs/>
          <w:color w:val="000000" w:themeColor="text1"/>
          <w:sz w:val="22"/>
          <w:szCs w:val="22"/>
          <w:lang w:val="en-GB"/>
        </w:rPr>
        <w:t>Pendidikan</w:t>
      </w:r>
      <w:proofErr w:type="spellEnd"/>
      <w:r w:rsidRPr="00077B97">
        <w:rPr>
          <w:rFonts w:ascii="Arial" w:hAnsi="Arial" w:cs="Arial"/>
          <w:i/>
          <w:iCs/>
          <w:color w:val="000000" w:themeColor="text1"/>
          <w:sz w:val="22"/>
          <w:szCs w:val="22"/>
          <w:lang w:val="en-GB"/>
        </w:rPr>
        <w:t xml:space="preserve"> Islam</w:t>
      </w:r>
      <w:r w:rsidRPr="00077B97">
        <w:rPr>
          <w:rFonts w:ascii="Arial" w:hAnsi="Arial" w:cs="Arial"/>
          <w:color w:val="000000" w:themeColor="text1"/>
          <w:sz w:val="22"/>
          <w:szCs w:val="22"/>
          <w:lang w:val="en-GB"/>
        </w:rPr>
        <w:t xml:space="preserve">, </w:t>
      </w:r>
      <w:r w:rsidRPr="00077B97">
        <w:rPr>
          <w:rFonts w:ascii="Arial" w:hAnsi="Arial" w:cs="Arial"/>
          <w:i/>
          <w:iCs/>
          <w:color w:val="000000" w:themeColor="text1"/>
          <w:sz w:val="22"/>
          <w:szCs w:val="22"/>
          <w:lang w:val="en-GB"/>
        </w:rPr>
        <w:t>5</w:t>
      </w:r>
      <w:r w:rsidRPr="00077B97">
        <w:rPr>
          <w:rFonts w:ascii="Arial" w:hAnsi="Arial" w:cs="Arial"/>
          <w:color w:val="000000" w:themeColor="text1"/>
          <w:sz w:val="22"/>
          <w:szCs w:val="22"/>
          <w:lang w:val="en-GB"/>
        </w:rPr>
        <w:t>(1), pp.26-40.</w:t>
      </w:r>
      <w:r w:rsidR="00CA6754" w:rsidRPr="00077B97">
        <w:rPr>
          <w:rFonts w:ascii="Arial" w:hAnsi="Arial" w:cs="Arial"/>
          <w:color w:val="000000" w:themeColor="text1"/>
          <w:sz w:val="22"/>
          <w:szCs w:val="22"/>
          <w:lang w:val="en-GB"/>
        </w:rPr>
        <w:t xml:space="preserve"> </w:t>
      </w:r>
      <w:hyperlink r:id="rId31" w:history="1">
        <w:r w:rsidR="00CA6754" w:rsidRPr="00077B97">
          <w:rPr>
            <w:rStyle w:val="Hyperlink"/>
            <w:rFonts w:ascii="Arial" w:hAnsi="Arial" w:cs="Arial"/>
            <w:sz w:val="22"/>
            <w:szCs w:val="22"/>
            <w:lang w:val="en-GB"/>
          </w:rPr>
          <w:t>https://doi.org/10.31538/munaddhomah.v5i1.545</w:t>
        </w:r>
      </w:hyperlink>
      <w:r w:rsidR="00CA6754" w:rsidRPr="00077B97">
        <w:rPr>
          <w:rFonts w:ascii="Arial" w:hAnsi="Arial" w:cs="Arial"/>
          <w:color w:val="000000" w:themeColor="text1"/>
          <w:sz w:val="22"/>
          <w:szCs w:val="22"/>
          <w:lang w:val="en-GB"/>
        </w:rPr>
        <w:t xml:space="preserve"> </w:t>
      </w:r>
    </w:p>
    <w:p w14:paraId="33DAEFB1" w14:textId="4AB1F0D5" w:rsidR="00F27F3C" w:rsidRPr="00077B97" w:rsidRDefault="00F27F3C" w:rsidP="00F27F3C">
      <w:pPr>
        <w:pStyle w:val="NormalWeb"/>
        <w:spacing w:before="240" w:beforeAutospacing="0" w:after="0" w:afterAutospacing="0" w:line="360" w:lineRule="auto"/>
        <w:jc w:val="both"/>
        <w:rPr>
          <w:rFonts w:ascii="Arial" w:hAnsi="Arial" w:cs="Arial"/>
          <w:color w:val="000000" w:themeColor="text1"/>
          <w:sz w:val="22"/>
          <w:szCs w:val="22"/>
          <w:lang w:val="en-GB"/>
        </w:rPr>
      </w:pPr>
      <w:r w:rsidRPr="00077B97">
        <w:rPr>
          <w:rFonts w:ascii="Arial" w:hAnsi="Arial" w:cs="Arial"/>
          <w:color w:val="000000" w:themeColor="text1"/>
          <w:sz w:val="22"/>
          <w:szCs w:val="22"/>
          <w:lang w:val="en-GB"/>
        </w:rPr>
        <w:t xml:space="preserve">Hibbert, P.D., Stewart, S., Wiles, L.K., Braithwaite, J., Runciman, W.B. and Thomas, M.J., (2023). Improving patient safety governance and systems through learning from successes and failures: qualitative surveys and interviews with international experts. </w:t>
      </w:r>
      <w:r w:rsidRPr="00077B97">
        <w:rPr>
          <w:rFonts w:ascii="Arial" w:hAnsi="Arial" w:cs="Arial"/>
          <w:i/>
          <w:iCs/>
          <w:color w:val="000000" w:themeColor="text1"/>
          <w:sz w:val="22"/>
          <w:szCs w:val="22"/>
          <w:lang w:val="en-GB"/>
        </w:rPr>
        <w:t>International Journal for Quality in Health Care</w:t>
      </w:r>
      <w:r w:rsidRPr="00077B97">
        <w:rPr>
          <w:rFonts w:ascii="Arial" w:hAnsi="Arial" w:cs="Arial"/>
          <w:color w:val="000000" w:themeColor="text1"/>
          <w:sz w:val="22"/>
          <w:szCs w:val="22"/>
          <w:lang w:val="en-GB"/>
        </w:rPr>
        <w:t xml:space="preserve">, </w:t>
      </w:r>
      <w:r w:rsidRPr="00077B97">
        <w:rPr>
          <w:rFonts w:ascii="Arial" w:hAnsi="Arial" w:cs="Arial"/>
          <w:i/>
          <w:iCs/>
          <w:color w:val="000000" w:themeColor="text1"/>
          <w:sz w:val="22"/>
          <w:szCs w:val="22"/>
          <w:lang w:val="en-GB"/>
        </w:rPr>
        <w:t>35</w:t>
      </w:r>
      <w:r w:rsidRPr="00077B97">
        <w:rPr>
          <w:rFonts w:ascii="Arial" w:hAnsi="Arial" w:cs="Arial"/>
          <w:color w:val="000000" w:themeColor="text1"/>
          <w:sz w:val="22"/>
          <w:szCs w:val="22"/>
          <w:lang w:val="en-GB"/>
        </w:rPr>
        <w:t>(4), p.0.</w:t>
      </w:r>
      <w:r w:rsidR="00CA6754" w:rsidRPr="00077B97">
        <w:rPr>
          <w:rFonts w:ascii="Arial" w:hAnsi="Arial" w:cs="Arial"/>
          <w:color w:val="000000" w:themeColor="text1"/>
          <w:sz w:val="22"/>
          <w:szCs w:val="22"/>
          <w:lang w:val="en-GB"/>
        </w:rPr>
        <w:t xml:space="preserve"> </w:t>
      </w:r>
      <w:hyperlink r:id="rId32" w:history="1">
        <w:r w:rsidR="00CA6754" w:rsidRPr="00077B97">
          <w:rPr>
            <w:rStyle w:val="Hyperlink"/>
            <w:rFonts w:ascii="Arial" w:hAnsi="Arial" w:cs="Arial"/>
            <w:sz w:val="22"/>
            <w:szCs w:val="22"/>
            <w:lang w:val="en-GB"/>
          </w:rPr>
          <w:t>https://doi.org/10.1093/intqhc/mzad088</w:t>
        </w:r>
      </w:hyperlink>
      <w:r w:rsidR="00CA6754" w:rsidRPr="00077B97">
        <w:rPr>
          <w:rFonts w:ascii="Arial" w:hAnsi="Arial" w:cs="Arial"/>
          <w:color w:val="000000" w:themeColor="text1"/>
          <w:sz w:val="22"/>
          <w:szCs w:val="22"/>
          <w:lang w:val="en-GB"/>
        </w:rPr>
        <w:t xml:space="preserve"> </w:t>
      </w:r>
      <w:r w:rsidRPr="00077B97">
        <w:rPr>
          <w:rFonts w:ascii="Arial" w:hAnsi="Arial" w:cs="Arial"/>
          <w:color w:val="000000" w:themeColor="text1"/>
          <w:sz w:val="22"/>
          <w:szCs w:val="22"/>
          <w:lang w:val="en-GB"/>
        </w:rPr>
        <w:t xml:space="preserve"> </w:t>
      </w:r>
    </w:p>
    <w:p w14:paraId="712A2773" w14:textId="471E4B8B" w:rsidR="00F27F3C" w:rsidRPr="00077B97" w:rsidRDefault="00F27F3C" w:rsidP="00F27F3C">
      <w:pPr>
        <w:spacing w:before="240" w:line="360" w:lineRule="auto"/>
        <w:jc w:val="both"/>
        <w:rPr>
          <w:color w:val="1D1B11" w:themeColor="background2" w:themeShade="1A"/>
          <w:shd w:val="clear" w:color="auto" w:fill="FFFFFF"/>
        </w:rPr>
      </w:pPr>
      <w:r w:rsidRPr="00077B97">
        <w:rPr>
          <w:color w:val="1D1B11" w:themeColor="background2" w:themeShade="1A"/>
          <w:shd w:val="clear" w:color="auto" w:fill="FFFFFF"/>
        </w:rPr>
        <w:t xml:space="preserve">Khairi, A., </w:t>
      </w:r>
      <w:proofErr w:type="spellStart"/>
      <w:r w:rsidRPr="00077B97">
        <w:rPr>
          <w:color w:val="1D1B11" w:themeColor="background2" w:themeShade="1A"/>
          <w:shd w:val="clear" w:color="auto" w:fill="FFFFFF"/>
        </w:rPr>
        <w:t>Subakti</w:t>
      </w:r>
      <w:proofErr w:type="spellEnd"/>
      <w:r w:rsidRPr="00077B97">
        <w:rPr>
          <w:color w:val="1D1B11" w:themeColor="background2" w:themeShade="1A"/>
          <w:shd w:val="clear" w:color="auto" w:fill="FFFFFF"/>
        </w:rPr>
        <w:t xml:space="preserve">, I.A. and </w:t>
      </w:r>
      <w:proofErr w:type="spellStart"/>
      <w:r w:rsidRPr="00077B97">
        <w:rPr>
          <w:color w:val="1D1B11" w:themeColor="background2" w:themeShade="1A"/>
          <w:shd w:val="clear" w:color="auto" w:fill="FFFFFF"/>
        </w:rPr>
        <w:t>Ansori</w:t>
      </w:r>
      <w:proofErr w:type="spellEnd"/>
      <w:r w:rsidRPr="00077B97">
        <w:rPr>
          <w:color w:val="1D1B11" w:themeColor="background2" w:themeShade="1A"/>
          <w:shd w:val="clear" w:color="auto" w:fill="FFFFFF"/>
        </w:rPr>
        <w:t xml:space="preserve">, A. (2025). </w:t>
      </w:r>
      <w:proofErr w:type="spellStart"/>
      <w:r w:rsidRPr="00077B97">
        <w:rPr>
          <w:color w:val="1D1B11" w:themeColor="background2" w:themeShade="1A"/>
          <w:shd w:val="clear" w:color="auto" w:fill="FFFFFF"/>
        </w:rPr>
        <w:t>Penerapan</w:t>
      </w:r>
      <w:proofErr w:type="spellEnd"/>
      <w:r w:rsidRPr="00077B97">
        <w:rPr>
          <w:color w:val="1D1B11" w:themeColor="background2" w:themeShade="1A"/>
          <w:shd w:val="clear" w:color="auto" w:fill="FFFFFF"/>
        </w:rPr>
        <w:t xml:space="preserve"> </w:t>
      </w:r>
      <w:proofErr w:type="spellStart"/>
      <w:r w:rsidRPr="00077B97">
        <w:rPr>
          <w:color w:val="1D1B11" w:themeColor="background2" w:themeShade="1A"/>
          <w:shd w:val="clear" w:color="auto" w:fill="FFFFFF"/>
        </w:rPr>
        <w:t>Siklus</w:t>
      </w:r>
      <w:proofErr w:type="spellEnd"/>
      <w:r w:rsidRPr="00077B97">
        <w:rPr>
          <w:color w:val="1D1B11" w:themeColor="background2" w:themeShade="1A"/>
          <w:shd w:val="clear" w:color="auto" w:fill="FFFFFF"/>
        </w:rPr>
        <w:t xml:space="preserve"> Plan, Do, Check, Act (PDCA) </w:t>
      </w:r>
      <w:proofErr w:type="spellStart"/>
      <w:r w:rsidRPr="00077B97">
        <w:rPr>
          <w:color w:val="1D1B11" w:themeColor="background2" w:themeShade="1A"/>
          <w:shd w:val="clear" w:color="auto" w:fill="FFFFFF"/>
        </w:rPr>
        <w:t>dalam</w:t>
      </w:r>
      <w:proofErr w:type="spellEnd"/>
      <w:r w:rsidRPr="00077B97">
        <w:rPr>
          <w:color w:val="1D1B11" w:themeColor="background2" w:themeShade="1A"/>
          <w:shd w:val="clear" w:color="auto" w:fill="FFFFFF"/>
        </w:rPr>
        <w:t xml:space="preserve"> </w:t>
      </w:r>
      <w:proofErr w:type="spellStart"/>
      <w:r w:rsidRPr="00077B97">
        <w:rPr>
          <w:color w:val="1D1B11" w:themeColor="background2" w:themeShade="1A"/>
          <w:shd w:val="clear" w:color="auto" w:fill="FFFFFF"/>
        </w:rPr>
        <w:t>Manajemen</w:t>
      </w:r>
      <w:proofErr w:type="spellEnd"/>
      <w:r w:rsidRPr="00077B97">
        <w:rPr>
          <w:color w:val="1D1B11" w:themeColor="background2" w:themeShade="1A"/>
          <w:shd w:val="clear" w:color="auto" w:fill="FFFFFF"/>
        </w:rPr>
        <w:t xml:space="preserve"> Event. </w:t>
      </w:r>
      <w:r w:rsidRPr="00077B97">
        <w:rPr>
          <w:i/>
          <w:iCs/>
          <w:color w:val="1D1B11" w:themeColor="background2" w:themeShade="1A"/>
          <w:shd w:val="clear" w:color="auto" w:fill="FFFFFF"/>
        </w:rPr>
        <w:t xml:space="preserve">Edu Society: </w:t>
      </w:r>
      <w:proofErr w:type="spellStart"/>
      <w:r w:rsidRPr="00077B97">
        <w:rPr>
          <w:i/>
          <w:iCs/>
          <w:color w:val="1D1B11" w:themeColor="background2" w:themeShade="1A"/>
          <w:shd w:val="clear" w:color="auto" w:fill="FFFFFF"/>
        </w:rPr>
        <w:t>Jurnal</w:t>
      </w:r>
      <w:proofErr w:type="spellEnd"/>
      <w:r w:rsidRPr="00077B97">
        <w:rPr>
          <w:i/>
          <w:iCs/>
          <w:color w:val="1D1B11" w:themeColor="background2" w:themeShade="1A"/>
          <w:shd w:val="clear" w:color="auto" w:fill="FFFFFF"/>
        </w:rPr>
        <w:t xml:space="preserve"> </w:t>
      </w:r>
      <w:proofErr w:type="spellStart"/>
      <w:r w:rsidRPr="00077B97">
        <w:rPr>
          <w:i/>
          <w:iCs/>
          <w:color w:val="1D1B11" w:themeColor="background2" w:themeShade="1A"/>
          <w:shd w:val="clear" w:color="auto" w:fill="FFFFFF"/>
        </w:rPr>
        <w:t>Pendidikan</w:t>
      </w:r>
      <w:proofErr w:type="spellEnd"/>
      <w:r w:rsidRPr="00077B97">
        <w:rPr>
          <w:i/>
          <w:iCs/>
          <w:color w:val="1D1B11" w:themeColor="background2" w:themeShade="1A"/>
          <w:shd w:val="clear" w:color="auto" w:fill="FFFFFF"/>
        </w:rPr>
        <w:t xml:space="preserve">, </w:t>
      </w:r>
      <w:proofErr w:type="spellStart"/>
      <w:r w:rsidRPr="00077B97">
        <w:rPr>
          <w:i/>
          <w:iCs/>
          <w:color w:val="1D1B11" w:themeColor="background2" w:themeShade="1A"/>
          <w:shd w:val="clear" w:color="auto" w:fill="FFFFFF"/>
        </w:rPr>
        <w:t>Ilmu</w:t>
      </w:r>
      <w:proofErr w:type="spellEnd"/>
      <w:r w:rsidRPr="00077B97">
        <w:rPr>
          <w:i/>
          <w:iCs/>
          <w:color w:val="1D1B11" w:themeColor="background2" w:themeShade="1A"/>
          <w:shd w:val="clear" w:color="auto" w:fill="FFFFFF"/>
        </w:rPr>
        <w:t xml:space="preserve"> </w:t>
      </w:r>
      <w:proofErr w:type="spellStart"/>
      <w:r w:rsidRPr="00077B97">
        <w:rPr>
          <w:i/>
          <w:iCs/>
          <w:color w:val="1D1B11" w:themeColor="background2" w:themeShade="1A"/>
          <w:shd w:val="clear" w:color="auto" w:fill="FFFFFF"/>
        </w:rPr>
        <w:t>Sosial</w:t>
      </w:r>
      <w:proofErr w:type="spellEnd"/>
      <w:r w:rsidRPr="00077B97">
        <w:rPr>
          <w:i/>
          <w:iCs/>
          <w:color w:val="1D1B11" w:themeColor="background2" w:themeShade="1A"/>
          <w:shd w:val="clear" w:color="auto" w:fill="FFFFFF"/>
        </w:rPr>
        <w:t xml:space="preserve"> Dan </w:t>
      </w:r>
      <w:proofErr w:type="spellStart"/>
      <w:r w:rsidRPr="00077B97">
        <w:rPr>
          <w:i/>
          <w:iCs/>
          <w:color w:val="1D1B11" w:themeColor="background2" w:themeShade="1A"/>
          <w:shd w:val="clear" w:color="auto" w:fill="FFFFFF"/>
        </w:rPr>
        <w:t>Pengabdian</w:t>
      </w:r>
      <w:proofErr w:type="spellEnd"/>
      <w:r w:rsidRPr="00077B97">
        <w:rPr>
          <w:i/>
          <w:iCs/>
          <w:color w:val="1D1B11" w:themeColor="background2" w:themeShade="1A"/>
          <w:shd w:val="clear" w:color="auto" w:fill="FFFFFF"/>
        </w:rPr>
        <w:t xml:space="preserve"> </w:t>
      </w:r>
      <w:proofErr w:type="spellStart"/>
      <w:r w:rsidRPr="00077B97">
        <w:rPr>
          <w:i/>
          <w:iCs/>
          <w:color w:val="1D1B11" w:themeColor="background2" w:themeShade="1A"/>
          <w:shd w:val="clear" w:color="auto" w:fill="FFFFFF"/>
        </w:rPr>
        <w:t>Kepada</w:t>
      </w:r>
      <w:proofErr w:type="spellEnd"/>
      <w:r w:rsidRPr="00077B97">
        <w:rPr>
          <w:i/>
          <w:iCs/>
          <w:color w:val="1D1B11" w:themeColor="background2" w:themeShade="1A"/>
          <w:shd w:val="clear" w:color="auto" w:fill="FFFFFF"/>
        </w:rPr>
        <w:t xml:space="preserve"> </w:t>
      </w:r>
      <w:proofErr w:type="spellStart"/>
      <w:r w:rsidRPr="00077B97">
        <w:rPr>
          <w:i/>
          <w:iCs/>
          <w:color w:val="1D1B11" w:themeColor="background2" w:themeShade="1A"/>
          <w:shd w:val="clear" w:color="auto" w:fill="FFFFFF"/>
        </w:rPr>
        <w:t>Masyarakat</w:t>
      </w:r>
      <w:proofErr w:type="spellEnd"/>
      <w:r w:rsidRPr="00077B97">
        <w:rPr>
          <w:color w:val="1D1B11" w:themeColor="background2" w:themeShade="1A"/>
          <w:shd w:val="clear" w:color="auto" w:fill="FFFFFF"/>
        </w:rPr>
        <w:t>, </w:t>
      </w:r>
      <w:r w:rsidRPr="00077B97">
        <w:rPr>
          <w:i/>
          <w:iCs/>
          <w:color w:val="1D1B11" w:themeColor="background2" w:themeShade="1A"/>
          <w:shd w:val="clear" w:color="auto" w:fill="FFFFFF"/>
        </w:rPr>
        <w:t>5</w:t>
      </w:r>
      <w:r w:rsidRPr="00077B97">
        <w:rPr>
          <w:color w:val="1D1B11" w:themeColor="background2" w:themeShade="1A"/>
          <w:shd w:val="clear" w:color="auto" w:fill="FFFFFF"/>
        </w:rPr>
        <w:t>(3), pp.1019-1030.</w:t>
      </w:r>
      <w:r w:rsidR="00CA6754" w:rsidRPr="00077B97">
        <w:rPr>
          <w:color w:val="1D1B11" w:themeColor="background2" w:themeShade="1A"/>
          <w:shd w:val="clear" w:color="auto" w:fill="FFFFFF"/>
        </w:rPr>
        <w:t xml:space="preserve"> </w:t>
      </w:r>
      <w:hyperlink r:id="rId33" w:history="1">
        <w:r w:rsidR="00CA6754" w:rsidRPr="00077B97">
          <w:rPr>
            <w:rStyle w:val="Hyperlink"/>
            <w:shd w:val="clear" w:color="auto" w:fill="FFFFFF"/>
          </w:rPr>
          <w:t>https://doi.org/10.56832/edu.v5i3.2231</w:t>
        </w:r>
      </w:hyperlink>
      <w:r w:rsidR="00CA6754" w:rsidRPr="00077B97">
        <w:rPr>
          <w:color w:val="1D1B11" w:themeColor="background2" w:themeShade="1A"/>
          <w:shd w:val="clear" w:color="auto" w:fill="FFFFFF"/>
        </w:rPr>
        <w:t xml:space="preserve"> </w:t>
      </w:r>
    </w:p>
    <w:p w14:paraId="793851EC" w14:textId="4BDCE5BE" w:rsidR="00F27F3C" w:rsidRPr="00077B97" w:rsidRDefault="00F27F3C" w:rsidP="00F27F3C">
      <w:pPr>
        <w:pStyle w:val="NormalWeb"/>
        <w:spacing w:before="240" w:beforeAutospacing="0" w:after="0" w:afterAutospacing="0" w:line="360" w:lineRule="auto"/>
        <w:jc w:val="both"/>
        <w:rPr>
          <w:rFonts w:ascii="Arial" w:hAnsi="Arial" w:cs="Arial"/>
          <w:color w:val="000000" w:themeColor="text1"/>
          <w:sz w:val="22"/>
          <w:szCs w:val="22"/>
          <w:lang w:val="en-GB"/>
        </w:rPr>
      </w:pPr>
      <w:r w:rsidRPr="00077B97">
        <w:rPr>
          <w:rFonts w:ascii="Arial" w:hAnsi="Arial" w:cs="Arial"/>
          <w:color w:val="000000" w:themeColor="text1"/>
          <w:sz w:val="22"/>
          <w:szCs w:val="22"/>
          <w:lang w:val="en-GB"/>
        </w:rPr>
        <w:t xml:space="preserve">Kumah, A., Nwogu, C.N., Issah, A.R., Obot, E., </w:t>
      </w:r>
      <w:proofErr w:type="spellStart"/>
      <w:r w:rsidRPr="00077B97">
        <w:rPr>
          <w:rFonts w:ascii="Arial" w:hAnsi="Arial" w:cs="Arial"/>
          <w:color w:val="000000" w:themeColor="text1"/>
          <w:sz w:val="22"/>
          <w:szCs w:val="22"/>
          <w:lang w:val="en-GB"/>
        </w:rPr>
        <w:t>Kanamitie</w:t>
      </w:r>
      <w:proofErr w:type="spellEnd"/>
      <w:r w:rsidRPr="00077B97">
        <w:rPr>
          <w:rFonts w:ascii="Arial" w:hAnsi="Arial" w:cs="Arial"/>
          <w:color w:val="000000" w:themeColor="text1"/>
          <w:sz w:val="22"/>
          <w:szCs w:val="22"/>
          <w:lang w:val="en-GB"/>
        </w:rPr>
        <w:t xml:space="preserve">, D.T., </w:t>
      </w:r>
      <w:proofErr w:type="spellStart"/>
      <w:r w:rsidRPr="00077B97">
        <w:rPr>
          <w:rFonts w:ascii="Arial" w:hAnsi="Arial" w:cs="Arial"/>
          <w:color w:val="000000" w:themeColor="text1"/>
          <w:sz w:val="22"/>
          <w:szCs w:val="22"/>
          <w:lang w:val="en-GB"/>
        </w:rPr>
        <w:t>Sifa</w:t>
      </w:r>
      <w:proofErr w:type="spellEnd"/>
      <w:r w:rsidRPr="00077B97">
        <w:rPr>
          <w:rFonts w:ascii="Arial" w:hAnsi="Arial" w:cs="Arial"/>
          <w:color w:val="000000" w:themeColor="text1"/>
          <w:sz w:val="22"/>
          <w:szCs w:val="22"/>
          <w:lang w:val="en-GB"/>
        </w:rPr>
        <w:t xml:space="preserve">, J.S. and Aidoo, L.A., (2024). Cause-and-effect (fishbone) diagram: a tool for generating and organizing quality improvement ideas. </w:t>
      </w:r>
      <w:r w:rsidRPr="00077B97">
        <w:rPr>
          <w:rFonts w:ascii="Arial" w:hAnsi="Arial" w:cs="Arial"/>
          <w:i/>
          <w:iCs/>
          <w:color w:val="000000" w:themeColor="text1"/>
          <w:sz w:val="22"/>
          <w:szCs w:val="22"/>
          <w:lang w:val="en-GB"/>
        </w:rPr>
        <w:t>Global journal on quality and safety in healthcare</w:t>
      </w:r>
      <w:r w:rsidRPr="00077B97">
        <w:rPr>
          <w:rFonts w:ascii="Arial" w:hAnsi="Arial" w:cs="Arial"/>
          <w:color w:val="000000" w:themeColor="text1"/>
          <w:sz w:val="22"/>
          <w:szCs w:val="22"/>
          <w:lang w:val="en-GB"/>
        </w:rPr>
        <w:t xml:space="preserve">, </w:t>
      </w:r>
      <w:r w:rsidRPr="00077B97">
        <w:rPr>
          <w:rFonts w:ascii="Arial" w:hAnsi="Arial" w:cs="Arial"/>
          <w:i/>
          <w:iCs/>
          <w:color w:val="000000" w:themeColor="text1"/>
          <w:sz w:val="22"/>
          <w:szCs w:val="22"/>
          <w:lang w:val="en-GB"/>
        </w:rPr>
        <w:t>7</w:t>
      </w:r>
      <w:r w:rsidRPr="00077B97">
        <w:rPr>
          <w:rFonts w:ascii="Arial" w:hAnsi="Arial" w:cs="Arial"/>
          <w:color w:val="000000" w:themeColor="text1"/>
          <w:sz w:val="22"/>
          <w:szCs w:val="22"/>
          <w:lang w:val="en-GB"/>
        </w:rPr>
        <w:t>(2), pp.85-87.</w:t>
      </w:r>
      <w:r w:rsidR="00CA6754" w:rsidRPr="00077B97">
        <w:rPr>
          <w:rFonts w:ascii="Arial" w:hAnsi="Arial" w:cs="Arial"/>
          <w:color w:val="000000" w:themeColor="text1"/>
          <w:sz w:val="22"/>
          <w:szCs w:val="22"/>
          <w:lang w:val="en-GB"/>
        </w:rPr>
        <w:t xml:space="preserve"> </w:t>
      </w:r>
      <w:hyperlink r:id="rId34" w:history="1">
        <w:r w:rsidR="00CA6754" w:rsidRPr="00077B97">
          <w:rPr>
            <w:rStyle w:val="Hyperlink"/>
            <w:rFonts w:ascii="Arial" w:hAnsi="Arial" w:cs="Arial"/>
            <w:sz w:val="22"/>
            <w:szCs w:val="22"/>
            <w:lang w:val="en-GB"/>
          </w:rPr>
          <w:t>https://doi.org/10.36401/jqsh-23-42</w:t>
        </w:r>
      </w:hyperlink>
      <w:r w:rsidR="00CA6754" w:rsidRPr="00077B97">
        <w:rPr>
          <w:rFonts w:ascii="Arial" w:hAnsi="Arial" w:cs="Arial"/>
          <w:color w:val="000000" w:themeColor="text1"/>
          <w:sz w:val="22"/>
          <w:szCs w:val="22"/>
          <w:lang w:val="en-GB"/>
        </w:rPr>
        <w:t xml:space="preserve"> </w:t>
      </w:r>
    </w:p>
    <w:p w14:paraId="00ABC15A" w14:textId="1A60D716" w:rsidR="00F27F3C" w:rsidRPr="00077B97" w:rsidRDefault="00F27F3C" w:rsidP="00F27F3C">
      <w:pPr>
        <w:pStyle w:val="NormalWeb"/>
        <w:spacing w:before="240" w:beforeAutospacing="0" w:after="0" w:afterAutospacing="0" w:line="360" w:lineRule="auto"/>
        <w:jc w:val="both"/>
        <w:rPr>
          <w:rFonts w:ascii="Arial" w:hAnsi="Arial" w:cs="Arial"/>
          <w:color w:val="000000" w:themeColor="text1"/>
          <w:sz w:val="22"/>
          <w:szCs w:val="22"/>
          <w:lang w:val="en-GB"/>
        </w:rPr>
      </w:pPr>
      <w:r w:rsidRPr="00077B97">
        <w:rPr>
          <w:rFonts w:ascii="Arial" w:hAnsi="Arial" w:cs="Arial"/>
          <w:color w:val="000000" w:themeColor="text1"/>
          <w:sz w:val="22"/>
          <w:szCs w:val="22"/>
          <w:lang w:val="en-GB"/>
        </w:rPr>
        <w:t xml:space="preserve">McCullough, K., Andrew, L., </w:t>
      </w:r>
      <w:proofErr w:type="spellStart"/>
      <w:r w:rsidRPr="00077B97">
        <w:rPr>
          <w:rFonts w:ascii="Arial" w:hAnsi="Arial" w:cs="Arial"/>
          <w:color w:val="000000" w:themeColor="text1"/>
          <w:sz w:val="22"/>
          <w:szCs w:val="22"/>
          <w:lang w:val="en-GB"/>
        </w:rPr>
        <w:t>Genoni</w:t>
      </w:r>
      <w:proofErr w:type="spellEnd"/>
      <w:r w:rsidRPr="00077B97">
        <w:rPr>
          <w:rFonts w:ascii="Arial" w:hAnsi="Arial" w:cs="Arial"/>
          <w:color w:val="000000" w:themeColor="text1"/>
          <w:sz w:val="22"/>
          <w:szCs w:val="22"/>
          <w:lang w:val="en-GB"/>
        </w:rPr>
        <w:t xml:space="preserve">, A., Dunham, M., Whitehead, L. and </w:t>
      </w:r>
      <w:proofErr w:type="spellStart"/>
      <w:r w:rsidRPr="00077B97">
        <w:rPr>
          <w:rFonts w:ascii="Arial" w:hAnsi="Arial" w:cs="Arial"/>
          <w:color w:val="000000" w:themeColor="text1"/>
          <w:sz w:val="22"/>
          <w:szCs w:val="22"/>
          <w:lang w:val="en-GB"/>
        </w:rPr>
        <w:t>Porock</w:t>
      </w:r>
      <w:proofErr w:type="spellEnd"/>
      <w:r w:rsidRPr="00077B97">
        <w:rPr>
          <w:rFonts w:ascii="Arial" w:hAnsi="Arial" w:cs="Arial"/>
          <w:color w:val="000000" w:themeColor="text1"/>
          <w:sz w:val="22"/>
          <w:szCs w:val="22"/>
          <w:lang w:val="en-GB"/>
        </w:rPr>
        <w:t xml:space="preserve">, D., (2023). An examination of primary health care nursing service evaluation using the Donabedian model: A systematic review. </w:t>
      </w:r>
      <w:r w:rsidRPr="00077B97">
        <w:rPr>
          <w:rFonts w:ascii="Arial" w:hAnsi="Arial" w:cs="Arial"/>
          <w:i/>
          <w:iCs/>
          <w:color w:val="000000" w:themeColor="text1"/>
          <w:sz w:val="22"/>
          <w:szCs w:val="22"/>
          <w:lang w:val="en-GB"/>
        </w:rPr>
        <w:t>Research in nursing &amp; health</w:t>
      </w:r>
      <w:r w:rsidRPr="00077B97">
        <w:rPr>
          <w:rFonts w:ascii="Arial" w:hAnsi="Arial" w:cs="Arial"/>
          <w:color w:val="000000" w:themeColor="text1"/>
          <w:sz w:val="22"/>
          <w:szCs w:val="22"/>
          <w:lang w:val="en-GB"/>
        </w:rPr>
        <w:t xml:space="preserve">, </w:t>
      </w:r>
      <w:r w:rsidRPr="00077B97">
        <w:rPr>
          <w:rFonts w:ascii="Arial" w:hAnsi="Arial" w:cs="Arial"/>
          <w:i/>
          <w:iCs/>
          <w:color w:val="000000" w:themeColor="text1"/>
          <w:sz w:val="22"/>
          <w:szCs w:val="22"/>
          <w:lang w:val="en-GB"/>
        </w:rPr>
        <w:t>46</w:t>
      </w:r>
      <w:r w:rsidRPr="00077B97">
        <w:rPr>
          <w:rFonts w:ascii="Arial" w:hAnsi="Arial" w:cs="Arial"/>
          <w:color w:val="000000" w:themeColor="text1"/>
          <w:sz w:val="22"/>
          <w:szCs w:val="22"/>
          <w:lang w:val="en-GB"/>
        </w:rPr>
        <w:t>(1), pp.159-176.</w:t>
      </w:r>
      <w:r w:rsidR="00CA6754" w:rsidRPr="00077B97">
        <w:rPr>
          <w:rFonts w:ascii="Arial" w:hAnsi="Arial" w:cs="Arial"/>
          <w:color w:val="000000" w:themeColor="text1"/>
          <w:sz w:val="22"/>
          <w:szCs w:val="22"/>
          <w:lang w:val="en-GB"/>
        </w:rPr>
        <w:t xml:space="preserve"> </w:t>
      </w:r>
      <w:hyperlink r:id="rId35" w:history="1">
        <w:r w:rsidR="00CA6754" w:rsidRPr="00077B97">
          <w:rPr>
            <w:rStyle w:val="Hyperlink"/>
            <w:rFonts w:ascii="Arial" w:hAnsi="Arial" w:cs="Arial"/>
            <w:sz w:val="22"/>
            <w:szCs w:val="22"/>
            <w:lang w:val="en-GB"/>
          </w:rPr>
          <w:t>https://doi.org/10.1002/nur.22291</w:t>
        </w:r>
      </w:hyperlink>
      <w:r w:rsidR="00CA6754" w:rsidRPr="00077B97">
        <w:rPr>
          <w:rFonts w:ascii="Arial" w:hAnsi="Arial" w:cs="Arial"/>
          <w:color w:val="000000" w:themeColor="text1"/>
          <w:sz w:val="22"/>
          <w:szCs w:val="22"/>
          <w:lang w:val="en-GB"/>
        </w:rPr>
        <w:t xml:space="preserve"> </w:t>
      </w:r>
    </w:p>
    <w:p w14:paraId="58253B7D" w14:textId="0EDFF60B" w:rsidR="00F27F3C" w:rsidRPr="00077B97" w:rsidRDefault="00F27F3C" w:rsidP="00F27F3C">
      <w:pPr>
        <w:pStyle w:val="NormalWeb"/>
        <w:spacing w:before="240" w:beforeAutospacing="0" w:after="0" w:afterAutospacing="0" w:line="360" w:lineRule="auto"/>
        <w:jc w:val="both"/>
        <w:rPr>
          <w:rFonts w:ascii="Arial" w:hAnsi="Arial" w:cs="Arial"/>
          <w:color w:val="000000" w:themeColor="text1"/>
          <w:sz w:val="22"/>
          <w:szCs w:val="22"/>
          <w:lang w:val="en-GB"/>
        </w:rPr>
      </w:pPr>
      <w:r w:rsidRPr="00077B97">
        <w:rPr>
          <w:rFonts w:ascii="Arial" w:hAnsi="Arial" w:cs="Arial"/>
          <w:color w:val="000000" w:themeColor="text1"/>
          <w:sz w:val="22"/>
          <w:szCs w:val="22"/>
          <w:lang w:val="en-GB"/>
        </w:rPr>
        <w:t xml:space="preserve">Mukti, P. and </w:t>
      </w:r>
      <w:proofErr w:type="spellStart"/>
      <w:r w:rsidRPr="00077B97">
        <w:rPr>
          <w:rFonts w:ascii="Arial" w:hAnsi="Arial" w:cs="Arial"/>
          <w:color w:val="000000" w:themeColor="text1"/>
          <w:sz w:val="22"/>
          <w:szCs w:val="22"/>
          <w:lang w:val="en-GB"/>
        </w:rPr>
        <w:t>Rochmoeljati</w:t>
      </w:r>
      <w:proofErr w:type="spellEnd"/>
      <w:r w:rsidRPr="00077B97">
        <w:rPr>
          <w:rFonts w:ascii="Arial" w:hAnsi="Arial" w:cs="Arial"/>
          <w:color w:val="000000" w:themeColor="text1"/>
          <w:sz w:val="22"/>
          <w:szCs w:val="22"/>
          <w:lang w:val="en-GB"/>
        </w:rPr>
        <w:t xml:space="preserve">, R., (2026). Analysis of Time Waste in Healthcare Services Using Lean Healthcare and the 5 Whys Root Cause Analysis: Case Study Neurology Outpatient Clinic at Dr. Darsono Regional General Hospital, </w:t>
      </w:r>
      <w:proofErr w:type="spellStart"/>
      <w:r w:rsidRPr="00077B97">
        <w:rPr>
          <w:rFonts w:ascii="Arial" w:hAnsi="Arial" w:cs="Arial"/>
          <w:color w:val="000000" w:themeColor="text1"/>
          <w:sz w:val="22"/>
          <w:szCs w:val="22"/>
          <w:lang w:val="en-GB"/>
        </w:rPr>
        <w:t>Pacitan</w:t>
      </w:r>
      <w:proofErr w:type="spellEnd"/>
      <w:r w:rsidRPr="00077B97">
        <w:rPr>
          <w:rFonts w:ascii="Arial" w:hAnsi="Arial" w:cs="Arial"/>
          <w:color w:val="000000" w:themeColor="text1"/>
          <w:sz w:val="22"/>
          <w:szCs w:val="22"/>
          <w:lang w:val="en-GB"/>
        </w:rPr>
        <w:t xml:space="preserve">. </w:t>
      </w:r>
      <w:r w:rsidRPr="00077B97">
        <w:rPr>
          <w:rFonts w:ascii="Arial" w:hAnsi="Arial" w:cs="Arial"/>
          <w:i/>
          <w:iCs/>
          <w:color w:val="000000" w:themeColor="text1"/>
          <w:sz w:val="22"/>
          <w:szCs w:val="22"/>
          <w:lang w:val="en-GB"/>
        </w:rPr>
        <w:t>Golden Ratio of Mapping Idea and Literature Format</w:t>
      </w:r>
      <w:r w:rsidRPr="00077B97">
        <w:rPr>
          <w:rFonts w:ascii="Arial" w:hAnsi="Arial" w:cs="Arial"/>
          <w:color w:val="000000" w:themeColor="text1"/>
          <w:sz w:val="22"/>
          <w:szCs w:val="22"/>
          <w:lang w:val="en-GB"/>
        </w:rPr>
        <w:t xml:space="preserve">, </w:t>
      </w:r>
      <w:r w:rsidRPr="00077B97">
        <w:rPr>
          <w:rFonts w:ascii="Arial" w:hAnsi="Arial" w:cs="Arial"/>
          <w:i/>
          <w:iCs/>
          <w:color w:val="000000" w:themeColor="text1"/>
          <w:sz w:val="22"/>
          <w:szCs w:val="22"/>
          <w:lang w:val="en-GB"/>
        </w:rPr>
        <w:t>6</w:t>
      </w:r>
      <w:r w:rsidRPr="00077B97">
        <w:rPr>
          <w:rFonts w:ascii="Arial" w:hAnsi="Arial" w:cs="Arial"/>
          <w:color w:val="000000" w:themeColor="text1"/>
          <w:sz w:val="22"/>
          <w:szCs w:val="22"/>
          <w:lang w:val="en-GB"/>
        </w:rPr>
        <w:t>(2), pp.1871-1889.</w:t>
      </w:r>
      <w:r w:rsidR="00CA6754" w:rsidRPr="00077B97">
        <w:rPr>
          <w:rFonts w:ascii="Arial" w:hAnsi="Arial" w:cs="Arial"/>
          <w:color w:val="000000" w:themeColor="text1"/>
          <w:sz w:val="22"/>
          <w:szCs w:val="22"/>
          <w:lang w:val="en-GB"/>
        </w:rPr>
        <w:t xml:space="preserve"> </w:t>
      </w:r>
      <w:hyperlink r:id="rId36" w:history="1">
        <w:r w:rsidR="00CA6754" w:rsidRPr="00077B97">
          <w:rPr>
            <w:rStyle w:val="Hyperlink"/>
            <w:rFonts w:ascii="Arial" w:hAnsi="Arial" w:cs="Arial"/>
            <w:sz w:val="22"/>
            <w:szCs w:val="22"/>
            <w:lang w:val="en-GB"/>
          </w:rPr>
          <w:t>https://doi.org/10.52970/grmilf.v6i2.2102</w:t>
        </w:r>
      </w:hyperlink>
      <w:r w:rsidR="00CA6754" w:rsidRPr="00077B97">
        <w:rPr>
          <w:rFonts w:ascii="Arial" w:hAnsi="Arial" w:cs="Arial"/>
          <w:color w:val="000000" w:themeColor="text1"/>
          <w:sz w:val="22"/>
          <w:szCs w:val="22"/>
          <w:lang w:val="en-GB"/>
        </w:rPr>
        <w:t xml:space="preserve"> </w:t>
      </w:r>
    </w:p>
    <w:p w14:paraId="2768012E" w14:textId="47AB53EE" w:rsidR="00F27F3C" w:rsidRPr="00077B97" w:rsidRDefault="00F27F3C" w:rsidP="00F27F3C">
      <w:pPr>
        <w:pStyle w:val="NormalWeb"/>
        <w:spacing w:before="240" w:beforeAutospacing="0" w:after="0" w:afterAutospacing="0" w:line="360" w:lineRule="auto"/>
        <w:jc w:val="both"/>
        <w:rPr>
          <w:rFonts w:ascii="Arial" w:hAnsi="Arial" w:cs="Arial"/>
          <w:color w:val="000000" w:themeColor="text1"/>
          <w:sz w:val="22"/>
          <w:szCs w:val="22"/>
          <w:lang w:val="en-GB"/>
        </w:rPr>
      </w:pPr>
      <w:proofErr w:type="spellStart"/>
      <w:r w:rsidRPr="00077B97">
        <w:rPr>
          <w:rFonts w:ascii="Arial" w:hAnsi="Arial" w:cs="Arial"/>
          <w:color w:val="000000" w:themeColor="text1"/>
          <w:sz w:val="22"/>
          <w:szCs w:val="22"/>
          <w:lang w:val="en-GB"/>
        </w:rPr>
        <w:t>Nhs</w:t>
      </w:r>
      <w:proofErr w:type="spellEnd"/>
      <w:r w:rsidRPr="00077B97">
        <w:rPr>
          <w:rFonts w:ascii="Arial" w:hAnsi="Arial" w:cs="Arial"/>
          <w:color w:val="000000" w:themeColor="text1"/>
          <w:sz w:val="22"/>
          <w:szCs w:val="22"/>
          <w:lang w:val="en-GB"/>
        </w:rPr>
        <w:t xml:space="preserve">, (2026). </w:t>
      </w:r>
      <w:r w:rsidRPr="00077B97">
        <w:rPr>
          <w:rFonts w:ascii="Arial" w:hAnsi="Arial" w:cs="Arial"/>
          <w:i/>
          <w:iCs/>
          <w:color w:val="000000" w:themeColor="text1"/>
          <w:sz w:val="22"/>
          <w:szCs w:val="22"/>
          <w:lang w:val="en-GB"/>
        </w:rPr>
        <w:t>Quality strategy for NHS-funded care in England.</w:t>
      </w:r>
      <w:r w:rsidRPr="00077B97">
        <w:rPr>
          <w:rFonts w:ascii="Arial" w:hAnsi="Arial" w:cs="Arial"/>
          <w:color w:val="000000" w:themeColor="text1"/>
          <w:sz w:val="22"/>
          <w:szCs w:val="22"/>
          <w:lang w:val="en-GB"/>
        </w:rPr>
        <w:t xml:space="preserve"> Available at: </w:t>
      </w:r>
      <w:hyperlink r:id="rId37" w:history="1">
        <w:r w:rsidR="00CA6754" w:rsidRPr="00077B97">
          <w:rPr>
            <w:rStyle w:val="Hyperlink"/>
            <w:rFonts w:ascii="Arial" w:hAnsi="Arial" w:cs="Arial"/>
            <w:sz w:val="22"/>
            <w:szCs w:val="22"/>
          </w:rPr>
          <w:t>https://www.england.nhs.uk/long-read/quality-strategy-for-nhs-funded-care-in-england/</w:t>
        </w:r>
      </w:hyperlink>
      <w:r w:rsidR="00CA6754" w:rsidRPr="00077B97">
        <w:rPr>
          <w:sz w:val="22"/>
          <w:szCs w:val="22"/>
        </w:rPr>
        <w:t xml:space="preserve"> </w:t>
      </w:r>
      <w:r w:rsidRPr="00077B97">
        <w:rPr>
          <w:rFonts w:ascii="Arial" w:hAnsi="Arial" w:cs="Arial"/>
          <w:color w:val="000000" w:themeColor="text1"/>
          <w:sz w:val="22"/>
          <w:szCs w:val="22"/>
          <w:lang w:val="en-GB"/>
        </w:rPr>
        <w:t xml:space="preserve"> (Accessed: 11 August, 2026)</w:t>
      </w:r>
    </w:p>
    <w:p w14:paraId="5C020DB0" w14:textId="0657C247" w:rsidR="00F27F3C" w:rsidRPr="00077B97" w:rsidRDefault="00F27F3C" w:rsidP="00F27F3C">
      <w:pPr>
        <w:spacing w:before="240" w:line="360" w:lineRule="auto"/>
        <w:jc w:val="both"/>
        <w:rPr>
          <w:color w:val="1D1B11" w:themeColor="background2" w:themeShade="1A"/>
          <w:shd w:val="clear" w:color="auto" w:fill="FFFFFF"/>
        </w:rPr>
      </w:pPr>
      <w:proofErr w:type="spellStart"/>
      <w:r w:rsidRPr="00077B97">
        <w:rPr>
          <w:color w:val="1D1B11" w:themeColor="background2" w:themeShade="1A"/>
          <w:shd w:val="clear" w:color="auto" w:fill="FFFFFF"/>
        </w:rPr>
        <w:t>Pongboonchai-Empl</w:t>
      </w:r>
      <w:proofErr w:type="spellEnd"/>
      <w:r w:rsidRPr="00077B97">
        <w:rPr>
          <w:color w:val="1D1B11" w:themeColor="background2" w:themeShade="1A"/>
          <w:shd w:val="clear" w:color="auto" w:fill="FFFFFF"/>
        </w:rPr>
        <w:t xml:space="preserve">, T., Antony, J., Garza-Reyes, J. A., </w:t>
      </w:r>
      <w:proofErr w:type="spellStart"/>
      <w:r w:rsidRPr="00077B97">
        <w:rPr>
          <w:color w:val="1D1B11" w:themeColor="background2" w:themeShade="1A"/>
          <w:shd w:val="clear" w:color="auto" w:fill="FFFFFF"/>
        </w:rPr>
        <w:t>Komkowski</w:t>
      </w:r>
      <w:proofErr w:type="spellEnd"/>
      <w:r w:rsidRPr="00077B97">
        <w:rPr>
          <w:color w:val="1D1B11" w:themeColor="background2" w:themeShade="1A"/>
          <w:shd w:val="clear" w:color="auto" w:fill="FFFFFF"/>
        </w:rPr>
        <w:t xml:space="preserve">, T., </w:t>
      </w:r>
      <w:proofErr w:type="spellStart"/>
      <w:r w:rsidRPr="00077B97">
        <w:rPr>
          <w:color w:val="1D1B11" w:themeColor="background2" w:themeShade="1A"/>
          <w:shd w:val="clear" w:color="auto" w:fill="FFFFFF"/>
        </w:rPr>
        <w:t>andTortorella</w:t>
      </w:r>
      <w:proofErr w:type="spellEnd"/>
      <w:r w:rsidRPr="00077B97">
        <w:rPr>
          <w:color w:val="1D1B11" w:themeColor="background2" w:themeShade="1A"/>
          <w:shd w:val="clear" w:color="auto" w:fill="FFFFFF"/>
        </w:rPr>
        <w:t>, G. L. (2024). Integration of Industry 4.0 technologies into Lean Six Sigma DMAIC: A systematic review. </w:t>
      </w:r>
      <w:r w:rsidRPr="00077B97">
        <w:rPr>
          <w:i/>
          <w:iCs/>
          <w:color w:val="1D1B11" w:themeColor="background2" w:themeShade="1A"/>
          <w:shd w:val="clear" w:color="auto" w:fill="FFFFFF"/>
        </w:rPr>
        <w:t>Production Planning &amp; Control</w:t>
      </w:r>
      <w:r w:rsidRPr="00077B97">
        <w:rPr>
          <w:color w:val="1D1B11" w:themeColor="background2" w:themeShade="1A"/>
          <w:shd w:val="clear" w:color="auto" w:fill="FFFFFF"/>
        </w:rPr>
        <w:t>, </w:t>
      </w:r>
      <w:r w:rsidRPr="00077B97">
        <w:rPr>
          <w:i/>
          <w:iCs/>
          <w:color w:val="1D1B11" w:themeColor="background2" w:themeShade="1A"/>
          <w:shd w:val="clear" w:color="auto" w:fill="FFFFFF"/>
        </w:rPr>
        <w:t>35</w:t>
      </w:r>
      <w:r w:rsidRPr="00077B97">
        <w:rPr>
          <w:color w:val="1D1B11" w:themeColor="background2" w:themeShade="1A"/>
          <w:shd w:val="clear" w:color="auto" w:fill="FFFFFF"/>
        </w:rPr>
        <w:t>(12), 1403-1428.</w:t>
      </w:r>
      <w:r w:rsidR="00CA6754" w:rsidRPr="00077B97">
        <w:rPr>
          <w:color w:val="1D1B11" w:themeColor="background2" w:themeShade="1A"/>
          <w:shd w:val="clear" w:color="auto" w:fill="FFFFFF"/>
        </w:rPr>
        <w:t xml:space="preserve"> </w:t>
      </w:r>
      <w:hyperlink r:id="rId38" w:history="1">
        <w:r w:rsidR="00CA6754" w:rsidRPr="00077B97">
          <w:rPr>
            <w:rStyle w:val="Hyperlink"/>
            <w:shd w:val="clear" w:color="auto" w:fill="FFFFFF"/>
          </w:rPr>
          <w:t>https://www.tandfonline.com/doi/abs/10.1080/09537287.2023.2188496</w:t>
        </w:r>
      </w:hyperlink>
      <w:r w:rsidR="00CA6754" w:rsidRPr="00077B97">
        <w:rPr>
          <w:color w:val="1D1B11" w:themeColor="background2" w:themeShade="1A"/>
          <w:shd w:val="clear" w:color="auto" w:fill="FFFFFF"/>
        </w:rPr>
        <w:t xml:space="preserve"> </w:t>
      </w:r>
      <w:r w:rsidRPr="00077B97">
        <w:rPr>
          <w:color w:val="1D1B11" w:themeColor="background2" w:themeShade="1A"/>
          <w:shd w:val="clear" w:color="auto" w:fill="FFFFFF"/>
        </w:rPr>
        <w:t xml:space="preserve"> </w:t>
      </w:r>
    </w:p>
    <w:p w14:paraId="55D3F9D2" w14:textId="455E74BB" w:rsidR="00F27F3C" w:rsidRPr="00077B97" w:rsidRDefault="00F27F3C" w:rsidP="00F27F3C">
      <w:pPr>
        <w:spacing w:before="240" w:line="360" w:lineRule="auto"/>
        <w:jc w:val="both"/>
        <w:rPr>
          <w:color w:val="1D1B11" w:themeColor="background2" w:themeShade="1A"/>
          <w:shd w:val="clear" w:color="auto" w:fill="FFFFFF"/>
        </w:rPr>
      </w:pPr>
      <w:r w:rsidRPr="00077B97">
        <w:rPr>
          <w:color w:val="1D1B11" w:themeColor="background2" w:themeShade="1A"/>
          <w:shd w:val="clear" w:color="auto" w:fill="FFFFFF"/>
        </w:rPr>
        <w:t xml:space="preserve">Quiroz-Flores, J. C., and </w:t>
      </w:r>
      <w:proofErr w:type="spellStart"/>
      <w:r w:rsidRPr="00077B97">
        <w:rPr>
          <w:color w:val="1D1B11" w:themeColor="background2" w:themeShade="1A"/>
          <w:shd w:val="clear" w:color="auto" w:fill="FFFFFF"/>
        </w:rPr>
        <w:t>Vega-Alvites</w:t>
      </w:r>
      <w:proofErr w:type="spellEnd"/>
      <w:r w:rsidRPr="00077B97">
        <w:rPr>
          <w:color w:val="1D1B11" w:themeColor="background2" w:themeShade="1A"/>
          <w:shd w:val="clear" w:color="auto" w:fill="FFFFFF"/>
        </w:rPr>
        <w:t xml:space="preserve">, M. L. (2022). Review lean manufacturing model of production management under the preventive maintenance approach to improve efficiency in plastics industry </w:t>
      </w:r>
      <w:proofErr w:type="spellStart"/>
      <w:r w:rsidRPr="00077B97">
        <w:rPr>
          <w:color w:val="1D1B11" w:themeColor="background2" w:themeShade="1A"/>
          <w:shd w:val="clear" w:color="auto" w:fill="FFFFFF"/>
        </w:rPr>
        <w:t>smes</w:t>
      </w:r>
      <w:proofErr w:type="spellEnd"/>
      <w:r w:rsidRPr="00077B97">
        <w:rPr>
          <w:color w:val="1D1B11" w:themeColor="background2" w:themeShade="1A"/>
          <w:shd w:val="clear" w:color="auto" w:fill="FFFFFF"/>
        </w:rPr>
        <w:t>: a case study. </w:t>
      </w:r>
      <w:r w:rsidRPr="00077B97">
        <w:rPr>
          <w:i/>
          <w:iCs/>
          <w:color w:val="1D1B11" w:themeColor="background2" w:themeShade="1A"/>
          <w:shd w:val="clear" w:color="auto" w:fill="FFFFFF"/>
        </w:rPr>
        <w:t>South African Journal of Industrial Engineering</w:t>
      </w:r>
      <w:r w:rsidRPr="00077B97">
        <w:rPr>
          <w:color w:val="1D1B11" w:themeColor="background2" w:themeShade="1A"/>
          <w:shd w:val="clear" w:color="auto" w:fill="FFFFFF"/>
        </w:rPr>
        <w:t>, </w:t>
      </w:r>
      <w:r w:rsidRPr="00077B97">
        <w:rPr>
          <w:i/>
          <w:iCs/>
          <w:color w:val="1D1B11" w:themeColor="background2" w:themeShade="1A"/>
          <w:shd w:val="clear" w:color="auto" w:fill="FFFFFF"/>
        </w:rPr>
        <w:t>33</w:t>
      </w:r>
      <w:r w:rsidRPr="00077B97">
        <w:rPr>
          <w:color w:val="1D1B11" w:themeColor="background2" w:themeShade="1A"/>
          <w:shd w:val="clear" w:color="auto" w:fill="FFFFFF"/>
        </w:rPr>
        <w:t>(2), 143-156.</w:t>
      </w:r>
      <w:r w:rsidR="00CA6754" w:rsidRPr="00077B97">
        <w:rPr>
          <w:color w:val="1D1B11" w:themeColor="background2" w:themeShade="1A"/>
          <w:shd w:val="clear" w:color="auto" w:fill="FFFFFF"/>
        </w:rPr>
        <w:t xml:space="preserve"> </w:t>
      </w:r>
      <w:hyperlink r:id="rId39" w:history="1">
        <w:r w:rsidR="00CA6754" w:rsidRPr="00077B97">
          <w:rPr>
            <w:rStyle w:val="Hyperlink"/>
            <w:shd w:val="clear" w:color="auto" w:fill="FFFFFF"/>
          </w:rPr>
          <w:t>https://journals.co.za/doi/abs/10.7166/33-2-2711</w:t>
        </w:r>
      </w:hyperlink>
      <w:r w:rsidR="00CA6754" w:rsidRPr="00077B97">
        <w:rPr>
          <w:color w:val="1D1B11" w:themeColor="background2" w:themeShade="1A"/>
          <w:shd w:val="clear" w:color="auto" w:fill="FFFFFF"/>
        </w:rPr>
        <w:t xml:space="preserve"> </w:t>
      </w:r>
    </w:p>
    <w:p w14:paraId="4023C1CF" w14:textId="1AAA6243" w:rsidR="00F27F3C" w:rsidRPr="00077B97" w:rsidRDefault="00F27F3C" w:rsidP="00F27F3C">
      <w:pPr>
        <w:pStyle w:val="NormalWeb"/>
        <w:spacing w:before="240" w:beforeAutospacing="0" w:after="0" w:afterAutospacing="0" w:line="360" w:lineRule="auto"/>
        <w:jc w:val="both"/>
        <w:rPr>
          <w:rFonts w:ascii="Arial" w:hAnsi="Arial" w:cs="Arial"/>
          <w:color w:val="000000" w:themeColor="text1"/>
          <w:sz w:val="22"/>
          <w:szCs w:val="22"/>
          <w:lang w:val="en-GB"/>
        </w:rPr>
      </w:pPr>
      <w:r w:rsidRPr="00077B97">
        <w:rPr>
          <w:rFonts w:ascii="Arial" w:hAnsi="Arial" w:cs="Arial"/>
          <w:color w:val="000000" w:themeColor="text1"/>
          <w:sz w:val="22"/>
          <w:szCs w:val="22"/>
          <w:lang w:val="en-GB"/>
        </w:rPr>
        <w:t xml:space="preserve">Quon, S., Yang, J., Zhou, S., Low, S. and Zheng, K., (2025). Education on whistleblowing in medicine: A scoping review. </w:t>
      </w:r>
      <w:r w:rsidRPr="00077B97">
        <w:rPr>
          <w:rFonts w:ascii="Arial" w:hAnsi="Arial" w:cs="Arial"/>
          <w:i/>
          <w:iCs/>
          <w:color w:val="000000" w:themeColor="text1"/>
          <w:sz w:val="22"/>
          <w:szCs w:val="22"/>
          <w:lang w:val="en-GB"/>
        </w:rPr>
        <w:t>Research and Development in Medical Education</w:t>
      </w:r>
      <w:r w:rsidRPr="00077B97">
        <w:rPr>
          <w:rFonts w:ascii="Arial" w:hAnsi="Arial" w:cs="Arial"/>
          <w:color w:val="000000" w:themeColor="text1"/>
          <w:sz w:val="22"/>
          <w:szCs w:val="22"/>
          <w:lang w:val="en-GB"/>
        </w:rPr>
        <w:t xml:space="preserve">, </w:t>
      </w:r>
      <w:r w:rsidRPr="00077B97">
        <w:rPr>
          <w:rFonts w:ascii="Arial" w:hAnsi="Arial" w:cs="Arial"/>
          <w:i/>
          <w:iCs/>
          <w:color w:val="000000" w:themeColor="text1"/>
          <w:sz w:val="22"/>
          <w:szCs w:val="22"/>
          <w:lang w:val="en-GB"/>
        </w:rPr>
        <w:t>14</w:t>
      </w:r>
      <w:r w:rsidRPr="00077B97">
        <w:rPr>
          <w:rFonts w:ascii="Arial" w:hAnsi="Arial" w:cs="Arial"/>
          <w:color w:val="000000" w:themeColor="text1"/>
          <w:sz w:val="22"/>
          <w:szCs w:val="22"/>
          <w:lang w:val="en-GB"/>
        </w:rPr>
        <w:t>(1), pp.33263-33263.</w:t>
      </w:r>
      <w:r w:rsidR="00CA6754" w:rsidRPr="00077B97">
        <w:rPr>
          <w:rFonts w:ascii="Arial" w:hAnsi="Arial" w:cs="Arial"/>
          <w:color w:val="000000" w:themeColor="text1"/>
          <w:sz w:val="22"/>
          <w:szCs w:val="22"/>
          <w:lang w:val="en-GB"/>
        </w:rPr>
        <w:t xml:space="preserve"> </w:t>
      </w:r>
      <w:hyperlink r:id="rId40" w:history="1">
        <w:r w:rsidR="00CA6754" w:rsidRPr="00077B97">
          <w:rPr>
            <w:rStyle w:val="Hyperlink"/>
            <w:rFonts w:ascii="Arial" w:hAnsi="Arial" w:cs="Arial"/>
            <w:sz w:val="22"/>
            <w:szCs w:val="22"/>
            <w:lang w:val="en-GB"/>
          </w:rPr>
          <w:t>https://doi.org/10.34172/rdme.025.33263</w:t>
        </w:r>
      </w:hyperlink>
      <w:r w:rsidR="00CA6754" w:rsidRPr="00077B97">
        <w:rPr>
          <w:rFonts w:ascii="Arial" w:hAnsi="Arial" w:cs="Arial"/>
          <w:color w:val="000000" w:themeColor="text1"/>
          <w:sz w:val="22"/>
          <w:szCs w:val="22"/>
          <w:lang w:val="en-GB"/>
        </w:rPr>
        <w:t xml:space="preserve"> </w:t>
      </w:r>
      <w:r w:rsidRPr="00077B97">
        <w:rPr>
          <w:rFonts w:ascii="Arial" w:hAnsi="Arial" w:cs="Arial"/>
          <w:color w:val="000000" w:themeColor="text1"/>
          <w:sz w:val="22"/>
          <w:szCs w:val="22"/>
          <w:lang w:val="en-GB"/>
        </w:rPr>
        <w:t xml:space="preserve"> </w:t>
      </w:r>
    </w:p>
    <w:p w14:paraId="36CEF7D8" w14:textId="5BA8A536" w:rsidR="00F27F3C" w:rsidRPr="00077B97" w:rsidRDefault="00F27F3C" w:rsidP="00F27F3C">
      <w:pPr>
        <w:spacing w:before="240" w:line="360" w:lineRule="auto"/>
        <w:jc w:val="both"/>
        <w:rPr>
          <w:color w:val="1D1B11" w:themeColor="background2" w:themeShade="1A"/>
          <w:shd w:val="clear" w:color="auto" w:fill="FFFFFF"/>
        </w:rPr>
      </w:pPr>
      <w:proofErr w:type="spellStart"/>
      <w:r w:rsidRPr="00077B97">
        <w:rPr>
          <w:color w:val="1D1B11" w:themeColor="background2" w:themeShade="1A"/>
          <w:shd w:val="clear" w:color="auto" w:fill="FFFFFF"/>
        </w:rPr>
        <w:t>Realyvásquez</w:t>
      </w:r>
      <w:proofErr w:type="spellEnd"/>
      <w:r w:rsidRPr="00077B97">
        <w:rPr>
          <w:color w:val="1D1B11" w:themeColor="background2" w:themeShade="1A"/>
          <w:shd w:val="clear" w:color="auto" w:fill="FFFFFF"/>
        </w:rPr>
        <w:t xml:space="preserve"> Vargas, A., García Alcaraz, J. L., Satapathy, S., Coraza, D. A., and Báez López, Y. (2024). The PDCA (Plan-Do-Check-Act) Cycle. In </w:t>
      </w:r>
      <w:r w:rsidRPr="00077B97">
        <w:rPr>
          <w:i/>
          <w:iCs/>
          <w:color w:val="1D1B11" w:themeColor="background2" w:themeShade="1A"/>
          <w:shd w:val="clear" w:color="auto" w:fill="FFFFFF"/>
        </w:rPr>
        <w:t>Lean Manufacturing in Latin America: Concepts, Methodologies and Applications</w:t>
      </w:r>
      <w:r w:rsidRPr="00077B97">
        <w:rPr>
          <w:color w:val="1D1B11" w:themeColor="background2" w:themeShade="1A"/>
          <w:shd w:val="clear" w:color="auto" w:fill="FFFFFF"/>
        </w:rPr>
        <w:t> (pp. 409-437). Cham: Springer Nature Switzerland.</w:t>
      </w:r>
      <w:r w:rsidRPr="00077B97">
        <w:rPr>
          <w:color w:val="1D1B11" w:themeColor="background2" w:themeShade="1A"/>
        </w:rPr>
        <w:t xml:space="preserve"> </w:t>
      </w:r>
      <w:hyperlink r:id="rId41" w:history="1">
        <w:r w:rsidR="00C256C3" w:rsidRPr="00077B97">
          <w:rPr>
            <w:rStyle w:val="Hyperlink"/>
          </w:rPr>
          <w:t>https://link.springer.com/chapter/10.1007/978-3-031-70984-5_18</w:t>
        </w:r>
      </w:hyperlink>
      <w:r w:rsidR="00C256C3" w:rsidRPr="00077B97">
        <w:rPr>
          <w:color w:val="1D1B11" w:themeColor="background2" w:themeShade="1A"/>
        </w:rPr>
        <w:t xml:space="preserve"> </w:t>
      </w:r>
    </w:p>
    <w:p w14:paraId="3D06E48C" w14:textId="7DECC271" w:rsidR="00F27F3C" w:rsidRPr="00077B97" w:rsidRDefault="00F27F3C" w:rsidP="00F27F3C">
      <w:pPr>
        <w:spacing w:before="240" w:line="360" w:lineRule="auto"/>
        <w:jc w:val="both"/>
        <w:rPr>
          <w:color w:val="1D1B11" w:themeColor="background2" w:themeShade="1A"/>
          <w:shd w:val="clear" w:color="auto" w:fill="FFFFFF"/>
        </w:rPr>
      </w:pPr>
      <w:r w:rsidRPr="00077B97">
        <w:rPr>
          <w:color w:val="1D1B11" w:themeColor="background2" w:themeShade="1A"/>
          <w:shd w:val="clear" w:color="auto" w:fill="FFFFFF"/>
        </w:rPr>
        <w:t>Sagun, R.D. and Prudente, M., 2023. Applying the plan-do-study-act (PDSA) action research model to re-structure the science classroom conforming to the metacognitive orientation standards. </w:t>
      </w:r>
      <w:r w:rsidRPr="00077B97">
        <w:rPr>
          <w:i/>
          <w:iCs/>
          <w:color w:val="1D1B11" w:themeColor="background2" w:themeShade="1A"/>
          <w:shd w:val="clear" w:color="auto" w:fill="FFFFFF"/>
        </w:rPr>
        <w:t>Educational Action Research</w:t>
      </w:r>
      <w:r w:rsidRPr="00077B97">
        <w:rPr>
          <w:color w:val="1D1B11" w:themeColor="background2" w:themeShade="1A"/>
          <w:shd w:val="clear" w:color="auto" w:fill="FFFFFF"/>
        </w:rPr>
        <w:t>, </w:t>
      </w:r>
      <w:r w:rsidRPr="00077B97">
        <w:rPr>
          <w:i/>
          <w:iCs/>
          <w:color w:val="1D1B11" w:themeColor="background2" w:themeShade="1A"/>
          <w:shd w:val="clear" w:color="auto" w:fill="FFFFFF"/>
        </w:rPr>
        <w:t>31</w:t>
      </w:r>
      <w:r w:rsidRPr="00077B97">
        <w:rPr>
          <w:color w:val="1D1B11" w:themeColor="background2" w:themeShade="1A"/>
          <w:shd w:val="clear" w:color="auto" w:fill="FFFFFF"/>
        </w:rPr>
        <w:t xml:space="preserve">(1), pp.61-77. </w:t>
      </w:r>
      <w:hyperlink r:id="rId42" w:history="1">
        <w:r w:rsidR="00C256C3" w:rsidRPr="00077B97">
          <w:rPr>
            <w:rStyle w:val="Hyperlink"/>
            <w:shd w:val="clear" w:color="auto" w:fill="FFFFFF"/>
          </w:rPr>
          <w:t>https://www.tandfonline.com/doi/abs/10.1080/09650792.2021.1894964</w:t>
        </w:r>
      </w:hyperlink>
      <w:r w:rsidR="00C256C3" w:rsidRPr="00077B97">
        <w:rPr>
          <w:color w:val="1D1B11" w:themeColor="background2" w:themeShade="1A"/>
          <w:shd w:val="clear" w:color="auto" w:fill="FFFFFF"/>
        </w:rPr>
        <w:t xml:space="preserve"> </w:t>
      </w:r>
    </w:p>
    <w:p w14:paraId="4C7AA8D9" w14:textId="0B904254" w:rsidR="00F27F3C" w:rsidRPr="00077B97" w:rsidRDefault="00F27F3C" w:rsidP="00F27F3C">
      <w:pPr>
        <w:pStyle w:val="NormalWeb"/>
        <w:spacing w:before="240" w:beforeAutospacing="0" w:after="0" w:afterAutospacing="0" w:line="360" w:lineRule="auto"/>
        <w:jc w:val="both"/>
        <w:rPr>
          <w:rFonts w:ascii="Arial" w:hAnsi="Arial" w:cs="Arial"/>
          <w:color w:val="000000" w:themeColor="text1"/>
          <w:sz w:val="22"/>
          <w:szCs w:val="22"/>
          <w:lang w:val="en-GB"/>
        </w:rPr>
      </w:pPr>
      <w:proofErr w:type="spellStart"/>
      <w:r w:rsidRPr="00077B97">
        <w:rPr>
          <w:rFonts w:ascii="Arial" w:hAnsi="Arial" w:cs="Arial"/>
          <w:color w:val="000000" w:themeColor="text1"/>
          <w:sz w:val="22"/>
          <w:szCs w:val="22"/>
          <w:lang w:val="en-GB"/>
        </w:rPr>
        <w:t>Sakdiyah</w:t>
      </w:r>
      <w:proofErr w:type="spellEnd"/>
      <w:r w:rsidRPr="00077B97">
        <w:rPr>
          <w:rFonts w:ascii="Arial" w:hAnsi="Arial" w:cs="Arial"/>
          <w:color w:val="000000" w:themeColor="text1"/>
          <w:sz w:val="22"/>
          <w:szCs w:val="22"/>
          <w:lang w:val="en-GB"/>
        </w:rPr>
        <w:t xml:space="preserve">, S.H., </w:t>
      </w:r>
      <w:proofErr w:type="spellStart"/>
      <w:r w:rsidRPr="00077B97">
        <w:rPr>
          <w:rFonts w:ascii="Arial" w:hAnsi="Arial" w:cs="Arial"/>
          <w:color w:val="000000" w:themeColor="text1"/>
          <w:sz w:val="22"/>
          <w:szCs w:val="22"/>
          <w:lang w:val="en-GB"/>
        </w:rPr>
        <w:t>Eltivia</w:t>
      </w:r>
      <w:proofErr w:type="spellEnd"/>
      <w:r w:rsidRPr="00077B97">
        <w:rPr>
          <w:rFonts w:ascii="Arial" w:hAnsi="Arial" w:cs="Arial"/>
          <w:color w:val="000000" w:themeColor="text1"/>
          <w:sz w:val="22"/>
          <w:szCs w:val="22"/>
          <w:lang w:val="en-GB"/>
        </w:rPr>
        <w:t xml:space="preserve">, N. and Afandi, A., (2022). Root cause analysis using fishbone diagram: company management decision making. </w:t>
      </w:r>
      <w:r w:rsidRPr="00077B97">
        <w:rPr>
          <w:rFonts w:ascii="Arial" w:hAnsi="Arial" w:cs="Arial"/>
          <w:i/>
          <w:iCs/>
          <w:color w:val="000000" w:themeColor="text1"/>
          <w:sz w:val="22"/>
          <w:szCs w:val="22"/>
          <w:lang w:val="en-GB"/>
        </w:rPr>
        <w:t>Journal of Applied Business, Taxation and Economics Research</w:t>
      </w:r>
      <w:r w:rsidRPr="00077B97">
        <w:rPr>
          <w:rFonts w:ascii="Arial" w:hAnsi="Arial" w:cs="Arial"/>
          <w:color w:val="000000" w:themeColor="text1"/>
          <w:sz w:val="22"/>
          <w:szCs w:val="22"/>
          <w:lang w:val="en-GB"/>
        </w:rPr>
        <w:t xml:space="preserve">, </w:t>
      </w:r>
      <w:r w:rsidRPr="00077B97">
        <w:rPr>
          <w:rFonts w:ascii="Arial" w:hAnsi="Arial" w:cs="Arial"/>
          <w:i/>
          <w:iCs/>
          <w:color w:val="000000" w:themeColor="text1"/>
          <w:sz w:val="22"/>
          <w:szCs w:val="22"/>
          <w:lang w:val="en-GB"/>
        </w:rPr>
        <w:t>1</w:t>
      </w:r>
      <w:r w:rsidRPr="00077B97">
        <w:rPr>
          <w:rFonts w:ascii="Arial" w:hAnsi="Arial" w:cs="Arial"/>
          <w:color w:val="000000" w:themeColor="text1"/>
          <w:sz w:val="22"/>
          <w:szCs w:val="22"/>
          <w:lang w:val="en-GB"/>
        </w:rPr>
        <w:t>(6), pp.566-576.</w:t>
      </w:r>
      <w:r w:rsidR="00C256C3" w:rsidRPr="00077B97">
        <w:rPr>
          <w:rFonts w:ascii="Arial" w:hAnsi="Arial" w:cs="Arial"/>
          <w:color w:val="000000" w:themeColor="text1"/>
          <w:sz w:val="22"/>
          <w:szCs w:val="22"/>
          <w:lang w:val="en-GB"/>
        </w:rPr>
        <w:t xml:space="preserve"> </w:t>
      </w:r>
      <w:hyperlink r:id="rId43" w:history="1">
        <w:r w:rsidR="00C256C3" w:rsidRPr="00077B97">
          <w:rPr>
            <w:rStyle w:val="Hyperlink"/>
            <w:rFonts w:ascii="Arial" w:hAnsi="Arial" w:cs="Arial"/>
            <w:sz w:val="22"/>
            <w:szCs w:val="22"/>
            <w:lang w:val="en-GB"/>
          </w:rPr>
          <w:t>https://equatorscience.com/index.php/jabter/article/download/103/80</w:t>
        </w:r>
      </w:hyperlink>
      <w:r w:rsidR="00C256C3" w:rsidRPr="00077B97">
        <w:rPr>
          <w:rFonts w:ascii="Arial" w:hAnsi="Arial" w:cs="Arial"/>
          <w:color w:val="000000" w:themeColor="text1"/>
          <w:sz w:val="22"/>
          <w:szCs w:val="22"/>
          <w:lang w:val="en-GB"/>
        </w:rPr>
        <w:t xml:space="preserve"> </w:t>
      </w:r>
      <w:r w:rsidRPr="00077B97">
        <w:rPr>
          <w:rFonts w:ascii="Arial" w:hAnsi="Arial" w:cs="Arial"/>
          <w:color w:val="000000" w:themeColor="text1"/>
          <w:sz w:val="22"/>
          <w:szCs w:val="22"/>
          <w:lang w:val="en-GB"/>
        </w:rPr>
        <w:t> </w:t>
      </w:r>
    </w:p>
    <w:p w14:paraId="18AC6C71" w14:textId="257E6EC5" w:rsidR="00F27F3C" w:rsidRPr="00077B97" w:rsidRDefault="00F27F3C" w:rsidP="00F27F3C">
      <w:pPr>
        <w:pStyle w:val="NormalWeb"/>
        <w:spacing w:before="240" w:beforeAutospacing="0" w:after="0" w:afterAutospacing="0" w:line="360" w:lineRule="auto"/>
        <w:jc w:val="both"/>
        <w:rPr>
          <w:rFonts w:ascii="Arial" w:hAnsi="Arial" w:cs="Arial"/>
          <w:color w:val="000000" w:themeColor="text1"/>
          <w:sz w:val="22"/>
          <w:szCs w:val="22"/>
          <w:lang w:val="en-GB"/>
        </w:rPr>
      </w:pPr>
      <w:proofErr w:type="spellStart"/>
      <w:r w:rsidRPr="00077B97">
        <w:rPr>
          <w:rFonts w:ascii="Arial" w:hAnsi="Arial" w:cs="Arial"/>
          <w:color w:val="000000" w:themeColor="text1"/>
          <w:sz w:val="22"/>
          <w:szCs w:val="22"/>
          <w:lang w:val="en-GB"/>
        </w:rPr>
        <w:t>Theguardian</w:t>
      </w:r>
      <w:proofErr w:type="spellEnd"/>
      <w:r w:rsidRPr="00077B97">
        <w:rPr>
          <w:rFonts w:ascii="Arial" w:hAnsi="Arial" w:cs="Arial"/>
          <w:color w:val="000000" w:themeColor="text1"/>
          <w:sz w:val="22"/>
          <w:szCs w:val="22"/>
          <w:lang w:val="en-GB"/>
        </w:rPr>
        <w:t xml:space="preserve">, (2025). </w:t>
      </w:r>
      <w:r w:rsidRPr="00077B97">
        <w:rPr>
          <w:rFonts w:ascii="Arial" w:hAnsi="Arial" w:cs="Arial"/>
          <w:i/>
          <w:iCs/>
          <w:color w:val="000000" w:themeColor="text1"/>
          <w:sz w:val="22"/>
          <w:szCs w:val="22"/>
          <w:lang w:val="en-GB"/>
        </w:rPr>
        <w:t>A superbug, doctor shortages and a neonatal unit ‘out of its depth’: failures at Lucy Letby hospital revealed</w:t>
      </w:r>
      <w:r w:rsidRPr="00077B97">
        <w:rPr>
          <w:rFonts w:ascii="Arial" w:hAnsi="Arial" w:cs="Arial"/>
          <w:color w:val="000000" w:themeColor="text1"/>
          <w:sz w:val="22"/>
          <w:szCs w:val="22"/>
          <w:lang w:val="en-GB"/>
        </w:rPr>
        <w:t xml:space="preserve">. Available at: </w:t>
      </w:r>
      <w:hyperlink r:id="rId44" w:history="1">
        <w:r w:rsidR="00C256C3" w:rsidRPr="00077B97">
          <w:rPr>
            <w:rStyle w:val="Hyperlink"/>
            <w:rFonts w:ascii="Arial" w:hAnsi="Arial" w:cs="Arial"/>
            <w:sz w:val="22"/>
            <w:szCs w:val="22"/>
          </w:rPr>
          <w:t>https://www.theguardian.com/uk-news/article/2024/sep/08/a-superbug-doctor-shortages-and-a-neonatal-unit-out-of-its-depth-failures-at-lucy-letby-hospital-revealed</w:t>
        </w:r>
      </w:hyperlink>
      <w:r w:rsidR="00C256C3" w:rsidRPr="00077B97">
        <w:rPr>
          <w:sz w:val="22"/>
          <w:szCs w:val="22"/>
        </w:rPr>
        <w:t xml:space="preserve"> </w:t>
      </w:r>
      <w:r w:rsidRPr="00077B97">
        <w:rPr>
          <w:rFonts w:ascii="Arial" w:hAnsi="Arial" w:cs="Arial"/>
          <w:color w:val="000000" w:themeColor="text1"/>
          <w:sz w:val="22"/>
          <w:szCs w:val="22"/>
          <w:lang w:val="en-GB"/>
        </w:rPr>
        <w:t xml:space="preserve"> (Accessed: 11 August, 2026)</w:t>
      </w:r>
    </w:p>
    <w:p w14:paraId="29C8FC33" w14:textId="06D75CC4" w:rsidR="00F27F3C" w:rsidRPr="00077B97" w:rsidRDefault="00F27F3C" w:rsidP="00F27F3C">
      <w:pPr>
        <w:pStyle w:val="NormalWeb"/>
        <w:spacing w:before="240" w:beforeAutospacing="0" w:after="0" w:afterAutospacing="0" w:line="360" w:lineRule="auto"/>
        <w:jc w:val="both"/>
        <w:rPr>
          <w:rFonts w:ascii="Arial" w:hAnsi="Arial" w:cs="Arial"/>
          <w:color w:val="000000" w:themeColor="text1"/>
          <w:sz w:val="22"/>
          <w:szCs w:val="22"/>
          <w:lang w:val="en-GB"/>
        </w:rPr>
      </w:pPr>
      <w:r w:rsidRPr="00077B97">
        <w:rPr>
          <w:rFonts w:ascii="Arial" w:hAnsi="Arial" w:cs="Arial"/>
          <w:color w:val="000000" w:themeColor="text1"/>
          <w:sz w:val="22"/>
          <w:szCs w:val="22"/>
          <w:lang w:val="en-GB"/>
        </w:rPr>
        <w:t xml:space="preserve">Verga, M., Viganò, G.L., Capuzzo, M., Duri, C., </w:t>
      </w:r>
      <w:proofErr w:type="spellStart"/>
      <w:r w:rsidRPr="00077B97">
        <w:rPr>
          <w:rFonts w:ascii="Arial" w:hAnsi="Arial" w:cs="Arial"/>
          <w:color w:val="000000" w:themeColor="text1"/>
          <w:sz w:val="22"/>
          <w:szCs w:val="22"/>
          <w:lang w:val="en-GB"/>
        </w:rPr>
        <w:t>Ignoti</w:t>
      </w:r>
      <w:proofErr w:type="spellEnd"/>
      <w:r w:rsidRPr="00077B97">
        <w:rPr>
          <w:rFonts w:ascii="Arial" w:hAnsi="Arial" w:cs="Arial"/>
          <w:color w:val="000000" w:themeColor="text1"/>
          <w:sz w:val="22"/>
          <w:szCs w:val="22"/>
          <w:lang w:val="en-GB"/>
        </w:rPr>
        <w:t xml:space="preserve">, L.M., </w:t>
      </w:r>
      <w:proofErr w:type="spellStart"/>
      <w:r w:rsidRPr="00077B97">
        <w:rPr>
          <w:rFonts w:ascii="Arial" w:hAnsi="Arial" w:cs="Arial"/>
          <w:color w:val="000000" w:themeColor="text1"/>
          <w:sz w:val="22"/>
          <w:szCs w:val="22"/>
          <w:lang w:val="en-GB"/>
        </w:rPr>
        <w:t>Picozzi</w:t>
      </w:r>
      <w:proofErr w:type="spellEnd"/>
      <w:r w:rsidRPr="00077B97">
        <w:rPr>
          <w:rFonts w:ascii="Arial" w:hAnsi="Arial" w:cs="Arial"/>
          <w:color w:val="000000" w:themeColor="text1"/>
          <w:sz w:val="22"/>
          <w:szCs w:val="22"/>
          <w:lang w:val="en-GB"/>
        </w:rPr>
        <w:t xml:space="preserve">, P. and </w:t>
      </w:r>
      <w:proofErr w:type="spellStart"/>
      <w:r w:rsidRPr="00077B97">
        <w:rPr>
          <w:rFonts w:ascii="Arial" w:hAnsi="Arial" w:cs="Arial"/>
          <w:color w:val="000000" w:themeColor="text1"/>
          <w:sz w:val="22"/>
          <w:szCs w:val="22"/>
          <w:lang w:val="en-GB"/>
        </w:rPr>
        <w:t>Cimolin</w:t>
      </w:r>
      <w:proofErr w:type="spellEnd"/>
      <w:r w:rsidRPr="00077B97">
        <w:rPr>
          <w:rFonts w:ascii="Arial" w:hAnsi="Arial" w:cs="Arial"/>
          <w:color w:val="000000" w:themeColor="text1"/>
          <w:sz w:val="22"/>
          <w:szCs w:val="22"/>
          <w:lang w:val="en-GB"/>
        </w:rPr>
        <w:t xml:space="preserve">, V., (2023). The digitization process and the evolution of Clinical Risk Management concept: The role of Clinical Engineering in the operational management of biomedical technologies. </w:t>
      </w:r>
      <w:r w:rsidRPr="00077B97">
        <w:rPr>
          <w:rFonts w:ascii="Arial" w:hAnsi="Arial" w:cs="Arial"/>
          <w:i/>
          <w:iCs/>
          <w:color w:val="000000" w:themeColor="text1"/>
          <w:sz w:val="22"/>
          <w:szCs w:val="22"/>
          <w:lang w:val="en-GB"/>
        </w:rPr>
        <w:t>Frontiers in Public Health</w:t>
      </w:r>
      <w:r w:rsidRPr="00077B97">
        <w:rPr>
          <w:rFonts w:ascii="Arial" w:hAnsi="Arial" w:cs="Arial"/>
          <w:color w:val="000000" w:themeColor="text1"/>
          <w:sz w:val="22"/>
          <w:szCs w:val="22"/>
          <w:lang w:val="en-GB"/>
        </w:rPr>
        <w:t xml:space="preserve">, </w:t>
      </w:r>
      <w:r w:rsidRPr="00077B97">
        <w:rPr>
          <w:rFonts w:ascii="Arial" w:hAnsi="Arial" w:cs="Arial"/>
          <w:i/>
          <w:iCs/>
          <w:color w:val="000000" w:themeColor="text1"/>
          <w:sz w:val="22"/>
          <w:szCs w:val="22"/>
          <w:lang w:val="en-GB"/>
        </w:rPr>
        <w:t>11</w:t>
      </w:r>
      <w:r w:rsidRPr="00077B97">
        <w:rPr>
          <w:rFonts w:ascii="Arial" w:hAnsi="Arial" w:cs="Arial"/>
          <w:color w:val="000000" w:themeColor="text1"/>
          <w:sz w:val="22"/>
          <w:szCs w:val="22"/>
          <w:lang w:val="en-GB"/>
        </w:rPr>
        <w:t>, p.1121243.</w:t>
      </w:r>
      <w:r w:rsidR="00C256C3" w:rsidRPr="00077B97">
        <w:rPr>
          <w:rFonts w:ascii="Arial" w:hAnsi="Arial" w:cs="Arial"/>
          <w:color w:val="000000" w:themeColor="text1"/>
          <w:sz w:val="22"/>
          <w:szCs w:val="22"/>
          <w:lang w:val="en-GB"/>
        </w:rPr>
        <w:t xml:space="preserve"> </w:t>
      </w:r>
      <w:hyperlink r:id="rId45" w:history="1">
        <w:r w:rsidR="00C256C3" w:rsidRPr="00077B97">
          <w:rPr>
            <w:rStyle w:val="Hyperlink"/>
            <w:rFonts w:ascii="Arial" w:hAnsi="Arial" w:cs="Arial"/>
            <w:sz w:val="22"/>
            <w:szCs w:val="22"/>
            <w:lang w:val="en-GB"/>
          </w:rPr>
          <w:t>https://pubmed.ncbi.nlm.nih.gov/36817927/</w:t>
        </w:r>
      </w:hyperlink>
      <w:r w:rsidR="00C256C3" w:rsidRPr="00077B97">
        <w:rPr>
          <w:rFonts w:ascii="Arial" w:hAnsi="Arial" w:cs="Arial"/>
          <w:color w:val="000000" w:themeColor="text1"/>
          <w:sz w:val="22"/>
          <w:szCs w:val="22"/>
          <w:lang w:val="en-GB"/>
        </w:rPr>
        <w:t xml:space="preserve"> </w:t>
      </w:r>
      <w:r w:rsidRPr="00077B97">
        <w:rPr>
          <w:rFonts w:ascii="Arial" w:hAnsi="Arial" w:cs="Arial"/>
          <w:color w:val="000000" w:themeColor="text1"/>
          <w:sz w:val="22"/>
          <w:szCs w:val="22"/>
          <w:lang w:val="en-GB"/>
        </w:rPr>
        <w:t xml:space="preserve"> </w:t>
      </w:r>
    </w:p>
    <w:p w14:paraId="1E7FFF81" w14:textId="142C9FD2" w:rsidR="00F27F3C" w:rsidRPr="00077B97" w:rsidRDefault="00F27F3C" w:rsidP="00F27F3C">
      <w:pPr>
        <w:pStyle w:val="NormalWeb"/>
        <w:spacing w:before="240" w:beforeAutospacing="0" w:after="0" w:afterAutospacing="0" w:line="360" w:lineRule="auto"/>
        <w:jc w:val="both"/>
        <w:rPr>
          <w:rFonts w:ascii="Arial" w:hAnsi="Arial" w:cs="Arial"/>
          <w:sz w:val="22"/>
          <w:szCs w:val="22"/>
          <w:lang w:val="en-GB"/>
        </w:rPr>
      </w:pPr>
      <w:r w:rsidRPr="00077B97">
        <w:rPr>
          <w:rFonts w:ascii="Arial" w:hAnsi="Arial" w:cs="Arial"/>
          <w:color w:val="000000" w:themeColor="text1"/>
          <w:sz w:val="22"/>
          <w:szCs w:val="22"/>
          <w:lang w:val="en-GB"/>
        </w:rPr>
        <w:t xml:space="preserve">Weller, J.M., Mahajan, R., Fahey-Williams, K. and Webster, C.S., (2024). Teamwork matters: team situation awareness to build high-performing healthcare teams, a narrative review. </w:t>
      </w:r>
      <w:r w:rsidRPr="00077B97">
        <w:rPr>
          <w:rFonts w:ascii="Arial" w:hAnsi="Arial" w:cs="Arial"/>
          <w:i/>
          <w:iCs/>
          <w:color w:val="000000" w:themeColor="text1"/>
          <w:sz w:val="22"/>
          <w:szCs w:val="22"/>
          <w:lang w:val="en-GB"/>
        </w:rPr>
        <w:t>British journal of anaesthesia</w:t>
      </w:r>
      <w:r w:rsidRPr="00077B97">
        <w:rPr>
          <w:rFonts w:ascii="Arial" w:hAnsi="Arial" w:cs="Arial"/>
          <w:color w:val="000000" w:themeColor="text1"/>
          <w:sz w:val="22"/>
          <w:szCs w:val="22"/>
          <w:lang w:val="en-GB"/>
        </w:rPr>
        <w:t xml:space="preserve">, </w:t>
      </w:r>
      <w:r w:rsidRPr="00077B97">
        <w:rPr>
          <w:rFonts w:ascii="Arial" w:hAnsi="Arial" w:cs="Arial"/>
          <w:i/>
          <w:iCs/>
          <w:color w:val="000000" w:themeColor="text1"/>
          <w:sz w:val="22"/>
          <w:szCs w:val="22"/>
          <w:lang w:val="en-GB"/>
        </w:rPr>
        <w:t>132</w:t>
      </w:r>
      <w:r w:rsidRPr="00077B97">
        <w:rPr>
          <w:rFonts w:ascii="Arial" w:hAnsi="Arial" w:cs="Arial"/>
          <w:color w:val="000000" w:themeColor="text1"/>
          <w:sz w:val="22"/>
          <w:szCs w:val="22"/>
          <w:lang w:val="en-GB"/>
        </w:rPr>
        <w:t>(4), pp.771-778.</w:t>
      </w:r>
      <w:r w:rsidR="00C256C3" w:rsidRPr="00077B97">
        <w:rPr>
          <w:rFonts w:ascii="Arial" w:hAnsi="Arial" w:cs="Arial"/>
          <w:color w:val="000000" w:themeColor="text1"/>
          <w:sz w:val="22"/>
          <w:szCs w:val="22"/>
          <w:lang w:val="en-GB"/>
        </w:rPr>
        <w:t xml:space="preserve"> </w:t>
      </w:r>
      <w:hyperlink r:id="rId46" w:history="1">
        <w:r w:rsidR="00C256C3" w:rsidRPr="00077B97">
          <w:rPr>
            <w:rStyle w:val="Hyperlink"/>
            <w:rFonts w:ascii="Arial" w:hAnsi="Arial" w:cs="Arial"/>
            <w:sz w:val="22"/>
            <w:szCs w:val="22"/>
            <w:lang w:val="en-GB"/>
          </w:rPr>
          <w:t>https://doi.org/10.1016/j.bja.2023.12.035</w:t>
        </w:r>
      </w:hyperlink>
      <w:r w:rsidR="00C256C3" w:rsidRPr="00077B97">
        <w:rPr>
          <w:rFonts w:ascii="Arial" w:hAnsi="Arial" w:cs="Arial"/>
          <w:color w:val="000000" w:themeColor="text1"/>
          <w:sz w:val="22"/>
          <w:szCs w:val="22"/>
          <w:lang w:val="en-GB"/>
        </w:rPr>
        <w:t xml:space="preserve"> </w:t>
      </w:r>
    </w:p>
    <w:p w14:paraId="2F79BC93" w14:textId="4CCDCBF6" w:rsidR="00F27F3C" w:rsidRPr="00077B97" w:rsidRDefault="00F27F3C" w:rsidP="00F27F3C">
      <w:pPr>
        <w:spacing w:before="240" w:line="360" w:lineRule="auto"/>
        <w:jc w:val="both"/>
        <w:rPr>
          <w:color w:val="1D1B11" w:themeColor="background2" w:themeShade="1A"/>
          <w:shd w:val="clear" w:color="auto" w:fill="FFFFFF"/>
        </w:rPr>
      </w:pPr>
      <w:r w:rsidRPr="00077B97">
        <w:rPr>
          <w:color w:val="1D1B11" w:themeColor="background2" w:themeShade="1A"/>
          <w:shd w:val="clear" w:color="auto" w:fill="FFFFFF"/>
        </w:rPr>
        <w:t>Yadav, V., Kaswan, M. S., Gahlot, P., Duhan, R. K., Garza-Reyes, J. A., Rathi, R., ... and Yadav, G. (2023). Green Lean Six Sigma for sustainability improvement: A systematic review and future research agenda. </w:t>
      </w:r>
      <w:r w:rsidRPr="00077B97">
        <w:rPr>
          <w:i/>
          <w:iCs/>
          <w:color w:val="1D1B11" w:themeColor="background2" w:themeShade="1A"/>
          <w:shd w:val="clear" w:color="auto" w:fill="FFFFFF"/>
        </w:rPr>
        <w:t>International Journal of Lean Six Sigma</w:t>
      </w:r>
      <w:r w:rsidRPr="00077B97">
        <w:rPr>
          <w:color w:val="1D1B11" w:themeColor="background2" w:themeShade="1A"/>
          <w:shd w:val="clear" w:color="auto" w:fill="FFFFFF"/>
        </w:rPr>
        <w:t>, </w:t>
      </w:r>
      <w:r w:rsidRPr="00077B97">
        <w:rPr>
          <w:i/>
          <w:iCs/>
          <w:color w:val="1D1B11" w:themeColor="background2" w:themeShade="1A"/>
          <w:shd w:val="clear" w:color="auto" w:fill="FFFFFF"/>
        </w:rPr>
        <w:t>14</w:t>
      </w:r>
      <w:r w:rsidRPr="00077B97">
        <w:rPr>
          <w:color w:val="1D1B11" w:themeColor="background2" w:themeShade="1A"/>
          <w:shd w:val="clear" w:color="auto" w:fill="FFFFFF"/>
        </w:rPr>
        <w:t>(4), 759-790.</w:t>
      </w:r>
      <w:r w:rsidR="00C256C3" w:rsidRPr="00077B97">
        <w:rPr>
          <w:color w:val="1D1B11" w:themeColor="background2" w:themeShade="1A"/>
          <w:shd w:val="clear" w:color="auto" w:fill="FFFFFF"/>
        </w:rPr>
        <w:t xml:space="preserve"> </w:t>
      </w:r>
      <w:hyperlink r:id="rId47" w:history="1">
        <w:r w:rsidR="00C256C3" w:rsidRPr="00077B97">
          <w:rPr>
            <w:rStyle w:val="Hyperlink"/>
            <w:shd w:val="clear" w:color="auto" w:fill="FFFFFF"/>
          </w:rPr>
          <w:t>https://www.emerald.com/ijlss/article-abstract/14/4/759/136112/Green-Lean-Six-Sigma-for-sustainability</w:t>
        </w:r>
      </w:hyperlink>
      <w:r w:rsidR="00C256C3" w:rsidRPr="00077B97">
        <w:rPr>
          <w:color w:val="1D1B11" w:themeColor="background2" w:themeShade="1A"/>
          <w:shd w:val="clear" w:color="auto" w:fill="FFFFFF"/>
        </w:rPr>
        <w:t xml:space="preserve"> </w:t>
      </w:r>
    </w:p>
    <w:p w14:paraId="6C441C88" w14:textId="478697D2" w:rsidR="00F27F3C" w:rsidRPr="00077B97" w:rsidRDefault="00F27F3C" w:rsidP="00F27F3C">
      <w:pPr>
        <w:spacing w:before="240" w:line="360" w:lineRule="auto"/>
        <w:jc w:val="both"/>
        <w:rPr>
          <w:color w:val="1D1B11" w:themeColor="background2" w:themeShade="1A"/>
          <w:shd w:val="clear" w:color="auto" w:fill="FFFFFF"/>
        </w:rPr>
      </w:pPr>
      <w:r w:rsidRPr="00077B97">
        <w:rPr>
          <w:color w:val="1D1B11" w:themeColor="background2" w:themeShade="1A"/>
          <w:shd w:val="clear" w:color="auto" w:fill="FFFFFF"/>
        </w:rPr>
        <w:t xml:space="preserve">Zailani, Q. N. N., Sundram, V. P. K., Ibrahim, I., and </w:t>
      </w:r>
      <w:proofErr w:type="spellStart"/>
      <w:r w:rsidRPr="00077B97">
        <w:rPr>
          <w:color w:val="1D1B11" w:themeColor="background2" w:themeShade="1A"/>
          <w:shd w:val="clear" w:color="auto" w:fill="FFFFFF"/>
        </w:rPr>
        <w:t>Senathirajah</w:t>
      </w:r>
      <w:proofErr w:type="spellEnd"/>
      <w:r w:rsidRPr="00077B97">
        <w:rPr>
          <w:color w:val="1D1B11" w:themeColor="background2" w:themeShade="1A"/>
          <w:shd w:val="clear" w:color="auto" w:fill="FFFFFF"/>
        </w:rPr>
        <w:t>, A. R. S. (2023). Plan-do-Check-Act cycle: A method to improve customer satisfaction at a municipal council in Malaysia. </w:t>
      </w:r>
      <w:r w:rsidRPr="00077B97">
        <w:rPr>
          <w:i/>
          <w:iCs/>
          <w:color w:val="1D1B11" w:themeColor="background2" w:themeShade="1A"/>
          <w:shd w:val="clear" w:color="auto" w:fill="FFFFFF"/>
        </w:rPr>
        <w:t>International Journal of Professional Business Review: Int. J. Prof. Bus. Rev.</w:t>
      </w:r>
      <w:r w:rsidRPr="00077B97">
        <w:rPr>
          <w:color w:val="1D1B11" w:themeColor="background2" w:themeShade="1A"/>
          <w:shd w:val="clear" w:color="auto" w:fill="FFFFFF"/>
        </w:rPr>
        <w:t>, </w:t>
      </w:r>
      <w:r w:rsidRPr="00077B97">
        <w:rPr>
          <w:i/>
          <w:iCs/>
          <w:color w:val="1D1B11" w:themeColor="background2" w:themeShade="1A"/>
          <w:shd w:val="clear" w:color="auto" w:fill="FFFFFF"/>
        </w:rPr>
        <w:t>8</w:t>
      </w:r>
      <w:r w:rsidRPr="00077B97">
        <w:rPr>
          <w:color w:val="1D1B11" w:themeColor="background2" w:themeShade="1A"/>
          <w:shd w:val="clear" w:color="auto" w:fill="FFFFFF"/>
        </w:rPr>
        <w:t>(4), 3.</w:t>
      </w:r>
      <w:r w:rsidR="00C256C3" w:rsidRPr="00077B97">
        <w:rPr>
          <w:color w:val="1D1B11" w:themeColor="background2" w:themeShade="1A"/>
          <w:shd w:val="clear" w:color="auto" w:fill="FFFFFF"/>
        </w:rPr>
        <w:t xml:space="preserve"> </w:t>
      </w:r>
      <w:hyperlink r:id="rId48" w:history="1">
        <w:r w:rsidR="00C256C3" w:rsidRPr="00077B97">
          <w:rPr>
            <w:rStyle w:val="Hyperlink"/>
            <w:shd w:val="clear" w:color="auto" w:fill="FFFFFF"/>
          </w:rPr>
          <w:t>https://agora.edu.es/servlet/articulo?codigo=8956552</w:t>
        </w:r>
      </w:hyperlink>
      <w:r w:rsidR="00C256C3" w:rsidRPr="00077B97">
        <w:rPr>
          <w:color w:val="1D1B11" w:themeColor="background2" w:themeShade="1A"/>
          <w:shd w:val="clear" w:color="auto" w:fill="FFFFFF"/>
        </w:rPr>
        <w:t xml:space="preserve"> </w:t>
      </w:r>
      <w:r w:rsidR="00C256C3" w:rsidRPr="00077B97">
        <w:t xml:space="preserve"> </w:t>
      </w:r>
      <w:r w:rsidRPr="00077B97">
        <w:rPr>
          <w:color w:val="1D1B11" w:themeColor="background2" w:themeShade="1A"/>
          <w:shd w:val="clear" w:color="auto" w:fill="FFFFFF"/>
        </w:rPr>
        <w:t xml:space="preserve"> </w:t>
      </w:r>
    </w:p>
    <w:p w14:paraId="0C07720A" w14:textId="7DDAE6FA" w:rsidR="00F27F3C" w:rsidRPr="00077B97" w:rsidRDefault="00F27F3C" w:rsidP="00F27F3C">
      <w:pPr>
        <w:spacing w:before="240" w:line="360" w:lineRule="auto"/>
        <w:jc w:val="both"/>
        <w:rPr>
          <w:color w:val="1D1B11" w:themeColor="background2" w:themeShade="1A"/>
          <w:shd w:val="clear" w:color="auto" w:fill="FFFFFF"/>
        </w:rPr>
      </w:pPr>
      <w:r w:rsidRPr="00077B97">
        <w:rPr>
          <w:color w:val="1D1B11" w:themeColor="background2" w:themeShade="1A"/>
          <w:shd w:val="clear" w:color="auto" w:fill="FFFFFF"/>
        </w:rPr>
        <w:t>Zhong, X., Wu, X., Xie, X., Zhou, Q., Xu, R., Wang, J., ... and Qiu, X. (2023). A descriptive study on clinical department managers’ cognition of the Plan-Do-Check-Act cycle and factors influencing their cognition. </w:t>
      </w:r>
      <w:r w:rsidRPr="00077B97">
        <w:rPr>
          <w:i/>
          <w:iCs/>
          <w:color w:val="1D1B11" w:themeColor="background2" w:themeShade="1A"/>
          <w:shd w:val="clear" w:color="auto" w:fill="FFFFFF"/>
        </w:rPr>
        <w:t>BMC medical education</w:t>
      </w:r>
      <w:r w:rsidRPr="00077B97">
        <w:rPr>
          <w:color w:val="1D1B11" w:themeColor="background2" w:themeShade="1A"/>
          <w:shd w:val="clear" w:color="auto" w:fill="FFFFFF"/>
        </w:rPr>
        <w:t>, </w:t>
      </w:r>
      <w:r w:rsidRPr="00077B97">
        <w:rPr>
          <w:i/>
          <w:iCs/>
          <w:color w:val="1D1B11" w:themeColor="background2" w:themeShade="1A"/>
          <w:shd w:val="clear" w:color="auto" w:fill="FFFFFF"/>
        </w:rPr>
        <w:t>23</w:t>
      </w:r>
      <w:r w:rsidRPr="00077B97">
        <w:rPr>
          <w:color w:val="1D1B11" w:themeColor="background2" w:themeShade="1A"/>
          <w:shd w:val="clear" w:color="auto" w:fill="FFFFFF"/>
        </w:rPr>
        <w:t>(1), 294</w:t>
      </w:r>
      <w:r w:rsidR="00C256C3" w:rsidRPr="00077B97">
        <w:rPr>
          <w:color w:val="1D1B11" w:themeColor="background2" w:themeShade="1A"/>
          <w:shd w:val="clear" w:color="auto" w:fill="FFFFFF"/>
        </w:rPr>
        <w:t xml:space="preserve">. </w:t>
      </w:r>
      <w:hyperlink r:id="rId49" w:history="1">
        <w:r w:rsidR="00C256C3" w:rsidRPr="00077B97">
          <w:rPr>
            <w:rStyle w:val="Hyperlink"/>
            <w:shd w:val="clear" w:color="auto" w:fill="FFFFFF"/>
          </w:rPr>
          <w:t>https://link.springer.com/article/10.1186/s12909-023-04293-2</w:t>
        </w:r>
      </w:hyperlink>
      <w:r w:rsidR="00C256C3" w:rsidRPr="00077B97">
        <w:rPr>
          <w:color w:val="1D1B11" w:themeColor="background2" w:themeShade="1A"/>
          <w:shd w:val="clear" w:color="auto" w:fill="FFFFFF"/>
        </w:rPr>
        <w:t xml:space="preserve"> </w:t>
      </w:r>
      <w:r w:rsidR="00C256C3" w:rsidRPr="00077B97">
        <w:t xml:space="preserve">   </w:t>
      </w:r>
      <w:r w:rsidRPr="00077B97">
        <w:rPr>
          <w:color w:val="1D1B11" w:themeColor="background2" w:themeShade="1A"/>
          <w:shd w:val="clear" w:color="auto" w:fill="FFFFFF"/>
        </w:rPr>
        <w:t xml:space="preserve"> </w:t>
      </w:r>
    </w:p>
    <w:p w14:paraId="34ACEAD0" w14:textId="77777777" w:rsidR="00F27F3C" w:rsidRPr="00077B97" w:rsidRDefault="00F27F3C" w:rsidP="00103806">
      <w:pPr>
        <w:pStyle w:val="NormalWeb"/>
        <w:spacing w:before="0" w:beforeAutospacing="0" w:after="240" w:afterAutospacing="0" w:line="360" w:lineRule="auto"/>
        <w:jc w:val="both"/>
        <w:rPr>
          <w:rFonts w:ascii="Arial" w:hAnsi="Arial" w:cs="Arial"/>
          <w:color w:val="000000" w:themeColor="text1"/>
          <w:sz w:val="22"/>
          <w:szCs w:val="22"/>
          <w:lang w:val="en-GB"/>
        </w:rPr>
      </w:pPr>
    </w:p>
    <w:p w14:paraId="5F0A57E3" w14:textId="77777777" w:rsidR="00CB4B3B" w:rsidRPr="00077B97" w:rsidRDefault="00CB4B3B" w:rsidP="00103806">
      <w:pPr>
        <w:spacing w:line="360" w:lineRule="auto"/>
        <w:jc w:val="both"/>
        <w:rPr>
          <w:rFonts w:eastAsia="Times New Roman"/>
          <w:lang w:val="en-GB"/>
        </w:rPr>
      </w:pPr>
    </w:p>
    <w:sectPr w:rsidR="00CB4B3B" w:rsidRPr="00077B97" w:rsidSect="00077B97">
      <w:footerReference w:type="default" r:id="rId50"/>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3638C1A5" w14:textId="77777777" w:rsidR="0085438E" w:rsidRDefault="0085438E" w:rsidP="00354E2A">
      <w:pPr>
        <w:spacing w:line="240" w:lineRule="auto"/>
      </w:pPr>
      <w:r>
        <w:separator/>
      </w:r>
    </w:p>
  </w:endnote>
  <w:endnote w:type="continuationSeparator" w:id="0">
    <w:p w14:paraId="04E90C3C" w14:textId="77777777" w:rsidR="0085438E" w:rsidRDefault="0085438E" w:rsidP="00354E2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E6175FCE-E29F-4425-8D84-818009777234}"/>
  </w:font>
  <w:font w:name="Shruti">
    <w:panose1 w:val="020B0502040204020203"/>
    <w:charset w:val="00"/>
    <w:family w:val="swiss"/>
    <w:pitch w:val="variable"/>
    <w:sig w:usb0="00040003" w:usb1="00000000" w:usb2="00000000" w:usb3="00000000" w:csb0="00000001" w:csb1="00000000"/>
    <w:embedRegular r:id="rId2" w:fontKey="{C8ED3D83-A0E4-4F48-AFB0-FC05497886F6}"/>
  </w:font>
  <w:font w:name="Cambria">
    <w:panose1 w:val="02040503050406030204"/>
    <w:charset w:val="00"/>
    <w:family w:val="roman"/>
    <w:pitch w:val="variable"/>
    <w:sig w:usb0="E00006FF" w:usb1="420024FF" w:usb2="02000000" w:usb3="00000000" w:csb0="0000019F" w:csb1="00000000"/>
    <w:embedRegular r:id="rId3" w:fontKey="{029E81A3-C9D9-AF40-A6D5-BDDA3D0A3590}"/>
  </w:font>
  <w:font w:name="Cambria Math">
    <w:panose1 w:val="02040503050406030204"/>
    <w:charset w:val="00"/>
    <w:family w:val="roman"/>
    <w:pitch w:val="variable"/>
    <w:sig w:usb0="E00006FF" w:usb1="420024FF" w:usb2="02000000" w:usb3="00000000" w:csb0="0000019F" w:csb1="00000000"/>
    <w:embedRegular r:id="rId4" w:fontKey="{EBB7295E-29AD-BA4F-B651-3BE33FAF474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838372646"/>
      <w:docPartObj>
        <w:docPartGallery w:val="Page Numbers (Bottom of Page)"/>
        <w:docPartUnique/>
      </w:docPartObj>
    </w:sdtPr>
    <w:sdtEndPr>
      <w:rPr>
        <w:noProof/>
        <w:sz w:val="20"/>
        <w:szCs w:val="20"/>
      </w:rPr>
    </w:sdtEndPr>
    <w:sdtContent>
      <w:p w14:paraId="2F3B6052" w14:textId="3708CAEA" w:rsidR="00354E2A" w:rsidRPr="00F27F3C" w:rsidRDefault="00354E2A">
        <w:pPr>
          <w:pStyle w:val="Footer"/>
          <w:jc w:val="right"/>
          <w:rPr>
            <w:sz w:val="20"/>
            <w:szCs w:val="20"/>
          </w:rPr>
        </w:pPr>
        <w:r w:rsidRPr="00F27F3C">
          <w:rPr>
            <w:sz w:val="20"/>
            <w:szCs w:val="20"/>
          </w:rPr>
          <w:fldChar w:fldCharType="begin"/>
        </w:r>
        <w:r w:rsidRPr="00F27F3C">
          <w:rPr>
            <w:sz w:val="20"/>
            <w:szCs w:val="20"/>
          </w:rPr>
          <w:instrText xml:space="preserve"> PAGE   \* MERGEFORMAT </w:instrText>
        </w:r>
        <w:r w:rsidRPr="00F27F3C">
          <w:rPr>
            <w:sz w:val="20"/>
            <w:szCs w:val="20"/>
          </w:rPr>
          <w:fldChar w:fldCharType="separate"/>
        </w:r>
        <w:r w:rsidRPr="00F27F3C">
          <w:rPr>
            <w:noProof/>
            <w:sz w:val="20"/>
            <w:szCs w:val="20"/>
          </w:rPr>
          <w:t>2</w:t>
        </w:r>
        <w:r w:rsidRPr="00F27F3C">
          <w:rPr>
            <w:noProof/>
            <w:sz w:val="20"/>
            <w:szCs w:val="20"/>
          </w:rPr>
          <w:fldChar w:fldCharType="end"/>
        </w:r>
      </w:p>
    </w:sdtContent>
  </w:sdt>
  <w:p w14:paraId="2B270F56" w14:textId="77777777" w:rsidR="00354E2A" w:rsidRDefault="00354E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195590E" w14:textId="77777777" w:rsidR="0085438E" w:rsidRDefault="0085438E" w:rsidP="00354E2A">
      <w:pPr>
        <w:spacing w:line="240" w:lineRule="auto"/>
      </w:pPr>
      <w:r>
        <w:separator/>
      </w:r>
    </w:p>
  </w:footnote>
  <w:footnote w:type="continuationSeparator" w:id="0">
    <w:p w14:paraId="72847E1B" w14:textId="77777777" w:rsidR="0085438E" w:rsidRDefault="0085438E" w:rsidP="00354E2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E09316C"/>
    <w:multiLevelType w:val="hybridMultilevel"/>
    <w:tmpl w:val="00000000"/>
    <w:lvl w:ilvl="0" w:tplc="7DFE0B56">
      <w:start w:val="1"/>
      <w:numFmt w:val="bullet"/>
      <w:lvlText w:val="●"/>
      <w:lvlJc w:val="left"/>
      <w:pPr>
        <w:ind w:left="720" w:hanging="360"/>
      </w:pPr>
      <w:rPr>
        <w:u w:val="none"/>
      </w:rPr>
    </w:lvl>
    <w:lvl w:ilvl="1" w:tplc="38F206D6">
      <w:start w:val="1"/>
      <w:numFmt w:val="bullet"/>
      <w:lvlText w:val="○"/>
      <w:lvlJc w:val="left"/>
      <w:pPr>
        <w:ind w:left="1440" w:hanging="360"/>
      </w:pPr>
      <w:rPr>
        <w:u w:val="none"/>
      </w:rPr>
    </w:lvl>
    <w:lvl w:ilvl="2" w:tplc="C0565E44">
      <w:start w:val="1"/>
      <w:numFmt w:val="bullet"/>
      <w:lvlText w:val="■"/>
      <w:lvlJc w:val="left"/>
      <w:pPr>
        <w:ind w:left="2160" w:hanging="360"/>
      </w:pPr>
      <w:rPr>
        <w:u w:val="none"/>
      </w:rPr>
    </w:lvl>
    <w:lvl w:ilvl="3" w:tplc="E3AA9FA6">
      <w:start w:val="1"/>
      <w:numFmt w:val="bullet"/>
      <w:lvlText w:val="●"/>
      <w:lvlJc w:val="left"/>
      <w:pPr>
        <w:ind w:left="2880" w:hanging="360"/>
      </w:pPr>
      <w:rPr>
        <w:u w:val="none"/>
      </w:rPr>
    </w:lvl>
    <w:lvl w:ilvl="4" w:tplc="1ED0561A">
      <w:start w:val="1"/>
      <w:numFmt w:val="bullet"/>
      <w:lvlText w:val="○"/>
      <w:lvlJc w:val="left"/>
      <w:pPr>
        <w:ind w:left="3600" w:hanging="360"/>
      </w:pPr>
      <w:rPr>
        <w:u w:val="none"/>
      </w:rPr>
    </w:lvl>
    <w:lvl w:ilvl="5" w:tplc="96945310">
      <w:start w:val="1"/>
      <w:numFmt w:val="bullet"/>
      <w:lvlText w:val="■"/>
      <w:lvlJc w:val="left"/>
      <w:pPr>
        <w:ind w:left="4320" w:hanging="360"/>
      </w:pPr>
      <w:rPr>
        <w:u w:val="none"/>
      </w:rPr>
    </w:lvl>
    <w:lvl w:ilvl="6" w:tplc="F0405EEA">
      <w:start w:val="1"/>
      <w:numFmt w:val="bullet"/>
      <w:lvlText w:val="●"/>
      <w:lvlJc w:val="left"/>
      <w:pPr>
        <w:ind w:left="5040" w:hanging="360"/>
      </w:pPr>
      <w:rPr>
        <w:u w:val="none"/>
      </w:rPr>
    </w:lvl>
    <w:lvl w:ilvl="7" w:tplc="CA7CAC52">
      <w:start w:val="1"/>
      <w:numFmt w:val="bullet"/>
      <w:lvlText w:val="○"/>
      <w:lvlJc w:val="left"/>
      <w:pPr>
        <w:ind w:left="5760" w:hanging="360"/>
      </w:pPr>
      <w:rPr>
        <w:u w:val="none"/>
      </w:rPr>
    </w:lvl>
    <w:lvl w:ilvl="8" w:tplc="5492E72C">
      <w:start w:val="1"/>
      <w:numFmt w:val="bullet"/>
      <w:lvlText w:val="■"/>
      <w:lvlJc w:val="left"/>
      <w:pPr>
        <w:ind w:left="6480" w:hanging="360"/>
      </w:pPr>
      <w:rPr>
        <w:u w:val="none"/>
      </w:rPr>
    </w:lvl>
  </w:abstractNum>
  <w:abstractNum w:abstractNumId="1" w15:restartNumberingAfterBreak="0">
    <w:nsid w:val="2D2C8D16"/>
    <w:multiLevelType w:val="hybridMultilevel"/>
    <w:tmpl w:val="00000000"/>
    <w:lvl w:ilvl="0" w:tplc="3DDC7842">
      <w:start w:val="1"/>
      <w:numFmt w:val="bullet"/>
      <w:lvlText w:val="●"/>
      <w:lvlJc w:val="left"/>
      <w:pPr>
        <w:ind w:left="720" w:hanging="360"/>
      </w:pPr>
      <w:rPr>
        <w:u w:val="none"/>
      </w:rPr>
    </w:lvl>
    <w:lvl w:ilvl="1" w:tplc="EF7CF254">
      <w:start w:val="1"/>
      <w:numFmt w:val="bullet"/>
      <w:lvlText w:val="○"/>
      <w:lvlJc w:val="left"/>
      <w:pPr>
        <w:ind w:left="1440" w:hanging="360"/>
      </w:pPr>
      <w:rPr>
        <w:u w:val="none"/>
      </w:rPr>
    </w:lvl>
    <w:lvl w:ilvl="2" w:tplc="181EABEC">
      <w:start w:val="1"/>
      <w:numFmt w:val="bullet"/>
      <w:lvlText w:val="■"/>
      <w:lvlJc w:val="left"/>
      <w:pPr>
        <w:ind w:left="2160" w:hanging="360"/>
      </w:pPr>
      <w:rPr>
        <w:u w:val="none"/>
      </w:rPr>
    </w:lvl>
    <w:lvl w:ilvl="3" w:tplc="14BCB922">
      <w:start w:val="1"/>
      <w:numFmt w:val="bullet"/>
      <w:lvlText w:val="●"/>
      <w:lvlJc w:val="left"/>
      <w:pPr>
        <w:ind w:left="2880" w:hanging="360"/>
      </w:pPr>
      <w:rPr>
        <w:u w:val="none"/>
      </w:rPr>
    </w:lvl>
    <w:lvl w:ilvl="4" w:tplc="EC7A8C02">
      <w:start w:val="1"/>
      <w:numFmt w:val="bullet"/>
      <w:lvlText w:val="○"/>
      <w:lvlJc w:val="left"/>
      <w:pPr>
        <w:ind w:left="3600" w:hanging="360"/>
      </w:pPr>
      <w:rPr>
        <w:u w:val="none"/>
      </w:rPr>
    </w:lvl>
    <w:lvl w:ilvl="5" w:tplc="8CA8B334">
      <w:start w:val="1"/>
      <w:numFmt w:val="bullet"/>
      <w:lvlText w:val="■"/>
      <w:lvlJc w:val="left"/>
      <w:pPr>
        <w:ind w:left="4320" w:hanging="360"/>
      </w:pPr>
      <w:rPr>
        <w:u w:val="none"/>
      </w:rPr>
    </w:lvl>
    <w:lvl w:ilvl="6" w:tplc="6CBCE04E">
      <w:start w:val="1"/>
      <w:numFmt w:val="bullet"/>
      <w:lvlText w:val="●"/>
      <w:lvlJc w:val="left"/>
      <w:pPr>
        <w:ind w:left="5040" w:hanging="360"/>
      </w:pPr>
      <w:rPr>
        <w:u w:val="none"/>
      </w:rPr>
    </w:lvl>
    <w:lvl w:ilvl="7" w:tplc="A03CC4C4">
      <w:start w:val="1"/>
      <w:numFmt w:val="bullet"/>
      <w:lvlText w:val="○"/>
      <w:lvlJc w:val="left"/>
      <w:pPr>
        <w:ind w:left="5760" w:hanging="360"/>
      </w:pPr>
      <w:rPr>
        <w:u w:val="none"/>
      </w:rPr>
    </w:lvl>
    <w:lvl w:ilvl="8" w:tplc="14CAE2CC">
      <w:start w:val="1"/>
      <w:numFmt w:val="bullet"/>
      <w:lvlText w:val="■"/>
      <w:lvlJc w:val="left"/>
      <w:pPr>
        <w:ind w:left="6480" w:hanging="360"/>
      </w:pPr>
      <w:rPr>
        <w:u w:val="none"/>
      </w:rPr>
    </w:lvl>
  </w:abstractNum>
  <w:num w:numId="1" w16cid:durableId="1932084">
    <w:abstractNumId w:val="0"/>
  </w:num>
  <w:num w:numId="2" w16cid:durableId="673917792">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26"/>
  <w:embedTrueTypeFonts/>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75A64"/>
    <w:rsid w:val="00077B97"/>
    <w:rsid w:val="00103806"/>
    <w:rsid w:val="0017149D"/>
    <w:rsid w:val="00175A64"/>
    <w:rsid w:val="002154A9"/>
    <w:rsid w:val="002758AD"/>
    <w:rsid w:val="00354E2A"/>
    <w:rsid w:val="00416D48"/>
    <w:rsid w:val="00466887"/>
    <w:rsid w:val="004E44AC"/>
    <w:rsid w:val="00673CF0"/>
    <w:rsid w:val="00752DCC"/>
    <w:rsid w:val="007A74CA"/>
    <w:rsid w:val="007E52E1"/>
    <w:rsid w:val="0085438E"/>
    <w:rsid w:val="008A58C5"/>
    <w:rsid w:val="008B674A"/>
    <w:rsid w:val="00A063AF"/>
    <w:rsid w:val="00B0121B"/>
    <w:rsid w:val="00B02626"/>
    <w:rsid w:val="00B22D43"/>
    <w:rsid w:val="00BC2FAA"/>
    <w:rsid w:val="00C15835"/>
    <w:rsid w:val="00C23E20"/>
    <w:rsid w:val="00C256C3"/>
    <w:rsid w:val="00CA6754"/>
    <w:rsid w:val="00CB0F84"/>
    <w:rsid w:val="00CB4B3B"/>
    <w:rsid w:val="00D972C4"/>
    <w:rsid w:val="00E75D91"/>
    <w:rsid w:val="00F27F3C"/>
    <w:rsid w:val="00F454AA"/>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A1A9D7"/>
  <w15:docId w15:val="{FCCA2C91-BAE5-47BE-AEA9-35A1030F23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673CF0"/>
    <w:pPr>
      <w:keepNext/>
      <w:keepLines/>
      <w:spacing w:before="400" w:after="120" w:line="360" w:lineRule="auto"/>
      <w:jc w:val="both"/>
      <w:outlineLvl w:val="0"/>
    </w:pPr>
    <w:rPr>
      <w:b/>
      <w:color w:val="000000" w:themeColor="text1"/>
      <w:sz w:val="24"/>
      <w:szCs w:val="40"/>
    </w:rPr>
  </w:style>
  <w:style w:type="paragraph" w:styleId="Heading2">
    <w:name w:val="heading 2"/>
    <w:basedOn w:val="Normal"/>
    <w:next w:val="Normal"/>
    <w:rsid w:val="00673CF0"/>
    <w:pPr>
      <w:keepNext/>
      <w:keepLines/>
      <w:spacing w:before="360" w:after="120" w:line="360" w:lineRule="auto"/>
      <w:jc w:val="both"/>
      <w:outlineLvl w:val="1"/>
    </w:pPr>
    <w:rPr>
      <w:b/>
      <w:color w:val="000000" w:themeColor="text1"/>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Table1">
    <w:name w:val="Table1"/>
    <w:basedOn w:val="TableNormal0"/>
    <w:tblPr>
      <w:tblStyleRowBandSize w:val="1"/>
      <w:tblStyleColBandSize w:val="1"/>
    </w:tblPr>
  </w:style>
  <w:style w:type="paragraph" w:styleId="NormalWeb">
    <w:name w:val="Normal (Web)"/>
    <w:basedOn w:val="Normal"/>
    <w:uiPriority w:val="99"/>
    <w:unhideWhenUsed/>
    <w:rsid w:val="00CB4B3B"/>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Hyperlink">
    <w:name w:val="Hyperlink"/>
    <w:basedOn w:val="DefaultParagraphFont"/>
    <w:uiPriority w:val="99"/>
    <w:unhideWhenUsed/>
    <w:rsid w:val="00CB4B3B"/>
    <w:rPr>
      <w:color w:val="0000FF"/>
      <w:u w:val="single"/>
    </w:rPr>
  </w:style>
  <w:style w:type="paragraph" w:styleId="Header">
    <w:name w:val="header"/>
    <w:basedOn w:val="Normal"/>
    <w:link w:val="HeaderChar"/>
    <w:uiPriority w:val="99"/>
    <w:unhideWhenUsed/>
    <w:rsid w:val="00354E2A"/>
    <w:pPr>
      <w:tabs>
        <w:tab w:val="center" w:pos="4680"/>
        <w:tab w:val="right" w:pos="9360"/>
      </w:tabs>
      <w:spacing w:line="240" w:lineRule="auto"/>
    </w:pPr>
  </w:style>
  <w:style w:type="character" w:customStyle="1" w:styleId="HeaderChar">
    <w:name w:val="Header Char"/>
    <w:basedOn w:val="DefaultParagraphFont"/>
    <w:link w:val="Header"/>
    <w:uiPriority w:val="99"/>
    <w:rsid w:val="00354E2A"/>
  </w:style>
  <w:style w:type="paragraph" w:styleId="Footer">
    <w:name w:val="footer"/>
    <w:basedOn w:val="Normal"/>
    <w:link w:val="FooterChar"/>
    <w:uiPriority w:val="99"/>
    <w:unhideWhenUsed/>
    <w:rsid w:val="00354E2A"/>
    <w:pPr>
      <w:tabs>
        <w:tab w:val="center" w:pos="4680"/>
        <w:tab w:val="right" w:pos="9360"/>
      </w:tabs>
      <w:spacing w:line="240" w:lineRule="auto"/>
    </w:pPr>
  </w:style>
  <w:style w:type="character" w:customStyle="1" w:styleId="FooterChar">
    <w:name w:val="Footer Char"/>
    <w:basedOn w:val="DefaultParagraphFont"/>
    <w:link w:val="Footer"/>
    <w:uiPriority w:val="99"/>
    <w:rsid w:val="00354E2A"/>
  </w:style>
  <w:style w:type="paragraph" w:styleId="TOCHeading">
    <w:name w:val="TOC Heading"/>
    <w:basedOn w:val="Heading1"/>
    <w:next w:val="Normal"/>
    <w:uiPriority w:val="39"/>
    <w:unhideWhenUsed/>
    <w:qFormat/>
    <w:rsid w:val="007A74CA"/>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7A74CA"/>
    <w:pPr>
      <w:spacing w:after="100"/>
    </w:pPr>
  </w:style>
  <w:style w:type="paragraph" w:styleId="TOC2">
    <w:name w:val="toc 2"/>
    <w:basedOn w:val="Normal"/>
    <w:next w:val="Normal"/>
    <w:autoRedefine/>
    <w:uiPriority w:val="39"/>
    <w:unhideWhenUsed/>
    <w:rsid w:val="007A74CA"/>
    <w:pPr>
      <w:spacing w:after="100"/>
      <w:ind w:left="220"/>
    </w:pPr>
  </w:style>
  <w:style w:type="table" w:styleId="TableGrid">
    <w:name w:val="Table Grid"/>
    <w:basedOn w:val="TableNormal"/>
    <w:uiPriority w:val="59"/>
    <w:rsid w:val="00673CF0"/>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C256C3"/>
    <w:rPr>
      <w:color w:val="800080" w:themeColor="followedHyperlink"/>
      <w:u w:val="single"/>
    </w:rPr>
  </w:style>
  <w:style w:type="character" w:styleId="UnresolvedMention">
    <w:name w:val="Unresolved Mention"/>
    <w:basedOn w:val="DefaultParagraphFont"/>
    <w:uiPriority w:val="99"/>
    <w:semiHidden/>
    <w:unhideWhenUsed/>
    <w:rsid w:val="00C256C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13849505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doi.org/10.1108/TQM-04-2022-0135" TargetMode="External"/><Relationship Id="rId26" Type="http://schemas.openxmlformats.org/officeDocument/2006/relationships/hyperlink" Target="https://www.cqc.org.uk/press-release/cqc-publishes-report-countess-chester-hospital-nhs-foundation-trust" TargetMode="External"/><Relationship Id="rId39" Type="http://schemas.openxmlformats.org/officeDocument/2006/relationships/hyperlink" Target="https://journals.co.za/doi/abs/10.7166/33-2-2711" TargetMode="External"/><Relationship Id="rId21" Type="http://schemas.openxmlformats.org/officeDocument/2006/relationships/hyperlink" Target="https://www.cureus.com/articles/197936-improving-patient-outcomes-through-effective-hospital-administration-a-comprehensive-review" TargetMode="External"/><Relationship Id="rId34" Type="http://schemas.openxmlformats.org/officeDocument/2006/relationships/hyperlink" Target="https://doi.org/10.36401/jqsh-23-42" TargetMode="External"/><Relationship Id="rId42" Type="http://schemas.openxmlformats.org/officeDocument/2006/relationships/hyperlink" Target="https://www.tandfonline.com/doi/abs/10.1080/09650792.2021.1894964" TargetMode="External"/><Relationship Id="rId47" Type="http://schemas.openxmlformats.org/officeDocument/2006/relationships/hyperlink" Target="https://www.emerald.com/ijlss/article-abstract/14/4/759/136112/Green-Lean-Six-Sigma-for-sustainability" TargetMode="External"/><Relationship Id="rId50"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iabeticstudies.org/index.php/RDS/article/view/1826/1634" TargetMode="External"/><Relationship Id="rId29" Type="http://schemas.openxmlformats.org/officeDocument/2006/relationships/hyperlink" Target="https://www.gov.uk/government/publications/thirlwall-inquiry-terms-of-reference/thirlwall-inquiry-terms-of-reference" TargetMode="External"/><Relationship Id="rId11" Type="http://schemas.openxmlformats.org/officeDocument/2006/relationships/image" Target="media/image4.png"/><Relationship Id="rId24" Type="http://schemas.openxmlformats.org/officeDocument/2006/relationships/hyperlink" Target="https://www.sciencedirect.com/science/article/pii/S0959652624021760" TargetMode="External"/><Relationship Id="rId32" Type="http://schemas.openxmlformats.org/officeDocument/2006/relationships/hyperlink" Target="https://doi.org/10.1093/intqhc/mzad088" TargetMode="External"/><Relationship Id="rId37" Type="http://schemas.openxmlformats.org/officeDocument/2006/relationships/hyperlink" Target="https://www.england.nhs.uk/long-read/quality-strategy-for-nhs-funded-care-in-england/" TargetMode="External"/><Relationship Id="rId40" Type="http://schemas.openxmlformats.org/officeDocument/2006/relationships/hyperlink" Target="https://doi.org/10.34172/rdme.025.33263" TargetMode="External"/><Relationship Id="rId45" Type="http://schemas.openxmlformats.org/officeDocument/2006/relationships/hyperlink" Target="https://pubmed.ncbi.nlm.nih.gov/36817927/"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researchgate.net/profile/Sumit-Nayek/publication/371276433_Health_Care_Administration_And_Management/links/647b8097d702370600cf7ba9/Health-Care-Administration-And-Management.pdf" TargetMode="External"/><Relationship Id="rId28" Type="http://schemas.openxmlformats.org/officeDocument/2006/relationships/hyperlink" Target="https://www.gov.uk/government/news/government-agrees-scope-of-inquiry-into-lucy-letbys-crimes" TargetMode="External"/><Relationship Id="rId36" Type="http://schemas.openxmlformats.org/officeDocument/2006/relationships/hyperlink" Target="https://doi.org/10.52970/grmilf.v6i2.2102" TargetMode="External"/><Relationship Id="rId49" Type="http://schemas.openxmlformats.org/officeDocument/2006/relationships/hyperlink" Target="https://link.springer.com/article/10.1186/s12909-023-04293-2" TargetMode="External"/><Relationship Id="rId10" Type="http://schemas.openxmlformats.org/officeDocument/2006/relationships/image" Target="media/image3.png"/><Relationship Id="rId19" Type="http://schemas.openxmlformats.org/officeDocument/2006/relationships/hyperlink" Target="https://doi.org/10.1108/ECAM-02-2023-0102" TargetMode="External"/><Relationship Id="rId31" Type="http://schemas.openxmlformats.org/officeDocument/2006/relationships/hyperlink" Target="https://doi.org/10.31538/munaddhomah.v5i1.545" TargetMode="External"/><Relationship Id="rId44" Type="http://schemas.openxmlformats.org/officeDocument/2006/relationships/hyperlink" Target="https://www.theguardian.com/uk-news/article/2024/sep/08/a-superbug-doctor-shortages-and-a-neonatal-unit-out-of-its-depth-failures-at-lucy-letby-hospital-revealed" TargetMode="External"/><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thieme-connect.com/products/ejournals/html/10.1055/a-2290-0263" TargetMode="External"/><Relationship Id="rId27" Type="http://schemas.openxmlformats.org/officeDocument/2006/relationships/hyperlink" Target="https://journals.healio.com/doi/full/10.3928/01484834-20240522-04" TargetMode="External"/><Relationship Id="rId30" Type="http://schemas.openxmlformats.org/officeDocument/2006/relationships/hyperlink" Target="https://www.gov.uk/government/speeches/secretary-of-state-oral-statement-on-lucy-letby-statutory-inquiry" TargetMode="External"/><Relationship Id="rId35" Type="http://schemas.openxmlformats.org/officeDocument/2006/relationships/hyperlink" Target="https://doi.org/10.1002/nur.22291" TargetMode="External"/><Relationship Id="rId43" Type="http://schemas.openxmlformats.org/officeDocument/2006/relationships/hyperlink" Target="https://equatorscience.com/index.php/jabter/article/download/103/80" TargetMode="External"/><Relationship Id="rId48" Type="http://schemas.openxmlformats.org/officeDocument/2006/relationships/hyperlink" Target="https://agora.edu.es/servlet/articulo?codigo=8956552" TargetMode="External"/><Relationship Id="rId8" Type="http://schemas.openxmlformats.org/officeDocument/2006/relationships/image" Target="media/image1.png"/><Relationship Id="rId51"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saudijournals.com/media/articles/SJMPS_1110_928-941_BD.pdf" TargetMode="External"/><Relationship Id="rId25" Type="http://schemas.openxmlformats.org/officeDocument/2006/relationships/hyperlink" Target="https://www.cqc.org.uk/provider/RJR/reports" TargetMode="External"/><Relationship Id="rId33" Type="http://schemas.openxmlformats.org/officeDocument/2006/relationships/hyperlink" Target="https://doi.org/10.56832/edu.v5i3.2231" TargetMode="External"/><Relationship Id="rId38" Type="http://schemas.openxmlformats.org/officeDocument/2006/relationships/hyperlink" Target="https://www.tandfonline.com/doi/abs/10.1080/09537287.2023.2188496" TargetMode="External"/><Relationship Id="rId46" Type="http://schemas.openxmlformats.org/officeDocument/2006/relationships/hyperlink" Target="https://doi.org/10.1016/j.bja.2023.12.035" TargetMode="External"/><Relationship Id="rId20" Type="http://schemas.openxmlformats.org/officeDocument/2006/relationships/hyperlink" Target="https://doi.org/10.1002/ncp.70041" TargetMode="External"/><Relationship Id="rId41" Type="http://schemas.openxmlformats.org/officeDocument/2006/relationships/hyperlink" Target="https://link.springer.com/chapter/10.1007/978-3-031-70984-5_18" TargetMode="External"/><Relationship Id="rId1" Type="http://schemas.openxmlformats.org/officeDocument/2006/relationships/customXml" Target="../customXml/item1.xml"/><Relationship Id="rId6" Type="http://schemas.openxmlformats.org/officeDocument/2006/relationships/footnotes" Target="footnote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5F948B-90F3-48D6-9C72-BE79DF299A0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5639</Words>
  <Characters>32147</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yashu7041@gmail.com</cp:lastModifiedBy>
  <cp:revision>2</cp:revision>
  <dcterms:created xsi:type="dcterms:W3CDTF">2026-08-13T21:52:00Z</dcterms:created>
  <dcterms:modified xsi:type="dcterms:W3CDTF">2026-08-13T21:52:00Z</dcterms:modified>
</cp:coreProperties>
</file>