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2F058A" w:rsidR="000D36D4" w:rsidP="5D2BBAB8" w:rsidRDefault="000D36D4" w14:paraId="7081CED1" w14:textId="64FBE155">
      <w:pPr>
        <w:spacing w:after="0" w:line="480" w:lineRule="auto"/>
        <w:jc w:val="center"/>
        <w:rPr>
          <w:rFonts w:ascii="Times New Roman" w:hAnsi="Times New Roman" w:cs="Times New Roman"/>
          <w:sz w:val="24"/>
          <w:szCs w:val="24"/>
        </w:rPr>
      </w:pPr>
    </w:p>
    <w:p w:rsidRPr="00320F42" w:rsidR="00320F42" w:rsidP="5D2BBAB8" w:rsidRDefault="001F6E9B" w14:paraId="3EE82C06" w14:textId="0F70D24B">
      <w:pPr>
        <w:spacing w:after="0" w:line="480" w:lineRule="auto"/>
        <w:jc w:val="center"/>
        <w:rPr>
          <w:rFonts w:ascii="Times New Roman" w:hAnsi="Times New Roman" w:cs="Times New Roman"/>
          <w:sz w:val="24"/>
          <w:szCs w:val="24"/>
        </w:rPr>
      </w:pPr>
      <w:r w:rsidRPr="5D2BBAB8" w:rsidR="001F6E9B">
        <w:rPr>
          <w:rFonts w:ascii="Times New Roman" w:hAnsi="Times New Roman" w:cs="Times New Roman"/>
          <w:sz w:val="24"/>
          <w:szCs w:val="24"/>
        </w:rPr>
        <w:t xml:space="preserve">Assessment 2 - Environmental Analysis of an </w:t>
      </w:r>
      <w:r w:rsidRPr="5D2BBAB8" w:rsidR="130B688C">
        <w:rPr>
          <w:rFonts w:ascii="Times New Roman" w:hAnsi="Times New Roman" w:cs="Times New Roman"/>
          <w:sz w:val="24"/>
          <w:szCs w:val="24"/>
        </w:rPr>
        <w:t>I</w:t>
      </w:r>
      <w:r w:rsidRPr="5D2BBAB8" w:rsidR="001F6E9B">
        <w:rPr>
          <w:rFonts w:ascii="Times New Roman" w:hAnsi="Times New Roman" w:cs="Times New Roman"/>
          <w:sz w:val="24"/>
          <w:szCs w:val="24"/>
        </w:rPr>
        <w:t>ndustry</w:t>
      </w:r>
    </w:p>
    <w:p w:rsidRPr="002F058A" w:rsidR="000D36D4" w:rsidP="000D36D4" w:rsidRDefault="001F6E9B" w14:paraId="6BEDC502" w14:textId="7D87E13D">
      <w:pPr>
        <w:spacing w:after="0" w:line="480" w:lineRule="auto"/>
        <w:jc w:val="center"/>
        <w:rPr>
          <w:rFonts w:ascii="Times New Roman" w:hAnsi="Times New Roman" w:cs="Times New Roman"/>
          <w:sz w:val="24"/>
          <w:szCs w:val="24"/>
        </w:rPr>
      </w:pPr>
      <w:r w:rsidRPr="5D2BBAB8" w:rsidR="408622BB">
        <w:rPr>
          <w:rFonts w:ascii="Times New Roman" w:hAnsi="Times New Roman" w:cs="Times New Roman"/>
          <w:sz w:val="24"/>
          <w:szCs w:val="24"/>
        </w:rPr>
        <w:t>by Larisa Tamas</w:t>
      </w:r>
    </w:p>
    <w:p w:rsidR="00320F42" w:rsidP="5D2BBAB8" w:rsidRDefault="00320F42" w14:paraId="175B5156" w14:textId="3489B5C5">
      <w:pPr>
        <w:pStyle w:val="Normal"/>
        <w:spacing w:after="0" w:line="480" w:lineRule="auto"/>
        <w:jc w:val="center"/>
        <w:rPr>
          <w:rFonts w:ascii="Times New Roman" w:hAnsi="Times New Roman" w:cs="Times New Roman"/>
          <w:sz w:val="24"/>
          <w:szCs w:val="24"/>
        </w:rPr>
      </w:pPr>
    </w:p>
    <w:p w:rsidR="00320F42" w:rsidP="5D2BBAB8" w:rsidRDefault="00320F42" w14:paraId="7D930CDA" w14:textId="510CF0D6">
      <w:pPr>
        <w:pStyle w:val="Normal"/>
        <w:spacing w:after="0" w:line="480" w:lineRule="auto"/>
        <w:jc w:val="center"/>
        <w:rPr>
          <w:rFonts w:ascii="Times New Roman" w:hAnsi="Times New Roman" w:cs="Times New Roman"/>
          <w:sz w:val="24"/>
          <w:szCs w:val="24"/>
        </w:rPr>
      </w:pPr>
    </w:p>
    <w:p w:rsidR="00320F42" w:rsidP="5D2BBAB8" w:rsidRDefault="00320F42" w14:paraId="4A28FF8D" w14:textId="1C2B2842">
      <w:pPr>
        <w:pStyle w:val="Normal"/>
        <w:spacing w:after="0" w:line="480" w:lineRule="auto"/>
        <w:jc w:val="center"/>
        <w:rPr>
          <w:rFonts w:ascii="Times New Roman" w:hAnsi="Times New Roman" w:cs="Times New Roman"/>
          <w:sz w:val="24"/>
          <w:szCs w:val="24"/>
        </w:rPr>
      </w:pPr>
    </w:p>
    <w:p w:rsidR="00320F42" w:rsidP="5D2BBAB8" w:rsidRDefault="00320F42" w14:paraId="796C49DF" w14:textId="5CA6CFD2">
      <w:pPr>
        <w:pStyle w:val="Normal"/>
        <w:spacing w:after="0" w:line="480" w:lineRule="auto"/>
        <w:jc w:val="center"/>
        <w:rPr>
          <w:rFonts w:ascii="Times New Roman" w:hAnsi="Times New Roman" w:cs="Times New Roman"/>
          <w:sz w:val="24"/>
          <w:szCs w:val="24"/>
        </w:rPr>
      </w:pPr>
    </w:p>
    <w:p w:rsidR="00320F42" w:rsidP="5D2BBAB8" w:rsidRDefault="00320F42" w14:paraId="6809954B" w14:textId="6D1C6CF0">
      <w:pPr>
        <w:pStyle w:val="Normal"/>
        <w:spacing w:after="0" w:line="480" w:lineRule="auto"/>
        <w:jc w:val="center"/>
        <w:rPr>
          <w:rFonts w:ascii="Times New Roman" w:hAnsi="Times New Roman" w:cs="Times New Roman"/>
          <w:sz w:val="24"/>
          <w:szCs w:val="24"/>
        </w:rPr>
      </w:pPr>
    </w:p>
    <w:p w:rsidR="00320F42" w:rsidP="5D2BBAB8" w:rsidRDefault="00320F42" w14:paraId="51799480" w14:textId="3D9C06EF">
      <w:pPr>
        <w:spacing w:after="160"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D2BBAB8" w:rsidR="408622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AU"/>
        </w:rPr>
        <w:t xml:space="preserve">The Global Business Environment  </w:t>
      </w:r>
    </w:p>
    <w:p w:rsidR="00320F42" w:rsidP="5D2BBAB8" w:rsidRDefault="00320F42" w14:paraId="6B651C1F" w14:textId="059EC75A">
      <w:pPr>
        <w:spacing w:after="160"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D2BBAB8" w:rsidR="408622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AU"/>
        </w:rPr>
        <w:t>Module Code: LCBB4005</w:t>
      </w:r>
    </w:p>
    <w:p w:rsidR="00320F42" w:rsidP="5D2BBAB8" w:rsidRDefault="00320F42" w14:paraId="051C7505" w14:textId="26888026">
      <w:pPr>
        <w:spacing w:after="160"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D2BBAB8" w:rsidR="408622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AU"/>
        </w:rPr>
        <w:t>Student ID: 2023296</w:t>
      </w:r>
    </w:p>
    <w:p w:rsidR="00320F42" w:rsidP="5D2BBAB8" w:rsidRDefault="00320F42" w14:paraId="224840B7" w14:textId="3A1714EA">
      <w:pPr>
        <w:spacing w:after="160"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D2BBAB8" w:rsidR="408622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AU"/>
        </w:rPr>
        <w:t>Lecturer Nadeem Mirza</w:t>
      </w:r>
    </w:p>
    <w:p w:rsidR="00320F42" w:rsidP="5D2BBAB8" w:rsidRDefault="00320F42" w14:paraId="4166EC79" w14:textId="28EF5875">
      <w:pPr>
        <w:spacing w:after="160"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D2BBAB8" w:rsidR="408622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AU"/>
        </w:rPr>
        <w:t>University of Trinity Saint David</w:t>
      </w:r>
    </w:p>
    <w:p w:rsidR="00320F42" w:rsidP="5D2BBAB8" w:rsidRDefault="00320F42" w14:paraId="3DDEFE63" w14:textId="07DC640F">
      <w:pPr>
        <w:spacing w:after="160"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D2BBAB8" w:rsidR="408622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AU"/>
        </w:rPr>
        <w:t>London</w:t>
      </w:r>
    </w:p>
    <w:p w:rsidR="00320F42" w:rsidP="5D2BBAB8" w:rsidRDefault="00320F42" w14:paraId="29952562" w14:textId="5D916381">
      <w:pPr>
        <w:spacing w:after="160"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D2BBAB8" w:rsidR="408622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AU"/>
        </w:rPr>
        <w:t>14.01.2022</w:t>
      </w:r>
    </w:p>
    <w:p w:rsidR="5D2BBAB8" w:rsidRDefault="5D2BBAB8" w14:paraId="0DF3E3BA" w14:textId="7E198A4F">
      <w:r>
        <w:br w:type="page"/>
      </w:r>
    </w:p>
    <w:sdt>
      <w:sdtPr>
        <w:id w:val="2104340000"/>
        <w:docPartObj>
          <w:docPartGallery w:val="Table of Contents"/>
          <w:docPartUnique/>
        </w:docPartObj>
      </w:sdtPr>
      <w:sdtContent>
        <w:p w:rsidR="5D2BBAB8" w:rsidP="5D2BBAB8" w:rsidRDefault="5D2BBAB8" w14:paraId="543A5D1F" w14:textId="7E163A0A">
          <w:pPr>
            <w:pStyle w:val="TOC1"/>
            <w:tabs>
              <w:tab w:val="right" w:leader="dot" w:pos="9360"/>
            </w:tabs>
            <w:bidi w:val="0"/>
          </w:pPr>
          <w:r>
            <w:fldChar w:fldCharType="begin"/>
          </w:r>
          <w:r>
            <w:instrText xml:space="preserve">TOC \o \z \u \h</w:instrText>
          </w:r>
          <w:r>
            <w:fldChar w:fldCharType="separate"/>
          </w:r>
          <w:hyperlink w:anchor="_Toc1051086233">
            <w:r w:rsidRPr="5D2BBAB8" w:rsidR="5D2BBAB8">
              <w:rPr>
                <w:rStyle w:val="Hyperlink"/>
              </w:rPr>
              <w:t>Assessment 2 - Environmental Analysis of an industry</w:t>
            </w:r>
            <w:r>
              <w:tab/>
            </w:r>
            <w:r>
              <w:fldChar w:fldCharType="begin"/>
            </w:r>
            <w:r>
              <w:instrText xml:space="preserve">PAGEREF _Toc1051086233 \h</w:instrText>
            </w:r>
            <w:r>
              <w:fldChar w:fldCharType="separate"/>
            </w:r>
            <w:r w:rsidRPr="5D2BBAB8" w:rsidR="5D2BBAB8">
              <w:rPr>
                <w:rStyle w:val="Hyperlink"/>
              </w:rPr>
              <w:t>2</w:t>
            </w:r>
            <w:r>
              <w:fldChar w:fldCharType="end"/>
            </w:r>
          </w:hyperlink>
        </w:p>
        <w:p w:rsidR="5D2BBAB8" w:rsidP="5D2BBAB8" w:rsidRDefault="5D2BBAB8" w14:paraId="68380825" w14:textId="1546F2AC">
          <w:pPr>
            <w:pStyle w:val="TOC1"/>
            <w:tabs>
              <w:tab w:val="right" w:leader="dot" w:pos="9360"/>
            </w:tabs>
            <w:bidi w:val="0"/>
          </w:pPr>
          <w:hyperlink w:anchor="_Toc585785620">
            <w:r w:rsidRPr="5D2BBAB8" w:rsidR="5D2BBAB8">
              <w:rPr>
                <w:rStyle w:val="Hyperlink"/>
              </w:rPr>
              <w:t>Porters Diamond Forces</w:t>
            </w:r>
            <w:r>
              <w:tab/>
            </w:r>
            <w:r>
              <w:fldChar w:fldCharType="begin"/>
            </w:r>
            <w:r>
              <w:instrText xml:space="preserve">PAGEREF _Toc585785620 \h</w:instrText>
            </w:r>
            <w:r>
              <w:fldChar w:fldCharType="separate"/>
            </w:r>
            <w:r w:rsidRPr="5D2BBAB8" w:rsidR="5D2BBAB8">
              <w:rPr>
                <w:rStyle w:val="Hyperlink"/>
              </w:rPr>
              <w:t>3</w:t>
            </w:r>
            <w:r>
              <w:fldChar w:fldCharType="end"/>
            </w:r>
          </w:hyperlink>
        </w:p>
        <w:p w:rsidR="5D2BBAB8" w:rsidP="5D2BBAB8" w:rsidRDefault="5D2BBAB8" w14:paraId="0F71FC8A" w14:textId="76C016C8">
          <w:pPr>
            <w:pStyle w:val="TOC1"/>
            <w:tabs>
              <w:tab w:val="right" w:leader="dot" w:pos="9360"/>
            </w:tabs>
            <w:bidi w:val="0"/>
          </w:pPr>
          <w:hyperlink w:anchor="_Toc815962749">
            <w:r w:rsidRPr="5D2BBAB8" w:rsidR="5D2BBAB8">
              <w:rPr>
                <w:rStyle w:val="Hyperlink"/>
              </w:rPr>
              <w:t>Firm Strategy, Structure, and Rivalry</w:t>
            </w:r>
            <w:r>
              <w:tab/>
            </w:r>
            <w:r>
              <w:fldChar w:fldCharType="begin"/>
            </w:r>
            <w:r>
              <w:instrText xml:space="preserve">PAGEREF _Toc815962749 \h</w:instrText>
            </w:r>
            <w:r>
              <w:fldChar w:fldCharType="separate"/>
            </w:r>
            <w:r w:rsidRPr="5D2BBAB8" w:rsidR="5D2BBAB8">
              <w:rPr>
                <w:rStyle w:val="Hyperlink"/>
              </w:rPr>
              <w:t>3</w:t>
            </w:r>
            <w:r>
              <w:fldChar w:fldCharType="end"/>
            </w:r>
          </w:hyperlink>
        </w:p>
        <w:p w:rsidR="5D2BBAB8" w:rsidP="5D2BBAB8" w:rsidRDefault="5D2BBAB8" w14:paraId="34A0D9B1" w14:textId="6022E9BE">
          <w:pPr>
            <w:pStyle w:val="TOC2"/>
            <w:tabs>
              <w:tab w:val="right" w:leader="dot" w:pos="9360"/>
            </w:tabs>
            <w:bidi w:val="0"/>
          </w:pPr>
          <w:hyperlink w:anchor="_Toc1908881279">
            <w:r w:rsidRPr="5D2BBAB8" w:rsidR="5D2BBAB8">
              <w:rPr>
                <w:rStyle w:val="Hyperlink"/>
              </w:rPr>
              <w:t>Factor Conditions</w:t>
            </w:r>
            <w:r>
              <w:tab/>
            </w:r>
            <w:r>
              <w:fldChar w:fldCharType="begin"/>
            </w:r>
            <w:r>
              <w:instrText xml:space="preserve">PAGEREF _Toc1908881279 \h</w:instrText>
            </w:r>
            <w:r>
              <w:fldChar w:fldCharType="separate"/>
            </w:r>
            <w:r w:rsidRPr="5D2BBAB8" w:rsidR="5D2BBAB8">
              <w:rPr>
                <w:rStyle w:val="Hyperlink"/>
              </w:rPr>
              <w:t>4</w:t>
            </w:r>
            <w:r>
              <w:fldChar w:fldCharType="end"/>
            </w:r>
          </w:hyperlink>
        </w:p>
        <w:p w:rsidR="5D2BBAB8" w:rsidP="5D2BBAB8" w:rsidRDefault="5D2BBAB8" w14:paraId="51C0C668" w14:textId="7E95437D">
          <w:pPr>
            <w:pStyle w:val="TOC2"/>
            <w:tabs>
              <w:tab w:val="right" w:leader="dot" w:pos="9360"/>
            </w:tabs>
            <w:bidi w:val="0"/>
          </w:pPr>
          <w:hyperlink w:anchor="_Toc1799420173">
            <w:r w:rsidRPr="5D2BBAB8" w:rsidR="5D2BBAB8">
              <w:rPr>
                <w:rStyle w:val="Hyperlink"/>
              </w:rPr>
              <w:t>Demand Conditions</w:t>
            </w:r>
            <w:r>
              <w:tab/>
            </w:r>
            <w:r>
              <w:fldChar w:fldCharType="begin"/>
            </w:r>
            <w:r>
              <w:instrText xml:space="preserve">PAGEREF _Toc1799420173 \h</w:instrText>
            </w:r>
            <w:r>
              <w:fldChar w:fldCharType="separate"/>
            </w:r>
            <w:r w:rsidRPr="5D2BBAB8" w:rsidR="5D2BBAB8">
              <w:rPr>
                <w:rStyle w:val="Hyperlink"/>
              </w:rPr>
              <w:t>4</w:t>
            </w:r>
            <w:r>
              <w:fldChar w:fldCharType="end"/>
            </w:r>
          </w:hyperlink>
        </w:p>
        <w:p w:rsidR="5D2BBAB8" w:rsidP="5D2BBAB8" w:rsidRDefault="5D2BBAB8" w14:paraId="59CCD646" w14:textId="53A8D139">
          <w:pPr>
            <w:pStyle w:val="TOC2"/>
            <w:tabs>
              <w:tab w:val="right" w:leader="dot" w:pos="9360"/>
            </w:tabs>
            <w:bidi w:val="0"/>
          </w:pPr>
          <w:hyperlink w:anchor="_Toc2006849942">
            <w:r w:rsidRPr="5D2BBAB8" w:rsidR="5D2BBAB8">
              <w:rPr>
                <w:rStyle w:val="Hyperlink"/>
              </w:rPr>
              <w:t>Related and Supporting Industries</w:t>
            </w:r>
            <w:r>
              <w:tab/>
            </w:r>
            <w:r>
              <w:fldChar w:fldCharType="begin"/>
            </w:r>
            <w:r>
              <w:instrText xml:space="preserve">PAGEREF _Toc2006849942 \h</w:instrText>
            </w:r>
            <w:r>
              <w:fldChar w:fldCharType="separate"/>
            </w:r>
            <w:r w:rsidRPr="5D2BBAB8" w:rsidR="5D2BBAB8">
              <w:rPr>
                <w:rStyle w:val="Hyperlink"/>
              </w:rPr>
              <w:t>5</w:t>
            </w:r>
            <w:r>
              <w:fldChar w:fldCharType="end"/>
            </w:r>
          </w:hyperlink>
        </w:p>
        <w:p w:rsidR="5D2BBAB8" w:rsidP="5D2BBAB8" w:rsidRDefault="5D2BBAB8" w14:paraId="60E33BF4" w14:textId="562C8C56">
          <w:pPr>
            <w:pStyle w:val="TOC2"/>
            <w:tabs>
              <w:tab w:val="right" w:leader="dot" w:pos="9360"/>
            </w:tabs>
            <w:bidi w:val="0"/>
          </w:pPr>
          <w:hyperlink w:anchor="_Toc1365125972">
            <w:r w:rsidRPr="5D2BBAB8" w:rsidR="5D2BBAB8">
              <w:rPr>
                <w:rStyle w:val="Hyperlink"/>
              </w:rPr>
              <w:t>Government</w:t>
            </w:r>
            <w:r>
              <w:tab/>
            </w:r>
            <w:r>
              <w:fldChar w:fldCharType="begin"/>
            </w:r>
            <w:r>
              <w:instrText xml:space="preserve">PAGEREF _Toc1365125972 \h</w:instrText>
            </w:r>
            <w:r>
              <w:fldChar w:fldCharType="separate"/>
            </w:r>
            <w:r w:rsidRPr="5D2BBAB8" w:rsidR="5D2BBAB8">
              <w:rPr>
                <w:rStyle w:val="Hyperlink"/>
              </w:rPr>
              <w:t>5</w:t>
            </w:r>
            <w:r>
              <w:fldChar w:fldCharType="end"/>
            </w:r>
          </w:hyperlink>
        </w:p>
        <w:p w:rsidR="5D2BBAB8" w:rsidP="5D2BBAB8" w:rsidRDefault="5D2BBAB8" w14:paraId="54DB1906" w14:textId="5E9F262B">
          <w:pPr>
            <w:pStyle w:val="TOC2"/>
            <w:tabs>
              <w:tab w:val="right" w:leader="dot" w:pos="9360"/>
            </w:tabs>
            <w:bidi w:val="0"/>
          </w:pPr>
          <w:hyperlink w:anchor="_Toc1938753494">
            <w:r w:rsidRPr="5D2BBAB8" w:rsidR="5D2BBAB8">
              <w:rPr>
                <w:rStyle w:val="Hyperlink"/>
              </w:rPr>
              <w:t>Chance</w:t>
            </w:r>
            <w:r>
              <w:tab/>
            </w:r>
            <w:r>
              <w:fldChar w:fldCharType="begin"/>
            </w:r>
            <w:r>
              <w:instrText xml:space="preserve">PAGEREF _Toc1938753494 \h</w:instrText>
            </w:r>
            <w:r>
              <w:fldChar w:fldCharType="separate"/>
            </w:r>
            <w:r w:rsidRPr="5D2BBAB8" w:rsidR="5D2BBAB8">
              <w:rPr>
                <w:rStyle w:val="Hyperlink"/>
              </w:rPr>
              <w:t>5</w:t>
            </w:r>
            <w:r>
              <w:fldChar w:fldCharType="end"/>
            </w:r>
          </w:hyperlink>
        </w:p>
        <w:p w:rsidR="5D2BBAB8" w:rsidP="5D2BBAB8" w:rsidRDefault="5D2BBAB8" w14:paraId="53EEB01B" w14:textId="46C0B5E7">
          <w:pPr>
            <w:pStyle w:val="TOC1"/>
            <w:tabs>
              <w:tab w:val="right" w:leader="dot" w:pos="9360"/>
            </w:tabs>
            <w:bidi w:val="0"/>
          </w:pPr>
          <w:hyperlink w:anchor="_Toc1787654885">
            <w:r w:rsidRPr="5D2BBAB8" w:rsidR="5D2BBAB8">
              <w:rPr>
                <w:rStyle w:val="Hyperlink"/>
              </w:rPr>
              <w:t>Critical Analysis of the Pandemic Impact on the Industry</w:t>
            </w:r>
            <w:r>
              <w:tab/>
            </w:r>
            <w:r>
              <w:fldChar w:fldCharType="begin"/>
            </w:r>
            <w:r>
              <w:instrText xml:space="preserve">PAGEREF _Toc1787654885 \h</w:instrText>
            </w:r>
            <w:r>
              <w:fldChar w:fldCharType="separate"/>
            </w:r>
            <w:r w:rsidRPr="5D2BBAB8" w:rsidR="5D2BBAB8">
              <w:rPr>
                <w:rStyle w:val="Hyperlink"/>
              </w:rPr>
              <w:t>6</w:t>
            </w:r>
            <w:r>
              <w:fldChar w:fldCharType="end"/>
            </w:r>
          </w:hyperlink>
        </w:p>
        <w:p w:rsidR="5D2BBAB8" w:rsidP="5D2BBAB8" w:rsidRDefault="5D2BBAB8" w14:paraId="430E3E21" w14:textId="734904B3">
          <w:pPr>
            <w:pStyle w:val="TOC1"/>
            <w:tabs>
              <w:tab w:val="right" w:leader="dot" w:pos="9360"/>
            </w:tabs>
            <w:bidi w:val="0"/>
          </w:pPr>
          <w:hyperlink w:anchor="_Toc1260705089">
            <w:r w:rsidRPr="5D2BBAB8" w:rsidR="5D2BBAB8">
              <w:rPr>
                <w:rStyle w:val="Hyperlink"/>
              </w:rPr>
              <w:t>Toyota’s Survival Strategies</w:t>
            </w:r>
            <w:r>
              <w:tab/>
            </w:r>
            <w:r>
              <w:fldChar w:fldCharType="begin"/>
            </w:r>
            <w:r>
              <w:instrText xml:space="preserve">PAGEREF _Toc1260705089 \h</w:instrText>
            </w:r>
            <w:r>
              <w:fldChar w:fldCharType="separate"/>
            </w:r>
            <w:r w:rsidRPr="5D2BBAB8" w:rsidR="5D2BBAB8">
              <w:rPr>
                <w:rStyle w:val="Hyperlink"/>
              </w:rPr>
              <w:t>8</w:t>
            </w:r>
            <w:r>
              <w:fldChar w:fldCharType="end"/>
            </w:r>
          </w:hyperlink>
        </w:p>
        <w:p w:rsidR="5D2BBAB8" w:rsidP="5D2BBAB8" w:rsidRDefault="5D2BBAB8" w14:paraId="0861693A" w14:textId="63EB715F">
          <w:pPr>
            <w:pStyle w:val="TOC1"/>
            <w:tabs>
              <w:tab w:val="right" w:leader="dot" w:pos="9360"/>
            </w:tabs>
            <w:bidi w:val="0"/>
          </w:pPr>
          <w:hyperlink w:anchor="_Toc877113634">
            <w:r w:rsidRPr="5D2BBAB8" w:rsidR="5D2BBAB8">
              <w:rPr>
                <w:rStyle w:val="Hyperlink"/>
              </w:rPr>
              <w:t>Success Factors</w:t>
            </w:r>
            <w:r>
              <w:tab/>
            </w:r>
            <w:r>
              <w:fldChar w:fldCharType="begin"/>
            </w:r>
            <w:r>
              <w:instrText xml:space="preserve">PAGEREF _Toc877113634 \h</w:instrText>
            </w:r>
            <w:r>
              <w:fldChar w:fldCharType="separate"/>
            </w:r>
            <w:r w:rsidRPr="5D2BBAB8" w:rsidR="5D2BBAB8">
              <w:rPr>
                <w:rStyle w:val="Hyperlink"/>
              </w:rPr>
              <w:t>8</w:t>
            </w:r>
            <w:r>
              <w:fldChar w:fldCharType="end"/>
            </w:r>
          </w:hyperlink>
        </w:p>
        <w:p w:rsidR="5D2BBAB8" w:rsidP="5D2BBAB8" w:rsidRDefault="5D2BBAB8" w14:paraId="6545D9C9" w14:textId="76062811">
          <w:pPr>
            <w:pStyle w:val="TOC1"/>
            <w:tabs>
              <w:tab w:val="right" w:leader="dot" w:pos="9360"/>
            </w:tabs>
            <w:bidi w:val="0"/>
          </w:pPr>
          <w:hyperlink w:anchor="_Toc1174275965">
            <w:r w:rsidRPr="5D2BBAB8" w:rsidR="5D2BBAB8">
              <w:rPr>
                <w:rStyle w:val="Hyperlink"/>
              </w:rPr>
              <w:t>References</w:t>
            </w:r>
            <w:r>
              <w:tab/>
            </w:r>
            <w:r>
              <w:fldChar w:fldCharType="begin"/>
            </w:r>
            <w:r>
              <w:instrText xml:space="preserve">PAGEREF _Toc1174275965 \h</w:instrText>
            </w:r>
            <w:r>
              <w:fldChar w:fldCharType="separate"/>
            </w:r>
            <w:r w:rsidRPr="5D2BBAB8" w:rsidR="5D2BBAB8">
              <w:rPr>
                <w:rStyle w:val="Hyperlink"/>
              </w:rPr>
              <w:t>10</w:t>
            </w:r>
            <w:r>
              <w:fldChar w:fldCharType="end"/>
            </w:r>
          </w:hyperlink>
          <w:r>
            <w:fldChar w:fldCharType="end"/>
          </w:r>
        </w:p>
      </w:sdtContent>
    </w:sdt>
    <w:p w:rsidR="00320F42" w:rsidP="5D2BBAB8" w:rsidRDefault="00320F42" w14:paraId="662D8640" w14:noSpellErr="1" w14:textId="7D0388EA">
      <w:pPr>
        <w:pStyle w:val="Normal"/>
      </w:pPr>
    </w:p>
    <w:p w:rsidR="00320F42" w:rsidP="000D36D4" w:rsidRDefault="00320F42" w14:paraId="7B84271A" w14:textId="77777777"/>
    <w:p w:rsidR="000B6487" w:rsidRDefault="000B6487" w14:paraId="3B70382E" w14:textId="77777777">
      <w:pPr>
        <w:rPr>
          <w:rStyle w:val="Strong"/>
          <w:rFonts w:ascii="Times New Roman" w:hAnsi="Times New Roman" w:eastAsia="Times New Roman" w:cs="Times New Roman"/>
          <w:b w:val="0"/>
          <w:color w:val="0E101A"/>
          <w:sz w:val="24"/>
          <w:szCs w:val="24"/>
        </w:rPr>
      </w:pPr>
      <w:r>
        <w:rPr>
          <w:rStyle w:val="Strong"/>
          <w:b w:val="0"/>
          <w:color w:val="0E101A"/>
        </w:rPr>
        <w:br w:type="page"/>
      </w:r>
    </w:p>
    <w:p w:rsidRPr="000C7E34" w:rsidR="00F174B4" w:rsidP="5D2BBAB8" w:rsidRDefault="001F6E9B" w14:paraId="083CE964" w14:textId="6E3D298F" w14:noSpellErr="1">
      <w:pPr>
        <w:pStyle w:val="Heading1"/>
        <w:jc w:val="center"/>
        <w:rPr>
          <w:rFonts w:ascii="Calibri Light" w:hAnsi="Calibri Light" w:eastAsia="" w:cs=""/>
          <w:b w:val="1"/>
          <w:bCs w:val="1"/>
          <w:color w:val="2E74B5" w:themeColor="accent1" w:themeTint="FF" w:themeShade="BF"/>
          <w:sz w:val="32"/>
          <w:szCs w:val="32"/>
        </w:rPr>
      </w:pPr>
      <w:bookmarkStart w:name="_Toc1051086233" w:id="362725632"/>
      <w:r w:rsidR="001F6E9B">
        <w:rPr/>
        <w:t>Assessment 2 - Environmental Analysis of an industry</w:t>
      </w:r>
      <w:bookmarkEnd w:id="362725632"/>
    </w:p>
    <w:p w:rsidR="00F174B4" w:rsidP="00D27807" w:rsidRDefault="001F6E9B" w14:paraId="23D25D0C" w14:textId="3DE1027D">
      <w:pPr>
        <w:pStyle w:val="NormalWeb"/>
        <w:spacing w:before="0" w:beforeAutospacing="0" w:after="0" w:afterAutospacing="0" w:line="480" w:lineRule="auto"/>
        <w:ind w:firstLine="720"/>
        <w:rPr>
          <w:color w:val="0E101A"/>
        </w:rPr>
      </w:pPr>
      <w:r>
        <w:rPr>
          <w:color w:val="0E101A"/>
        </w:rPr>
        <w:t xml:space="preserve">The automobile industry has experienced significant challenges in production, sales, and distribution worldwide due to the global outbreak of the </w:t>
      </w:r>
      <w:r w:rsidR="0083247D">
        <w:rPr>
          <w:color w:val="0E101A"/>
        </w:rPr>
        <w:t>COVID-19</w:t>
      </w:r>
      <w:r>
        <w:rPr>
          <w:color w:val="0E101A"/>
        </w:rPr>
        <w:t xml:space="preserve">. The disruption in international trade has exposed the inefficiencies and interdependence in the global supply chain and reliance on cheap labour in Southeast Asia. Toyota Motor Corporation is a successful automobile company that originates from Japan and operates in several countries worldwide. Since its inception in 1937, the company has remained focused on producing quality automobile products that meet customers' needs domestically and internationally. According to </w:t>
      </w:r>
      <w:r w:rsidRPr="00582D9C" w:rsidR="00A32422">
        <w:t>Cherunilam</w:t>
      </w:r>
      <w:r w:rsidR="00A32422">
        <w:rPr>
          <w:color w:val="0E101A"/>
        </w:rPr>
        <w:t xml:space="preserve"> (2021</w:t>
      </w:r>
      <w:r>
        <w:rPr>
          <w:color w:val="0E101A"/>
        </w:rPr>
        <w:t xml:space="preserve">), TMC is among the first Corporations to benefit from globalization, expanding to new markets and leveraging opportunities such as cheap labour and raw materials in the South Asia countries. In recent times, TMC, like other multinational corporations, has faced severe challenges triggered by the global </w:t>
      </w:r>
      <w:r w:rsidR="0083247D">
        <w:rPr>
          <w:color w:val="0E101A"/>
        </w:rPr>
        <w:t>COVID-19</w:t>
      </w:r>
      <w:r>
        <w:rPr>
          <w:color w:val="0E101A"/>
        </w:rPr>
        <w:t xml:space="preserve"> pandemic</w:t>
      </w:r>
      <w:r w:rsidR="00E36370">
        <w:rPr>
          <w:color w:val="0E101A"/>
        </w:rPr>
        <w:t xml:space="preserve"> (</w:t>
      </w:r>
      <w:r w:rsidRPr="001C6371" w:rsidR="00E36370">
        <w:t>Singh</w:t>
      </w:r>
      <w:r w:rsidR="00656EA0">
        <w:t xml:space="preserve"> et al., 2021, p. </w:t>
      </w:r>
      <w:r w:rsidR="00E36370">
        <w:t>1</w:t>
      </w:r>
      <w:r w:rsidR="00656EA0">
        <w:t>993</w:t>
      </w:r>
      <w:r w:rsidR="00E36370">
        <w:t>)</w:t>
      </w:r>
      <w:r>
        <w:rPr>
          <w:color w:val="0E101A"/>
        </w:rPr>
        <w:t>. Although the TMC is known for its best improvement practices, Kaizen principles, the pandemic has significantly impacted the global automobile industry disrupting the global supply chain and halting manufacturing and production processes.</w:t>
      </w:r>
    </w:p>
    <w:p w:rsidRPr="000C7E34" w:rsidR="00F174B4" w:rsidP="5D2BBAB8" w:rsidRDefault="001F6E9B" w14:paraId="58486648" w14:textId="77777777" w14:noSpellErr="1">
      <w:pPr>
        <w:pStyle w:val="Heading1"/>
        <w:jc w:val="center"/>
        <w:rPr>
          <w:rFonts w:ascii="Calibri Light" w:hAnsi="Calibri Light" w:eastAsia="" w:cs=""/>
          <w:b w:val="1"/>
          <w:bCs w:val="1"/>
          <w:color w:val="2E74B5" w:themeColor="accent1" w:themeTint="FF" w:themeShade="BF"/>
          <w:sz w:val="32"/>
          <w:szCs w:val="32"/>
        </w:rPr>
      </w:pPr>
      <w:bookmarkStart w:name="_Toc585785620" w:id="752921399"/>
      <w:r w:rsidR="001F6E9B">
        <w:rPr/>
        <w:t>Porters Diamond Forces</w:t>
      </w:r>
      <w:bookmarkEnd w:id="752921399"/>
    </w:p>
    <w:p w:rsidR="00F174B4" w:rsidP="5D2BBAB8" w:rsidRDefault="001F6E9B" w14:paraId="6C88B896" w14:textId="5AD7A513">
      <w:pPr>
        <w:pStyle w:val="NormalWeb"/>
        <w:spacing w:before="0" w:beforeAutospacing="off" w:after="0" w:afterAutospacing="off" w:line="480" w:lineRule="auto"/>
        <w:ind w:firstLine="720"/>
        <w:rPr>
          <w:color w:val="0E101A"/>
        </w:rPr>
      </w:pPr>
      <w:r w:rsidRPr="5D2BBAB8" w:rsidR="001F6E9B">
        <w:rPr>
          <w:color w:val="0E101A"/>
        </w:rPr>
        <w:t xml:space="preserve">The Porter’s Diamond Forces are also known as the Theory of National Competitive Advantage of Industries. It was developed by Michael Porter, a business strategist who believed that some companies had an immense capability to continuously innovate and compete, </w:t>
      </w:r>
      <w:r w:rsidRPr="5D2BBAB8" w:rsidR="001F6E9B">
        <w:rPr>
          <w:color w:val="0E101A"/>
        </w:rPr>
        <w:t>whereas</w:t>
      </w:r>
      <w:r w:rsidRPr="5D2BBAB8" w:rsidR="001F6E9B">
        <w:rPr>
          <w:color w:val="0E101A"/>
        </w:rPr>
        <w:t xml:space="preserve"> others might not</w:t>
      </w:r>
      <w:r w:rsidRPr="5D2BBAB8" w:rsidR="006454E1">
        <w:rPr>
          <w:color w:val="0E101A"/>
        </w:rPr>
        <w:t xml:space="preserve"> (</w:t>
      </w:r>
      <w:r w:rsidR="006454E1">
        <w:rPr/>
        <w:t>Vlados</w:t>
      </w:r>
      <w:r w:rsidR="006454E1">
        <w:rPr/>
        <w:t xml:space="preserve"> 2019, p. 33)</w:t>
      </w:r>
      <w:r w:rsidRPr="5D2BBAB8" w:rsidR="001F6E9B">
        <w:rPr>
          <w:color w:val="0E101A"/>
        </w:rPr>
        <w:t xml:space="preserve">. After careful analysis of </w:t>
      </w:r>
      <w:r w:rsidRPr="5D2BBAB8" w:rsidR="7C7D421C">
        <w:rPr>
          <w:color w:val="0E101A"/>
        </w:rPr>
        <w:t>numerous factors</w:t>
      </w:r>
      <w:r w:rsidRPr="5D2BBAB8" w:rsidR="001F6E9B">
        <w:rPr>
          <w:color w:val="0E101A"/>
        </w:rPr>
        <w:t>, Porter argued that a set of interrelated factors influence a firm's ability to compete in an international arena. The following are the six interrelated factors that constitute the Diamond Forces:</w:t>
      </w:r>
    </w:p>
    <w:p w:rsidRPr="000C7E34" w:rsidR="00F174B4" w:rsidP="5D2BBAB8" w:rsidRDefault="001F6E9B" w14:paraId="541E49ED" w14:textId="77777777" w14:noSpellErr="1">
      <w:pPr>
        <w:pStyle w:val="Heading1"/>
        <w:jc w:val="center"/>
        <w:rPr>
          <w:rFonts w:ascii="Calibri Light" w:hAnsi="Calibri Light" w:eastAsia="" w:cs=""/>
          <w:b w:val="1"/>
          <w:bCs w:val="1"/>
          <w:color w:val="2E74B5" w:themeColor="accent1" w:themeTint="FF" w:themeShade="BF"/>
          <w:sz w:val="32"/>
          <w:szCs w:val="32"/>
        </w:rPr>
      </w:pPr>
      <w:bookmarkStart w:name="_Toc815962749" w:id="2123264965"/>
      <w:r w:rsidR="001F6E9B">
        <w:rPr/>
        <w:t>Firm Strategy, Structure, and Rivalry</w:t>
      </w:r>
      <w:bookmarkEnd w:id="2123264965"/>
    </w:p>
    <w:p w:rsidR="00F174B4" w:rsidP="00D27807" w:rsidRDefault="001F6E9B" w14:paraId="2906F79E" w14:textId="77777777">
      <w:pPr>
        <w:pStyle w:val="NormalWeb"/>
        <w:spacing w:before="0" w:beforeAutospacing="0" w:after="0" w:afterAutospacing="0" w:line="480" w:lineRule="auto"/>
        <w:ind w:firstLine="720"/>
        <w:rPr>
          <w:color w:val="0E101A"/>
        </w:rPr>
      </w:pPr>
      <w:r>
        <w:rPr>
          <w:color w:val="0E101A"/>
        </w:rPr>
        <w:t>Porter emphasized that the national context or the firm's external environment significantly impacted how firms are conceived, structured, and managed. More accurately, the national environment influenced a firm's strategy and competitive style. Further, Porter noted that domestic rivalry is crucial in shaping international competition because firms are forced to be creative and develop unique products to push the firm to expand in new territories</w:t>
      </w:r>
      <w:r w:rsidR="006454E1">
        <w:rPr>
          <w:color w:val="0E101A"/>
        </w:rPr>
        <w:t xml:space="preserve"> (</w:t>
      </w:r>
      <w:r w:rsidRPr="00642EAF" w:rsidR="006454E1">
        <w:t>Vlados</w:t>
      </w:r>
      <w:r w:rsidR="006454E1">
        <w:t xml:space="preserve"> 2019, p. 34)</w:t>
      </w:r>
      <w:r>
        <w:rPr>
          <w:color w:val="0E101A"/>
        </w:rPr>
        <w:t>.</w:t>
      </w:r>
    </w:p>
    <w:p w:rsidRPr="000C7E34" w:rsidR="00F174B4" w:rsidP="5D2BBAB8" w:rsidRDefault="001F6E9B" w14:paraId="0B563F2B" w14:textId="77777777" w14:noSpellErr="1">
      <w:pPr>
        <w:pStyle w:val="Heading2"/>
        <w:rPr>
          <w:rFonts w:ascii="Calibri Light" w:hAnsi="Calibri Light" w:eastAsia="" w:cs=""/>
          <w:b w:val="1"/>
          <w:bCs w:val="1"/>
          <w:color w:val="2E74B5" w:themeColor="accent1" w:themeTint="FF" w:themeShade="BF"/>
          <w:sz w:val="26"/>
          <w:szCs w:val="26"/>
        </w:rPr>
      </w:pPr>
      <w:bookmarkStart w:name="_Toc1908881279" w:id="471429159"/>
      <w:r w:rsidR="001F6E9B">
        <w:rPr/>
        <w:t>Factor Conditions</w:t>
      </w:r>
      <w:bookmarkEnd w:id="471429159"/>
    </w:p>
    <w:p w:rsidR="00F174B4" w:rsidP="00D27807" w:rsidRDefault="001F6E9B" w14:paraId="06C21523" w14:textId="77777777">
      <w:pPr>
        <w:pStyle w:val="NormalWeb"/>
        <w:spacing w:before="0" w:beforeAutospacing="0" w:after="0" w:afterAutospacing="0" w:line="480" w:lineRule="auto"/>
        <w:ind w:firstLine="720"/>
        <w:rPr>
          <w:color w:val="0E101A"/>
        </w:rPr>
      </w:pPr>
      <w:r>
        <w:rPr>
          <w:color w:val="0E101A"/>
        </w:rPr>
        <w:t>Factor conditions encompass a wide array of natural, capital, and human resources available in a given country. For example, a country like Vietnam is rich in natural resources, making it a strategic location for the automobile wiring industry. The same can be said of Thailand that provides cheap labour resources for the major automobile industry players like Toyota Motor Corporations, Nissan, and Suzuki. Porter argued that although the natural resources were crucial, the created factor conditions were essential. Moreover, he asserted that countries should continuously upgrade the created factors through new knowledge and skills</w:t>
      </w:r>
      <w:r w:rsidR="006454E1">
        <w:rPr>
          <w:color w:val="0E101A"/>
        </w:rPr>
        <w:t xml:space="preserve"> (</w:t>
      </w:r>
      <w:r w:rsidRPr="00642EAF" w:rsidR="006454E1">
        <w:t>Vlados</w:t>
      </w:r>
      <w:r w:rsidR="006454E1">
        <w:t xml:space="preserve"> 2019, p. 37)</w:t>
      </w:r>
      <w:r>
        <w:rPr>
          <w:color w:val="0E101A"/>
        </w:rPr>
        <w:t>. TMC is revered for its Kaizen strategy of continuous improvement in the automobile industry production.</w:t>
      </w:r>
    </w:p>
    <w:p w:rsidRPr="000C7E34" w:rsidR="00F174B4" w:rsidP="5D2BBAB8" w:rsidRDefault="001F6E9B" w14:paraId="5EB1A240" w14:textId="77777777" w14:noSpellErr="1">
      <w:pPr>
        <w:pStyle w:val="Heading2"/>
        <w:rPr>
          <w:rFonts w:ascii="Calibri Light" w:hAnsi="Calibri Light" w:eastAsia="" w:cs=""/>
          <w:b w:val="1"/>
          <w:bCs w:val="1"/>
          <w:color w:val="2E74B5" w:themeColor="accent1" w:themeTint="FF" w:themeShade="BF"/>
          <w:sz w:val="26"/>
          <w:szCs w:val="26"/>
        </w:rPr>
      </w:pPr>
      <w:bookmarkStart w:name="_Toc1799420173" w:id="1474638145"/>
      <w:r w:rsidR="001F6E9B">
        <w:rPr/>
        <w:t>Demand Conditions</w:t>
      </w:r>
      <w:bookmarkEnd w:id="1474638145"/>
    </w:p>
    <w:p w:rsidR="00F174B4" w:rsidP="00D27807" w:rsidRDefault="001F6E9B" w14:paraId="5FAA567A" w14:textId="5581F690">
      <w:pPr>
        <w:pStyle w:val="NormalWeb"/>
        <w:spacing w:before="0" w:beforeAutospacing="0" w:after="0" w:afterAutospacing="0" w:line="480" w:lineRule="auto"/>
        <w:ind w:firstLine="720"/>
        <w:rPr>
          <w:color w:val="0E101A"/>
        </w:rPr>
      </w:pPr>
      <w:r>
        <w:rPr>
          <w:color w:val="0E101A"/>
        </w:rPr>
        <w:t xml:space="preserve">Home demands are a significant factor that influences the growth of industries in nations. According to </w:t>
      </w:r>
      <w:r w:rsidR="000F705D">
        <w:rPr>
          <w:color w:val="0E101A"/>
        </w:rPr>
        <w:t>Vlados (2019, p. 41</w:t>
      </w:r>
      <w:r>
        <w:rPr>
          <w:color w:val="0E101A"/>
        </w:rPr>
        <w:t xml:space="preserve">) presence of a larger domestic market brings more challenges and opportunities for growth. Toyota Motor Corporation has created innovative and quality products in the automobile industry. However, the emergence of the </w:t>
      </w:r>
      <w:r w:rsidR="0083247D">
        <w:rPr>
          <w:color w:val="0E101A"/>
        </w:rPr>
        <w:t>COVID-19</w:t>
      </w:r>
      <w:r>
        <w:rPr>
          <w:color w:val="0E101A"/>
        </w:rPr>
        <w:t xml:space="preserve"> pandemic has disrupted the domestic and international demand for its products. Despite these challenges, TMC has remained resilient in maintaining high-quality products and being innovative in the automobile industry. This is because the domestic buyers had given the company insight on what to produce to meet the emerging buyers’ needs.</w:t>
      </w:r>
    </w:p>
    <w:p w:rsidRPr="000C7E34" w:rsidR="00F174B4" w:rsidP="5D2BBAB8" w:rsidRDefault="001F6E9B" w14:paraId="24C46F5F" w14:textId="77777777" w14:noSpellErr="1">
      <w:pPr>
        <w:pStyle w:val="Heading2"/>
        <w:rPr>
          <w:rFonts w:ascii="Calibri Light" w:hAnsi="Calibri Light" w:eastAsia="" w:cs=""/>
          <w:b w:val="1"/>
          <w:bCs w:val="1"/>
          <w:color w:val="2E74B5" w:themeColor="accent1" w:themeTint="FF" w:themeShade="BF"/>
          <w:sz w:val="26"/>
          <w:szCs w:val="26"/>
        </w:rPr>
      </w:pPr>
      <w:bookmarkStart w:name="_Toc2006849942" w:id="216803930"/>
      <w:r w:rsidR="001F6E9B">
        <w:rPr/>
        <w:t>Related and Supporting Industries</w:t>
      </w:r>
      <w:bookmarkEnd w:id="216803930"/>
    </w:p>
    <w:p w:rsidR="00F174B4" w:rsidP="00D27807" w:rsidRDefault="001F6E9B" w14:paraId="1EF15C51" w14:textId="333D3E15">
      <w:pPr>
        <w:pStyle w:val="NormalWeb"/>
        <w:spacing w:before="0" w:beforeAutospacing="0" w:after="0" w:afterAutospacing="0" w:line="480" w:lineRule="auto"/>
        <w:ind w:firstLine="720"/>
        <w:rPr>
          <w:color w:val="0E101A"/>
        </w:rPr>
      </w:pPr>
      <w:r>
        <w:rPr>
          <w:color w:val="0E101A"/>
        </w:rPr>
        <w:t>The presence of supporting industries is a critical foundation on which a company excels. Toyota Motor Corporation operates in the automobile industry, where car manufacturing depends on many related industries</w:t>
      </w:r>
      <w:r w:rsidR="000F705D">
        <w:rPr>
          <w:color w:val="0E101A"/>
        </w:rPr>
        <w:t xml:space="preserve"> (</w:t>
      </w:r>
      <w:r w:rsidRPr="00642EAF" w:rsidR="000F705D">
        <w:t>Vlados</w:t>
      </w:r>
      <w:r w:rsidR="000F705D">
        <w:t xml:space="preserve"> 2019, p. 43)</w:t>
      </w:r>
      <w:r>
        <w:rPr>
          <w:color w:val="0E101A"/>
        </w:rPr>
        <w:t>. TMC relies on a host of supporting and related industries, some locally</w:t>
      </w:r>
      <w:r w:rsidR="00A22365">
        <w:rPr>
          <w:color w:val="0E101A"/>
        </w:rPr>
        <w:t xml:space="preserve"> (</w:t>
      </w:r>
      <w:r w:rsidRPr="004C7562" w:rsidR="00A22365">
        <w:t>Voas</w:t>
      </w:r>
      <w:r w:rsidR="00A22365">
        <w:t xml:space="preserve"> et al., 2021, p. 79)</w:t>
      </w:r>
      <w:r>
        <w:rPr>
          <w:color w:val="0E101A"/>
        </w:rPr>
        <w:t xml:space="preserve">. In contrast, others are located in Vietnam, Thailand, and China. Unfortunately, the outbreak of the </w:t>
      </w:r>
      <w:r w:rsidR="0083247D">
        <w:rPr>
          <w:color w:val="0E101A"/>
        </w:rPr>
        <w:t>COVID-19</w:t>
      </w:r>
      <w:r>
        <w:rPr>
          <w:color w:val="0E101A"/>
        </w:rPr>
        <w:t xml:space="preserve"> pandemic has disrupted the global supply chain and negatively impacted the supply chain for crucial factors of production</w:t>
      </w:r>
      <w:r w:rsidR="006D12CC">
        <w:rPr>
          <w:color w:val="0E101A"/>
        </w:rPr>
        <w:t xml:space="preserve"> (</w:t>
      </w:r>
      <w:r w:rsidRPr="004C7562" w:rsidR="006D12CC">
        <w:t>Al-Mansour</w:t>
      </w:r>
      <w:r w:rsidR="006D12CC">
        <w:t xml:space="preserve"> et al., 2020, p. 663)</w:t>
      </w:r>
      <w:r>
        <w:rPr>
          <w:color w:val="0E101A"/>
        </w:rPr>
        <w:t>. Porter argued that suppliers are essential in enhancing innovation and improving efficiency.</w:t>
      </w:r>
    </w:p>
    <w:p w:rsidRPr="000C7E34" w:rsidR="00F174B4" w:rsidP="5D2BBAB8" w:rsidRDefault="001F6E9B" w14:paraId="2C6F49DF" w14:textId="77777777" w14:noSpellErr="1">
      <w:pPr>
        <w:pStyle w:val="Heading2"/>
        <w:rPr>
          <w:rFonts w:ascii="Calibri Light" w:hAnsi="Calibri Light" w:eastAsia="" w:cs=""/>
          <w:b w:val="1"/>
          <w:bCs w:val="1"/>
          <w:color w:val="2E74B5" w:themeColor="accent1" w:themeTint="FF" w:themeShade="BF"/>
          <w:sz w:val="26"/>
          <w:szCs w:val="26"/>
        </w:rPr>
      </w:pPr>
      <w:bookmarkStart w:name="_Toc1365125972" w:id="1235176744"/>
      <w:r w:rsidR="001F6E9B">
        <w:rPr/>
        <w:t>Government</w:t>
      </w:r>
      <w:bookmarkEnd w:id="1235176744"/>
    </w:p>
    <w:p w:rsidR="00F174B4" w:rsidP="00D27807" w:rsidRDefault="001F6E9B" w14:paraId="4471BD90" w14:textId="01093C46">
      <w:pPr>
        <w:pStyle w:val="NormalWeb"/>
        <w:spacing w:before="0" w:beforeAutospacing="0" w:after="0" w:afterAutospacing="0" w:line="480" w:lineRule="auto"/>
        <w:ind w:firstLine="720"/>
        <w:rPr>
          <w:color w:val="0E101A"/>
        </w:rPr>
      </w:pPr>
      <w:r>
        <w:rPr>
          <w:color w:val="0E101A"/>
        </w:rPr>
        <w:t>The role of government within Porter's Diamond Model is critical. Although he believed that the government could not create a competitive business environment, the government plays a significant role in enabling a business environment. The government indirectly influences the early demand for products and services by supporting infrastructure, education, and health sectors</w:t>
      </w:r>
      <w:r w:rsidR="006A0EFD">
        <w:rPr>
          <w:color w:val="0E101A"/>
        </w:rPr>
        <w:t xml:space="preserve"> (</w:t>
      </w:r>
      <w:r w:rsidRPr="00642EAF" w:rsidR="006A0EFD">
        <w:t>Vlados</w:t>
      </w:r>
      <w:r w:rsidR="006A0EFD">
        <w:t xml:space="preserve"> 2019, p. 45)</w:t>
      </w:r>
      <w:r>
        <w:rPr>
          <w:color w:val="0E101A"/>
        </w:rPr>
        <w:t xml:space="preserve">. During the </w:t>
      </w:r>
      <w:r w:rsidR="0083247D">
        <w:rPr>
          <w:color w:val="0E101A"/>
        </w:rPr>
        <w:t>COVID-19</w:t>
      </w:r>
      <w:r>
        <w:rPr>
          <w:color w:val="0E101A"/>
        </w:rPr>
        <w:t xml:space="preserve"> pandemic, the government from different countries stepped in to enforce regulations and strategic partnerships to develop the vaccine to mitigate the adverse effects of the pandemic on the global economy.</w:t>
      </w:r>
    </w:p>
    <w:p w:rsidRPr="000C7E34" w:rsidR="00F174B4" w:rsidP="5D2BBAB8" w:rsidRDefault="001F6E9B" w14:paraId="5A821713" w14:textId="77777777" w14:noSpellErr="1">
      <w:pPr>
        <w:pStyle w:val="Heading2"/>
        <w:rPr>
          <w:rFonts w:ascii="Calibri Light" w:hAnsi="Calibri Light" w:eastAsia="" w:cs=""/>
          <w:b w:val="1"/>
          <w:bCs w:val="1"/>
          <w:color w:val="2E74B5" w:themeColor="accent1" w:themeTint="FF" w:themeShade="BF"/>
          <w:sz w:val="26"/>
          <w:szCs w:val="26"/>
        </w:rPr>
      </w:pPr>
      <w:bookmarkStart w:name="_Toc1938753494" w:id="1806426787"/>
      <w:r w:rsidR="001F6E9B">
        <w:rPr/>
        <w:t>Chance</w:t>
      </w:r>
      <w:bookmarkEnd w:id="1806426787"/>
    </w:p>
    <w:p w:rsidR="00F174B4" w:rsidP="00D27807" w:rsidRDefault="001F6E9B" w14:paraId="4BBC24F8" w14:textId="24BDCF05">
      <w:pPr>
        <w:pStyle w:val="NormalWeb"/>
        <w:spacing w:before="0" w:beforeAutospacing="0" w:after="0" w:afterAutospacing="0" w:line="480" w:lineRule="auto"/>
        <w:ind w:firstLine="720"/>
        <w:rPr>
          <w:color w:val="0E101A"/>
        </w:rPr>
      </w:pPr>
      <w:r>
        <w:rPr>
          <w:color w:val="0E101A"/>
        </w:rPr>
        <w:t xml:space="preserve">Chance is a crucial segment of the Porter’s Diamond Model even though he (Michael Porter) never included it in his original Diamond Forces framework. Chance opined that external factors like war or natural calamities such as </w:t>
      </w:r>
      <w:r w:rsidR="0083247D">
        <w:rPr>
          <w:color w:val="0E101A"/>
        </w:rPr>
        <w:t>COVID-19</w:t>
      </w:r>
      <w:r>
        <w:rPr>
          <w:color w:val="0E101A"/>
        </w:rPr>
        <w:t xml:space="preserve"> could negatively or positively impact a country or industry</w:t>
      </w:r>
      <w:r w:rsidR="006A0EFD">
        <w:rPr>
          <w:color w:val="0E101A"/>
        </w:rPr>
        <w:t xml:space="preserve"> (</w:t>
      </w:r>
      <w:r w:rsidRPr="00642EAF" w:rsidR="006A0EFD">
        <w:t>Vlados</w:t>
      </w:r>
      <w:r w:rsidR="006A0EFD">
        <w:t xml:space="preserve"> 2019, p. 49)</w:t>
      </w:r>
      <w:r>
        <w:rPr>
          <w:color w:val="0E101A"/>
        </w:rPr>
        <w:t xml:space="preserve">. For instance, the outbreak of the </w:t>
      </w:r>
      <w:r w:rsidR="0083247D">
        <w:rPr>
          <w:color w:val="0E101A"/>
        </w:rPr>
        <w:t>COVID-19</w:t>
      </w:r>
      <w:r>
        <w:rPr>
          <w:color w:val="0E101A"/>
        </w:rPr>
        <w:t xml:space="preserve"> pandemic has impacted the automobile industry by disrupting the supply chain operations worldwide. The sales have significantly dropped, and most companies, including TMC, have recorded a decrease in sales and profit margin.</w:t>
      </w:r>
    </w:p>
    <w:p w:rsidRPr="000C7E34" w:rsidR="00F174B4" w:rsidP="5D2BBAB8" w:rsidRDefault="001F6E9B" w14:paraId="0BE31B9C" w14:textId="77777777" w14:noSpellErr="1">
      <w:pPr>
        <w:pStyle w:val="Heading1"/>
        <w:jc w:val="center"/>
        <w:rPr>
          <w:rFonts w:ascii="Calibri Light" w:hAnsi="Calibri Light" w:eastAsia="" w:cs=""/>
          <w:b w:val="1"/>
          <w:bCs w:val="1"/>
          <w:color w:val="2E74B5" w:themeColor="accent1" w:themeTint="FF" w:themeShade="BF"/>
          <w:sz w:val="32"/>
          <w:szCs w:val="32"/>
        </w:rPr>
      </w:pPr>
      <w:bookmarkStart w:name="_Toc1787654885" w:id="1584676266"/>
      <w:r w:rsidR="001F6E9B">
        <w:rPr/>
        <w:t>Critical Analysis of the Pandemic Impact on the Industry</w:t>
      </w:r>
      <w:bookmarkEnd w:id="1584676266"/>
    </w:p>
    <w:p w:rsidR="00F174B4" w:rsidP="00D27807" w:rsidRDefault="001F6E9B" w14:paraId="22A6D729" w14:textId="6CAA6EA8">
      <w:pPr>
        <w:pStyle w:val="NormalWeb"/>
        <w:spacing w:before="0" w:beforeAutospacing="0" w:after="0" w:afterAutospacing="0" w:line="480" w:lineRule="auto"/>
        <w:ind w:firstLine="720"/>
        <w:rPr>
          <w:color w:val="0E101A"/>
        </w:rPr>
      </w:pPr>
      <w:r>
        <w:rPr>
          <w:color w:val="0E101A"/>
        </w:rPr>
        <w:t xml:space="preserve">Since the outbreak of the Pandemic, Toyota Motor Corporation has experienced disruption in its operations worldwide. According to </w:t>
      </w:r>
      <w:r w:rsidR="009200F3">
        <w:t>Krisher and Chapman</w:t>
      </w:r>
      <w:r w:rsidR="009200F3">
        <w:rPr>
          <w:color w:val="0E101A"/>
        </w:rPr>
        <w:t xml:space="preserve"> (2021</w:t>
      </w:r>
      <w:r>
        <w:rPr>
          <w:color w:val="0E101A"/>
        </w:rPr>
        <w:t>), TMC is scaling back production in its home country (Japan) and the North American region due to the disruption of supplies from Southeast Asia. Whereas TMC has remained steadfast in dealing with the pandemic, it has taken a blow like many other industry players. According to Krisher and Chapman (2021), Toyota Motor Corporation announced in 2021 the possible plan to cut back production by 40% due to the limited supply of parts for its 14 auto assembly plants spread across Japan. The North American market that has experienced the devastating impact of the pandemic has also witnessed a substantial decrease in production. More accurately, TMC announced in 2021 that they would slash production by 60,000 to 90 000 vehicles, this decrease in production would translate to a decrease of 40% to 60%</w:t>
      </w:r>
      <w:r w:rsidR="009200F3">
        <w:rPr>
          <w:color w:val="0E101A"/>
        </w:rPr>
        <w:t xml:space="preserve"> (</w:t>
      </w:r>
      <w:r w:rsidR="009200F3">
        <w:t>Krisher and Chapman</w:t>
      </w:r>
      <w:r w:rsidR="009200F3">
        <w:rPr>
          <w:color w:val="0E101A"/>
        </w:rPr>
        <w:t xml:space="preserve"> 2021)</w:t>
      </w:r>
      <w:r>
        <w:rPr>
          <w:color w:val="0E101A"/>
        </w:rPr>
        <w:t xml:space="preserve">. Based on Porter's Diamond Forces, affirming that the </w:t>
      </w:r>
      <w:r w:rsidR="0083247D">
        <w:rPr>
          <w:color w:val="0E101A"/>
        </w:rPr>
        <w:t>COVID-19</w:t>
      </w:r>
      <w:r>
        <w:rPr>
          <w:color w:val="0E101A"/>
        </w:rPr>
        <w:t xml:space="preserve"> pandemic disrupted the Toyota Motor Corporation supporting and related industries. The spiralling impact of the </w:t>
      </w:r>
      <w:r w:rsidR="0083247D">
        <w:rPr>
          <w:color w:val="0E101A"/>
        </w:rPr>
        <w:t>COVID-19</w:t>
      </w:r>
      <w:r>
        <w:rPr>
          <w:color w:val="0E101A"/>
        </w:rPr>
        <w:t xml:space="preserve"> worldwide has demonstrated how the automobile industry is interdependent</w:t>
      </w:r>
      <w:r w:rsidR="0020146B">
        <w:rPr>
          <w:color w:val="0E101A"/>
        </w:rPr>
        <w:t xml:space="preserve"> (</w:t>
      </w:r>
      <w:r w:rsidRPr="00FE7423" w:rsidR="0020146B">
        <w:t>Xu</w:t>
      </w:r>
      <w:r w:rsidR="0020146B">
        <w:t xml:space="preserve"> et al., 2020, p. 153)</w:t>
      </w:r>
      <w:r>
        <w:rPr>
          <w:color w:val="0E101A"/>
        </w:rPr>
        <w:t>. </w:t>
      </w:r>
    </w:p>
    <w:p w:rsidR="00F174B4" w:rsidP="5D2BBAB8" w:rsidRDefault="001F6E9B" w14:paraId="75990F2A" w14:textId="26DF52FF">
      <w:pPr>
        <w:pStyle w:val="NormalWeb"/>
        <w:spacing w:before="0" w:beforeAutospacing="off" w:after="0" w:afterAutospacing="off" w:line="480" w:lineRule="auto"/>
        <w:ind w:firstLine="720"/>
        <w:rPr>
          <w:color w:val="0E101A"/>
        </w:rPr>
      </w:pPr>
      <w:r w:rsidRPr="5D2BBAB8" w:rsidR="001F6E9B">
        <w:rPr>
          <w:color w:val="0E101A"/>
        </w:rPr>
        <w:t xml:space="preserve">The ranging </w:t>
      </w:r>
      <w:r w:rsidRPr="5D2BBAB8" w:rsidR="0083247D">
        <w:rPr>
          <w:color w:val="0E101A"/>
        </w:rPr>
        <w:t>COVID-19</w:t>
      </w:r>
      <w:r w:rsidRPr="5D2BBAB8" w:rsidR="001F6E9B">
        <w:rPr>
          <w:color w:val="0E101A"/>
        </w:rPr>
        <w:t xml:space="preserve"> pandemic disrupted several business deals and operations. According to Belhadi et al. (2021), the outbreak of Covid19 halted the </w:t>
      </w:r>
      <w:r w:rsidRPr="5D2BBAB8" w:rsidR="1D5593BF">
        <w:rPr>
          <w:color w:val="0E101A"/>
        </w:rPr>
        <w:t>£</w:t>
      </w:r>
      <w:r w:rsidRPr="5D2BBAB8" w:rsidR="001F6E9B">
        <w:rPr>
          <w:color w:val="0E101A"/>
        </w:rPr>
        <w:t>1.6 billion</w:t>
      </w:r>
      <w:r w:rsidRPr="5D2BBAB8" w:rsidR="001F6E9B">
        <w:rPr>
          <w:color w:val="0E101A"/>
        </w:rPr>
        <w:t xml:space="preserve"> Mazda-Toyota joint venture. It led to the collapse of the Ford Motor Company plans to renovate the old Detroit train station that would </w:t>
      </w:r>
      <w:r w:rsidRPr="5D2BBAB8" w:rsidR="001F6E9B">
        <w:rPr>
          <w:color w:val="0E101A"/>
        </w:rPr>
        <w:t>be</w:t>
      </w:r>
      <w:r w:rsidRPr="5D2BBAB8" w:rsidR="001F6E9B">
        <w:rPr>
          <w:color w:val="0E101A"/>
        </w:rPr>
        <w:t>nefit</w:t>
      </w:r>
      <w:r w:rsidRPr="5D2BBAB8" w:rsidR="001F6E9B">
        <w:rPr>
          <w:color w:val="0E101A"/>
        </w:rPr>
        <w:t xml:space="preserve"> m</w:t>
      </w:r>
      <w:r w:rsidRPr="5D2BBAB8" w:rsidR="001F6E9B">
        <w:rPr>
          <w:color w:val="0E101A"/>
        </w:rPr>
        <w:t>illions of individuals. At a broader economic level, the pandemic led to the loss of thousands of jobs across the automobile industry with the economic meltdown and recession experienced worldwide with government intervention strategies like lockdown and travel restrictions.</w:t>
      </w:r>
    </w:p>
    <w:p w:rsidR="00F174B4" w:rsidP="00D27807" w:rsidRDefault="001F6E9B" w14:paraId="0BE7C535" w14:textId="77777777">
      <w:pPr>
        <w:pStyle w:val="NormalWeb"/>
        <w:spacing w:before="0" w:beforeAutospacing="0" w:after="0" w:afterAutospacing="0" w:line="480" w:lineRule="auto"/>
        <w:ind w:firstLine="720"/>
        <w:rPr>
          <w:color w:val="0E101A"/>
        </w:rPr>
      </w:pPr>
      <w:r>
        <w:t>Davis and</w:t>
      </w:r>
      <w:r w:rsidRPr="00C874CC">
        <w:t xml:space="preserve"> </w:t>
      </w:r>
      <w:r>
        <w:t>Inajima</w:t>
      </w:r>
      <w:r>
        <w:rPr>
          <w:color w:val="0E101A"/>
        </w:rPr>
        <w:t xml:space="preserve"> (2021) indicated that the government policies and containment strategies contributed directly to the disruption of production processes. For example, lockdown and travel advisory limited the supply chain processes. Additionally, the government healthcare directives of maintaining social and physical distance limited the number of employees working per shift in the production units</w:t>
      </w:r>
      <w:r w:rsidR="002D53DB">
        <w:rPr>
          <w:color w:val="0E101A"/>
        </w:rPr>
        <w:t xml:space="preserve"> (</w:t>
      </w:r>
      <w:r w:rsidRPr="00A9578B" w:rsidR="002D53DB">
        <w:t>D’Auria</w:t>
      </w:r>
      <w:r w:rsidR="002D53DB">
        <w:t xml:space="preserve"> et al., 2020, p. 273)</w:t>
      </w:r>
      <w:r>
        <w:rPr>
          <w:color w:val="0E101A"/>
        </w:rPr>
        <w:t>. The adversely affected brands included the Corolla subcompact, Land Cruiser sport utility vehicle, and the Prius hybrid. This decrease in production negatively impacted the company’s annual forecast and the target of producing 9.3 million vehicles to meet the global demand</w:t>
      </w:r>
      <w:r w:rsidR="000C1CE5">
        <w:rPr>
          <w:color w:val="0E101A"/>
        </w:rPr>
        <w:t xml:space="preserve"> (</w:t>
      </w:r>
      <w:r w:rsidR="000C1CE5">
        <w:t>Krisher and Chapman</w:t>
      </w:r>
      <w:r w:rsidR="000C1CE5">
        <w:rPr>
          <w:color w:val="0E101A"/>
        </w:rPr>
        <w:t xml:space="preserve"> 2021)</w:t>
      </w:r>
      <w:r>
        <w:rPr>
          <w:color w:val="0E101A"/>
        </w:rPr>
        <w:t>.</w:t>
      </w:r>
    </w:p>
    <w:p w:rsidR="00F174B4" w:rsidP="5D2BBAB8" w:rsidRDefault="001F6E9B" w14:paraId="55853AF9" w14:textId="54A065DA">
      <w:pPr>
        <w:pStyle w:val="NormalWeb"/>
        <w:spacing w:before="0" w:beforeAutospacing="off" w:after="0" w:afterAutospacing="off" w:line="480" w:lineRule="auto"/>
        <w:ind w:firstLine="720"/>
        <w:rPr>
          <w:color w:val="0E101A"/>
        </w:rPr>
      </w:pPr>
      <w:r w:rsidRPr="5D2BBAB8" w:rsidR="001F6E9B">
        <w:rPr>
          <w:color w:val="0E101A"/>
        </w:rPr>
        <w:t xml:space="preserve">The production and assembly plants in Malaysia and Vietnam got halted due to the restrictive government policies. These included lockdown and government-imposed restrictions like </w:t>
      </w:r>
      <w:r w:rsidRPr="5D2BBAB8" w:rsidR="001F6E9B">
        <w:rPr>
          <w:color w:val="0E101A"/>
        </w:rPr>
        <w:t>maintaining</w:t>
      </w:r>
      <w:r w:rsidRPr="5D2BBAB8" w:rsidR="001F6E9B">
        <w:rPr>
          <w:color w:val="0E101A"/>
        </w:rPr>
        <w:t xml:space="preserve"> a social and physical distance. </w:t>
      </w:r>
      <w:r w:rsidR="00CE0977">
        <w:rPr/>
        <w:t>Voas</w:t>
      </w:r>
      <w:r w:rsidR="00CE0977">
        <w:rPr/>
        <w:t xml:space="preserve"> et al.</w:t>
      </w:r>
      <w:r w:rsidRPr="5D2BBAB8" w:rsidR="001F6E9B">
        <w:rPr>
          <w:color w:val="0E101A"/>
        </w:rPr>
        <w:t xml:space="preserve"> (2021</w:t>
      </w:r>
      <w:r w:rsidRPr="5D2BBAB8" w:rsidR="00CE0977">
        <w:rPr>
          <w:color w:val="0E101A"/>
        </w:rPr>
        <w:t>, p. 79</w:t>
      </w:r>
      <w:r w:rsidRPr="5D2BBAB8" w:rsidR="001F6E9B">
        <w:rPr>
          <w:color w:val="0E101A"/>
        </w:rPr>
        <w:t xml:space="preserve">), the shortage of computer chips in most vehicles worsened during the pandemic. This happened due to the government travel advisory and restrictions of international travel. According to Davis and Inajima (2021), Toyota had not been hit hard like other automobile players in the industry. The emergence of the delta variant in the North American region introduced new complications to the production process and supply chain system. A sharp decrease in demand for automobile products in Vietnam and the rest of the world has negatively impacted TMC’s growth. Overall, the car manufacturing industry has </w:t>
      </w:r>
      <w:r w:rsidRPr="5D2BBAB8" w:rsidR="001F6E9B">
        <w:rPr>
          <w:color w:val="0E101A"/>
        </w:rPr>
        <w:t>witnessed</w:t>
      </w:r>
      <w:r w:rsidRPr="5D2BBAB8" w:rsidR="001F6E9B">
        <w:rPr>
          <w:color w:val="0E101A"/>
        </w:rPr>
        <w:t xml:space="preserve"> a drop in sales and low production due to the surging challenges of </w:t>
      </w:r>
      <w:r w:rsidRPr="5D2BBAB8" w:rsidR="0083247D">
        <w:rPr>
          <w:color w:val="0E101A"/>
        </w:rPr>
        <w:t>COVID-19</w:t>
      </w:r>
      <w:r w:rsidRPr="5D2BBAB8" w:rsidR="001F6E9B">
        <w:rPr>
          <w:color w:val="0E101A"/>
        </w:rPr>
        <w:t xml:space="preserve"> and the emerging new variants like </w:t>
      </w:r>
      <w:r w:rsidRPr="5D2BBAB8" w:rsidR="33F5CF4A">
        <w:rPr>
          <w:color w:val="0E101A"/>
        </w:rPr>
        <w:t>D</w:t>
      </w:r>
      <w:r w:rsidRPr="5D2BBAB8" w:rsidR="001F6E9B">
        <w:rPr>
          <w:color w:val="0E101A"/>
        </w:rPr>
        <w:t>elta and Omicron.</w:t>
      </w:r>
    </w:p>
    <w:p w:rsidR="00F174B4" w:rsidP="5D2BBAB8" w:rsidRDefault="001F6E9B" w14:paraId="73344F8D" w14:textId="3EBCF598">
      <w:pPr>
        <w:pStyle w:val="NormalWeb"/>
        <w:spacing w:before="0" w:beforeAutospacing="off" w:after="0" w:afterAutospacing="off" w:line="480" w:lineRule="auto"/>
        <w:ind w:firstLine="720"/>
        <w:rPr>
          <w:color w:val="0E101A"/>
        </w:rPr>
      </w:pPr>
      <w:r w:rsidRPr="5D2BBAB8" w:rsidR="001F6E9B">
        <w:rPr>
          <w:color w:val="0E101A"/>
        </w:rPr>
        <w:t xml:space="preserve">As mentioned, Toyota Motor Corporation has held up better than most automobile manufacturers. Despite the biting pangs of the pandemic, TMC recorded a profit of </w:t>
      </w:r>
      <w:r w:rsidRPr="5D2BBAB8" w:rsidR="6FDAD98F">
        <w:rPr>
          <w:color w:val="0E101A"/>
        </w:rPr>
        <w:t>£</w:t>
      </w:r>
      <w:r w:rsidRPr="5D2BBAB8" w:rsidR="008C0FD6">
        <w:rPr>
          <w:color w:val="0E101A"/>
        </w:rPr>
        <w:t>8</w:t>
      </w:r>
      <w:r w:rsidRPr="5D2BBAB8" w:rsidR="001F6E9B">
        <w:rPr>
          <w:color w:val="0E101A"/>
        </w:rPr>
        <w:t xml:space="preserve"> billion</w:t>
      </w:r>
      <w:r w:rsidRPr="5D2BBAB8" w:rsidR="001F6E9B">
        <w:rPr>
          <w:color w:val="0E101A"/>
        </w:rPr>
        <w:t>, an increase of more than five times the profits realized in 2020. However, globally the pandemic has disrupted production and sales with TMC’s competitors like Maruti Suzuki Ind</w:t>
      </w:r>
      <w:r w:rsidRPr="5D2BBAB8" w:rsidR="004A4B5D">
        <w:rPr>
          <w:color w:val="0E101A"/>
        </w:rPr>
        <w:t>i</w:t>
      </w:r>
      <w:r w:rsidRPr="5D2BBAB8" w:rsidR="001F6E9B">
        <w:rPr>
          <w:color w:val="0E101A"/>
        </w:rPr>
        <w:t>a Ltd and Tata Motors Ltd, also reporting a 40% decrease in production.</w:t>
      </w:r>
    </w:p>
    <w:p w:rsidRPr="001338C1" w:rsidR="00F174B4" w:rsidP="5D2BBAB8" w:rsidRDefault="001F6E9B" w14:paraId="38DCC00C" w14:textId="77777777" w14:noSpellErr="1">
      <w:pPr>
        <w:pStyle w:val="Heading1"/>
        <w:jc w:val="center"/>
        <w:rPr>
          <w:rFonts w:ascii="Calibri Light" w:hAnsi="Calibri Light" w:eastAsia="" w:cs=""/>
          <w:b w:val="1"/>
          <w:bCs w:val="1"/>
          <w:color w:val="2E74B5" w:themeColor="accent1" w:themeTint="FF" w:themeShade="BF"/>
          <w:sz w:val="32"/>
          <w:szCs w:val="32"/>
        </w:rPr>
      </w:pPr>
      <w:bookmarkStart w:name="_Toc1260705089" w:id="1850671862"/>
      <w:r w:rsidR="001F6E9B">
        <w:rPr/>
        <w:t>Toyota’s Survival Strategies</w:t>
      </w:r>
      <w:bookmarkEnd w:id="1850671862"/>
    </w:p>
    <w:p w:rsidR="00F174B4" w:rsidP="00D27807" w:rsidRDefault="001F6E9B" w14:paraId="07C04E86" w14:textId="65A914EC">
      <w:pPr>
        <w:pStyle w:val="NormalWeb"/>
        <w:spacing w:before="0" w:beforeAutospacing="0" w:after="0" w:afterAutospacing="0" w:line="480" w:lineRule="auto"/>
        <w:ind w:firstLine="720"/>
        <w:rPr>
          <w:color w:val="0E101A"/>
        </w:rPr>
      </w:pPr>
      <w:r>
        <w:rPr>
          <w:color w:val="0E101A"/>
        </w:rPr>
        <w:t xml:space="preserve">Toyota Motor Corporation has pivoted and succeeded during the </w:t>
      </w:r>
      <w:r w:rsidR="0083247D">
        <w:rPr>
          <w:color w:val="0E101A"/>
        </w:rPr>
        <w:t>COVID-19</w:t>
      </w:r>
      <w:r>
        <w:rPr>
          <w:color w:val="0E101A"/>
        </w:rPr>
        <w:t xml:space="preserve"> global pandemic. Whereas its production has reduced significantly like the rest of the carmaker's players, the company has levelled up its strategies and lean manufacturing strategies to reduce wastage and maximize profits</w:t>
      </w:r>
      <w:r w:rsidR="00272CA2">
        <w:rPr>
          <w:color w:val="0E101A"/>
        </w:rPr>
        <w:t xml:space="preserve"> (</w:t>
      </w:r>
      <w:r w:rsidRPr="0028597A" w:rsidR="00272CA2">
        <w:t>Amaro</w:t>
      </w:r>
      <w:r w:rsidR="00272CA2">
        <w:t xml:space="preserve"> et al., 2019, p. 25)</w:t>
      </w:r>
      <w:r>
        <w:rPr>
          <w:color w:val="0E101A"/>
        </w:rPr>
        <w:t>. According to the company's internal information, the company deployed a host of strategies to reduce production costs and improve the welfare of its employees and local communities. For instance, the company embraced and implemented government containment strategies and directives such as maintaining social distance, wearing masks when working on the premises, and adhering to the North American manufacturing plants</w:t>
      </w:r>
      <w:r w:rsidR="00AC2244">
        <w:rPr>
          <w:color w:val="0E101A"/>
        </w:rPr>
        <w:t xml:space="preserve"> (</w:t>
      </w:r>
      <w:r w:rsidRPr="00AC2244" w:rsidR="00AC2244">
        <w:rPr>
          <w:iCs/>
        </w:rPr>
        <w:t xml:space="preserve">Toyota's coronavirus &amp; </w:t>
      </w:r>
      <w:r w:rsidR="0083247D">
        <w:rPr>
          <w:iCs/>
        </w:rPr>
        <w:t>COVID-19</w:t>
      </w:r>
      <w:r w:rsidRPr="00AC2244" w:rsidR="00AC2244">
        <w:rPr>
          <w:iCs/>
        </w:rPr>
        <w:t xml:space="preserve"> response n.d.)</w:t>
      </w:r>
      <w:r w:rsidRPr="00AC2244">
        <w:rPr>
          <w:color w:val="0E101A"/>
        </w:rPr>
        <w:t>.</w:t>
      </w:r>
      <w:r>
        <w:rPr>
          <w:color w:val="0E101A"/>
        </w:rPr>
        <w:t xml:space="preserve"> The company also maintained operations in its service centres to assist clients needing repair and maintenance. Whereas these strategies were successful, the overall operation volume reduced significantly, considering that the government healthcare requirements restricted the number of employees allowed in a working environment</w:t>
      </w:r>
      <w:r w:rsidR="007831B7">
        <w:rPr>
          <w:color w:val="0E101A"/>
        </w:rPr>
        <w:t xml:space="preserve"> (</w:t>
      </w:r>
      <w:r w:rsidRPr="00582D9C" w:rsidR="007831B7">
        <w:t>Keshky</w:t>
      </w:r>
      <w:r w:rsidR="007831B7">
        <w:t xml:space="preserve"> et al., 2020, p. 3188)</w:t>
      </w:r>
      <w:r>
        <w:rPr>
          <w:color w:val="0E101A"/>
        </w:rPr>
        <w:t>.</w:t>
      </w:r>
    </w:p>
    <w:p w:rsidRPr="001338C1" w:rsidR="00F174B4" w:rsidP="5D2BBAB8" w:rsidRDefault="001F6E9B" w14:paraId="77912D10" w14:textId="77777777" w14:noSpellErr="1">
      <w:pPr>
        <w:pStyle w:val="Heading1"/>
        <w:jc w:val="center"/>
        <w:rPr>
          <w:rFonts w:ascii="Calibri Light" w:hAnsi="Calibri Light" w:eastAsia="" w:cs=""/>
          <w:b w:val="1"/>
          <w:bCs w:val="1"/>
          <w:color w:val="2E74B5" w:themeColor="accent1" w:themeTint="FF" w:themeShade="BF"/>
          <w:sz w:val="32"/>
          <w:szCs w:val="32"/>
        </w:rPr>
      </w:pPr>
      <w:bookmarkStart w:name="_Toc877113634" w:id="1341360940"/>
      <w:r w:rsidR="001F6E9B">
        <w:rPr/>
        <w:t>Success Factors</w:t>
      </w:r>
      <w:bookmarkEnd w:id="1341360940"/>
    </w:p>
    <w:p w:rsidR="00F174B4" w:rsidP="5D2BBAB8" w:rsidRDefault="001F6E9B" w14:paraId="177ABC78" w14:textId="010C9F62">
      <w:pPr>
        <w:pStyle w:val="NormalWeb"/>
        <w:spacing w:before="0" w:beforeAutospacing="off" w:after="0" w:afterAutospacing="off" w:line="480" w:lineRule="auto"/>
        <w:ind w:firstLine="720"/>
        <w:rPr>
          <w:color w:val="0E101A"/>
        </w:rPr>
      </w:pPr>
      <w:r w:rsidRPr="5D2BBAB8" w:rsidR="001F6E9B">
        <w:rPr>
          <w:color w:val="0E101A"/>
        </w:rPr>
        <w:t xml:space="preserve">The carmaker industry experienced a general decrease in production and sales worldwide </w:t>
      </w:r>
      <w:r w:rsidRPr="5D2BBAB8" w:rsidR="381283CA">
        <w:rPr>
          <w:color w:val="0E101A"/>
        </w:rPr>
        <w:t>because</w:t>
      </w:r>
      <w:r w:rsidRPr="5D2BBAB8" w:rsidR="001F6E9B">
        <w:rPr>
          <w:color w:val="0E101A"/>
        </w:rPr>
        <w:t xml:space="preserve"> of </w:t>
      </w:r>
      <w:r w:rsidRPr="5D2BBAB8" w:rsidR="4FB17E4A">
        <w:rPr>
          <w:color w:val="0E101A"/>
        </w:rPr>
        <w:t>COVID</w:t>
      </w:r>
      <w:r w:rsidRPr="5D2BBAB8" w:rsidR="0083247D">
        <w:rPr>
          <w:color w:val="0E101A"/>
        </w:rPr>
        <w:t>-19</w:t>
      </w:r>
      <w:r w:rsidRPr="5D2BBAB8" w:rsidR="001F6E9B">
        <w:rPr>
          <w:color w:val="0E101A"/>
        </w:rPr>
        <w:t xml:space="preserve">. Despite the challenging business environment in the automobile industry due to the pandemic globally, some creative players like the Toyota Motor Corporation have managed to pivot and find strategic means of reducing expenses to </w:t>
      </w:r>
      <w:r w:rsidRPr="5D2BBAB8" w:rsidR="001F6E9B">
        <w:rPr>
          <w:color w:val="0E101A"/>
        </w:rPr>
        <w:t>maintain</w:t>
      </w:r>
      <w:r w:rsidRPr="5D2BBAB8" w:rsidR="001F6E9B">
        <w:rPr>
          <w:color w:val="0E101A"/>
        </w:rPr>
        <w:t xml:space="preserve"> a successful operation although in a reduced volume. For example, </w:t>
      </w:r>
      <w:r w:rsidR="00324F62">
        <w:rPr/>
        <w:t>Davis and</w:t>
      </w:r>
      <w:r w:rsidR="00324F62">
        <w:rPr/>
        <w:t xml:space="preserve"> </w:t>
      </w:r>
      <w:r w:rsidR="00324F62">
        <w:rPr/>
        <w:t>Inajima</w:t>
      </w:r>
      <w:r w:rsidRPr="5D2BBAB8" w:rsidR="00324F62">
        <w:rPr>
          <w:color w:val="0E101A"/>
        </w:rPr>
        <w:t xml:space="preserve"> </w:t>
      </w:r>
      <w:r w:rsidRPr="5D2BBAB8" w:rsidR="001F6E9B">
        <w:rPr>
          <w:color w:val="0E101A"/>
        </w:rPr>
        <w:t>(2021) cited that TMC reduced unnecessary expenses like business and events allowing the company to save about 115 billion yen. Having adequate cash flow during the pandemic allowed the company to meet its expenses and reach out to the local communities through donations. Toyota has donated essential healthcare products like gloves, cotton swabs, and personal protective equipment to protect those in the front lines across the US and other destinations where they do business</w:t>
      </w:r>
      <w:r w:rsidRPr="5D2BBAB8" w:rsidR="00EA2157">
        <w:rPr>
          <w:color w:val="0E101A"/>
        </w:rPr>
        <w:t xml:space="preserve"> (</w:t>
      </w:r>
      <w:r w:rsidR="00EA2157">
        <w:rPr/>
        <w:t xml:space="preserve">Toyota's coronavirus &amp; </w:t>
      </w:r>
      <w:r w:rsidR="0083247D">
        <w:rPr/>
        <w:t>COVID-19</w:t>
      </w:r>
      <w:r w:rsidR="00EA2157">
        <w:rPr/>
        <w:t xml:space="preserve"> response n.d.)</w:t>
      </w:r>
      <w:r w:rsidRPr="5D2BBAB8" w:rsidR="001F6E9B">
        <w:rPr>
          <w:color w:val="0E101A"/>
        </w:rPr>
        <w:t>. This is a critical success factor in corporate social responsibility (CSR).</w:t>
      </w:r>
    </w:p>
    <w:p w:rsidR="00F174B4" w:rsidP="5D2BBAB8" w:rsidRDefault="001F6E9B" w14:paraId="5A9D1298" w14:textId="4B7C0E1B">
      <w:pPr>
        <w:pStyle w:val="NormalWeb"/>
        <w:spacing w:before="0" w:beforeAutospacing="off" w:after="0" w:afterAutospacing="off" w:line="480" w:lineRule="auto"/>
        <w:ind w:firstLine="720"/>
        <w:rPr>
          <w:color w:val="0E101A"/>
        </w:rPr>
      </w:pPr>
      <w:r w:rsidRPr="5D2BBAB8" w:rsidR="001F6E9B">
        <w:rPr>
          <w:color w:val="0E101A"/>
        </w:rPr>
        <w:t xml:space="preserve">The other success factor worth noting is the strategic partnership between Toyota’s TLT Lab, the Toyota AI Ventures team, and the Research and Development wing of the business to stamp print and produce face shields and visors urgently required by the first line healthcare workers. According to </w:t>
      </w:r>
      <w:r w:rsidRPr="5D2BBAB8" w:rsidR="007203FC">
        <w:rPr>
          <w:color w:val="0E101A"/>
        </w:rPr>
        <w:t>Swiecki</w:t>
      </w:r>
      <w:r w:rsidRPr="5D2BBAB8" w:rsidR="007203FC">
        <w:rPr>
          <w:color w:val="0E101A"/>
        </w:rPr>
        <w:t xml:space="preserve"> et al.</w:t>
      </w:r>
      <w:r w:rsidRPr="5D2BBAB8" w:rsidR="001F6E9B">
        <w:rPr>
          <w:color w:val="0E101A"/>
        </w:rPr>
        <w:t xml:space="preserve"> (2021), over 500,000 face shields have been produced and distributed to support health workers across the globe. On the same note, the Toyota USA Foundation has also donated </w:t>
      </w:r>
      <w:r w:rsidRPr="5D2BBAB8" w:rsidR="3968EC72">
        <w:rPr>
          <w:color w:val="0E101A"/>
        </w:rPr>
        <w:t>£</w:t>
      </w:r>
      <w:r w:rsidRPr="5D2BBAB8" w:rsidR="001F6E9B">
        <w:rPr>
          <w:color w:val="0E101A"/>
        </w:rPr>
        <w:t xml:space="preserve">2.5 million in grants to various nonprofit organizations involved in the food </w:t>
      </w:r>
      <w:r w:rsidRPr="5D2BBAB8" w:rsidR="001F6E9B">
        <w:rPr>
          <w:color w:val="0E101A"/>
        </w:rPr>
        <w:t>assistance</w:t>
      </w:r>
      <w:r w:rsidRPr="5D2BBAB8" w:rsidR="001F6E9B">
        <w:rPr>
          <w:color w:val="0E101A"/>
        </w:rPr>
        <w:t xml:space="preserve"> programs in areas hit hard during this pandemic</w:t>
      </w:r>
      <w:r w:rsidRPr="5D2BBAB8" w:rsidR="00DD1061">
        <w:rPr>
          <w:color w:val="0E101A"/>
        </w:rPr>
        <w:t xml:space="preserve"> (</w:t>
      </w:r>
      <w:r w:rsidR="00DD1061">
        <w:rPr/>
        <w:t>Davis and</w:t>
      </w:r>
      <w:r w:rsidR="00DD1061">
        <w:rPr/>
        <w:t xml:space="preserve"> </w:t>
      </w:r>
      <w:proofErr w:type="spellStart"/>
      <w:r w:rsidR="00DD1061">
        <w:rPr/>
        <w:t>Inajima</w:t>
      </w:r>
      <w:proofErr w:type="spellEnd"/>
      <w:r w:rsidR="00DD1061">
        <w:rPr/>
        <w:t xml:space="preserve"> 2021)</w:t>
      </w:r>
      <w:r w:rsidRPr="5D2BBAB8" w:rsidR="001F6E9B">
        <w:rPr>
          <w:color w:val="0E101A"/>
        </w:rPr>
        <w:t xml:space="preserve">. An </w:t>
      </w:r>
      <w:r w:rsidRPr="5D2BBAB8" w:rsidR="001F6E9B">
        <w:rPr>
          <w:color w:val="0E101A"/>
        </w:rPr>
        <w:t>additional</w:t>
      </w:r>
      <w:r w:rsidRPr="5D2BBAB8" w:rsidR="001F6E9B">
        <w:rPr>
          <w:color w:val="0E101A"/>
        </w:rPr>
        <w:t xml:space="preserve"> </w:t>
      </w:r>
      <w:r w:rsidRPr="5D2BBAB8" w:rsidR="1F45875D">
        <w:rPr>
          <w:color w:val="0E101A"/>
        </w:rPr>
        <w:t>£</w:t>
      </w:r>
      <w:r w:rsidRPr="5D2BBAB8" w:rsidR="001F6E9B">
        <w:rPr>
          <w:color w:val="0E101A"/>
        </w:rPr>
        <w:t xml:space="preserve">3.3 million grant was also </w:t>
      </w:r>
      <w:r w:rsidRPr="5D2BBAB8" w:rsidR="54A35CB1">
        <w:rPr>
          <w:color w:val="0E101A"/>
        </w:rPr>
        <w:t>channeled</w:t>
      </w:r>
      <w:r w:rsidRPr="5D2BBAB8" w:rsidR="001F6E9B">
        <w:rPr>
          <w:color w:val="0E101A"/>
        </w:rPr>
        <w:t xml:space="preserve"> to aid e-learning programs across 13 states in the US. This initiative will benefit approximately 350,000 learners by </w:t>
      </w:r>
      <w:r w:rsidRPr="5D2BBAB8" w:rsidR="001F6E9B">
        <w:rPr>
          <w:color w:val="0E101A"/>
        </w:rPr>
        <w:t>acquiring</w:t>
      </w:r>
      <w:r w:rsidRPr="5D2BBAB8" w:rsidR="001F6E9B">
        <w:rPr>
          <w:color w:val="0E101A"/>
        </w:rPr>
        <w:t xml:space="preserve"> laptop computers, software licenses, payment of the </w:t>
      </w:r>
      <w:r w:rsidRPr="5D2BBAB8" w:rsidR="5A70134A">
        <w:rPr>
          <w:color w:val="0E101A"/>
        </w:rPr>
        <w:t>Wi-Fi</w:t>
      </w:r>
      <w:r w:rsidRPr="5D2BBAB8" w:rsidR="001F6E9B">
        <w:rPr>
          <w:color w:val="0E101A"/>
        </w:rPr>
        <w:t xml:space="preserve"> access points, and mobile </w:t>
      </w:r>
      <w:r w:rsidRPr="5D2BBAB8" w:rsidR="3F2A063C">
        <w:rPr>
          <w:color w:val="0E101A"/>
        </w:rPr>
        <w:t>Wi-Fi</w:t>
      </w:r>
      <w:r w:rsidRPr="5D2BBAB8" w:rsidR="001F6E9B">
        <w:rPr>
          <w:color w:val="0E101A"/>
        </w:rPr>
        <w:t xml:space="preserve"> devices</w:t>
      </w:r>
      <w:r w:rsidRPr="5D2BBAB8" w:rsidR="007203FC">
        <w:rPr>
          <w:color w:val="0E101A"/>
        </w:rPr>
        <w:t xml:space="preserve"> (</w:t>
      </w:r>
      <w:r w:rsidR="007203FC">
        <w:rPr/>
        <w:t>Swiecki</w:t>
      </w:r>
      <w:r w:rsidR="007203FC">
        <w:rPr/>
        <w:t xml:space="preserve"> et al., 2020)</w:t>
      </w:r>
      <w:r w:rsidRPr="5D2BBAB8" w:rsidR="001F6E9B">
        <w:rPr>
          <w:color w:val="0E101A"/>
        </w:rPr>
        <w:t xml:space="preserve">. Finally, as a way of supporting local communities in the North American region, TMC North America has partnered with several nonprofit organizations to </w:t>
      </w:r>
      <w:r w:rsidRPr="5D2BBAB8" w:rsidR="001F6E9B">
        <w:rPr>
          <w:color w:val="0E101A"/>
        </w:rPr>
        <w:t>provide</w:t>
      </w:r>
      <w:r w:rsidRPr="5D2BBAB8" w:rsidR="001F6E9B">
        <w:rPr>
          <w:color w:val="0E101A"/>
        </w:rPr>
        <w:t xml:space="preserve"> over fifty vehicles across one state to </w:t>
      </w:r>
      <w:r w:rsidRPr="5D2BBAB8" w:rsidR="001F6E9B">
        <w:rPr>
          <w:color w:val="0E101A"/>
        </w:rPr>
        <w:t>facilitate</w:t>
      </w:r>
      <w:r w:rsidRPr="5D2BBAB8" w:rsidR="001F6E9B">
        <w:rPr>
          <w:color w:val="0E101A"/>
        </w:rPr>
        <w:t xml:space="preserve"> travelling to </w:t>
      </w:r>
      <w:r w:rsidRPr="5D2BBAB8" w:rsidR="0083247D">
        <w:rPr>
          <w:color w:val="0E101A"/>
        </w:rPr>
        <w:t>COVID-19</w:t>
      </w:r>
      <w:r w:rsidRPr="5D2BBAB8" w:rsidR="001F6E9B">
        <w:rPr>
          <w:color w:val="0E101A"/>
        </w:rPr>
        <w:t xml:space="preserve"> vaccination points. These interventions are crucial in helping the local communities rebound and rebuild themselves. Moreover, a business has social, moral, economic, and financial obligations to the local communities</w:t>
      </w:r>
      <w:r w:rsidRPr="5D2BBAB8" w:rsidR="00376BD1">
        <w:rPr>
          <w:color w:val="0E101A"/>
        </w:rPr>
        <w:t xml:space="preserve"> (</w:t>
      </w:r>
      <w:r w:rsidR="00376BD1">
        <w:rPr/>
        <w:t>Belhadi</w:t>
      </w:r>
      <w:r w:rsidR="00376BD1">
        <w:rPr/>
        <w:t xml:space="preserve"> et al., 2021)</w:t>
      </w:r>
      <w:r w:rsidRPr="5D2BBAB8" w:rsidR="001F6E9B">
        <w:rPr>
          <w:color w:val="0E101A"/>
        </w:rPr>
        <w:t>. </w:t>
      </w:r>
    </w:p>
    <w:p w:rsidR="00F174B4" w:rsidP="5D2BBAB8" w:rsidRDefault="001F6E9B" w14:paraId="56DF4A9A" w14:textId="5F3431BA" w14:noSpellErr="1">
      <w:pPr>
        <w:pStyle w:val="NormalWeb"/>
        <w:spacing w:before="0" w:beforeAutospacing="off" w:after="0" w:afterAutospacing="off" w:line="480" w:lineRule="auto"/>
        <w:ind w:firstLine="720"/>
        <w:rPr>
          <w:color w:val="0E101A"/>
        </w:rPr>
      </w:pPr>
      <w:r w:rsidRPr="5D2BBAB8" w:rsidR="001F6E9B">
        <w:rPr>
          <w:color w:val="0E101A"/>
        </w:rPr>
        <w:t xml:space="preserve">In </w:t>
      </w:r>
      <w:r w:rsidRPr="5D2BBAB8" w:rsidR="001F6E9B">
        <w:rPr>
          <w:rStyle w:val="Heading1Char"/>
          <w:sz w:val="24"/>
          <w:szCs w:val="24"/>
        </w:rPr>
        <w:t>conclusion</w:t>
      </w:r>
      <w:r w:rsidRPr="5D2BBAB8" w:rsidR="001F6E9B">
        <w:rPr>
          <w:color w:val="0E101A"/>
        </w:rPr>
        <w:t xml:space="preserve">, the external environment is still uncertain, with the </w:t>
      </w:r>
      <w:r w:rsidRPr="5D2BBAB8" w:rsidR="0083247D">
        <w:rPr>
          <w:color w:val="0E101A"/>
        </w:rPr>
        <w:t>COVID-19</w:t>
      </w:r>
      <w:r w:rsidRPr="5D2BBAB8" w:rsidR="001F6E9B">
        <w:rPr>
          <w:color w:val="0E101A"/>
        </w:rPr>
        <w:t xml:space="preserve"> pandemic disrupting operations across the industry worldwide. As discussed, despite the challenges triggered by the pandemic, Toyota Motor Corporation has managed to stay positive through creative and innovative methods to cut production costs, make profits, and support the local communities through the provision of the PPE kits to the healthcare front line workers and financing digital learning across 13 states in the US. More significantly, the pandemic has also validated Porter's Diamond Model on the role of the government as a catalyst and challenger. Although the government does not create a competitive environment, it regulates business operations to ensure healthy competition and a conducive environment safe for consumers and business owners. For example, the government directives and </w:t>
      </w:r>
      <w:r w:rsidRPr="5D2BBAB8" w:rsidR="0083247D">
        <w:rPr>
          <w:color w:val="0E101A"/>
        </w:rPr>
        <w:t>COVID-19</w:t>
      </w:r>
      <w:r w:rsidRPr="5D2BBAB8" w:rsidR="001F6E9B">
        <w:rPr>
          <w:color w:val="0E101A"/>
        </w:rPr>
        <w:t xml:space="preserve"> containment strategies helped slow down the spread of the virus, thus keeping employees and consumers safe. Finally, the pandemic outbreak also demonstrated the interdependence relationship in the global supply chain system where most automobile manufacturers depend on the created factors of production lie cheap labour in the Southeast Asia countries where most assemblies occur.</w:t>
      </w:r>
    </w:p>
    <w:p w:rsidR="003720BA" w:rsidRDefault="003720BA" w14:paraId="35F8F9D2" w14:textId="77777777">
      <w:pPr>
        <w:rPr>
          <w:rFonts w:ascii="Times New Roman" w:hAnsi="Times New Roman" w:cs="Times New Roman"/>
          <w:sz w:val="24"/>
          <w:szCs w:val="24"/>
        </w:rPr>
      </w:pPr>
      <w:r>
        <w:rPr>
          <w:rFonts w:ascii="Times New Roman" w:hAnsi="Times New Roman" w:cs="Times New Roman"/>
          <w:sz w:val="24"/>
          <w:szCs w:val="24"/>
        </w:rPr>
        <w:br w:type="page"/>
      </w:r>
    </w:p>
    <w:p w:rsidR="001338C1" w:rsidP="5D2BBAB8" w:rsidRDefault="001F6E9B" w14:paraId="36857B65" w14:textId="42970072" w14:noSpellErr="1">
      <w:pPr>
        <w:pStyle w:val="Heading1"/>
        <w:jc w:val="center"/>
        <w:rPr>
          <w:rFonts w:ascii="Calibri Light" w:hAnsi="Calibri Light" w:eastAsia="" w:cs=""/>
          <w:color w:val="2E74B5" w:themeColor="accent1" w:themeTint="FF" w:themeShade="BF"/>
          <w:sz w:val="32"/>
          <w:szCs w:val="32"/>
        </w:rPr>
      </w:pPr>
      <w:bookmarkStart w:name="_Toc1174275965" w:id="1670122707"/>
      <w:r w:rsidR="001F6E9B">
        <w:rPr/>
        <w:t>References</w:t>
      </w:r>
      <w:bookmarkEnd w:id="1670122707"/>
    </w:p>
    <w:p w:rsidR="004A4B5D" w:rsidP="00047F9D" w:rsidRDefault="001F6E9B" w14:paraId="39DB97AD" w14:textId="5BCA38B6">
      <w:pPr>
        <w:spacing w:after="0" w:line="480" w:lineRule="auto"/>
        <w:ind w:left="720" w:hanging="720"/>
        <w:rPr>
          <w:rFonts w:ascii="Times New Roman" w:hAnsi="Times New Roman" w:cs="Times New Roman"/>
          <w:sz w:val="24"/>
          <w:szCs w:val="24"/>
        </w:rPr>
      </w:pPr>
      <w:r w:rsidRPr="004C7562">
        <w:rPr>
          <w:rFonts w:ascii="Times New Roman" w:hAnsi="Times New Roman" w:cs="Times New Roman"/>
          <w:sz w:val="24"/>
          <w:szCs w:val="24"/>
        </w:rPr>
        <w:t>Al-Mansour, J.F. and Al-</w:t>
      </w:r>
      <w:proofErr w:type="spellStart"/>
      <w:r w:rsidRPr="004C7562">
        <w:rPr>
          <w:rFonts w:ascii="Times New Roman" w:hAnsi="Times New Roman" w:cs="Times New Roman"/>
          <w:sz w:val="24"/>
          <w:szCs w:val="24"/>
        </w:rPr>
        <w:t>Ajmi</w:t>
      </w:r>
      <w:proofErr w:type="spellEnd"/>
      <w:r w:rsidRPr="004C7562">
        <w:rPr>
          <w:rFonts w:ascii="Times New Roman" w:hAnsi="Times New Roman" w:cs="Times New Roman"/>
          <w:sz w:val="24"/>
          <w:szCs w:val="24"/>
        </w:rPr>
        <w:t xml:space="preserve">, S.A., 2020. Coronavirus' </w:t>
      </w:r>
      <w:r w:rsidR="0083247D">
        <w:rPr>
          <w:rFonts w:ascii="Times New Roman" w:hAnsi="Times New Roman" w:cs="Times New Roman"/>
          <w:sz w:val="24"/>
          <w:szCs w:val="24"/>
        </w:rPr>
        <w:t>COVID-19</w:t>
      </w:r>
      <w:r w:rsidRPr="004C7562">
        <w:rPr>
          <w:rFonts w:ascii="Times New Roman" w:hAnsi="Times New Roman" w:cs="Times New Roman"/>
          <w:sz w:val="24"/>
          <w:szCs w:val="24"/>
        </w:rPr>
        <w:t>'-Supply Chain Disruption and Implications for Strategy, Economy, and Management. </w:t>
      </w:r>
      <w:r w:rsidRPr="004C7562">
        <w:rPr>
          <w:rFonts w:ascii="Times New Roman" w:hAnsi="Times New Roman" w:cs="Times New Roman"/>
          <w:i/>
          <w:iCs/>
          <w:sz w:val="24"/>
          <w:szCs w:val="24"/>
        </w:rPr>
        <w:t>The Journal of Asian Finance, Economics, and Business</w:t>
      </w:r>
      <w:r w:rsidRPr="004C7562">
        <w:rPr>
          <w:rFonts w:ascii="Times New Roman" w:hAnsi="Times New Roman" w:cs="Times New Roman"/>
          <w:sz w:val="24"/>
          <w:szCs w:val="24"/>
        </w:rPr>
        <w:t>, </w:t>
      </w:r>
      <w:r w:rsidRPr="004C7562">
        <w:rPr>
          <w:rFonts w:ascii="Times New Roman" w:hAnsi="Times New Roman" w:cs="Times New Roman"/>
          <w:i/>
          <w:iCs/>
          <w:sz w:val="24"/>
          <w:szCs w:val="24"/>
        </w:rPr>
        <w:t>7</w:t>
      </w:r>
      <w:r w:rsidRPr="004C7562">
        <w:rPr>
          <w:rFonts w:ascii="Times New Roman" w:hAnsi="Times New Roman" w:cs="Times New Roman"/>
          <w:sz w:val="24"/>
          <w:szCs w:val="24"/>
        </w:rPr>
        <w:t>(9), pp.659-672.</w:t>
      </w:r>
      <w:r>
        <w:rPr>
          <w:rFonts w:ascii="Times New Roman" w:hAnsi="Times New Roman" w:cs="Times New Roman"/>
          <w:sz w:val="24"/>
          <w:szCs w:val="24"/>
        </w:rPr>
        <w:t xml:space="preserve"> </w:t>
      </w:r>
      <w:hyperlink w:history="1" r:id="rId6">
        <w:r w:rsidRPr="00786761">
          <w:rPr>
            <w:rStyle w:val="Hyperlink"/>
            <w:rFonts w:ascii="Times New Roman" w:hAnsi="Times New Roman" w:cs="Times New Roman"/>
            <w:sz w:val="24"/>
            <w:szCs w:val="24"/>
          </w:rPr>
          <w:t>https://doi.org/10.13106/jafeb.2020.vol7.no9.659</w:t>
        </w:r>
      </w:hyperlink>
      <w:r>
        <w:rPr>
          <w:rFonts w:ascii="Times New Roman" w:hAnsi="Times New Roman" w:cs="Times New Roman"/>
          <w:sz w:val="24"/>
          <w:szCs w:val="24"/>
        </w:rPr>
        <w:t xml:space="preserve"> </w:t>
      </w:r>
    </w:p>
    <w:p w:rsidR="004A4B5D" w:rsidP="004A4B5D" w:rsidRDefault="001F6E9B" w14:paraId="3856945A" w14:textId="77777777">
      <w:pPr>
        <w:spacing w:after="0" w:line="480" w:lineRule="auto"/>
        <w:ind w:left="720" w:hanging="720"/>
        <w:rPr>
          <w:rFonts w:ascii="Times New Roman" w:hAnsi="Times New Roman" w:cs="Times New Roman"/>
          <w:sz w:val="24"/>
          <w:szCs w:val="24"/>
        </w:rPr>
      </w:pPr>
      <w:r w:rsidRPr="0028597A">
        <w:rPr>
          <w:rFonts w:ascii="Times New Roman" w:hAnsi="Times New Roman" w:cs="Times New Roman"/>
          <w:sz w:val="24"/>
          <w:szCs w:val="24"/>
        </w:rPr>
        <w:t xml:space="preserve">Amaro, P., Alves, A.C. and Sousa, R.M. (2019) 'Lean thinking: a transversal and global management philosophy to achieve sustainability benefits,' in Alves, A. C., </w:t>
      </w:r>
      <w:r w:rsidRPr="0028597A">
        <w:rPr>
          <w:rFonts w:ascii="Times New Roman" w:hAnsi="Times New Roman" w:cs="Times New Roman"/>
          <w:i/>
          <w:iCs/>
          <w:sz w:val="24"/>
          <w:szCs w:val="24"/>
        </w:rPr>
        <w:t>et al.</w:t>
      </w:r>
      <w:r w:rsidRPr="0028597A">
        <w:rPr>
          <w:rFonts w:ascii="Times New Roman" w:hAnsi="Times New Roman" w:cs="Times New Roman"/>
          <w:sz w:val="24"/>
          <w:szCs w:val="24"/>
        </w:rPr>
        <w:t xml:space="preserve"> (eds.) </w:t>
      </w:r>
      <w:r w:rsidRPr="0028597A">
        <w:rPr>
          <w:rFonts w:ascii="Times New Roman" w:hAnsi="Times New Roman" w:cs="Times New Roman"/>
          <w:i/>
          <w:iCs/>
          <w:sz w:val="24"/>
          <w:szCs w:val="24"/>
        </w:rPr>
        <w:t>Lean engineering for global development</w:t>
      </w:r>
      <w:r w:rsidRPr="0028597A">
        <w:rPr>
          <w:rFonts w:ascii="Times New Roman" w:hAnsi="Times New Roman" w:cs="Times New Roman"/>
          <w:sz w:val="24"/>
          <w:szCs w:val="24"/>
        </w:rPr>
        <w:t>. Springer, Cham, pp. 1-31.</w:t>
      </w:r>
      <w:r>
        <w:rPr>
          <w:rFonts w:ascii="Times New Roman" w:hAnsi="Times New Roman" w:cs="Times New Roman"/>
          <w:sz w:val="24"/>
          <w:szCs w:val="24"/>
        </w:rPr>
        <w:t xml:space="preserve"> </w:t>
      </w:r>
    </w:p>
    <w:p w:rsidR="004A4B5D" w:rsidP="004A4B5D" w:rsidRDefault="001F6E9B" w14:paraId="6C8605A0" w14:textId="14DE2843">
      <w:pPr>
        <w:spacing w:after="0" w:line="480" w:lineRule="auto"/>
        <w:ind w:left="720" w:hanging="720"/>
        <w:rPr>
          <w:rFonts w:ascii="Times New Roman" w:hAnsi="Times New Roman" w:cs="Times New Roman"/>
          <w:sz w:val="24"/>
          <w:szCs w:val="24"/>
        </w:rPr>
      </w:pPr>
      <w:r w:rsidRPr="00A9578B">
        <w:rPr>
          <w:rFonts w:ascii="Times New Roman" w:hAnsi="Times New Roman" w:cs="Times New Roman"/>
          <w:sz w:val="24"/>
          <w:szCs w:val="24"/>
        </w:rPr>
        <w:t xml:space="preserve">Bai, Y., Yao, L., Wei, T., Tian, F., Jin, D.Y., Chen, L. and Wang, M., 2020. Presumed Asymptomatic Carrier Transmission of </w:t>
      </w:r>
      <w:r w:rsidR="0083247D">
        <w:rPr>
          <w:rFonts w:ascii="Times New Roman" w:hAnsi="Times New Roman" w:cs="Times New Roman"/>
          <w:sz w:val="24"/>
          <w:szCs w:val="24"/>
        </w:rPr>
        <w:t>COVID-19</w:t>
      </w:r>
      <w:r w:rsidRPr="00A9578B">
        <w:rPr>
          <w:rFonts w:ascii="Times New Roman" w:hAnsi="Times New Roman" w:cs="Times New Roman"/>
          <w:sz w:val="24"/>
          <w:szCs w:val="24"/>
        </w:rPr>
        <w:t>. JAMA, E1–E2.</w:t>
      </w:r>
      <w:r>
        <w:rPr>
          <w:rFonts w:ascii="Times New Roman" w:hAnsi="Times New Roman" w:cs="Times New Roman"/>
          <w:sz w:val="24"/>
          <w:szCs w:val="24"/>
        </w:rPr>
        <w:t xml:space="preserve"> </w:t>
      </w:r>
      <w:r w:rsidRPr="00786761">
        <w:rPr>
          <w:rStyle w:val="Hyperlink"/>
          <w:rFonts w:ascii="Times New Roman" w:hAnsi="Times New Roman" w:cs="Times New Roman"/>
          <w:sz w:val="24"/>
          <w:szCs w:val="24"/>
        </w:rPr>
        <w:t>https://doi:10.1001/jama.2020.2565</w:t>
      </w:r>
      <w:r>
        <w:rPr>
          <w:rFonts w:ascii="Times New Roman" w:hAnsi="Times New Roman" w:cs="Times New Roman"/>
          <w:sz w:val="24"/>
          <w:szCs w:val="24"/>
        </w:rPr>
        <w:t xml:space="preserve"> </w:t>
      </w:r>
    </w:p>
    <w:p w:rsidRPr="0028597A" w:rsidR="004A4B5D" w:rsidP="004A4B5D" w:rsidRDefault="001F6E9B" w14:paraId="6C92CF85" w14:textId="11B4261E">
      <w:pPr>
        <w:spacing w:after="0" w:line="480" w:lineRule="auto"/>
        <w:ind w:left="720" w:hanging="720"/>
        <w:rPr>
          <w:rFonts w:ascii="Times New Roman" w:hAnsi="Times New Roman" w:cs="Times New Roman"/>
          <w:sz w:val="24"/>
          <w:szCs w:val="24"/>
        </w:rPr>
      </w:pPr>
      <w:r w:rsidRPr="001C6371">
        <w:rPr>
          <w:rFonts w:ascii="Times New Roman" w:hAnsi="Times New Roman" w:cs="Times New Roman"/>
          <w:sz w:val="24"/>
          <w:szCs w:val="24"/>
        </w:rPr>
        <w:t xml:space="preserve">Belhadi, A., Kamble, S., Jabbour, C.J.C., Gunasekaran, A., Ndubisi, N.O. and Venkatesh, M., 2021. Manufacturing and service supply chain resilience to the </w:t>
      </w:r>
      <w:r w:rsidR="0083247D">
        <w:rPr>
          <w:rFonts w:ascii="Times New Roman" w:hAnsi="Times New Roman" w:cs="Times New Roman"/>
          <w:sz w:val="24"/>
          <w:szCs w:val="24"/>
        </w:rPr>
        <w:t>COVID-19</w:t>
      </w:r>
      <w:r w:rsidRPr="001C6371">
        <w:rPr>
          <w:rFonts w:ascii="Times New Roman" w:hAnsi="Times New Roman" w:cs="Times New Roman"/>
          <w:sz w:val="24"/>
          <w:szCs w:val="24"/>
        </w:rPr>
        <w:t xml:space="preserve"> outbreak: Lessons learned from the automobile and airline industries. </w:t>
      </w:r>
      <w:r w:rsidRPr="001C6371">
        <w:rPr>
          <w:rFonts w:ascii="Times New Roman" w:hAnsi="Times New Roman" w:cs="Times New Roman"/>
          <w:i/>
          <w:iCs/>
          <w:sz w:val="24"/>
          <w:szCs w:val="24"/>
        </w:rPr>
        <w:t>Technological Forecasting and Social Change</w:t>
      </w:r>
      <w:r w:rsidRPr="001C6371">
        <w:rPr>
          <w:rFonts w:ascii="Times New Roman" w:hAnsi="Times New Roman" w:cs="Times New Roman"/>
          <w:sz w:val="24"/>
          <w:szCs w:val="24"/>
        </w:rPr>
        <w:t>, </w:t>
      </w:r>
      <w:r w:rsidRPr="001C6371">
        <w:rPr>
          <w:rFonts w:ascii="Times New Roman" w:hAnsi="Times New Roman" w:cs="Times New Roman"/>
          <w:i/>
          <w:iCs/>
          <w:sz w:val="24"/>
          <w:szCs w:val="24"/>
        </w:rPr>
        <w:t>163</w:t>
      </w:r>
      <w:r w:rsidRPr="001C6371">
        <w:rPr>
          <w:rFonts w:ascii="Times New Roman" w:hAnsi="Times New Roman" w:cs="Times New Roman"/>
          <w:sz w:val="24"/>
          <w:szCs w:val="24"/>
        </w:rPr>
        <w:t>, p.120447.</w:t>
      </w:r>
      <w:r>
        <w:rPr>
          <w:rFonts w:ascii="Times New Roman" w:hAnsi="Times New Roman" w:cs="Times New Roman"/>
          <w:sz w:val="24"/>
          <w:szCs w:val="24"/>
        </w:rPr>
        <w:t xml:space="preserve"> </w:t>
      </w:r>
      <w:hyperlink w:history="1" r:id="rId8">
        <w:r w:rsidRPr="00786761">
          <w:rPr>
            <w:rStyle w:val="Hyperlink"/>
            <w:rFonts w:ascii="Times New Roman" w:hAnsi="Times New Roman" w:cs="Times New Roman"/>
            <w:sz w:val="24"/>
            <w:szCs w:val="24"/>
          </w:rPr>
          <w:t>https://doi.org/10.1016/j.techfore.2020.120447</w:t>
        </w:r>
      </w:hyperlink>
      <w:r>
        <w:rPr>
          <w:rFonts w:ascii="Times New Roman" w:hAnsi="Times New Roman" w:cs="Times New Roman"/>
          <w:sz w:val="24"/>
          <w:szCs w:val="24"/>
        </w:rPr>
        <w:t xml:space="preserve"> </w:t>
      </w:r>
    </w:p>
    <w:p w:rsidR="004A4B5D" w:rsidP="004A4B5D" w:rsidRDefault="001F6E9B" w14:paraId="57302005" w14:textId="77777777">
      <w:pPr>
        <w:spacing w:after="0" w:line="480" w:lineRule="auto"/>
        <w:ind w:left="720" w:hanging="720"/>
        <w:rPr>
          <w:rFonts w:ascii="Times New Roman" w:hAnsi="Times New Roman" w:cs="Times New Roman"/>
          <w:sz w:val="24"/>
          <w:szCs w:val="24"/>
        </w:rPr>
      </w:pPr>
      <w:r w:rsidRPr="00582D9C">
        <w:rPr>
          <w:rFonts w:ascii="Times New Roman" w:hAnsi="Times New Roman" w:cs="Times New Roman"/>
          <w:sz w:val="24"/>
          <w:szCs w:val="24"/>
        </w:rPr>
        <w:t>Cherunilam, F., 2021. </w:t>
      </w:r>
      <w:r w:rsidRPr="00582D9C">
        <w:rPr>
          <w:rFonts w:ascii="Times New Roman" w:hAnsi="Times New Roman" w:cs="Times New Roman"/>
          <w:i/>
          <w:iCs/>
          <w:sz w:val="24"/>
          <w:szCs w:val="24"/>
        </w:rPr>
        <w:t>Business environment</w:t>
      </w:r>
      <w:r w:rsidRPr="00582D9C">
        <w:rPr>
          <w:rFonts w:ascii="Times New Roman" w:hAnsi="Times New Roman" w:cs="Times New Roman"/>
          <w:sz w:val="24"/>
          <w:szCs w:val="24"/>
        </w:rPr>
        <w:t>. Himalaya Publishing House Pvt. Ltd.</w:t>
      </w:r>
    </w:p>
    <w:p w:rsidRPr="00AB77E0" w:rsidR="004A4B5D" w:rsidP="004A4B5D" w:rsidRDefault="001F6E9B" w14:paraId="6C493FA6" w14:textId="77777777">
      <w:pPr>
        <w:spacing w:after="0" w:line="480" w:lineRule="auto"/>
        <w:ind w:left="720" w:hanging="720"/>
        <w:rPr>
          <w:rFonts w:ascii="Times New Roman" w:hAnsi="Times New Roman" w:cs="Times New Roman"/>
          <w:sz w:val="24"/>
          <w:szCs w:val="24"/>
        </w:rPr>
      </w:pPr>
      <w:r w:rsidRPr="00A9578B">
        <w:rPr>
          <w:rFonts w:ascii="Times New Roman" w:hAnsi="Times New Roman" w:cs="Times New Roman"/>
          <w:sz w:val="24"/>
          <w:szCs w:val="24"/>
        </w:rPr>
        <w:t>D’Auria, G. and De Smet, A., 2020. Leadership in a crisis: Responding to the coronavirus outbreak and future challenges. </w:t>
      </w:r>
      <w:r w:rsidRPr="00A9578B">
        <w:rPr>
          <w:rFonts w:ascii="Times New Roman" w:hAnsi="Times New Roman" w:cs="Times New Roman"/>
          <w:i/>
          <w:iCs/>
          <w:sz w:val="24"/>
          <w:szCs w:val="24"/>
        </w:rPr>
        <w:t>Psychology</w:t>
      </w:r>
      <w:r w:rsidRPr="00A9578B">
        <w:rPr>
          <w:rFonts w:ascii="Times New Roman" w:hAnsi="Times New Roman" w:cs="Times New Roman"/>
          <w:sz w:val="24"/>
          <w:szCs w:val="24"/>
        </w:rPr>
        <w:t>, </w:t>
      </w:r>
      <w:r w:rsidRPr="00A9578B">
        <w:rPr>
          <w:rFonts w:ascii="Times New Roman" w:hAnsi="Times New Roman" w:cs="Times New Roman"/>
          <w:i/>
          <w:iCs/>
          <w:sz w:val="24"/>
          <w:szCs w:val="24"/>
        </w:rPr>
        <w:t>22</w:t>
      </w:r>
      <w:r w:rsidRPr="00A9578B">
        <w:rPr>
          <w:rFonts w:ascii="Times New Roman" w:hAnsi="Times New Roman" w:cs="Times New Roman"/>
          <w:sz w:val="24"/>
          <w:szCs w:val="24"/>
        </w:rPr>
        <w:t>(2), pp.273-287.</w:t>
      </w:r>
      <w:r>
        <w:rPr>
          <w:rFonts w:ascii="Times New Roman" w:hAnsi="Times New Roman" w:cs="Times New Roman"/>
          <w:sz w:val="24"/>
          <w:szCs w:val="24"/>
        </w:rPr>
        <w:t xml:space="preserve"> </w:t>
      </w:r>
    </w:p>
    <w:p w:rsidR="004A4B5D" w:rsidP="004A4B5D" w:rsidRDefault="001F6E9B" w14:paraId="511BA95B" w14:textId="0448FA72">
      <w:pPr>
        <w:spacing w:after="0" w:line="480" w:lineRule="auto"/>
        <w:ind w:left="720" w:hanging="720"/>
        <w:rPr>
          <w:rStyle w:val="Hyperlink"/>
          <w:rFonts w:ascii="Times New Roman" w:hAnsi="Times New Roman" w:cs="Times New Roman"/>
          <w:sz w:val="24"/>
          <w:szCs w:val="24"/>
        </w:rPr>
      </w:pPr>
      <w:r w:rsidRPr="5D2BBAB8" w:rsidR="001F6E9B">
        <w:rPr>
          <w:rFonts w:ascii="Times New Roman" w:hAnsi="Times New Roman" w:cs="Times New Roman"/>
          <w:sz w:val="24"/>
          <w:szCs w:val="24"/>
        </w:rPr>
        <w:t>Davis, R. and</w:t>
      </w:r>
      <w:r w:rsidRPr="5D2BBAB8" w:rsidR="001F6E9B">
        <w:rPr>
          <w:rFonts w:ascii="Times New Roman" w:hAnsi="Times New Roman" w:cs="Times New Roman"/>
          <w:sz w:val="24"/>
          <w:szCs w:val="24"/>
        </w:rPr>
        <w:t xml:space="preserve"> </w:t>
      </w:r>
      <w:r w:rsidRPr="5D2BBAB8" w:rsidR="001F6E9B">
        <w:rPr>
          <w:rFonts w:ascii="Times New Roman" w:hAnsi="Times New Roman" w:cs="Times New Roman"/>
          <w:sz w:val="24"/>
          <w:szCs w:val="24"/>
        </w:rPr>
        <w:t xml:space="preserve">Inajima, T. </w:t>
      </w:r>
      <w:r w:rsidRPr="5D2BBAB8" w:rsidR="001F6E9B">
        <w:rPr>
          <w:rFonts w:ascii="Times New Roman" w:hAnsi="Times New Roman" w:cs="Times New Roman"/>
          <w:sz w:val="24"/>
          <w:szCs w:val="24"/>
        </w:rPr>
        <w:t>2021. </w:t>
      </w:r>
      <w:r w:rsidRPr="5D2BBAB8" w:rsidR="001F6E9B">
        <w:rPr>
          <w:rFonts w:ascii="Times New Roman" w:hAnsi="Times New Roman" w:cs="Times New Roman"/>
          <w:i w:val="1"/>
          <w:iCs w:val="1"/>
          <w:sz w:val="24"/>
          <w:szCs w:val="24"/>
        </w:rPr>
        <w:t>Bloomberg</w:t>
      </w:r>
      <w:r w:rsidRPr="5D2BBAB8" w:rsidR="001F6E9B">
        <w:rPr>
          <w:rFonts w:ascii="Times New Roman" w:hAnsi="Times New Roman" w:cs="Times New Roman"/>
          <w:sz w:val="24"/>
          <w:szCs w:val="24"/>
        </w:rPr>
        <w:t xml:space="preserve">. Bloomberg - Are you a </w:t>
      </w:r>
      <w:r w:rsidRPr="5D2BBAB8" w:rsidR="58466C29">
        <w:rPr>
          <w:rFonts w:ascii="Times New Roman" w:hAnsi="Times New Roman" w:cs="Times New Roman"/>
          <w:sz w:val="24"/>
          <w:szCs w:val="24"/>
        </w:rPr>
        <w:t>robot?</w:t>
      </w:r>
      <w:r w:rsidRPr="5D2BBAB8" w:rsidR="001F6E9B">
        <w:rPr>
          <w:rFonts w:ascii="Times New Roman" w:hAnsi="Times New Roman" w:cs="Times New Roman"/>
          <w:sz w:val="24"/>
          <w:szCs w:val="24"/>
        </w:rPr>
        <w:t> </w:t>
      </w:r>
      <w:hyperlink r:id="Rb9ff9d2251cd4967">
        <w:r w:rsidRPr="5D2BBAB8" w:rsidR="001F6E9B">
          <w:rPr>
            <w:rStyle w:val="Hyperlink"/>
            <w:rFonts w:ascii="Times New Roman" w:hAnsi="Times New Roman" w:cs="Times New Roman"/>
            <w:sz w:val="24"/>
            <w:szCs w:val="24"/>
          </w:rPr>
          <w:t>https://www.bloomberg.com/news/articles/2021-09-01/how-one-covid-case-upended-toyota-s-just-in-time-supply-chain</w:t>
        </w:r>
      </w:hyperlink>
    </w:p>
    <w:p w:rsidR="004A4B5D" w:rsidP="004A4B5D" w:rsidRDefault="001F6E9B" w14:paraId="2D3CF12F" w14:textId="3E06F764">
      <w:pPr>
        <w:spacing w:after="0" w:line="480" w:lineRule="auto"/>
        <w:ind w:left="720" w:hanging="720"/>
        <w:rPr>
          <w:rFonts w:ascii="Times New Roman" w:hAnsi="Times New Roman" w:cs="Times New Roman"/>
          <w:sz w:val="24"/>
          <w:szCs w:val="24"/>
        </w:rPr>
      </w:pPr>
      <w:r w:rsidRPr="00582D9C">
        <w:rPr>
          <w:rFonts w:ascii="Times New Roman" w:hAnsi="Times New Roman" w:cs="Times New Roman"/>
          <w:sz w:val="24"/>
          <w:szCs w:val="24"/>
        </w:rPr>
        <w:t xml:space="preserve">Keshky, E., El Sayed, M., Basyouni, S.S. and Al Sabban, A.M., 2020. Getting through </w:t>
      </w:r>
      <w:r w:rsidR="0083247D">
        <w:rPr>
          <w:rFonts w:ascii="Times New Roman" w:hAnsi="Times New Roman" w:cs="Times New Roman"/>
          <w:sz w:val="24"/>
          <w:szCs w:val="24"/>
        </w:rPr>
        <w:t>COVID-19</w:t>
      </w:r>
      <w:r w:rsidRPr="00582D9C">
        <w:rPr>
          <w:rFonts w:ascii="Times New Roman" w:hAnsi="Times New Roman" w:cs="Times New Roman"/>
          <w:sz w:val="24"/>
          <w:szCs w:val="24"/>
        </w:rPr>
        <w:t>: the pandemic’s impact on the psychology of sustainability, quality of life, and the global economy–a systematic review. </w:t>
      </w:r>
      <w:r w:rsidRPr="00582D9C">
        <w:rPr>
          <w:rFonts w:ascii="Times New Roman" w:hAnsi="Times New Roman" w:cs="Times New Roman"/>
          <w:i/>
          <w:iCs/>
          <w:sz w:val="24"/>
          <w:szCs w:val="24"/>
        </w:rPr>
        <w:t>Frontiers in Psychology</w:t>
      </w:r>
      <w:r w:rsidRPr="00582D9C">
        <w:rPr>
          <w:rFonts w:ascii="Times New Roman" w:hAnsi="Times New Roman" w:cs="Times New Roman"/>
          <w:sz w:val="24"/>
          <w:szCs w:val="24"/>
        </w:rPr>
        <w:t>, </w:t>
      </w:r>
      <w:r w:rsidRPr="00582D9C">
        <w:rPr>
          <w:rFonts w:ascii="Times New Roman" w:hAnsi="Times New Roman" w:cs="Times New Roman"/>
          <w:i/>
          <w:iCs/>
          <w:sz w:val="24"/>
          <w:szCs w:val="24"/>
        </w:rPr>
        <w:t>11</w:t>
      </w:r>
      <w:r w:rsidRPr="00582D9C">
        <w:rPr>
          <w:rFonts w:ascii="Times New Roman" w:hAnsi="Times New Roman" w:cs="Times New Roman"/>
          <w:sz w:val="24"/>
          <w:szCs w:val="24"/>
        </w:rPr>
        <w:t>, p.3188.</w:t>
      </w:r>
      <w:r>
        <w:rPr>
          <w:rFonts w:ascii="Times New Roman" w:hAnsi="Times New Roman" w:cs="Times New Roman"/>
          <w:sz w:val="24"/>
          <w:szCs w:val="24"/>
        </w:rPr>
        <w:t xml:space="preserve"> </w:t>
      </w:r>
      <w:hyperlink w:history="1" r:id="rId10">
        <w:r w:rsidRPr="00786761">
          <w:rPr>
            <w:rStyle w:val="Hyperlink"/>
            <w:rFonts w:ascii="Times New Roman" w:hAnsi="Times New Roman" w:cs="Times New Roman"/>
            <w:sz w:val="24"/>
            <w:szCs w:val="24"/>
          </w:rPr>
          <w:t>https://doi.org/10.3389/fpsyg.2020.585897</w:t>
        </w:r>
      </w:hyperlink>
      <w:r>
        <w:rPr>
          <w:rFonts w:ascii="Times New Roman" w:hAnsi="Times New Roman" w:cs="Times New Roman"/>
          <w:sz w:val="24"/>
          <w:szCs w:val="24"/>
        </w:rPr>
        <w:t xml:space="preserve"> </w:t>
      </w:r>
    </w:p>
    <w:p w:rsidR="004A4B5D" w:rsidP="004A4B5D" w:rsidRDefault="001F6E9B" w14:paraId="15FD6BD9" w14:textId="77777777">
      <w:pPr>
        <w:spacing w:after="0" w:line="480" w:lineRule="auto"/>
        <w:ind w:left="720" w:hanging="720"/>
        <w:rPr>
          <w:rFonts w:ascii="Times New Roman" w:hAnsi="Times New Roman" w:cs="Times New Roman"/>
          <w:sz w:val="24"/>
          <w:szCs w:val="24"/>
        </w:rPr>
      </w:pPr>
      <w:r>
        <w:rPr>
          <w:rFonts w:ascii="Times New Roman" w:hAnsi="Times New Roman" w:cs="Times New Roman"/>
          <w:sz w:val="24"/>
          <w:szCs w:val="24"/>
        </w:rPr>
        <w:t>Krisher, T., &amp; Chapman, M. 2021</w:t>
      </w:r>
      <w:r w:rsidRPr="00AB77E0">
        <w:rPr>
          <w:rFonts w:ascii="Times New Roman" w:hAnsi="Times New Roman" w:cs="Times New Roman"/>
          <w:sz w:val="24"/>
          <w:szCs w:val="24"/>
        </w:rPr>
        <w:t>. </w:t>
      </w:r>
      <w:r w:rsidRPr="00AB77E0">
        <w:rPr>
          <w:rFonts w:ascii="Times New Roman" w:hAnsi="Times New Roman" w:cs="Times New Roman"/>
          <w:i/>
          <w:iCs/>
          <w:sz w:val="24"/>
          <w:szCs w:val="24"/>
        </w:rPr>
        <w:t>Toyota slashes production as pandemic strains supply chain</w:t>
      </w:r>
      <w:r w:rsidRPr="00AB77E0">
        <w:rPr>
          <w:rFonts w:ascii="Times New Roman" w:hAnsi="Times New Roman" w:cs="Times New Roman"/>
          <w:sz w:val="24"/>
          <w:szCs w:val="24"/>
        </w:rPr>
        <w:t>. PBS NewsHour. </w:t>
      </w:r>
      <w:hyperlink w:history="1" r:id="rId11">
        <w:r w:rsidRPr="00AB77E0">
          <w:rPr>
            <w:rStyle w:val="Hyperlink"/>
            <w:rFonts w:ascii="Times New Roman" w:hAnsi="Times New Roman" w:cs="Times New Roman"/>
            <w:sz w:val="24"/>
            <w:szCs w:val="24"/>
          </w:rPr>
          <w:t>https://www.pbs.org/newshour/economy/toyota-slashes-production-as-pandemic-strains-supply-chain</w:t>
        </w:r>
      </w:hyperlink>
    </w:p>
    <w:p w:rsidRPr="0028597A" w:rsidR="004A4B5D" w:rsidP="004A4B5D" w:rsidRDefault="001F6E9B" w14:paraId="361F1A28" w14:textId="778A7B50">
      <w:pPr>
        <w:spacing w:after="0" w:line="480" w:lineRule="auto"/>
        <w:ind w:left="720" w:hanging="720"/>
        <w:rPr>
          <w:rFonts w:ascii="Times New Roman" w:hAnsi="Times New Roman" w:cs="Times New Roman"/>
          <w:sz w:val="24"/>
          <w:szCs w:val="24"/>
        </w:rPr>
      </w:pPr>
      <w:r w:rsidRPr="5D2BBAB8" w:rsidR="001F6E9B">
        <w:rPr>
          <w:rFonts w:ascii="Times New Roman" w:hAnsi="Times New Roman" w:cs="Times New Roman"/>
          <w:sz w:val="24"/>
          <w:szCs w:val="24"/>
        </w:rPr>
        <w:t xml:space="preserve">Singh, S., Kumar, R., Panchal, </w:t>
      </w:r>
      <w:r w:rsidRPr="5D2BBAB8" w:rsidR="7C4DEFA5">
        <w:rPr>
          <w:rFonts w:ascii="Times New Roman" w:hAnsi="Times New Roman" w:cs="Times New Roman"/>
          <w:sz w:val="24"/>
          <w:szCs w:val="24"/>
        </w:rPr>
        <w:t>R.,</w:t>
      </w:r>
      <w:r w:rsidRPr="5D2BBAB8" w:rsidR="001F6E9B">
        <w:rPr>
          <w:rFonts w:ascii="Times New Roman" w:hAnsi="Times New Roman" w:cs="Times New Roman"/>
          <w:sz w:val="24"/>
          <w:szCs w:val="24"/>
        </w:rPr>
        <w:t xml:space="preserve"> and Tiwari, M.K., 2021. Impact of </w:t>
      </w:r>
      <w:r w:rsidRPr="5D2BBAB8" w:rsidR="0083247D">
        <w:rPr>
          <w:rFonts w:ascii="Times New Roman" w:hAnsi="Times New Roman" w:cs="Times New Roman"/>
          <w:sz w:val="24"/>
          <w:szCs w:val="24"/>
        </w:rPr>
        <w:t>COVID-19</w:t>
      </w:r>
      <w:r w:rsidRPr="5D2BBAB8" w:rsidR="001F6E9B">
        <w:rPr>
          <w:rFonts w:ascii="Times New Roman" w:hAnsi="Times New Roman" w:cs="Times New Roman"/>
          <w:sz w:val="24"/>
          <w:szCs w:val="24"/>
        </w:rPr>
        <w:t xml:space="preserve"> on </w:t>
      </w:r>
      <w:r w:rsidRPr="5D2BBAB8" w:rsidR="001F6E9B">
        <w:rPr>
          <w:rFonts w:ascii="Times New Roman" w:hAnsi="Times New Roman" w:cs="Times New Roman"/>
          <w:sz w:val="24"/>
          <w:szCs w:val="24"/>
        </w:rPr>
        <w:t>logistics</w:t>
      </w:r>
      <w:r w:rsidRPr="5D2BBAB8" w:rsidR="001F6E9B">
        <w:rPr>
          <w:rFonts w:ascii="Times New Roman" w:hAnsi="Times New Roman" w:cs="Times New Roman"/>
          <w:sz w:val="24"/>
          <w:szCs w:val="24"/>
        </w:rPr>
        <w:t xml:space="preserve"> systems and disruptions in food supply chain. </w:t>
      </w:r>
      <w:r w:rsidRPr="5D2BBAB8" w:rsidR="001F6E9B">
        <w:rPr>
          <w:rFonts w:ascii="Times New Roman" w:hAnsi="Times New Roman" w:cs="Times New Roman"/>
          <w:i w:val="1"/>
          <w:iCs w:val="1"/>
          <w:sz w:val="24"/>
          <w:szCs w:val="24"/>
        </w:rPr>
        <w:t>International Journal of Production Research</w:t>
      </w:r>
      <w:r w:rsidRPr="5D2BBAB8" w:rsidR="001F6E9B">
        <w:rPr>
          <w:rFonts w:ascii="Times New Roman" w:hAnsi="Times New Roman" w:cs="Times New Roman"/>
          <w:sz w:val="24"/>
          <w:szCs w:val="24"/>
        </w:rPr>
        <w:t>, </w:t>
      </w:r>
      <w:r w:rsidRPr="5D2BBAB8" w:rsidR="001F6E9B">
        <w:rPr>
          <w:rFonts w:ascii="Times New Roman" w:hAnsi="Times New Roman" w:cs="Times New Roman"/>
          <w:i w:val="1"/>
          <w:iCs w:val="1"/>
          <w:sz w:val="24"/>
          <w:szCs w:val="24"/>
        </w:rPr>
        <w:t>59</w:t>
      </w:r>
      <w:r w:rsidRPr="5D2BBAB8" w:rsidR="001F6E9B">
        <w:rPr>
          <w:rFonts w:ascii="Times New Roman" w:hAnsi="Times New Roman" w:cs="Times New Roman"/>
          <w:sz w:val="24"/>
          <w:szCs w:val="24"/>
        </w:rPr>
        <w:t>(7), pp.1993-2008.</w:t>
      </w:r>
      <w:r w:rsidRPr="5D2BBAB8" w:rsidR="001F6E9B">
        <w:rPr>
          <w:rFonts w:ascii="Times New Roman" w:hAnsi="Times New Roman" w:cs="Times New Roman"/>
          <w:sz w:val="24"/>
          <w:szCs w:val="24"/>
        </w:rPr>
        <w:t xml:space="preserve"> </w:t>
      </w:r>
      <w:hyperlink r:id="Rb19b3f162e4445c1">
        <w:r w:rsidRPr="5D2BBAB8" w:rsidR="001F6E9B">
          <w:rPr>
            <w:rStyle w:val="Hyperlink"/>
            <w:rFonts w:ascii="Times New Roman" w:hAnsi="Times New Roman" w:cs="Times New Roman"/>
            <w:sz w:val="24"/>
            <w:szCs w:val="24"/>
          </w:rPr>
          <w:t>https://doi.org/10.1080/00207543.2020.1792000</w:t>
        </w:r>
      </w:hyperlink>
      <w:r w:rsidRPr="5D2BBAB8" w:rsidR="001F6E9B">
        <w:rPr>
          <w:rFonts w:ascii="Times New Roman" w:hAnsi="Times New Roman" w:cs="Times New Roman"/>
          <w:sz w:val="24"/>
          <w:szCs w:val="24"/>
        </w:rPr>
        <w:t xml:space="preserve"> </w:t>
      </w:r>
    </w:p>
    <w:p w:rsidR="004A4B5D" w:rsidP="004A4B5D" w:rsidRDefault="001F6E9B" w14:paraId="623B3E74" w14:textId="77777777">
      <w:pPr>
        <w:spacing w:after="0"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 </w:t>
      </w:r>
      <w:proofErr w:type="spellStart"/>
      <w:r w:rsidRPr="004C7562">
        <w:rPr>
          <w:rFonts w:ascii="Times New Roman" w:hAnsi="Times New Roman" w:cs="Times New Roman"/>
          <w:sz w:val="24"/>
          <w:szCs w:val="24"/>
        </w:rPr>
        <w:t>Swiecki</w:t>
      </w:r>
      <w:proofErr w:type="spellEnd"/>
      <w:r w:rsidRPr="004C7562">
        <w:rPr>
          <w:rFonts w:ascii="Times New Roman" w:hAnsi="Times New Roman" w:cs="Times New Roman"/>
          <w:sz w:val="24"/>
          <w:szCs w:val="24"/>
        </w:rPr>
        <w:t>, B., Schultz, M., Fiorelli, T., Faler, E. and Chen, Y., 2020. An Assessment of Japanese Automakers’ Impact &amp; Activity in the United States.</w:t>
      </w:r>
      <w:r>
        <w:rPr>
          <w:rFonts w:ascii="Times New Roman" w:hAnsi="Times New Roman" w:cs="Times New Roman"/>
          <w:sz w:val="24"/>
          <w:szCs w:val="24"/>
        </w:rPr>
        <w:t xml:space="preserve"> </w:t>
      </w:r>
      <w:hyperlink w:history="1" r:id="rId13">
        <w:r w:rsidRPr="00786761">
          <w:rPr>
            <w:rStyle w:val="Hyperlink"/>
            <w:rFonts w:ascii="Times New Roman" w:hAnsi="Times New Roman" w:cs="Times New Roman"/>
            <w:sz w:val="24"/>
            <w:szCs w:val="24"/>
          </w:rPr>
          <w:t>https://www.cargroup.org/wp-content/uploads/2020/07/JAMA-Publication.pdf</w:t>
        </w:r>
      </w:hyperlink>
      <w:r>
        <w:rPr>
          <w:rFonts w:ascii="Times New Roman" w:hAnsi="Times New Roman" w:cs="Times New Roman"/>
          <w:sz w:val="24"/>
          <w:szCs w:val="24"/>
        </w:rPr>
        <w:t xml:space="preserve"> </w:t>
      </w:r>
    </w:p>
    <w:p w:rsidR="004A4B5D" w:rsidP="004A4B5D" w:rsidRDefault="001F6E9B" w14:paraId="15D7E4C0" w14:textId="55E7F8F9">
      <w:pPr>
        <w:spacing w:after="0" w:line="480" w:lineRule="auto"/>
        <w:ind w:left="720" w:hanging="720"/>
        <w:rPr>
          <w:rFonts w:ascii="Times New Roman" w:hAnsi="Times New Roman" w:cs="Times New Roman"/>
          <w:sz w:val="24"/>
          <w:szCs w:val="24"/>
        </w:rPr>
      </w:pPr>
      <w:r w:rsidRPr="005A2305">
        <w:rPr>
          <w:rFonts w:ascii="Times New Roman" w:hAnsi="Times New Roman" w:cs="Times New Roman"/>
          <w:i/>
          <w:iCs/>
          <w:sz w:val="24"/>
          <w:szCs w:val="24"/>
        </w:rPr>
        <w:t xml:space="preserve">Toyota's coronavirus &amp; </w:t>
      </w:r>
      <w:r w:rsidR="0083247D">
        <w:rPr>
          <w:rFonts w:ascii="Times New Roman" w:hAnsi="Times New Roman" w:cs="Times New Roman"/>
          <w:i/>
          <w:iCs/>
          <w:sz w:val="24"/>
          <w:szCs w:val="24"/>
        </w:rPr>
        <w:t>COVID-19</w:t>
      </w:r>
      <w:r w:rsidRPr="005A2305">
        <w:rPr>
          <w:rFonts w:ascii="Times New Roman" w:hAnsi="Times New Roman" w:cs="Times New Roman"/>
          <w:i/>
          <w:iCs/>
          <w:sz w:val="24"/>
          <w:szCs w:val="24"/>
        </w:rPr>
        <w:t xml:space="preserve"> response</w:t>
      </w:r>
      <w:r w:rsidRPr="005A2305">
        <w:rPr>
          <w:rFonts w:ascii="Times New Roman" w:hAnsi="Times New Roman" w:cs="Times New Roman"/>
          <w:sz w:val="24"/>
          <w:szCs w:val="24"/>
        </w:rPr>
        <w:t>. (n.d.). New Cars, Trucks, SUVs &amp; Hybrids | Toyota Official Site. </w:t>
      </w:r>
      <w:hyperlink w:history="1" r:id="rId14">
        <w:r w:rsidRPr="005A2305">
          <w:rPr>
            <w:rStyle w:val="Hyperlink"/>
            <w:rFonts w:ascii="Times New Roman" w:hAnsi="Times New Roman" w:cs="Times New Roman"/>
            <w:sz w:val="24"/>
            <w:szCs w:val="24"/>
          </w:rPr>
          <w:t>https://www.toyota.com/toyota-</w:t>
        </w:r>
        <w:r w:rsidR="0083247D">
          <w:rPr>
            <w:rStyle w:val="Hyperlink"/>
            <w:rFonts w:ascii="Times New Roman" w:hAnsi="Times New Roman" w:cs="Times New Roman"/>
            <w:sz w:val="24"/>
            <w:szCs w:val="24"/>
          </w:rPr>
          <w:t>COVID-19</w:t>
        </w:r>
        <w:r w:rsidRPr="005A2305">
          <w:rPr>
            <w:rStyle w:val="Hyperlink"/>
            <w:rFonts w:ascii="Times New Roman" w:hAnsi="Times New Roman" w:cs="Times New Roman"/>
            <w:sz w:val="24"/>
            <w:szCs w:val="24"/>
          </w:rPr>
          <w:t>-response/</w:t>
        </w:r>
      </w:hyperlink>
    </w:p>
    <w:p w:rsidR="004A4B5D" w:rsidP="004A4B5D" w:rsidRDefault="001F6E9B" w14:paraId="166F4FDA" w14:textId="77777777">
      <w:pPr>
        <w:spacing w:after="0" w:line="480" w:lineRule="auto"/>
        <w:ind w:left="720" w:hanging="720"/>
        <w:rPr>
          <w:rFonts w:ascii="Times New Roman" w:hAnsi="Times New Roman" w:cs="Times New Roman"/>
          <w:sz w:val="24"/>
          <w:szCs w:val="24"/>
        </w:rPr>
      </w:pPr>
      <w:r w:rsidRPr="00642EAF">
        <w:rPr>
          <w:rFonts w:ascii="Times New Roman" w:hAnsi="Times New Roman" w:cs="Times New Roman"/>
          <w:sz w:val="24"/>
          <w:szCs w:val="24"/>
        </w:rPr>
        <w:t>Vlados, C., 2019. Porter’s diamond approaches and the competitiveness web. </w:t>
      </w:r>
      <w:r w:rsidRPr="00642EAF">
        <w:rPr>
          <w:rFonts w:ascii="Times New Roman" w:hAnsi="Times New Roman" w:cs="Times New Roman"/>
          <w:i/>
          <w:iCs/>
          <w:sz w:val="24"/>
          <w:szCs w:val="24"/>
        </w:rPr>
        <w:t>International Journal of Business Administration</w:t>
      </w:r>
      <w:r w:rsidRPr="00642EAF">
        <w:rPr>
          <w:rFonts w:ascii="Times New Roman" w:hAnsi="Times New Roman" w:cs="Times New Roman"/>
          <w:sz w:val="24"/>
          <w:szCs w:val="24"/>
        </w:rPr>
        <w:t>, </w:t>
      </w:r>
      <w:r w:rsidRPr="00642EAF">
        <w:rPr>
          <w:rFonts w:ascii="Times New Roman" w:hAnsi="Times New Roman" w:cs="Times New Roman"/>
          <w:i/>
          <w:iCs/>
          <w:sz w:val="24"/>
          <w:szCs w:val="24"/>
        </w:rPr>
        <w:t>10</w:t>
      </w:r>
      <w:r w:rsidRPr="00642EAF">
        <w:rPr>
          <w:rFonts w:ascii="Times New Roman" w:hAnsi="Times New Roman" w:cs="Times New Roman"/>
          <w:sz w:val="24"/>
          <w:szCs w:val="24"/>
        </w:rPr>
        <w:t>(5), pp.33-52.</w:t>
      </w:r>
      <w:r>
        <w:rPr>
          <w:rFonts w:ascii="Times New Roman" w:hAnsi="Times New Roman" w:cs="Times New Roman"/>
          <w:sz w:val="24"/>
          <w:szCs w:val="24"/>
        </w:rPr>
        <w:t xml:space="preserve"> </w:t>
      </w:r>
      <w:hyperlink w:tgtFrame="_blank" w:history="1" r:id="rId15">
        <w:r w:rsidRPr="0084034B">
          <w:rPr>
            <w:rStyle w:val="Hyperlink"/>
            <w:rFonts w:ascii="Times New Roman" w:hAnsi="Times New Roman" w:cs="Times New Roman"/>
            <w:sz w:val="24"/>
            <w:szCs w:val="24"/>
          </w:rPr>
          <w:t>https://ssrn.com/abstract=3452402</w:t>
        </w:r>
      </w:hyperlink>
      <w:r>
        <w:rPr>
          <w:rFonts w:ascii="Times New Roman" w:hAnsi="Times New Roman" w:cs="Times New Roman"/>
          <w:sz w:val="24"/>
          <w:szCs w:val="24"/>
        </w:rPr>
        <w:t xml:space="preserve"> </w:t>
      </w:r>
    </w:p>
    <w:p w:rsidR="004A4B5D" w:rsidP="004A4B5D" w:rsidRDefault="001F6E9B" w14:paraId="47571737" w14:textId="77777777">
      <w:pPr>
        <w:spacing w:after="0" w:line="480" w:lineRule="auto"/>
        <w:ind w:left="720" w:hanging="720"/>
        <w:rPr>
          <w:rFonts w:ascii="Times New Roman" w:hAnsi="Times New Roman" w:cs="Times New Roman"/>
          <w:sz w:val="24"/>
          <w:szCs w:val="24"/>
        </w:rPr>
      </w:pPr>
      <w:r w:rsidRPr="004C7562">
        <w:rPr>
          <w:rFonts w:ascii="Times New Roman" w:hAnsi="Times New Roman" w:cs="Times New Roman"/>
          <w:sz w:val="24"/>
          <w:szCs w:val="24"/>
        </w:rPr>
        <w:t>Voas, J., Kshetri, N. and DeFranco, J.F., 2021. Scarcity and Global Insecurity: The Semiconductor Shortage. </w:t>
      </w:r>
      <w:r w:rsidRPr="004C7562">
        <w:rPr>
          <w:rFonts w:ascii="Times New Roman" w:hAnsi="Times New Roman" w:cs="Times New Roman"/>
          <w:i/>
          <w:iCs/>
          <w:sz w:val="24"/>
          <w:szCs w:val="24"/>
        </w:rPr>
        <w:t>IT Professional</w:t>
      </w:r>
      <w:r w:rsidRPr="004C7562">
        <w:rPr>
          <w:rFonts w:ascii="Times New Roman" w:hAnsi="Times New Roman" w:cs="Times New Roman"/>
          <w:sz w:val="24"/>
          <w:szCs w:val="24"/>
        </w:rPr>
        <w:t>, </w:t>
      </w:r>
      <w:r w:rsidRPr="004C7562">
        <w:rPr>
          <w:rFonts w:ascii="Times New Roman" w:hAnsi="Times New Roman" w:cs="Times New Roman"/>
          <w:i/>
          <w:iCs/>
          <w:sz w:val="24"/>
          <w:szCs w:val="24"/>
        </w:rPr>
        <w:t>23</w:t>
      </w:r>
      <w:r w:rsidRPr="004C7562">
        <w:rPr>
          <w:rFonts w:ascii="Times New Roman" w:hAnsi="Times New Roman" w:cs="Times New Roman"/>
          <w:sz w:val="24"/>
          <w:szCs w:val="24"/>
        </w:rPr>
        <w:t>(5), pp.78-82.</w:t>
      </w:r>
      <w:r>
        <w:rPr>
          <w:rFonts w:ascii="Times New Roman" w:hAnsi="Times New Roman" w:cs="Times New Roman"/>
          <w:sz w:val="24"/>
          <w:szCs w:val="24"/>
        </w:rPr>
        <w:t xml:space="preserve"> </w:t>
      </w:r>
      <w:hyperlink w:history="1" r:id="rId16">
        <w:r w:rsidRPr="00786761">
          <w:rPr>
            <w:rStyle w:val="Hyperlink"/>
            <w:rFonts w:ascii="Times New Roman" w:hAnsi="Times New Roman" w:cs="Times New Roman"/>
            <w:sz w:val="24"/>
            <w:szCs w:val="24"/>
          </w:rPr>
          <w:t>https://doi.org/10.1109/MITP.2021.3105248</w:t>
        </w:r>
      </w:hyperlink>
      <w:r>
        <w:rPr>
          <w:rFonts w:ascii="Times New Roman" w:hAnsi="Times New Roman" w:cs="Times New Roman"/>
          <w:sz w:val="24"/>
          <w:szCs w:val="24"/>
        </w:rPr>
        <w:t xml:space="preserve"> </w:t>
      </w:r>
    </w:p>
    <w:p w:rsidR="004A4B5D" w:rsidP="004A4B5D" w:rsidRDefault="001F6E9B" w14:paraId="73227B95" w14:textId="2BA4B0D6">
      <w:pPr>
        <w:spacing w:after="0" w:line="480" w:lineRule="auto"/>
        <w:ind w:left="720" w:hanging="720"/>
        <w:rPr>
          <w:rFonts w:ascii="Times New Roman" w:hAnsi="Times New Roman" w:cs="Times New Roman"/>
          <w:sz w:val="24"/>
          <w:szCs w:val="24"/>
        </w:rPr>
      </w:pPr>
      <w:r w:rsidRPr="00FE7423">
        <w:rPr>
          <w:rFonts w:ascii="Times New Roman" w:hAnsi="Times New Roman" w:cs="Times New Roman"/>
          <w:sz w:val="24"/>
          <w:szCs w:val="24"/>
        </w:rPr>
        <w:t xml:space="preserve">Xu, Z., Elomri, A., Kerbache, L. and El Omri, A., 2020. Impacts of </w:t>
      </w:r>
      <w:r w:rsidR="0083247D">
        <w:rPr>
          <w:rFonts w:ascii="Times New Roman" w:hAnsi="Times New Roman" w:cs="Times New Roman"/>
          <w:sz w:val="24"/>
          <w:szCs w:val="24"/>
        </w:rPr>
        <w:t>COVID-19</w:t>
      </w:r>
      <w:r w:rsidRPr="00FE7423">
        <w:rPr>
          <w:rFonts w:ascii="Times New Roman" w:hAnsi="Times New Roman" w:cs="Times New Roman"/>
          <w:sz w:val="24"/>
          <w:szCs w:val="24"/>
        </w:rPr>
        <w:t xml:space="preserve"> on global supply chains: facts and perspectives. </w:t>
      </w:r>
      <w:r w:rsidRPr="00FE7423">
        <w:rPr>
          <w:rFonts w:ascii="Times New Roman" w:hAnsi="Times New Roman" w:cs="Times New Roman"/>
          <w:i/>
          <w:iCs/>
          <w:sz w:val="24"/>
          <w:szCs w:val="24"/>
        </w:rPr>
        <w:t>IEEE Engineering Management Review</w:t>
      </w:r>
      <w:r w:rsidRPr="00FE7423">
        <w:rPr>
          <w:rFonts w:ascii="Times New Roman" w:hAnsi="Times New Roman" w:cs="Times New Roman"/>
          <w:sz w:val="24"/>
          <w:szCs w:val="24"/>
        </w:rPr>
        <w:t>, </w:t>
      </w:r>
      <w:r w:rsidRPr="00FE7423">
        <w:rPr>
          <w:rFonts w:ascii="Times New Roman" w:hAnsi="Times New Roman" w:cs="Times New Roman"/>
          <w:i/>
          <w:iCs/>
          <w:sz w:val="24"/>
          <w:szCs w:val="24"/>
        </w:rPr>
        <w:t>48</w:t>
      </w:r>
      <w:r w:rsidRPr="00FE7423">
        <w:rPr>
          <w:rFonts w:ascii="Times New Roman" w:hAnsi="Times New Roman" w:cs="Times New Roman"/>
          <w:sz w:val="24"/>
          <w:szCs w:val="24"/>
        </w:rPr>
        <w:t>(3), pp.153-166.</w:t>
      </w:r>
      <w:r>
        <w:rPr>
          <w:rFonts w:ascii="Times New Roman" w:hAnsi="Times New Roman" w:cs="Times New Roman"/>
          <w:sz w:val="24"/>
          <w:szCs w:val="24"/>
        </w:rPr>
        <w:t xml:space="preserve"> </w:t>
      </w:r>
      <w:hyperlink w:history="1" r:id="rId17">
        <w:r w:rsidRPr="00786761">
          <w:rPr>
            <w:rStyle w:val="Hyperlink"/>
            <w:rFonts w:ascii="Times New Roman" w:hAnsi="Times New Roman" w:cs="Times New Roman"/>
            <w:sz w:val="24"/>
            <w:szCs w:val="24"/>
          </w:rPr>
          <w:t>https://doi.org/10.1109/EMR.2020.3018420</w:t>
        </w:r>
      </w:hyperlink>
      <w:r>
        <w:rPr>
          <w:rFonts w:ascii="Times New Roman" w:hAnsi="Times New Roman" w:cs="Times New Roman"/>
          <w:sz w:val="24"/>
          <w:szCs w:val="24"/>
        </w:rPr>
        <w:t xml:space="preserve"> </w:t>
      </w:r>
    </w:p>
    <w:p w:rsidRPr="00157A90" w:rsidR="001338C1" w:rsidP="004A4B5D" w:rsidRDefault="001338C1" w14:paraId="0CEC04D5" w14:textId="77777777">
      <w:pPr>
        <w:rPr>
          <w:rFonts w:ascii="Times New Roman" w:hAnsi="Times New Roman" w:cs="Times New Roman"/>
          <w:sz w:val="24"/>
          <w:szCs w:val="24"/>
        </w:rPr>
      </w:pPr>
    </w:p>
    <w:sectPr w:rsidRPr="00157A90" w:rsidR="001338C1">
      <w:headerReference w:type="even" r:id="rId18"/>
      <w:headerReference w:type="default" r:id="rId19"/>
      <w:footerReference w:type="even" r:id="rId20"/>
      <w:footerReference w:type="default" r:id="rId21"/>
      <w:headerReference w:type="first" r:id="rId22"/>
      <w:footerReference w:type="first" r:id="rId23"/>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F6E9B" w:rsidRDefault="001F6E9B" w14:paraId="65E0C10C" w14:textId="77777777">
      <w:pPr>
        <w:spacing w:after="0" w:line="240" w:lineRule="auto"/>
      </w:pPr>
      <w:r>
        <w:separator/>
      </w:r>
    </w:p>
  </w:endnote>
  <w:endnote w:type="continuationSeparator" w:id="0">
    <w:p w:rsidR="001F6E9B" w:rsidRDefault="001F6E9B" w14:paraId="09D68C7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03530" w:rsidRDefault="00003530" w14:paraId="694970A5"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03530" w:rsidRDefault="00003530" w14:paraId="0379C217"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03530" w:rsidRDefault="00003530" w14:paraId="40214248"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F6E9B" w:rsidRDefault="001F6E9B" w14:paraId="007956D5" w14:textId="77777777">
      <w:pPr>
        <w:spacing w:after="0" w:line="240" w:lineRule="auto"/>
      </w:pPr>
      <w:r>
        <w:separator/>
      </w:r>
    </w:p>
  </w:footnote>
  <w:footnote w:type="continuationSeparator" w:id="0">
    <w:p w:rsidR="001F6E9B" w:rsidRDefault="001F6E9B" w14:paraId="34FEAD3C"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03530" w:rsidRDefault="00003530" w14:paraId="7992AC3B"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847D10" w:rsidR="00847D10" w:rsidRDefault="00847D10" w14:paraId="3C05DCB0" w14:textId="4552B968">
    <w:pPr>
      <w:pStyle w:val="Header"/>
      <w:jc w:val="right"/>
      <w:rPr>
        <w:rFonts w:ascii="Times New Roman" w:hAnsi="Times New Roman" w:cs="Times New Roman"/>
        <w:sz w:val="24"/>
        <w:szCs w:val="24"/>
      </w:rPr>
    </w:pPr>
    <w:r w:rsidRPr="00847D10">
      <w:rPr>
        <w:rFonts w:ascii="Times New Roman" w:hAnsi="Times New Roman" w:cs="Times New Roman"/>
        <w:sz w:val="24"/>
        <w:szCs w:val="24"/>
      </w:rPr>
      <w:t>Assessment 2</w:t>
    </w:r>
    <w:sdt>
      <w:sdtPr>
        <w:rPr>
          <w:rFonts w:ascii="Times New Roman" w:hAnsi="Times New Roman" w:cs="Times New Roman"/>
          <w:sz w:val="24"/>
          <w:szCs w:val="24"/>
        </w:rPr>
        <w:id w:val="2017644429"/>
        <w:docPartObj>
          <w:docPartGallery w:val="Page Numbers (Top of Page)"/>
          <w:docPartUnique/>
        </w:docPartObj>
      </w:sdtPr>
      <w:sdtEndPr>
        <w:rPr>
          <w:noProof/>
        </w:rPr>
      </w:sdtEndPr>
      <w:sdtContent>
        <w:r>
          <w:rPr>
            <w:rFonts w:ascii="Times New Roman" w:hAnsi="Times New Roman" w:cs="Times New Roman"/>
            <w:sz w:val="24"/>
            <w:szCs w:val="24"/>
          </w:rPr>
          <w:tab/>
        </w:r>
        <w:r>
          <w:rPr>
            <w:rFonts w:ascii="Times New Roman" w:hAnsi="Times New Roman" w:cs="Times New Roman"/>
            <w:sz w:val="24"/>
            <w:szCs w:val="24"/>
          </w:rPr>
          <w:tab/>
        </w:r>
        <w:r w:rsidRPr="00847D10">
          <w:rPr>
            <w:rFonts w:ascii="Times New Roman" w:hAnsi="Times New Roman" w:cs="Times New Roman"/>
            <w:sz w:val="24"/>
            <w:szCs w:val="24"/>
          </w:rPr>
          <w:fldChar w:fldCharType="begin"/>
        </w:r>
        <w:r w:rsidRPr="00847D10">
          <w:rPr>
            <w:rFonts w:ascii="Times New Roman" w:hAnsi="Times New Roman" w:cs="Times New Roman"/>
            <w:sz w:val="24"/>
            <w:szCs w:val="24"/>
          </w:rPr>
          <w:instrText xml:space="preserve"> PAGE   \* MERGEFORMAT </w:instrText>
        </w:r>
        <w:r w:rsidRPr="00847D10">
          <w:rPr>
            <w:rFonts w:ascii="Times New Roman" w:hAnsi="Times New Roman" w:cs="Times New Roman"/>
            <w:sz w:val="24"/>
            <w:szCs w:val="24"/>
          </w:rPr>
          <w:fldChar w:fldCharType="separate"/>
        </w:r>
        <w:r w:rsidRPr="00847D10">
          <w:rPr>
            <w:rFonts w:ascii="Times New Roman" w:hAnsi="Times New Roman" w:cs="Times New Roman"/>
            <w:noProof/>
            <w:sz w:val="24"/>
            <w:szCs w:val="24"/>
          </w:rPr>
          <w:t>2</w:t>
        </w:r>
        <w:r w:rsidRPr="00847D10">
          <w:rPr>
            <w:rFonts w:ascii="Times New Roman" w:hAnsi="Times New Roman" w:cs="Times New Roman"/>
            <w:noProof/>
            <w:sz w:val="24"/>
            <w:szCs w:val="24"/>
          </w:rPr>
          <w:fldChar w:fldCharType="end"/>
        </w:r>
      </w:sdtContent>
    </w:sdt>
  </w:p>
  <w:p w:rsidRPr="00847D10" w:rsidR="000D36D4" w:rsidRDefault="000D36D4" w14:paraId="7081309D" w14:textId="77777777">
    <w:pPr>
      <w:pStyle w:val="Header"/>
      <w:rPr>
        <w:rFonts w:ascii="Times New Roman" w:hAnsi="Times New Roman" w:cs="Times New Roman"/>
        <w:sz w:val="28"/>
        <w:szCs w:val="28"/>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03530" w:rsidRDefault="00003530" w14:paraId="34FF01A9" w14:textId="77777777">
    <w:pPr>
      <w:pStyle w:val="Header"/>
    </w:pPr>
  </w:p>
</w:hdr>
</file>

<file path=word/intelligence.xml><?xml version="1.0" encoding="utf-8"?>
<int:Intelligence xmlns:int="http://schemas.microsoft.com/office/intelligence/2019/intelligence">
  <int:IntelligenceSettings/>
  <int:Manifest>
    <int:WordHash hashCode="3HxDz/pC6nb6oo" id="ytcbRDEi"/>
    <int:WordHash hashCode="Dvj+hORBXaM3mO" id="FqgOdzsR"/>
    <int:WordHash hashCode="f/VDkNedHGEpOS" id="ItLnvIrK"/>
    <int:WordHash hashCode="EqzN1hRYKMh8kP" id="trXQRrb8"/>
    <int:WordHash hashCode="fvPusdNbCBc9/n" id="UTndAgpK"/>
    <int:WordHash hashCode="vTQ6RQCQf2J9Ff" id="rYJxvkh8"/>
  </int:Manifest>
  <int:Observations>
    <int:Content id="ytcbRDEi">
      <int:Rejection type="AugLoop_Text_Critique"/>
    </int:Content>
    <int:Content id="FqgOdzsR">
      <int:Rejection type="AugLoop_Text_Critique"/>
    </int:Content>
    <int:Content id="ItLnvIrK">
      <int:Rejection type="AugLoop_Text_Critique"/>
    </int:Content>
    <int:Content id="trXQRrb8">
      <int:Rejection type="AugLoop_Text_Critique"/>
    </int:Content>
    <int:Content id="UTndAgpK">
      <int:Rejection type="LegacyProofing"/>
    </int:Content>
    <int:Content id="rYJxvkh8">
      <int:Rejection type="AugLoop_Text_Critique"/>
    </int:Content>
  </int:Observations>
</int:Intelligenc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view w:val="web"/>
  <w:zoom w:percent="30"/>
  <w:removePersonalInformation/>
  <w:removeDateAndTime/>
  <w:revisionView w:inkAnnotations="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M1NTY2NDG3NLIwMjdV0lEKTi0uzszPAykwrAUAiKSCSywAAAA="/>
  </w:docVars>
  <w:rsids>
    <w:rsidRoot w:val="00494FEB"/>
    <w:rsid w:val="0000270E"/>
    <w:rsid w:val="00003530"/>
    <w:rsid w:val="00014021"/>
    <w:rsid w:val="000225E0"/>
    <w:rsid w:val="00047F9D"/>
    <w:rsid w:val="00051F99"/>
    <w:rsid w:val="000531F2"/>
    <w:rsid w:val="0006585E"/>
    <w:rsid w:val="000857C6"/>
    <w:rsid w:val="0009631B"/>
    <w:rsid w:val="000B448A"/>
    <w:rsid w:val="000B6487"/>
    <w:rsid w:val="000B7CAE"/>
    <w:rsid w:val="000C1CE5"/>
    <w:rsid w:val="000C6720"/>
    <w:rsid w:val="000C7E34"/>
    <w:rsid w:val="000D36D4"/>
    <w:rsid w:val="000E506D"/>
    <w:rsid w:val="000E7BF8"/>
    <w:rsid w:val="000F705D"/>
    <w:rsid w:val="00102E55"/>
    <w:rsid w:val="00105E0E"/>
    <w:rsid w:val="00123B47"/>
    <w:rsid w:val="001338C1"/>
    <w:rsid w:val="0013604A"/>
    <w:rsid w:val="00157A90"/>
    <w:rsid w:val="00180187"/>
    <w:rsid w:val="00182D60"/>
    <w:rsid w:val="001A230A"/>
    <w:rsid w:val="001B2A3D"/>
    <w:rsid w:val="001B3A4E"/>
    <w:rsid w:val="001B7330"/>
    <w:rsid w:val="001C6371"/>
    <w:rsid w:val="001C6EB9"/>
    <w:rsid w:val="001D6580"/>
    <w:rsid w:val="001E78F7"/>
    <w:rsid w:val="001F6E9B"/>
    <w:rsid w:val="0020146B"/>
    <w:rsid w:val="0021267F"/>
    <w:rsid w:val="0025222E"/>
    <w:rsid w:val="002561F4"/>
    <w:rsid w:val="00272CA2"/>
    <w:rsid w:val="00272F88"/>
    <w:rsid w:val="0028597A"/>
    <w:rsid w:val="00285CA3"/>
    <w:rsid w:val="002B540D"/>
    <w:rsid w:val="002B7223"/>
    <w:rsid w:val="002C5DE2"/>
    <w:rsid w:val="002C7E6B"/>
    <w:rsid w:val="002D53DB"/>
    <w:rsid w:val="002F058A"/>
    <w:rsid w:val="002F311C"/>
    <w:rsid w:val="002F5C54"/>
    <w:rsid w:val="00320F42"/>
    <w:rsid w:val="00324F62"/>
    <w:rsid w:val="00345BDF"/>
    <w:rsid w:val="003720BA"/>
    <w:rsid w:val="00376BD1"/>
    <w:rsid w:val="003A38A7"/>
    <w:rsid w:val="003B0034"/>
    <w:rsid w:val="003B4DFE"/>
    <w:rsid w:val="003F6E8D"/>
    <w:rsid w:val="00403C10"/>
    <w:rsid w:val="00407632"/>
    <w:rsid w:val="00442C35"/>
    <w:rsid w:val="00480D7C"/>
    <w:rsid w:val="004915E2"/>
    <w:rsid w:val="00494FEB"/>
    <w:rsid w:val="004A113A"/>
    <w:rsid w:val="004A3070"/>
    <w:rsid w:val="004A4B5D"/>
    <w:rsid w:val="004B16CE"/>
    <w:rsid w:val="004C7562"/>
    <w:rsid w:val="004D0C67"/>
    <w:rsid w:val="004E5E97"/>
    <w:rsid w:val="004F0C3E"/>
    <w:rsid w:val="0052251B"/>
    <w:rsid w:val="0052339D"/>
    <w:rsid w:val="00524838"/>
    <w:rsid w:val="00550938"/>
    <w:rsid w:val="00582D9C"/>
    <w:rsid w:val="00591BAC"/>
    <w:rsid w:val="005A2305"/>
    <w:rsid w:val="005D098A"/>
    <w:rsid w:val="005F5A03"/>
    <w:rsid w:val="005F63BB"/>
    <w:rsid w:val="006016A4"/>
    <w:rsid w:val="006118B6"/>
    <w:rsid w:val="00617F8C"/>
    <w:rsid w:val="00642EAF"/>
    <w:rsid w:val="00643474"/>
    <w:rsid w:val="006454E1"/>
    <w:rsid w:val="00656EA0"/>
    <w:rsid w:val="006618F4"/>
    <w:rsid w:val="0067252D"/>
    <w:rsid w:val="006A0EFD"/>
    <w:rsid w:val="006A6318"/>
    <w:rsid w:val="006B716A"/>
    <w:rsid w:val="006D12CC"/>
    <w:rsid w:val="006F6C81"/>
    <w:rsid w:val="0070617D"/>
    <w:rsid w:val="00706257"/>
    <w:rsid w:val="00715FB1"/>
    <w:rsid w:val="007203FC"/>
    <w:rsid w:val="0072481B"/>
    <w:rsid w:val="0072635D"/>
    <w:rsid w:val="00731EBB"/>
    <w:rsid w:val="00762976"/>
    <w:rsid w:val="007831B7"/>
    <w:rsid w:val="00786761"/>
    <w:rsid w:val="00795DA2"/>
    <w:rsid w:val="007A5A02"/>
    <w:rsid w:val="007A7281"/>
    <w:rsid w:val="007B6633"/>
    <w:rsid w:val="007C2958"/>
    <w:rsid w:val="007C771D"/>
    <w:rsid w:val="007E20C4"/>
    <w:rsid w:val="007E3681"/>
    <w:rsid w:val="007F0814"/>
    <w:rsid w:val="007F2F79"/>
    <w:rsid w:val="007F582C"/>
    <w:rsid w:val="0082171A"/>
    <w:rsid w:val="0083247D"/>
    <w:rsid w:val="00837C90"/>
    <w:rsid w:val="0084034B"/>
    <w:rsid w:val="00847D10"/>
    <w:rsid w:val="00872DC4"/>
    <w:rsid w:val="008C0FD6"/>
    <w:rsid w:val="008C6091"/>
    <w:rsid w:val="008F3281"/>
    <w:rsid w:val="00901C87"/>
    <w:rsid w:val="009200F3"/>
    <w:rsid w:val="00923B02"/>
    <w:rsid w:val="00955286"/>
    <w:rsid w:val="009732DC"/>
    <w:rsid w:val="00981198"/>
    <w:rsid w:val="009949EA"/>
    <w:rsid w:val="00A12069"/>
    <w:rsid w:val="00A22365"/>
    <w:rsid w:val="00A32422"/>
    <w:rsid w:val="00A424E5"/>
    <w:rsid w:val="00A70F87"/>
    <w:rsid w:val="00A85D84"/>
    <w:rsid w:val="00A867AA"/>
    <w:rsid w:val="00A9578B"/>
    <w:rsid w:val="00AB77E0"/>
    <w:rsid w:val="00AC2244"/>
    <w:rsid w:val="00AD3DC1"/>
    <w:rsid w:val="00B07D28"/>
    <w:rsid w:val="00B71D21"/>
    <w:rsid w:val="00B71E5B"/>
    <w:rsid w:val="00B72FD9"/>
    <w:rsid w:val="00C02F6F"/>
    <w:rsid w:val="00C0682F"/>
    <w:rsid w:val="00C070A7"/>
    <w:rsid w:val="00C45FC5"/>
    <w:rsid w:val="00C723D5"/>
    <w:rsid w:val="00C73511"/>
    <w:rsid w:val="00C77620"/>
    <w:rsid w:val="00C77B57"/>
    <w:rsid w:val="00C83BE8"/>
    <w:rsid w:val="00C874CC"/>
    <w:rsid w:val="00CC15FB"/>
    <w:rsid w:val="00CC7530"/>
    <w:rsid w:val="00CC7E5F"/>
    <w:rsid w:val="00CE0977"/>
    <w:rsid w:val="00CE7BEC"/>
    <w:rsid w:val="00D00030"/>
    <w:rsid w:val="00D27807"/>
    <w:rsid w:val="00D37CF6"/>
    <w:rsid w:val="00D72586"/>
    <w:rsid w:val="00D9477B"/>
    <w:rsid w:val="00DB7D9B"/>
    <w:rsid w:val="00DC19BB"/>
    <w:rsid w:val="00DD1061"/>
    <w:rsid w:val="00E11A70"/>
    <w:rsid w:val="00E11C93"/>
    <w:rsid w:val="00E306D0"/>
    <w:rsid w:val="00E320E4"/>
    <w:rsid w:val="00E341E3"/>
    <w:rsid w:val="00E36370"/>
    <w:rsid w:val="00E72D57"/>
    <w:rsid w:val="00EA2157"/>
    <w:rsid w:val="00EB08A3"/>
    <w:rsid w:val="00ED08F4"/>
    <w:rsid w:val="00EF4F68"/>
    <w:rsid w:val="00F12118"/>
    <w:rsid w:val="00F174B4"/>
    <w:rsid w:val="00F200EF"/>
    <w:rsid w:val="00F2659B"/>
    <w:rsid w:val="00F56E8E"/>
    <w:rsid w:val="00F6401B"/>
    <w:rsid w:val="00F75980"/>
    <w:rsid w:val="00F916D5"/>
    <w:rsid w:val="00FA6AC6"/>
    <w:rsid w:val="00FB1437"/>
    <w:rsid w:val="00FD0501"/>
    <w:rsid w:val="00FD603A"/>
    <w:rsid w:val="00FE7423"/>
    <w:rsid w:val="0193A4BA"/>
    <w:rsid w:val="0267E65C"/>
    <w:rsid w:val="066715DD"/>
    <w:rsid w:val="0DD3CD47"/>
    <w:rsid w:val="130B688C"/>
    <w:rsid w:val="1D5593BF"/>
    <w:rsid w:val="1F45875D"/>
    <w:rsid w:val="2C4956B0"/>
    <w:rsid w:val="3394F837"/>
    <w:rsid w:val="33F5CF4A"/>
    <w:rsid w:val="381283CA"/>
    <w:rsid w:val="3968EC72"/>
    <w:rsid w:val="3F2A063C"/>
    <w:rsid w:val="408622BB"/>
    <w:rsid w:val="48639F5A"/>
    <w:rsid w:val="4FB17E4A"/>
    <w:rsid w:val="520A81A0"/>
    <w:rsid w:val="54A35CB1"/>
    <w:rsid w:val="55422262"/>
    <w:rsid w:val="56DDF2C3"/>
    <w:rsid w:val="58466C29"/>
    <w:rsid w:val="5A159385"/>
    <w:rsid w:val="5A159385"/>
    <w:rsid w:val="5A1D810B"/>
    <w:rsid w:val="5A70134A"/>
    <w:rsid w:val="5D2BBAB8"/>
    <w:rsid w:val="61DCDD32"/>
    <w:rsid w:val="622892F0"/>
    <w:rsid w:val="6A1A7C78"/>
    <w:rsid w:val="6FDAD98F"/>
    <w:rsid w:val="798892D4"/>
    <w:rsid w:val="7C19EB95"/>
    <w:rsid w:val="7C4DEFA5"/>
    <w:rsid w:val="7C7D421C"/>
    <w:rsid w:val="7CC03396"/>
    <w:rsid w:val="7F304599"/>
    <w:rsid w:val="7FDEAB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7D04B7"/>
  <w15:chartTrackingRefBased/>
  <w15:docId w15:val="{357B253C-A2B9-4E34-9488-1A6863323AC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D36D4"/>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0D36D4"/>
    <w:pPr>
      <w:tabs>
        <w:tab w:val="center" w:pos="4680"/>
        <w:tab w:val="right" w:pos="9360"/>
      </w:tabs>
      <w:spacing w:after="0" w:line="240" w:lineRule="auto"/>
    </w:pPr>
  </w:style>
  <w:style w:type="character" w:styleId="HeaderChar" w:customStyle="1">
    <w:name w:val="Header Char"/>
    <w:basedOn w:val="DefaultParagraphFont"/>
    <w:link w:val="Header"/>
    <w:uiPriority w:val="99"/>
    <w:rsid w:val="000D36D4"/>
  </w:style>
  <w:style w:type="paragraph" w:styleId="Footer">
    <w:name w:val="footer"/>
    <w:basedOn w:val="Normal"/>
    <w:link w:val="FooterChar"/>
    <w:uiPriority w:val="99"/>
    <w:unhideWhenUsed/>
    <w:rsid w:val="000D36D4"/>
    <w:pPr>
      <w:tabs>
        <w:tab w:val="center" w:pos="4680"/>
        <w:tab w:val="right" w:pos="9360"/>
      </w:tabs>
      <w:spacing w:after="0" w:line="240" w:lineRule="auto"/>
    </w:pPr>
  </w:style>
  <w:style w:type="character" w:styleId="FooterChar" w:customStyle="1">
    <w:name w:val="Footer Char"/>
    <w:basedOn w:val="DefaultParagraphFont"/>
    <w:link w:val="Footer"/>
    <w:uiPriority w:val="99"/>
    <w:rsid w:val="000D36D4"/>
  </w:style>
  <w:style w:type="character" w:styleId="Hyperlink">
    <w:name w:val="Hyperlink"/>
    <w:basedOn w:val="DefaultParagraphFont"/>
    <w:uiPriority w:val="99"/>
    <w:unhideWhenUsed/>
    <w:rsid w:val="00F12118"/>
    <w:rPr>
      <w:color w:val="0563C1" w:themeColor="hyperlink"/>
      <w:u w:val="single"/>
    </w:rPr>
  </w:style>
  <w:style w:type="paragraph" w:styleId="NormalWeb">
    <w:name w:val="Normal (Web)"/>
    <w:basedOn w:val="Normal"/>
    <w:uiPriority w:val="99"/>
    <w:semiHidden/>
    <w:unhideWhenUsed/>
    <w:rsid w:val="00F174B4"/>
    <w:pPr>
      <w:spacing w:before="100" w:beforeAutospacing="1" w:after="100" w:afterAutospacing="1" w:line="240" w:lineRule="auto"/>
    </w:pPr>
    <w:rPr>
      <w:rFonts w:ascii="Times New Roman" w:hAnsi="Times New Roman" w:eastAsia="Times New Roman" w:cs="Times New Roman"/>
      <w:sz w:val="24"/>
      <w:szCs w:val="24"/>
    </w:rPr>
  </w:style>
  <w:style w:type="character" w:styleId="Strong">
    <w:name w:val="Strong"/>
    <w:basedOn w:val="DefaultParagraphFont"/>
    <w:uiPriority w:val="22"/>
    <w:qFormat/>
    <w:rsid w:val="00F174B4"/>
    <w:rPr>
      <w:b/>
      <w:bCs/>
    </w:rPr>
  </w:style>
  <w:style w:type="paragraph" w:styleId="ListParagraph">
    <w:name w:val="List Paragraph"/>
    <w:basedOn w:val="Normal"/>
    <w:uiPriority w:val="34"/>
    <w:qFormat/>
    <w:rsid w:val="003720BA"/>
    <w:pPr>
      <w:ind w:left="720"/>
      <w:contextualSpacing/>
    </w:p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&#65279;<?xml version="1.0" encoding="utf-8"?><Relationships xmlns="http://schemas.openxmlformats.org/package/2006/relationships"><Relationship Type="http://schemas.openxmlformats.org/officeDocument/2006/relationships/hyperlink" Target="https://doi.org/10.1016/j.techfore.2020.120447" TargetMode="External" Id="rId8" /><Relationship Type="http://schemas.openxmlformats.org/officeDocument/2006/relationships/hyperlink" Target="https://www.cargroup.org/wp-content/uploads/2020/07/JAMA-Publication.pdf" TargetMode="External" Id="rId13" /><Relationship Type="http://schemas.openxmlformats.org/officeDocument/2006/relationships/header" Target="header1.xml" Id="rId18" /><Relationship Type="http://schemas.openxmlformats.org/officeDocument/2006/relationships/webSettings" Target="webSettings.xml" Id="rId3" /><Relationship Type="http://schemas.openxmlformats.org/officeDocument/2006/relationships/footer" Target="footer2.xml" Id="rId21" /><Relationship Type="http://schemas.openxmlformats.org/officeDocument/2006/relationships/hyperlink" Target="https://doi.org/10.1109/EMR.2020.3018420" TargetMode="External" Id="rId17" /><Relationship Type="http://schemas.openxmlformats.org/officeDocument/2006/relationships/theme" Target="theme/theme1.xml" Id="rId25" /><Relationship Type="http://schemas.openxmlformats.org/officeDocument/2006/relationships/settings" Target="settings.xml" Id="rId2" /><Relationship Type="http://schemas.openxmlformats.org/officeDocument/2006/relationships/hyperlink" Target="https://doi.org/10.1109/MITP.2021.3105248" TargetMode="External" Id="rId16" /><Relationship Type="http://schemas.openxmlformats.org/officeDocument/2006/relationships/footer" Target="footer1.xml" Id="rId20" /><Relationship Type="http://schemas.openxmlformats.org/officeDocument/2006/relationships/styles" Target="styles.xml" Id="rId1" /><Relationship Type="http://schemas.openxmlformats.org/officeDocument/2006/relationships/hyperlink" Target="https://doi.org/10.13106/jafeb.2020.vol7.no9.659" TargetMode="External" Id="rId6" /><Relationship Type="http://schemas.openxmlformats.org/officeDocument/2006/relationships/hyperlink" Target="https://www.pbs.org/newshour/economy/toyota-slashes-production-as-pandemic-strains-supply-chain" TargetMode="External" Id="rId11" /><Relationship Type="http://schemas.openxmlformats.org/officeDocument/2006/relationships/fontTable" Target="fontTable.xml" Id="rId24" /><Relationship Type="http://schemas.openxmlformats.org/officeDocument/2006/relationships/endnotes" Target="endnotes.xml" Id="rId5" /><Relationship Type="http://schemas.openxmlformats.org/officeDocument/2006/relationships/hyperlink" Target="https://ssrn.com/abstract=3452402" TargetMode="External" Id="rId15" /><Relationship Type="http://schemas.openxmlformats.org/officeDocument/2006/relationships/footer" Target="footer3.xml" Id="rId23" /><Relationship Type="http://schemas.openxmlformats.org/officeDocument/2006/relationships/hyperlink" Target="https://doi.org/10.3389/fpsyg.2020.585897" TargetMode="External" Id="rId10" /><Relationship Type="http://schemas.openxmlformats.org/officeDocument/2006/relationships/header" Target="header2.xml" Id="rId19" /><Relationship Type="http://schemas.openxmlformats.org/officeDocument/2006/relationships/footnotes" Target="footnotes.xml" Id="rId4" /><Relationship Type="http://schemas.openxmlformats.org/officeDocument/2006/relationships/hyperlink" Target="https://www.toyota.com/toyota-covid-19-response/" TargetMode="External" Id="rId14" /><Relationship Type="http://schemas.openxmlformats.org/officeDocument/2006/relationships/header" Target="header3.xml" Id="rId22" /><Relationship Type="http://schemas.openxmlformats.org/officeDocument/2006/relationships/hyperlink" Target="https://www.bloomberg.com/news/articles/2021-09-01/how-one-covid-case-upended-toyota-s-just-in-time-supply-chain" TargetMode="External" Id="Rb9ff9d2251cd4967" /><Relationship Type="http://schemas.openxmlformats.org/officeDocument/2006/relationships/hyperlink" Target="https://doi.org/10.1080/00207543.2020.1792000" TargetMode="External" Id="Rb19b3f162e4445c1" /><Relationship Type="http://schemas.openxmlformats.org/officeDocument/2006/relationships/glossaryDocument" Target="glossary/document.xml" Id="R3f9f1a7b76b64c1a" /><Relationship Type="http://schemas.microsoft.com/office/2019/09/relationships/intelligence" Target="intelligence.xml" Id="R44803653bc25470a"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060cca00-0692-4998-89bf-0dd65ce39020}"/>
      </w:docPartPr>
      <w:docPartBody>
        <w:p w14:paraId="38E83B1C">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
  <lastModifiedBy>Larisa-Georgiana Tamas (2023296)</lastModifiedBy>
  <revision>2</revision>
  <dcterms:created xsi:type="dcterms:W3CDTF">2022-01-14T19:16:00.0000000Z</dcterms:created>
  <dcterms:modified xsi:type="dcterms:W3CDTF">2022-01-14T19:46:46.4953735Z</dcterms:modified>
</coreProperties>
</file>