
<file path=[Content_Types].xml><?xml version="1.0" encoding="utf-8"?>
<Types xmlns="http://schemas.openxmlformats.org/package/2006/content-types">
  <Default Extension="xml" ContentType="application/xml"/>
  <Default Extension="wmf" ContentType="image/x-wmf"/>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7FB0A02">
      <w:pPr>
        <w:jc w:val="center"/>
      </w:pPr>
      <w:r>
        <w:rPr>
          <w:rFonts w:ascii="Arial" w:hAnsi="Arial"/>
          <w:b/>
          <w:sz w:val="28"/>
        </w:rPr>
        <w:t>UNIVERSITY OF WALES TRINITY SAINT DAVID</w:t>
      </w:r>
    </w:p>
    <w:p w14:paraId="2AA3F533">
      <w:pPr>
        <w:jc w:val="center"/>
      </w:pPr>
      <w:r>
        <w:rPr>
          <w:b/>
          <w:sz w:val="26"/>
        </w:rPr>
        <w:t>BSc (Hons) Health and Social Care</w:t>
      </w:r>
    </w:p>
    <w:p w14:paraId="2E61DD3D"/>
    <w:p w14:paraId="57B7F66F">
      <w:pPr>
        <w:jc w:val="center"/>
      </w:pPr>
      <w:r>
        <w:rPr>
          <w:b/>
          <w:sz w:val="32"/>
        </w:rPr>
        <w:t>BMHP5015</w:t>
      </w:r>
    </w:p>
    <w:p w14:paraId="38FA7D69">
      <w:pPr>
        <w:jc w:val="center"/>
      </w:pPr>
      <w:r>
        <w:rPr>
          <w:b/>
          <w:sz w:val="30"/>
        </w:rPr>
        <w:t>Changemakers: Building your Personal Brand for Sustainable Employment</w:t>
      </w:r>
    </w:p>
    <w:p w14:paraId="6CC6EE74"/>
    <w:p w14:paraId="63A2747B">
      <w:pPr>
        <w:jc w:val="center"/>
      </w:pPr>
      <w:r>
        <w:rPr>
          <w:b/>
          <w:sz w:val="36"/>
        </w:rPr>
        <w:t>Component 1: Online Portfolio</w:t>
      </w:r>
    </w:p>
    <w:p w14:paraId="79B5AEB2"/>
    <w:tbl>
      <w:tblPr>
        <w:tblStyle w:val="3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80"/>
        <w:gridCol w:w="4680"/>
      </w:tblGrid>
      <w:tr w14:paraId="53F7A1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80" w:type="dxa"/>
            <w:vAlign w:val="center"/>
          </w:tcPr>
          <w:p w14:paraId="747AA88F">
            <w:r>
              <w:rPr>
                <w:rFonts w:ascii="Arial" w:hAnsi="Arial"/>
                <w:b/>
                <w:sz w:val="22"/>
              </w:rPr>
              <w:t>Student name</w:t>
            </w:r>
          </w:p>
        </w:tc>
        <w:tc>
          <w:tcPr>
            <w:tcW w:w="4680" w:type="dxa"/>
            <w:vAlign w:val="center"/>
          </w:tcPr>
          <w:p w14:paraId="2A1E5BD3">
            <w:r>
              <w:rPr>
                <w:rFonts w:ascii="Arial" w:hAnsi="Arial"/>
                <w:sz w:val="22"/>
              </w:rPr>
              <w:t>Daria Vozdrahanova</w:t>
            </w:r>
          </w:p>
        </w:tc>
      </w:tr>
      <w:tr w14:paraId="0D577B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80" w:type="dxa"/>
            <w:vAlign w:val="center"/>
          </w:tcPr>
          <w:p w14:paraId="14B8B975">
            <w:r>
              <w:rPr>
                <w:rFonts w:ascii="Arial" w:hAnsi="Arial"/>
                <w:b/>
                <w:sz w:val="22"/>
              </w:rPr>
              <w:t>Student ID</w:t>
            </w:r>
          </w:p>
        </w:tc>
        <w:tc>
          <w:tcPr>
            <w:tcW w:w="4680" w:type="dxa"/>
            <w:vAlign w:val="center"/>
          </w:tcPr>
          <w:p w14:paraId="4473D081">
            <w:r>
              <w:rPr>
                <w:rFonts w:ascii="Arial" w:hAnsi="Arial"/>
                <w:sz w:val="22"/>
              </w:rPr>
              <w:t>2417492</w:t>
            </w:r>
          </w:p>
        </w:tc>
      </w:tr>
      <w:tr w14:paraId="7BC1C1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80" w:type="dxa"/>
            <w:vAlign w:val="center"/>
          </w:tcPr>
          <w:p w14:paraId="4733E7C3">
            <w:r>
              <w:rPr>
                <w:rFonts w:ascii="Arial" w:hAnsi="Arial"/>
                <w:b/>
                <w:sz w:val="22"/>
              </w:rPr>
              <w:t>Lecturer</w:t>
            </w:r>
          </w:p>
        </w:tc>
        <w:tc>
          <w:tcPr>
            <w:tcW w:w="4680" w:type="dxa"/>
            <w:vAlign w:val="center"/>
          </w:tcPr>
          <w:p w14:paraId="15FDB6A3">
            <w:r>
              <w:rPr>
                <w:rFonts w:ascii="Arial" w:hAnsi="Arial"/>
                <w:sz w:val="22"/>
              </w:rPr>
              <w:t>Brian Mashumba</w:t>
            </w:r>
          </w:p>
        </w:tc>
      </w:tr>
      <w:tr w14:paraId="6ACE67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80" w:type="dxa"/>
            <w:vAlign w:val="center"/>
          </w:tcPr>
          <w:p w14:paraId="03B92020">
            <w:r>
              <w:rPr>
                <w:rFonts w:ascii="Arial" w:hAnsi="Arial"/>
                <w:b/>
                <w:sz w:val="22"/>
              </w:rPr>
              <w:t>Programme</w:t>
            </w:r>
          </w:p>
        </w:tc>
        <w:tc>
          <w:tcPr>
            <w:tcW w:w="4680" w:type="dxa"/>
            <w:vAlign w:val="center"/>
          </w:tcPr>
          <w:p w14:paraId="2E15404B">
            <w:r>
              <w:rPr>
                <w:rFonts w:ascii="Arial" w:hAnsi="Arial"/>
                <w:sz w:val="22"/>
              </w:rPr>
              <w:t>BSc (Hons) Health and Social Care</w:t>
            </w:r>
          </w:p>
        </w:tc>
      </w:tr>
      <w:tr w14:paraId="20C4BF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80" w:type="dxa"/>
            <w:vAlign w:val="center"/>
          </w:tcPr>
          <w:p w14:paraId="0DE7A72B">
            <w:r>
              <w:rPr>
                <w:rFonts w:ascii="Arial" w:hAnsi="Arial"/>
                <w:b/>
                <w:sz w:val="22"/>
              </w:rPr>
              <w:t>Module code</w:t>
            </w:r>
          </w:p>
        </w:tc>
        <w:tc>
          <w:tcPr>
            <w:tcW w:w="4680" w:type="dxa"/>
            <w:vAlign w:val="center"/>
          </w:tcPr>
          <w:p w14:paraId="53ECB2DC">
            <w:r>
              <w:rPr>
                <w:rFonts w:ascii="Arial" w:hAnsi="Arial"/>
                <w:sz w:val="22"/>
              </w:rPr>
              <w:t>BMHP5015</w:t>
            </w:r>
          </w:p>
        </w:tc>
      </w:tr>
      <w:tr w14:paraId="6EBCB4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80" w:type="dxa"/>
            <w:vAlign w:val="center"/>
          </w:tcPr>
          <w:p w14:paraId="555AB80C">
            <w:r>
              <w:rPr>
                <w:rFonts w:ascii="Arial" w:hAnsi="Arial"/>
                <w:b/>
                <w:sz w:val="22"/>
              </w:rPr>
              <w:t>Submission date</w:t>
            </w:r>
          </w:p>
        </w:tc>
        <w:tc>
          <w:tcPr>
            <w:tcW w:w="4680" w:type="dxa"/>
            <w:vAlign w:val="center"/>
          </w:tcPr>
          <w:p w14:paraId="5BF1888F">
            <w:r>
              <w:rPr>
                <w:rFonts w:ascii="Arial" w:hAnsi="Arial"/>
                <w:sz w:val="22"/>
              </w:rPr>
              <w:t>31 July 2026</w:t>
            </w:r>
          </w:p>
        </w:tc>
      </w:tr>
    </w:tbl>
    <w:p w14:paraId="287FFC3E">
      <w:pPr>
        <w:rPr>
          <w:rFonts w:hint="default"/>
        </w:rPr>
      </w:pPr>
      <w:r>
        <w:br w:type="page"/>
      </w:r>
      <w:r>
        <w:rPr>
          <w:rFonts w:hint="default"/>
          <w:b/>
          <w:bCs/>
          <w:sz w:val="28"/>
          <w:szCs w:val="28"/>
        </w:rPr>
        <w:t>Introduction</w:t>
      </w:r>
    </w:p>
    <w:p w14:paraId="314B1EA3">
      <w:pPr>
        <w:rPr>
          <w:rFonts w:hint="default"/>
        </w:rPr>
      </w:pPr>
      <w:r>
        <w:rPr>
          <w:rFonts w:hint="default"/>
        </w:rPr>
        <w:t>This portfolio reflects on my learning throughout the Changemakers: Building Your Brand for Sustainable Employment module and explains how the knowledge and skills I developed will support my future career in health and social care. During the module, I completed a range of lectures, discussions and Moodle forum activities that encouraged me to think critically about my professional development and employability. These activities helped me understand the importance of personal branding, self-awareness, networking, recognising career opportunities, resilience and wellbeing.</w:t>
      </w:r>
    </w:p>
    <w:p w14:paraId="147688AA">
      <w:pPr>
        <w:rPr>
          <w:rFonts w:hint="default"/>
        </w:rPr>
      </w:pPr>
      <w:r>
        <w:rPr>
          <w:rFonts w:hint="default"/>
        </w:rPr>
        <w:t>As my career goal is to become a Health and Wellbeing Coach, I found many of the topics directly relevant to my future profession. They encouraged me to reflect on the personal qualities, professional skills and behaviours required to support individuals in improving their physical and mental wellbeing. Throughout this portfolio, I reflect on the four units of the module and explain how each one has contributed to my personal and professional development. I also include examples of online activities completed during the module to demonstrate my engagement with the learning process. Where appropriate, I relate my reflections to relevant academic literature and professional theories to show how the module has influenced my understanding of sustainable career development in health and social care (Capela, 2021; Health Education England, 2022).</w:t>
      </w:r>
    </w:p>
    <w:p w14:paraId="17A509F0">
      <w:pPr>
        <w:rPr>
          <w:rFonts w:hint="default"/>
        </w:rPr>
      </w:pPr>
    </w:p>
    <w:p w14:paraId="760A9D75">
      <w:pPr>
        <w:rPr>
          <w:rFonts w:hint="default"/>
          <w:b/>
          <w:bCs/>
          <w:sz w:val="28"/>
          <w:szCs w:val="28"/>
        </w:rPr>
      </w:pPr>
      <w:r>
        <w:rPr>
          <w:rFonts w:hint="default"/>
          <w:b/>
          <w:bCs/>
          <w:sz w:val="28"/>
          <w:szCs w:val="28"/>
        </w:rPr>
        <w:t>Reflection on Unit 1: Brand You</w:t>
      </w:r>
    </w:p>
    <w:p w14:paraId="78605AE7">
      <w:pPr>
        <w:rPr>
          <w:rFonts w:hint="default"/>
        </w:rPr>
      </w:pPr>
      <w:r>
        <w:rPr>
          <w:rFonts w:hint="default"/>
        </w:rPr>
        <w:t>The first unit of this module encouraged me to think about my professional identity and the importance of developing a personal brand before entering employment in health and social care. At the beginning of the module, I mainly focused on choosing a career that matched my interests. However, after completing the lectures and Moodle activities, I realised that building a successful career is not only about selecting the right profession but also about understanding myself, recognising my strengths and continuously developing new skills.</w:t>
      </w:r>
    </w:p>
    <w:p w14:paraId="0706A9BB">
      <w:pPr>
        <w:rPr>
          <w:rFonts w:hint="default"/>
        </w:rPr>
      </w:pPr>
      <w:r>
        <w:rPr>
          <w:rFonts w:hint="default"/>
        </w:rPr>
        <w:t>One of the most valuable lessons for me was the importance of self-awareness. During the activities on career aspirations, emotional intelligence and self-awareness, I reflected on my personal qualities and the skills I need to become a successful Health and Wellbeing Coach. I recognised that good communication, empathy and emotional intelligence are just as important as technical knowledge in health and social care. Goleman (1998) argues that emotional intelligence enables professionals to recognise and manage both their own emotions and those of others, leading to stronger relationships and more effective communication. I found this particularly relevant because supporting people to improve their health requires trust, active listening and understanding individual needs.</w:t>
      </w:r>
    </w:p>
    <w:p w14:paraId="31533765">
      <w:pPr>
        <w:rPr>
          <w:rFonts w:hint="default"/>
        </w:rPr>
      </w:pPr>
      <w:r>
        <w:rPr>
          <w:rFonts w:hint="default"/>
        </w:rPr>
        <w:t>The activities also encouraged me to think critically about my strengths and areas for improvement. This reflection can be explained using the Johari Window model (Luft and Ingham, 1955), which suggests that increasing self-awareness through reflection and feedback helps people develop personally and professionally. Completing the forum discussions made me recognise that lifelong learning is an essential part of professional practice. Although I already had a clear career goal, I understood that achieving this goal requires continuous development rather than relying only on existing knowledge.</w:t>
      </w:r>
    </w:p>
    <w:p w14:paraId="4AA3415E">
      <w:pPr>
        <w:rPr>
          <w:rFonts w:hint="default"/>
        </w:rPr>
      </w:pPr>
      <w:r>
        <w:rPr>
          <w:rFonts w:hint="default"/>
        </w:rPr>
        <w:t>Another important topic in this unit was autonomy and self-determination. Before studying these concepts, I mainly associated them with making independent decisions. Through the lectures and discussions, I developed a broader understanding that health and social care professionals should respect the autonomy of service users by involving them in decisions about their own care. This idea aligns with person-centred practice, which is recognised as an essential principle within modern health and social care (NHS England, 2024).</w:t>
      </w:r>
    </w:p>
    <w:p w14:paraId="1157F085">
      <w:pPr>
        <w:rPr>
          <w:rFonts w:hint="default"/>
        </w:rPr>
      </w:pPr>
      <w:r>
        <w:rPr>
          <w:rFonts w:hint="default"/>
        </w:rPr>
        <w:t>The online activities also reinforced the importance of continuous professional development (CPD). Reflecting on the "Skills and Upskilling" activity helped me understand that professional competence is not fixed but develops through experience, education and reflection. The Health and Care Professions Council (HCPC, 2024) also emphasises that healthcare professionals have a responsibility to maintain and improve their knowledge and skills throughout their careers. This encouraged me to see learning as an ongoing process rather than something that ends after graduation.</w:t>
      </w:r>
    </w:p>
    <w:p w14:paraId="2521392E">
      <w:pPr>
        <w:rPr>
          <w:rFonts w:hint="default"/>
        </w:rPr>
      </w:pPr>
      <w:r>
        <w:rPr>
          <w:rFonts w:hint="default"/>
        </w:rPr>
        <w:t>Overall, Unit 1 helped me develop a clearer understanding of my professional identity and increased my confidence in my chosen career. I now recognise that becoming an effective Health and Wellbeing Coach requires much more than academic knowledge. It also requires self-awareness, emotional intelligence, reflective practice and a commitment to continuous professional development. I believe these skills will help me provide person-centred support and build trusting relationships with future clients.</w:t>
      </w:r>
    </w:p>
    <w:p w14:paraId="4914323C">
      <w:pPr>
        <w:rPr>
          <w:rFonts w:hint="default"/>
          <w:b/>
          <w:bCs/>
        </w:rPr>
      </w:pPr>
      <w:r>
        <w:rPr>
          <w:rFonts w:hint="default"/>
          <w:b/>
          <w:bCs/>
        </w:rPr>
        <w:t>Figure 1. Career Aspiration</w:t>
      </w:r>
    </w:p>
    <w:p w14:paraId="397A6AE4">
      <w:pPr>
        <w:rPr>
          <w:rFonts w:hint="default"/>
          <w:lang w:val="en-GB"/>
        </w:rPr>
      </w:pPr>
      <w:r>
        <w:rPr>
          <w:rFonts w:hint="default"/>
          <w:lang w:val="en-GB"/>
        </w:rPr>
        <w:drawing>
          <wp:inline distT="0" distB="0" distL="114300" distR="114300">
            <wp:extent cx="5943600" cy="2527300"/>
            <wp:effectExtent l="0" t="0" r="0" b="0"/>
            <wp:docPr id="13" name="Picture 13" descr="photo_1_2026-07-30_23-0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photo_1_2026-07-30_23-02-15"/>
                    <pic:cNvPicPr>
                      <a:picLocks noChangeAspect="1"/>
                    </pic:cNvPicPr>
                  </pic:nvPicPr>
                  <pic:blipFill>
                    <a:blip r:embed="rId7"/>
                    <a:stretch>
                      <a:fillRect/>
                    </a:stretch>
                  </pic:blipFill>
                  <pic:spPr>
                    <a:xfrm>
                      <a:off x="0" y="0"/>
                      <a:ext cx="5943600" cy="2527300"/>
                    </a:xfrm>
                    <a:prstGeom prst="rect">
                      <a:avLst/>
                    </a:prstGeom>
                  </pic:spPr>
                </pic:pic>
              </a:graphicData>
            </a:graphic>
          </wp:inline>
        </w:drawing>
      </w:r>
    </w:p>
    <w:p w14:paraId="597C6F37">
      <w:pPr>
        <w:rPr>
          <w:rFonts w:hint="default"/>
        </w:rPr>
      </w:pPr>
      <w:r>
        <w:rPr>
          <w:rFonts w:hint="default"/>
        </w:rPr>
        <w:t>This activity shows my chosen career goal of becoming a Health and Wellbeing Coach and explains why I selected this profession.</w:t>
      </w:r>
    </w:p>
    <w:p w14:paraId="24FE2970">
      <w:pPr>
        <w:rPr>
          <w:rFonts w:hint="default"/>
        </w:rPr>
      </w:pPr>
    </w:p>
    <w:p w14:paraId="157C5190">
      <w:pPr>
        <w:rPr>
          <w:rFonts w:hint="default"/>
          <w:b/>
          <w:bCs/>
        </w:rPr>
      </w:pPr>
      <w:r>
        <w:rPr>
          <w:rFonts w:hint="default"/>
          <w:b/>
          <w:bCs/>
        </w:rPr>
        <w:t>Figure 2. Emotional Intelligence</w:t>
      </w:r>
    </w:p>
    <w:p w14:paraId="78AA88B7">
      <w:pPr>
        <w:rPr>
          <w:rFonts w:hint="default"/>
          <w:lang w:val="en-GB"/>
        </w:rPr>
      </w:pPr>
      <w:r>
        <w:rPr>
          <w:rFonts w:hint="default"/>
          <w:lang w:val="en-GB"/>
        </w:rPr>
        <w:drawing>
          <wp:inline distT="0" distB="0" distL="114300" distR="114300">
            <wp:extent cx="5941695" cy="2506345"/>
            <wp:effectExtent l="0" t="0" r="1905" b="8255"/>
            <wp:docPr id="12" name="Picture 12" descr="photo_8_2026-07-30_23-0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photo_8_2026-07-30_23-02-15"/>
                    <pic:cNvPicPr>
                      <a:picLocks noChangeAspect="1"/>
                    </pic:cNvPicPr>
                  </pic:nvPicPr>
                  <pic:blipFill>
                    <a:blip r:embed="rId8"/>
                    <a:stretch>
                      <a:fillRect/>
                    </a:stretch>
                  </pic:blipFill>
                  <pic:spPr>
                    <a:xfrm>
                      <a:off x="0" y="0"/>
                      <a:ext cx="5941695" cy="2506345"/>
                    </a:xfrm>
                    <a:prstGeom prst="rect">
                      <a:avLst/>
                    </a:prstGeom>
                  </pic:spPr>
                </pic:pic>
              </a:graphicData>
            </a:graphic>
          </wp:inline>
        </w:drawing>
      </w:r>
    </w:p>
    <w:p w14:paraId="1ED40141">
      <w:pPr>
        <w:rPr>
          <w:rFonts w:hint="default"/>
        </w:rPr>
      </w:pPr>
      <w:r>
        <w:rPr>
          <w:rFonts w:hint="default"/>
        </w:rPr>
        <w:t>This activity demonstrates my understanding of the importance of recognising emotions and communicating effectively within health and social care.</w:t>
      </w:r>
    </w:p>
    <w:p w14:paraId="726584CB">
      <w:pPr>
        <w:rPr>
          <w:rFonts w:hint="default"/>
        </w:rPr>
      </w:pPr>
    </w:p>
    <w:p w14:paraId="205CEC8D">
      <w:pPr>
        <w:rPr>
          <w:rFonts w:hint="default"/>
          <w:b/>
          <w:bCs/>
        </w:rPr>
      </w:pPr>
      <w:r>
        <w:rPr>
          <w:rFonts w:hint="default"/>
          <w:b/>
          <w:bCs/>
        </w:rPr>
        <w:t>Figure 3. Skills and Upskilling</w:t>
      </w:r>
    </w:p>
    <w:p w14:paraId="7C0173DE">
      <w:pPr>
        <w:rPr>
          <w:rFonts w:hint="default"/>
          <w:lang w:val="en-GB"/>
        </w:rPr>
      </w:pPr>
      <w:r>
        <w:rPr>
          <w:rFonts w:hint="default"/>
          <w:lang w:val="en-GB"/>
        </w:rPr>
        <w:drawing>
          <wp:inline distT="0" distB="0" distL="114300" distR="114300">
            <wp:extent cx="5941695" cy="2339340"/>
            <wp:effectExtent l="0" t="0" r="1905" b="10160"/>
            <wp:docPr id="11" name="Picture 11" descr="photo_10_2026-07-30_23-0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photo_10_2026-07-30_23-02-15"/>
                    <pic:cNvPicPr>
                      <a:picLocks noChangeAspect="1"/>
                    </pic:cNvPicPr>
                  </pic:nvPicPr>
                  <pic:blipFill>
                    <a:blip r:embed="rId9"/>
                    <a:stretch>
                      <a:fillRect/>
                    </a:stretch>
                  </pic:blipFill>
                  <pic:spPr>
                    <a:xfrm>
                      <a:off x="0" y="0"/>
                      <a:ext cx="5941695" cy="2339340"/>
                    </a:xfrm>
                    <a:prstGeom prst="rect">
                      <a:avLst/>
                    </a:prstGeom>
                  </pic:spPr>
                </pic:pic>
              </a:graphicData>
            </a:graphic>
          </wp:inline>
        </w:drawing>
      </w:r>
    </w:p>
    <w:p w14:paraId="1BC032D0">
      <w:pPr>
        <w:rPr>
          <w:rFonts w:hint="default"/>
        </w:rPr>
      </w:pPr>
      <w:r>
        <w:rPr>
          <w:rFonts w:hint="default"/>
        </w:rPr>
        <w:t>This activity reflects my understanding of continuous professional development and the importance of improving my knowledge and skills throughout my career.</w:t>
      </w:r>
    </w:p>
    <w:p w14:paraId="471C6994">
      <w:pPr>
        <w:rPr>
          <w:rFonts w:hint="default"/>
        </w:rPr>
      </w:pPr>
    </w:p>
    <w:p w14:paraId="7641994F">
      <w:pPr>
        <w:rPr>
          <w:rFonts w:hint="default"/>
          <w:b/>
          <w:bCs/>
          <w:sz w:val="28"/>
          <w:szCs w:val="28"/>
        </w:rPr>
      </w:pPr>
      <w:r>
        <w:rPr>
          <w:rFonts w:hint="default"/>
          <w:b/>
          <w:bCs/>
          <w:sz w:val="28"/>
          <w:szCs w:val="28"/>
        </w:rPr>
        <w:t xml:space="preserve">Reflection on Unit 2: It’s a Small World </w:t>
      </w:r>
    </w:p>
    <w:p w14:paraId="3A5A8125">
      <w:pPr>
        <w:rPr>
          <w:rFonts w:hint="default"/>
        </w:rPr>
      </w:pPr>
      <w:r>
        <w:rPr>
          <w:rFonts w:hint="default"/>
        </w:rPr>
        <w:t>Unit 2 focused on the importance of global connections, networking, cultural competence and collaboration in today's workplace. Before completing this unit, I mainly viewed networking as a way to meet people who could help me find a job. However, the lectures and online activities helped me understand that networking is about building genuine professional relationships, sharing knowledge and learning from people with different backgrounds and experiences. This changed my perspective on professional development, especially within health and social care, where collaboration between different professionals is essential for providing high-quality care.</w:t>
      </w:r>
    </w:p>
    <w:p w14:paraId="3F69D79D">
      <w:pPr>
        <w:rPr>
          <w:rFonts w:hint="default"/>
        </w:rPr>
      </w:pPr>
      <w:r>
        <w:rPr>
          <w:rFonts w:hint="default"/>
        </w:rPr>
        <w:t>One of the most important lessons I learned was the value of cultural competence. Modern health and social care services support people from many different countries, cultures and belief systems. As a future Health and Wellbeing Coach, I will work with individuals whose values, lifestyles and health beliefs may differ from my own. This unit helped me understand that effective communication requires respect for cultural diversity and a willingness to adapt my approach to meet the needs of different individuals. Hofstede's Cultural Dimensions Theory (Hofstede, 2001) explains that people from different cultures often have different expectations, communication styles and attitudes towards authority and decision-making. Understanding these differences can help healthcare professionals provide more person-centred and inclusive care.</w:t>
      </w:r>
    </w:p>
    <w:p w14:paraId="21E43B57">
      <w:pPr>
        <w:rPr>
          <w:rFonts w:hint="default"/>
        </w:rPr>
      </w:pPr>
    </w:p>
    <w:p w14:paraId="03F95A2A">
      <w:pPr>
        <w:rPr>
          <w:rFonts w:hint="default"/>
        </w:rPr>
      </w:pPr>
      <w:r>
        <w:rPr>
          <w:rFonts w:hint="default"/>
        </w:rPr>
        <w:t>The networking activities also changed my understanding of professional relationships. Through the forum discussions and case studies, I realised that successful networking is based on trust, mutual respect and continuous communication rather than simply exchanging contact details. Building relationships with professionals from different disciplines can improve knowledge sharing and create opportunities for future collaboration. This is particularly important in health and social care, where multidisciplinary teams work together to achieve the best outcomes for service users (NHS England, 2024).</w:t>
      </w:r>
    </w:p>
    <w:p w14:paraId="16E01E55">
      <w:pPr>
        <w:rPr>
          <w:rFonts w:hint="default"/>
        </w:rPr>
      </w:pPr>
      <w:r>
        <w:rPr>
          <w:rFonts w:hint="default"/>
        </w:rPr>
        <w:t>Another valuable lesson from this unit was recognising that opportunities can come from unexpected connections. The activity about making connections encouraged me to step outside my comfort zone and consider communicating with professionals from different sectors. Although I previously believed that networking should only involve people working in my chosen profession, I now understand that learning from individuals in education, business or community organisations can also contribute to my professional growth.</w:t>
      </w:r>
    </w:p>
    <w:p w14:paraId="6B8262FF">
      <w:pPr>
        <w:rPr>
          <w:rFonts w:hint="default"/>
        </w:rPr>
      </w:pPr>
      <w:r>
        <w:rPr>
          <w:rFonts w:hint="default"/>
        </w:rPr>
        <w:t>Overall, Unit 2 helped me appreciate the importance of collaboration, cultural awareness and professional networking. I now understand that providing effective health and wellbeing support requires more than professional knowledge. It also requires strong communication skills, openness to different perspectives and the ability to work effectively with people from diverse backgrounds. I believe these experiences will help me become a more confident, culturally sensitive and collaborative healthcare professional in the future.</w:t>
      </w:r>
    </w:p>
    <w:p w14:paraId="3F8DD00B">
      <w:pPr>
        <w:rPr>
          <w:rFonts w:hint="default"/>
        </w:rPr>
      </w:pPr>
    </w:p>
    <w:p w14:paraId="4CAED60E">
      <w:pPr>
        <w:rPr>
          <w:rFonts w:hint="default"/>
          <w:b/>
          <w:bCs/>
        </w:rPr>
      </w:pPr>
      <w:r>
        <w:rPr>
          <w:rFonts w:hint="default"/>
          <w:b/>
          <w:bCs/>
        </w:rPr>
        <w:t>Figure 4. Networking</w:t>
      </w:r>
    </w:p>
    <w:p w14:paraId="46F8B823">
      <w:pPr>
        <w:rPr>
          <w:rFonts w:hint="default"/>
          <w:lang w:val="en-GB"/>
        </w:rPr>
      </w:pPr>
      <w:r>
        <w:rPr>
          <w:rFonts w:hint="default"/>
          <w:lang w:val="en-GB"/>
        </w:rPr>
        <w:drawing>
          <wp:inline distT="0" distB="0" distL="114300" distR="114300">
            <wp:extent cx="5941695" cy="2288540"/>
            <wp:effectExtent l="0" t="0" r="1905" b="10160"/>
            <wp:docPr id="10" name="Picture 10" descr="photo_11_2026-07-30_23-0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photo_11_2026-07-30_23-02-15"/>
                    <pic:cNvPicPr>
                      <a:picLocks noChangeAspect="1"/>
                    </pic:cNvPicPr>
                  </pic:nvPicPr>
                  <pic:blipFill>
                    <a:blip r:embed="rId10"/>
                    <a:stretch>
                      <a:fillRect/>
                    </a:stretch>
                  </pic:blipFill>
                  <pic:spPr>
                    <a:xfrm>
                      <a:off x="0" y="0"/>
                      <a:ext cx="5941695" cy="2288540"/>
                    </a:xfrm>
                    <a:prstGeom prst="rect">
                      <a:avLst/>
                    </a:prstGeom>
                  </pic:spPr>
                </pic:pic>
              </a:graphicData>
            </a:graphic>
          </wp:inline>
        </w:drawing>
      </w:r>
    </w:p>
    <w:p w14:paraId="10C1DE56">
      <w:pPr>
        <w:rPr>
          <w:rFonts w:hint="default"/>
        </w:rPr>
      </w:pPr>
      <w:r>
        <w:rPr>
          <w:rFonts w:hint="default"/>
        </w:rPr>
        <w:t>This forum activity explains my understanding of professional networking and why building meaningful relationships is important for career development in health and social care.</w:t>
      </w:r>
    </w:p>
    <w:p w14:paraId="55AFCF7B">
      <w:pPr>
        <w:rPr>
          <w:rFonts w:hint="default"/>
        </w:rPr>
      </w:pPr>
    </w:p>
    <w:p w14:paraId="17E03922">
      <w:pPr>
        <w:rPr>
          <w:rFonts w:hint="default"/>
          <w:b/>
          <w:bCs/>
        </w:rPr>
      </w:pPr>
      <w:r>
        <w:rPr>
          <w:rFonts w:hint="default"/>
          <w:b/>
          <w:bCs/>
        </w:rPr>
        <w:t>Figure 5. Reflection on Networking Video</w:t>
      </w:r>
    </w:p>
    <w:p w14:paraId="028662E3">
      <w:pPr>
        <w:rPr>
          <w:rFonts w:hint="default"/>
          <w:lang w:val="en-GB"/>
        </w:rPr>
      </w:pPr>
      <w:r>
        <w:rPr>
          <w:rFonts w:hint="default"/>
          <w:lang w:val="en-GB"/>
        </w:rPr>
        <w:drawing>
          <wp:inline distT="0" distB="0" distL="114300" distR="114300">
            <wp:extent cx="5941695" cy="2223135"/>
            <wp:effectExtent l="0" t="0" r="1905" b="12065"/>
            <wp:docPr id="9" name="Picture 9" descr="photo_12_2026-07-30_23-0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photo_12_2026-07-30_23-02-15"/>
                    <pic:cNvPicPr>
                      <a:picLocks noChangeAspect="1"/>
                    </pic:cNvPicPr>
                  </pic:nvPicPr>
                  <pic:blipFill>
                    <a:blip r:embed="rId11"/>
                    <a:stretch>
                      <a:fillRect/>
                    </a:stretch>
                  </pic:blipFill>
                  <pic:spPr>
                    <a:xfrm>
                      <a:off x="0" y="0"/>
                      <a:ext cx="5941695" cy="2223135"/>
                    </a:xfrm>
                    <a:prstGeom prst="rect">
                      <a:avLst/>
                    </a:prstGeom>
                  </pic:spPr>
                </pic:pic>
              </a:graphicData>
            </a:graphic>
          </wp:inline>
        </w:drawing>
      </w:r>
    </w:p>
    <w:p w14:paraId="45F91040">
      <w:pPr>
        <w:rPr>
          <w:rFonts w:hint="default"/>
        </w:rPr>
      </w:pPr>
      <w:r>
        <w:rPr>
          <w:rFonts w:hint="default"/>
        </w:rPr>
        <w:t>This activity demonstrates how my understanding of networking changed after watching the lecture video and reflecting on its key messages.</w:t>
      </w:r>
    </w:p>
    <w:p w14:paraId="5CE9B31E">
      <w:pPr>
        <w:rPr>
          <w:rFonts w:hint="default"/>
        </w:rPr>
      </w:pPr>
    </w:p>
    <w:p w14:paraId="592F84F6">
      <w:pPr>
        <w:rPr>
          <w:rFonts w:hint="default"/>
          <w:b/>
          <w:bCs/>
        </w:rPr>
      </w:pPr>
      <w:r>
        <w:rPr>
          <w:rFonts w:hint="default"/>
          <w:b/>
          <w:bCs/>
        </w:rPr>
        <w:t>Figure 6. Making Connections</w:t>
      </w:r>
    </w:p>
    <w:p w14:paraId="567A7073">
      <w:pPr>
        <w:rPr>
          <w:rFonts w:hint="default"/>
          <w:lang w:val="en-GB"/>
        </w:rPr>
      </w:pPr>
      <w:r>
        <w:rPr>
          <w:rFonts w:hint="default"/>
          <w:lang w:val="en-GB"/>
        </w:rPr>
        <w:drawing>
          <wp:inline distT="0" distB="0" distL="114300" distR="114300">
            <wp:extent cx="5941695" cy="2292985"/>
            <wp:effectExtent l="0" t="0" r="1905" b="5715"/>
            <wp:docPr id="7" name="Picture 7" descr="photo_18_2026-07-30_23-0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photo_18_2026-07-30_23-02-15"/>
                    <pic:cNvPicPr>
                      <a:picLocks noChangeAspect="1"/>
                    </pic:cNvPicPr>
                  </pic:nvPicPr>
                  <pic:blipFill>
                    <a:blip r:embed="rId12"/>
                    <a:stretch>
                      <a:fillRect/>
                    </a:stretch>
                  </pic:blipFill>
                  <pic:spPr>
                    <a:xfrm>
                      <a:off x="0" y="0"/>
                      <a:ext cx="5941695" cy="2292985"/>
                    </a:xfrm>
                    <a:prstGeom prst="rect">
                      <a:avLst/>
                    </a:prstGeom>
                  </pic:spPr>
                </pic:pic>
              </a:graphicData>
            </a:graphic>
          </wp:inline>
        </w:drawing>
      </w:r>
    </w:p>
    <w:p w14:paraId="4A781EE4">
      <w:pPr>
        <w:rPr>
          <w:rFonts w:hint="default"/>
        </w:rPr>
      </w:pPr>
      <w:r>
        <w:rPr>
          <w:rFonts w:hint="default"/>
        </w:rPr>
        <w:t>This activity shows my reflections on the importance of building professional relationships with people from different backgrounds and sectors to support future career development.</w:t>
      </w:r>
    </w:p>
    <w:p w14:paraId="403DA628">
      <w:pPr>
        <w:rPr>
          <w:rFonts w:hint="default"/>
        </w:rPr>
      </w:pPr>
    </w:p>
    <w:p w14:paraId="33D44F16">
      <w:pPr>
        <w:rPr>
          <w:rFonts w:hint="default"/>
          <w:b/>
          <w:bCs/>
          <w:sz w:val="28"/>
          <w:szCs w:val="28"/>
        </w:rPr>
      </w:pPr>
      <w:r>
        <w:rPr>
          <w:rFonts w:hint="default"/>
          <w:b/>
          <w:bCs/>
          <w:sz w:val="28"/>
          <w:szCs w:val="28"/>
        </w:rPr>
        <w:t xml:space="preserve">Reflection on Unit 3: Opportunity Knocks </w:t>
      </w:r>
    </w:p>
    <w:p w14:paraId="0E487FBC">
      <w:pPr>
        <w:rPr>
          <w:rFonts w:hint="default"/>
        </w:rPr>
      </w:pPr>
      <w:r>
        <w:rPr>
          <w:rFonts w:hint="default"/>
        </w:rPr>
        <w:t>Unit 3 encouraged me to think differently about career opportunities and how personal development can influence future employment. The main topics included recognising opportunities, goal setting, recruitment, professional online presence and personal development planning. Before studying this unit, I believed that career success mainly depended on qualifications and work experience. However, I learned that being open to new opportunities, developing a positive mindset and actively planning my career are equally important.</w:t>
      </w:r>
    </w:p>
    <w:p w14:paraId="36F204AE">
      <w:pPr>
        <w:rPr>
          <w:rFonts w:hint="default"/>
        </w:rPr>
      </w:pPr>
      <w:r>
        <w:rPr>
          <w:rFonts w:hint="default"/>
        </w:rPr>
        <w:t>One of the most valuable ideas I gained from this unit was that opportunities are not always planned. Through the discussions about the Serendipity Mindset, I realised that unexpected experiences and new connections can create valuable career opportunities if I am willing to recognise and use them. This changed my perspective because I had previously believed that career development followed a fixed plan. Instead, I now understand that flexibility and openness can lead to personal and professional growth.</w:t>
      </w:r>
    </w:p>
    <w:p w14:paraId="47043EAF">
      <w:pPr>
        <w:rPr>
          <w:rFonts w:hint="default"/>
        </w:rPr>
      </w:pPr>
      <w:r>
        <w:rPr>
          <w:rFonts w:hint="default"/>
        </w:rPr>
        <w:t>Another important topic was goal setting. The activities encouraged me to think more carefully about my long-term career objective of becoming a Health and Wellbeing Coach. I also recognised that achieving this goal requires smaller, realistic steps rather than focusing only on the final outcome. This idea can be explained using the SMART Goal Framework (Doran, 1981), which suggests that goals should be Specific, Measurable, Achievable, Relevant and Time-bound. Applying this model helped me understand how structured planning can make professional goals more realistic and achievable. For example, instead of simply aiming to become a Health and Wellbeing Coach, I identified intermediate goals such as developing communication skills, gaining practical experience and continuing my professional education.</w:t>
      </w:r>
    </w:p>
    <w:p w14:paraId="5B43C152">
      <w:pPr>
        <w:rPr>
          <w:rFonts w:hint="default"/>
        </w:rPr>
      </w:pPr>
      <w:r>
        <w:rPr>
          <w:rFonts w:hint="default"/>
        </w:rPr>
        <w:t>I also reflected on the changing recruitment process and the importance of creating a professional online presence. Before completing this unit, I underestimated how employers use digital platforms when recruiting new staff. The activities showed me that maintaining a professional online profile can demonstrate my knowledge, values and commitment to my future profession. As health and social care increasingly uses digital communication, presenting myself professionally online may improve future employment opportunities (CIPD, 2024).</w:t>
      </w:r>
    </w:p>
    <w:p w14:paraId="09A47C0B">
      <w:pPr>
        <w:rPr>
          <w:rFonts w:hint="default"/>
        </w:rPr>
      </w:pPr>
      <w:r>
        <w:rPr>
          <w:rFonts w:hint="default"/>
        </w:rPr>
        <w:t>Overall, Unit 3 helped me become more proactive in thinking about my future career. I learned that career development is not only about waiting for opportunities but also about creating them through planning, continuous learning and maintaining a professional reputation. These lessons increased my confidence and motivated me to take greater responsibility for my own professional development. I believe this knowledge will support me in building a sustainable and rewarding career within health and social care.</w:t>
      </w:r>
    </w:p>
    <w:p w14:paraId="6087435A">
      <w:pPr>
        <w:rPr>
          <w:rFonts w:hint="default"/>
        </w:rPr>
      </w:pPr>
    </w:p>
    <w:p w14:paraId="2B8521DF">
      <w:pPr>
        <w:rPr>
          <w:rFonts w:hint="default"/>
          <w:b/>
          <w:bCs/>
        </w:rPr>
      </w:pPr>
      <w:r>
        <w:rPr>
          <w:rFonts w:hint="default"/>
          <w:b/>
          <w:bCs/>
        </w:rPr>
        <w:t>Figure 8. Professional Online Presence</w:t>
      </w:r>
    </w:p>
    <w:p w14:paraId="1066A80B">
      <w:pPr>
        <w:rPr>
          <w:rFonts w:hint="default"/>
          <w:lang w:val="en-GB"/>
        </w:rPr>
      </w:pPr>
      <w:r>
        <w:rPr>
          <w:rFonts w:hint="default"/>
          <w:lang w:val="en-GB"/>
        </w:rPr>
        <w:drawing>
          <wp:inline distT="0" distB="0" distL="114300" distR="114300">
            <wp:extent cx="5941695" cy="2214245"/>
            <wp:effectExtent l="0" t="0" r="1905" b="8255"/>
            <wp:docPr id="6" name="Picture 6" descr="photo_28_2026-07-30_23-0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photo_28_2026-07-30_23-02-15"/>
                    <pic:cNvPicPr>
                      <a:picLocks noChangeAspect="1"/>
                    </pic:cNvPicPr>
                  </pic:nvPicPr>
                  <pic:blipFill>
                    <a:blip r:embed="rId13"/>
                    <a:stretch>
                      <a:fillRect/>
                    </a:stretch>
                  </pic:blipFill>
                  <pic:spPr>
                    <a:xfrm>
                      <a:off x="0" y="0"/>
                      <a:ext cx="5941695" cy="2214245"/>
                    </a:xfrm>
                    <a:prstGeom prst="rect">
                      <a:avLst/>
                    </a:prstGeom>
                  </pic:spPr>
                </pic:pic>
              </a:graphicData>
            </a:graphic>
          </wp:inline>
        </w:drawing>
      </w:r>
    </w:p>
    <w:p w14:paraId="66D71C5A">
      <w:pPr>
        <w:rPr>
          <w:rFonts w:hint="default"/>
        </w:rPr>
      </w:pPr>
      <w:r>
        <w:rPr>
          <w:rFonts w:hint="default"/>
        </w:rPr>
        <w:t>This activity demonstrates my understanding of the importance of maintaining a professional digital profile and how it can influence future employment opportunities.</w:t>
      </w:r>
    </w:p>
    <w:p w14:paraId="0E25F764">
      <w:pPr>
        <w:rPr>
          <w:rFonts w:hint="default"/>
        </w:rPr>
      </w:pPr>
    </w:p>
    <w:p w14:paraId="0E1E4378">
      <w:pPr>
        <w:rPr>
          <w:rFonts w:hint="default"/>
          <w:b/>
          <w:bCs/>
        </w:rPr>
      </w:pPr>
      <w:r>
        <w:rPr>
          <w:rFonts w:hint="default"/>
          <w:b/>
          <w:bCs/>
        </w:rPr>
        <w:t>Figure 9. My Health and Wellbeing Blog</w:t>
      </w:r>
    </w:p>
    <w:p w14:paraId="01AE4DEB">
      <w:pPr>
        <w:rPr>
          <w:rFonts w:hint="default"/>
          <w:lang w:val="en-GB"/>
        </w:rPr>
      </w:pPr>
      <w:r>
        <w:rPr>
          <w:rFonts w:hint="default"/>
          <w:lang w:val="en-GB"/>
        </w:rPr>
        <w:drawing>
          <wp:inline distT="0" distB="0" distL="114300" distR="114300">
            <wp:extent cx="5941695" cy="2246630"/>
            <wp:effectExtent l="0" t="0" r="1905" b="1270"/>
            <wp:docPr id="5" name="Picture 5" descr="photo_30_2026-07-30_23-0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hoto_30_2026-07-30_23-02-15"/>
                    <pic:cNvPicPr>
                      <a:picLocks noChangeAspect="1"/>
                    </pic:cNvPicPr>
                  </pic:nvPicPr>
                  <pic:blipFill>
                    <a:blip r:embed="rId14"/>
                    <a:stretch>
                      <a:fillRect/>
                    </a:stretch>
                  </pic:blipFill>
                  <pic:spPr>
                    <a:xfrm>
                      <a:off x="0" y="0"/>
                      <a:ext cx="5941695" cy="2246630"/>
                    </a:xfrm>
                    <a:prstGeom prst="rect">
                      <a:avLst/>
                    </a:prstGeom>
                  </pic:spPr>
                </pic:pic>
              </a:graphicData>
            </a:graphic>
          </wp:inline>
        </w:drawing>
      </w:r>
    </w:p>
    <w:p w14:paraId="1FAE8702">
      <w:pPr>
        <w:rPr>
          <w:rFonts w:hint="default"/>
        </w:rPr>
      </w:pPr>
      <w:r>
        <w:rPr>
          <w:rFonts w:hint="default"/>
        </w:rPr>
        <w:t>This activity illustrates my ability to communicate health information clearly and professionally while developing skills that are relevant to my future career.</w:t>
      </w:r>
    </w:p>
    <w:p w14:paraId="78120E31">
      <w:pPr>
        <w:rPr>
          <w:rFonts w:hint="default"/>
        </w:rPr>
      </w:pPr>
    </w:p>
    <w:p w14:paraId="116EFE06">
      <w:pPr>
        <w:rPr>
          <w:rFonts w:hint="default"/>
          <w:b/>
          <w:bCs/>
          <w:sz w:val="28"/>
          <w:szCs w:val="28"/>
        </w:rPr>
      </w:pPr>
      <w:r>
        <w:rPr>
          <w:rFonts w:hint="default"/>
          <w:b/>
          <w:bCs/>
          <w:sz w:val="28"/>
          <w:szCs w:val="28"/>
        </w:rPr>
        <w:t xml:space="preserve">Reflection on Unit 4: The Pursuit of Happiness </w:t>
      </w:r>
    </w:p>
    <w:p w14:paraId="61EAF548">
      <w:pPr>
        <w:rPr>
          <w:rFonts w:hint="default"/>
        </w:rPr>
      </w:pPr>
      <w:r>
        <w:rPr>
          <w:rFonts w:hint="default"/>
        </w:rPr>
        <w:t>The final unit of the module focused on wellbeing, resilience, work-life balance and personal growth. These topics helped me understand that long-term career success depends not only on professional knowledge and technical skills but also on maintaining good mental wellbeing and developing the ability to cope with challenges. Before completing this unit, I often thought of resilience as simply "not giving up". However, through the lectures and forum activities, I developed a broader understanding of resilience as the ability to adapt to difficulties, learn from setbacks and continue moving towards personal and professional goals.</w:t>
      </w:r>
    </w:p>
    <w:p w14:paraId="1371E257">
      <w:pPr>
        <w:rPr>
          <w:rFonts w:hint="default"/>
        </w:rPr>
      </w:pPr>
      <w:r>
        <w:rPr>
          <w:rFonts w:hint="default"/>
        </w:rPr>
        <w:t>One of the most valuable topics for me was limiting beliefs. Completing the activities encouraged me to reflect on the negative thoughts that can prevent personal growth and reduce confidence. I realised that many limitations are created by our own thinking rather than by external circumstances. Recognising these beliefs is the first step towards changing them and becoming more confident when facing new opportunities. This reflection also helped me understand the importance of maintaining a positive mindset while continuing to learn and develop throughout my career.</w:t>
      </w:r>
    </w:p>
    <w:p w14:paraId="606D7D98">
      <w:pPr>
        <w:rPr>
          <w:rFonts w:hint="default"/>
        </w:rPr>
      </w:pPr>
      <w:r>
        <w:rPr>
          <w:rFonts w:hint="default"/>
        </w:rPr>
        <w:t>Another important concept introduced in this unit was grit. According to Duckworth (2016), grit is the combination of passion and perseverance when working towards long-term goals. Before studying this topic, I believed that success mainly depended on talent or natural ability. However, I now understand that consistent effort and persistence are often more important than talent alone. This changed the way I think about my own career because becoming a Health and Wellbeing Coach will require continuous learning, practical experience and professional development over many years.</w:t>
      </w:r>
    </w:p>
    <w:p w14:paraId="55F678FF">
      <w:pPr>
        <w:rPr>
          <w:rFonts w:hint="default"/>
        </w:rPr>
      </w:pPr>
      <w:r>
        <w:rPr>
          <w:rFonts w:hint="default"/>
        </w:rPr>
        <w:t>The unit also increased my understanding of wellbeing and its importance in health and social care. Seligman's PERMA model (2011) explains that wellbeing is influenced by five key elements: Positive Emotion, Engagement, Relationships, Meaning and Accomplishment. Reflecting on this model helped me recognise that maintaining my own wellbeing is essential if I want to provide effective support to others. As a future Health and Wellbeing Coach, I will encourage clients to improve their physical and mental health, but I also have a responsibility to look after my own wellbeing in order to remain effective and avoid burnout. I also learned that achieving a healthy work-life balance is an important part of maintaining motivation, resilience and professional effectiveness throughout a healthcare career.</w:t>
      </w:r>
    </w:p>
    <w:p w14:paraId="74868F44">
      <w:pPr>
        <w:rPr>
          <w:rFonts w:hint="default"/>
        </w:rPr>
      </w:pPr>
      <w:r>
        <w:rPr>
          <w:rFonts w:hint="default"/>
        </w:rPr>
        <w:t>Overall, Unit 4 helped me understand that professional success is closely connected with personal wellbeing. I learned that resilience can be developed through reflection, persistence and self-awareness rather than being an inborn characteristic. This unit encouraged me to become more patient with my own development and reminded me that setbacks should be viewed as opportunities for learning instead of reasons to stop progressing. I believe these lessons will support both my personal wellbeing and my future career in health and social care.</w:t>
      </w:r>
    </w:p>
    <w:p w14:paraId="7FF9FADF">
      <w:pPr>
        <w:rPr>
          <w:rFonts w:hint="default"/>
        </w:rPr>
      </w:pPr>
    </w:p>
    <w:p w14:paraId="35DF63B7">
      <w:pPr>
        <w:rPr>
          <w:rFonts w:hint="default"/>
          <w:b/>
          <w:bCs/>
        </w:rPr>
      </w:pPr>
      <w:r>
        <w:rPr>
          <w:rFonts w:hint="default"/>
          <w:b/>
          <w:bCs/>
        </w:rPr>
        <w:t>Figure 10. Limiting Beliefs</w:t>
      </w:r>
    </w:p>
    <w:p w14:paraId="2C3BEFC1">
      <w:pPr>
        <w:rPr>
          <w:rFonts w:hint="default"/>
          <w:lang w:val="en-GB"/>
        </w:rPr>
      </w:pPr>
      <w:r>
        <w:rPr>
          <w:rFonts w:hint="default"/>
          <w:lang w:val="en-GB"/>
        </w:rPr>
        <w:drawing>
          <wp:inline distT="0" distB="0" distL="114300" distR="114300">
            <wp:extent cx="5941695" cy="2306955"/>
            <wp:effectExtent l="0" t="0" r="1905" b="4445"/>
            <wp:docPr id="4" name="Picture 4" descr="photo_31_2026-07-30_23-0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photo_31_2026-07-30_23-02-15"/>
                    <pic:cNvPicPr>
                      <a:picLocks noChangeAspect="1"/>
                    </pic:cNvPicPr>
                  </pic:nvPicPr>
                  <pic:blipFill>
                    <a:blip r:embed="rId15"/>
                    <a:stretch>
                      <a:fillRect/>
                    </a:stretch>
                  </pic:blipFill>
                  <pic:spPr>
                    <a:xfrm>
                      <a:off x="0" y="0"/>
                      <a:ext cx="5941695" cy="2306955"/>
                    </a:xfrm>
                    <a:prstGeom prst="rect">
                      <a:avLst/>
                    </a:prstGeom>
                  </pic:spPr>
                </pic:pic>
              </a:graphicData>
            </a:graphic>
          </wp:inline>
        </w:drawing>
      </w:r>
    </w:p>
    <w:p w14:paraId="61892650">
      <w:pPr>
        <w:rPr>
          <w:rFonts w:hint="default"/>
        </w:rPr>
      </w:pPr>
      <w:r>
        <w:rPr>
          <w:rFonts w:hint="default"/>
        </w:rPr>
        <w:t>This activity demonstrates my reflection on how negative beliefs can affect confidence and career development, and how recognising these beliefs is the first step towards personal growth.</w:t>
      </w:r>
    </w:p>
    <w:p w14:paraId="5225BE57">
      <w:pPr>
        <w:rPr>
          <w:rFonts w:hint="default"/>
        </w:rPr>
      </w:pPr>
    </w:p>
    <w:p w14:paraId="2F6E394A">
      <w:pPr>
        <w:rPr>
          <w:rFonts w:hint="default"/>
          <w:b/>
          <w:bCs/>
        </w:rPr>
      </w:pPr>
      <w:r>
        <w:rPr>
          <w:rFonts w:hint="default"/>
          <w:b/>
          <w:bCs/>
        </w:rPr>
        <w:t>Figure 11. Grit</w:t>
      </w:r>
    </w:p>
    <w:p w14:paraId="7DA8663C">
      <w:pPr>
        <w:rPr>
          <w:rFonts w:hint="default"/>
          <w:lang w:val="en-GB"/>
        </w:rPr>
      </w:pPr>
      <w:r>
        <w:rPr>
          <w:rFonts w:hint="default"/>
          <w:lang w:val="en-GB"/>
        </w:rPr>
        <w:drawing>
          <wp:inline distT="0" distB="0" distL="114300" distR="114300">
            <wp:extent cx="5941695" cy="2381250"/>
            <wp:effectExtent l="0" t="0" r="1905" b="6350"/>
            <wp:docPr id="2" name="Picture 2" descr="photo_33_2026-07-30_23-0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hoto_33_2026-07-30_23-02-15"/>
                    <pic:cNvPicPr>
                      <a:picLocks noChangeAspect="1"/>
                    </pic:cNvPicPr>
                  </pic:nvPicPr>
                  <pic:blipFill>
                    <a:blip r:embed="rId16"/>
                    <a:stretch>
                      <a:fillRect/>
                    </a:stretch>
                  </pic:blipFill>
                  <pic:spPr>
                    <a:xfrm>
                      <a:off x="0" y="0"/>
                      <a:ext cx="5941695" cy="2381250"/>
                    </a:xfrm>
                    <a:prstGeom prst="rect">
                      <a:avLst/>
                    </a:prstGeom>
                  </pic:spPr>
                </pic:pic>
              </a:graphicData>
            </a:graphic>
          </wp:inline>
        </w:drawing>
      </w:r>
    </w:p>
    <w:p w14:paraId="65DD35C4">
      <w:pPr>
        <w:rPr>
          <w:rFonts w:hint="default"/>
        </w:rPr>
      </w:pPr>
      <w:r>
        <w:rPr>
          <w:rFonts w:hint="default"/>
        </w:rPr>
        <w:t>This activity shows my understanding of perseverance and why maintaining motivation is important for achieving long-term professional goals.</w:t>
      </w:r>
    </w:p>
    <w:p w14:paraId="71ECF7EC">
      <w:pPr>
        <w:rPr>
          <w:rFonts w:hint="default"/>
        </w:rPr>
      </w:pPr>
    </w:p>
    <w:p w14:paraId="2B0A1093">
      <w:pPr>
        <w:rPr>
          <w:rFonts w:hint="default"/>
          <w:b/>
          <w:bCs/>
        </w:rPr>
      </w:pPr>
      <w:r>
        <w:rPr>
          <w:rFonts w:hint="default"/>
          <w:b/>
          <w:bCs/>
        </w:rPr>
        <w:t>Figure 12. Sources of Resilience</w:t>
      </w:r>
    </w:p>
    <w:p w14:paraId="6D775A58">
      <w:pPr>
        <w:rPr>
          <w:rFonts w:hint="default"/>
          <w:lang w:val="en-GB"/>
        </w:rPr>
      </w:pPr>
      <w:r>
        <w:rPr>
          <w:rFonts w:hint="default"/>
          <w:lang w:val="en-GB"/>
        </w:rPr>
        <w:drawing>
          <wp:inline distT="0" distB="0" distL="114300" distR="114300">
            <wp:extent cx="5941695" cy="2260600"/>
            <wp:effectExtent l="0" t="0" r="1905" b="0"/>
            <wp:docPr id="1" name="Picture 1" descr="photo_35_2026-07-30_23-0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hoto_35_2026-07-30_23-02-15"/>
                    <pic:cNvPicPr>
                      <a:picLocks noChangeAspect="1"/>
                    </pic:cNvPicPr>
                  </pic:nvPicPr>
                  <pic:blipFill>
                    <a:blip r:embed="rId17"/>
                    <a:stretch>
                      <a:fillRect/>
                    </a:stretch>
                  </pic:blipFill>
                  <pic:spPr>
                    <a:xfrm>
                      <a:off x="0" y="0"/>
                      <a:ext cx="5941695" cy="2260600"/>
                    </a:xfrm>
                    <a:prstGeom prst="rect">
                      <a:avLst/>
                    </a:prstGeom>
                  </pic:spPr>
                </pic:pic>
              </a:graphicData>
            </a:graphic>
          </wp:inline>
        </w:drawing>
      </w:r>
    </w:p>
    <w:p w14:paraId="308997B8">
      <w:pPr>
        <w:rPr>
          <w:rFonts w:hint="default"/>
        </w:rPr>
      </w:pPr>
      <w:r>
        <w:rPr>
          <w:rFonts w:hint="default"/>
        </w:rPr>
        <w:t>This activity reflects my understanding of the factors that strengthen resilience and support wellbeing in both personal life and professional practice.</w:t>
      </w:r>
    </w:p>
    <w:p w14:paraId="4FE312C8">
      <w:pPr>
        <w:rPr>
          <w:rFonts w:hint="default"/>
        </w:rPr>
      </w:pPr>
    </w:p>
    <w:p w14:paraId="35B5B4AB">
      <w:pPr>
        <w:rPr>
          <w:rFonts w:hint="default"/>
          <w:b/>
          <w:bCs/>
          <w:sz w:val="28"/>
          <w:szCs w:val="28"/>
        </w:rPr>
      </w:pPr>
      <w:r>
        <w:rPr>
          <w:rFonts w:hint="default"/>
          <w:b/>
          <w:bCs/>
          <w:sz w:val="28"/>
          <w:szCs w:val="28"/>
        </w:rPr>
        <w:t>Conclusion</w:t>
      </w:r>
    </w:p>
    <w:p w14:paraId="6EB92C36">
      <w:pPr>
        <w:rPr>
          <w:rFonts w:hint="default"/>
        </w:rPr>
      </w:pPr>
      <w:r>
        <w:rPr>
          <w:rFonts w:hint="default"/>
        </w:rPr>
        <w:t>This portfolio has allowed me to reflect on the knowledge and skills I developed throughout the Changemakers: Building Your Brand for Sustainable Employment module. Each unit contributed to my understanding of different aspects of professional development that are important for a future career in health and social care. I developed greater self-awareness, recognised the importance of personal branding and emotional intelligence, improved my understanding of networking and cultural competence, and learned how to identify career opportunities through effective planning and continuous professional development. I also reflected on the importance of resilience, wellbeing and maintaining a healthy work-life balance.</w:t>
      </w:r>
    </w:p>
    <w:p w14:paraId="4A21F011">
      <w:pPr>
        <w:rPr>
          <w:rFonts w:hint="default"/>
        </w:rPr>
      </w:pPr>
      <w:r>
        <w:rPr>
          <w:rFonts w:hint="default"/>
        </w:rPr>
        <w:t>Completing the lectures, online activities and forum discussions encouraged me to think more critically about my own professional development and the skills I will need as a future Health and Wellbeing Coach. I now understand that providing high-quality, person-centred care requires not only professional knowledge but also effective communication, cultural awareness, adaptability and reflective practice.</w:t>
      </w:r>
    </w:p>
    <w:p w14:paraId="546A47A5">
      <w:pPr>
        <w:rPr>
          <w:rFonts w:hint="default"/>
        </w:rPr>
      </w:pPr>
      <w:r>
        <w:rPr>
          <w:rFonts w:hint="default"/>
        </w:rPr>
        <w:t>Overall, this module has increased my confidence and prepared me for future employment by helping me develop the attitudes, knowledge and professional behaviours needed to build a sustainable and rewarding career in health and social care.</w:t>
      </w:r>
    </w:p>
    <w:p w14:paraId="5433CE27">
      <w:pPr>
        <w:rPr>
          <w:rFonts w:hint="default"/>
        </w:rPr>
      </w:pPr>
    </w:p>
    <w:p w14:paraId="58C9BDBF">
      <w:pPr>
        <w:rPr>
          <w:rFonts w:hint="default"/>
        </w:rPr>
      </w:pPr>
      <w:bookmarkStart w:id="0" w:name="_GoBack"/>
      <w:bookmarkEnd w:id="0"/>
    </w:p>
    <w:p w14:paraId="7DA0C271">
      <w:pPr>
        <w:rPr>
          <w:rFonts w:hint="default"/>
          <w:b/>
          <w:bCs/>
          <w:sz w:val="28"/>
          <w:szCs w:val="28"/>
        </w:rPr>
      </w:pPr>
      <w:r>
        <w:rPr>
          <w:rFonts w:hint="default"/>
          <w:b/>
          <w:bCs/>
          <w:sz w:val="28"/>
          <w:szCs w:val="28"/>
        </w:rPr>
        <w:t>References</w:t>
      </w:r>
    </w:p>
    <w:p w14:paraId="573F8BC5">
      <w:pPr>
        <w:rPr>
          <w:rFonts w:hint="default"/>
        </w:rPr>
      </w:pPr>
      <w:r>
        <w:rPr>
          <w:rFonts w:hint="default"/>
        </w:rPr>
        <w:t>Capela, C. (2021) Changemakers: Building Your Brand for Sustainable Employment. Module learning materials. University of Wales Trinity Saint David.</w:t>
      </w:r>
    </w:p>
    <w:p w14:paraId="3C9B0B5D">
      <w:pPr>
        <w:rPr>
          <w:rFonts w:hint="default"/>
        </w:rPr>
      </w:pPr>
      <w:r>
        <w:rPr>
          <w:rFonts w:hint="default"/>
        </w:rPr>
        <w:t>Chartered Institute of Personnel and Development (CIPD) (2024) Employability factsheet. Available at: https://www.cipd.org/uk/knowledge/factsheets/employability-factsheet/ (Accessed: 31 July 2026).</w:t>
      </w:r>
    </w:p>
    <w:p w14:paraId="2E485124">
      <w:pPr>
        <w:rPr>
          <w:rFonts w:hint="default"/>
        </w:rPr>
      </w:pPr>
      <w:r>
        <w:rPr>
          <w:rFonts w:hint="default"/>
        </w:rPr>
        <w:t>Doran, G.T. (1981) ‘There’s a S.M.A.R.T. way to write management’s goals and objectives’, Management Review, 70(11), pp. 35–36.</w:t>
      </w:r>
    </w:p>
    <w:p w14:paraId="18216D4B">
      <w:pPr>
        <w:rPr>
          <w:rFonts w:hint="default"/>
        </w:rPr>
      </w:pPr>
      <w:r>
        <w:rPr>
          <w:rFonts w:hint="default"/>
        </w:rPr>
        <w:t>Duckworth, A. (2016) Grit: The Power of Passion and Perseverance. London: Vermilion.</w:t>
      </w:r>
    </w:p>
    <w:p w14:paraId="41E50C6C">
      <w:pPr>
        <w:rPr>
          <w:rFonts w:hint="default"/>
        </w:rPr>
      </w:pPr>
      <w:r>
        <w:rPr>
          <w:rFonts w:hint="default"/>
        </w:rPr>
        <w:t>Goleman, D. (1998) Working with Emotional Intelligence. London: Bloomsbury Publishing.</w:t>
      </w:r>
    </w:p>
    <w:p w14:paraId="7334DA21">
      <w:pPr>
        <w:rPr>
          <w:rFonts w:hint="default"/>
        </w:rPr>
      </w:pPr>
      <w:r>
        <w:rPr>
          <w:rFonts w:hint="default"/>
        </w:rPr>
        <w:t>Health and Care Professions Council (HCPC) (2024) Standards of conduct, performance and ethics. Available at: https://www.hcpc-uk.org/standards/standards-of-conduct-performance-and-ethics/ (Accessed: 31 July 2026).</w:t>
      </w:r>
    </w:p>
    <w:p w14:paraId="26CC7509">
      <w:pPr>
        <w:rPr>
          <w:rFonts w:hint="default"/>
        </w:rPr>
      </w:pPr>
      <w:r>
        <w:rPr>
          <w:rFonts w:hint="default"/>
        </w:rPr>
        <w:t>Health Education England (2022) The NHS Long Term Workforce Plan: Professional Development. Available at: https://www.hee.nhs.uk/ (Accessed: 31 July 2026).</w:t>
      </w:r>
    </w:p>
    <w:p w14:paraId="1A50D605">
      <w:pPr>
        <w:rPr>
          <w:rFonts w:hint="default"/>
        </w:rPr>
      </w:pPr>
      <w:r>
        <w:rPr>
          <w:rFonts w:hint="default"/>
        </w:rPr>
        <w:t>Hofstede, G. (2001) Culture's Consequences: Comparing Values, Behaviors, Institutions and Organizations Across Nations. 2nd edn. Thousand Oaks: Sage Publications.</w:t>
      </w:r>
    </w:p>
    <w:p w14:paraId="3AFB789A">
      <w:pPr>
        <w:rPr>
          <w:rFonts w:hint="default"/>
        </w:rPr>
      </w:pPr>
      <w:r>
        <w:rPr>
          <w:rFonts w:hint="default"/>
        </w:rPr>
        <w:t>Luft, J. and Ingham, H. (1955) ‘The Johari Window: A graphic model of interpersonal awareness’, Proceedings of the Western Training Laboratory in Group Development. Los Angeles: UCLA.</w:t>
      </w:r>
    </w:p>
    <w:p w14:paraId="39C97906">
      <w:pPr>
        <w:rPr>
          <w:rFonts w:hint="default"/>
        </w:rPr>
      </w:pPr>
      <w:r>
        <w:rPr>
          <w:rFonts w:hint="default"/>
        </w:rPr>
        <w:t>NHS England (2024) Working in multidisciplinary teams. Available at: https://www.england.nhs.uk/ (Accessed: 31 July 2026).</w:t>
      </w:r>
    </w:p>
    <w:p w14:paraId="75A4C500">
      <w:r>
        <w:rPr>
          <w:rFonts w:hint="default"/>
        </w:rPr>
        <w:t>Seligman, M.E.P. (2011) Flourish: A Visionary New Understanding of Happiness and Well-being. New York: Free Press.</w:t>
      </w:r>
    </w:p>
    <w:sectPr>
      <w:footerReference r:id="rId5" w:type="default"/>
      <w:pgSz w:w="12240" w:h="15840"/>
      <w:pgMar w:top="1152" w:right="1440" w:bottom="1152"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auto"/>
    <w:pitch w:val="default"/>
    <w:sig w:usb0="E00006FF" w:usb1="420024FF" w:usb2="02000000" w:usb3="00000000" w:csb0="2000019F" w:csb1="00000000"/>
  </w:font>
  <w:font w:name="ＭＳ 明朝">
    <w:altName w:val="Yu Gothic"/>
    <w:panose1 w:val="00000000000000000000"/>
    <w:charset w:val="80"/>
    <w:family w:val="roman"/>
    <w:pitch w:val="default"/>
    <w:sig w:usb0="00000000" w:usb1="00000000" w:usb2="00000010" w:usb3="00000000" w:csb0="00020000" w:csb1="00000000"/>
  </w:font>
  <w:font w:name="Yu Gothic">
    <w:panose1 w:val="020B0400000000000000"/>
    <w:charset w:val="80"/>
    <w:family w:val="auto"/>
    <w:pitch w:val="default"/>
    <w:sig w:usb0="E00002FF" w:usb1="2AC7FDFF" w:usb2="00000016" w:usb3="00000000" w:csb0="2002009F" w:csb1="00000000"/>
  </w:font>
  <w:font w:name="ＭＳ 明朝">
    <w:altName w:val="SimSun"/>
    <w:panose1 w:val="00000000000000000000"/>
    <w:charset w:val="86"/>
    <w:family w:val="auto"/>
    <w:pitch w:val="default"/>
    <w:sig w:usb0="00000000" w:usb1="00000000" w:usb2="00000000" w:usb3="00000000" w:csb0="00000000" w:csb1="00000000"/>
  </w:font>
  <w:font w:name="MS Gothic">
    <w:panose1 w:val="020B0609070205080204"/>
    <w:charset w:val="80"/>
    <w:family w:val="auto"/>
    <w:pitch w:val="default"/>
    <w:sig w:usb0="E00002FF" w:usb1="6AC7FDFB" w:usb2="08000012" w:usb3="00000000" w:csb0="4002009F" w:csb1="DFD70000"/>
  </w:font>
  <w:font w:name="Symbol">
    <w:panose1 w:val="05050102010706020507"/>
    <w:charset w:val="02"/>
    <w:family w:val="auto"/>
    <w:pitch w:val="default"/>
    <w:sig w:usb0="00000000" w:usb1="00000000" w:usb2="00000000" w:usb3="00000000" w:csb0="80000000" w:csb1="00000000"/>
  </w:font>
  <w:font w:name="Courier">
    <w:altName w:val="Courier New"/>
    <w:panose1 w:val="02000500000000000000"/>
    <w:charset w:val="00"/>
    <w:family w:val="auto"/>
    <w:pitch w:val="default"/>
    <w:sig w:usb0="00000000" w:usb1="00000000" w:usb2="00000000" w:usb3="00000000" w:csb0="00000001" w:csb1="00000000"/>
  </w:font>
  <w:font w:name="ＭＳ 明朝">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FFC3279">
    <w:pPr>
      <w:pStyle w:val="18"/>
      <w:jc w:val="center"/>
    </w:pPr>
    <w:r>
      <w:fldChar w:fldCharType="begin"/>
    </w:r>
    <w:r>
      <w:instrText xml:space="preserve"> PAGE </w:instrTex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31"/>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30"/>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25"/>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4"/>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29"/>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23"/>
      <w:lvlText w:val=""/>
      <w:lvlJc w:val="left"/>
      <w:pPr>
        <w:tabs>
          <w:tab w:val="left" w:pos="360"/>
        </w:tabs>
        <w:ind w:left="360" w:hanging="360"/>
      </w:pPr>
      <w:rPr>
        <w:rFonts w:hint="default" w:ascii="Symbol" w:hAnsi="Symbol"/>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425C161A"/>
    <w:rsid w:val="5260473B"/>
    <w:rsid w:val="6AF26616"/>
    <w:rsid w:val="756957B0"/>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doNotIncludeSubdocsInStats/>
  <w14:defaultImageDpi w14:val="300"/>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qFormat="1" w:uiPriority="99" w:semiHidden="0" w:name="macro"/>
    <w:lsdException w:uiPriority="99" w:name="toa heading"/>
    <w:lsdException w:qFormat="1" w:uiPriority="99" w:semiHidden="0" w:name="List"/>
    <w:lsdException w:qFormat="1" w:uiPriority="99" w:semiHidden="0" w:name="List Bullet"/>
    <w:lsdException w:qFormat="1" w:uiPriority="99" w:semiHidden="0" w:name="List Number"/>
    <w:lsdException w:qFormat="1" w:uiPriority="99" w:semiHidden="0" w:name="List 2"/>
    <w:lsdException w:qFormat="1" w:uiPriority="99" w:semiHidden="0" w:name="List 3"/>
    <w:lsdException w:uiPriority="99" w:name="List 4"/>
    <w:lsdException w:uiPriority="99" w:name="List 5"/>
    <w:lsdException w:qFormat="1" w:uiPriority="99" w:semiHidden="0" w:name="List Bullet 2"/>
    <w:lsdException w:qFormat="1" w:uiPriority="99" w:semiHidden="0" w:name="List Bullet 3"/>
    <w:lsdException w:uiPriority="99" w:name="List Bullet 4"/>
    <w:lsdException w:uiPriority="99" w:name="List Bullet 5"/>
    <w:lsdException w:qFormat="1" w:uiPriority="99" w:semiHidden="0" w:name="List Number 2"/>
    <w:lsdException w:qFormat="1"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qFormat="1" w:uiPriority="99" w:semiHidden="0" w:name="List Continue"/>
    <w:lsdException w:qFormat="1" w:uiPriority="99" w:semiHidden="0" w:name="List Continue 2"/>
    <w:lsdException w:qFormat="1"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qFormat="1"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unhideWhenUsed="0" w:uiPriority="67" w:semiHidden="0" w:name="Medium Grid 1"/>
    <w:lsdException w:qFormat="1" w:unhideWhenUsed="0" w:uiPriority="68" w:semiHidden="0" w:name="Medium Grid 2"/>
    <w:lsdException w:qFormat="1" w:unhideWhenUsed="0" w:uiPriority="69" w:semiHidden="0" w:name="Medium Grid 3"/>
    <w:lsdException w:unhideWhenUsed="0" w:uiPriority="70" w:semiHidden="0" w:name="Dark List"/>
    <w:lsdException w:unhideWhenUsed="0" w:uiPriority="71" w:semiHidden="0" w:name="Colorful Shading"/>
    <w:lsdException w:qFormat="1" w:unhideWhenUsed="0" w:uiPriority="72" w:semiHidden="0" w:name="Colorful List"/>
    <w:lsdException w:qFormat="1"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qFormat="1" w:unhideWhenUsed="0" w:uiPriority="66" w:semiHidden="0" w:name="Medium List 2 Accent 1"/>
    <w:lsdException w:unhideWhenUsed="0" w:uiPriority="67" w:semiHidden="0" w:name="Medium Grid 1 Accent 1"/>
    <w:lsdException w:qFormat="1"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unhideWhenUsed="0" w:uiPriority="67" w:semiHidden="0" w:name="Medium Grid 1 Accent 2"/>
    <w:lsdException w:qFormat="1"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qFormat="1" w:unhideWhenUsed="0" w:uiPriority="72" w:semiHidden="0" w:name="Colorful List Accent 2"/>
    <w:lsdException w:unhideWhenUsed="0" w:uiPriority="73" w:semiHidden="0" w:name="Colorful Grid Accent 2"/>
    <w:lsdException w:qFormat="1" w:unhideWhenUsed="0" w:uiPriority="60" w:semiHidden="0" w:name="Light Shading Accent 3"/>
    <w:lsdException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unhideWhenUsed="0" w:uiPriority="67" w:semiHidden="0" w:name="Medium Grid 1 Accent 5"/>
    <w:lsdException w:qFormat="1"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after="120" w:line="360" w:lineRule="auto"/>
      <w:jc w:val="both"/>
    </w:pPr>
    <w:rPr>
      <w:rFonts w:ascii="Arial" w:hAnsi="Arial" w:eastAsia="Arial" w:cstheme="minorBidi"/>
      <w:sz w:val="22"/>
      <w:szCs w:val="22"/>
      <w:lang w:val="en-US" w:eastAsia="en-US" w:bidi="ar-SA"/>
    </w:rPr>
  </w:style>
  <w:style w:type="paragraph" w:styleId="2">
    <w:name w:val="heading 1"/>
    <w:basedOn w:val="1"/>
    <w:next w:val="1"/>
    <w:link w:val="138"/>
    <w:qFormat/>
    <w:uiPriority w:val="9"/>
    <w:pPr>
      <w:keepNext/>
      <w:keepLines/>
      <w:spacing w:before="240" w:after="12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39"/>
    <w:unhideWhenUsed/>
    <w:qFormat/>
    <w:uiPriority w:val="9"/>
    <w:pPr>
      <w:keepNext/>
      <w:keepLines/>
      <w:spacing w:before="240" w:after="120"/>
      <w:outlineLvl w:val="1"/>
    </w:pPr>
    <w:rPr>
      <w:rFonts w:asciiTheme="majorHAnsi" w:hAnsiTheme="majorHAnsi" w:eastAsiaTheme="majorEastAsia" w:cstheme="majorBidi"/>
      <w:b/>
      <w:bCs/>
      <w:color w:val="4F81BD" w:themeColor="accent1"/>
      <w:sz w:val="24"/>
      <w:szCs w:val="26"/>
      <w14:textFill>
        <w14:solidFill>
          <w14:schemeClr w14:val="accent1"/>
        </w14:solidFill>
      </w14:textFill>
    </w:rPr>
  </w:style>
  <w:style w:type="paragraph" w:styleId="4">
    <w:name w:val="heading 3"/>
    <w:basedOn w:val="1"/>
    <w:next w:val="1"/>
    <w:link w:val="140"/>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5">
    <w:name w:val="heading 4"/>
    <w:basedOn w:val="1"/>
    <w:next w:val="1"/>
    <w:link w:val="150"/>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151"/>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152"/>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153"/>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154"/>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0">
    <w:name w:val="heading 9"/>
    <w:basedOn w:val="1"/>
    <w:next w:val="1"/>
    <w:link w:val="155"/>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ody Text"/>
    <w:basedOn w:val="1"/>
    <w:link w:val="144"/>
    <w:unhideWhenUsed/>
    <w:qFormat/>
    <w:uiPriority w:val="99"/>
    <w:pPr>
      <w:spacing w:after="120"/>
    </w:pPr>
  </w:style>
  <w:style w:type="paragraph" w:styleId="14">
    <w:name w:val="Body Text 2"/>
    <w:basedOn w:val="1"/>
    <w:link w:val="145"/>
    <w:unhideWhenUsed/>
    <w:qFormat/>
    <w:uiPriority w:val="99"/>
    <w:pPr>
      <w:spacing w:after="120" w:line="480" w:lineRule="auto"/>
    </w:pPr>
  </w:style>
  <w:style w:type="paragraph" w:styleId="15">
    <w:name w:val="Body Text 3"/>
    <w:basedOn w:val="1"/>
    <w:link w:val="146"/>
    <w:unhideWhenUsed/>
    <w:qFormat/>
    <w:uiPriority w:val="99"/>
    <w:pPr>
      <w:spacing w:after="120"/>
    </w:pPr>
    <w:rPr>
      <w:sz w:val="16"/>
      <w:szCs w:val="16"/>
    </w:rPr>
  </w:style>
  <w:style w:type="paragraph" w:styleId="16">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character" w:styleId="17">
    <w:name w:val="Emphasis"/>
    <w:basedOn w:val="11"/>
    <w:qFormat/>
    <w:uiPriority w:val="20"/>
    <w:rPr>
      <w:i/>
      <w:iCs/>
    </w:rPr>
  </w:style>
  <w:style w:type="paragraph" w:styleId="18">
    <w:name w:val="footer"/>
    <w:basedOn w:val="1"/>
    <w:link w:val="136"/>
    <w:unhideWhenUsed/>
    <w:qFormat/>
    <w:uiPriority w:val="99"/>
    <w:pPr>
      <w:tabs>
        <w:tab w:val="center" w:pos="4680"/>
        <w:tab w:val="right" w:pos="9360"/>
      </w:tabs>
      <w:spacing w:after="0" w:line="240" w:lineRule="auto"/>
    </w:pPr>
  </w:style>
  <w:style w:type="paragraph" w:styleId="19">
    <w:name w:val="header"/>
    <w:basedOn w:val="1"/>
    <w:link w:val="135"/>
    <w:unhideWhenUsed/>
    <w:qFormat/>
    <w:uiPriority w:val="99"/>
    <w:pPr>
      <w:tabs>
        <w:tab w:val="center" w:pos="4680"/>
        <w:tab w:val="right" w:pos="9360"/>
      </w:tabs>
      <w:spacing w:after="0" w:line="240" w:lineRule="auto"/>
    </w:pPr>
  </w:style>
  <w:style w:type="paragraph" w:styleId="20">
    <w:name w:val="List"/>
    <w:basedOn w:val="1"/>
    <w:unhideWhenUsed/>
    <w:qFormat/>
    <w:uiPriority w:val="99"/>
    <w:pPr>
      <w:ind w:left="360" w:hanging="360"/>
      <w:contextualSpacing/>
    </w:pPr>
  </w:style>
  <w:style w:type="paragraph" w:styleId="21">
    <w:name w:val="List 2"/>
    <w:basedOn w:val="1"/>
    <w:unhideWhenUsed/>
    <w:qFormat/>
    <w:uiPriority w:val="99"/>
    <w:pPr>
      <w:ind w:left="720" w:hanging="360"/>
      <w:contextualSpacing/>
    </w:pPr>
  </w:style>
  <w:style w:type="paragraph" w:styleId="22">
    <w:name w:val="List 3"/>
    <w:basedOn w:val="1"/>
    <w:unhideWhenUsed/>
    <w:qFormat/>
    <w:uiPriority w:val="99"/>
    <w:pPr>
      <w:ind w:left="1080" w:hanging="360"/>
      <w:contextualSpacing/>
    </w:pPr>
  </w:style>
  <w:style w:type="paragraph" w:styleId="23">
    <w:name w:val="List Bullet"/>
    <w:basedOn w:val="1"/>
    <w:unhideWhenUsed/>
    <w:qFormat/>
    <w:uiPriority w:val="99"/>
    <w:pPr>
      <w:numPr>
        <w:ilvl w:val="0"/>
        <w:numId w:val="1"/>
      </w:numPr>
      <w:contextualSpacing/>
    </w:pPr>
  </w:style>
  <w:style w:type="paragraph" w:styleId="24">
    <w:name w:val="List Bullet 2"/>
    <w:basedOn w:val="1"/>
    <w:unhideWhenUsed/>
    <w:qFormat/>
    <w:uiPriority w:val="99"/>
    <w:pPr>
      <w:numPr>
        <w:ilvl w:val="0"/>
        <w:numId w:val="2"/>
      </w:numPr>
      <w:contextualSpacing/>
    </w:pPr>
  </w:style>
  <w:style w:type="paragraph" w:styleId="25">
    <w:name w:val="List Bullet 3"/>
    <w:basedOn w:val="1"/>
    <w:unhideWhenUsed/>
    <w:qFormat/>
    <w:uiPriority w:val="99"/>
    <w:pPr>
      <w:numPr>
        <w:ilvl w:val="0"/>
        <w:numId w:val="3"/>
      </w:numPr>
      <w:contextualSpacing/>
    </w:pPr>
  </w:style>
  <w:style w:type="paragraph" w:styleId="26">
    <w:name w:val="List Continue"/>
    <w:basedOn w:val="1"/>
    <w:unhideWhenUsed/>
    <w:qFormat/>
    <w:uiPriority w:val="99"/>
    <w:pPr>
      <w:spacing w:after="120"/>
      <w:ind w:left="360"/>
      <w:contextualSpacing/>
    </w:pPr>
  </w:style>
  <w:style w:type="paragraph" w:styleId="27">
    <w:name w:val="List Continue 2"/>
    <w:basedOn w:val="1"/>
    <w:unhideWhenUsed/>
    <w:qFormat/>
    <w:uiPriority w:val="99"/>
    <w:pPr>
      <w:spacing w:after="120"/>
      <w:ind w:left="720"/>
      <w:contextualSpacing/>
    </w:pPr>
  </w:style>
  <w:style w:type="paragraph" w:styleId="28">
    <w:name w:val="List Continue 3"/>
    <w:basedOn w:val="1"/>
    <w:unhideWhenUsed/>
    <w:qFormat/>
    <w:uiPriority w:val="99"/>
    <w:pPr>
      <w:spacing w:after="120"/>
      <w:ind w:left="1080"/>
      <w:contextualSpacing/>
    </w:pPr>
  </w:style>
  <w:style w:type="paragraph" w:styleId="29">
    <w:name w:val="List Number"/>
    <w:basedOn w:val="1"/>
    <w:unhideWhenUsed/>
    <w:qFormat/>
    <w:uiPriority w:val="99"/>
    <w:pPr>
      <w:numPr>
        <w:ilvl w:val="0"/>
        <w:numId w:val="4"/>
      </w:numPr>
      <w:contextualSpacing/>
    </w:pPr>
  </w:style>
  <w:style w:type="paragraph" w:styleId="30">
    <w:name w:val="List Number 2"/>
    <w:basedOn w:val="1"/>
    <w:unhideWhenUsed/>
    <w:qFormat/>
    <w:uiPriority w:val="99"/>
    <w:pPr>
      <w:numPr>
        <w:ilvl w:val="0"/>
        <w:numId w:val="5"/>
      </w:numPr>
      <w:contextualSpacing/>
    </w:pPr>
  </w:style>
  <w:style w:type="paragraph" w:styleId="31">
    <w:name w:val="List Number 3"/>
    <w:basedOn w:val="1"/>
    <w:unhideWhenUsed/>
    <w:qFormat/>
    <w:uiPriority w:val="99"/>
    <w:pPr>
      <w:numPr>
        <w:ilvl w:val="0"/>
        <w:numId w:val="6"/>
      </w:numPr>
      <w:contextualSpacing/>
    </w:pPr>
  </w:style>
  <w:style w:type="paragraph" w:styleId="32">
    <w:name w:val="macro"/>
    <w:link w:val="147"/>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character" w:styleId="33">
    <w:name w:val="Strong"/>
    <w:basedOn w:val="11"/>
    <w:qFormat/>
    <w:uiPriority w:val="22"/>
    <w:rPr>
      <w:b/>
      <w:bCs/>
    </w:rPr>
  </w:style>
  <w:style w:type="paragraph" w:styleId="34">
    <w:name w:val="Subtitle"/>
    <w:basedOn w:val="1"/>
    <w:next w:val="1"/>
    <w:link w:val="142"/>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table" w:styleId="35">
    <w:name w:val="Table Grid"/>
    <w:basedOn w:val="12"/>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36">
    <w:name w:val="Title"/>
    <w:basedOn w:val="1"/>
    <w:next w:val="1"/>
    <w:link w:val="141"/>
    <w:qFormat/>
    <w:uiPriority w:val="10"/>
    <w:pPr>
      <w:pBdr>
        <w:bottom w:val="single" w:color="4F81BD" w:themeColor="accent1" w:sz="8" w:space="4"/>
      </w:pBdr>
      <w:spacing w:before="240" w:after="120" w:line="240" w:lineRule="auto"/>
      <w:contextualSpacing/>
    </w:pPr>
    <w:rPr>
      <w:rFonts w:asciiTheme="majorHAnsi" w:hAnsiTheme="majorHAnsi" w:eastAsiaTheme="majorEastAsia" w:cstheme="majorBidi"/>
      <w:b/>
      <w:color w:val="17375E" w:themeColor="text2" w:themeShade="BF"/>
      <w:spacing w:val="5"/>
      <w:kern w:val="28"/>
      <w:sz w:val="36"/>
      <w:szCs w:val="52"/>
    </w:rPr>
  </w:style>
  <w:style w:type="table" w:styleId="37">
    <w:name w:val="Light Shading"/>
    <w:basedOn w:val="12"/>
    <w:qFormat/>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8">
    <w:name w:val="Light Shading Accent 1"/>
    <w:basedOn w:val="12"/>
    <w:qFormat/>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9">
    <w:name w:val="Light Shading Accent 2"/>
    <w:basedOn w:val="12"/>
    <w:qFormat/>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0">
    <w:name w:val="Light Shading Accent 3"/>
    <w:basedOn w:val="12"/>
    <w:qFormat/>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1">
    <w:name w:val="Light Shading Accent 4"/>
    <w:basedOn w:val="12"/>
    <w:qFormat/>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2">
    <w:name w:val="Light Shading Accent 5"/>
    <w:basedOn w:val="12"/>
    <w:qFormat/>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3">
    <w:name w:val="Light Shading Accent 6"/>
    <w:basedOn w:val="12"/>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4">
    <w:name w:val="Light List"/>
    <w:basedOn w:val="12"/>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5">
    <w:name w:val="Light List Accent 1"/>
    <w:basedOn w:val="12"/>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6">
    <w:name w:val="Light List Accent 2"/>
    <w:basedOn w:val="12"/>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7">
    <w:name w:val="Light List Accent 3"/>
    <w:basedOn w:val="12"/>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8">
    <w:name w:val="Light List Accent 4"/>
    <w:basedOn w:val="12"/>
    <w:qFormat/>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9">
    <w:name w:val="Light List Accent 5"/>
    <w:basedOn w:val="12"/>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0">
    <w:name w:val="Light List Accent 6"/>
    <w:basedOn w:val="12"/>
    <w:qFormat/>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1">
    <w:name w:val="Light Grid"/>
    <w:basedOn w:val="12"/>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2">
    <w:name w:val="Light Grid Accent 1"/>
    <w:basedOn w:val="12"/>
    <w:qFormat/>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3">
    <w:name w:val="Light Grid Accent 2"/>
    <w:basedOn w:val="12"/>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4">
    <w:name w:val="Light Grid Accent 3"/>
    <w:basedOn w:val="12"/>
    <w:qFormat/>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5">
    <w:name w:val="Light Grid Accent 4"/>
    <w:basedOn w:val="12"/>
    <w:qFormat/>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6">
    <w:name w:val="Light Grid Accent 5"/>
    <w:basedOn w:val="12"/>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7">
    <w:name w:val="Light Grid Accent 6"/>
    <w:basedOn w:val="12"/>
    <w:qFormat/>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8">
    <w:name w:val="Medium Shading 1"/>
    <w:basedOn w:val="12"/>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9">
    <w:name w:val="Medium Shading 1 Accent 1"/>
    <w:basedOn w:val="12"/>
    <w:qFormat/>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0">
    <w:name w:val="Medium Shading 1 Accent 2"/>
    <w:basedOn w:val="12"/>
    <w:qFormat/>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1">
    <w:name w:val="Medium Shading 1 Accent 3"/>
    <w:basedOn w:val="12"/>
    <w:qFormat/>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2">
    <w:name w:val="Medium Shading 1 Accent 4"/>
    <w:basedOn w:val="12"/>
    <w:qFormat/>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3">
    <w:name w:val="Medium Shading 1 Accent 5"/>
    <w:basedOn w:val="12"/>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4">
    <w:name w:val="Medium Shading 1 Accent 6"/>
    <w:basedOn w:val="12"/>
    <w:qFormat/>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5">
    <w:name w:val="Medium Shading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1"/>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3"/>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4"/>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5"/>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6"/>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List 1"/>
    <w:basedOn w:val="12"/>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3">
    <w:name w:val="Medium List 1 Accent 1"/>
    <w:basedOn w:val="12"/>
    <w:qFormat/>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4">
    <w:name w:val="Medium List 1 Accent 2"/>
    <w:basedOn w:val="12"/>
    <w:qFormat/>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5">
    <w:name w:val="Medium List 1 Accent 3"/>
    <w:basedOn w:val="12"/>
    <w:qFormat/>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6">
    <w:name w:val="Medium List 1 Accent 4"/>
    <w:basedOn w:val="12"/>
    <w:qFormat/>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7">
    <w:name w:val="Medium List 1 Accent 5"/>
    <w:basedOn w:val="12"/>
    <w:qFormat/>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8">
    <w:name w:val="Medium List 1 Accent 6"/>
    <w:basedOn w:val="12"/>
    <w:qFormat/>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9">
    <w:name w:val="Medium Lis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1"/>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3"/>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4"/>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5"/>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6"/>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Grid 1"/>
    <w:basedOn w:val="12"/>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7">
    <w:name w:val="Medium Grid 1 Accent 1"/>
    <w:basedOn w:val="12"/>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8">
    <w:name w:val="Medium Grid 1 Accent 2"/>
    <w:basedOn w:val="12"/>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9">
    <w:name w:val="Medium Grid 1 Accent 3"/>
    <w:basedOn w:val="12"/>
    <w:qFormat/>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0">
    <w:name w:val="Medium Grid 1 Accent 4"/>
    <w:basedOn w:val="12"/>
    <w:qFormat/>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1">
    <w:name w:val="Medium Grid 1 Accent 5"/>
    <w:basedOn w:val="12"/>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2">
    <w:name w:val="Medium Grid 1 Accent 6"/>
    <w:basedOn w:val="12"/>
    <w:qFormat/>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3">
    <w:name w:val="Medium Grid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4">
    <w:name w:val="Medium Grid 2 Accent 1"/>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5">
    <w:name w:val="Medium Grid 2 Accent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6">
    <w:name w:val="Medium Grid 2 Accent 3"/>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7">
    <w:name w:val="Medium Grid 2 Accent 4"/>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8">
    <w:name w:val="Medium Grid 2 Accent 5"/>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9">
    <w:name w:val="Medium Grid 2 Accent 6"/>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0">
    <w:name w:val="Medium Grid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1">
    <w:name w:val="Medium Grid 3 Accent 1"/>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2">
    <w:name w:val="Medium Grid 3 Accent 2"/>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3">
    <w:name w:val="Medium Grid 3 Accent 3"/>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4">
    <w:name w:val="Medium Grid 3 Accent 4"/>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5">
    <w:name w:val="Medium Grid 3 Accent 5"/>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6">
    <w:name w:val="Medium Grid 3 Accent 6"/>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7">
    <w:name w:val="Dark List"/>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8">
    <w:name w:val="Dark List Accent 1"/>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9">
    <w:name w:val="Dark List Accent 2"/>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0">
    <w:name w:val="Dark List Accent 3"/>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1">
    <w:name w:val="Dark List Accent 4"/>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2">
    <w:name w:val="Dark List Accent 5"/>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3">
    <w:name w:val="Dark List Accent 6"/>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4">
    <w:name w:val="Colorful Shading"/>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5">
    <w:name w:val="Colorful Shading Accent 1"/>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2"/>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3"/>
    <w:basedOn w:val="12"/>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8">
    <w:name w:val="Colorful Shading Accent 4"/>
    <w:basedOn w:val="12"/>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5"/>
    <w:basedOn w:val="12"/>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6"/>
    <w:basedOn w:val="12"/>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1">
    <w:name w:val="Colorful List"/>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2">
    <w:name w:val="Colorful List Accent 1"/>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3">
    <w:name w:val="Colorful List Accent 2"/>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4">
    <w:name w:val="Colorful List Accent 3"/>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5">
    <w:name w:val="Colorful List Accent 4"/>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6">
    <w:name w:val="Colorful List Accent 5"/>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7">
    <w:name w:val="Colorful List Accent 6"/>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8">
    <w:name w:val="Colorful Grid"/>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9">
    <w:name w:val="Colorful Grid Accent 1"/>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0">
    <w:name w:val="Colorful Grid Accent 2"/>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Colorful Grid Accent 3"/>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2">
    <w:name w:val="Colorful Grid Accent 4"/>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3">
    <w:name w:val="Colorful Grid Accent 5"/>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4">
    <w:name w:val="Colorful Grid Accent 6"/>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135">
    <w:name w:val="Header Char"/>
    <w:basedOn w:val="11"/>
    <w:link w:val="19"/>
    <w:qFormat/>
    <w:uiPriority w:val="99"/>
  </w:style>
  <w:style w:type="character" w:customStyle="1" w:styleId="136">
    <w:name w:val="Footer Char"/>
    <w:basedOn w:val="11"/>
    <w:link w:val="18"/>
    <w:qFormat/>
    <w:uiPriority w:val="99"/>
  </w:style>
  <w:style w:type="paragraph" w:styleId="137">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8">
    <w:name w:val="Heading 1 Char"/>
    <w:basedOn w:val="11"/>
    <w:link w:val="2"/>
    <w:qFormat/>
    <w:uiPriority w:val="9"/>
    <w:rPr>
      <w:rFonts w:asciiTheme="majorHAnsi" w:hAnsiTheme="majorHAnsi" w:eastAsiaTheme="majorEastAsia" w:cstheme="majorBidi"/>
      <w:b/>
      <w:bCs/>
      <w:color w:val="376092" w:themeColor="accent1" w:themeShade="BF"/>
      <w:sz w:val="28"/>
      <w:szCs w:val="28"/>
    </w:rPr>
  </w:style>
  <w:style w:type="character" w:customStyle="1" w:styleId="139">
    <w:name w:val="Heading 2 Char"/>
    <w:basedOn w:val="11"/>
    <w:link w:val="3"/>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0">
    <w:name w:val="Heading 3 Char"/>
    <w:basedOn w:val="11"/>
    <w:link w:val="4"/>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1">
    <w:name w:val="Title Char"/>
    <w:basedOn w:val="11"/>
    <w:link w:val="36"/>
    <w:qFormat/>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2">
    <w:name w:val="Subtitle Char"/>
    <w:basedOn w:val="11"/>
    <w:link w:val="34"/>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3">
    <w:name w:val="List Paragraph"/>
    <w:basedOn w:val="1"/>
    <w:qFormat/>
    <w:uiPriority w:val="34"/>
    <w:pPr>
      <w:ind w:left="720"/>
      <w:contextualSpacing/>
    </w:pPr>
  </w:style>
  <w:style w:type="character" w:customStyle="1" w:styleId="144">
    <w:name w:val="Body Text Char"/>
    <w:basedOn w:val="11"/>
    <w:link w:val="13"/>
    <w:qFormat/>
    <w:uiPriority w:val="99"/>
  </w:style>
  <w:style w:type="character" w:customStyle="1" w:styleId="145">
    <w:name w:val="Body Text 2 Char"/>
    <w:basedOn w:val="11"/>
    <w:link w:val="14"/>
    <w:qFormat/>
    <w:uiPriority w:val="99"/>
  </w:style>
  <w:style w:type="character" w:customStyle="1" w:styleId="146">
    <w:name w:val="Body Text 3 Char"/>
    <w:basedOn w:val="11"/>
    <w:link w:val="15"/>
    <w:qFormat/>
    <w:uiPriority w:val="99"/>
    <w:rPr>
      <w:sz w:val="16"/>
      <w:szCs w:val="16"/>
    </w:rPr>
  </w:style>
  <w:style w:type="character" w:customStyle="1" w:styleId="147">
    <w:name w:val="Macro Text Char"/>
    <w:basedOn w:val="11"/>
    <w:link w:val="32"/>
    <w:qFormat/>
    <w:uiPriority w:val="99"/>
    <w:rPr>
      <w:rFonts w:ascii="Courier" w:hAnsi="Courier"/>
      <w:sz w:val="20"/>
      <w:szCs w:val="20"/>
    </w:rPr>
  </w:style>
  <w:style w:type="paragraph" w:styleId="148">
    <w:name w:val="Quote"/>
    <w:basedOn w:val="1"/>
    <w:next w:val="1"/>
    <w:link w:val="149"/>
    <w:qFormat/>
    <w:uiPriority w:val="29"/>
    <w:rPr>
      <w:i/>
      <w:iCs/>
      <w:color w:val="000000" w:themeColor="text1"/>
      <w14:textFill>
        <w14:solidFill>
          <w14:schemeClr w14:val="tx1"/>
        </w14:solidFill>
      </w14:textFill>
    </w:rPr>
  </w:style>
  <w:style w:type="character" w:customStyle="1" w:styleId="149">
    <w:name w:val="Quote Char"/>
    <w:basedOn w:val="11"/>
    <w:link w:val="148"/>
    <w:qFormat/>
    <w:uiPriority w:val="29"/>
    <w:rPr>
      <w:i/>
      <w:iCs/>
      <w:color w:val="000000" w:themeColor="text1"/>
      <w14:textFill>
        <w14:solidFill>
          <w14:schemeClr w14:val="tx1"/>
        </w14:solidFill>
      </w14:textFill>
    </w:rPr>
  </w:style>
  <w:style w:type="character" w:customStyle="1" w:styleId="150">
    <w:name w:val="Heading 4 Char"/>
    <w:basedOn w:val="11"/>
    <w:link w:val="5"/>
    <w:semiHidden/>
    <w:qFormat/>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1">
    <w:name w:val="Heading 5 Char"/>
    <w:basedOn w:val="11"/>
    <w:link w:val="6"/>
    <w:semiHidden/>
    <w:qFormat/>
    <w:uiPriority w:val="9"/>
    <w:rPr>
      <w:rFonts w:asciiTheme="majorHAnsi" w:hAnsiTheme="majorHAnsi" w:eastAsiaTheme="majorEastAsia" w:cstheme="majorBidi"/>
      <w:color w:val="254061" w:themeColor="accent1" w:themeShade="80"/>
    </w:rPr>
  </w:style>
  <w:style w:type="character" w:customStyle="1" w:styleId="152">
    <w:name w:val="Heading 6 Char"/>
    <w:basedOn w:val="11"/>
    <w:link w:val="7"/>
    <w:semiHidden/>
    <w:qFormat/>
    <w:uiPriority w:val="9"/>
    <w:rPr>
      <w:rFonts w:asciiTheme="majorHAnsi" w:hAnsiTheme="majorHAnsi" w:eastAsiaTheme="majorEastAsia" w:cstheme="majorBidi"/>
      <w:i/>
      <w:iCs/>
      <w:color w:val="254061" w:themeColor="accent1" w:themeShade="80"/>
    </w:rPr>
  </w:style>
  <w:style w:type="character" w:customStyle="1" w:styleId="153">
    <w:name w:val="Heading 7 Char"/>
    <w:basedOn w:val="11"/>
    <w:link w:val="8"/>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4">
    <w:name w:val="Heading 8 Char"/>
    <w:basedOn w:val="11"/>
    <w:link w:val="9"/>
    <w:semiHidden/>
    <w:qFormat/>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5">
    <w:name w:val="Heading 9 Char"/>
    <w:basedOn w:val="11"/>
    <w:link w:val="10"/>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6">
    <w:name w:val="Intense Quote"/>
    <w:basedOn w:val="1"/>
    <w:next w:val="1"/>
    <w:link w:val="157"/>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7">
    <w:name w:val="Intense Quote Char"/>
    <w:basedOn w:val="11"/>
    <w:link w:val="156"/>
    <w:qFormat/>
    <w:uiPriority w:val="30"/>
    <w:rPr>
      <w:b/>
      <w:bCs/>
      <w:i/>
      <w:iCs/>
      <w:color w:val="4F81BD" w:themeColor="accent1"/>
      <w14:textFill>
        <w14:solidFill>
          <w14:schemeClr w14:val="accent1"/>
        </w14:solidFill>
      </w14:textFill>
    </w:rPr>
  </w:style>
  <w:style w:type="character" w:customStyle="1" w:styleId="158">
    <w:name w:val="Subtle Emphasis"/>
    <w:basedOn w:val="11"/>
    <w:qFormat/>
    <w:uiPriority w:val="19"/>
    <w:rPr>
      <w:i/>
      <w:iCs/>
      <w:color w:val="808080" w:themeColor="text1" w:themeTint="80"/>
      <w14:textFill>
        <w14:solidFill>
          <w14:schemeClr w14:val="tx1">
            <w14:lumMod w14:val="50000"/>
            <w14:lumOff w14:val="50000"/>
          </w14:schemeClr>
        </w14:solidFill>
      </w14:textFill>
    </w:rPr>
  </w:style>
  <w:style w:type="character" w:customStyle="1" w:styleId="159">
    <w:name w:val="Intense Emphasis"/>
    <w:basedOn w:val="11"/>
    <w:qFormat/>
    <w:uiPriority w:val="21"/>
    <w:rPr>
      <w:b/>
      <w:bCs/>
      <w:i/>
      <w:iCs/>
      <w:color w:val="4F81BD" w:themeColor="accent1"/>
      <w14:textFill>
        <w14:solidFill>
          <w14:schemeClr w14:val="accent1"/>
        </w14:solidFill>
      </w14:textFill>
    </w:rPr>
  </w:style>
  <w:style w:type="character" w:customStyle="1" w:styleId="160">
    <w:name w:val="Subtle Reference"/>
    <w:basedOn w:val="11"/>
    <w:qFormat/>
    <w:uiPriority w:val="31"/>
    <w:rPr>
      <w:smallCaps/>
      <w:color w:val="C0504D" w:themeColor="accent2"/>
      <w:u w:val="single"/>
      <w14:textFill>
        <w14:solidFill>
          <w14:schemeClr w14:val="accent2"/>
        </w14:solidFill>
      </w14:textFill>
    </w:rPr>
  </w:style>
  <w:style w:type="character" w:customStyle="1" w:styleId="161">
    <w:name w:val="Intense Reference"/>
    <w:basedOn w:val="11"/>
    <w:qFormat/>
    <w:uiPriority w:val="32"/>
    <w:rPr>
      <w:b/>
      <w:bCs/>
      <w:smallCaps/>
      <w:color w:val="C0504D" w:themeColor="accent2"/>
      <w:spacing w:val="5"/>
      <w:u w:val="single"/>
      <w14:textFill>
        <w14:solidFill>
          <w14:schemeClr w14:val="accent2"/>
        </w14:solidFill>
      </w14:textFill>
    </w:rPr>
  </w:style>
  <w:style w:type="character" w:customStyle="1" w:styleId="162">
    <w:name w:val="Book Title"/>
    <w:basedOn w:val="11"/>
    <w:qFormat/>
    <w:uiPriority w:val="33"/>
    <w:rPr>
      <w:b/>
      <w:bCs/>
      <w:smallCaps/>
      <w:spacing w:val="5"/>
    </w:rPr>
  </w:style>
  <w:style w:type="paragraph" w:customStyle="1" w:styleId="163">
    <w:name w:val="TOC Heading"/>
    <w:basedOn w:val="2"/>
    <w:next w:val="1"/>
    <w:semiHidden/>
    <w:unhideWhenUsed/>
    <w:qFormat/>
    <w:uiPriority w:val="39"/>
    <w:pPr>
      <w:outlineLvl w:val="9"/>
    </w:pPr>
  </w:style>
  <w:style w:type="paragraph" w:customStyle="1" w:styleId="164">
    <w:name w:val="Placeholder"/>
    <w:uiPriority w:val="0"/>
    <w:pPr>
      <w:spacing w:after="120" w:line="360" w:lineRule="auto"/>
      <w:jc w:val="both"/>
    </w:pPr>
    <w:rPr>
      <w:rFonts w:ascii="Arial" w:hAnsi="Arial" w:eastAsia="Arial" w:cstheme="minorBidi"/>
      <w:i/>
      <w:sz w:val="22"/>
      <w:szCs w:val="22"/>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numbering" Target="numbering.xml"/><Relationship Id="rId17" Type="http://schemas.openxmlformats.org/officeDocument/2006/relationships/image" Target="media/image11.jpeg"/><Relationship Id="rId16" Type="http://schemas.openxmlformats.org/officeDocument/2006/relationships/image" Target="media/image10.jpeg"/><Relationship Id="rId15" Type="http://schemas.openxmlformats.org/officeDocument/2006/relationships/image" Target="media/image9.jpeg"/><Relationship Id="rId14" Type="http://schemas.openxmlformats.org/officeDocument/2006/relationships/image" Target="media/image8.jpeg"/><Relationship Id="rId13" Type="http://schemas.openxmlformats.org/officeDocument/2006/relationships/image" Target="media/image7.jpeg"/><Relationship Id="rId12" Type="http://schemas.openxmlformats.org/officeDocument/2006/relationships/image" Target="media/image6.jpeg"/><Relationship Id="rId11" Type="http://schemas.openxmlformats.org/officeDocument/2006/relationships/image" Target="media/image5.jpe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Pages>13</Pages>
  <Words>2806</Words>
  <Characters>17195</Characters>
  <Lines>0</Lines>
  <Paragraphs>0</Paragraphs>
  <TotalTime>87</TotalTime>
  <ScaleCrop>false</ScaleCrop>
  <LinksUpToDate>false</LinksUpToDate>
  <CharactersWithSpaces>19917</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python-docx</dc:creator>
  <dc:description>generated by python-docx</dc:description>
  <cp:lastModifiedBy>Daria Vozdrahanova</cp:lastModifiedBy>
  <dcterms:modified xsi:type="dcterms:W3CDTF">2026-07-31T11:48:45Z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eyJoZGlkIjoiMDQ3M2U0OTViOTk3ZmU2YzNjMTE0NzFhOGI3MjU3ZTQiLCJ1c2VySWQiOiIzNzI4Mzg0OTk1MDczIn0=</vt:lpwstr>
  </property>
  <property fmtid="{D5CDD505-2E9C-101B-9397-08002B2CF9AE}" pid="3" name="KSOProductBuildVer">
    <vt:lpwstr>1033-12.1.0.28032</vt:lpwstr>
  </property>
  <property fmtid="{D5CDD505-2E9C-101B-9397-08002B2CF9AE}" pid="4" name="ICV">
    <vt:lpwstr>B7AACF8DBF3C4C78A5E582565C2A617E_12</vt:lpwstr>
  </property>
</Properties>
</file>