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c="http://schemas.openxmlformats.org/drawingml/2006/chart" mc:Ignorable="w14 w15 w16se w16cid w16 w16cex w16sdtdh w16sdtfl w16du wp14">
  <w:body>
    <w:p w:rsidR="001C6B66" w:rsidP="00EB0766" w:rsidRDefault="0000311D" w14:paraId="7A868254" w14:textId="6B511F6D">
      <w:pPr>
        <w:jc w:val="center"/>
        <w:rPr>
          <w:rFonts w:cs="Calibri Light"/>
          <w:b/>
          <w:bCs/>
          <w:noProof/>
          <w:szCs w:val="24"/>
          <w:lang w:val="en-US"/>
        </w:rPr>
      </w:pPr>
      <w:r w:rsidRPr="00A406E5">
        <w:rPr>
          <w:rFonts w:ascii="Arial" w:hAnsi="Arial" w:cs="Arial"/>
          <w:noProof/>
        </w:rPr>
        <w:drawing>
          <wp:anchor distT="0" distB="0" distL="114300" distR="114300" simplePos="0" relativeHeight="251659264" behindDoc="0" locked="0" layoutInCell="1" allowOverlap="1" wp14:anchorId="222F7FDA" wp14:editId="76406E61">
            <wp:simplePos x="0" y="0"/>
            <wp:positionH relativeFrom="column">
              <wp:posOffset>0</wp:posOffset>
            </wp:positionH>
            <wp:positionV relativeFrom="paragraph">
              <wp:posOffset>419100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8C3047" w:rsidP="00EB0766" w:rsidRDefault="008C3047" w14:paraId="2D876611" w14:textId="77777777">
      <w:pPr>
        <w:jc w:val="center"/>
        <w:rPr>
          <w:rFonts w:cs="Calibri Light"/>
          <w:b/>
          <w:bCs/>
          <w:noProof/>
          <w:szCs w:val="24"/>
          <w:lang w:val="en-US"/>
        </w:rPr>
      </w:pPr>
    </w:p>
    <w:p w:rsidR="00D70463" w:rsidP="00D37F0F" w:rsidRDefault="00D70463" w14:paraId="76E06909" w14:textId="77777777">
      <w:pPr>
        <w:tabs>
          <w:tab w:val="left" w:pos="0"/>
        </w:tabs>
        <w:jc w:val="center"/>
        <w:rPr>
          <w:rFonts w:cs="Calibri Light"/>
          <w:b/>
          <w:bCs/>
          <w:noProof/>
          <w:szCs w:val="24"/>
          <w:lang w:val="en-US"/>
        </w:rPr>
      </w:pPr>
    </w:p>
    <w:p w:rsidR="00D70463" w:rsidP="00D37F0F" w:rsidRDefault="00D70463" w14:paraId="6A936D0E" w14:textId="77777777">
      <w:pPr>
        <w:tabs>
          <w:tab w:val="left" w:pos="0"/>
        </w:tabs>
        <w:jc w:val="center"/>
        <w:rPr>
          <w:rFonts w:cs="Calibri Light"/>
          <w:b/>
          <w:bCs/>
          <w:noProof/>
          <w:szCs w:val="24"/>
          <w:lang w:val="en-US"/>
        </w:rPr>
      </w:pPr>
    </w:p>
    <w:p w:rsidR="4B42EC94" w:rsidP="4B42EC94" w:rsidRDefault="4B42EC94" w14:paraId="5D7ED1C1" w14:textId="36D11752">
      <w:pPr>
        <w:tabs>
          <w:tab w:val="left" w:leader="none" w:pos="0"/>
        </w:tabs>
        <w:jc w:val="center"/>
        <w:rPr>
          <w:rFonts w:cs="Calibri Light"/>
          <w:b w:val="1"/>
          <w:bCs w:val="1"/>
          <w:noProof/>
          <w:lang w:val="en-US"/>
        </w:rPr>
      </w:pPr>
    </w:p>
    <w:p w:rsidR="4B42EC94" w:rsidP="4B42EC94" w:rsidRDefault="4B42EC94" w14:paraId="2C46E766" w14:textId="36DD9CC6">
      <w:pPr>
        <w:tabs>
          <w:tab w:val="left" w:leader="none" w:pos="0"/>
        </w:tabs>
        <w:jc w:val="center"/>
        <w:rPr>
          <w:rFonts w:cs="Calibri Light"/>
          <w:b w:val="1"/>
          <w:bCs w:val="1"/>
          <w:noProof/>
          <w:lang w:val="en-US"/>
        </w:rPr>
      </w:pPr>
    </w:p>
    <w:p w:rsidR="4B42EC94" w:rsidP="4B42EC94" w:rsidRDefault="4B42EC94" w14:paraId="4920170E" w14:textId="5A357D3C">
      <w:pPr>
        <w:tabs>
          <w:tab w:val="left" w:leader="none" w:pos="0"/>
        </w:tabs>
        <w:jc w:val="center"/>
        <w:rPr>
          <w:rFonts w:cs="Calibri Light"/>
          <w:b w:val="1"/>
          <w:bCs w:val="1"/>
          <w:noProof/>
          <w:lang w:val="en-US"/>
        </w:rPr>
      </w:pPr>
    </w:p>
    <w:p w:rsidR="00D70463" w:rsidP="4B42EC94" w:rsidRDefault="005D02AF" w14:paraId="02B7D2C3" w14:textId="5CE0736C">
      <w:pPr>
        <w:tabs>
          <w:tab w:val="left" w:pos="0"/>
        </w:tabs>
        <w:jc w:val="center"/>
        <w:rPr>
          <w:rFonts w:cs="Calibri Light"/>
          <w:b w:val="1"/>
          <w:bCs w:val="1"/>
          <w:noProof/>
          <w:lang w:val="en-US"/>
        </w:rPr>
      </w:pPr>
      <w:r w:rsidRPr="4B42EC94" w:rsidR="005D02AF">
        <w:rPr>
          <w:rFonts w:cs="Calibri Light"/>
          <w:b w:val="1"/>
          <w:bCs w:val="1"/>
          <w:noProof/>
          <w:lang w:val="en-US"/>
        </w:rPr>
        <w:t>Module:</w:t>
      </w:r>
      <w:r w:rsidRPr="4B42EC94" w:rsidR="005D02AF">
        <w:rPr>
          <w:rFonts w:cs="Calibri Light"/>
          <w:b w:val="1"/>
          <w:bCs w:val="1"/>
          <w:noProof/>
          <w:lang w:val="en-US"/>
        </w:rPr>
        <w:t xml:space="preserve"> </w:t>
      </w:r>
      <w:r w:rsidRPr="4B42EC94" w:rsidR="005D02AF">
        <w:rPr>
          <w:rFonts w:cs="Calibri Light"/>
          <w:b w:val="1"/>
          <w:bCs w:val="1"/>
          <w:noProof/>
          <w:lang w:val="en-US"/>
        </w:rPr>
        <w:t>Financial Management</w:t>
      </w:r>
      <w:r w:rsidRPr="4B42EC94" w:rsidR="005D02AF">
        <w:rPr>
          <w:rFonts w:cs="Calibri Light"/>
          <w:b w:val="1"/>
          <w:bCs w:val="1"/>
          <w:noProof/>
          <w:lang w:val="en-US"/>
        </w:rPr>
        <w:t xml:space="preserve"> </w:t>
      </w:r>
      <w:r w:rsidRPr="4B42EC94" w:rsidR="01615EB7">
        <w:rPr>
          <w:rFonts w:cs="Calibri Light"/>
          <w:b w:val="1"/>
          <w:bCs w:val="1"/>
          <w:noProof/>
          <w:lang w:val="en-US"/>
        </w:rPr>
        <w:t>(</w:t>
      </w:r>
      <w:r w:rsidRPr="4B42EC94" w:rsidR="005D02AF">
        <w:rPr>
          <w:rFonts w:cs="Calibri Light"/>
          <w:b w:val="1"/>
          <w:bCs w:val="1"/>
          <w:noProof/>
          <w:lang w:val="en-US"/>
        </w:rPr>
        <w:t>LCMB7002</w:t>
      </w:r>
      <w:r w:rsidRPr="4B42EC94" w:rsidR="4EF19DD8">
        <w:rPr>
          <w:rFonts w:cs="Calibri Light"/>
          <w:b w:val="1"/>
          <w:bCs w:val="1"/>
          <w:noProof/>
          <w:lang w:val="en-US"/>
        </w:rPr>
        <w:t>)</w:t>
      </w:r>
    </w:p>
    <w:p w:rsidR="51937BD6" w:rsidP="4B42EC94" w:rsidRDefault="51937BD6" w14:paraId="3AB55CD3" w14:textId="1F4792F5">
      <w:pPr>
        <w:jc w:val="center"/>
        <w:rPr>
          <w:rFonts w:cs="Calibri Light"/>
          <w:b w:val="1"/>
          <w:bCs w:val="1"/>
          <w:noProof/>
          <w:lang w:val="en-US"/>
        </w:rPr>
      </w:pPr>
      <w:r w:rsidRPr="4B42EC94" w:rsidR="51937BD6">
        <w:rPr>
          <w:rFonts w:cs="Calibri Light"/>
          <w:b w:val="1"/>
          <w:bCs w:val="1"/>
          <w:noProof/>
          <w:lang w:val="en-US"/>
        </w:rPr>
        <w:t>Lecturer name: Patri</w:t>
      </w:r>
      <w:r w:rsidRPr="4B42EC94" w:rsidR="703A8EBE">
        <w:rPr>
          <w:rFonts w:cs="Calibri Light"/>
          <w:b w:val="1"/>
          <w:bCs w:val="1"/>
          <w:noProof/>
          <w:lang w:val="en-US"/>
        </w:rPr>
        <w:t>ck Yeboah</w:t>
      </w:r>
    </w:p>
    <w:p w:rsidR="51937BD6" w:rsidP="4B42EC94" w:rsidRDefault="51937BD6" w14:paraId="2CFBEE6C" w14:textId="5451E95C">
      <w:pPr>
        <w:jc w:val="center"/>
        <w:rPr>
          <w:rFonts w:cs="Calibri Light"/>
          <w:b w:val="1"/>
          <w:bCs w:val="1"/>
        </w:rPr>
      </w:pPr>
      <w:r w:rsidRPr="4B42EC94" w:rsidR="51937BD6">
        <w:rPr>
          <w:rFonts w:cs="Calibri Light"/>
          <w:b w:val="1"/>
          <w:bCs w:val="1"/>
        </w:rPr>
        <w:t xml:space="preserve"> Student Name: Florina Maria Vlad</w:t>
      </w:r>
    </w:p>
    <w:p w:rsidR="51937BD6" w:rsidP="4B42EC94" w:rsidRDefault="51937BD6" w14:paraId="4658A792" w14:textId="1B6B2179">
      <w:pPr>
        <w:jc w:val="center"/>
        <w:rPr>
          <w:rFonts w:cs="Calibri Light"/>
          <w:b w:val="1"/>
          <w:bCs w:val="1"/>
        </w:rPr>
      </w:pPr>
      <w:r w:rsidRPr="4B42EC94" w:rsidR="51937BD6">
        <w:rPr>
          <w:rFonts w:cs="Calibri Light"/>
          <w:b w:val="1"/>
          <w:bCs w:val="1"/>
        </w:rPr>
        <w:t>Student ID: 2227241</w:t>
      </w:r>
    </w:p>
    <w:p w:rsidR="4B42EC94" w:rsidP="4B42EC94" w:rsidRDefault="4B42EC94" w14:paraId="7EF9D6E7" w14:textId="631C24C7">
      <w:pPr>
        <w:tabs>
          <w:tab w:val="left" w:leader="none" w:pos="0"/>
        </w:tabs>
        <w:jc w:val="center"/>
        <w:rPr>
          <w:rFonts w:cs="Calibri Light"/>
          <w:b w:val="1"/>
          <w:bCs w:val="1"/>
          <w:noProof/>
          <w:lang w:val="en-US"/>
        </w:rPr>
      </w:pPr>
    </w:p>
    <w:p w:rsidR="4B42EC94" w:rsidP="4B42EC94" w:rsidRDefault="4B42EC94" w14:paraId="051518A3" w14:textId="6BCAB7A6">
      <w:pPr>
        <w:tabs>
          <w:tab w:val="left" w:leader="none" w:pos="0"/>
        </w:tabs>
        <w:jc w:val="center"/>
        <w:rPr>
          <w:rFonts w:cs="Calibri Light"/>
          <w:b w:val="1"/>
          <w:bCs w:val="1"/>
          <w:noProof/>
          <w:lang w:val="en-US"/>
        </w:rPr>
      </w:pPr>
    </w:p>
    <w:p w:rsidR="0019767E" w:rsidP="005D02AF" w:rsidRDefault="0019767E" w14:paraId="77E13ADC" w14:textId="77777777">
      <w:pPr>
        <w:tabs>
          <w:tab w:val="left" w:pos="0"/>
        </w:tabs>
        <w:jc w:val="center"/>
        <w:rPr>
          <w:rFonts w:cs="Calibri Light"/>
          <w:b/>
          <w:bCs/>
          <w:noProof/>
          <w:szCs w:val="24"/>
          <w:lang w:val="en-US"/>
        </w:rPr>
      </w:pPr>
    </w:p>
    <w:p w:rsidR="0019767E" w:rsidP="005D02AF" w:rsidRDefault="0019767E" w14:paraId="7CC42DC8" w14:textId="77777777">
      <w:pPr>
        <w:tabs>
          <w:tab w:val="left" w:pos="0"/>
        </w:tabs>
        <w:jc w:val="center"/>
        <w:rPr>
          <w:rFonts w:cs="Calibri Light"/>
          <w:b/>
          <w:bCs/>
          <w:noProof/>
          <w:szCs w:val="24"/>
          <w:lang w:val="en-US"/>
        </w:rPr>
      </w:pPr>
    </w:p>
    <w:p w:rsidR="009B7E2F" w:rsidP="4B42EC94" w:rsidRDefault="0019767E" w14:paraId="7C4E4981" w14:textId="583F45FB">
      <w:pPr>
        <w:tabs>
          <w:tab w:val="left" w:pos="0"/>
        </w:tabs>
        <w:jc w:val="center"/>
        <w:rPr>
          <w:rFonts w:cs="Calibri Light"/>
        </w:rPr>
      </w:pPr>
      <w:r w:rsidRPr="4B42EC94" w:rsidR="0019767E">
        <w:rPr>
          <w:rFonts w:cs="Calibri Light"/>
          <w:b w:val="1"/>
          <w:bCs w:val="1"/>
          <w:noProof/>
          <w:sz w:val="40"/>
          <w:szCs w:val="40"/>
          <w:lang w:val="en-US"/>
        </w:rPr>
        <w:t>Financial performance and management</w:t>
      </w:r>
    </w:p>
    <w:p w:rsidR="008C3047" w:rsidP="009B7E2F" w:rsidRDefault="008C3047" w14:paraId="7DC72F6A" w14:textId="77777777">
      <w:pPr>
        <w:tabs>
          <w:tab w:val="left" w:pos="0"/>
        </w:tabs>
        <w:jc w:val="center"/>
        <w:rPr>
          <w:rFonts w:cs="Calibri Light"/>
          <w:szCs w:val="24"/>
        </w:rPr>
      </w:pPr>
    </w:p>
    <w:p w:rsidRPr="00AB0D0B" w:rsidR="008C3047" w:rsidP="009B7E2F" w:rsidRDefault="008C3047" w14:paraId="1CBC6AB7" w14:textId="77777777">
      <w:pPr>
        <w:tabs>
          <w:tab w:val="left" w:pos="0"/>
        </w:tabs>
        <w:jc w:val="center"/>
        <w:rPr>
          <w:rFonts w:cs="Calibri Light"/>
          <w:szCs w:val="24"/>
        </w:rPr>
      </w:pPr>
    </w:p>
    <w:p w:rsidR="00E71664" w:rsidP="00E71664" w:rsidRDefault="00E71664" w14:paraId="38B3E6F8" w14:textId="77777777"/>
    <w:p w:rsidR="00E71664" w:rsidP="00EB0766" w:rsidRDefault="00E71664" w14:paraId="76DA2F34" w14:textId="4CC33628">
      <w:pPr>
        <w:jc w:val="center"/>
        <w:rPr>
          <w:b/>
          <w:bCs/>
        </w:rPr>
      </w:pPr>
    </w:p>
    <w:p w:rsidR="00EB0766" w:rsidP="00EB0766" w:rsidRDefault="00EB0766" w14:paraId="13C9187E" w14:textId="7580EFD8">
      <w:pPr>
        <w:jc w:val="center"/>
      </w:pPr>
    </w:p>
    <w:p w:rsidRPr="00AB0D0B" w:rsidR="00E71664" w:rsidP="00E71664" w:rsidRDefault="00E71664" w14:paraId="5179EF9A" w14:textId="77777777"/>
    <w:p w:rsidR="00350595" w:rsidP="00425580" w:rsidRDefault="00350595" w14:paraId="23A2478A" w14:textId="77777777"/>
    <w:p w:rsidRPr="00AB0D0B" w:rsidR="00E67808" w:rsidP="4B42EC94" w:rsidRDefault="00E67808" w14:paraId="2A8A6049" w14:textId="315B41CD">
      <w:pPr>
        <w:jc w:val="center"/>
        <w:rPr>
          <w:b w:val="1"/>
          <w:bCs w:val="1"/>
          <w:sz w:val="40"/>
          <w:szCs w:val="40"/>
        </w:rPr>
      </w:pPr>
      <w:r w:rsidRPr="4B42EC94" w:rsidR="7D4EF971">
        <w:rPr>
          <w:b w:val="1"/>
          <w:bCs w:val="1"/>
          <w:sz w:val="40"/>
          <w:szCs w:val="40"/>
        </w:rPr>
        <w:t>Table of Contents</w:t>
      </w:r>
    </w:p>
    <w:p w:rsidRPr="00AB0D0B" w:rsidR="00E67808" w:rsidP="4B42EC94" w:rsidRDefault="00E67808" w14:paraId="42D2FAF1" w14:textId="18BA2904">
      <w:pPr>
        <w:pStyle w:val="Normal"/>
        <w:jc w:val="left"/>
      </w:pPr>
    </w:p>
    <w:sdt>
      <w:sdtPr>
        <w:id w:val="1540566768"/>
        <w:docPartObj>
          <w:docPartGallery w:val="Table of Contents"/>
          <w:docPartUnique/>
        </w:docPartObj>
      </w:sdtPr>
      <w:sdtContent>
        <w:p w:rsidR="3BDB421E" w:rsidP="3BDB421E" w:rsidRDefault="3BDB421E" w14:paraId="76CE1205" w14:textId="73EE3DFD">
          <w:pPr>
            <w:pStyle w:val="TOC1"/>
            <w:tabs>
              <w:tab w:val="right" w:leader="dot" w:pos="9360"/>
            </w:tabs>
            <w:bidi w:val="0"/>
            <w:rPr>
              <w:rStyle w:val="Hyperlink"/>
            </w:rPr>
          </w:pPr>
          <w:r>
            <w:fldChar w:fldCharType="begin"/>
          </w:r>
          <w:r>
            <w:instrText xml:space="preserve">TOC \o \z \u \h</w:instrText>
          </w:r>
          <w:r>
            <w:fldChar w:fldCharType="separate"/>
          </w:r>
          <w:hyperlink w:anchor="_Toc1004401258">
            <w:r w:rsidRPr="3BDB421E" w:rsidR="3BDB421E">
              <w:rPr>
                <w:rStyle w:val="Hyperlink"/>
              </w:rPr>
              <w:t>Introduction</w:t>
            </w:r>
            <w:r>
              <w:tab/>
            </w:r>
            <w:r>
              <w:fldChar w:fldCharType="begin"/>
            </w:r>
            <w:r>
              <w:instrText xml:space="preserve">PAGEREF _Toc1004401258 \h</w:instrText>
            </w:r>
            <w:r>
              <w:fldChar w:fldCharType="separate"/>
            </w:r>
            <w:r w:rsidRPr="3BDB421E" w:rsidR="3BDB421E">
              <w:rPr>
                <w:rStyle w:val="Hyperlink"/>
              </w:rPr>
              <w:t>3</w:t>
            </w:r>
            <w:r>
              <w:fldChar w:fldCharType="end"/>
            </w:r>
          </w:hyperlink>
        </w:p>
        <w:p w:rsidR="3BDB421E" w:rsidP="3BDB421E" w:rsidRDefault="3BDB421E" w14:paraId="789A67C8" w14:textId="79335EA9">
          <w:pPr>
            <w:pStyle w:val="TOC1"/>
            <w:tabs>
              <w:tab w:val="right" w:leader="dot" w:pos="9360"/>
            </w:tabs>
            <w:bidi w:val="0"/>
            <w:rPr>
              <w:rStyle w:val="Hyperlink"/>
            </w:rPr>
          </w:pPr>
          <w:hyperlink w:anchor="_Toc1355569486">
            <w:r w:rsidRPr="3BDB421E" w:rsidR="3BDB421E">
              <w:rPr>
                <w:rStyle w:val="Hyperlink"/>
              </w:rPr>
              <w:t>1. Financial Health Check</w:t>
            </w:r>
            <w:r>
              <w:tab/>
            </w:r>
            <w:r>
              <w:fldChar w:fldCharType="begin"/>
            </w:r>
            <w:r>
              <w:instrText xml:space="preserve">PAGEREF _Toc1355569486 \h</w:instrText>
            </w:r>
            <w:r>
              <w:fldChar w:fldCharType="separate"/>
            </w:r>
            <w:r w:rsidRPr="3BDB421E" w:rsidR="3BDB421E">
              <w:rPr>
                <w:rStyle w:val="Hyperlink"/>
              </w:rPr>
              <w:t>4</w:t>
            </w:r>
            <w:r>
              <w:fldChar w:fldCharType="end"/>
            </w:r>
          </w:hyperlink>
        </w:p>
        <w:p w:rsidR="3BDB421E" w:rsidP="3BDB421E" w:rsidRDefault="3BDB421E" w14:paraId="63BBECC0" w14:textId="7B708080">
          <w:pPr>
            <w:pStyle w:val="TOC2"/>
            <w:tabs>
              <w:tab w:val="right" w:leader="dot" w:pos="9360"/>
            </w:tabs>
            <w:bidi w:val="0"/>
            <w:rPr>
              <w:rStyle w:val="Hyperlink"/>
            </w:rPr>
          </w:pPr>
          <w:hyperlink w:anchor="_Toc509633542">
            <w:r w:rsidRPr="3BDB421E" w:rsidR="3BDB421E">
              <w:rPr>
                <w:rStyle w:val="Hyperlink"/>
              </w:rPr>
              <w:t>1.0 Financial Statement Overview</w:t>
            </w:r>
            <w:r>
              <w:tab/>
            </w:r>
            <w:r>
              <w:fldChar w:fldCharType="begin"/>
            </w:r>
            <w:r>
              <w:instrText xml:space="preserve">PAGEREF _Toc509633542 \h</w:instrText>
            </w:r>
            <w:r>
              <w:fldChar w:fldCharType="separate"/>
            </w:r>
            <w:r w:rsidRPr="3BDB421E" w:rsidR="3BDB421E">
              <w:rPr>
                <w:rStyle w:val="Hyperlink"/>
              </w:rPr>
              <w:t>4</w:t>
            </w:r>
            <w:r>
              <w:fldChar w:fldCharType="end"/>
            </w:r>
          </w:hyperlink>
        </w:p>
        <w:p w:rsidR="3BDB421E" w:rsidP="3BDB421E" w:rsidRDefault="3BDB421E" w14:paraId="1B07E99F" w14:textId="0F9CB088">
          <w:pPr>
            <w:pStyle w:val="TOC2"/>
            <w:tabs>
              <w:tab w:val="right" w:leader="dot" w:pos="9360"/>
            </w:tabs>
            <w:bidi w:val="0"/>
            <w:rPr>
              <w:rStyle w:val="Hyperlink"/>
            </w:rPr>
          </w:pPr>
          <w:hyperlink w:anchor="_Toc799492025">
            <w:r w:rsidRPr="3BDB421E" w:rsidR="3BDB421E">
              <w:rPr>
                <w:rStyle w:val="Hyperlink"/>
              </w:rPr>
              <w:t>1.1 Profitability Analysis</w:t>
            </w:r>
            <w:r>
              <w:tab/>
            </w:r>
            <w:r>
              <w:fldChar w:fldCharType="begin"/>
            </w:r>
            <w:r>
              <w:instrText xml:space="preserve">PAGEREF _Toc799492025 \h</w:instrText>
            </w:r>
            <w:r>
              <w:fldChar w:fldCharType="separate"/>
            </w:r>
            <w:r w:rsidRPr="3BDB421E" w:rsidR="3BDB421E">
              <w:rPr>
                <w:rStyle w:val="Hyperlink"/>
              </w:rPr>
              <w:t>5</w:t>
            </w:r>
            <w:r>
              <w:fldChar w:fldCharType="end"/>
            </w:r>
          </w:hyperlink>
        </w:p>
        <w:p w:rsidR="3BDB421E" w:rsidP="3BDB421E" w:rsidRDefault="3BDB421E" w14:paraId="699DDF57" w14:textId="663B8167">
          <w:pPr>
            <w:pStyle w:val="TOC2"/>
            <w:tabs>
              <w:tab w:val="right" w:leader="dot" w:pos="9360"/>
            </w:tabs>
            <w:bidi w:val="0"/>
            <w:rPr>
              <w:rStyle w:val="Hyperlink"/>
            </w:rPr>
          </w:pPr>
          <w:hyperlink w:anchor="_Toc29205044">
            <w:r w:rsidRPr="3BDB421E" w:rsidR="3BDB421E">
              <w:rPr>
                <w:rStyle w:val="Hyperlink"/>
              </w:rPr>
              <w:t>1.2 Liquidity Analysis</w:t>
            </w:r>
            <w:r>
              <w:tab/>
            </w:r>
            <w:r>
              <w:fldChar w:fldCharType="begin"/>
            </w:r>
            <w:r>
              <w:instrText xml:space="preserve">PAGEREF _Toc29205044 \h</w:instrText>
            </w:r>
            <w:r>
              <w:fldChar w:fldCharType="separate"/>
            </w:r>
            <w:r w:rsidRPr="3BDB421E" w:rsidR="3BDB421E">
              <w:rPr>
                <w:rStyle w:val="Hyperlink"/>
              </w:rPr>
              <w:t>5</w:t>
            </w:r>
            <w:r>
              <w:fldChar w:fldCharType="end"/>
            </w:r>
          </w:hyperlink>
        </w:p>
        <w:p w:rsidR="3BDB421E" w:rsidP="3BDB421E" w:rsidRDefault="3BDB421E" w14:paraId="53027AC2" w14:textId="46C05ACE">
          <w:pPr>
            <w:pStyle w:val="TOC2"/>
            <w:tabs>
              <w:tab w:val="right" w:leader="dot" w:pos="9360"/>
            </w:tabs>
            <w:bidi w:val="0"/>
            <w:rPr>
              <w:rStyle w:val="Hyperlink"/>
            </w:rPr>
          </w:pPr>
          <w:hyperlink w:anchor="_Toc1393677295">
            <w:r w:rsidRPr="3BDB421E" w:rsidR="3BDB421E">
              <w:rPr>
                <w:rStyle w:val="Hyperlink"/>
              </w:rPr>
              <w:t>1.3 Efficiency Analysis</w:t>
            </w:r>
            <w:r>
              <w:tab/>
            </w:r>
            <w:r>
              <w:fldChar w:fldCharType="begin"/>
            </w:r>
            <w:r>
              <w:instrText xml:space="preserve">PAGEREF _Toc1393677295 \h</w:instrText>
            </w:r>
            <w:r>
              <w:fldChar w:fldCharType="separate"/>
            </w:r>
            <w:r w:rsidRPr="3BDB421E" w:rsidR="3BDB421E">
              <w:rPr>
                <w:rStyle w:val="Hyperlink"/>
              </w:rPr>
              <w:t>6</w:t>
            </w:r>
            <w:r>
              <w:fldChar w:fldCharType="end"/>
            </w:r>
          </w:hyperlink>
        </w:p>
        <w:p w:rsidR="3BDB421E" w:rsidP="3BDB421E" w:rsidRDefault="3BDB421E" w14:paraId="5D8E0EBA" w14:textId="76D6A785">
          <w:pPr>
            <w:pStyle w:val="TOC2"/>
            <w:tabs>
              <w:tab w:val="right" w:leader="dot" w:pos="9360"/>
            </w:tabs>
            <w:bidi w:val="0"/>
            <w:rPr>
              <w:rStyle w:val="Hyperlink"/>
            </w:rPr>
          </w:pPr>
          <w:hyperlink w:anchor="_Toc2016104795">
            <w:r w:rsidRPr="3BDB421E" w:rsidR="3BDB421E">
              <w:rPr>
                <w:rStyle w:val="Hyperlink"/>
              </w:rPr>
              <w:t>1.4 Gearing Analysis</w:t>
            </w:r>
            <w:r>
              <w:tab/>
            </w:r>
            <w:r>
              <w:fldChar w:fldCharType="begin"/>
            </w:r>
            <w:r>
              <w:instrText xml:space="preserve">PAGEREF _Toc2016104795 \h</w:instrText>
            </w:r>
            <w:r>
              <w:fldChar w:fldCharType="separate"/>
            </w:r>
            <w:r w:rsidRPr="3BDB421E" w:rsidR="3BDB421E">
              <w:rPr>
                <w:rStyle w:val="Hyperlink"/>
              </w:rPr>
              <w:t>7</w:t>
            </w:r>
            <w:r>
              <w:fldChar w:fldCharType="end"/>
            </w:r>
          </w:hyperlink>
        </w:p>
        <w:p w:rsidR="3BDB421E" w:rsidP="3BDB421E" w:rsidRDefault="3BDB421E" w14:paraId="624B530D" w14:textId="75275EA6">
          <w:pPr>
            <w:pStyle w:val="TOC2"/>
            <w:tabs>
              <w:tab w:val="right" w:leader="dot" w:pos="9360"/>
            </w:tabs>
            <w:bidi w:val="0"/>
            <w:rPr>
              <w:rStyle w:val="Hyperlink"/>
            </w:rPr>
          </w:pPr>
          <w:hyperlink w:anchor="_Toc506663786">
            <w:r w:rsidRPr="3BDB421E" w:rsidR="3BDB421E">
              <w:rPr>
                <w:rStyle w:val="Hyperlink"/>
              </w:rPr>
              <w:t>1.5 Investment Analysis</w:t>
            </w:r>
            <w:r>
              <w:tab/>
            </w:r>
            <w:r>
              <w:fldChar w:fldCharType="begin"/>
            </w:r>
            <w:r>
              <w:instrText xml:space="preserve">PAGEREF _Toc506663786 \h</w:instrText>
            </w:r>
            <w:r>
              <w:fldChar w:fldCharType="separate"/>
            </w:r>
            <w:r w:rsidRPr="3BDB421E" w:rsidR="3BDB421E">
              <w:rPr>
                <w:rStyle w:val="Hyperlink"/>
              </w:rPr>
              <w:t>8</w:t>
            </w:r>
            <w:r>
              <w:fldChar w:fldCharType="end"/>
            </w:r>
          </w:hyperlink>
        </w:p>
        <w:p w:rsidR="3BDB421E" w:rsidP="3BDB421E" w:rsidRDefault="3BDB421E" w14:paraId="1E3E2D7F" w14:textId="36AE5BC9">
          <w:pPr>
            <w:pStyle w:val="TOC2"/>
            <w:tabs>
              <w:tab w:val="right" w:leader="dot" w:pos="9360"/>
            </w:tabs>
            <w:bidi w:val="0"/>
            <w:rPr>
              <w:rStyle w:val="Hyperlink"/>
            </w:rPr>
          </w:pPr>
          <w:hyperlink w:anchor="_Toc643110241">
            <w:r w:rsidRPr="3BDB421E" w:rsidR="3BDB421E">
              <w:rPr>
                <w:rStyle w:val="Hyperlink"/>
              </w:rPr>
              <w:t>1.6 Cash Flow Analysis</w:t>
            </w:r>
            <w:r>
              <w:tab/>
            </w:r>
            <w:r>
              <w:fldChar w:fldCharType="begin"/>
            </w:r>
            <w:r>
              <w:instrText xml:space="preserve">PAGEREF _Toc643110241 \h</w:instrText>
            </w:r>
            <w:r>
              <w:fldChar w:fldCharType="separate"/>
            </w:r>
            <w:r w:rsidRPr="3BDB421E" w:rsidR="3BDB421E">
              <w:rPr>
                <w:rStyle w:val="Hyperlink"/>
              </w:rPr>
              <w:t>8</w:t>
            </w:r>
            <w:r>
              <w:fldChar w:fldCharType="end"/>
            </w:r>
          </w:hyperlink>
        </w:p>
        <w:p w:rsidR="3BDB421E" w:rsidP="3BDB421E" w:rsidRDefault="3BDB421E" w14:paraId="757CE5B0" w14:textId="4835BA12">
          <w:pPr>
            <w:pStyle w:val="TOC1"/>
            <w:tabs>
              <w:tab w:val="right" w:leader="dot" w:pos="9360"/>
            </w:tabs>
            <w:bidi w:val="0"/>
            <w:rPr>
              <w:rStyle w:val="Hyperlink"/>
            </w:rPr>
          </w:pPr>
          <w:hyperlink w:anchor="_Toc1981654350">
            <w:r w:rsidRPr="3BDB421E" w:rsidR="3BDB421E">
              <w:rPr>
                <w:rStyle w:val="Hyperlink"/>
              </w:rPr>
              <w:t>2. Working Capital Management Analysis</w:t>
            </w:r>
            <w:r>
              <w:tab/>
            </w:r>
            <w:r>
              <w:fldChar w:fldCharType="begin"/>
            </w:r>
            <w:r>
              <w:instrText xml:space="preserve">PAGEREF _Toc1981654350 \h</w:instrText>
            </w:r>
            <w:r>
              <w:fldChar w:fldCharType="separate"/>
            </w:r>
            <w:r w:rsidRPr="3BDB421E" w:rsidR="3BDB421E">
              <w:rPr>
                <w:rStyle w:val="Hyperlink"/>
              </w:rPr>
              <w:t>9</w:t>
            </w:r>
            <w:r>
              <w:fldChar w:fldCharType="end"/>
            </w:r>
          </w:hyperlink>
        </w:p>
        <w:p w:rsidR="3BDB421E" w:rsidP="3BDB421E" w:rsidRDefault="3BDB421E" w14:paraId="00970181" w14:textId="3BDCF3B8">
          <w:pPr>
            <w:pStyle w:val="TOC2"/>
            <w:tabs>
              <w:tab w:val="right" w:leader="dot" w:pos="9360"/>
            </w:tabs>
            <w:bidi w:val="0"/>
            <w:rPr>
              <w:rStyle w:val="Hyperlink"/>
            </w:rPr>
          </w:pPr>
          <w:hyperlink w:anchor="_Toc1214908631">
            <w:r w:rsidRPr="3BDB421E" w:rsidR="3BDB421E">
              <w:rPr>
                <w:rStyle w:val="Hyperlink"/>
              </w:rPr>
              <w:t>2.1 Assessment of the Cash Operating Cycle</w:t>
            </w:r>
            <w:r>
              <w:tab/>
            </w:r>
            <w:r>
              <w:fldChar w:fldCharType="begin"/>
            </w:r>
            <w:r>
              <w:instrText xml:space="preserve">PAGEREF _Toc1214908631 \h</w:instrText>
            </w:r>
            <w:r>
              <w:fldChar w:fldCharType="separate"/>
            </w:r>
            <w:r w:rsidRPr="3BDB421E" w:rsidR="3BDB421E">
              <w:rPr>
                <w:rStyle w:val="Hyperlink"/>
              </w:rPr>
              <w:t>10</w:t>
            </w:r>
            <w:r>
              <w:fldChar w:fldCharType="end"/>
            </w:r>
          </w:hyperlink>
        </w:p>
        <w:p w:rsidR="3BDB421E" w:rsidP="3BDB421E" w:rsidRDefault="3BDB421E" w14:paraId="77126C3B" w14:textId="5EF8B618">
          <w:pPr>
            <w:pStyle w:val="TOC2"/>
            <w:tabs>
              <w:tab w:val="right" w:leader="dot" w:pos="9360"/>
            </w:tabs>
            <w:bidi w:val="0"/>
            <w:rPr>
              <w:rStyle w:val="Hyperlink"/>
            </w:rPr>
          </w:pPr>
          <w:hyperlink w:anchor="_Toc1699313095">
            <w:r w:rsidRPr="3BDB421E" w:rsidR="3BDB421E">
              <w:rPr>
                <w:rStyle w:val="Hyperlink"/>
              </w:rPr>
              <w:t>2.2 Strategies to Improve Liquidity through Working Capital Reforms</w:t>
            </w:r>
            <w:r>
              <w:tab/>
            </w:r>
            <w:r>
              <w:fldChar w:fldCharType="begin"/>
            </w:r>
            <w:r>
              <w:instrText xml:space="preserve">PAGEREF _Toc1699313095 \h</w:instrText>
            </w:r>
            <w:r>
              <w:fldChar w:fldCharType="separate"/>
            </w:r>
            <w:r w:rsidRPr="3BDB421E" w:rsidR="3BDB421E">
              <w:rPr>
                <w:rStyle w:val="Hyperlink"/>
              </w:rPr>
              <w:t>11</w:t>
            </w:r>
            <w:r>
              <w:fldChar w:fldCharType="end"/>
            </w:r>
          </w:hyperlink>
        </w:p>
        <w:p w:rsidR="3BDB421E" w:rsidP="3BDB421E" w:rsidRDefault="3BDB421E" w14:paraId="67CA5EE8" w14:textId="33791CA5">
          <w:pPr>
            <w:pStyle w:val="TOC2"/>
            <w:tabs>
              <w:tab w:val="right" w:leader="dot" w:pos="9360"/>
            </w:tabs>
            <w:bidi w:val="0"/>
            <w:rPr>
              <w:rStyle w:val="Hyperlink"/>
            </w:rPr>
          </w:pPr>
          <w:hyperlink w:anchor="_Toc1814665806">
            <w:r w:rsidRPr="3BDB421E" w:rsidR="3BDB421E">
              <w:rPr>
                <w:rStyle w:val="Hyperlink"/>
              </w:rPr>
              <w:t>2.3 Short-Term vs Long-Term Financing Options</w:t>
            </w:r>
            <w:r>
              <w:tab/>
            </w:r>
            <w:r>
              <w:fldChar w:fldCharType="begin"/>
            </w:r>
            <w:r>
              <w:instrText xml:space="preserve">PAGEREF _Toc1814665806 \h</w:instrText>
            </w:r>
            <w:r>
              <w:fldChar w:fldCharType="separate"/>
            </w:r>
            <w:r w:rsidRPr="3BDB421E" w:rsidR="3BDB421E">
              <w:rPr>
                <w:rStyle w:val="Hyperlink"/>
              </w:rPr>
              <w:t>12</w:t>
            </w:r>
            <w:r>
              <w:fldChar w:fldCharType="end"/>
            </w:r>
          </w:hyperlink>
        </w:p>
        <w:p w:rsidR="3BDB421E" w:rsidP="3BDB421E" w:rsidRDefault="3BDB421E" w14:paraId="51698253" w14:textId="267947B7">
          <w:pPr>
            <w:pStyle w:val="TOC1"/>
            <w:tabs>
              <w:tab w:val="right" w:leader="dot" w:pos="9360"/>
            </w:tabs>
            <w:bidi w:val="0"/>
            <w:rPr>
              <w:rStyle w:val="Hyperlink"/>
            </w:rPr>
          </w:pPr>
          <w:hyperlink w:anchor="_Toc5839012">
            <w:r w:rsidRPr="3BDB421E" w:rsidR="3BDB421E">
              <w:rPr>
                <w:rStyle w:val="Hyperlink"/>
              </w:rPr>
              <w:t>3. Strategic Financial Restructuring Plan</w:t>
            </w:r>
            <w:r>
              <w:tab/>
            </w:r>
            <w:r>
              <w:fldChar w:fldCharType="begin"/>
            </w:r>
            <w:r>
              <w:instrText xml:space="preserve">PAGEREF _Toc5839012 \h</w:instrText>
            </w:r>
            <w:r>
              <w:fldChar w:fldCharType="separate"/>
            </w:r>
            <w:r w:rsidRPr="3BDB421E" w:rsidR="3BDB421E">
              <w:rPr>
                <w:rStyle w:val="Hyperlink"/>
              </w:rPr>
              <w:t>13</w:t>
            </w:r>
            <w:r>
              <w:fldChar w:fldCharType="end"/>
            </w:r>
          </w:hyperlink>
        </w:p>
        <w:p w:rsidR="3BDB421E" w:rsidP="3BDB421E" w:rsidRDefault="3BDB421E" w14:paraId="438C4AD2" w14:textId="54D4FA59">
          <w:pPr>
            <w:pStyle w:val="TOC2"/>
            <w:tabs>
              <w:tab w:val="right" w:leader="dot" w:pos="9360"/>
            </w:tabs>
            <w:bidi w:val="0"/>
            <w:rPr>
              <w:rStyle w:val="Hyperlink"/>
            </w:rPr>
          </w:pPr>
          <w:hyperlink w:anchor="_Toc954263720">
            <w:r w:rsidRPr="3BDB421E" w:rsidR="3BDB421E">
              <w:rPr>
                <w:rStyle w:val="Hyperlink"/>
              </w:rPr>
              <w:t>3.1 Recommended Restructuring Options</w:t>
            </w:r>
            <w:r>
              <w:tab/>
            </w:r>
            <w:r>
              <w:fldChar w:fldCharType="begin"/>
            </w:r>
            <w:r>
              <w:instrText xml:space="preserve">PAGEREF _Toc954263720 \h</w:instrText>
            </w:r>
            <w:r>
              <w:fldChar w:fldCharType="separate"/>
            </w:r>
            <w:r w:rsidRPr="3BDB421E" w:rsidR="3BDB421E">
              <w:rPr>
                <w:rStyle w:val="Hyperlink"/>
              </w:rPr>
              <w:t>14</w:t>
            </w:r>
            <w:r>
              <w:fldChar w:fldCharType="end"/>
            </w:r>
          </w:hyperlink>
        </w:p>
        <w:p w:rsidR="3BDB421E" w:rsidP="3BDB421E" w:rsidRDefault="3BDB421E" w14:paraId="135E1B86" w14:textId="3B57557B">
          <w:pPr>
            <w:pStyle w:val="TOC2"/>
            <w:tabs>
              <w:tab w:val="right" w:leader="dot" w:pos="9360"/>
            </w:tabs>
            <w:bidi w:val="0"/>
            <w:rPr>
              <w:rStyle w:val="Hyperlink"/>
            </w:rPr>
          </w:pPr>
          <w:hyperlink w:anchor="_Toc1822248368">
            <w:r w:rsidRPr="3BDB421E" w:rsidR="3BDB421E">
              <w:rPr>
                <w:rStyle w:val="Hyperlink"/>
              </w:rPr>
              <w:t>3.2 International and Ethical Considerations</w:t>
            </w:r>
            <w:r>
              <w:tab/>
            </w:r>
            <w:r>
              <w:fldChar w:fldCharType="begin"/>
            </w:r>
            <w:r>
              <w:instrText xml:space="preserve">PAGEREF _Toc1822248368 \h</w:instrText>
            </w:r>
            <w:r>
              <w:fldChar w:fldCharType="separate"/>
            </w:r>
            <w:r w:rsidRPr="3BDB421E" w:rsidR="3BDB421E">
              <w:rPr>
                <w:rStyle w:val="Hyperlink"/>
              </w:rPr>
              <w:t>16</w:t>
            </w:r>
            <w:r>
              <w:fldChar w:fldCharType="end"/>
            </w:r>
          </w:hyperlink>
        </w:p>
        <w:p w:rsidR="3BDB421E" w:rsidP="3BDB421E" w:rsidRDefault="3BDB421E" w14:paraId="35046E44" w14:textId="7F7730B8">
          <w:pPr>
            <w:pStyle w:val="TOC1"/>
            <w:tabs>
              <w:tab w:val="right" w:leader="dot" w:pos="9360"/>
            </w:tabs>
            <w:bidi w:val="0"/>
            <w:rPr>
              <w:rStyle w:val="Hyperlink"/>
            </w:rPr>
          </w:pPr>
          <w:hyperlink w:anchor="_Toc280761801">
            <w:r w:rsidRPr="3BDB421E" w:rsidR="3BDB421E">
              <w:rPr>
                <w:rStyle w:val="Hyperlink"/>
              </w:rPr>
              <w:t>4. Investment Appraisal and Capital Budgeting</w:t>
            </w:r>
            <w:r>
              <w:tab/>
            </w:r>
            <w:r>
              <w:fldChar w:fldCharType="begin"/>
            </w:r>
            <w:r>
              <w:instrText xml:space="preserve">PAGEREF _Toc280761801 \h</w:instrText>
            </w:r>
            <w:r>
              <w:fldChar w:fldCharType="separate"/>
            </w:r>
            <w:r w:rsidRPr="3BDB421E" w:rsidR="3BDB421E">
              <w:rPr>
                <w:rStyle w:val="Hyperlink"/>
              </w:rPr>
              <w:t>17</w:t>
            </w:r>
            <w:r>
              <w:fldChar w:fldCharType="end"/>
            </w:r>
          </w:hyperlink>
        </w:p>
        <w:p w:rsidR="3BDB421E" w:rsidP="3BDB421E" w:rsidRDefault="3BDB421E" w14:paraId="1CCE99AA" w14:textId="19848252">
          <w:pPr>
            <w:pStyle w:val="TOC2"/>
            <w:tabs>
              <w:tab w:val="right" w:leader="dot" w:pos="9360"/>
            </w:tabs>
            <w:bidi w:val="0"/>
            <w:rPr>
              <w:rStyle w:val="Hyperlink"/>
            </w:rPr>
          </w:pPr>
          <w:hyperlink w:anchor="_Toc1988706521">
            <w:r w:rsidRPr="3BDB421E" w:rsidR="3BDB421E">
              <w:rPr>
                <w:rStyle w:val="Hyperlink"/>
              </w:rPr>
              <w:t>4.1 Financial Evaluation of Projects Using Capital Budgeting Techniques</w:t>
            </w:r>
            <w:r>
              <w:tab/>
            </w:r>
            <w:r>
              <w:fldChar w:fldCharType="begin"/>
            </w:r>
            <w:r>
              <w:instrText xml:space="preserve">PAGEREF _Toc1988706521 \h</w:instrText>
            </w:r>
            <w:r>
              <w:fldChar w:fldCharType="separate"/>
            </w:r>
            <w:r w:rsidRPr="3BDB421E" w:rsidR="3BDB421E">
              <w:rPr>
                <w:rStyle w:val="Hyperlink"/>
              </w:rPr>
              <w:t>18</w:t>
            </w:r>
            <w:r>
              <w:fldChar w:fldCharType="end"/>
            </w:r>
          </w:hyperlink>
        </w:p>
        <w:p w:rsidR="3BDB421E" w:rsidP="3BDB421E" w:rsidRDefault="3BDB421E" w14:paraId="783E1374" w14:textId="006D6824">
          <w:pPr>
            <w:pStyle w:val="TOC2"/>
            <w:tabs>
              <w:tab w:val="right" w:leader="dot" w:pos="9360"/>
            </w:tabs>
            <w:bidi w:val="0"/>
            <w:rPr>
              <w:rStyle w:val="Hyperlink"/>
            </w:rPr>
          </w:pPr>
          <w:hyperlink w:anchor="_Toc2041406579">
            <w:r w:rsidRPr="3BDB421E" w:rsidR="3BDB421E">
              <w:rPr>
                <w:rStyle w:val="Hyperlink"/>
              </w:rPr>
              <w:t>4.2 Strategic and Non-Financial Considerations</w:t>
            </w:r>
            <w:r>
              <w:tab/>
            </w:r>
            <w:r>
              <w:fldChar w:fldCharType="begin"/>
            </w:r>
            <w:r>
              <w:instrText xml:space="preserve">PAGEREF _Toc2041406579 \h</w:instrText>
            </w:r>
            <w:r>
              <w:fldChar w:fldCharType="separate"/>
            </w:r>
            <w:r w:rsidRPr="3BDB421E" w:rsidR="3BDB421E">
              <w:rPr>
                <w:rStyle w:val="Hyperlink"/>
              </w:rPr>
              <w:t>19</w:t>
            </w:r>
            <w:r>
              <w:fldChar w:fldCharType="end"/>
            </w:r>
          </w:hyperlink>
        </w:p>
        <w:p w:rsidR="3BDB421E" w:rsidP="3BDB421E" w:rsidRDefault="3BDB421E" w14:paraId="2B0F7A26" w14:textId="34C65D59">
          <w:pPr>
            <w:pStyle w:val="TOC2"/>
            <w:tabs>
              <w:tab w:val="right" w:leader="dot" w:pos="9360"/>
            </w:tabs>
            <w:bidi w:val="0"/>
            <w:rPr>
              <w:rStyle w:val="Hyperlink"/>
            </w:rPr>
          </w:pPr>
          <w:hyperlink w:anchor="_Toc1915983496">
            <w:r w:rsidRPr="3BDB421E" w:rsidR="3BDB421E">
              <w:rPr>
                <w:rStyle w:val="Hyperlink"/>
              </w:rPr>
              <w:t>4.3 Capital Rationing and Optimal Combination</w:t>
            </w:r>
            <w:r>
              <w:tab/>
            </w:r>
            <w:r>
              <w:fldChar w:fldCharType="begin"/>
            </w:r>
            <w:r>
              <w:instrText xml:space="preserve">PAGEREF _Toc1915983496 \h</w:instrText>
            </w:r>
            <w:r>
              <w:fldChar w:fldCharType="separate"/>
            </w:r>
            <w:r w:rsidRPr="3BDB421E" w:rsidR="3BDB421E">
              <w:rPr>
                <w:rStyle w:val="Hyperlink"/>
              </w:rPr>
              <w:t>20</w:t>
            </w:r>
            <w:r>
              <w:fldChar w:fldCharType="end"/>
            </w:r>
          </w:hyperlink>
        </w:p>
        <w:p w:rsidR="3BDB421E" w:rsidP="3BDB421E" w:rsidRDefault="3BDB421E" w14:paraId="65A5B177" w14:textId="73A364D8">
          <w:pPr>
            <w:pStyle w:val="TOC1"/>
            <w:tabs>
              <w:tab w:val="right" w:leader="dot" w:pos="9360"/>
            </w:tabs>
            <w:bidi w:val="0"/>
            <w:rPr>
              <w:rStyle w:val="Hyperlink"/>
            </w:rPr>
          </w:pPr>
          <w:hyperlink w:anchor="_Toc240983793">
            <w:r w:rsidRPr="3BDB421E" w:rsidR="3BDB421E">
              <w:rPr>
                <w:rStyle w:val="Hyperlink"/>
              </w:rPr>
              <w:t>Conclusion</w:t>
            </w:r>
            <w:r>
              <w:tab/>
            </w:r>
            <w:r>
              <w:fldChar w:fldCharType="begin"/>
            </w:r>
            <w:r>
              <w:instrText xml:space="preserve">PAGEREF _Toc240983793 \h</w:instrText>
            </w:r>
            <w:r>
              <w:fldChar w:fldCharType="separate"/>
            </w:r>
            <w:r w:rsidRPr="3BDB421E" w:rsidR="3BDB421E">
              <w:rPr>
                <w:rStyle w:val="Hyperlink"/>
              </w:rPr>
              <w:t>21</w:t>
            </w:r>
            <w:r>
              <w:fldChar w:fldCharType="end"/>
            </w:r>
          </w:hyperlink>
        </w:p>
        <w:p w:rsidR="3BDB421E" w:rsidP="3BDB421E" w:rsidRDefault="3BDB421E" w14:paraId="785C9D9E" w14:textId="66A7FFC8">
          <w:pPr>
            <w:pStyle w:val="TOC1"/>
            <w:tabs>
              <w:tab w:val="right" w:leader="dot" w:pos="9360"/>
            </w:tabs>
            <w:bidi w:val="0"/>
            <w:rPr>
              <w:rStyle w:val="Hyperlink"/>
            </w:rPr>
          </w:pPr>
          <w:hyperlink w:anchor="_Toc164271295">
            <w:r w:rsidRPr="3BDB421E" w:rsidR="3BDB421E">
              <w:rPr>
                <w:rStyle w:val="Hyperlink"/>
              </w:rPr>
              <w:t>References</w:t>
            </w:r>
            <w:r>
              <w:tab/>
            </w:r>
            <w:r>
              <w:fldChar w:fldCharType="begin"/>
            </w:r>
            <w:r>
              <w:instrText xml:space="preserve">PAGEREF _Toc164271295 \h</w:instrText>
            </w:r>
            <w:r>
              <w:fldChar w:fldCharType="separate"/>
            </w:r>
            <w:r w:rsidRPr="3BDB421E" w:rsidR="3BDB421E">
              <w:rPr>
                <w:rStyle w:val="Hyperlink"/>
              </w:rPr>
              <w:t>22</w:t>
            </w:r>
            <w:r>
              <w:fldChar w:fldCharType="end"/>
            </w:r>
          </w:hyperlink>
        </w:p>
        <w:p w:rsidR="3BDB421E" w:rsidP="3BDB421E" w:rsidRDefault="3BDB421E" w14:paraId="5CBB99CC" w14:textId="3022230F">
          <w:pPr>
            <w:pStyle w:val="TOC1"/>
            <w:tabs>
              <w:tab w:val="right" w:leader="dot" w:pos="9360"/>
            </w:tabs>
            <w:bidi w:val="0"/>
            <w:rPr>
              <w:rStyle w:val="Hyperlink"/>
            </w:rPr>
          </w:pPr>
          <w:hyperlink w:anchor="_Toc50965544">
            <w:r w:rsidRPr="3BDB421E" w:rsidR="3BDB421E">
              <w:rPr>
                <w:rStyle w:val="Hyperlink"/>
              </w:rPr>
              <w:t>Appendices</w:t>
            </w:r>
            <w:r>
              <w:tab/>
            </w:r>
            <w:r>
              <w:fldChar w:fldCharType="begin"/>
            </w:r>
            <w:r>
              <w:instrText xml:space="preserve">PAGEREF _Toc50965544 \h</w:instrText>
            </w:r>
            <w:r>
              <w:fldChar w:fldCharType="separate"/>
            </w:r>
            <w:r w:rsidRPr="3BDB421E" w:rsidR="3BDB421E">
              <w:rPr>
                <w:rStyle w:val="Hyperlink"/>
              </w:rPr>
              <w:t>25</w:t>
            </w:r>
            <w:r>
              <w:fldChar w:fldCharType="end"/>
            </w:r>
          </w:hyperlink>
        </w:p>
        <w:p w:rsidR="3BDB421E" w:rsidP="3BDB421E" w:rsidRDefault="3BDB421E" w14:paraId="5AB811DC" w14:textId="1F68D7DD">
          <w:pPr>
            <w:pStyle w:val="TOC2"/>
            <w:tabs>
              <w:tab w:val="right" w:leader="dot" w:pos="9360"/>
            </w:tabs>
            <w:bidi w:val="0"/>
            <w:rPr>
              <w:rStyle w:val="Hyperlink"/>
            </w:rPr>
          </w:pPr>
          <w:hyperlink w:anchor="_Toc1062702700">
            <w:r w:rsidRPr="3BDB421E" w:rsidR="3BDB421E">
              <w:rPr>
                <w:rStyle w:val="Hyperlink"/>
              </w:rPr>
              <w:t>Appendix 1: Ratio Analysis</w:t>
            </w:r>
            <w:r>
              <w:tab/>
            </w:r>
            <w:r>
              <w:fldChar w:fldCharType="begin"/>
            </w:r>
            <w:r>
              <w:instrText xml:space="preserve">PAGEREF _Toc1062702700 \h</w:instrText>
            </w:r>
            <w:r>
              <w:fldChar w:fldCharType="separate"/>
            </w:r>
            <w:r w:rsidRPr="3BDB421E" w:rsidR="3BDB421E">
              <w:rPr>
                <w:rStyle w:val="Hyperlink"/>
              </w:rPr>
              <w:t>26</w:t>
            </w:r>
            <w:r>
              <w:fldChar w:fldCharType="end"/>
            </w:r>
          </w:hyperlink>
        </w:p>
        <w:p w:rsidR="3BDB421E" w:rsidP="3BDB421E" w:rsidRDefault="3BDB421E" w14:paraId="2179234F" w14:textId="6B278865">
          <w:pPr>
            <w:pStyle w:val="TOC2"/>
            <w:tabs>
              <w:tab w:val="right" w:leader="dot" w:pos="9360"/>
            </w:tabs>
            <w:bidi w:val="0"/>
            <w:rPr>
              <w:rStyle w:val="Hyperlink"/>
            </w:rPr>
          </w:pPr>
          <w:hyperlink w:anchor="_Toc1441806762">
            <w:r w:rsidRPr="3BDB421E" w:rsidR="3BDB421E">
              <w:rPr>
                <w:rStyle w:val="Hyperlink"/>
              </w:rPr>
              <w:t>Appendix 2: Working Capital Management Analysis</w:t>
            </w:r>
            <w:r>
              <w:tab/>
            </w:r>
            <w:r>
              <w:fldChar w:fldCharType="begin"/>
            </w:r>
            <w:r>
              <w:instrText xml:space="preserve">PAGEREF _Toc1441806762 \h</w:instrText>
            </w:r>
            <w:r>
              <w:fldChar w:fldCharType="separate"/>
            </w:r>
            <w:r w:rsidRPr="3BDB421E" w:rsidR="3BDB421E">
              <w:rPr>
                <w:rStyle w:val="Hyperlink"/>
              </w:rPr>
              <w:t>36</w:t>
            </w:r>
            <w:r>
              <w:fldChar w:fldCharType="end"/>
            </w:r>
          </w:hyperlink>
        </w:p>
        <w:p w:rsidR="3BDB421E" w:rsidP="3BDB421E" w:rsidRDefault="3BDB421E" w14:paraId="5F4BD845" w14:textId="74412DDD">
          <w:pPr>
            <w:pStyle w:val="TOC2"/>
            <w:tabs>
              <w:tab w:val="right" w:leader="dot" w:pos="9360"/>
            </w:tabs>
            <w:bidi w:val="0"/>
            <w:rPr>
              <w:rStyle w:val="Hyperlink"/>
            </w:rPr>
            <w:sectPr w:rsidRPr="00AB0D0B" w:rsidR="00E67808" w:rsidSect="006A7C0D">
              <w:pgSz w:w="12240" w:h="15840" w:orient="portrait"/>
              <w:pgMar w:top="1440" w:right="1440" w:bottom="1440" w:left="1440" w:header="720" w:footer="720" w:gutter="0"/>
              <w:cols w:space="720"/>
              <w:titlePg/>
              <w:docGrid w:linePitch="360"/>
              <w:headerReference w:type="default" r:id="Rb771e08dd9f24b2d"/>
              <w:footerReference w:type="default" r:id="R0be938a1ae864244"/>
            </w:sectPr>
          </w:pPr>
          <w:hyperlink w:anchor="_Toc1532771519">
            <w:r w:rsidRPr="3BDB421E" w:rsidR="3BDB421E">
              <w:rPr>
                <w:rStyle w:val="Hyperlink"/>
              </w:rPr>
              <w:t>Appendix 3: Investment Appraisals</w:t>
            </w:r>
            <w:r>
              <w:tab/>
            </w:r>
            <w:r>
              <w:fldChar w:fldCharType="begin"/>
            </w:r>
            <w:r>
              <w:instrText xml:space="preserve">PAGEREF _Toc1532771519 \h</w:instrText>
            </w:r>
            <w:r>
              <w:fldChar w:fldCharType="separate"/>
            </w:r>
            <w:r w:rsidRPr="3BDB421E" w:rsidR="3BDB421E">
              <w:rPr>
                <w:rStyle w:val="Hyperlink"/>
              </w:rPr>
              <w:t>37</w:t>
            </w:r>
            <w:r>
              <w:fldChar w:fldCharType="end"/>
            </w:r>
          </w:hyperlink>
          <w:r>
            <w:fldChar w:fldCharType="end"/>
          </w:r>
        </w:p>
      </w:sdtContent>
    </w:sdt>
    <w:p w:rsidRPr="00DC23A1" w:rsidR="00DC23A1" w:rsidP="4B42EC94" w:rsidRDefault="00DC23A1" w14:paraId="10CAD006" w14:textId="264B1F36">
      <w:pPr>
        <w:pStyle w:val="Normal"/>
        <w:sectPr w:rsidRPr="00DC23A1" w:rsidR="00DC23A1" w:rsidSect="006A7C0D">
          <w:pgSz w:w="12240" w:h="15840" w:orient="portrait"/>
          <w:pgMar w:top="1440" w:right="1440" w:bottom="1440" w:left="1440" w:header="720" w:footer="720" w:gutter="0"/>
          <w:cols w:space="720"/>
          <w:titlePg/>
          <w:docGrid w:linePitch="360"/>
          <w:headerReference w:type="default" r:id="R49ff99ef7362472b"/>
          <w:footerReference w:type="default" r:id="R204de1ea5e364fc8"/>
        </w:sectPr>
      </w:pPr>
    </w:p>
    <w:p w:rsidR="003E3173" w:rsidP="00D9135A" w:rsidRDefault="00EE7486" w14:paraId="3DCF4338" w14:textId="7BE0C13F">
      <w:pPr>
        <w:pStyle w:val="Heading1"/>
        <w:rPr>
          <w:rFonts w:cs="Times New Roman"/>
        </w:rPr>
      </w:pPr>
      <w:bookmarkStart w:name="_Toc1004401258" w:id="1003844285"/>
      <w:r w:rsidRPr="3BDB421E" w:rsidR="3B3791D6">
        <w:rPr>
          <w:rFonts w:cs="Times New Roman"/>
        </w:rPr>
        <w:t>Introduction</w:t>
      </w:r>
      <w:bookmarkEnd w:id="1003844285"/>
    </w:p>
    <w:p w:rsidR="715E2746" w:rsidP="4B42EC94" w:rsidRDefault="715E2746" w14:paraId="632ECB07" w14:textId="41E20130">
      <w:pPr>
        <w:pStyle w:val="Normal"/>
        <w:rPr>
          <w:noProof w:val="0"/>
          <w:lang w:val="en-GB"/>
        </w:rPr>
      </w:pP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report critically evaluates Tesla’s financial performance between 2021 and 2025 using ratio analysis, working capital analysis, and capital budgeting techniques to overcome the strategic CFO Challenge. The analysis integrates financial theory with strategic interpretation </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assess whether Tesla’s current financial structure supports sustainable long-term value creation</w:t>
      </w:r>
      <w:r w:rsidRPr="3BDB421E" w:rsidR="2C849FCC">
        <w:rPr>
          <w:rFonts w:ascii="Times New Roman" w:hAnsi="Times New Roman" w:eastAsia="Times New Roman" w:cs="Times New Roman"/>
          <w:b w:val="0"/>
          <w:bCs w:val="0"/>
          <w:i w:val="0"/>
          <w:iCs w:val="0"/>
          <w:caps w:val="0"/>
          <w:smallCaps w:val="0"/>
          <w:noProof w:val="0"/>
          <w:color w:val="0F4761"/>
          <w:sz w:val="24"/>
          <w:szCs w:val="24"/>
          <w:lang w:val="en-US"/>
        </w:rPr>
        <w:t>.</w:t>
      </w:r>
      <w:r w:rsidRPr="3BDB421E" w:rsidR="19322270">
        <w:rPr>
          <w:rFonts w:ascii="Times New Roman" w:hAnsi="Times New Roman" w:eastAsia="Times New Roman" w:cs="Times New Roman"/>
          <w:noProof w:val="0"/>
          <w:sz w:val="24"/>
          <w:szCs w:val="24"/>
          <w:lang w:val="en-US"/>
        </w:rPr>
        <w:t xml:space="preserve"> Relying on evidence based on published financial statements obtained from the annual reports of Tesla (Tesla, </w:t>
      </w:r>
      <w:r w:rsidRPr="3BDB421E" w:rsidR="19322270">
        <w:rPr>
          <w:rFonts w:ascii="Times New Roman" w:hAnsi="Times New Roman" w:eastAsia="Times New Roman" w:cs="Times New Roman"/>
          <w:noProof w:val="0"/>
          <w:sz w:val="24"/>
          <w:szCs w:val="24"/>
          <w:lang w:val="en-US"/>
        </w:rPr>
        <w:t>2023)</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using the general principles of </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financial management</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report will </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attempt</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structural strengths and potential arising risks. This report makes </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accurate</w:t>
      </w:r>
      <w:r w:rsidRPr="3BDB421E" w:rsidR="2C849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recommendation of the best investment decisions based on the capital constraints to increase shareholder value, as well as the economic purposes of Tesla operations worldwide.</w:t>
      </w:r>
    </w:p>
    <w:p w:rsidR="4B42EC94" w:rsidP="4B42EC94" w:rsidRDefault="4B42EC94" w14:paraId="6FC21C92" w14:textId="258C6C2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3F543D" w:rsidP="4B42EC94" w:rsidRDefault="0039746F" w14:paraId="25BF524C" w14:textId="68A57E98">
      <w:pPr>
        <w:pStyle w:val="Heading1"/>
        <w:spacing w:before="0" w:after="160" w:line="259" w:lineRule="auto"/>
        <w:jc w:val="left"/>
      </w:pPr>
      <w:bookmarkStart w:name="_Toc1355569486" w:id="1985824960"/>
      <w:r w:rsidR="15B1F148">
        <w:rPr/>
        <w:t xml:space="preserve">1. </w:t>
      </w:r>
      <w:r w:rsidR="368C735D">
        <w:rPr/>
        <w:t>Fina</w:t>
      </w:r>
      <w:r w:rsidR="3F3D5322">
        <w:rPr/>
        <w:t>ncial Health Check</w:t>
      </w:r>
      <w:bookmarkEnd w:id="1985824960"/>
    </w:p>
    <w:p w:rsidR="5E64FC13" w:rsidP="3BDB421E" w:rsidRDefault="5E64FC13" w14:paraId="03AE0642" w14:textId="002731A9">
      <w:pPr>
        <w:pStyle w:val="Heading2"/>
      </w:pPr>
      <w:bookmarkStart w:name="_Toc509633542" w:id="293526823"/>
      <w:r w:rsidR="5E64FC13">
        <w:rPr/>
        <w:t>1.0 Financial Statement Overview</w:t>
      </w:r>
      <w:bookmarkEnd w:id="293526823"/>
    </w:p>
    <w:p w:rsidR="03AE0534" w:rsidP="3BDB421E" w:rsidRDefault="03AE0534" w14:paraId="6D5CA9C2" w14:textId="103D475C">
      <w:pPr>
        <w:spacing w:before="240" w:beforeAutospacing="off" w:after="240" w:afterAutospacing="off"/>
      </w:pPr>
      <w:r w:rsidRPr="3BDB421E" w:rsidR="03AE0534">
        <w:rPr>
          <w:rFonts w:ascii="Times New Roman" w:hAnsi="Times New Roman" w:eastAsia="Times New Roman" w:cs="Times New Roman"/>
          <w:noProof w:val="0"/>
          <w:sz w:val="24"/>
          <w:szCs w:val="24"/>
          <w:lang w:val="en-GB"/>
        </w:rPr>
        <w:t>The financial analysis of Tesla is underpinned by three core financial statements: the income statement, the statement of financial position, and the cash flow statement. These statements collectively provide an integrated perspective on the organisation’s financial performance, financial position, and liquidity, enabling a holistic evaluation of corporate financial health (Atrill &amp; McLaney, 2022).</w:t>
      </w:r>
    </w:p>
    <w:p w:rsidR="03AE0534" w:rsidP="3BDB421E" w:rsidRDefault="03AE0534" w14:paraId="288ACCF1" w14:textId="5A794D3B">
      <w:pPr>
        <w:spacing w:before="240" w:beforeAutospacing="off" w:after="240" w:afterAutospacing="off"/>
      </w:pPr>
      <w:r w:rsidRPr="3BDB421E" w:rsidR="03AE0534">
        <w:rPr>
          <w:rFonts w:ascii="Times New Roman" w:hAnsi="Times New Roman" w:eastAsia="Times New Roman" w:cs="Times New Roman"/>
          <w:noProof w:val="0"/>
          <w:sz w:val="24"/>
          <w:szCs w:val="24"/>
          <w:lang w:val="en-GB"/>
        </w:rPr>
        <w:t>The income statement reports Tesla’s revenue, cost structure, and profitability, including gross profit and net income, thereby facilitating an assessment of operational efficiency and overall financial performance. In contrast, the statement of financial position presents the company’s assets, liabilities, and equity, offering insight into its capital structure, financial stability, and long-term solvency. Furthermore, the cash flow statement categorises cash movements into operating, investing, and financing activities, highlighting the firm’s capacity to generate cash and sustain its operations.</w:t>
      </w:r>
    </w:p>
    <w:p w:rsidR="03AE0534" w:rsidP="3BDB421E" w:rsidRDefault="03AE0534" w14:paraId="579B0E7C" w14:textId="1BC07757">
      <w:pPr>
        <w:spacing w:before="240" w:beforeAutospacing="off" w:after="240" w:afterAutospacing="off"/>
      </w:pPr>
      <w:r w:rsidRPr="3BDB421E" w:rsidR="03AE0534">
        <w:rPr>
          <w:rFonts w:ascii="Times New Roman" w:hAnsi="Times New Roman" w:eastAsia="Times New Roman" w:cs="Times New Roman"/>
          <w:noProof w:val="0"/>
          <w:sz w:val="24"/>
          <w:szCs w:val="24"/>
          <w:lang w:val="en-GB"/>
        </w:rPr>
        <w:t xml:space="preserve">From a theoretical perspective, these financial statements are essential for stakeholders’ decision-making, as they reduce information asymmetry and support performance evaluation (Healy &amp; Palepu, 2001). Collectively, they form the basis for the ratio analysis conducted in the following sections. Key financial trends are illustrated through graphical representations in the main body of the report, with </w:t>
      </w:r>
      <w:r w:rsidRPr="3BDB421E" w:rsidR="03AE0534">
        <w:rPr>
          <w:rFonts w:ascii="Times New Roman" w:hAnsi="Times New Roman" w:eastAsia="Times New Roman" w:cs="Times New Roman"/>
          <w:noProof w:val="0"/>
          <w:sz w:val="24"/>
          <w:szCs w:val="24"/>
          <w:lang w:val="en-GB"/>
        </w:rPr>
        <w:t>additional</w:t>
      </w:r>
      <w:r w:rsidRPr="3BDB421E" w:rsidR="03AE0534">
        <w:rPr>
          <w:rFonts w:ascii="Times New Roman" w:hAnsi="Times New Roman" w:eastAsia="Times New Roman" w:cs="Times New Roman"/>
          <w:noProof w:val="0"/>
          <w:sz w:val="24"/>
          <w:szCs w:val="24"/>
          <w:lang w:val="en-GB"/>
        </w:rPr>
        <w:t xml:space="preserve"> supporting data provided in the appendix.</w:t>
      </w:r>
    </w:p>
    <w:p w:rsidR="15B1F148" w:rsidP="3BDB421E" w:rsidRDefault="15B1F148" w14:paraId="1621EE92" w14:textId="37DC19F8">
      <w:pPr>
        <w:pStyle w:val="Heading2"/>
      </w:pPr>
      <w:bookmarkStart w:name="_Toc799492025" w:id="456446209"/>
      <w:r w:rsidR="15B1F148">
        <w:rPr/>
        <w:t xml:space="preserve">1.1 </w:t>
      </w:r>
      <w:r w:rsidR="1B5886EB">
        <w:rPr/>
        <w:t>Profitability Analysis</w:t>
      </w:r>
      <w:bookmarkEnd w:id="456446209"/>
    </w:p>
    <w:p w:rsidR="7F0A2554" w:rsidP="3BDB421E" w:rsidRDefault="7F0A2554" w14:paraId="13DC69B7" w14:textId="07C031FF">
      <w:pPr>
        <w:spacing w:before="240" w:beforeAutospacing="off" w:after="240" w:afterAutospacing="off"/>
      </w:pPr>
      <w:r w:rsidRPr="3BDB421E" w:rsidR="7F0A2554">
        <w:rPr>
          <w:rFonts w:ascii="Times New Roman" w:hAnsi="Times New Roman" w:eastAsia="Times New Roman" w:cs="Times New Roman"/>
          <w:noProof w:val="0"/>
          <w:sz w:val="24"/>
          <w:szCs w:val="24"/>
          <w:lang w:val="en-GB"/>
        </w:rPr>
        <w:t xml:space="preserve">The profitability performance of Tesla over the five-year period shows a clear decline in financial efficiency and margin sustainability. Firstly, </w:t>
      </w:r>
      <w:r w:rsidRPr="3BDB421E" w:rsidR="7F0A2554">
        <w:rPr>
          <w:rFonts w:ascii="Times New Roman" w:hAnsi="Times New Roman" w:eastAsia="Times New Roman" w:cs="Times New Roman"/>
          <w:b w:val="0"/>
          <w:bCs w:val="0"/>
          <w:noProof w:val="0"/>
          <w:sz w:val="24"/>
          <w:szCs w:val="24"/>
          <w:lang w:val="en-GB"/>
        </w:rPr>
        <w:t>Return on Capital Employed (ROCE)</w:t>
      </w:r>
      <w:r w:rsidRPr="3BDB421E" w:rsidR="7F0A2554">
        <w:rPr>
          <w:rFonts w:ascii="Times New Roman" w:hAnsi="Times New Roman" w:eastAsia="Times New Roman" w:cs="Times New Roman"/>
          <w:noProof w:val="0"/>
          <w:sz w:val="24"/>
          <w:szCs w:val="24"/>
          <w:lang w:val="en-GB"/>
        </w:rPr>
        <w:t xml:space="preserve"> decreased significantly from 24.55% in 2022 to 4.10% in 2025, </w:t>
      </w:r>
      <w:r w:rsidRPr="3BDB421E" w:rsidR="7F0A2554">
        <w:rPr>
          <w:rFonts w:ascii="Times New Roman" w:hAnsi="Times New Roman" w:eastAsia="Times New Roman" w:cs="Times New Roman"/>
          <w:noProof w:val="0"/>
          <w:sz w:val="24"/>
          <w:szCs w:val="24"/>
          <w:lang w:val="en-GB"/>
        </w:rPr>
        <w:t>indicating</w:t>
      </w:r>
      <w:r w:rsidRPr="3BDB421E" w:rsidR="7F0A2554">
        <w:rPr>
          <w:rFonts w:ascii="Times New Roman" w:hAnsi="Times New Roman" w:eastAsia="Times New Roman" w:cs="Times New Roman"/>
          <w:noProof w:val="0"/>
          <w:sz w:val="24"/>
          <w:szCs w:val="24"/>
          <w:lang w:val="en-GB"/>
        </w:rPr>
        <w:t xml:space="preserve"> that the company is generating lower returns from its invested capital. This may be explained by substantial expansion and increased investment, which have not yet produced proportional operating returns.</w:t>
      </w:r>
    </w:p>
    <w:p w:rsidR="7F0A2554" w:rsidP="3BDB421E" w:rsidRDefault="7F0A2554" w14:paraId="2603939D" w14:textId="2F864ED7">
      <w:pPr>
        <w:spacing w:before="240" w:beforeAutospacing="off" w:after="240" w:afterAutospacing="off"/>
      </w:pPr>
      <w:r w:rsidRPr="3BDB421E" w:rsidR="7F0A2554">
        <w:rPr>
          <w:rFonts w:ascii="Times New Roman" w:hAnsi="Times New Roman" w:eastAsia="Times New Roman" w:cs="Times New Roman"/>
          <w:noProof w:val="0"/>
          <w:sz w:val="24"/>
          <w:szCs w:val="24"/>
          <w:lang w:val="en-GB"/>
        </w:rPr>
        <w:t xml:space="preserve">In </w:t>
      </w:r>
      <w:r w:rsidRPr="3BDB421E" w:rsidR="7F0A2554">
        <w:rPr>
          <w:rFonts w:ascii="Times New Roman" w:hAnsi="Times New Roman" w:eastAsia="Times New Roman" w:cs="Times New Roman"/>
          <w:noProof w:val="0"/>
          <w:sz w:val="24"/>
          <w:szCs w:val="24"/>
          <w:lang w:val="en-GB"/>
        </w:rPr>
        <w:t>a similar way</w:t>
      </w:r>
      <w:r w:rsidRPr="3BDB421E" w:rsidR="7F0A2554">
        <w:rPr>
          <w:rFonts w:ascii="Times New Roman" w:hAnsi="Times New Roman" w:eastAsia="Times New Roman" w:cs="Times New Roman"/>
          <w:noProof w:val="0"/>
          <w:sz w:val="24"/>
          <w:szCs w:val="24"/>
          <w:lang w:val="en-GB"/>
        </w:rPr>
        <w:t xml:space="preserve">, the </w:t>
      </w:r>
      <w:r w:rsidRPr="3BDB421E" w:rsidR="7F0A2554">
        <w:rPr>
          <w:rFonts w:ascii="Times New Roman" w:hAnsi="Times New Roman" w:eastAsia="Times New Roman" w:cs="Times New Roman"/>
          <w:b w:val="0"/>
          <w:bCs w:val="0"/>
          <w:noProof w:val="0"/>
          <w:sz w:val="24"/>
          <w:szCs w:val="24"/>
          <w:lang w:val="en-GB"/>
        </w:rPr>
        <w:t>Net Profit Margin</w:t>
      </w:r>
      <w:r w:rsidRPr="3BDB421E" w:rsidR="7F0A2554">
        <w:rPr>
          <w:rFonts w:ascii="Times New Roman" w:hAnsi="Times New Roman" w:eastAsia="Times New Roman" w:cs="Times New Roman"/>
          <w:b w:val="0"/>
          <w:bCs w:val="0"/>
          <w:noProof w:val="0"/>
          <w:sz w:val="24"/>
          <w:szCs w:val="24"/>
          <w:lang w:val="en-GB"/>
        </w:rPr>
        <w:t xml:space="preserve"> </w:t>
      </w:r>
      <w:r w:rsidRPr="3BDB421E" w:rsidR="7F0A2554">
        <w:rPr>
          <w:rFonts w:ascii="Times New Roman" w:hAnsi="Times New Roman" w:eastAsia="Times New Roman" w:cs="Times New Roman"/>
          <w:noProof w:val="0"/>
          <w:sz w:val="24"/>
          <w:szCs w:val="24"/>
          <w:lang w:val="en-GB"/>
        </w:rPr>
        <w:t xml:space="preserve">follows a downward trend, rising to a peak of 15.47% in 2023 before falling to 4.07% in 2025. This suggests that overall profitability has weakened, </w:t>
      </w:r>
      <w:r w:rsidRPr="3BDB421E" w:rsidR="7F0A2554">
        <w:rPr>
          <w:rFonts w:ascii="Times New Roman" w:hAnsi="Times New Roman" w:eastAsia="Times New Roman" w:cs="Times New Roman"/>
          <w:noProof w:val="0"/>
          <w:sz w:val="24"/>
          <w:szCs w:val="24"/>
          <w:lang w:val="en-GB"/>
        </w:rPr>
        <w:t>likely due to</w:t>
      </w:r>
      <w:r w:rsidRPr="3BDB421E" w:rsidR="7F0A2554">
        <w:rPr>
          <w:rFonts w:ascii="Times New Roman" w:hAnsi="Times New Roman" w:eastAsia="Times New Roman" w:cs="Times New Roman"/>
          <w:noProof w:val="0"/>
          <w:sz w:val="24"/>
          <w:szCs w:val="24"/>
          <w:lang w:val="en-GB"/>
        </w:rPr>
        <w:t xml:space="preserve"> higher costs, pricing pressures, and increased competition within the electric vehicle industry.</w:t>
      </w:r>
    </w:p>
    <w:p w:rsidR="7F0A2554" w:rsidP="3BDB421E" w:rsidRDefault="7F0A2554" w14:paraId="3B021CCC" w14:textId="648E7216">
      <w:pPr>
        <w:spacing w:before="240" w:beforeAutospacing="off" w:after="240" w:afterAutospacing="off"/>
      </w:pPr>
      <w:r w:rsidRPr="3BDB421E" w:rsidR="7F0A2554">
        <w:rPr>
          <w:rFonts w:ascii="Times New Roman" w:hAnsi="Times New Roman" w:eastAsia="Times New Roman" w:cs="Times New Roman"/>
          <w:noProof w:val="0"/>
          <w:sz w:val="24"/>
          <w:szCs w:val="24"/>
          <w:lang w:val="en-GB"/>
        </w:rPr>
        <w:t xml:space="preserve">Moreover, the </w:t>
      </w:r>
      <w:r w:rsidRPr="3BDB421E" w:rsidR="7F0A2554">
        <w:rPr>
          <w:rFonts w:ascii="Times New Roman" w:hAnsi="Times New Roman" w:eastAsia="Times New Roman" w:cs="Times New Roman"/>
          <w:b w:val="0"/>
          <w:bCs w:val="0"/>
          <w:noProof w:val="0"/>
          <w:sz w:val="24"/>
          <w:szCs w:val="24"/>
          <w:lang w:val="en-GB"/>
        </w:rPr>
        <w:t>Gross Profit Margin</w:t>
      </w:r>
      <w:r w:rsidRPr="3BDB421E" w:rsidR="7F0A2554">
        <w:rPr>
          <w:rFonts w:ascii="Times New Roman" w:hAnsi="Times New Roman" w:eastAsia="Times New Roman" w:cs="Times New Roman"/>
          <w:noProof w:val="0"/>
          <w:sz w:val="24"/>
          <w:szCs w:val="24"/>
          <w:lang w:val="en-GB"/>
        </w:rPr>
        <w:t xml:space="preserve"> declined from over 25% in 2021 and 2022 to approximately 19% in 2025. This </w:t>
      </w:r>
      <w:r w:rsidRPr="3BDB421E" w:rsidR="7F0A2554">
        <w:rPr>
          <w:rFonts w:ascii="Times New Roman" w:hAnsi="Times New Roman" w:eastAsia="Times New Roman" w:cs="Times New Roman"/>
          <w:noProof w:val="0"/>
          <w:sz w:val="24"/>
          <w:szCs w:val="24"/>
          <w:lang w:val="en-GB"/>
        </w:rPr>
        <w:t>indicates</w:t>
      </w:r>
      <w:r w:rsidRPr="3BDB421E" w:rsidR="7F0A2554">
        <w:rPr>
          <w:rFonts w:ascii="Times New Roman" w:hAnsi="Times New Roman" w:eastAsia="Times New Roman" w:cs="Times New Roman"/>
          <w:noProof w:val="0"/>
          <w:sz w:val="24"/>
          <w:szCs w:val="24"/>
          <w:lang w:val="en-GB"/>
        </w:rPr>
        <w:t xml:space="preserve"> that Tesla is </w:t>
      </w:r>
      <w:r w:rsidRPr="3BDB421E" w:rsidR="7F0A2554">
        <w:rPr>
          <w:rFonts w:ascii="Times New Roman" w:hAnsi="Times New Roman" w:eastAsia="Times New Roman" w:cs="Times New Roman"/>
          <w:noProof w:val="0"/>
          <w:sz w:val="24"/>
          <w:szCs w:val="24"/>
          <w:lang w:val="en-GB"/>
        </w:rPr>
        <w:t>retaining</w:t>
      </w:r>
      <w:r w:rsidRPr="3BDB421E" w:rsidR="7F0A2554">
        <w:rPr>
          <w:rFonts w:ascii="Times New Roman" w:hAnsi="Times New Roman" w:eastAsia="Times New Roman" w:cs="Times New Roman"/>
          <w:noProof w:val="0"/>
          <w:sz w:val="24"/>
          <w:szCs w:val="24"/>
          <w:lang w:val="en-GB"/>
        </w:rPr>
        <w:t xml:space="preserve"> a smaller </w:t>
      </w:r>
      <w:r w:rsidRPr="3BDB421E" w:rsidR="7F0A2554">
        <w:rPr>
          <w:rFonts w:ascii="Times New Roman" w:hAnsi="Times New Roman" w:eastAsia="Times New Roman" w:cs="Times New Roman"/>
          <w:noProof w:val="0"/>
          <w:sz w:val="24"/>
          <w:szCs w:val="24"/>
          <w:lang w:val="en-GB"/>
        </w:rPr>
        <w:t>portion</w:t>
      </w:r>
      <w:r w:rsidRPr="3BDB421E" w:rsidR="7F0A2554">
        <w:rPr>
          <w:rFonts w:ascii="Times New Roman" w:hAnsi="Times New Roman" w:eastAsia="Times New Roman" w:cs="Times New Roman"/>
          <w:noProof w:val="0"/>
          <w:sz w:val="24"/>
          <w:szCs w:val="24"/>
          <w:lang w:val="en-GB"/>
        </w:rPr>
        <w:t xml:space="preserve"> of revenue after covering production costs, which may be linked to rising input costs, supply chain challenges, or strategic price reductions to remain competitive.</w:t>
      </w:r>
      <w:r w:rsidRPr="3BDB421E" w:rsidR="4C4B389D">
        <w:rPr>
          <w:rFonts w:ascii="Times New Roman" w:hAnsi="Times New Roman" w:eastAsia="Times New Roman" w:cs="Times New Roman"/>
          <w:noProof w:val="0"/>
          <w:sz w:val="24"/>
          <w:szCs w:val="24"/>
          <w:lang w:val="en-GB"/>
        </w:rPr>
        <w:t xml:space="preserve"> </w:t>
      </w:r>
    </w:p>
    <w:p w:rsidR="7F0A2554" w:rsidP="3BDB421E" w:rsidRDefault="7F0A2554" w14:paraId="22CB91E4" w14:textId="300AA12A">
      <w:pPr>
        <w:spacing w:before="240" w:beforeAutospacing="off" w:after="240" w:afterAutospacing="off"/>
      </w:pPr>
      <w:r w:rsidRPr="3BDB421E" w:rsidR="7F0A2554">
        <w:rPr>
          <w:rFonts w:ascii="Times New Roman" w:hAnsi="Times New Roman" w:eastAsia="Times New Roman" w:cs="Times New Roman"/>
          <w:noProof w:val="0"/>
          <w:sz w:val="24"/>
          <w:szCs w:val="24"/>
          <w:lang w:val="en-GB"/>
        </w:rPr>
        <w:t xml:space="preserve">Additionally, the </w:t>
      </w:r>
      <w:r w:rsidRPr="3BDB421E" w:rsidR="7F0A2554">
        <w:rPr>
          <w:rFonts w:ascii="Times New Roman" w:hAnsi="Times New Roman" w:eastAsia="Times New Roman" w:cs="Times New Roman"/>
          <w:b w:val="0"/>
          <w:bCs w:val="0"/>
          <w:noProof w:val="0"/>
          <w:sz w:val="24"/>
          <w:szCs w:val="24"/>
          <w:lang w:val="en-GB"/>
        </w:rPr>
        <w:t>Operating Profit Margin</w:t>
      </w:r>
      <w:r w:rsidRPr="3BDB421E" w:rsidR="7F0A2554">
        <w:rPr>
          <w:rFonts w:ascii="Times New Roman" w:hAnsi="Times New Roman" w:eastAsia="Times New Roman" w:cs="Times New Roman"/>
          <w:noProof w:val="0"/>
          <w:sz w:val="24"/>
          <w:szCs w:val="24"/>
          <w:lang w:val="en-GB"/>
        </w:rPr>
        <w:t xml:space="preserve"> experienced a sharp decrease, dropping from above 20% in 2022 to around 3.61% in 2025. This reflects a significant rise in operating expenses, including research and development, administrative costs, and ongoing global expansion </w:t>
      </w:r>
      <w:r w:rsidRPr="3BDB421E" w:rsidR="7F0A2554">
        <w:rPr>
          <w:rFonts w:ascii="Times New Roman" w:hAnsi="Times New Roman" w:eastAsia="Times New Roman" w:cs="Times New Roman"/>
          <w:noProof w:val="0"/>
          <w:sz w:val="24"/>
          <w:szCs w:val="24"/>
          <w:lang w:val="en-GB"/>
        </w:rPr>
        <w:t>efforts.</w:t>
      </w:r>
      <w:r w:rsidRPr="3BDB421E" w:rsidR="7F0A2554">
        <w:rPr>
          <w:rFonts w:ascii="Times New Roman" w:hAnsi="Times New Roman" w:eastAsia="Times New Roman" w:cs="Times New Roman"/>
          <w:noProof w:val="0"/>
          <w:sz w:val="24"/>
          <w:szCs w:val="24"/>
          <w:lang w:val="en-GB"/>
        </w:rPr>
        <w:t>Overall</w:t>
      </w:r>
      <w:r w:rsidRPr="3BDB421E" w:rsidR="7F0A2554">
        <w:rPr>
          <w:rFonts w:ascii="Times New Roman" w:hAnsi="Times New Roman" w:eastAsia="Times New Roman" w:cs="Times New Roman"/>
          <w:noProof w:val="0"/>
          <w:sz w:val="24"/>
          <w:szCs w:val="24"/>
          <w:lang w:val="en-GB"/>
        </w:rPr>
        <w:t xml:space="preserve">, the consistent decline across all profitability ratios suggests that, although Tesla previously achieved </w:t>
      </w:r>
      <w:r w:rsidRPr="3BDB421E" w:rsidR="7F0A2554">
        <w:rPr>
          <w:rFonts w:ascii="Times New Roman" w:hAnsi="Times New Roman" w:eastAsia="Times New Roman" w:cs="Times New Roman"/>
          <w:noProof w:val="0"/>
          <w:sz w:val="24"/>
          <w:szCs w:val="24"/>
          <w:lang w:val="en-GB"/>
        </w:rPr>
        <w:t>strong performance</w:t>
      </w:r>
      <w:r w:rsidRPr="3BDB421E" w:rsidR="7F0A2554">
        <w:rPr>
          <w:rFonts w:ascii="Times New Roman" w:hAnsi="Times New Roman" w:eastAsia="Times New Roman" w:cs="Times New Roman"/>
          <w:noProof w:val="0"/>
          <w:sz w:val="24"/>
          <w:szCs w:val="24"/>
          <w:lang w:val="en-GB"/>
        </w:rPr>
        <w:t>, it is now experiencing margin pressure and reduced operational efficiency. This highlights the need for improved cost control and more efficient use of resources to support long-term profitability and shareholder value (Tesla, 2025).</w:t>
      </w:r>
    </w:p>
    <w:p w:rsidR="3BDB421E" w:rsidP="3BDB421E" w:rsidRDefault="3BDB421E" w14:paraId="166931F5" w14:textId="2E3465F8">
      <w:pPr>
        <w:pStyle w:val="Normal"/>
      </w:pPr>
    </w:p>
    <w:p w:rsidR="3BDB421E" w:rsidP="3BDB421E" w:rsidRDefault="3BDB421E" w14:paraId="3B8E9D01" w14:textId="271443D1">
      <w:pPr>
        <w:pStyle w:val="Normal"/>
      </w:pPr>
    </w:p>
    <w:p w:rsidR="3BDB421E" w:rsidP="3BDB421E" w:rsidRDefault="3BDB421E" w14:paraId="781B1DF3" w14:textId="72684B90">
      <w:pPr>
        <w:pStyle w:val="Normal"/>
      </w:pPr>
    </w:p>
    <w:p w:rsidR="000C52E1" w:rsidP="000C52E1" w:rsidRDefault="0039746F" w14:paraId="7C500306" w14:textId="5465A1FB">
      <w:pPr>
        <w:pStyle w:val="Heading2"/>
      </w:pPr>
      <w:bookmarkStart w:name="_Toc29205044" w:id="1016372588"/>
      <w:r w:rsidR="15B1F148">
        <w:rPr/>
        <w:t xml:space="preserve">1.2 </w:t>
      </w:r>
      <w:r w:rsidR="1B5886EB">
        <w:rPr/>
        <w:t>Liquidity Analysis</w:t>
      </w:r>
      <w:bookmarkEnd w:id="1016372588"/>
      <w:r w:rsidR="071966CB">
        <w:rPr/>
        <w:t xml:space="preserve"> </w:t>
      </w:r>
    </w:p>
    <w:p w:rsidR="00C72CF1" w:rsidP="4B42EC94" w:rsidRDefault="001B4AAE" w14:paraId="102FBBEF" w14:textId="6B454A5E">
      <w:pPr>
        <w:pStyle w:val="Normal"/>
      </w:pPr>
      <w:r w:rsidR="001B4AAE">
        <w:rPr/>
        <w:t>The l</w:t>
      </w:r>
      <w:r w:rsidR="006D7535">
        <w:rPr/>
        <w:t xml:space="preserve">iquidity position of Tesla has been improving steadily </w:t>
      </w:r>
      <w:r w:rsidR="001B4AAE">
        <w:rPr/>
        <w:t>over</w:t>
      </w:r>
      <w:r w:rsidR="006D7535">
        <w:rPr/>
        <w:t xml:space="preserve"> the </w:t>
      </w:r>
      <w:r w:rsidR="001B4AAE">
        <w:rPr/>
        <w:t xml:space="preserve">past </w:t>
      </w:r>
      <w:r w:rsidR="006D7535">
        <w:rPr/>
        <w:t xml:space="preserve">five years. </w:t>
      </w:r>
      <w:r w:rsidRPr="4B42EC94" w:rsidR="652EDC38">
        <w:rPr>
          <w:rFonts w:ascii="Times New Roman" w:hAnsi="Times New Roman" w:eastAsia="Times New Roman" w:cs="Times New Roman"/>
          <w:noProof w:val="0"/>
          <w:sz w:val="24"/>
          <w:szCs w:val="24"/>
          <w:lang w:val="en-GB"/>
        </w:rPr>
        <w:t xml:space="preserve">While stronger liquidity improves short-term solvency, excessively high liquidity may indicate inefficient capital allocation. For a growth-oriented technology manufacturer like Tesla, idle liquid assets could instead be reinvested into R&amp;D, battery innovation or AI-driven vehicle technology to enhance long-term competitive advantage. </w:t>
      </w:r>
    </w:p>
    <w:p w:rsidR="00C72CF1" w:rsidP="4B42EC94" w:rsidRDefault="001B4AAE" w14:paraId="17F2C0CA" w14:textId="36873A70">
      <w:pPr>
        <w:pStyle w:val="Normal"/>
      </w:pPr>
      <w:r w:rsidR="006D7535">
        <w:rPr/>
        <w:t xml:space="preserve">Table 1 </w:t>
      </w:r>
      <w:r w:rsidR="006D7535">
        <w:rPr/>
        <w:t>indicates</w:t>
      </w:r>
      <w:r w:rsidR="006D7535">
        <w:rPr/>
        <w:t xml:space="preserve"> that the Current Ratio has improved not only in 2021 but also in 2025, gaining 0.78 points</w:t>
      </w:r>
      <w:r w:rsidR="00F15A55">
        <w:rPr/>
        <w:t xml:space="preserve">. </w:t>
      </w:r>
      <w:r w:rsidR="00F15A55">
        <w:rPr/>
        <w:t>However,</w:t>
      </w:r>
      <w:r w:rsidR="006D7535">
        <w:rPr/>
        <w:t xml:space="preserve"> the Quick Ratio has also increased </w:t>
      </w:r>
      <w:r w:rsidR="001B4AAE">
        <w:rPr/>
        <w:t>by</w:t>
      </w:r>
      <w:r w:rsidR="006D7535">
        <w:rPr/>
        <w:t xml:space="preserve"> 0.5</w:t>
      </w:r>
      <w:r w:rsidR="006F134E">
        <w:rPr/>
        <w:t xml:space="preserve"> points</w:t>
      </w:r>
      <w:r w:rsidR="006D7535">
        <w:rPr/>
        <w:t xml:space="preserve">. These values show an increase in the ability to handle the </w:t>
      </w:r>
      <w:r w:rsidR="00F15A55">
        <w:rPr/>
        <w:t>short-term</w:t>
      </w:r>
      <w:r w:rsidR="006D7535">
        <w:rPr/>
        <w:t xml:space="preserve"> commitments without financial pressure. Liquidity ratios evaluate how solvent a firm is </w:t>
      </w:r>
      <w:r w:rsidR="001B4AAE">
        <w:rPr/>
        <w:t xml:space="preserve">in the </w:t>
      </w:r>
      <w:r w:rsidR="006D7535">
        <w:rPr/>
        <w:t>short</w:t>
      </w:r>
      <w:r w:rsidR="00C72CF1">
        <w:rPr/>
        <w:t>-</w:t>
      </w:r>
      <w:r w:rsidR="006D7535">
        <w:rPr/>
        <w:t>term and how it would survive any attempt to shake the firm (Brigham and Ehrhardt, 2023).</w:t>
      </w:r>
    </w:p>
    <w:p w:rsidR="00C72CF1" w:rsidP="00767ADB" w:rsidRDefault="006D7535" w14:paraId="10A8EDE1" w14:textId="0A816ACD">
      <w:r w:rsidRPr="006D7535">
        <w:t>The gradual growth is one of the structural strengths. When the Current Ratio is greater than 2.0, then the company has started with a healthy liquidity buffer</w:t>
      </w:r>
      <w:r w:rsidR="001B4AAE">
        <w:t>,</w:t>
      </w:r>
      <w:r w:rsidRPr="006D7535">
        <w:t xml:space="preserve"> which minimi</w:t>
      </w:r>
      <w:r w:rsidR="001B4AAE">
        <w:t>s</w:t>
      </w:r>
      <w:r w:rsidRPr="006D7535">
        <w:t xml:space="preserve">es the refinancing </w:t>
      </w:r>
      <w:r w:rsidRPr="006D7535" w:rsidR="00C72CF1">
        <w:t>risk and</w:t>
      </w:r>
      <w:r w:rsidRPr="006D7535">
        <w:t xml:space="preserve"> increases stability in periods of economic uncertainty. The increase in the Quick Ratio testifies that it is not only the improvement of the inventory that causes the rise</w:t>
      </w:r>
      <w:r w:rsidR="001B4AAE">
        <w:t>,</w:t>
      </w:r>
      <w:r w:rsidRPr="006D7535">
        <w:t xml:space="preserve"> but the presence of truly liquid resources</w:t>
      </w:r>
      <w:r w:rsidR="001B4AAE">
        <w:t>,</w:t>
      </w:r>
      <w:r w:rsidRPr="006D7535">
        <w:t xml:space="preserve"> cash and receivables.</w:t>
      </w:r>
    </w:p>
    <w:p w:rsidRPr="00767ADB" w:rsidR="00767ADB" w:rsidP="00767ADB" w:rsidRDefault="006D7535" w14:paraId="0C688EC8" w14:textId="08A8370F">
      <w:r w:rsidRPr="006D7535">
        <w:t xml:space="preserve">Nevertheless, too much liquidity can be an indication of inefficient allocation of capital. Stocking large liquid balances without proportional returns may reduce the overall capital productivity (Atrill and McLaney, 2022). Since Tesla is also experiencing decreasing profitability, the liquidity expansion can serve as a </w:t>
      </w:r>
      <w:r w:rsidRPr="006D7535" w:rsidR="00C72CF1">
        <w:t>defence</w:t>
      </w:r>
      <w:r w:rsidRPr="006D7535">
        <w:t xml:space="preserve"> since the company manages its finances. Although Tesla seems financially stable in the short-term, the current high liquidity position and decreasing ROCE can be signs of conservative positioning because of the volatility observed in the markets. Therefore, it is liquid, which is a definite strength regarding solvency, but perhaps an opportunity cost when it comes to the maximi</w:t>
      </w:r>
      <w:r w:rsidR="001B4AAE">
        <w:t>s</w:t>
      </w:r>
      <w:r w:rsidRPr="006D7535">
        <w:t>ation of returns.</w:t>
      </w:r>
    </w:p>
    <w:p w:rsidR="000C52E1" w:rsidP="000C52E1" w:rsidRDefault="0039746F" w14:paraId="2490E7E1" w14:textId="5EC67E9A">
      <w:pPr>
        <w:pStyle w:val="Heading2"/>
      </w:pPr>
      <w:bookmarkStart w:name="_Toc1393677295" w:id="1864114386"/>
      <w:r w:rsidR="15B1F148">
        <w:rPr/>
        <w:t xml:space="preserve">1.3 </w:t>
      </w:r>
      <w:r w:rsidR="1B5886EB">
        <w:rPr/>
        <w:t>Efficiency Analysis</w:t>
      </w:r>
      <w:bookmarkEnd w:id="1864114386"/>
    </w:p>
    <w:p w:rsidR="00F15A55" w:rsidP="00C72CF1" w:rsidRDefault="00663D05" w14:paraId="3F1C8C93" w14:textId="3DDF60C8">
      <w:r w:rsidRPr="00663D05">
        <w:t xml:space="preserve">Efficiency ratios of Tesla show that its efficiency in assets has been decreasing. Table 1 demonstrates that the Asset Turnover decreases </w:t>
      </w:r>
      <w:r w:rsidR="001B4AAE">
        <w:t>from</w:t>
      </w:r>
      <w:r w:rsidRPr="00663D05">
        <w:t xml:space="preserve"> 2022 to 2025 to 1.46 and 0.89</w:t>
      </w:r>
      <w:r w:rsidR="001B4AAE">
        <w:t>,</w:t>
      </w:r>
      <w:r w:rsidRPr="00663D05">
        <w:t xml:space="preserve"> respectively. The Inventory Turnover varied and decreased in general between 6.99 in 2021 </w:t>
      </w:r>
      <w:r w:rsidR="001B4AAE">
        <w:t>and</w:t>
      </w:r>
      <w:r w:rsidRPr="00663D05">
        <w:t xml:space="preserve"> 6.27 in 2025. Asset Turnover is the evaluation of the level of efficiency of capital used to generate revenues (Atrill and McLaney, 2022). The decreasing trend indicates that the growth in assets has been higher than </w:t>
      </w:r>
      <w:r w:rsidR="001B4AAE">
        <w:t xml:space="preserve">the </w:t>
      </w:r>
      <w:r w:rsidRPr="00663D05">
        <w:t>growth in revenues. This drop can be due to the aggressive capital expenditure done by Tesla on their production plants, technology and internationali</w:t>
      </w:r>
      <w:r w:rsidR="001B4AAE">
        <w:t>s</w:t>
      </w:r>
      <w:r w:rsidRPr="00663D05">
        <w:t>ation. Though expansion has a positive benefit of long-term growth and capability, the short-run revenue seems to be inadequate to sustain previous levels of efficiency.</w:t>
      </w:r>
    </w:p>
    <w:p w:rsidRPr="00C72CF1" w:rsidR="00C72CF1" w:rsidP="00C72CF1" w:rsidRDefault="00663D05" w14:paraId="01E4A37B" w14:textId="698FBAE6">
      <w:r w:rsidR="50C209CB">
        <w:rPr/>
        <w:t xml:space="preserve">The decrease in the Asset Turnover coincides with the declining ROCE, which adds to fears </w:t>
      </w:r>
      <w:r w:rsidR="50C209CB">
        <w:rPr/>
        <w:t>regarding</w:t>
      </w:r>
      <w:r w:rsidR="50C209CB">
        <w:rPr/>
        <w:t xml:space="preserve"> decreased operational productivity. The volatile inventory Turnover </w:t>
      </w:r>
      <w:r w:rsidR="50C209CB">
        <w:rPr/>
        <w:t>indicates</w:t>
      </w:r>
      <w:r w:rsidR="50C209CB">
        <w:rPr/>
        <w:t xml:space="preserve"> changes in the supply chain control or changes in consumer demand. However, even though the ratio falls within </w:t>
      </w:r>
      <w:r w:rsidR="3C731AE2">
        <w:rPr/>
        <w:t xml:space="preserve">an </w:t>
      </w:r>
      <w:r w:rsidR="50C209CB">
        <w:rPr/>
        <w:t xml:space="preserve">acceptable range, the falling turnover may be </w:t>
      </w:r>
      <w:r w:rsidR="3C731AE2">
        <w:rPr/>
        <w:t>a</w:t>
      </w:r>
      <w:r w:rsidR="50C209CB">
        <w:rPr/>
        <w:t xml:space="preserve"> sign of the accumulation of inventory or the reduced speed of sales. This poses a </w:t>
      </w:r>
      <w:r w:rsidR="50C209CB">
        <w:rPr/>
        <w:t>possible risk</w:t>
      </w:r>
      <w:r w:rsidR="50C209CB">
        <w:rPr/>
        <w:t xml:space="preserve"> in a </w:t>
      </w:r>
      <w:r w:rsidR="67F05B35">
        <w:rPr/>
        <w:t>capital-intensive</w:t>
      </w:r>
      <w:r w:rsidR="50C209CB">
        <w:rPr/>
        <w:t xml:space="preserve"> automotive world where the obsolescence of the inventory can shrink the margins. The </w:t>
      </w:r>
      <w:r w:rsidR="50C209CB">
        <w:rPr/>
        <w:t>previous</w:t>
      </w:r>
      <w:r w:rsidR="50C209CB">
        <w:rPr/>
        <w:t xml:space="preserve"> capacity of Tesla to sustain high asset turnover proves that it </w:t>
      </w:r>
      <w:r w:rsidR="50C209CB">
        <w:rPr/>
        <w:t>is able to</w:t>
      </w:r>
      <w:r w:rsidR="50C209CB">
        <w:rPr/>
        <w:t xml:space="preserve"> </w:t>
      </w:r>
      <w:r w:rsidR="50C209CB">
        <w:rPr/>
        <w:t>operate</w:t>
      </w:r>
      <w:r w:rsidR="50C209CB">
        <w:rPr/>
        <w:t xml:space="preserve"> effectively. Nevertheless, the new decline is a risk of dilution of capital. Tesla should improve revenue growth as compared to asset </w:t>
      </w:r>
      <w:bookmarkStart w:name="_Int_MGgOcIgG" w:id="999238109"/>
      <w:r w:rsidR="50C209CB">
        <w:rPr/>
        <w:t>growth</w:t>
      </w:r>
      <w:r w:rsidR="3C731AE2">
        <w:rPr/>
        <w:t>,</w:t>
      </w:r>
      <w:r w:rsidR="50C209CB">
        <w:rPr/>
        <w:t xml:space="preserve"> or</w:t>
      </w:r>
      <w:bookmarkEnd w:id="999238109"/>
      <w:r w:rsidR="50C209CB">
        <w:rPr/>
        <w:t xml:space="preserve"> become more efficient </w:t>
      </w:r>
      <w:r w:rsidR="3C731AE2">
        <w:rPr/>
        <w:t>i</w:t>
      </w:r>
      <w:r w:rsidR="50C209CB">
        <w:rPr/>
        <w:t>n using available facilities in terms of utilisation</w:t>
      </w:r>
      <w:r w:rsidR="3C731AE2">
        <w:rPr/>
        <w:t>,</w:t>
      </w:r>
      <w:r w:rsidR="50C209CB">
        <w:rPr/>
        <w:t xml:space="preserve"> to restore efficiency.</w:t>
      </w:r>
    </w:p>
    <w:p w:rsidR="0AA69BFE" w:rsidP="3BDB421E" w:rsidRDefault="0AA69BFE" w14:paraId="610F532B" w14:textId="6358C705">
      <w:pPr>
        <w:pStyle w:val="Normal"/>
      </w:pPr>
      <w:r w:rsidRPr="3BDB421E" w:rsidR="0AA69BFE">
        <w:rPr>
          <w:rFonts w:ascii="Times New Roman" w:hAnsi="Times New Roman" w:eastAsia="Times New Roman" w:cs="Times New Roman"/>
          <w:noProof w:val="0"/>
          <w:sz w:val="24"/>
          <w:szCs w:val="24"/>
          <w:lang w:val="en-GB"/>
        </w:rPr>
        <w:t>Tesla’s Days Sales Outstanding (DSO) increased from 12.80 days in 2021 to 17.37 days in 2025, indicating a decline in receivables collection efficiency, which may place additional pressure on working capital and short-term liquidity.</w:t>
      </w:r>
    </w:p>
    <w:p w:rsidR="000C52E1" w:rsidP="000C52E1" w:rsidRDefault="0039746F" w14:paraId="661C6F63" w14:textId="370D633F">
      <w:pPr>
        <w:pStyle w:val="Heading2"/>
      </w:pPr>
      <w:bookmarkStart w:name="_Toc2016104795" w:id="1536076637"/>
      <w:r w:rsidR="15B1F148">
        <w:rPr/>
        <w:t xml:space="preserve">1.4 </w:t>
      </w:r>
      <w:r w:rsidR="1B5886EB">
        <w:rPr/>
        <w:t>Gearing Analysis</w:t>
      </w:r>
      <w:bookmarkEnd w:id="1536076637"/>
    </w:p>
    <w:p w:rsidR="0034205B" w:rsidP="00F83086" w:rsidRDefault="002051F0" w14:paraId="5FEEBFBE" w14:textId="17C58E43">
      <w:r w:rsidRPr="002051F0">
        <w:t xml:space="preserve">The gearing position of Tesla has improved significantly. As can be seen in Table 1, </w:t>
      </w:r>
      <w:r w:rsidR="001B4AAE">
        <w:t xml:space="preserve">the </w:t>
      </w:r>
      <w:r w:rsidRPr="002051F0">
        <w:t xml:space="preserve">Debt-to-Equity Ratio decreased in both 2021 and 2025, which means that the company became </w:t>
      </w:r>
      <w:r w:rsidR="001B4AAE">
        <w:t xml:space="preserve">less </w:t>
      </w:r>
      <w:r w:rsidRPr="002051F0">
        <w:t>dependent on debt-financing less. Reduced leverage increases financial stability and minimi</w:t>
      </w:r>
      <w:r w:rsidR="001B4AAE">
        <w:t>s</w:t>
      </w:r>
      <w:r w:rsidRPr="002051F0">
        <w:t>es the interest rate risk (Brigham and Ehrhardt, 2023). Such breaking of leverage is an obvious advantage</w:t>
      </w:r>
      <w:r w:rsidR="001B4AAE">
        <w:t>,</w:t>
      </w:r>
      <w:r w:rsidRPr="002051F0">
        <w:t xml:space="preserve"> especially in times of macroeconomic insecurity. The ratios below 1.0 indicate </w:t>
      </w:r>
      <w:r w:rsidR="001B4AAE">
        <w:t xml:space="preserve">a </w:t>
      </w:r>
      <w:r w:rsidRPr="002051F0">
        <w:t xml:space="preserve">balanced capital structure and conservative financial policy. The lower gearing of Tesla increases the solvency and also gives flexibility in future borrowing should the need arise. But Interest Cover improved dramatically </w:t>
      </w:r>
      <w:r w:rsidR="001B4AAE">
        <w:t>from</w:t>
      </w:r>
      <w:r w:rsidRPr="002051F0">
        <w:t xml:space="preserve"> 71.50 </w:t>
      </w:r>
      <w:r w:rsidR="001B4AAE">
        <w:t>i</w:t>
      </w:r>
      <w:r w:rsidRPr="002051F0">
        <w:t xml:space="preserve">n 2022 to 12.88 </w:t>
      </w:r>
      <w:r w:rsidR="001B4AAE">
        <w:t>i</w:t>
      </w:r>
      <w:r w:rsidRPr="002051F0">
        <w:t>n 2025.</w:t>
      </w:r>
    </w:p>
    <w:p w:rsidRPr="00F83086" w:rsidR="00F83086" w:rsidP="00F83086" w:rsidRDefault="002051F0" w14:paraId="10D618CC" w14:textId="36AD628A">
      <w:r w:rsidRPr="002051F0">
        <w:t>Despite its not being undercover, operating profit has been in a downward trend, but not due to the increasing cost of debt. This supports the profitability issues discovered in the previous discussion. Financial flexibility gets diminished even with lower leverage</w:t>
      </w:r>
      <w:r w:rsidR="001B4AAE">
        <w:t>,</w:t>
      </w:r>
      <w:r w:rsidRPr="002051F0">
        <w:t xml:space="preserve"> </w:t>
      </w:r>
      <w:r w:rsidR="001B4AAE">
        <w:t>due to</w:t>
      </w:r>
      <w:r w:rsidRPr="002051F0">
        <w:t xml:space="preserve"> weakening earnings. The capital structure of Tesla seems to be stability </w:t>
      </w:r>
      <w:r w:rsidRPr="002051F0" w:rsidR="00FF69BE">
        <w:t>risk</w:t>
      </w:r>
      <w:r w:rsidR="00FF69BE">
        <w:t xml:space="preserve"> averse</w:t>
      </w:r>
      <w:r w:rsidRPr="002051F0">
        <w:t>. However, the possible limitation in the primary increase of returns is the underutilisation of financial leverage. The capital structure theory implies that corporations have to balance between the reduced financial risk and the shareholder maximisation of the return (Modigliani and Miller, 1958). The existing Tesla design promotes stability that is not focused on aggressive return amplification.</w:t>
      </w:r>
    </w:p>
    <w:p w:rsidR="000C52E1" w:rsidP="000C52E1" w:rsidRDefault="0039746F" w14:paraId="6BEA2232" w14:textId="0B8438A9">
      <w:pPr>
        <w:pStyle w:val="Heading2"/>
      </w:pPr>
      <w:bookmarkStart w:name="_Toc506663786" w:id="342171492"/>
      <w:r w:rsidR="15B1F148">
        <w:rPr/>
        <w:t xml:space="preserve">1.5 </w:t>
      </w:r>
      <w:r w:rsidR="1B5886EB">
        <w:rPr/>
        <w:t>Investment Analysis</w:t>
      </w:r>
      <w:bookmarkEnd w:id="342171492"/>
    </w:p>
    <w:p w:rsidR="00F552C1" w:rsidP="00243451" w:rsidRDefault="00842175" w14:paraId="4DF14C3F" w14:textId="34AA1AEE">
      <w:r w:rsidRPr="00842175">
        <w:t xml:space="preserve">There </w:t>
      </w:r>
      <w:r w:rsidR="001B4AAE">
        <w:t>is</w:t>
      </w:r>
      <w:r w:rsidRPr="00842175">
        <w:t xml:space="preserve"> increased volatility in valuation</w:t>
      </w:r>
      <w:r w:rsidR="001B4AAE">
        <w:t>,</w:t>
      </w:r>
      <w:r w:rsidRPr="00842175">
        <w:t xml:space="preserve"> indicated in investment ratios. As indicated in Table 1, the high point of the Earnings Per Share (EPS) is reached in 2023 (4.30)</w:t>
      </w:r>
      <w:r w:rsidR="001B4AAE">
        <w:t>,</w:t>
      </w:r>
      <w:r w:rsidRPr="00842175">
        <w:t xml:space="preserve"> and then, it drops drastically to 1.08 in 2025. On the other hand, the Price/Earnings (P/E) ratio increased at an unprecedented pace to 398.53 in 2025. EPS indicates the profitability of the shareholders (Atrill and McLaney, 2022). The slump reflects on diminished net income and compressed margins. The extremely high P/E ratio</w:t>
      </w:r>
      <w:r w:rsidR="001B4AAE">
        <w:t>,</w:t>
      </w:r>
      <w:r w:rsidRPr="00842175">
        <w:t xml:space="preserve"> however</w:t>
      </w:r>
      <w:r w:rsidR="001B4AAE">
        <w:t>,</w:t>
      </w:r>
      <w:r w:rsidRPr="00842175">
        <w:t xml:space="preserve"> indicates that there is much expectation amongst the investors about the future growth. The large P/E ratios are usually an indication of expected innovation, growth, or long-term strategic place (Damodaran, 2020). </w:t>
      </w:r>
    </w:p>
    <w:p w:rsidRPr="00243451" w:rsidR="00243451" w:rsidP="00243451" w:rsidRDefault="00842175" w14:paraId="219C3705" w14:textId="7B7D3208">
      <w:r w:rsidRPr="00842175">
        <w:t>Nevertheless, high valuation multiples predispose companies to a crisis of being corrected by the market in case the performance is not as expected. The main risk is that of valuation sensitivity. There could be permanent overfit between the optimism in the market and the earnings performance</w:t>
      </w:r>
      <w:r w:rsidR="001B4AAE">
        <w:t>,</w:t>
      </w:r>
      <w:r w:rsidRPr="00842175">
        <w:t xml:space="preserve"> which is likely to increase the volatility in the share prices. Therefore, although the investor trust level is high, Tesla should produce efficiency recovery to warrant high valuation levels.</w:t>
      </w:r>
    </w:p>
    <w:p w:rsidR="006B065F" w:rsidP="000C52E1" w:rsidRDefault="0039746F" w14:paraId="5787EFD8" w14:textId="10731A20">
      <w:pPr>
        <w:pStyle w:val="Heading2"/>
      </w:pPr>
      <w:bookmarkStart w:name="_Toc643110241" w:id="867897411"/>
      <w:r w:rsidR="15B1F148">
        <w:rPr/>
        <w:t xml:space="preserve">1.6 </w:t>
      </w:r>
      <w:r w:rsidR="1B5886EB">
        <w:rPr/>
        <w:t>Cash Flow Analysis</w:t>
      </w:r>
      <w:bookmarkEnd w:id="867897411"/>
    </w:p>
    <w:p w:rsidR="00C754E8" w:rsidP="00F552C1" w:rsidRDefault="005238C2" w14:paraId="32959286" w14:textId="027AE6E5">
      <w:r w:rsidR="3D9FCF3C">
        <w:rPr/>
        <w:t xml:space="preserve">The cash flow position of Tesla is not </w:t>
      </w:r>
      <w:r w:rsidR="3D9FCF3C">
        <w:rPr/>
        <w:t>all that good</w:t>
      </w:r>
      <w:r w:rsidR="3D9FCF3C">
        <w:rPr/>
        <w:t>. Table 1 reveals that the Operating Cash Flow Ratio changed to a certain extent</w:t>
      </w:r>
      <w:r w:rsidR="3C731AE2">
        <w:rPr/>
        <w:t>,</w:t>
      </w:r>
      <w:r w:rsidR="3D9FCF3C">
        <w:rPr/>
        <w:t xml:space="preserve"> with a minimum of 0.55 (2022) and a maximum of 0.46 (2023 and 2025).</w:t>
      </w:r>
      <w:r w:rsidR="7AF36DE3">
        <w:rPr/>
        <w:t xml:space="preserve"> </w:t>
      </w:r>
      <w:r w:rsidR="7E9C90CF">
        <w:rPr/>
        <w:t xml:space="preserve">There was a decline in the Free Cash </w:t>
      </w:r>
      <w:r w:rsidR="3C731AE2">
        <w:rPr/>
        <w:t>F</w:t>
      </w:r>
      <w:r w:rsidR="7E9C90CF">
        <w:rPr/>
        <w:t>low (FCF) to Sales in 2021-2022, and in 2025, there was an upward trend of 0.07</w:t>
      </w:r>
      <w:r w:rsidR="3D9FCF3C">
        <w:rPr/>
        <w:t xml:space="preserve">. A ratio of Operating Cash Flow that is less than 1.0 implies that operating cash </w:t>
      </w:r>
      <w:bookmarkStart w:name="_Int_ZEhMcWPA" w:id="470761941"/>
      <w:r w:rsidR="3D9FCF3C">
        <w:rPr/>
        <w:t>is not able to</w:t>
      </w:r>
      <w:bookmarkEnd w:id="470761941"/>
      <w:r w:rsidR="3D9FCF3C">
        <w:rPr/>
        <w:t xml:space="preserve"> cover all current liabilities (Brigham and Ehrhardt, 2023). Even though Tesla has an adequate positive cash flow, the ratio </w:t>
      </w:r>
      <w:r w:rsidR="3D9FCF3C">
        <w:rPr/>
        <w:t>indicates</w:t>
      </w:r>
      <w:r w:rsidR="3D9FCF3C">
        <w:rPr/>
        <w:t xml:space="preserve"> that it will have to rely on working capital management or extra financing facilities.</w:t>
      </w:r>
    </w:p>
    <w:p w:rsidR="003F543D" w:rsidP="003F543D" w:rsidRDefault="005238C2" w14:paraId="191AFC09" w14:textId="3F3122DD">
      <w:r w:rsidR="3D9FCF3C">
        <w:rPr/>
        <w:t xml:space="preserve">The fall in FCF to Sales is associated with high capital expenditure, as well as low operating profitability. Although innovation and expansion require financial investment, long-term stresses on the free cash flow might limit dividend policy, reduce </w:t>
      </w:r>
      <w:r w:rsidR="3D9FCF3C">
        <w:rPr/>
        <w:t>debt</w:t>
      </w:r>
      <w:r w:rsidR="3D9FCF3C">
        <w:rPr/>
        <w:t xml:space="preserve"> or buy back shares. The most important source of the company is the fact that Tesla managed to record positive FCF over the period </w:t>
      </w:r>
      <w:r w:rsidR="3C731AE2">
        <w:rPr/>
        <w:t>despite</w:t>
      </w:r>
      <w:r w:rsidR="3D9FCF3C">
        <w:rPr/>
        <w:t xml:space="preserve"> the compression of profitability. The main threat</w:t>
      </w:r>
      <w:r w:rsidR="3C731AE2">
        <w:rPr/>
        <w:t>,</w:t>
      </w:r>
      <w:r w:rsidR="3D9FCF3C">
        <w:rPr/>
        <w:t xml:space="preserve"> however</w:t>
      </w:r>
      <w:r w:rsidR="3C731AE2">
        <w:rPr/>
        <w:t>,</w:t>
      </w:r>
      <w:r w:rsidR="3D9FCF3C">
        <w:rPr/>
        <w:t xml:space="preserve"> is that of the erosion of margins combined with capital intensity. As long as the operating profits stay low, cash generation in the future might be put even more in jeopardy.</w:t>
      </w:r>
    </w:p>
    <w:p w:rsidR="3BDB421E" w:rsidRDefault="3BDB421E" w14:paraId="17642F83" w14:textId="642FFC40"/>
    <w:p w:rsidRPr="003F543D" w:rsidR="003F543D" w:rsidP="003F543D" w:rsidRDefault="003F543D" w14:paraId="196FF69D" w14:textId="328D4626">
      <w:pPr>
        <w:spacing w:before="0" w:after="160" w:line="259" w:lineRule="auto"/>
        <w:jc w:val="left"/>
      </w:pPr>
      <w:r>
        <w:br w:type="page"/>
      </w:r>
    </w:p>
    <w:p w:rsidR="003F543D" w:rsidP="003F543D" w:rsidRDefault="006B6E4D" w14:paraId="37C4EA87" w14:textId="5561703E">
      <w:pPr>
        <w:pStyle w:val="Heading1"/>
      </w:pPr>
      <w:bookmarkStart w:name="_Toc1981654350" w:id="1443531176"/>
      <w:r w:rsidR="2F075734">
        <w:rPr/>
        <w:t xml:space="preserve">2. </w:t>
      </w:r>
      <w:r w:rsidR="368C735D">
        <w:rPr/>
        <w:t xml:space="preserve">Working Capital Management </w:t>
      </w:r>
      <w:r w:rsidR="368C735D">
        <w:rPr/>
        <w:t>Analysi</w:t>
      </w:r>
      <w:r w:rsidR="4806D81E">
        <w:rPr/>
        <w:t>s</w:t>
      </w:r>
      <w:bookmarkEnd w:id="1443531176"/>
    </w:p>
    <w:p w:rsidR="6C1CEEEA" w:rsidP="3BDB421E" w:rsidRDefault="6C1CEEEA" w14:paraId="7CA54F50" w14:textId="4372C1AB">
      <w:pPr>
        <w:pStyle w:val="Normal"/>
        <w:rPr>
          <w:rFonts w:ascii="Times New Roman" w:hAnsi="Times New Roman" w:eastAsia="Times New Roman" w:cs="Times New Roman"/>
          <w:b w:val="1"/>
          <w:bCs w:val="1"/>
          <w:noProof w:val="0"/>
          <w:sz w:val="28"/>
          <w:szCs w:val="28"/>
          <w:lang w:val="en-GB"/>
        </w:rPr>
      </w:pPr>
      <w:r w:rsidRPr="3BDB421E" w:rsidR="6C1CEEEA">
        <w:rPr>
          <w:rFonts w:ascii="Times New Roman" w:hAnsi="Times New Roman" w:eastAsia="Times New Roman" w:cs="Times New Roman"/>
          <w:b w:val="1"/>
          <w:bCs w:val="1"/>
          <w:noProof w:val="0"/>
          <w:sz w:val="28"/>
          <w:szCs w:val="28"/>
          <w:lang w:val="en-GB"/>
        </w:rPr>
        <w:t>Definition</w:t>
      </w:r>
    </w:p>
    <w:p w:rsidR="2F440582" w:rsidP="3BDB421E" w:rsidRDefault="2F440582" w14:paraId="5AE0E4BA" w14:textId="1C5E748D">
      <w:pPr>
        <w:pStyle w:val="Normal"/>
        <w:rPr>
          <w:rFonts w:ascii="Times New Roman" w:hAnsi="Times New Roman" w:eastAsia="Times New Roman" w:cs="Times New Roman"/>
          <w:noProof w:val="0"/>
          <w:sz w:val="24"/>
          <w:szCs w:val="24"/>
          <w:lang w:val="en-GB"/>
        </w:rPr>
      </w:pPr>
      <w:r w:rsidRPr="3BDB421E" w:rsidR="2F440582">
        <w:rPr>
          <w:rFonts w:ascii="Times New Roman" w:hAnsi="Times New Roman" w:eastAsia="Times New Roman" w:cs="Times New Roman"/>
          <w:noProof w:val="0"/>
          <w:sz w:val="24"/>
          <w:szCs w:val="24"/>
          <w:lang w:val="en-GB"/>
        </w:rPr>
        <w:t xml:space="preserve">Working capital management refers to the effective handling of a company’s short-term assets and liabilities to ensure it has enough liquidity to meet its immediate obligations while </w:t>
      </w:r>
      <w:r w:rsidRPr="3BDB421E" w:rsidR="2F440582">
        <w:rPr>
          <w:rFonts w:ascii="Times New Roman" w:hAnsi="Times New Roman" w:eastAsia="Times New Roman" w:cs="Times New Roman"/>
          <w:noProof w:val="0"/>
          <w:sz w:val="24"/>
          <w:szCs w:val="24"/>
          <w:lang w:val="en-GB"/>
        </w:rPr>
        <w:t>maintaining</w:t>
      </w:r>
      <w:r w:rsidRPr="3BDB421E" w:rsidR="2F440582">
        <w:rPr>
          <w:rFonts w:ascii="Times New Roman" w:hAnsi="Times New Roman" w:eastAsia="Times New Roman" w:cs="Times New Roman"/>
          <w:noProof w:val="0"/>
          <w:sz w:val="24"/>
          <w:szCs w:val="24"/>
          <w:lang w:val="en-GB"/>
        </w:rPr>
        <w:t xml:space="preserve"> smooth operational performance. Its purpose is to strike </w:t>
      </w:r>
      <w:r w:rsidRPr="3BDB421E" w:rsidR="2F440582">
        <w:rPr>
          <w:rFonts w:ascii="Times New Roman" w:hAnsi="Times New Roman" w:eastAsia="Times New Roman" w:cs="Times New Roman"/>
          <w:noProof w:val="0"/>
          <w:sz w:val="24"/>
          <w:szCs w:val="24"/>
          <w:lang w:val="en-GB"/>
        </w:rPr>
        <w:t>an appropriate balance</w:t>
      </w:r>
      <w:r w:rsidRPr="3BDB421E" w:rsidR="2F440582">
        <w:rPr>
          <w:rFonts w:ascii="Times New Roman" w:hAnsi="Times New Roman" w:eastAsia="Times New Roman" w:cs="Times New Roman"/>
          <w:noProof w:val="0"/>
          <w:sz w:val="24"/>
          <w:szCs w:val="24"/>
          <w:lang w:val="en-GB"/>
        </w:rPr>
        <w:t xml:space="preserve"> between liquidity and profitability by carefully controlling elements such as inventory, receivables, payables, and cash flows (</w:t>
      </w:r>
      <w:r w:rsidRPr="3BDB421E" w:rsidR="2F440582">
        <w:rPr>
          <w:rFonts w:ascii="Times New Roman" w:hAnsi="Times New Roman" w:eastAsia="Times New Roman" w:cs="Times New Roman"/>
          <w:noProof w:val="0"/>
          <w:sz w:val="24"/>
          <w:szCs w:val="24"/>
          <w:lang w:val="en-GB"/>
        </w:rPr>
        <w:t>Atrill</w:t>
      </w:r>
      <w:r w:rsidRPr="3BDB421E" w:rsidR="2F440582">
        <w:rPr>
          <w:rFonts w:ascii="Times New Roman" w:hAnsi="Times New Roman" w:eastAsia="Times New Roman" w:cs="Times New Roman"/>
          <w:noProof w:val="0"/>
          <w:sz w:val="24"/>
          <w:szCs w:val="24"/>
          <w:lang w:val="en-GB"/>
        </w:rPr>
        <w:t xml:space="preserve"> and McLaney, 2022).</w:t>
      </w:r>
    </w:p>
    <w:p w:rsidR="6A44D5DE" w:rsidP="3BDB421E" w:rsidRDefault="6A44D5DE" w14:paraId="12B4D8E1" w14:textId="06003C88">
      <w:pPr>
        <w:pStyle w:val="Normal"/>
        <w:rPr>
          <w:rFonts w:ascii="Times New Roman" w:hAnsi="Times New Roman" w:eastAsia="Times New Roman" w:cs="Times New Roman"/>
          <w:b w:val="1"/>
          <w:bCs w:val="1"/>
          <w:noProof w:val="0"/>
          <w:sz w:val="28"/>
          <w:szCs w:val="28"/>
          <w:lang w:val="en-GB"/>
        </w:rPr>
      </w:pPr>
      <w:r w:rsidRPr="3BDB421E" w:rsidR="6A44D5DE">
        <w:rPr>
          <w:rFonts w:ascii="Times New Roman" w:hAnsi="Times New Roman" w:eastAsia="Times New Roman" w:cs="Times New Roman"/>
          <w:b w:val="1"/>
          <w:bCs w:val="1"/>
          <w:noProof w:val="0"/>
          <w:sz w:val="28"/>
          <w:szCs w:val="28"/>
          <w:lang w:val="en-GB"/>
        </w:rPr>
        <w:t>Critical Insight</w:t>
      </w:r>
    </w:p>
    <w:p w:rsidR="041B7A22" w:rsidP="3BDB421E" w:rsidRDefault="041B7A22" w14:paraId="40B44F17" w14:textId="61414E60">
      <w:pPr>
        <w:pStyle w:val="Normal"/>
      </w:pPr>
      <w:r w:rsidRPr="3BDB421E" w:rsidR="041B7A22">
        <w:rPr>
          <w:rFonts w:ascii="Times New Roman" w:hAnsi="Times New Roman" w:eastAsia="Times New Roman" w:cs="Times New Roman"/>
          <w:noProof w:val="0"/>
          <w:sz w:val="24"/>
          <w:szCs w:val="24"/>
          <w:lang w:val="en-GB"/>
        </w:rPr>
        <w:t>An efficient working capital structure is essential for maintaining liquidity while supporting operational growth; however, inefficient management of inventories, receivables, or payables can increase financing needs and reduce overall profitability.</w:t>
      </w:r>
    </w:p>
    <w:p w:rsidR="006B6E4D" w:rsidP="00F60680" w:rsidRDefault="006B6E4D" w14:paraId="519091D8" w14:textId="50C9555A">
      <w:pPr>
        <w:pStyle w:val="Heading2"/>
      </w:pPr>
      <w:bookmarkStart w:name="_Toc1214908631" w:id="190408689"/>
      <w:r w:rsidR="2F075734">
        <w:rPr/>
        <w:t>2.1</w:t>
      </w:r>
      <w:r w:rsidR="0E6E34B4">
        <w:rPr/>
        <w:t xml:space="preserve"> Assessment of the Cash Operating Cycle</w:t>
      </w:r>
      <w:bookmarkEnd w:id="190408689"/>
    </w:p>
    <w:p w:rsidR="7E92D22B" w:rsidP="3BDB421E" w:rsidRDefault="7E92D22B" w14:paraId="09C4B6E1" w14:textId="1659CCD8">
      <w:pPr>
        <w:spacing w:before="240" w:beforeAutospacing="off" w:after="240" w:afterAutospacing="off"/>
      </w:pPr>
      <w:r w:rsidRPr="3BDB421E" w:rsidR="7E92D22B">
        <w:rPr>
          <w:rFonts w:ascii="Times New Roman" w:hAnsi="Times New Roman" w:eastAsia="Times New Roman" w:cs="Times New Roman"/>
          <w:noProof w:val="0"/>
          <w:sz w:val="24"/>
          <w:szCs w:val="24"/>
          <w:lang w:val="en-GB"/>
        </w:rPr>
        <w:t>The cash operating cycle (COC) of Tesla provides valuable insights into how efficiently the company manages its liquidity and uses its resources over a given period. The COC measures the time required to convert inventory investments into cash received from customers. It is calculated using Days Inventory Outstanding (DIO) and Days Sales Outstanding (DSO), minus Days Payable Outstanding (DPO) (Atrill and McLaney, 2022).</w:t>
      </w:r>
    </w:p>
    <w:p w:rsidR="7E92D22B" w:rsidP="3BDB421E" w:rsidRDefault="7E92D22B" w14:paraId="15A9284C" w14:textId="3B45E6C9">
      <w:pPr>
        <w:spacing w:before="240" w:beforeAutospacing="off" w:after="240" w:afterAutospacing="off"/>
      </w:pPr>
      <w:r w:rsidRPr="3BDB421E" w:rsidR="7E92D22B">
        <w:rPr>
          <w:rFonts w:ascii="Times New Roman" w:hAnsi="Times New Roman" w:eastAsia="Times New Roman" w:cs="Times New Roman"/>
          <w:noProof w:val="0"/>
          <w:sz w:val="24"/>
          <w:szCs w:val="24"/>
          <w:lang w:val="en-GB"/>
        </w:rPr>
        <w:t xml:space="preserve">A shorter or negative cash cycle </w:t>
      </w:r>
      <w:r w:rsidRPr="3BDB421E" w:rsidR="7E92D22B">
        <w:rPr>
          <w:rFonts w:ascii="Times New Roman" w:hAnsi="Times New Roman" w:eastAsia="Times New Roman" w:cs="Times New Roman"/>
          <w:noProof w:val="0"/>
          <w:sz w:val="24"/>
          <w:szCs w:val="24"/>
          <w:lang w:val="en-GB"/>
        </w:rPr>
        <w:t>indicates</w:t>
      </w:r>
      <w:r w:rsidRPr="3BDB421E" w:rsidR="7E92D22B">
        <w:rPr>
          <w:rFonts w:ascii="Times New Roman" w:hAnsi="Times New Roman" w:eastAsia="Times New Roman" w:cs="Times New Roman"/>
          <w:noProof w:val="0"/>
          <w:sz w:val="24"/>
          <w:szCs w:val="24"/>
          <w:lang w:val="en-GB"/>
        </w:rPr>
        <w:t xml:space="preserve"> greater efficiency, as it suggests the company collects cash from customers more quickly than it pays its suppliers.</w:t>
      </w:r>
    </w:p>
    <w:p w:rsidR="0069797D" w:rsidP="005A0F3C" w:rsidRDefault="00EE1662" w14:paraId="6A3611D1" w14:textId="0BB45008">
      <w:r w:rsidRPr="00EE1662">
        <w:t>Table 2 demonstrates that the COC of Tesla has been changing considerably within the last five years. The cycle was negative in 2021 and 2022 at (25.41) and (1.30) days</w:t>
      </w:r>
      <w:r w:rsidR="001B4AAE">
        <w:t>,</w:t>
      </w:r>
      <w:r w:rsidRPr="00EE1662">
        <w:t xml:space="preserve"> respectively. This indicates that Tesla was funding its operation via supply credit successfully</w:t>
      </w:r>
      <w:r w:rsidR="001B4AAE">
        <w:t>,</w:t>
      </w:r>
      <w:r w:rsidRPr="00EE1662">
        <w:t xml:space="preserve"> where the business was being paid cash by clients ahead of paying the suppliers. This would indicate high bargaining power and effective management of the working capital. But, since 2023, it became positive with an increase of 9.39 days in 2023, 14.23 days in 2024, and the nearest to 12.84 days in 2025.</w:t>
      </w:r>
    </w:p>
    <w:p w:rsidR="0069797D" w:rsidP="005A0F3C" w:rsidRDefault="00EE1662" w14:paraId="3B80C8D5" w14:textId="3ED73100">
      <w:r w:rsidR="00EE1662">
        <w:rPr/>
        <w:t>The negative</w:t>
      </w:r>
      <w:r w:rsidR="001B4AAE">
        <w:rPr/>
        <w:t>-to-</w:t>
      </w:r>
      <w:r w:rsidR="00EE1662">
        <w:rPr/>
        <w:t xml:space="preserve">positive changing cycle </w:t>
      </w:r>
      <w:r w:rsidR="00EE1662">
        <w:rPr/>
        <w:t>indicates</w:t>
      </w:r>
      <w:r w:rsidR="00EE1662">
        <w:rPr/>
        <w:t xml:space="preserve"> the laggard TE liquidity efficiency in the short term. As </w:t>
      </w:r>
      <w:r w:rsidR="00EE1662">
        <w:rPr/>
        <w:t>indicated</w:t>
      </w:r>
      <w:r w:rsidR="00EE1662">
        <w:rPr/>
        <w:t xml:space="preserve"> in Table 2, DIO also shot up to 76.26 days in 2022 and then leve</w:t>
      </w:r>
      <w:r w:rsidR="001B4AAE">
        <w:rPr/>
        <w:t>l</w:t>
      </w:r>
      <w:r w:rsidR="00EE1662">
        <w:rPr/>
        <w:t>led off to 57.39 days in 2025. DPO</w:t>
      </w:r>
      <w:r w:rsidR="001B4AAE">
        <w:rPr/>
        <w:t>,</w:t>
      </w:r>
      <w:r w:rsidR="00EE1662">
        <w:rPr/>
        <w:t xml:space="preserve"> on the other hand</w:t>
      </w:r>
      <w:r w:rsidR="001B4AAE">
        <w:rPr/>
        <w:t>,</w:t>
      </w:r>
      <w:r w:rsidR="00EE1662">
        <w:rPr/>
        <w:t xml:space="preserve"> fell to 61.92 days in 2025</w:t>
      </w:r>
      <w:r w:rsidR="001B4AAE">
        <w:rPr/>
        <w:t>,</w:t>
      </w:r>
      <w:r w:rsidR="00EE1662">
        <w:rPr/>
        <w:t xml:space="preserve"> and this is against 90.61 days in 2022. It is crucial</w:t>
      </w:r>
      <w:r w:rsidR="001B4AAE">
        <w:rPr/>
        <w:t>,</w:t>
      </w:r>
      <w:r w:rsidR="00EE1662">
        <w:rPr/>
        <w:t xml:space="preserve"> especially with the decrease in DPO, </w:t>
      </w:r>
      <w:r w:rsidR="001B4AAE">
        <w:rPr/>
        <w:t xml:space="preserve">that </w:t>
      </w:r>
      <w:r w:rsidR="00EE1662">
        <w:rPr/>
        <w:t xml:space="preserve">Tesla is paying its suppliers </w:t>
      </w:r>
      <w:r w:rsidR="001B4AAE">
        <w:rPr/>
        <w:t>more quickly</w:t>
      </w:r>
      <w:r w:rsidR="00EE1662">
        <w:rPr/>
        <w:t xml:space="preserve"> compared to previous years. Although this can enhance relationships with suppliers, it will decrease the internal cash retention. The DSO has been growing</w:t>
      </w:r>
      <w:r w:rsidR="001B4AAE">
        <w:rPr/>
        <w:t>,</w:t>
      </w:r>
      <w:r w:rsidR="00EE1662">
        <w:rPr/>
        <w:t xml:space="preserve"> as it was 12.80 days in 2021 </w:t>
      </w:r>
      <w:r w:rsidR="001B4AAE">
        <w:rPr/>
        <w:t>and</w:t>
      </w:r>
      <w:r w:rsidR="00EE1662">
        <w:rPr/>
        <w:t xml:space="preserve"> 17.37 days in 2025.</w:t>
      </w:r>
    </w:p>
    <w:p w:rsidRPr="005A0F3C" w:rsidR="005A0F3C" w:rsidP="005A0F3C" w:rsidRDefault="00EE1662" w14:paraId="2D10E865" w14:textId="1B0B24F9">
      <w:r w:rsidRPr="00EE1662">
        <w:t xml:space="preserve">The current ratio of the company is still on the lower side as compared to most manufacturing companies; however, the trend is indicating slower collection of receivables. This, along with a decreasing DPO, adds to the favourable and increasing operating cycle. Tesla had historically </w:t>
      </w:r>
      <w:r w:rsidR="001B4AAE">
        <w:t>been</w:t>
      </w:r>
      <w:r w:rsidRPr="00EE1662">
        <w:t xml:space="preserve"> able to run with a negative cycle, effectively through supplier financing to fund its growth. Nonetheless, the latest cycle extension is a liquidity risk. The cash flow of the businesses operating in capital-heavy industries is susceptible to protracted operation cycles, especially in the period when both profitability and financial pressures are introduced (Brigham and Ehrhardt, 2023). That is why the trend of worsening of the current cycle is something that requires strategic </w:t>
      </w:r>
      <w:r w:rsidRPr="00EE1662" w:rsidR="0069797D">
        <w:t>intervention,</w:t>
      </w:r>
      <w:r w:rsidRPr="00EE1662">
        <w:t xml:space="preserve"> but the current cycle length is manageable.</w:t>
      </w:r>
    </w:p>
    <w:p w:rsidR="006B6E4D" w:rsidP="00F60680" w:rsidRDefault="006B6E4D" w14:paraId="6EF3B1A8" w14:textId="27258F02">
      <w:pPr>
        <w:pStyle w:val="Heading2"/>
      </w:pPr>
      <w:bookmarkStart w:name="_Toc1699313095" w:id="662341005"/>
      <w:r w:rsidR="2F075734">
        <w:rPr/>
        <w:t>2.2</w:t>
      </w:r>
      <w:r w:rsidR="0E6E34B4">
        <w:rPr/>
        <w:t xml:space="preserve"> Strategies to Improve Liquidity through Working Capital Reforms</w:t>
      </w:r>
      <w:bookmarkEnd w:id="662341005"/>
    </w:p>
    <w:p w:rsidR="007100E6" w:rsidP="0069797D" w:rsidRDefault="00E3219F" w14:paraId="1F6A4AB3" w14:textId="5B134A55">
      <w:bookmarkStart w:name="_Int_E3RuaFkD" w:id="992414978"/>
      <w:r w:rsidR="6A405304">
        <w:rPr/>
        <w:t>In order to</w:t>
      </w:r>
      <w:bookmarkEnd w:id="992414978"/>
      <w:r w:rsidR="6A405304">
        <w:rPr/>
        <w:t xml:space="preserve"> improve liquidity, Tesla ought to resort to specific reforms in the inventory, receivables, and payables management. First, the inventory optimisation is essential. Table 2 </w:t>
      </w:r>
      <w:r w:rsidR="6A405304">
        <w:rPr/>
        <w:t>indicates</w:t>
      </w:r>
      <w:r w:rsidR="6A405304">
        <w:rPr/>
        <w:t xml:space="preserve"> that DIO has stayed higher than during pre-2022</w:t>
      </w:r>
      <w:r w:rsidR="3C731AE2">
        <w:rPr/>
        <w:t>,</w:t>
      </w:r>
      <w:r w:rsidR="6A405304">
        <w:rPr/>
        <w:t xml:space="preserve"> </w:t>
      </w:r>
      <w:r w:rsidR="6A405304">
        <w:rPr/>
        <w:t>indicating</w:t>
      </w:r>
      <w:r w:rsidR="6A405304">
        <w:rPr/>
        <w:t xml:space="preserve"> that it might be overstocked or that production turnover is slower. Tesla would be able to enhance its demand forecasting with the help of sophisticated data analytics and real-time integration of its supply chain. JIT principles and lean inventory procedures can lead to a decrease in holding costs and release of working capital. </w:t>
      </w:r>
    </w:p>
    <w:p w:rsidR="007100E6" w:rsidP="0069797D" w:rsidRDefault="00E3219F" w14:paraId="5E74D362" w14:textId="27D38A43">
      <w:r w:rsidRPr="00E3219F">
        <w:t xml:space="preserve">Second, refinement of the receivables is needed. The rise of the DSO </w:t>
      </w:r>
      <w:r w:rsidR="001B4AAE">
        <w:t>from</w:t>
      </w:r>
      <w:r w:rsidRPr="00E3219F">
        <w:t xml:space="preserve"> 12.80 to 17.37 days (Table 2) shows reduced cash collection. The fact that </w:t>
      </w:r>
      <w:r w:rsidR="001B4AAE">
        <w:t xml:space="preserve">the </w:t>
      </w:r>
      <w:r w:rsidRPr="00E3219F">
        <w:t xml:space="preserve">direct-to-consumer sales model at Tesla restricts the conventional receivables risk does not imply that, as the company expands its markets in numerous nations and sources of funds, the payment period can be prolonged. There is a possibility of reducing the receivable period by introducing incentives </w:t>
      </w:r>
      <w:r w:rsidR="001B4AAE">
        <w:t>for</w:t>
      </w:r>
      <w:r w:rsidRPr="00E3219F">
        <w:t xml:space="preserve"> early payment or tightening the level of credit tools without reducing the number of sales (Arnold, 2022).</w:t>
      </w:r>
    </w:p>
    <w:p w:rsidR="007100E6" w:rsidP="0069797D" w:rsidRDefault="00E3219F" w14:paraId="07235A98" w14:textId="39D0811E">
      <w:r w:rsidRPr="00E3219F">
        <w:t>Third, Tesla can re-evaluate its supplier policies on pay</w:t>
      </w:r>
      <w:r w:rsidR="001B4AAE">
        <w:t>ment</w:t>
      </w:r>
      <w:r w:rsidRPr="00E3219F">
        <w:t>. A high decrease in DPO of 90.61 down to 61.92 days (Table 2) indicates that there is quicker payment to the suppliers. Although this can lead to increased trust among the suppliers and cost savings by possible improved pricing, it will create a decrease in liquidity buffers. Moderate extensions of payables under contractual conditions may be a solution to reclaim some negative cycle benefits. Tesla would be able to maintain relationships by having supplier financing programs or reverse factoring arrangements to optimise the timing of cash flow.</w:t>
      </w:r>
    </w:p>
    <w:p w:rsidR="00047341" w:rsidP="00F60680" w:rsidRDefault="00047341" w14:paraId="47A769F8" w14:textId="4019F06A">
      <w:pPr>
        <w:pStyle w:val="Heading2"/>
      </w:pPr>
      <w:bookmarkStart w:name="_Toc1814665806" w:id="1525078516"/>
      <w:r w:rsidR="0E6E34B4">
        <w:rPr/>
        <w:t xml:space="preserve">2.3 </w:t>
      </w:r>
      <w:r w:rsidR="748946F7">
        <w:rPr/>
        <w:t>Short-Term vs Long-Term Financing Options</w:t>
      </w:r>
      <w:bookmarkEnd w:id="1525078516"/>
    </w:p>
    <w:p w:rsidR="00B651BF" w:rsidP="007100E6" w:rsidRDefault="00CE75B6" w14:paraId="1C323B02" w14:textId="04AC9AE8">
      <w:r w:rsidRPr="00CE75B6">
        <w:t xml:space="preserve">In case of working capital strains, companies find themselves at a </w:t>
      </w:r>
      <w:r w:rsidRPr="00CE75B6" w:rsidR="003057EA">
        <w:t>crossroad</w:t>
      </w:r>
      <w:r w:rsidRPr="00CE75B6">
        <w:t xml:space="preserve"> trying to make decisions as to whether to resort to short-term or </w:t>
      </w:r>
      <w:r w:rsidRPr="00CE75B6" w:rsidR="00270890">
        <w:t>long-term</w:t>
      </w:r>
      <w:r w:rsidRPr="00CE75B6">
        <w:t xml:space="preserve"> financing</w:t>
      </w:r>
      <w:r w:rsidR="00270890">
        <w:t xml:space="preserve"> </w:t>
      </w:r>
      <w:r w:rsidRPr="00E3219F" w:rsidR="00270890">
        <w:t>(Hillier et al., 2023)</w:t>
      </w:r>
      <w:r w:rsidRPr="00CE75B6">
        <w:t>. Short-term financing is profitable in cases related to temporary working capital because the timeframe should correspond to operation</w:t>
      </w:r>
      <w:r w:rsidR="001B4AAE">
        <w:t>al</w:t>
      </w:r>
      <w:r w:rsidRPr="00CE75B6">
        <w:t xml:space="preserve"> cycles (Brigham and Ehrhardt, 2023).</w:t>
      </w:r>
    </w:p>
    <w:p w:rsidR="00B651BF" w:rsidP="007100E6" w:rsidRDefault="00CE75B6" w14:paraId="5AF52091" w14:textId="77777777">
      <w:r w:rsidRPr="00CE75B6">
        <w:t xml:space="preserve">Nevertheless, short-term debt raises the refinancing risk and interest rate risk. In the case of Tesla that is in a cyclical and </w:t>
      </w:r>
      <w:r w:rsidRPr="00CE75B6" w:rsidR="00B651BF">
        <w:t>capital-intensive</w:t>
      </w:r>
      <w:r w:rsidRPr="00CE75B6">
        <w:t xml:space="preserve"> industry, over-</w:t>
      </w:r>
      <w:r w:rsidRPr="00CE75B6" w:rsidR="00B651BF">
        <w:t>short-term</w:t>
      </w:r>
      <w:r w:rsidRPr="00CE75B6">
        <w:t xml:space="preserve"> borrowing might increase liquidity risk during a recession. Corporate bonds, term loans and issuing of equity are the types of financing that are provided on a long-term basis. Stability is observed with long-term capital and decreases the refinancing pressure. It is generally more costly compared to short-term funding but increases money security and is in line with long-term investment in assets (Arnold, 2022).</w:t>
      </w:r>
    </w:p>
    <w:p w:rsidRPr="007100E6" w:rsidR="007100E6" w:rsidP="007100E6" w:rsidRDefault="00CE75B6" w14:paraId="15C1F5AF" w14:textId="7A7F8A06">
      <w:r w:rsidRPr="00CE75B6">
        <w:t xml:space="preserve">The decreasing gearing ratio indicates Tesla depends less on debt financing, which allows the company to have flexibility to raise long-term funds in case the company is in need. Strategically, Tesla ought to equal the asset life with financing maturity. Short-term financing can be appropriate </w:t>
      </w:r>
      <w:r w:rsidR="001B4AAE">
        <w:t>for</w:t>
      </w:r>
      <w:r w:rsidRPr="00CE75B6">
        <w:t xml:space="preserve"> working capital requirements that are seasonal. Structural growth in working capital, however, caused by sustained growth</w:t>
      </w:r>
      <w:r w:rsidR="001B4AAE">
        <w:t>,</w:t>
      </w:r>
      <w:r w:rsidRPr="00CE75B6">
        <w:t xml:space="preserve"> should be funded using longer</w:t>
      </w:r>
      <w:r w:rsidR="001B4AAE">
        <w:t>-term</w:t>
      </w:r>
      <w:r w:rsidRPr="00CE75B6">
        <w:t xml:space="preserve"> capital to prevent a liquidity mismatch. Thus, a moderate long-term debt and the internal sources of cash flow seem to be the best financing strategy.</w:t>
      </w:r>
    </w:p>
    <w:p w:rsidRPr="006B6E4D" w:rsidR="00B651BF" w:rsidP="006B6E4D" w:rsidRDefault="00B651BF" w14:paraId="0C019A7A" w14:textId="77777777"/>
    <w:p w:rsidR="003F543D" w:rsidP="003F543D" w:rsidRDefault="003F543D" w14:paraId="66DC3A9B" w14:textId="77777777"/>
    <w:p w:rsidRPr="003F543D" w:rsidR="003F543D" w:rsidP="003F543D" w:rsidRDefault="003F543D" w14:paraId="1CE806D8" w14:textId="11E0A031">
      <w:pPr>
        <w:spacing w:before="0" w:after="160" w:line="259" w:lineRule="auto"/>
        <w:jc w:val="left"/>
      </w:pPr>
      <w:r>
        <w:br w:type="page"/>
      </w:r>
    </w:p>
    <w:p w:rsidR="003F543D" w:rsidP="003F543D" w:rsidRDefault="00394BFA" w14:paraId="18660A5F" w14:textId="1481A12E">
      <w:pPr>
        <w:pStyle w:val="Heading1"/>
      </w:pPr>
      <w:bookmarkStart w:name="_Toc5839012" w:id="1698122369"/>
      <w:r w:rsidR="01912ED3">
        <w:rPr/>
        <w:t xml:space="preserve">3. </w:t>
      </w:r>
      <w:r w:rsidR="368C735D">
        <w:rPr/>
        <w:t>Strategic Financial Restructuring Plan</w:t>
      </w:r>
      <w:bookmarkEnd w:id="1698122369"/>
    </w:p>
    <w:p w:rsidR="003F543D" w:rsidP="00394BFA" w:rsidRDefault="00394BFA" w14:paraId="2A7394FC" w14:textId="656174FC">
      <w:pPr>
        <w:pStyle w:val="Heading2"/>
      </w:pPr>
      <w:bookmarkStart w:name="_Toc954263720" w:id="232988020"/>
      <w:r w:rsidR="01912ED3">
        <w:rPr/>
        <w:t>3.1 Recommended Restructuring Options</w:t>
      </w:r>
      <w:bookmarkEnd w:id="232988020"/>
    </w:p>
    <w:p w:rsidRPr="004976C5" w:rsidR="00394BFA" w:rsidP="00394BFA" w:rsidRDefault="00542DCA" w14:paraId="75E3360D" w14:textId="4B302FF7">
      <w:pPr>
        <w:rPr>
          <w:b/>
          <w:bCs/>
          <w:i/>
          <w:iCs/>
        </w:rPr>
      </w:pPr>
      <w:r w:rsidRPr="004976C5">
        <w:rPr>
          <w:b/>
          <w:bCs/>
          <w:i/>
          <w:iCs/>
        </w:rPr>
        <w:t>Targeted divestiture and portfolio rationalisation</w:t>
      </w:r>
    </w:p>
    <w:p w:rsidR="00542DCA" w:rsidP="00394BFA" w:rsidRDefault="007719CD" w14:paraId="603C34EE" w14:textId="6F7F2FF7">
      <w:r w:rsidRPr="007719CD">
        <w:t>A ruthless analysis of non-core or subscale assets and activity should be undertaken by Tesla, aiming to free up capital tied up in low-paying areas, and reallocate to more lucrative areas with greater Tesla strategic potential (e.g., software, energy storage scale, manufacturing productivity). Divestiture may directly enhance shareholder value when the proceeds are utili</w:t>
      </w:r>
      <w:r w:rsidR="002E1E1D">
        <w:t>s</w:t>
      </w:r>
      <w:r w:rsidRPr="007719CD">
        <w:t xml:space="preserve">ed in a reduction in the cost of funding or redirecting investment to higher-ROIC projects; or in the destruction of future growth opportunities; or in forced sales at distressed prices. One possible strategy is "selective divestiture: liquidate those assets which either (a) exhibit a consistent performance below the Tesla internal hurdle rate, or (b) add complexity in operations without a corresponding margin. This is directly applicable since a shift towards a positive COC (Table 2) suggests that Tesla enjoys a reduced working capital intensity; the reduction of the cash cycle by disposition of operations with an inherent high inventory days or large working capital requirements can be used to support liquidity. Divestiture normally enhances short-term liquidity and possibly enhances capital </w:t>
      </w:r>
      <w:r w:rsidRPr="007719CD" w:rsidR="00A50C94">
        <w:t>efficiency</w:t>
      </w:r>
      <w:r w:rsidR="00A50C94">
        <w:t xml:space="preserve"> but</w:t>
      </w:r>
      <w:r w:rsidRPr="007719CD">
        <w:t xml:space="preserve"> might decrease levels of revenue. The value outcome will be based on whether Tesla would redeploy capital in its projects, which are greater than its cost of capital and recreate the operating returns.</w:t>
      </w:r>
    </w:p>
    <w:p w:rsidRPr="004976C5" w:rsidR="00542DCA" w:rsidP="00394BFA" w:rsidRDefault="00542DCA" w14:paraId="7F4C28DF" w14:textId="0282F466">
      <w:pPr>
        <w:rPr>
          <w:b/>
          <w:bCs/>
          <w:i/>
          <w:iCs/>
        </w:rPr>
      </w:pPr>
      <w:r w:rsidRPr="004976C5">
        <w:rPr>
          <w:b/>
          <w:bCs/>
          <w:i/>
          <w:iCs/>
        </w:rPr>
        <w:t>Strategic partnership or “asset-light” joint ventures</w:t>
      </w:r>
    </w:p>
    <w:p w:rsidR="00542DCA" w:rsidP="00394BFA" w:rsidRDefault="00F64418" w14:paraId="4E92541D" w14:textId="65F7432A">
      <w:r w:rsidR="00F64418">
        <w:rPr/>
        <w:t xml:space="preserve">Automobile mergers that are of </w:t>
      </w:r>
      <w:r w:rsidR="002E1E1D">
        <w:rPr/>
        <w:t xml:space="preserve">a </w:t>
      </w:r>
      <w:r w:rsidR="00F64418">
        <w:rPr/>
        <w:t>large size</w:t>
      </w:r>
      <w:r w:rsidR="00F64418">
        <w:rPr/>
        <w:t xml:space="preserve"> tend to be integration-heavy and may curtail agility. </w:t>
      </w:r>
      <w:r w:rsidR="002E1E1D">
        <w:rPr/>
        <w:t>A v</w:t>
      </w:r>
      <w:r w:rsidR="00F64418">
        <w:rPr/>
        <w:t>iable</w:t>
      </w:r>
      <w:r w:rsidR="00F64418">
        <w:rPr/>
        <w:t xml:space="preserve"> alternative is JV-based capacity sharing (e.g. regional manufacturing alliances, battery materials processing </w:t>
      </w:r>
      <w:r w:rsidR="00F64418">
        <w:rPr/>
        <w:t>alliances</w:t>
      </w:r>
      <w:r w:rsidR="00F64418">
        <w:rPr/>
        <w:t xml:space="preserve"> or grid storage deployment alliances). Such a strategy can make operational flexible by reducing the </w:t>
      </w:r>
      <w:r w:rsidR="00A50C94">
        <w:rPr/>
        <w:t>fixed cost</w:t>
      </w:r>
      <w:r w:rsidR="00F64418">
        <w:rPr/>
        <w:t xml:space="preserve"> overhead</w:t>
      </w:r>
      <w:r w:rsidR="002E1E1D">
        <w:rPr/>
        <w:t>,</w:t>
      </w:r>
      <w:r w:rsidR="00F64418">
        <w:rPr/>
        <w:t xml:space="preserve"> and the geopolitical/currency</w:t>
      </w:r>
      <w:r w:rsidR="002E1E1D">
        <w:rPr/>
        <w:t xml:space="preserve"> </w:t>
      </w:r>
      <w:r w:rsidR="00F64418">
        <w:rPr/>
        <w:t>risk can be distributed among partners.</w:t>
      </w:r>
      <w:r w:rsidR="009747D6">
        <w:rPr/>
        <w:t xml:space="preserve"> </w:t>
      </w:r>
      <w:r w:rsidR="00F34C69">
        <w:rPr/>
        <w:t xml:space="preserve">It is also pro-supply-chain compliance </w:t>
      </w:r>
      <w:r w:rsidR="002E1E1D">
        <w:rPr/>
        <w:t>with</w:t>
      </w:r>
      <w:r w:rsidR="00F34C69">
        <w:rPr/>
        <w:t xml:space="preserve"> new clean vehicle standards. It </w:t>
      </w:r>
      <w:r w:rsidR="00F34C69">
        <w:rPr/>
        <w:t>demonstrates</w:t>
      </w:r>
      <w:r w:rsidR="00F34C69">
        <w:rPr/>
        <w:t xml:space="preserve"> that sourcing and processing are gaining importance as part of the consumer bonuses (U.S. Treasury, 2023; Federal Register, 2024; IRS, 2025; CRS, 2024)</w:t>
      </w:r>
      <w:r w:rsidR="00F64418">
        <w:rPr/>
        <w:t xml:space="preserve">. Complete mergers might only be contemplated when they are </w:t>
      </w:r>
      <w:r w:rsidR="00F64418">
        <w:rPr/>
        <w:t>evidently going</w:t>
      </w:r>
      <w:r w:rsidR="00F64418">
        <w:rPr/>
        <w:t xml:space="preserve"> to provide (a) procurement and manufacturing economies of scale; and (b) technology complementarities without undermining Tesla as a brand or strategic independence. Partnerships may maintain </w:t>
      </w:r>
      <w:r w:rsidR="00F64418">
        <w:rPr/>
        <w:t>sharehold</w:t>
      </w:r>
      <w:r w:rsidR="00F64418">
        <w:rPr/>
        <w:t xml:space="preserve"> value by paying less in terms of acquisition premiums, by avoiding integration risk</w:t>
      </w:r>
      <w:r w:rsidR="002E1E1D">
        <w:rPr/>
        <w:t>,</w:t>
      </w:r>
      <w:r w:rsidR="00F64418">
        <w:rPr/>
        <w:t xml:space="preserve"> a</w:t>
      </w:r>
      <w:r w:rsidR="002E1E1D">
        <w:rPr/>
        <w:t>nd by</w:t>
      </w:r>
      <w:r w:rsidR="00F64418">
        <w:rPr/>
        <w:t xml:space="preserve"> enhancing sustainability in operations through a joint commitment of capital. The los</w:t>
      </w:r>
      <w:r w:rsidR="002E1E1D">
        <w:rPr/>
        <w:t>s of</w:t>
      </w:r>
      <w:r w:rsidR="00F64418">
        <w:rPr/>
        <w:t xml:space="preserve"> control and </w:t>
      </w:r>
      <w:r w:rsidR="00F64418">
        <w:rPr/>
        <w:t>possible profit</w:t>
      </w:r>
      <w:r w:rsidR="00F64418">
        <w:rPr/>
        <w:t xml:space="preserve"> sharing is the trade-off.</w:t>
      </w:r>
    </w:p>
    <w:p w:rsidRPr="004976C5" w:rsidR="00542DCA" w:rsidP="00394BFA" w:rsidRDefault="00542DCA" w14:paraId="654374CD" w14:textId="5888CC2B">
      <w:pPr>
        <w:rPr>
          <w:b/>
          <w:bCs/>
          <w:i/>
          <w:iCs/>
        </w:rPr>
      </w:pPr>
      <w:r w:rsidRPr="004976C5">
        <w:rPr>
          <w:b/>
          <w:bCs/>
          <w:i/>
          <w:iCs/>
        </w:rPr>
        <w:t>Equity injection or hybrid capital</w:t>
      </w:r>
    </w:p>
    <w:p w:rsidR="004976C5" w:rsidP="00394BFA" w:rsidRDefault="00566CDF" w14:paraId="062ACD3A" w14:textId="13D41E49">
      <w:r w:rsidRPr="00566CDF">
        <w:t>The equity issuance could be very effective because the market expectations of Tesla were hi</w:t>
      </w:r>
      <w:r w:rsidR="002E1E1D">
        <w:t>storically high</w:t>
      </w:r>
      <w:r w:rsidRPr="00566CDF">
        <w:t>, and it eliminates the risk of shareholder dilution when the valuation is high. The plan must consider equity injection as contingent funding, which is activated by (a) tightening of macro conditions and increased cost of refinancing, or (b) Tesla decides to speed up the high conviction project with good return prospects. An issuance policy can be enforced to safeguard the shareholder value: if to value-accretive investment or balance sheet reinforcement, not to fund structural leakage working capital. Notably, Table 2 implies that the working capital of Tesla is not self-financing</w:t>
      </w:r>
      <w:r w:rsidR="002E1E1D">
        <w:t>,</w:t>
      </w:r>
      <w:r w:rsidRPr="00566CDF">
        <w:t xml:space="preserve"> as in 2021-2022, and thus, equity or hybrids (e.g., convertibles) should be used in case the conversion of working ca</w:t>
      </w:r>
      <w:r w:rsidR="002E1E1D">
        <w:t>pital</w:t>
      </w:r>
      <w:r w:rsidRPr="00566CDF">
        <w:t xml:space="preserve"> cannot be restored. It will enhance liquidity and minimi</w:t>
      </w:r>
      <w:r w:rsidR="002E1E1D">
        <w:t>s</w:t>
      </w:r>
      <w:r w:rsidRPr="00566CDF">
        <w:t xml:space="preserve">e leverage </w:t>
      </w:r>
      <w:r w:rsidRPr="00566CDF" w:rsidR="00A50C94">
        <w:t>risk</w:t>
      </w:r>
      <w:r w:rsidR="00A50C94">
        <w:t xml:space="preserve"> but</w:t>
      </w:r>
      <w:r w:rsidRPr="00566CDF">
        <w:t xml:space="preserve"> can decrease per-share measures in case profits do not rebound. The test that the shareholder-value should be told whether an increase </w:t>
      </w:r>
      <w:r w:rsidR="002E1E1D">
        <w:t>in</w:t>
      </w:r>
      <w:r w:rsidRPr="00566CDF">
        <w:t xml:space="preserve"> new capital raises the free cash flow per share with</w:t>
      </w:r>
      <w:r w:rsidR="002E1E1D">
        <w:t>in</w:t>
      </w:r>
      <w:r w:rsidRPr="00566CDF">
        <w:t xml:space="preserve"> a reasonable time.</w:t>
      </w:r>
    </w:p>
    <w:p w:rsidRPr="004976C5" w:rsidR="00542DCA" w:rsidP="00394BFA" w:rsidRDefault="004976C5" w14:paraId="61957AEE" w14:textId="474EB49D">
      <w:pPr>
        <w:rPr>
          <w:b/>
          <w:bCs/>
          <w:i/>
          <w:iCs/>
        </w:rPr>
      </w:pPr>
      <w:r w:rsidRPr="004976C5">
        <w:rPr>
          <w:b/>
          <w:bCs/>
          <w:i/>
          <w:iCs/>
        </w:rPr>
        <w:t>Debt restructuring: refinance and ladder maturities to protect flexibility</w:t>
      </w:r>
    </w:p>
    <w:p w:rsidR="004976C5" w:rsidP="00394BFA" w:rsidRDefault="00964F69" w14:paraId="0317B102" w14:textId="0367D4F2">
      <w:r w:rsidRPr="00964F69">
        <w:t>The filings of Tesla show that it has material indebtedness (SEC, 2025). The first part of a restructuring plan must focus on (i) minimising refinancing precipices, (ii) increasing maturities</w:t>
      </w:r>
      <w:r w:rsidR="002E1E1D">
        <w:t>,</w:t>
      </w:r>
      <w:r w:rsidRPr="00964F69">
        <w:t xml:space="preserve"> and (iii) preserving committed liquidity sources to unwind working-capital fluctuations. A debt optimisation process may increase shareholder value by reducing the weighted average cost of capital without restricting operation</w:t>
      </w:r>
      <w:r w:rsidR="002E1E1D">
        <w:t>al</w:t>
      </w:r>
      <w:r w:rsidRPr="00964F69">
        <w:t xml:space="preserve"> decisions. The plan also must not overspend on short-term borrowing, as Table 2 indicates that the cash cycle has turned out to be positive and thus more vulnerable to the changes in the inventory and payables. According to the Tesla disclosure, foreign exchange opportunism may also influence the financia</w:t>
      </w:r>
      <w:r w:rsidR="00794587">
        <w:t>l</w:t>
      </w:r>
      <w:r w:rsidRPr="00964F69">
        <w:t xml:space="preserve"> performance (SEC, 2025), and it means that the debt currency structure ought to be aligned </w:t>
      </w:r>
      <w:r w:rsidR="002E1E1D">
        <w:t>with</w:t>
      </w:r>
      <w:r w:rsidRPr="00964F69">
        <w:t xml:space="preserve"> cash flow currencies where possible. An improved maturity ladder will ease the liquidity risk and aid in the flexibility of operations. Nevertheless, excessive leverage can minimi</w:t>
      </w:r>
      <w:r w:rsidR="002E1E1D">
        <w:t>s</w:t>
      </w:r>
      <w:r w:rsidRPr="00964F69">
        <w:t>e returns amplification, and an effective and stable capital structure should be desired, not the minimal debt.</w:t>
      </w:r>
    </w:p>
    <w:p w:rsidR="009F63FF" w:rsidP="009F63FF" w:rsidRDefault="009F63FF" w14:paraId="496762C6" w14:textId="1663A31F">
      <w:pPr>
        <w:pStyle w:val="Heading2"/>
      </w:pPr>
      <w:bookmarkStart w:name="_Toc1822248368" w:id="500909695"/>
      <w:r w:rsidR="796362BA">
        <w:rPr/>
        <w:t>3.2 International and Ethical Considerations</w:t>
      </w:r>
      <w:bookmarkEnd w:id="500909695"/>
    </w:p>
    <w:p w:rsidRPr="008F2F80" w:rsidR="009F63FF" w:rsidP="009F63FF" w:rsidRDefault="009F63FF" w14:paraId="26C02FA7" w14:textId="70288B02">
      <w:pPr>
        <w:rPr>
          <w:b/>
          <w:bCs/>
          <w:i/>
          <w:iCs/>
        </w:rPr>
      </w:pPr>
      <w:r w:rsidRPr="008F2F80">
        <w:rPr>
          <w:b/>
          <w:bCs/>
          <w:i/>
          <w:iCs/>
        </w:rPr>
        <w:t>Taxation and policy dependence</w:t>
      </w:r>
    </w:p>
    <w:p w:rsidR="009F63FF" w:rsidP="009F63FF" w:rsidRDefault="00043EB5" w14:paraId="4DF47CDF" w14:textId="24544BB3">
      <w:r w:rsidRPr="00043EB5">
        <w:t xml:space="preserve">The manufacturing credits and consumer incentives can have a significant impact on the pricing power and the demand </w:t>
      </w:r>
      <w:r w:rsidR="002E1E1D">
        <w:t>for</w:t>
      </w:r>
      <w:r w:rsidRPr="00043EB5">
        <w:t xml:space="preserve"> EVs.</w:t>
      </w:r>
      <w:r w:rsidR="00871B72">
        <w:t xml:space="preserve"> </w:t>
      </w:r>
      <w:r w:rsidRPr="00C5249C" w:rsidR="00C5249C">
        <w:t>The clean vehicle credits rules in the U.S. make one eligible according to the battery components and critical mineral sourcing requirements (U.S. Treasury, 2023; IRS, 2025; CRS, 2024)</w:t>
      </w:r>
      <w:r w:rsidRPr="00043EB5">
        <w:t xml:space="preserve">. Moreover, the Federal Register focuses on the restrictions regarding foreign entities of concern on the date pertaining </w:t>
      </w:r>
      <w:r w:rsidR="002E1E1D">
        <w:t xml:space="preserve">to the </w:t>
      </w:r>
      <w:r w:rsidRPr="00043EB5">
        <w:t xml:space="preserve">dates (Federal Register, 2024). In the case of Tesla, it has two restructuring imperatives: (1) allocate </w:t>
      </w:r>
      <w:r w:rsidR="002E1E1D">
        <w:t>its</w:t>
      </w:r>
      <w:r w:rsidRPr="00043EB5">
        <w:t xml:space="preserve"> capital by focusing on supply-chain localisation and compliant sourcing pathways, and (2) stress-test profitability i</w:t>
      </w:r>
      <w:r w:rsidR="002E1E1D">
        <w:t>f</w:t>
      </w:r>
      <w:r w:rsidRPr="00043EB5">
        <w:t xml:space="preserve"> some incentives are partially lost in some of </w:t>
      </w:r>
      <w:r w:rsidR="002E1E1D">
        <w:t>its</w:t>
      </w:r>
      <w:r w:rsidRPr="00043EB5">
        <w:t xml:space="preserve"> models/markets. A tax-policy scenario plan should therefore be part of the financial restructuring </w:t>
      </w:r>
      <w:r w:rsidRPr="00043EB5" w:rsidR="003E6E3A">
        <w:t>plan</w:t>
      </w:r>
      <w:r w:rsidR="003E6E3A">
        <w:t xml:space="preserve"> and</w:t>
      </w:r>
      <w:r w:rsidRPr="00043EB5">
        <w:t xml:space="preserve"> also make sure that going through with a divestiture or partnership does not inadvertently make someone ineligible </w:t>
      </w:r>
      <w:r w:rsidR="002E1E1D">
        <w:t>for</w:t>
      </w:r>
      <w:r w:rsidRPr="00043EB5">
        <w:t xml:space="preserve"> some important credit.</w:t>
      </w:r>
    </w:p>
    <w:p w:rsidRPr="008F2F80" w:rsidR="009F63FF" w:rsidP="009F63FF" w:rsidRDefault="009F63FF" w14:paraId="13C053E9" w14:textId="520FCC82">
      <w:pPr>
        <w:rPr>
          <w:b/>
          <w:bCs/>
          <w:i/>
          <w:iCs/>
        </w:rPr>
      </w:pPr>
      <w:r w:rsidRPr="008F2F80">
        <w:rPr>
          <w:b/>
          <w:bCs/>
          <w:i/>
          <w:iCs/>
        </w:rPr>
        <w:t>Currency risk and international operations</w:t>
      </w:r>
    </w:p>
    <w:p w:rsidR="009F63FF" w:rsidP="009F63FF" w:rsidRDefault="00BA579B" w14:paraId="173F0153" w14:textId="5B70C706">
      <w:r w:rsidRPr="00BA579B">
        <w:t>Tesla discloses the effects of foreign exchange and says that changes in exchange rates can be adverse (SEC, 2025). The policy of hedging (disciplining policy) should also be included in the restructuring</w:t>
      </w:r>
      <w:r w:rsidR="002E1E1D">
        <w:t>,</w:t>
      </w:r>
      <w:r w:rsidRPr="00BA579B">
        <w:t xml:space="preserve"> along with hedging policy, natural hedge (cost and revenue matching the currency), and the experience of where the capital assets were placed. The accounting standards focus on highlighting the impacts of the changes in the currency on financial reporting and financial results, which supports the idea of the necessity of transparent currency-risk management (IFRS Foundation, 2022). In practice, Tesla can minimi</w:t>
      </w:r>
      <w:r w:rsidR="002E1E1D">
        <w:t>s</w:t>
      </w:r>
      <w:r w:rsidRPr="00BA579B">
        <w:t xml:space="preserve">e volatility by matching financing currency with operating cash </w:t>
      </w:r>
      <w:r w:rsidRPr="00BA579B" w:rsidR="009814BE">
        <w:t>flows and</w:t>
      </w:r>
      <w:r w:rsidRPr="00BA579B">
        <w:t xml:space="preserve"> not concentrating the risk in high-volatility currencies.</w:t>
      </w:r>
    </w:p>
    <w:p w:rsidRPr="008F2F80" w:rsidR="009F63FF" w:rsidP="009F63FF" w:rsidRDefault="00BF103F" w14:paraId="32542AA9" w14:textId="77279E1A">
      <w:pPr>
        <w:rPr>
          <w:b/>
          <w:bCs/>
          <w:i/>
          <w:iCs/>
        </w:rPr>
      </w:pPr>
      <w:r w:rsidRPr="008F2F80">
        <w:rPr>
          <w:b/>
          <w:bCs/>
          <w:i/>
          <w:iCs/>
        </w:rPr>
        <w:t>Inflation and input-cost resilience</w:t>
      </w:r>
    </w:p>
    <w:p w:rsidR="00BF103F" w:rsidP="009F63FF" w:rsidRDefault="000D18C9" w14:paraId="006643E6" w14:textId="611F0344">
      <w:r w:rsidRPr="000D18C9">
        <w:t>The IMF anticipates a gradual slip of inflation all over the world but cautions that the country will remain uncertain of the negative risks to growth (IMF, 2025a; IMF, 2025b). To Tesla, inflation risk cannot be reduced to consumer demand erosion only, but it equally includes input-cost pressure - particularly to certain products, such as batteries and transportation. A restructuring strategy must concentrate on cost agility: modularity of capacity growth, diversification at the level of suppliers and the flexibility of the terms in the contracts</w:t>
      </w:r>
      <w:r w:rsidR="002E1E1D">
        <w:t>,</w:t>
      </w:r>
      <w:r w:rsidRPr="000D18C9">
        <w:t xml:space="preserve"> which will minimi</w:t>
      </w:r>
      <w:r w:rsidR="002E1E1D">
        <w:t>s</w:t>
      </w:r>
      <w:r w:rsidRPr="000D18C9">
        <w:t>e cost pass-through shocks. The transition to the positive cash cycle in Table 2 implies that Tesla will not be able to use the timing of payables as significantly as it has so far been used as a buffer to cost shocks; operational resilience gains further importance.</w:t>
      </w:r>
    </w:p>
    <w:p w:rsidRPr="008F2F80" w:rsidR="00BF103F" w:rsidP="009F63FF" w:rsidRDefault="00BF103F" w14:paraId="482360C7" w14:textId="77FBE6B3">
      <w:pPr>
        <w:rPr>
          <w:b/>
          <w:bCs/>
          <w:i/>
          <w:iCs/>
        </w:rPr>
      </w:pPr>
      <w:r w:rsidRPr="008F2F80">
        <w:rPr>
          <w:b/>
          <w:bCs/>
          <w:i/>
          <w:iCs/>
        </w:rPr>
        <w:t>CSR and ethical supply chains</w:t>
      </w:r>
    </w:p>
    <w:p w:rsidR="00BF103F" w:rsidP="009F63FF" w:rsidRDefault="0017710B" w14:paraId="1C4EBD04" w14:textId="40DB372C">
      <w:r w:rsidRPr="0017710B">
        <w:t xml:space="preserve">The sourcing of battery minerals is one of the main ethical risk areas of the EV community. Tesla also releases reports of sustainability-related reporting through its Impact Report (Tesla, 2024). The outside pressure also continues, such as calls </w:t>
      </w:r>
      <w:r w:rsidR="002E1E1D">
        <w:t>for</w:t>
      </w:r>
      <w:r w:rsidRPr="0017710B">
        <w:t xml:space="preserve"> better human rights due diligence in mineral supply chains (Amnesty International, 2024). The OECD Due Diligence Guidance on </w:t>
      </w:r>
      <w:r w:rsidR="002E1E1D">
        <w:t>Responsible Mineral Supply C</w:t>
      </w:r>
      <w:r w:rsidRPr="0017710B">
        <w:t>hains (OECD, 2016) determines the expectations of international stakeholders. The restructuring of measures, in particular, divestitures, alliances, or concentration of suppliers, should thus be decided on considering human rights</w:t>
      </w:r>
      <w:r w:rsidR="002E1E1D">
        <w:t>,</w:t>
      </w:r>
      <w:r w:rsidRPr="0017710B">
        <w:t xml:space="preserve"> labour consideration and community representation. A financially efficient supplier strategy would result in reputational loss, regulatory risk and cost of supply disruption</w:t>
      </w:r>
      <w:r w:rsidR="002E1E1D">
        <w:t>. B</w:t>
      </w:r>
      <w:r w:rsidRPr="0017710B">
        <w:t>eneficial to lessen the costs of reputational damage, regulatory risk and the negative supply disruption in high-risk mining areas</w:t>
      </w:r>
      <w:r w:rsidR="002E1E1D">
        <w:t>,</w:t>
      </w:r>
      <w:r w:rsidRPr="0017710B">
        <w:t xml:space="preserve"> without the benefit of strong due diligence</w:t>
      </w:r>
      <w:r w:rsidR="002E1E1D">
        <w:t>,</w:t>
      </w:r>
      <w:r w:rsidRPr="0017710B">
        <w:t xml:space="preserve"> will negatively impact shareholder value. ESG controls should be integrated into the plan: audit of suppliers, grievance management and transparent reporting in compliance with OECD (OECD, 2016). Compliance and ethical failure </w:t>
      </w:r>
      <w:r w:rsidRPr="0017710B" w:rsidR="00D0618F">
        <w:t>have</w:t>
      </w:r>
      <w:r w:rsidRPr="0017710B">
        <w:t xml:space="preserve"> the potential to restrict access to financing and increase risk premia. On the other hand, the well-developed ESG governance is likely to enhance the confidence of capital </w:t>
      </w:r>
      <w:r w:rsidRPr="0017710B" w:rsidR="00D0618F">
        <w:t>markets and</w:t>
      </w:r>
      <w:r w:rsidRPr="0017710B">
        <w:t xml:space="preserve"> facilitate access to lower-cost funding. In the case of Tesla, corporate social responsibility with regard to battery sourcing is strategically connected to tax-policy qualification and access to the market, not brand image.</w:t>
      </w:r>
    </w:p>
    <w:p w:rsidRPr="00E932DE" w:rsidR="00E932DE" w:rsidP="00E932DE" w:rsidRDefault="00E932DE" w14:paraId="7DB5FCAF" w14:textId="16712C4F">
      <w:pPr>
        <w:spacing w:before="100" w:beforeAutospacing="1" w:after="100" w:afterAutospacing="1" w:line="240" w:lineRule="auto"/>
        <w:jc w:val="left"/>
        <w:rPr>
          <w:rFonts w:eastAsia="Times New Roman" w:cs="Times New Roman"/>
          <w:szCs w:val="24"/>
          <w:lang w:val="en-US"/>
        </w:rPr>
      </w:pPr>
    </w:p>
    <w:p w:rsidRPr="00E932DE" w:rsidR="00E932DE" w:rsidP="00E932DE" w:rsidRDefault="00E932DE" w14:paraId="49ABAFD3" w14:textId="77777777">
      <w:pPr>
        <w:pBdr>
          <w:bottom w:val="single" w:color="auto" w:sz="6" w:space="1"/>
        </w:pBdr>
        <w:spacing w:before="0" w:after="0" w:line="240" w:lineRule="auto"/>
        <w:jc w:val="center"/>
        <w:rPr>
          <w:rFonts w:ascii="Arial" w:hAnsi="Arial" w:eastAsia="Times New Roman" w:cs="Arial"/>
          <w:vanish/>
          <w:sz w:val="16"/>
          <w:szCs w:val="16"/>
          <w:lang w:val="en-US"/>
        </w:rPr>
      </w:pPr>
      <w:r w:rsidRPr="00E932DE">
        <w:rPr>
          <w:rFonts w:ascii="Arial" w:hAnsi="Arial" w:eastAsia="Times New Roman" w:cs="Arial"/>
          <w:vanish/>
          <w:sz w:val="16"/>
          <w:szCs w:val="16"/>
          <w:lang w:val="en-US"/>
        </w:rPr>
        <w:t>Top of Form</w:t>
      </w:r>
    </w:p>
    <w:p w:rsidRPr="00E932DE" w:rsidR="00E932DE" w:rsidP="00E932DE" w:rsidRDefault="00E932DE" w14:paraId="3A9E4EE6" w14:textId="77777777">
      <w:pPr>
        <w:pBdr>
          <w:top w:val="single" w:color="auto" w:sz="6" w:space="1"/>
        </w:pBdr>
        <w:spacing w:before="0" w:after="0" w:line="240" w:lineRule="auto"/>
        <w:jc w:val="center"/>
        <w:rPr>
          <w:rFonts w:ascii="Arial" w:hAnsi="Arial" w:eastAsia="Times New Roman" w:cs="Arial"/>
          <w:vanish/>
          <w:sz w:val="16"/>
          <w:szCs w:val="16"/>
          <w:lang w:val="en-US"/>
        </w:rPr>
      </w:pPr>
      <w:r w:rsidRPr="00E932DE">
        <w:rPr>
          <w:rFonts w:ascii="Arial" w:hAnsi="Arial" w:eastAsia="Times New Roman" w:cs="Arial"/>
          <w:vanish/>
          <w:sz w:val="16"/>
          <w:szCs w:val="16"/>
          <w:lang w:val="en-US"/>
        </w:rPr>
        <w:t>Bottom of Form</w:t>
      </w:r>
    </w:p>
    <w:p w:rsidRPr="00394BFA" w:rsidR="004976C5" w:rsidP="00394BFA" w:rsidRDefault="004976C5" w14:paraId="54547DA3" w14:textId="77777777"/>
    <w:p w:rsidRPr="003F543D" w:rsidR="003F543D" w:rsidP="003F543D" w:rsidRDefault="003F543D" w14:paraId="1E63BE84" w14:textId="723CCD57">
      <w:pPr>
        <w:spacing w:before="0" w:after="160" w:line="259" w:lineRule="auto"/>
        <w:jc w:val="left"/>
      </w:pPr>
      <w:r>
        <w:br w:type="page"/>
      </w:r>
    </w:p>
    <w:p w:rsidR="00EE7486" w:rsidP="003F543D" w:rsidRDefault="005B1288" w14:paraId="74B72FAF" w14:textId="3B85D489">
      <w:pPr>
        <w:pStyle w:val="Heading1"/>
      </w:pPr>
      <w:bookmarkStart w:name="_Toc280761801" w:id="2081489706"/>
      <w:r w:rsidR="7DB26D30">
        <w:rPr/>
        <w:t xml:space="preserve">4. </w:t>
      </w:r>
      <w:r w:rsidR="368C735D">
        <w:rPr/>
        <w:t>Investment Appraisal and Capital Budgeting</w:t>
      </w:r>
      <w:bookmarkEnd w:id="2081489706"/>
    </w:p>
    <w:p w:rsidR="00194400" w:rsidP="00194400" w:rsidRDefault="00194400" w14:paraId="6BD9F3DD" w14:textId="67919C91">
      <w:pPr>
        <w:pStyle w:val="Heading2"/>
      </w:pPr>
      <w:bookmarkStart w:name="_Toc1988706521" w:id="967596392"/>
      <w:r w:rsidR="13825693">
        <w:rPr/>
        <w:t xml:space="preserve">4.1 </w:t>
      </w:r>
      <w:r w:rsidR="13825693">
        <w:rPr/>
        <w:t>Financial Evaluation of Projects Using Capital Budgeting Techniques</w:t>
      </w:r>
      <w:bookmarkEnd w:id="967596392"/>
    </w:p>
    <w:p w:rsidR="0014676E" w:rsidP="00194400" w:rsidRDefault="00505949" w14:paraId="082C16C3" w14:textId="77777777">
      <w:r w:rsidRPr="00505949">
        <w:t>The investment appraisal is vital in the strategic development of Tesla, and more especially in a sector that is capital-intensive, Technological and Unstable Demand. Tesla, a global electric vehicle (EV) manufacturer, needs to make sure that the decision of capital allocation maximi</w:t>
      </w:r>
      <w:r w:rsidR="002E1E1D">
        <w:t>s</w:t>
      </w:r>
      <w:r w:rsidRPr="00505949">
        <w:t>es the shareholder value without compromising liquidity and being strategic to address the competitive and highly regulated markets (Tesla, 2023). Payback Period (PBP), Accounting rate of Return (ARR), Net Present Value (NPV), Internal rate of Return (IRR) and Profitability Index (PI) are used to assess the three proposed projects</w:t>
      </w:r>
      <w:r w:rsidR="002E1E1D">
        <w:t>,</w:t>
      </w:r>
      <w:r w:rsidRPr="00505949">
        <w:t xml:space="preserve"> namely </w:t>
      </w:r>
      <w:r w:rsidRPr="00505949" w:rsidR="00B379D7">
        <w:t>A, B</w:t>
      </w:r>
      <w:r w:rsidRPr="00505949">
        <w:t xml:space="preserve"> and C</w:t>
      </w:r>
      <w:r w:rsidR="002E1E1D">
        <w:t>,</w:t>
      </w:r>
      <w:r w:rsidRPr="00505949">
        <w:t xml:space="preserve"> at a discount of 10 per cent and straight</w:t>
      </w:r>
      <w:r w:rsidR="002E1E1D">
        <w:t>-line</w:t>
      </w:r>
      <w:r w:rsidRPr="00505949">
        <w:t xml:space="preserve"> depreciation. </w:t>
      </w:r>
    </w:p>
    <w:p w:rsidR="00194400" w:rsidP="00194400" w:rsidRDefault="00505949" w14:paraId="7526FA9A" w14:textId="4BD92F85">
      <w:r w:rsidRPr="00505949">
        <w:t xml:space="preserve">Project A yields a payback period of 2.33 years, ARR of 22, NPV of </w:t>
      </w:r>
      <w:r w:rsidR="0014676E">
        <w:rPr>
          <w:rFonts w:cs="Times New Roman"/>
        </w:rPr>
        <w:t>£</w:t>
      </w:r>
      <w:r w:rsidRPr="00505949">
        <w:t>29.23m, IRR of 31.23%</w:t>
      </w:r>
      <w:r w:rsidR="002E1E1D">
        <w:t>,</w:t>
      </w:r>
      <w:r w:rsidRPr="00505949">
        <w:t xml:space="preserve"> as well as PI of 1.58, as indicated by </w:t>
      </w:r>
      <w:r w:rsidR="002E1E1D">
        <w:t>T</w:t>
      </w:r>
      <w:r w:rsidRPr="00505949">
        <w:t xml:space="preserve">able 6. The payback of project </w:t>
      </w:r>
      <w:r w:rsidR="002E1E1D">
        <w:t>B</w:t>
      </w:r>
      <w:r w:rsidRPr="00505949">
        <w:t xml:space="preserve"> is recorded to be 2.38 years, ARR of 22, NPV of </w:t>
      </w:r>
      <w:r w:rsidR="0014676E">
        <w:rPr>
          <w:rFonts w:cs="Times New Roman"/>
        </w:rPr>
        <w:t>£</w:t>
      </w:r>
      <w:r w:rsidRPr="00505949">
        <w:t>29.61m, IRR of 31.19% and PI of 1.59. Project C is the longest payback with an increase of 2.50 years, which gives high ARR (26%), NPV (</w:t>
      </w:r>
      <w:r w:rsidR="0014676E">
        <w:rPr>
          <w:rFonts w:cs="Times New Roman"/>
        </w:rPr>
        <w:t>£</w:t>
      </w:r>
      <w:r w:rsidRPr="00505949">
        <w:t>35.92m), IRR (33.12%) and PI (1.72). In terms of value-maximisation, NPV has been the most theoretically sound method of measuring the increase in the wealth of shareholders due to being an explicit measure of the latter (Brealey, Myers and Allen, 2020). As Table 6 indicates, the highest NPV is generated by Project C (</w:t>
      </w:r>
      <w:r w:rsidR="0014676E">
        <w:rPr>
          <w:rFonts w:cs="Times New Roman"/>
        </w:rPr>
        <w:t>£</w:t>
      </w:r>
      <w:r w:rsidRPr="00505949">
        <w:t xml:space="preserve">35.92m), which is quite large compared to Projects A and B. In the case of Tesla, where long-term technological capabilities and development in energy storage and AI-based car systems are the key priorities, projects with higher NPVs are more suitable </w:t>
      </w:r>
      <w:r w:rsidR="002E1E1D">
        <w:t>for</w:t>
      </w:r>
      <w:r w:rsidRPr="00505949">
        <w:t xml:space="preserve"> the creation of shareholder value.</w:t>
      </w:r>
    </w:p>
    <w:p w:rsidR="00B014A4" w:rsidP="00194400" w:rsidRDefault="00D94C23" w14:paraId="2F65AD76" w14:textId="77777777">
      <w:r w:rsidRPr="00D94C23">
        <w:t>IRR also justifies this conclusion. The IRR of the project C stands at 33.12%</w:t>
      </w:r>
      <w:r w:rsidR="002E1E1D">
        <w:t>,</w:t>
      </w:r>
      <w:r w:rsidRPr="00D94C23">
        <w:t xml:space="preserve"> which is higher than the 10 per</w:t>
      </w:r>
      <w:r w:rsidR="002E1E1D">
        <w:t xml:space="preserve"> </w:t>
      </w:r>
      <w:r w:rsidRPr="00D94C23">
        <w:t>cent cost of capital and the returns of project</w:t>
      </w:r>
      <w:r w:rsidR="002E1E1D">
        <w:t>s</w:t>
      </w:r>
      <w:r w:rsidRPr="00D94C23">
        <w:t xml:space="preserve"> A and B. As IRR indicates the rate at which the project breaks even in the discounted terms, Project C has better prospects of gaining returns. Nonetheless, IRR may be deceitful when comparing mutually exclusive projects</w:t>
      </w:r>
      <w:r w:rsidR="002E1E1D">
        <w:t>;</w:t>
      </w:r>
      <w:r w:rsidRPr="00D94C23">
        <w:t xml:space="preserve"> therefore, the choice will be reinforced by using NPV (Atrill and McLaney, 2022). This ranking is also supported under the Profitability Index. Based on Table 6, the PI of Project C is 1.72. Since Tesla is a capital-intensive organi</w:t>
      </w:r>
      <w:r w:rsidR="002E1E1D">
        <w:t>s</w:t>
      </w:r>
      <w:r w:rsidRPr="00D94C23">
        <w:t>ation, i.e. Gigafactory extensions, battery technology development projects and similar venture</w:t>
      </w:r>
      <w:r w:rsidR="002E1E1D">
        <w:t>s</w:t>
      </w:r>
      <w:r w:rsidRPr="00D94C23">
        <w:t xml:space="preserve"> are valuable in per</w:t>
      </w:r>
      <w:r w:rsidR="002E1E1D">
        <w:t>-</w:t>
      </w:r>
      <w:r w:rsidRPr="00D94C23">
        <w:t>pound terms of their strategic value. Project A shows the lowest payback of 2.33 years</w:t>
      </w:r>
      <w:r w:rsidR="002E1E1D">
        <w:t>,</w:t>
      </w:r>
      <w:r w:rsidRPr="00D94C23">
        <w:t xml:space="preserve"> but the payback approach simply does not take into account </w:t>
      </w:r>
      <w:r w:rsidR="002E1E1D">
        <w:t xml:space="preserve">the </w:t>
      </w:r>
      <w:r w:rsidRPr="00D94C23">
        <w:t>time value of money and post-payback cash flows. Tesla is involved in an industry that involves long-term innovation cycles</w:t>
      </w:r>
      <w:r w:rsidR="002E1E1D">
        <w:t>,</w:t>
      </w:r>
      <w:r w:rsidRPr="00D94C23">
        <w:t xml:space="preserve"> and thus short-term liquidity may take precedence over long-term profitability</w:t>
      </w:r>
      <w:r w:rsidR="002E1E1D">
        <w:t>,</w:t>
      </w:r>
      <w:r w:rsidRPr="00D94C23">
        <w:t xml:space="preserve"> </w:t>
      </w:r>
      <w:r w:rsidR="002E1E1D">
        <w:t>which could</w:t>
      </w:r>
      <w:r w:rsidRPr="00D94C23">
        <w:t xml:space="preserve"> affect competitive positioning in a negative way. Although liquidity matters, especially in connection with macroeconomic volatility and fluctuating interest rates (IEA, 2023), the operating cash flows of Tesla are considered relatively robust, which lessens the dependence on basic payback indicators.</w:t>
      </w:r>
    </w:p>
    <w:p w:rsidR="0060261F" w:rsidP="00194400" w:rsidRDefault="00D94C23" w14:paraId="46695165" w14:textId="03B7708E">
      <w:r w:rsidRPr="00D94C23">
        <w:t>According to the ARR measure, Project C performs much better, 26% as opposed to 22% in the case of A and B. ARR</w:t>
      </w:r>
      <w:r w:rsidR="002E1E1D">
        <w:t>,</w:t>
      </w:r>
      <w:r w:rsidRPr="00D94C23">
        <w:t xml:space="preserve"> on the other hand</w:t>
      </w:r>
      <w:r w:rsidR="002E1E1D">
        <w:t>,</w:t>
      </w:r>
      <w:r w:rsidRPr="00D94C23">
        <w:t xml:space="preserve"> is based on accounting profit</w:t>
      </w:r>
      <w:r w:rsidR="002E1E1D">
        <w:t>,</w:t>
      </w:r>
      <w:r w:rsidRPr="00D94C23">
        <w:t xml:space="preserve"> and it does not give focus to the timing of returns. In certain cases, ARR can be </w:t>
      </w:r>
      <w:r w:rsidR="002E1E1D">
        <w:t xml:space="preserve">a </w:t>
      </w:r>
      <w:r w:rsidRPr="00D94C23">
        <w:t xml:space="preserve">misleading economic reality, </w:t>
      </w:r>
      <w:r w:rsidR="002E1E1D">
        <w:t>as</w:t>
      </w:r>
      <w:r w:rsidRPr="00D94C23">
        <w:t xml:space="preserve"> is so in the case </w:t>
      </w:r>
      <w:r w:rsidR="002E1E1D">
        <w:t>of</w:t>
      </w:r>
      <w:r w:rsidRPr="00D94C23">
        <w:t xml:space="preserve"> a technology-driven company like Tesla that faces high R&amp;D and depreciation costs.</w:t>
      </w:r>
      <w:r w:rsidR="0060261F">
        <w:t xml:space="preserve"> </w:t>
      </w:r>
      <w:r w:rsidRPr="00D94C23">
        <w:t xml:space="preserve">Therefore, Project C can be supported with the help of ARR; however, it should not be the sole factor </w:t>
      </w:r>
      <w:r w:rsidR="002E1E1D">
        <w:t xml:space="preserve">in making </w:t>
      </w:r>
      <w:r w:rsidRPr="00D94C23">
        <w:t xml:space="preserve">this decision. </w:t>
      </w:r>
    </w:p>
    <w:p w:rsidRPr="00194400" w:rsidR="00B379D7" w:rsidP="00194400" w:rsidRDefault="00D94C23" w14:paraId="361E5FC5" w14:textId="01BB1293">
      <w:r w:rsidRPr="00D94C23">
        <w:t xml:space="preserve">In general, based solely on </w:t>
      </w:r>
      <w:r w:rsidR="002E1E1D">
        <w:t xml:space="preserve">a </w:t>
      </w:r>
      <w:r w:rsidRPr="00D94C23">
        <w:t>financial point of view, Project C prevails in terms of NPV, IRR and PI, although the payback will be somewhat longer. Hence, in case Tesla has to decide on one project, then Project C would be financially better.</w:t>
      </w:r>
    </w:p>
    <w:p w:rsidR="007F46FF" w:rsidP="0060261F" w:rsidRDefault="0060261F" w14:paraId="06F0DF73" w14:textId="67D4D289">
      <w:pPr>
        <w:pStyle w:val="Heading2"/>
      </w:pPr>
      <w:bookmarkStart w:name="_Toc2041406579" w:id="665602365"/>
      <w:r w:rsidR="5E311139">
        <w:rPr/>
        <w:t>4.2 Strategic and Non-Financial Considerations</w:t>
      </w:r>
      <w:bookmarkEnd w:id="665602365"/>
    </w:p>
    <w:p w:rsidRPr="0091342C" w:rsidR="0091342C" w:rsidP="0091342C" w:rsidRDefault="0091342C" w14:paraId="40269D8D" w14:textId="435024D8">
      <w:r w:rsidRPr="0091342C">
        <w:t>Though the quantitative justification is done by using financial metrics, the investment decisions made by Tesla need strategic alignment and non-financial risks</w:t>
      </w:r>
      <w:r w:rsidR="002E1E1D">
        <w:t>,</w:t>
      </w:r>
      <w:r w:rsidRPr="0091342C">
        <w:t xml:space="preserve"> too. Regulatory incentives, geopolitical tensions, risk in the supply of raw materials (lithium and cobalt) and the loyalty of customers affect the EV industry (IEA, 2023). The back-loaded cash flows cause Project C to have higher returns, </w:t>
      </w:r>
      <w:r w:rsidR="002E1E1D">
        <w:t>with</w:t>
      </w:r>
      <w:r w:rsidRPr="0091342C">
        <w:t xml:space="preserve"> huge inflows in Years 3 and 4. This structure means an increased market exposure to market uncertainty. In the case of Tesla, the reliability of cash flows in the future will be essential, considering that revenues depend on changes in consumer demand and regulatory changes, especially in the US, China, and Europe (Tesla, 2023). The effect of long-term returns may be the political risk, including the changes in EV subsidies. Thus, Project C has a high </w:t>
      </w:r>
      <w:r w:rsidRPr="0091342C" w:rsidR="005D63D1">
        <w:t>NPV but</w:t>
      </w:r>
      <w:r w:rsidRPr="0091342C">
        <w:t xml:space="preserve"> has high forecasting risk in comparison with Project B with stable and consistent annual inflows. The cash flows of Project B are well spread (PS 11m/year) and hence less volatile</w:t>
      </w:r>
      <w:r w:rsidR="002E1E1D">
        <w:t>,</w:t>
      </w:r>
      <w:r w:rsidRPr="0091342C">
        <w:t xml:space="preserve"> and operational risk may be minimi</w:t>
      </w:r>
      <w:r w:rsidR="002E1E1D">
        <w:t>s</w:t>
      </w:r>
      <w:r w:rsidRPr="0091342C">
        <w:t>ed. Constant inflows improve the liquidity management and financial plan in unpredictable macroeconomic conditions. This resilience can underpin other investments of Tesla, including the supply chain localisation and AI investments.</w:t>
      </w:r>
    </w:p>
    <w:p w:rsidR="0060261F" w:rsidP="0060261F" w:rsidRDefault="00BF64C7" w14:paraId="783EC50B" w14:textId="3CDB67EA">
      <w:r w:rsidRPr="00BF64C7">
        <w:t xml:space="preserve">Other strategic dimensions are customer loyalty and brand equity. The competitive edge of Tesla is based on innovation, leadership in sustainability, and software integration </w:t>
      </w:r>
      <w:r w:rsidRPr="00BF64C7" w:rsidR="005D63D1">
        <w:t>(Tesla</w:t>
      </w:r>
      <w:r w:rsidRPr="00BF64C7">
        <w:t>, 2023). Project C, in case it grants long</w:t>
      </w:r>
      <w:r w:rsidR="002E1E1D">
        <w:t>-</w:t>
      </w:r>
      <w:r w:rsidRPr="00BF64C7">
        <w:t>term technological distinction, a battery efficiency or an auto-driving, may enhance competitive positioning attractive to a greater extent than its numerical NPV advantage. On the other hand, project B of incremental capacity expansion might stabilise the market share, but would not be a major factor in improving innovation. Capital budgeting is also affected by environmental as well as ESG considerations.</w:t>
      </w:r>
      <w:r w:rsidR="005D63D1">
        <w:t xml:space="preserve"> </w:t>
      </w:r>
      <w:r w:rsidRPr="005D63D1" w:rsidR="005D63D1">
        <w:t>Existence in the world is becoming extremely sustainab</w:t>
      </w:r>
      <w:r w:rsidR="002E1E1D">
        <w:t>le</w:t>
      </w:r>
      <w:r w:rsidRPr="005D63D1" w:rsidR="005D63D1">
        <w:t xml:space="preserve"> and climate impact</w:t>
      </w:r>
      <w:r w:rsidR="002E1E1D">
        <w:t>-</w:t>
      </w:r>
      <w:r w:rsidRPr="005D63D1" w:rsidR="005D63D1">
        <w:t>conscious among shareholders (IEA, 2023)</w:t>
      </w:r>
      <w:r w:rsidRPr="00BF64C7">
        <w:t>. Projects that support the Tesla renewable energy ecosystem</w:t>
      </w:r>
      <w:r w:rsidR="002E1E1D">
        <w:t>,</w:t>
      </w:r>
      <w:r w:rsidRPr="00BF64C7">
        <w:t xml:space="preserve"> e.g. energy storage, grid integration</w:t>
      </w:r>
      <w:r w:rsidR="002E1E1D">
        <w:t>,</w:t>
      </w:r>
      <w:r w:rsidRPr="00BF64C7">
        <w:t xml:space="preserve"> etc.</w:t>
      </w:r>
      <w:r w:rsidR="002E1E1D">
        <w:t>,</w:t>
      </w:r>
      <w:r w:rsidRPr="00BF64C7">
        <w:t xml:space="preserve"> can create reputational and regulatory advantages overlooked by the conventional appraisal methods. That is why, although project C is more financially superior, the management should consider its risk-adjusted profile conciliation with the long-term sustainability strategy of Tesla. Liquidity implications should </w:t>
      </w:r>
      <w:r w:rsidR="002E1E1D">
        <w:t>also be</w:t>
      </w:r>
      <w:r w:rsidRPr="00BF64C7">
        <w:t xml:space="preserve"> taken into consideration. All the projects need </w:t>
      </w:r>
      <w:r w:rsidR="002E1E1D">
        <w:t xml:space="preserve">a </w:t>
      </w:r>
      <w:r w:rsidRPr="00BF64C7">
        <w:t>PS 50m start</w:t>
      </w:r>
      <w:r w:rsidR="002E1E1D">
        <w:t>-</w:t>
      </w:r>
      <w:r w:rsidRPr="00BF64C7">
        <w:t xml:space="preserve">up investment, but the lower payback of Project C may temporarily decrease the </w:t>
      </w:r>
      <w:r w:rsidRPr="00BF64C7" w:rsidR="005D63D1">
        <w:t>short-term</w:t>
      </w:r>
      <w:r w:rsidRPr="00BF64C7">
        <w:t xml:space="preserve"> cash flexibility. But this worry is neutrali</w:t>
      </w:r>
      <w:r w:rsidR="002E1E1D">
        <w:t>s</w:t>
      </w:r>
      <w:r w:rsidRPr="00BF64C7">
        <w:t xml:space="preserve">ed by the size of Tesla and its availability of capital markets. Liquidity risk can be controlled since Tesla has been on </w:t>
      </w:r>
      <w:r w:rsidR="002E1E1D">
        <w:t>a</w:t>
      </w:r>
      <w:r w:rsidRPr="00BF64C7">
        <w:t xml:space="preserve"> positive operating performance and growth trend (Tesla, 2023). Project C, however, provides better financial returns, but it has more exposure to risk in the future vis-à-vis the alternative. But Tesla</w:t>
      </w:r>
      <w:r w:rsidR="002E1E1D">
        <w:t>'s</w:t>
      </w:r>
      <w:r w:rsidRPr="00BF64C7">
        <w:t xml:space="preserve"> strategy is to focus on long-term innovation, which indicates the tolerance of calculated risk. So, the financial dominance strategy, together with strategic alignment, reinforces the Project C recommendation.</w:t>
      </w:r>
    </w:p>
    <w:p w:rsidR="00B04AD3" w:rsidP="00B04AD3" w:rsidRDefault="00B04AD3" w14:paraId="0E90BE2E" w14:textId="505F9073">
      <w:pPr>
        <w:pStyle w:val="Heading2"/>
      </w:pPr>
      <w:bookmarkStart w:name="_Toc1915983496" w:id="140702845"/>
      <w:r w:rsidR="142BE028">
        <w:rPr/>
        <w:t>4.3 Capital Rationing and Optimal Combination</w:t>
      </w:r>
      <w:bookmarkEnd w:id="140702845"/>
    </w:p>
    <w:p w:rsidR="003D79C6" w:rsidP="00B04AD3" w:rsidRDefault="002908DC" w14:paraId="233CD15B" w14:textId="069E8FB1">
      <w:r w:rsidRPr="002908DC">
        <w:t xml:space="preserve">Tesla </w:t>
      </w:r>
      <w:r w:rsidR="002E1E1D">
        <w:t>can</w:t>
      </w:r>
      <w:r w:rsidRPr="002908DC">
        <w:t xml:space="preserve"> carry out two projects considering a maximum investment budget of </w:t>
      </w:r>
      <w:r w:rsidR="00C269A4">
        <w:rPr>
          <w:rFonts w:cs="Times New Roman"/>
        </w:rPr>
        <w:t>£</w:t>
      </w:r>
      <w:r w:rsidRPr="002908DC">
        <w:t xml:space="preserve">100m. By capital rationing, the rank of the efforts to include in projects that achieve initial investments equality should be based mainly on PI (Brealey, Myers and Allen, 2020). The PI ranking in </w:t>
      </w:r>
      <w:r w:rsidR="002E1E1D">
        <w:t>T</w:t>
      </w:r>
      <w:r w:rsidRPr="002908DC">
        <w:t>able 6 displays the following results: project C (1.72), project B (1.59), project A (1.58). Projects C and B will be the best combination</w:t>
      </w:r>
      <w:r w:rsidR="002E1E1D">
        <w:t>,</w:t>
      </w:r>
      <w:r w:rsidRPr="002908DC">
        <w:t xml:space="preserve"> and thus they maximi</w:t>
      </w:r>
      <w:r w:rsidR="002E1E1D">
        <w:t>s</w:t>
      </w:r>
      <w:r w:rsidRPr="002908DC">
        <w:t xml:space="preserve">e total NPV. Project C gives </w:t>
      </w:r>
      <w:r w:rsidR="00C269A4">
        <w:rPr>
          <w:rFonts w:cs="Times New Roman"/>
        </w:rPr>
        <w:t>£</w:t>
      </w:r>
      <w:r w:rsidRPr="002908DC">
        <w:t xml:space="preserve">35.92m and Project B </w:t>
      </w:r>
      <w:r w:rsidR="00C269A4">
        <w:rPr>
          <w:rFonts w:cs="Times New Roman"/>
        </w:rPr>
        <w:t>£</w:t>
      </w:r>
      <w:r w:rsidRPr="002908DC">
        <w:t>29.61m</w:t>
      </w:r>
      <w:r w:rsidR="002E1E1D">
        <w:t>,</w:t>
      </w:r>
      <w:r w:rsidRPr="002908DC">
        <w:t xml:space="preserve"> creating a total NPV of </w:t>
      </w:r>
      <w:r w:rsidR="00C269A4">
        <w:rPr>
          <w:rFonts w:cs="Times New Roman"/>
        </w:rPr>
        <w:t>£</w:t>
      </w:r>
      <w:r w:rsidRPr="002908DC">
        <w:t xml:space="preserve">65.53m. However, a combination of Projects C and A gives </w:t>
      </w:r>
      <w:r w:rsidR="00D37D53">
        <w:rPr>
          <w:rFonts w:cs="Times New Roman"/>
        </w:rPr>
        <w:t>£</w:t>
      </w:r>
      <w:r w:rsidRPr="002908DC">
        <w:t>65.15m, which is rather less. The combination of project</w:t>
      </w:r>
      <w:r w:rsidR="002E1E1D">
        <w:t>s</w:t>
      </w:r>
      <w:r w:rsidRPr="002908DC">
        <w:t xml:space="preserve"> A and B only produces </w:t>
      </w:r>
      <w:r w:rsidR="00D37D53">
        <w:rPr>
          <w:rFonts w:cs="Times New Roman"/>
        </w:rPr>
        <w:t>£</w:t>
      </w:r>
      <w:r w:rsidRPr="002908DC">
        <w:t xml:space="preserve">58.84m, which is the least appealing. Financially, Projects C and B would be ideal shareholder maximising within the </w:t>
      </w:r>
      <w:r w:rsidR="006B38EA">
        <w:rPr>
          <w:rFonts w:cs="Times New Roman"/>
        </w:rPr>
        <w:t>£</w:t>
      </w:r>
      <w:r w:rsidRPr="002908DC">
        <w:t>100m constraint. This combination is strategic in mitigating risk</w:t>
      </w:r>
      <w:r w:rsidR="002E1E1D">
        <w:t>.</w:t>
      </w:r>
      <w:r w:rsidRPr="002908DC">
        <w:t xml:space="preserve"> Project C has greater long-term growth potential compared to Project B, which has greater predictable stability. This kind of diversification is consistent with the portfolio theory and lessens the need to depend on one cash flow structure. In the case of Tesla, with its operation involving vehicle manufacturing, </w:t>
      </w:r>
      <w:r w:rsidR="002E1E1D">
        <w:t>energy storage buildings,</w:t>
      </w:r>
      <w:r w:rsidRPr="002908DC">
        <w:t xml:space="preserve"> and artificial intelligence (AI), making </w:t>
      </w:r>
      <w:r w:rsidR="002E1E1D">
        <w:t xml:space="preserve">a </w:t>
      </w:r>
      <w:r w:rsidRPr="002908DC" w:rsidR="003D79C6">
        <w:t>trade-off</w:t>
      </w:r>
      <w:r w:rsidRPr="002908DC">
        <w:t xml:space="preserve"> between innovation-based growth (Project C) and reliability in revenue (Project B) is a sure way to remain profitable and financially robust. This mix also aids in liquidity management</w:t>
      </w:r>
      <w:r w:rsidR="002E1E1D">
        <w:t>,</w:t>
      </w:r>
      <w:r w:rsidRPr="002908DC">
        <w:t xml:space="preserve"> besides ensuring strategic momentum.</w:t>
      </w:r>
    </w:p>
    <w:p w:rsidRPr="00B04AD3" w:rsidR="00B04AD3" w:rsidP="00B04AD3" w:rsidRDefault="002908DC" w14:paraId="27B9D297" w14:textId="52205A1E">
      <w:r w:rsidRPr="002908DC">
        <w:t>Conclusively, when making a single investment, Project C is most preferable because it offers a maximum of NPV, IRR and PI (Table 6). For Projects C and B, capital rationing is optimal</w:t>
      </w:r>
      <w:r w:rsidR="002E1E1D">
        <w:t>,</w:t>
      </w:r>
      <w:r w:rsidRPr="002908DC">
        <w:t xml:space="preserve"> allowing the allocation of </w:t>
      </w:r>
      <w:r w:rsidR="00CF3262">
        <w:rPr>
          <w:rFonts w:cs="Times New Roman"/>
        </w:rPr>
        <w:t>£</w:t>
      </w:r>
      <w:r w:rsidRPr="002908DC">
        <w:t xml:space="preserve">100m such that maximum NPV is </w:t>
      </w:r>
      <w:r w:rsidRPr="002908DC" w:rsidR="003D79C6">
        <w:t>achieved,</w:t>
      </w:r>
      <w:r w:rsidRPr="002908DC">
        <w:t xml:space="preserve"> and risk exposure is balanced. The decision is further supported by the long-term strategic priorities of Tesla, which are innovation leadership, dedication to sustainability and international growth.</w:t>
      </w:r>
    </w:p>
    <w:p w:rsidR="007F46FF" w:rsidRDefault="007F46FF" w14:paraId="0F6916D5" w14:textId="4D9D9AD5">
      <w:pPr>
        <w:spacing w:before="0" w:after="160" w:line="259" w:lineRule="auto"/>
        <w:jc w:val="left"/>
      </w:pPr>
      <w:r>
        <w:br w:type="page"/>
      </w:r>
    </w:p>
    <w:p w:rsidR="007F46FF" w:rsidP="00EF5818" w:rsidRDefault="007F46FF" w14:paraId="27EB98FA" w14:textId="195D8207">
      <w:pPr>
        <w:pStyle w:val="Heading1"/>
      </w:pPr>
      <w:bookmarkStart w:name="_Toc240983793" w:id="2009273571"/>
      <w:r w:rsidR="23327D7A">
        <w:rPr/>
        <w:t>Conclusion</w:t>
      </w:r>
      <w:bookmarkEnd w:id="2009273571"/>
    </w:p>
    <w:p w:rsidRPr="00EF5818" w:rsidR="00EF5818" w:rsidP="4B42EC94" w:rsidRDefault="002E225F" w14:paraId="5A15B06B" w14:textId="2D5B20BD">
      <w:pPr>
        <w:pStyle w:val="Normal"/>
        <w:rPr>
          <w:rFonts w:ascii="Times New Roman" w:hAnsi="Times New Roman" w:eastAsia="Times New Roman" w:cs="Times New Roman"/>
          <w:noProof w:val="0"/>
          <w:sz w:val="24"/>
          <w:szCs w:val="24"/>
          <w:lang w:val="en-GB"/>
        </w:rPr>
      </w:pPr>
      <w:r w:rsidR="324DFCEE">
        <w:rPr/>
        <w:t xml:space="preserve"> </w:t>
      </w:r>
      <w:r w:rsidR="2F0F38D7">
        <w:rPr/>
        <w:t>To conclude</w:t>
      </w:r>
      <w:r w:rsidRPr="3BDB421E" w:rsidR="5AAF75FA">
        <w:rPr>
          <w:rFonts w:ascii="Times New Roman" w:hAnsi="Times New Roman" w:eastAsia="Times New Roman" w:cs="Times New Roman"/>
          <w:noProof w:val="0"/>
          <w:sz w:val="24"/>
          <w:szCs w:val="24"/>
          <w:lang w:val="en-GB"/>
        </w:rPr>
        <w:t xml:space="preserve">, Tesla </w:t>
      </w:r>
      <w:r w:rsidRPr="3BDB421E" w:rsidR="5AAF75FA">
        <w:rPr>
          <w:rFonts w:ascii="Times New Roman" w:hAnsi="Times New Roman" w:eastAsia="Times New Roman" w:cs="Times New Roman"/>
          <w:noProof w:val="0"/>
          <w:sz w:val="24"/>
          <w:szCs w:val="24"/>
          <w:lang w:val="en-GB"/>
        </w:rPr>
        <w:t>remains</w:t>
      </w:r>
      <w:r w:rsidRPr="3BDB421E" w:rsidR="5AAF75FA">
        <w:rPr>
          <w:rFonts w:ascii="Times New Roman" w:hAnsi="Times New Roman" w:eastAsia="Times New Roman" w:cs="Times New Roman"/>
          <w:noProof w:val="0"/>
          <w:sz w:val="24"/>
          <w:szCs w:val="24"/>
          <w:lang w:val="en-GB"/>
        </w:rPr>
        <w:t xml:space="preserve"> financially resilient with strong liquidity and manageable leverage; however, declining profitability and asset efficiency suggest that rapid expansion has temporarily diluted capital productivity. Future financial performance will depend on Tesla’s ability to restore margins through operational efficiency, technological </w:t>
      </w:r>
      <w:r w:rsidRPr="3BDB421E" w:rsidR="5AAF75FA">
        <w:rPr>
          <w:rFonts w:ascii="Times New Roman" w:hAnsi="Times New Roman" w:eastAsia="Times New Roman" w:cs="Times New Roman"/>
          <w:noProof w:val="0"/>
          <w:sz w:val="24"/>
          <w:szCs w:val="24"/>
          <w:lang w:val="en-GB"/>
        </w:rPr>
        <w:t>innovation</w:t>
      </w:r>
      <w:r w:rsidRPr="3BDB421E" w:rsidR="5AAF75FA">
        <w:rPr>
          <w:rFonts w:ascii="Times New Roman" w:hAnsi="Times New Roman" w:eastAsia="Times New Roman" w:cs="Times New Roman"/>
          <w:noProof w:val="0"/>
          <w:sz w:val="24"/>
          <w:szCs w:val="24"/>
          <w:lang w:val="en-GB"/>
        </w:rPr>
        <w:t xml:space="preserve"> and disciplined capital allocation.</w:t>
      </w:r>
      <w:r w:rsidR="324DFCEE">
        <w:rPr/>
        <w:t xml:space="preserve"> In this description, the single investment will be more profitable (Project C), </w:t>
      </w:r>
      <w:r w:rsidR="324DFCEE">
        <w:rPr/>
        <w:t>whereas</w:t>
      </w:r>
      <w:r w:rsidR="324DFCEE">
        <w:rPr/>
        <w:t xml:space="preserve"> a combination of Project C and B</w:t>
      </w:r>
      <w:r w:rsidR="4D0C6C1E">
        <w:rPr/>
        <w:t>,</w:t>
      </w:r>
      <w:r w:rsidR="324DFCEE">
        <w:rPr/>
        <w:t xml:space="preserve"> which is a capital rationing</w:t>
      </w:r>
      <w:r w:rsidR="4D0C6C1E">
        <w:rPr/>
        <w:t>,</w:t>
      </w:r>
      <w:r w:rsidR="324DFCEE">
        <w:rPr/>
        <w:t xml:space="preserve"> maximises the total NPV and balances risk. Redistribution of strategically important capital, working capital discipline and operational efficiency increases thus become significant in </w:t>
      </w:r>
      <w:r w:rsidR="324DFCEE">
        <w:rPr/>
        <w:t>maintaining</w:t>
      </w:r>
      <w:r w:rsidR="324DFCEE">
        <w:rPr/>
        <w:t xml:space="preserve"> Tesla in its competitive and financial standing.</w:t>
      </w:r>
    </w:p>
    <w:p w:rsidR="003F543D" w:rsidP="003F543D" w:rsidRDefault="003F543D" w14:paraId="4372CE25" w14:textId="77777777"/>
    <w:p w:rsidR="00922100" w:rsidRDefault="00922100" w14:paraId="01600982" w14:textId="5C597400">
      <w:pPr>
        <w:spacing w:before="0" w:after="160" w:line="259" w:lineRule="auto"/>
        <w:jc w:val="left"/>
      </w:pPr>
      <w:r>
        <w:br w:type="page"/>
      </w:r>
    </w:p>
    <w:p w:rsidR="00922100" w:rsidP="00922100" w:rsidRDefault="00922100" w14:paraId="6EC4118B" w14:textId="0357B098">
      <w:pPr>
        <w:pStyle w:val="Heading1"/>
      </w:pPr>
      <w:bookmarkStart w:name="_Toc164271295" w:id="2033896274"/>
      <w:r w:rsidR="1697CC84">
        <w:rPr/>
        <w:t>References</w:t>
      </w:r>
      <w:bookmarkEnd w:id="2033896274"/>
    </w:p>
    <w:p w:rsidR="4B42EC94" w:rsidP="4B42EC94" w:rsidRDefault="4B42EC94" w14:paraId="52D07D62" w14:textId="2BFAC693">
      <w:pPr>
        <w:pStyle w:val="Normal"/>
      </w:pPr>
    </w:p>
    <w:p w:rsidRPr="009C39BF" w:rsidR="00D760AA" w:rsidP="009C39BF" w:rsidRDefault="00D760AA" w14:paraId="40F1D62E" w14:textId="4EE48819">
      <w:pPr>
        <w:pStyle w:val="ListParagraph"/>
        <w:numPr>
          <w:ilvl w:val="0"/>
          <w:numId w:val="2"/>
        </w:numPr>
        <w:rPr>
          <w:lang w:val="en-US"/>
        </w:rPr>
      </w:pPr>
      <w:r w:rsidRPr="009C39BF">
        <w:rPr>
          <w:lang w:val="en-US"/>
        </w:rPr>
        <w:t xml:space="preserve">Amnesty International (2024). </w:t>
      </w:r>
      <w:r w:rsidRPr="009C39BF">
        <w:rPr>
          <w:i/>
          <w:iCs/>
          <w:lang w:val="en-US"/>
        </w:rPr>
        <w:t>RECHARGE FOR RIGHTS RANKING THE HUMAN RIGHTS DUE DILIGENCE REPORTING OF LEADING ELECTRIC VEHICLE MAKERS</w:t>
      </w:r>
      <w:r w:rsidRPr="009C39BF">
        <w:rPr>
          <w:lang w:val="en-US"/>
        </w:rPr>
        <w:t xml:space="preserve">. [online] Available at: </w:t>
      </w:r>
      <w:hyperlink w:history="1" r:id="rId13">
        <w:r w:rsidRPr="008D16B8" w:rsidR="000D2C32">
          <w:rPr>
            <w:rStyle w:val="Hyperlink"/>
            <w:lang w:val="en-US"/>
          </w:rPr>
          <w:t>https://www.amnesty.org/en/wp-content/uploads/2025/01/ACT3085442024ENGLISH.pdf</w:t>
        </w:r>
      </w:hyperlink>
      <w:r w:rsidRPr="009C39BF">
        <w:rPr>
          <w:lang w:val="en-US"/>
        </w:rPr>
        <w:t>.</w:t>
      </w:r>
      <w:r w:rsidR="000D2C32">
        <w:rPr>
          <w:lang w:val="en-US"/>
        </w:rPr>
        <w:t xml:space="preserve"> </w:t>
      </w:r>
    </w:p>
    <w:p w:rsidRPr="009C39BF" w:rsidR="00D760AA" w:rsidP="009C39BF" w:rsidRDefault="00D760AA" w14:paraId="18B27DFA" w14:textId="77777777">
      <w:pPr>
        <w:pStyle w:val="ListParagraph"/>
        <w:numPr>
          <w:ilvl w:val="0"/>
          <w:numId w:val="2"/>
        </w:numPr>
        <w:rPr>
          <w:lang w:val="en-US"/>
        </w:rPr>
      </w:pPr>
      <w:r w:rsidRPr="009C39BF">
        <w:rPr>
          <w:lang w:val="en-US"/>
        </w:rPr>
        <w:t xml:space="preserve">Arnold, G. (2022). </w:t>
      </w:r>
      <w:r w:rsidRPr="009C39BF">
        <w:rPr>
          <w:i/>
          <w:iCs/>
          <w:lang w:val="en-US"/>
        </w:rPr>
        <w:t>Corporate Financial Management</w:t>
      </w:r>
      <w:r w:rsidRPr="009C39BF">
        <w:rPr>
          <w:lang w:val="en-US"/>
        </w:rPr>
        <w:t>. 6th ed. Harlow, England: Pearson Education Limited.</w:t>
      </w:r>
    </w:p>
    <w:p w:rsidRPr="009C39BF" w:rsidR="00D760AA" w:rsidP="009C39BF" w:rsidRDefault="00D760AA" w14:paraId="12979C71" w14:textId="77777777">
      <w:pPr>
        <w:pStyle w:val="ListParagraph"/>
        <w:numPr>
          <w:ilvl w:val="0"/>
          <w:numId w:val="2"/>
        </w:numPr>
        <w:rPr>
          <w:lang w:val="en-US"/>
        </w:rPr>
      </w:pPr>
      <w:r w:rsidRPr="009C39BF">
        <w:rPr>
          <w:lang w:val="en-US"/>
        </w:rPr>
        <w:t xml:space="preserve">Aswath Damodaran (2020). </w:t>
      </w:r>
      <w:r w:rsidRPr="009C39BF">
        <w:rPr>
          <w:i/>
          <w:iCs/>
          <w:lang w:val="en-US"/>
        </w:rPr>
        <w:t>Applied corporate finance</w:t>
      </w:r>
      <w:r w:rsidRPr="009C39BF">
        <w:rPr>
          <w:lang w:val="en-US"/>
        </w:rPr>
        <w:t>. Hoboken, Nj: J. Wiley &amp; Sons.</w:t>
      </w:r>
    </w:p>
    <w:p w:rsidRPr="009C39BF" w:rsidR="00D760AA" w:rsidP="009C39BF" w:rsidRDefault="00D760AA" w14:paraId="5D594C81" w14:textId="77777777">
      <w:pPr>
        <w:pStyle w:val="ListParagraph"/>
        <w:numPr>
          <w:ilvl w:val="0"/>
          <w:numId w:val="2"/>
        </w:numPr>
        <w:rPr>
          <w:lang w:val="en-US"/>
        </w:rPr>
      </w:pPr>
      <w:r w:rsidRPr="009C39BF">
        <w:rPr>
          <w:lang w:val="en-US"/>
        </w:rPr>
        <w:t xml:space="preserve">Atrill, P. and Mclaney, E. (2022). </w:t>
      </w:r>
      <w:r w:rsidRPr="009C39BF">
        <w:rPr>
          <w:i/>
          <w:iCs/>
          <w:lang w:val="en-US"/>
        </w:rPr>
        <w:t>Accounting and Finance for Non-Specialists</w:t>
      </w:r>
      <w:r w:rsidRPr="009C39BF">
        <w:rPr>
          <w:lang w:val="en-US"/>
        </w:rPr>
        <w:t>. 12th ed. Harlow: Pearson.</w:t>
      </w:r>
    </w:p>
    <w:p w:rsidRPr="009C39BF" w:rsidR="00D760AA" w:rsidP="009C39BF" w:rsidRDefault="00D760AA" w14:paraId="45D8C635" w14:textId="77777777">
      <w:pPr>
        <w:pStyle w:val="ListParagraph"/>
        <w:numPr>
          <w:ilvl w:val="0"/>
          <w:numId w:val="2"/>
        </w:numPr>
        <w:rPr>
          <w:lang w:val="en-US"/>
        </w:rPr>
      </w:pPr>
      <w:r w:rsidRPr="009C39BF">
        <w:rPr>
          <w:lang w:val="en-US"/>
        </w:rPr>
        <w:t xml:space="preserve">Brealey, R.A., Myers, S.C. and Allen, F. (2020). </w:t>
      </w:r>
      <w:r w:rsidRPr="009C39BF">
        <w:rPr>
          <w:i/>
          <w:iCs/>
          <w:lang w:val="en-US"/>
        </w:rPr>
        <w:t>Principles of Corporate Finance</w:t>
      </w:r>
      <w:r w:rsidRPr="009C39BF">
        <w:rPr>
          <w:lang w:val="en-US"/>
        </w:rPr>
        <w:t>. 14th ed. New York: McGraw-Hill Education.</w:t>
      </w:r>
    </w:p>
    <w:p w:rsidRPr="009C39BF" w:rsidR="00D760AA" w:rsidP="009C39BF" w:rsidRDefault="00D760AA" w14:paraId="2838B4D3" w14:textId="77777777">
      <w:pPr>
        <w:pStyle w:val="ListParagraph"/>
        <w:numPr>
          <w:ilvl w:val="0"/>
          <w:numId w:val="2"/>
        </w:numPr>
        <w:rPr>
          <w:lang w:val="en-US"/>
        </w:rPr>
      </w:pPr>
      <w:r w:rsidRPr="009C39BF">
        <w:rPr>
          <w:lang w:val="en-US"/>
        </w:rPr>
        <w:t xml:space="preserve">Brigham, E.F. and Ehrhardt, M.C. (2023). </w:t>
      </w:r>
      <w:r w:rsidRPr="009C39BF">
        <w:rPr>
          <w:i/>
          <w:iCs/>
          <w:lang w:val="en-US"/>
        </w:rPr>
        <w:t>Financial Management Theory &amp; Practice.</w:t>
      </w:r>
      <w:r w:rsidRPr="009C39BF">
        <w:rPr>
          <w:lang w:val="en-US"/>
        </w:rPr>
        <w:t xml:space="preserve"> South-Western Pub.</w:t>
      </w:r>
    </w:p>
    <w:p w:rsidRPr="009C39BF" w:rsidR="00D760AA" w:rsidP="009C39BF" w:rsidRDefault="00D760AA" w14:paraId="227DC6C4" w14:textId="343F20BC">
      <w:pPr>
        <w:pStyle w:val="ListParagraph"/>
        <w:numPr>
          <w:ilvl w:val="0"/>
          <w:numId w:val="2"/>
        </w:numPr>
        <w:rPr>
          <w:lang w:val="en-US"/>
        </w:rPr>
      </w:pPr>
      <w:r w:rsidRPr="009C39BF">
        <w:rPr>
          <w:lang w:val="en-US"/>
        </w:rPr>
        <w:t xml:space="preserve">CRS (2024). </w:t>
      </w:r>
      <w:r w:rsidRPr="009C39BF">
        <w:rPr>
          <w:i/>
          <w:iCs/>
          <w:lang w:val="en-US"/>
        </w:rPr>
        <w:t>Clean Vehicle Tax Credits</w:t>
      </w:r>
      <w:r w:rsidRPr="009C39BF">
        <w:rPr>
          <w:lang w:val="en-US"/>
        </w:rPr>
        <w:t xml:space="preserve">. [online] Congress.gov. Available at: </w:t>
      </w:r>
      <w:hyperlink w:history="1" r:id="rId14">
        <w:r w:rsidRPr="008D16B8" w:rsidR="000D2C32">
          <w:rPr>
            <w:rStyle w:val="Hyperlink"/>
            <w:lang w:val="en-US"/>
          </w:rPr>
          <w:t>https://www.congress.gov/crs-product/IF12600</w:t>
        </w:r>
      </w:hyperlink>
      <w:r w:rsidRPr="009C39BF">
        <w:rPr>
          <w:lang w:val="en-US"/>
        </w:rPr>
        <w:t>.</w:t>
      </w:r>
      <w:r w:rsidR="000D2C32">
        <w:rPr>
          <w:lang w:val="en-US"/>
        </w:rPr>
        <w:t xml:space="preserve"> </w:t>
      </w:r>
    </w:p>
    <w:p w:rsidRPr="009C39BF" w:rsidR="00D760AA" w:rsidP="009C39BF" w:rsidRDefault="00D760AA" w14:paraId="4E3F04F3" w14:textId="5967CDFA">
      <w:pPr>
        <w:pStyle w:val="ListParagraph"/>
        <w:numPr>
          <w:ilvl w:val="0"/>
          <w:numId w:val="2"/>
        </w:numPr>
        <w:rPr>
          <w:lang w:val="en-US"/>
        </w:rPr>
      </w:pPr>
      <w:r w:rsidRPr="009C39BF">
        <w:rPr>
          <w:lang w:val="en-US"/>
        </w:rPr>
        <w:t xml:space="preserve">Federal Register (2024). </w:t>
      </w:r>
      <w:r w:rsidRPr="009C39BF">
        <w:rPr>
          <w:i/>
          <w:iCs/>
          <w:lang w:val="en-US"/>
        </w:rPr>
        <w:t>Federal Register :: Request Access</w:t>
      </w:r>
      <w:r w:rsidRPr="009C39BF">
        <w:rPr>
          <w:lang w:val="en-US"/>
        </w:rPr>
        <w:t xml:space="preserve">. [online] Federalregister.gov. Available at: </w:t>
      </w:r>
      <w:hyperlink w:history="1" r:id="rId15">
        <w:r w:rsidRPr="008D16B8" w:rsidR="000D2C32">
          <w:rPr>
            <w:rStyle w:val="Hyperlink"/>
            <w:lang w:val="en-US"/>
          </w:rPr>
          <w:t>https://www.federalregister.gov/documents/2024/05/06/2024-09094/clean-vehicle-credits-under-sections-25e-and-30d-transfer-of-credits-critical-minerals-and-battery</w:t>
        </w:r>
      </w:hyperlink>
      <w:r w:rsidRPr="009C39BF">
        <w:rPr>
          <w:lang w:val="en-US"/>
        </w:rPr>
        <w:t>.</w:t>
      </w:r>
      <w:r w:rsidR="000D2C32">
        <w:rPr>
          <w:lang w:val="en-US"/>
        </w:rPr>
        <w:t xml:space="preserve"> </w:t>
      </w:r>
    </w:p>
    <w:p w:rsidRPr="009C39BF" w:rsidR="00D760AA" w:rsidP="009C39BF" w:rsidRDefault="00D760AA" w14:paraId="62ADBD82" w14:textId="77777777">
      <w:pPr>
        <w:pStyle w:val="ListParagraph"/>
        <w:numPr>
          <w:ilvl w:val="0"/>
          <w:numId w:val="2"/>
        </w:numPr>
        <w:rPr>
          <w:lang w:val="en-US"/>
        </w:rPr>
      </w:pPr>
      <w:r w:rsidRPr="009C39BF">
        <w:rPr>
          <w:lang w:val="en-US"/>
        </w:rPr>
        <w:t xml:space="preserve">Hillier, D., Ross, S.A., Westerfield, R., Jaffe, J.F. and Jordan, B.D. (2023). </w:t>
      </w:r>
      <w:r w:rsidRPr="009C39BF">
        <w:rPr>
          <w:i/>
          <w:iCs/>
          <w:lang w:val="en-US"/>
        </w:rPr>
        <w:t>Corporate finance</w:t>
      </w:r>
      <w:r w:rsidRPr="009C39BF">
        <w:rPr>
          <w:lang w:val="en-US"/>
        </w:rPr>
        <w:t>. 5th ed. New York: Mcgraw-Hill Education.</w:t>
      </w:r>
    </w:p>
    <w:p w:rsidRPr="009C39BF" w:rsidR="00D760AA" w:rsidP="009C39BF" w:rsidRDefault="00D760AA" w14:paraId="3E4C1F42" w14:textId="1EEA7B1D">
      <w:pPr>
        <w:pStyle w:val="ListParagraph"/>
        <w:numPr>
          <w:ilvl w:val="0"/>
          <w:numId w:val="2"/>
        </w:numPr>
        <w:rPr>
          <w:lang w:val="en-US"/>
        </w:rPr>
      </w:pPr>
      <w:r w:rsidRPr="009C39BF">
        <w:rPr>
          <w:lang w:val="en-US"/>
        </w:rPr>
        <w:t xml:space="preserve">IEA (2023). </w:t>
      </w:r>
      <w:r w:rsidRPr="009C39BF">
        <w:rPr>
          <w:i/>
          <w:iCs/>
          <w:lang w:val="en-US"/>
        </w:rPr>
        <w:t>Global EV Outlook 2023 – Analysis</w:t>
      </w:r>
      <w:r w:rsidRPr="009C39BF">
        <w:rPr>
          <w:lang w:val="en-US"/>
        </w:rPr>
        <w:t xml:space="preserve">. [online] IEA. Available at: </w:t>
      </w:r>
      <w:hyperlink w:history="1" r:id="rId16">
        <w:r w:rsidRPr="008D16B8" w:rsidR="000D2C32">
          <w:rPr>
            <w:rStyle w:val="Hyperlink"/>
            <w:lang w:val="en-US"/>
          </w:rPr>
          <w:t>https://www.iea.org/reports/global-ev-outlook-2023</w:t>
        </w:r>
      </w:hyperlink>
      <w:r w:rsidRPr="009C39BF">
        <w:rPr>
          <w:lang w:val="en-US"/>
        </w:rPr>
        <w:t>.</w:t>
      </w:r>
      <w:r w:rsidR="000D2C32">
        <w:rPr>
          <w:lang w:val="en-US"/>
        </w:rPr>
        <w:t xml:space="preserve"> </w:t>
      </w:r>
    </w:p>
    <w:p w:rsidRPr="009C39BF" w:rsidR="00D760AA" w:rsidP="009C39BF" w:rsidRDefault="00D760AA" w14:paraId="09580A8F" w14:textId="6CDDAA00">
      <w:pPr>
        <w:pStyle w:val="ListParagraph"/>
        <w:numPr>
          <w:ilvl w:val="0"/>
          <w:numId w:val="2"/>
        </w:numPr>
        <w:rPr>
          <w:lang w:val="en-US"/>
        </w:rPr>
      </w:pPr>
      <w:r w:rsidRPr="009C39BF">
        <w:rPr>
          <w:lang w:val="en-US"/>
        </w:rPr>
        <w:t xml:space="preserve">IFRS Foundation (2022). </w:t>
      </w:r>
      <w:r w:rsidRPr="009C39BF">
        <w:rPr>
          <w:i/>
          <w:iCs/>
          <w:lang w:val="en-US"/>
        </w:rPr>
        <w:t>IAS 21 The Effects of Changes in Foreign Exchange Rates</w:t>
      </w:r>
      <w:r w:rsidRPr="009C39BF">
        <w:rPr>
          <w:lang w:val="en-US"/>
        </w:rPr>
        <w:t xml:space="preserve">. [online] www.ifrs.org. Available at: </w:t>
      </w:r>
      <w:hyperlink w:history="1" r:id="rId17">
        <w:r w:rsidRPr="008D16B8" w:rsidR="000D2C32">
          <w:rPr>
            <w:rStyle w:val="Hyperlink"/>
            <w:lang w:val="en-US"/>
          </w:rPr>
          <w:t>https://www.ifrs.org/issued-standards/list-of-standards/ias-21-the-effects-of-changes-in-foreign-exchange-rates/</w:t>
        </w:r>
      </w:hyperlink>
      <w:r w:rsidRPr="009C39BF">
        <w:rPr>
          <w:lang w:val="en-US"/>
        </w:rPr>
        <w:t>.</w:t>
      </w:r>
      <w:r w:rsidR="000D2C32">
        <w:rPr>
          <w:lang w:val="en-US"/>
        </w:rPr>
        <w:t xml:space="preserve"> </w:t>
      </w:r>
    </w:p>
    <w:p w:rsidRPr="009C39BF" w:rsidR="00D760AA" w:rsidP="009C39BF" w:rsidRDefault="00D760AA" w14:paraId="1199D2CA" w14:textId="55470733">
      <w:pPr>
        <w:pStyle w:val="ListParagraph"/>
        <w:numPr>
          <w:ilvl w:val="0"/>
          <w:numId w:val="2"/>
        </w:numPr>
        <w:rPr>
          <w:lang w:val="en-US"/>
        </w:rPr>
      </w:pPr>
      <w:r w:rsidRPr="009C39BF">
        <w:rPr>
          <w:lang w:val="en-US"/>
        </w:rPr>
        <w:t xml:space="preserve">IMF (2025a). </w:t>
      </w:r>
      <w:r w:rsidRPr="009C39BF">
        <w:rPr>
          <w:i/>
          <w:iCs/>
          <w:lang w:val="en-US"/>
        </w:rPr>
        <w:t>Coming Soon: World Economic Outlook, October 2025</w:t>
      </w:r>
      <w:r w:rsidRPr="009C39BF">
        <w:rPr>
          <w:lang w:val="en-US"/>
        </w:rPr>
        <w:t xml:space="preserve">. [online] IMF. Available at: </w:t>
      </w:r>
      <w:hyperlink w:history="1" r:id="rId18">
        <w:r w:rsidRPr="008D16B8" w:rsidR="000D2C32">
          <w:rPr>
            <w:rStyle w:val="Hyperlink"/>
            <w:lang w:val="en-US"/>
          </w:rPr>
          <w:t>https://www.imf.org/en/Publications/WEO/Issues/2025/10/14/world-economic-outlook-october-2025</w:t>
        </w:r>
      </w:hyperlink>
      <w:r w:rsidRPr="009C39BF">
        <w:rPr>
          <w:lang w:val="en-US"/>
        </w:rPr>
        <w:t>.</w:t>
      </w:r>
      <w:r w:rsidR="000D2C32">
        <w:rPr>
          <w:lang w:val="en-US"/>
        </w:rPr>
        <w:t xml:space="preserve"> </w:t>
      </w:r>
    </w:p>
    <w:p w:rsidRPr="009C39BF" w:rsidR="00D760AA" w:rsidP="009C39BF" w:rsidRDefault="00D760AA" w14:paraId="553843C2" w14:textId="519990F5">
      <w:pPr>
        <w:pStyle w:val="ListParagraph"/>
        <w:numPr>
          <w:ilvl w:val="0"/>
          <w:numId w:val="2"/>
        </w:numPr>
        <w:rPr>
          <w:lang w:val="en-US"/>
        </w:rPr>
      </w:pPr>
      <w:r w:rsidRPr="009C39BF">
        <w:rPr>
          <w:lang w:val="en-US"/>
        </w:rPr>
        <w:t xml:space="preserve">IMF (2025b). </w:t>
      </w:r>
      <w:r w:rsidRPr="009C39BF">
        <w:rPr>
          <w:i/>
          <w:iCs/>
          <w:lang w:val="en-US"/>
        </w:rPr>
        <w:t>World Economic Outlook Update, July 2025: Global Economy: Tenuous Resilience amid Persistent Uncertainty</w:t>
      </w:r>
      <w:r w:rsidRPr="009C39BF">
        <w:rPr>
          <w:lang w:val="en-US"/>
        </w:rPr>
        <w:t xml:space="preserve">. [online] IMF. Available at: </w:t>
      </w:r>
      <w:hyperlink w:history="1" r:id="rId19">
        <w:r w:rsidRPr="008D16B8" w:rsidR="000D2C32">
          <w:rPr>
            <w:rStyle w:val="Hyperlink"/>
            <w:lang w:val="en-US"/>
          </w:rPr>
          <w:t>https://www.imf.org/en/Publications/WEO/Issues/2025/07/29/world-economic-outlook-update-july-2025</w:t>
        </w:r>
      </w:hyperlink>
      <w:r w:rsidRPr="009C39BF">
        <w:rPr>
          <w:lang w:val="en-US"/>
        </w:rPr>
        <w:t>?</w:t>
      </w:r>
      <w:r w:rsidR="000D2C32">
        <w:rPr>
          <w:lang w:val="en-US"/>
        </w:rPr>
        <w:t xml:space="preserve"> </w:t>
      </w:r>
    </w:p>
    <w:p w:rsidRPr="009C39BF" w:rsidR="00D760AA" w:rsidP="009C39BF" w:rsidRDefault="00D760AA" w14:paraId="6A8C420A" w14:textId="1D5F893E">
      <w:pPr>
        <w:pStyle w:val="ListParagraph"/>
        <w:numPr>
          <w:ilvl w:val="0"/>
          <w:numId w:val="2"/>
        </w:numPr>
        <w:rPr>
          <w:lang w:val="en-US"/>
        </w:rPr>
      </w:pPr>
      <w:r w:rsidRPr="009C39BF">
        <w:rPr>
          <w:lang w:val="en-US"/>
        </w:rPr>
        <w:t xml:space="preserve">IRS (2025). </w:t>
      </w:r>
      <w:r w:rsidRPr="009C39BF">
        <w:rPr>
          <w:i/>
          <w:iCs/>
          <w:lang w:val="en-US"/>
        </w:rPr>
        <w:t>Credits for New Clean Vehicles Purchased in 2023 or after</w:t>
      </w:r>
      <w:r w:rsidRPr="009C39BF">
        <w:rPr>
          <w:lang w:val="en-US"/>
        </w:rPr>
        <w:t xml:space="preserve">. [online] IRS. Available at: </w:t>
      </w:r>
      <w:hyperlink w:history="1" r:id="rId20">
        <w:r w:rsidRPr="008D16B8" w:rsidR="000D2C32">
          <w:rPr>
            <w:rStyle w:val="Hyperlink"/>
            <w:lang w:val="en-US"/>
          </w:rPr>
          <w:t>https://www.irs.gov/credits-deductions/credits-for-new-clean-vehicles-purchased-in-2023-or-after</w:t>
        </w:r>
      </w:hyperlink>
      <w:r w:rsidRPr="009C39BF">
        <w:rPr>
          <w:lang w:val="en-US"/>
        </w:rPr>
        <w:t>.</w:t>
      </w:r>
      <w:r w:rsidR="000D2C32">
        <w:rPr>
          <w:lang w:val="en-US"/>
        </w:rPr>
        <w:t xml:space="preserve"> </w:t>
      </w:r>
    </w:p>
    <w:p w:rsidRPr="009C39BF" w:rsidR="00D760AA" w:rsidP="009C39BF" w:rsidRDefault="00D760AA" w14:paraId="21CE6E4C" w14:textId="436569A8">
      <w:pPr>
        <w:pStyle w:val="ListParagraph"/>
        <w:numPr>
          <w:ilvl w:val="0"/>
          <w:numId w:val="2"/>
        </w:numPr>
        <w:rPr>
          <w:lang w:val="en-US"/>
        </w:rPr>
      </w:pPr>
      <w:r w:rsidRPr="009C39BF">
        <w:rPr>
          <w:lang w:val="en-US"/>
        </w:rPr>
        <w:t xml:space="preserve">Modigliani, F. and Miller, M.H. (1958). The Cost of Capital, Corporation Finance and the Theory of Investment. </w:t>
      </w:r>
      <w:r w:rsidRPr="009C39BF">
        <w:rPr>
          <w:i/>
          <w:iCs/>
          <w:lang w:val="en-US"/>
        </w:rPr>
        <w:t>The American Economic Review</w:t>
      </w:r>
      <w:r w:rsidRPr="009C39BF">
        <w:rPr>
          <w:lang w:val="en-US"/>
        </w:rPr>
        <w:t xml:space="preserve">, [online] 48(3), pp.261–297. Available at: </w:t>
      </w:r>
      <w:hyperlink w:history="1" r:id="rId21">
        <w:r w:rsidRPr="008D16B8" w:rsidR="000D2C32">
          <w:rPr>
            <w:rStyle w:val="Hyperlink"/>
            <w:lang w:val="en-US"/>
          </w:rPr>
          <w:t>https://www.jstor.org/stable/1809766</w:t>
        </w:r>
      </w:hyperlink>
      <w:r w:rsidRPr="009C39BF">
        <w:rPr>
          <w:lang w:val="en-US"/>
        </w:rPr>
        <w:t>.</w:t>
      </w:r>
      <w:r w:rsidR="000D2C32">
        <w:rPr>
          <w:lang w:val="en-US"/>
        </w:rPr>
        <w:t xml:space="preserve"> </w:t>
      </w:r>
    </w:p>
    <w:p w:rsidRPr="009C39BF" w:rsidR="00D760AA" w:rsidP="009C39BF" w:rsidRDefault="00D760AA" w14:paraId="076A2C56" w14:textId="60AB677B">
      <w:pPr>
        <w:pStyle w:val="ListParagraph"/>
        <w:numPr>
          <w:ilvl w:val="0"/>
          <w:numId w:val="2"/>
        </w:numPr>
        <w:rPr>
          <w:lang w:val="en-US"/>
        </w:rPr>
      </w:pPr>
      <w:r w:rsidRPr="4B42EC94" w:rsidR="00D760AA">
        <w:rPr>
          <w:lang w:val="en-US"/>
        </w:rPr>
        <w:t xml:space="preserve">OECD (2016). </w:t>
      </w:r>
      <w:r w:rsidRPr="4B42EC94" w:rsidR="00D760AA">
        <w:rPr>
          <w:i w:val="1"/>
          <w:iCs w:val="1"/>
          <w:lang w:val="en-US"/>
        </w:rPr>
        <w:t>OECD Due Diligence Guidance for Responsible Supply Chains of Minerals from Conflict-Affected and High-Risk Areas</w:t>
      </w:r>
      <w:r w:rsidRPr="4B42EC94" w:rsidR="00D760AA">
        <w:rPr>
          <w:lang w:val="en-US"/>
        </w:rPr>
        <w:t xml:space="preserve">. [online] OECD. Available at: </w:t>
      </w:r>
      <w:hyperlink r:id="R51b61ec204ed4e87">
        <w:r w:rsidRPr="4B42EC94" w:rsidR="000D2C32">
          <w:rPr>
            <w:rStyle w:val="Hyperlink"/>
            <w:lang w:val="en-US"/>
          </w:rPr>
          <w:t>https://www.oecd.org/en/publications/2016/04/oecd-due-diligence-guidance-for-responsible-supply-chains-of-minerals-from-conflict-affected-and-high-risk-areas_g1g65996.html</w:t>
        </w:r>
      </w:hyperlink>
      <w:r w:rsidRPr="4B42EC94" w:rsidR="00D760AA">
        <w:rPr>
          <w:lang w:val="en-US"/>
        </w:rPr>
        <w:t>.</w:t>
      </w:r>
      <w:r w:rsidRPr="4B42EC94" w:rsidR="000D2C32">
        <w:rPr>
          <w:lang w:val="en-US"/>
        </w:rPr>
        <w:t xml:space="preserve"> </w:t>
      </w:r>
    </w:p>
    <w:p w:rsidR="11F48104" w:rsidP="4B42EC94" w:rsidRDefault="11F48104" w14:paraId="242C2ED0" w14:textId="41FAB5B2">
      <w:pPr>
        <w:pStyle w:val="ListParagraph"/>
        <w:numPr>
          <w:ilvl w:val="0"/>
          <w:numId w:val="2"/>
        </w:numPr>
        <w:rPr>
          <w:lang w:val="en-US"/>
        </w:rPr>
      </w:pPr>
      <w:r w:rsidRPr="4B42EC94" w:rsidR="11F48104">
        <w:rPr>
          <w:noProof w:val="0"/>
          <w:lang w:val="en-US"/>
        </w:rPr>
        <w:t xml:space="preserve">Porter, M.E. (2008) </w:t>
      </w:r>
      <w:r w:rsidRPr="4B42EC94" w:rsidR="11F48104">
        <w:rPr>
          <w:i w:val="1"/>
          <w:iCs w:val="1"/>
          <w:noProof w:val="0"/>
          <w:lang w:val="en-US"/>
        </w:rPr>
        <w:t>The Five Competitive Forces That Shape Strategy</w:t>
      </w:r>
      <w:r w:rsidRPr="4B42EC94" w:rsidR="11F48104">
        <w:rPr>
          <w:noProof w:val="0"/>
          <w:lang w:val="en-US"/>
        </w:rPr>
        <w:t>. Harvard Business Review.</w:t>
      </w:r>
    </w:p>
    <w:p w:rsidRPr="009C39BF" w:rsidR="00D760AA" w:rsidP="009C39BF" w:rsidRDefault="00D760AA" w14:paraId="0F3380BD" w14:textId="150AA8D4">
      <w:pPr>
        <w:pStyle w:val="ListParagraph"/>
        <w:numPr>
          <w:ilvl w:val="0"/>
          <w:numId w:val="2"/>
        </w:numPr>
        <w:rPr>
          <w:lang w:val="en-US"/>
        </w:rPr>
      </w:pPr>
      <w:r w:rsidRPr="009C39BF">
        <w:rPr>
          <w:lang w:val="en-US"/>
        </w:rPr>
        <w:t xml:space="preserve">SEC Filings (2025). </w:t>
      </w:r>
      <w:r w:rsidRPr="009C39BF">
        <w:rPr>
          <w:i/>
          <w:iCs/>
          <w:lang w:val="en-US"/>
        </w:rPr>
        <w:t>Annual Report on Form 10-K for year ended 2025</w:t>
      </w:r>
      <w:r w:rsidRPr="009C39BF">
        <w:rPr>
          <w:lang w:val="en-US"/>
        </w:rPr>
        <w:t xml:space="preserve">. [online] Sec.gov. Available at: </w:t>
      </w:r>
      <w:hyperlink w:history="1" r:id="rId23">
        <w:r w:rsidRPr="008D16B8" w:rsidR="000D2C32">
          <w:rPr>
            <w:rStyle w:val="Hyperlink"/>
            <w:lang w:val="en-US"/>
          </w:rPr>
          <w:t>https://www.sec.gov/Archives/edgar/data/1318605/000162828026003952/tsla-20251231.htm</w:t>
        </w:r>
      </w:hyperlink>
      <w:r w:rsidRPr="009C39BF">
        <w:rPr>
          <w:lang w:val="en-US"/>
        </w:rPr>
        <w:t>.</w:t>
      </w:r>
      <w:r w:rsidR="000D2C32">
        <w:rPr>
          <w:lang w:val="en-US"/>
        </w:rPr>
        <w:t xml:space="preserve"> </w:t>
      </w:r>
    </w:p>
    <w:p w:rsidRPr="009C39BF" w:rsidR="00D760AA" w:rsidP="009C39BF" w:rsidRDefault="00D760AA" w14:paraId="45DE8D8E" w14:textId="7DC8AE82">
      <w:pPr>
        <w:pStyle w:val="ListParagraph"/>
        <w:numPr>
          <w:ilvl w:val="0"/>
          <w:numId w:val="2"/>
        </w:numPr>
        <w:rPr>
          <w:lang w:val="en-US"/>
        </w:rPr>
      </w:pPr>
      <w:r w:rsidRPr="4B42EC94" w:rsidR="00D760AA">
        <w:rPr>
          <w:lang w:val="en-US"/>
        </w:rPr>
        <w:t xml:space="preserve">Tesla (2023). </w:t>
      </w:r>
      <w:r w:rsidRPr="4B42EC94" w:rsidR="00D760AA">
        <w:rPr>
          <w:i w:val="1"/>
          <w:iCs w:val="1"/>
          <w:lang w:val="en-US"/>
        </w:rPr>
        <w:t>Tesla Annual Report 2023</w:t>
      </w:r>
      <w:r w:rsidRPr="4B42EC94" w:rsidR="00D760AA">
        <w:rPr>
          <w:lang w:val="en-US"/>
        </w:rPr>
        <w:t xml:space="preserve">. [online] Tesla, Inc. Available at: </w:t>
      </w:r>
      <w:hyperlink r:id="R4bb6030fa22e44a6">
        <w:r w:rsidRPr="4B42EC94" w:rsidR="000D2C32">
          <w:rPr>
            <w:rStyle w:val="Hyperlink"/>
            <w:lang w:val="en-US"/>
          </w:rPr>
          <w:t>https://ir.tesla.com/</w:t>
        </w:r>
      </w:hyperlink>
      <w:r w:rsidRPr="4B42EC94" w:rsidR="00D760AA">
        <w:rPr>
          <w:lang w:val="en-US"/>
        </w:rPr>
        <w:t>.</w:t>
      </w:r>
      <w:r w:rsidRPr="4B42EC94" w:rsidR="000D2C32">
        <w:rPr>
          <w:lang w:val="en-US"/>
        </w:rPr>
        <w:t xml:space="preserve"> </w:t>
      </w:r>
      <w:r w:rsidRPr="4B42EC94" w:rsidR="022FC57E">
        <w:rPr>
          <w:noProof w:val="0"/>
          <w:lang w:val="en-US"/>
        </w:rPr>
        <w:t>(Accessed: 10 March 2026).</w:t>
      </w:r>
    </w:p>
    <w:p w:rsidRPr="009C39BF" w:rsidR="00D760AA" w:rsidP="009C39BF" w:rsidRDefault="00D760AA" w14:paraId="05E95196" w14:textId="4FF3BCB5">
      <w:pPr>
        <w:pStyle w:val="ListParagraph"/>
        <w:numPr>
          <w:ilvl w:val="0"/>
          <w:numId w:val="2"/>
        </w:numPr>
        <w:rPr>
          <w:lang w:val="en-US"/>
        </w:rPr>
      </w:pPr>
      <w:r w:rsidRPr="4B42EC94" w:rsidR="00D760AA">
        <w:rPr>
          <w:lang w:val="en-US"/>
        </w:rPr>
        <w:t xml:space="preserve">Tesla (2024). </w:t>
      </w:r>
      <w:r w:rsidRPr="4B42EC94" w:rsidR="00D760AA">
        <w:rPr>
          <w:i w:val="1"/>
          <w:iCs w:val="1"/>
          <w:lang w:val="en-US"/>
        </w:rPr>
        <w:t>Impact Report 2024</w:t>
      </w:r>
      <w:r w:rsidRPr="4B42EC94" w:rsidR="00D760AA">
        <w:rPr>
          <w:lang w:val="en-US"/>
        </w:rPr>
        <w:t xml:space="preserve">. [online] Tesla. Available at: </w:t>
      </w:r>
      <w:hyperlink r:id="R5b20b7bf5c794a27">
        <w:r w:rsidRPr="4B42EC94" w:rsidR="000D2C32">
          <w:rPr>
            <w:rStyle w:val="Hyperlink"/>
            <w:lang w:val="en-US"/>
          </w:rPr>
          <w:t>https://www.tesla.com/impact</w:t>
        </w:r>
      </w:hyperlink>
      <w:r w:rsidRPr="4B42EC94" w:rsidR="00D760AA">
        <w:rPr>
          <w:lang w:val="en-US"/>
        </w:rPr>
        <w:t>.</w:t>
      </w:r>
      <w:r w:rsidRPr="4B42EC94" w:rsidR="000D2C32">
        <w:rPr>
          <w:lang w:val="en-US"/>
        </w:rPr>
        <w:t xml:space="preserve"> </w:t>
      </w:r>
    </w:p>
    <w:p w:rsidR="15475751" w:rsidP="4B42EC94" w:rsidRDefault="15475751" w14:paraId="3BAB0B29" w14:textId="0E9CFD22">
      <w:pPr>
        <w:pStyle w:val="ListParagraph"/>
        <w:numPr>
          <w:ilvl w:val="0"/>
          <w:numId w:val="2"/>
        </w:numPr>
        <w:rPr>
          <w:noProof w:val="0"/>
          <w:lang w:val="en-US"/>
        </w:rPr>
      </w:pPr>
      <w:r w:rsidRPr="4B42EC94" w:rsidR="15475751">
        <w:rPr>
          <w:noProof w:val="0"/>
          <w:lang w:val="en-US"/>
        </w:rPr>
        <w:t xml:space="preserve">Tesla, Inc. (2025) </w:t>
      </w:r>
      <w:r w:rsidRPr="4B42EC94" w:rsidR="15475751">
        <w:rPr>
          <w:i w:val="1"/>
          <w:iCs w:val="1"/>
          <w:noProof w:val="0"/>
          <w:lang w:val="en-US"/>
        </w:rPr>
        <w:t>Form 10-K Annual Report</w:t>
      </w:r>
      <w:r w:rsidRPr="4B42EC94" w:rsidR="15475751">
        <w:rPr>
          <w:noProof w:val="0"/>
          <w:lang w:val="en-US"/>
        </w:rPr>
        <w:t>. Available at:</w:t>
      </w:r>
      <w:r>
        <w:br/>
      </w:r>
      <w:r w:rsidRPr="4B42EC94" w:rsidR="15475751">
        <w:rPr>
          <w:noProof w:val="0"/>
          <w:lang w:val="en-US"/>
        </w:rPr>
        <w:t xml:space="preserve"> </w:t>
      </w:r>
      <w:hyperlink r:id="R54a53339229744bc">
        <w:r w:rsidRPr="4B42EC94" w:rsidR="15475751">
          <w:rPr>
            <w:rStyle w:val="Hyperlink"/>
            <w:noProof w:val="0"/>
            <w:lang w:val="en-US"/>
          </w:rPr>
          <w:t>https://www.sec.gov/edgar/browse/?CIK=1318605</w:t>
        </w:r>
      </w:hyperlink>
    </w:p>
    <w:p w:rsidRPr="009C39BF" w:rsidR="00922100" w:rsidP="009C39BF" w:rsidRDefault="00D760AA" w14:paraId="3EB6F1B5" w14:textId="3D96FB44">
      <w:pPr>
        <w:pStyle w:val="ListParagraph"/>
        <w:numPr>
          <w:ilvl w:val="0"/>
          <w:numId w:val="2"/>
        </w:numPr>
        <w:rPr>
          <w:lang w:val="en-US"/>
        </w:rPr>
      </w:pPr>
      <w:r w:rsidRPr="009C39BF">
        <w:rPr>
          <w:lang w:val="en-US"/>
        </w:rPr>
        <w:t xml:space="preserve">U.S. Treasury (2023). </w:t>
      </w:r>
      <w:r w:rsidRPr="009C39BF">
        <w:rPr>
          <w:i/>
          <w:iCs/>
          <w:lang w:val="en-US"/>
        </w:rPr>
        <w:t>Treasury Releases Proposed Guidance on New Clean Vehicle Credit to Lower Costs for Consumers, Build U.S. Industrial Base, Strengthen Supply Chains</w:t>
      </w:r>
      <w:r w:rsidRPr="009C39BF">
        <w:rPr>
          <w:lang w:val="en-US"/>
        </w:rPr>
        <w:t xml:space="preserve">. [online] U.S. Department of the Treasury. Available at: </w:t>
      </w:r>
      <w:hyperlink w:history="1" r:id="rId26">
        <w:r w:rsidRPr="008D16B8" w:rsidR="000D2C32">
          <w:rPr>
            <w:rStyle w:val="Hyperlink"/>
            <w:lang w:val="en-US"/>
          </w:rPr>
          <w:t>https://home.treasury.gov/news/press-releases/jy1379</w:t>
        </w:r>
      </w:hyperlink>
      <w:r w:rsidRPr="009C39BF">
        <w:rPr>
          <w:lang w:val="en-US"/>
        </w:rPr>
        <w:t>.</w:t>
      </w:r>
      <w:r w:rsidR="000D2C32">
        <w:rPr>
          <w:lang w:val="en-US"/>
        </w:rPr>
        <w:t xml:space="preserve"> </w:t>
      </w:r>
    </w:p>
    <w:p w:rsidR="00922100" w:rsidRDefault="00922100" w14:paraId="68321D5C" w14:textId="659D401D">
      <w:pPr>
        <w:spacing w:before="0" w:after="160" w:line="259" w:lineRule="auto"/>
        <w:jc w:val="left"/>
      </w:pPr>
      <w:r>
        <w:br w:type="page"/>
      </w:r>
    </w:p>
    <w:p w:rsidR="00922100" w:rsidP="00922100" w:rsidRDefault="00922100" w14:paraId="5CB195BD" w14:textId="5A55696C">
      <w:pPr>
        <w:pStyle w:val="Heading1"/>
      </w:pPr>
      <w:bookmarkStart w:name="_Toc50965544" w:id="140700675"/>
      <w:r w:rsidR="1697CC84">
        <w:rPr/>
        <w:t>Appendices</w:t>
      </w:r>
      <w:bookmarkEnd w:id="140700675"/>
    </w:p>
    <w:p w:rsidR="1697CC84" w:rsidP="3BDB421E" w:rsidRDefault="1697CC84" w14:paraId="6F9A78C2" w14:textId="4B9E5253">
      <w:pPr>
        <w:pStyle w:val="Heading2"/>
      </w:pPr>
      <w:bookmarkStart w:name="_Toc1062702700" w:id="229217103"/>
      <w:r w:rsidR="1697CC84">
        <w:rPr/>
        <w:t>Appendix 1: Ratio Analysis</w:t>
      </w:r>
      <w:bookmarkEnd w:id="229217103"/>
    </w:p>
    <w:p w:rsidR="389EE1CE" w:rsidP="3BDB421E" w:rsidRDefault="389EE1CE" w14:paraId="41EFA46C" w14:textId="39DE6381">
      <w:pPr>
        <w:pStyle w:val="Normal"/>
        <w:rPr>
          <w:b w:val="1"/>
          <w:bCs w:val="1"/>
        </w:rPr>
      </w:pPr>
      <w:r w:rsidRPr="3BDB421E" w:rsidR="389EE1CE">
        <w:rPr>
          <w:b w:val="1"/>
          <w:bCs w:val="1"/>
          <w:sz w:val="28"/>
          <w:szCs w:val="28"/>
        </w:rPr>
        <w:t xml:space="preserve">Worked Example </w:t>
      </w:r>
      <w:r w:rsidRPr="3BDB421E" w:rsidR="4BA09C87">
        <w:rPr>
          <w:b w:val="1"/>
          <w:bCs w:val="1"/>
          <w:sz w:val="28"/>
          <w:szCs w:val="28"/>
        </w:rPr>
        <w:t>Calculations</w:t>
      </w:r>
      <w:r w:rsidRPr="3BDB421E" w:rsidR="6B99FA06">
        <w:rPr>
          <w:b w:val="1"/>
          <w:bCs w:val="1"/>
          <w:sz w:val="28"/>
          <w:szCs w:val="28"/>
        </w:rPr>
        <w:t xml:space="preserve"> for 2025</w:t>
      </w:r>
      <w:r w:rsidRPr="3BDB421E" w:rsidR="4BA09C87">
        <w:rPr>
          <w:b w:val="1"/>
          <w:bCs w:val="1"/>
          <w:sz w:val="28"/>
          <w:szCs w:val="28"/>
        </w:rPr>
        <w:t>:</w:t>
      </w:r>
    </w:p>
    <w:p w:rsidR="7900AAAA" w:rsidP="3BDB421E" w:rsidRDefault="7900AAAA" w14:paraId="58ECE022" w14:textId="1D012027">
      <w:pPr>
        <w:pStyle w:val="ListParagraph"/>
        <w:numPr>
          <w:ilvl w:val="0"/>
          <w:numId w:val="3"/>
        </w:numPr>
        <w:rPr>
          <w:b w:val="1"/>
          <w:bCs w:val="1"/>
          <w:sz w:val="28"/>
          <w:szCs w:val="28"/>
        </w:rPr>
      </w:pPr>
      <w:r w:rsidRPr="3BDB421E" w:rsidR="7900AAAA">
        <w:rPr>
          <w:b w:val="1"/>
          <w:bCs w:val="1"/>
          <w:sz w:val="28"/>
          <w:szCs w:val="28"/>
        </w:rPr>
        <w:t>Profitability</w:t>
      </w:r>
      <w:r w:rsidRPr="3BDB421E" w:rsidR="761CF205">
        <w:rPr>
          <w:b w:val="1"/>
          <w:bCs w:val="1"/>
          <w:sz w:val="28"/>
          <w:szCs w:val="28"/>
        </w:rPr>
        <w:t xml:space="preserve"> Ratios</w:t>
      </w:r>
    </w:p>
    <w:p w:rsidR="07E8AEB7" w:rsidP="3BDB421E" w:rsidRDefault="07E8AEB7" w14:paraId="198BA51E" w14:textId="1EFF036F">
      <w:pPr>
        <w:pStyle w:val="ListParagraph"/>
        <w:numPr>
          <w:ilvl w:val="0"/>
          <w:numId w:val="4"/>
        </w:numPr>
        <w:rPr>
          <w:b w:val="1"/>
          <w:bCs w:val="1"/>
          <w:sz w:val="24"/>
          <w:szCs w:val="24"/>
        </w:rPr>
      </w:pPr>
      <w:r w:rsidRPr="3BDB421E" w:rsidR="07E8AEB7">
        <w:rPr>
          <w:b w:val="1"/>
          <w:bCs w:val="1"/>
          <w:sz w:val="24"/>
          <w:szCs w:val="24"/>
        </w:rPr>
        <w:t>Return on Capital</w:t>
      </w:r>
    </w:p>
    <w:p w:rsidR="18AB9C74" w:rsidP="3BDB421E" w:rsidRDefault="18AB9C74" w14:paraId="0BEAA7E9" w14:textId="5884C9F4">
      <w:pPr>
        <w:pStyle w:val="Normal"/>
        <w:ind w:left="0"/>
        <w:rPr>
          <w:b w:val="1"/>
          <w:bCs w:val="1"/>
          <w:i w:val="1"/>
          <w:iCs w:val="1"/>
          <w:sz w:val="24"/>
          <w:szCs w:val="24"/>
        </w:rPr>
      </w:pPr>
      <w:r w:rsidRPr="3BDB421E" w:rsidR="18AB9C74">
        <w:rPr>
          <w:b w:val="1"/>
          <w:bCs w:val="1"/>
          <w:i w:val="1"/>
          <w:iCs w:val="1"/>
          <w:sz w:val="24"/>
          <w:szCs w:val="24"/>
        </w:rPr>
        <w:t xml:space="preserve">Formula: </w:t>
      </w:r>
      <w:r w:rsidRPr="3BDB421E" w:rsidR="50D0999B">
        <w:rPr>
          <w:b w:val="1"/>
          <w:bCs w:val="1"/>
          <w:i w:val="1"/>
          <w:iCs w:val="1"/>
          <w:sz w:val="24"/>
          <w:szCs w:val="24"/>
        </w:rPr>
        <w:t xml:space="preserve">ROCE = </w:t>
      </w:r>
      <m:oMathPara xmlns:m="http://schemas.openxmlformats.org/officeDocument/2006/math">
        <m:oMath xmlns:m="http://schemas.openxmlformats.org/officeDocument/2006/math">
          <m:f xmlns:m="http://schemas.openxmlformats.org/officeDocument/2006/math">
            <m:fPr>
              <m:ctrlPr/>
            </m:fPr>
            <m:num>
              <m:r>
                <m:t>𝑂𝑝𝑒𝑟𝑎𝑡𝑖𝑛𝑔</m:t>
              </m:r>
              <m:r>
                <m:t> </m:t>
              </m:r>
              <m:func>
                <m:funcPr>
                  <m:ctrlPr/>
                </m:funcPr>
                <m:fName>
                  <m:r>
                    <m:rPr>
                      <m:sty m:val="p"/>
                    </m:rPr>
                    <m:t>Pr</m:t>
                  </m:r>
                </m:fName>
                <m:e>
                  <m:r>
                    <m:t>𝑜</m:t>
                  </m:r>
                </m:e>
              </m:func>
              <m:r>
                <m:t>𝑓𝑖𝑡</m:t>
              </m:r>
            </m:num>
            <m:den>
              <m:r>
                <m:t>𝐶𝑎𝑝𝑖𝑡𝑎𝑙</m:t>
              </m:r>
              <m:r>
                <m:t> </m:t>
              </m:r>
              <m:r>
                <m:t>𝐸𝑚𝑝𝑙𝑜𝑦𝑒𝑑</m:t>
              </m:r>
            </m:den>
          </m:f>
          <m:r xmlns:m="http://schemas.openxmlformats.org/officeDocument/2006/math">
            <m:t xmlns:m="http://schemas.openxmlformats.org/officeDocument/2006/math">×100</m:t>
          </m:r>
        </m:oMath>
      </m:oMathPara>
    </w:p>
    <w:p w:rsidR="3721C8ED" w:rsidP="3BDB421E" w:rsidRDefault="3721C8ED" w14:paraId="05B30132" w14:textId="771C1FCF">
      <w:pPr>
        <w:pStyle w:val="Normal"/>
        <w:suppressLineNumbers w:val="0"/>
        <w:bidi w:val="0"/>
        <w:spacing w:before="120" w:beforeAutospacing="off" w:after="120" w:afterAutospacing="off" w:line="360" w:lineRule="auto"/>
        <w:ind w:left="0" w:right="0"/>
        <w:jc w:val="both"/>
      </w:pPr>
      <w:r w:rsidRPr="3BDB421E" w:rsidR="3721C8ED">
        <w:rPr>
          <w:b w:val="1"/>
          <w:bCs w:val="1"/>
          <w:i w:val="0"/>
          <w:iCs w:val="0"/>
          <w:sz w:val="24"/>
          <w:szCs w:val="24"/>
        </w:rPr>
        <w:t>Step 1</w:t>
      </w:r>
    </w:p>
    <w:p w:rsidR="0EDB7D26" w:rsidP="3BDB421E" w:rsidRDefault="0EDB7D26" w14:paraId="2A251949" w14:textId="0B118AD0">
      <w:pPr>
        <w:pStyle w:val="Normal"/>
        <w:ind w:left="0"/>
        <w:rPr>
          <w:rFonts w:ascii="Times New Roman" w:hAnsi="Times New Roman" w:eastAsia="Times New Roman" w:cs="Times New Roman"/>
          <w:b w:val="1"/>
          <w:bCs w:val="1"/>
          <w:i w:val="1"/>
          <w:iCs w:val="1"/>
          <w:noProof w:val="0"/>
          <w:sz w:val="24"/>
          <w:szCs w:val="24"/>
          <w:lang w:val="en-GB"/>
        </w:rPr>
      </w:pPr>
      <w:r w:rsidRPr="3BDB421E" w:rsidR="0EDB7D26">
        <w:rPr>
          <w:rFonts w:ascii="Times New Roman" w:hAnsi="Times New Roman" w:eastAsia="Times New Roman" w:cs="Times New Roman"/>
          <w:b w:val="1"/>
          <w:bCs w:val="1"/>
          <w:i w:val="1"/>
          <w:iCs w:val="1"/>
          <w:noProof w:val="0"/>
          <w:sz w:val="24"/>
          <w:szCs w:val="24"/>
          <w:lang w:val="en-GB"/>
        </w:rPr>
        <w:t xml:space="preserve">Formula: </w:t>
      </w:r>
      <w:r w:rsidRPr="3BDB421E" w:rsidR="49E0B375">
        <w:rPr>
          <w:rFonts w:ascii="Times New Roman" w:hAnsi="Times New Roman" w:eastAsia="Times New Roman" w:cs="Times New Roman"/>
          <w:b w:val="1"/>
          <w:bCs w:val="1"/>
          <w:i w:val="1"/>
          <w:iCs w:val="1"/>
          <w:noProof w:val="0"/>
          <w:sz w:val="24"/>
          <w:szCs w:val="24"/>
          <w:lang w:val="en-GB"/>
        </w:rPr>
        <w:t>Capital Employed = Total Assets − Current Liabilities</w:t>
      </w:r>
    </w:p>
    <w:p w:rsidR="49E0B375" w:rsidP="3BDB421E" w:rsidRDefault="49E0B375" w14:paraId="72B8C568" w14:textId="25939D34">
      <w:pPr>
        <w:spacing w:before="240" w:beforeAutospacing="off" w:after="240" w:afterAutospacing="off"/>
        <w:rPr>
          <w:rFonts w:ascii="Times New Roman" w:hAnsi="Times New Roman" w:eastAsia="Times New Roman" w:cs="Times New Roman"/>
          <w:i w:val="0"/>
          <w:iCs w:val="0"/>
          <w:noProof w:val="0"/>
          <w:sz w:val="24"/>
          <w:szCs w:val="24"/>
          <w:lang w:val="en-GB"/>
        </w:rPr>
      </w:pPr>
      <w:r w:rsidRPr="3BDB421E" w:rsidR="49E0B375">
        <w:rPr>
          <w:rFonts w:ascii="Times New Roman" w:hAnsi="Times New Roman" w:eastAsia="Times New Roman" w:cs="Times New Roman"/>
          <w:noProof w:val="0"/>
          <w:sz w:val="24"/>
          <w:szCs w:val="24"/>
          <w:lang w:val="en-GB"/>
        </w:rPr>
        <w:t>Total Assets =</w:t>
      </w:r>
      <w:r w:rsidRPr="3BDB421E" w:rsidR="49E0B375">
        <w:rPr>
          <w:rFonts w:ascii="Times New Roman" w:hAnsi="Times New Roman" w:eastAsia="Times New Roman" w:cs="Times New Roman"/>
          <w:b w:val="1"/>
          <w:bCs w:val="1"/>
          <w:noProof w:val="0"/>
          <w:sz w:val="24"/>
          <w:szCs w:val="24"/>
          <w:lang w:val="en-GB"/>
        </w:rPr>
        <w:t xml:space="preserve"> $122,070 million</w:t>
      </w:r>
      <w:r>
        <w:br/>
      </w:r>
      <w:r w:rsidRPr="3BDB421E" w:rsidR="49E0B375">
        <w:rPr>
          <w:rFonts w:ascii="Times New Roman" w:hAnsi="Times New Roman" w:eastAsia="Times New Roman" w:cs="Times New Roman"/>
          <w:noProof w:val="0"/>
          <w:sz w:val="24"/>
          <w:szCs w:val="24"/>
          <w:lang w:val="en-GB"/>
        </w:rPr>
        <w:t xml:space="preserve">Current Liabilities = </w:t>
      </w:r>
      <w:r w:rsidRPr="3BDB421E" w:rsidR="49E0B375">
        <w:rPr>
          <w:rFonts w:ascii="Times New Roman" w:hAnsi="Times New Roman" w:eastAsia="Times New Roman" w:cs="Times New Roman"/>
          <w:b w:val="1"/>
          <w:bCs w:val="1"/>
          <w:noProof w:val="0"/>
          <w:sz w:val="24"/>
          <w:szCs w:val="24"/>
          <w:lang w:val="en-GB"/>
        </w:rPr>
        <w:t>$36,104 million</w:t>
      </w:r>
    </w:p>
    <w:p w:rsidR="49E0B375" w:rsidP="3BDB421E" w:rsidRDefault="49E0B375" w14:paraId="3DB0AB1D" w14:textId="5D5E6644">
      <w:pPr>
        <w:spacing w:before="240" w:beforeAutospacing="off" w:after="240" w:afterAutospacing="off"/>
        <w:rPr>
          <w:rFonts w:ascii="Times New Roman" w:hAnsi="Times New Roman" w:eastAsia="Times New Roman" w:cs="Times New Roman"/>
          <w:b w:val="1"/>
          <w:bCs w:val="1"/>
          <w:noProof w:val="0"/>
          <w:sz w:val="24"/>
          <w:szCs w:val="24"/>
          <w:lang w:val="en-GB"/>
        </w:rPr>
      </w:pPr>
      <w:r w:rsidRPr="3BDB421E" w:rsidR="49E0B375">
        <w:rPr>
          <w:rFonts w:ascii="Times New Roman" w:hAnsi="Times New Roman" w:eastAsia="Times New Roman" w:cs="Times New Roman"/>
          <w:noProof w:val="0"/>
          <w:sz w:val="24"/>
          <w:szCs w:val="24"/>
          <w:lang w:val="en-GB"/>
        </w:rPr>
        <w:t>Capital Employed</w:t>
      </w:r>
      <w:r w:rsidRPr="3BDB421E" w:rsidR="26B09699">
        <w:rPr>
          <w:rFonts w:ascii="Times New Roman" w:hAnsi="Times New Roman" w:eastAsia="Times New Roman" w:cs="Times New Roman"/>
          <w:noProof w:val="0"/>
          <w:sz w:val="24"/>
          <w:szCs w:val="24"/>
          <w:lang w:val="en-GB"/>
        </w:rPr>
        <w:t xml:space="preserve"> </w:t>
      </w:r>
      <w:r w:rsidRPr="3BDB421E" w:rsidR="49E0B375">
        <w:rPr>
          <w:rFonts w:ascii="Times New Roman" w:hAnsi="Times New Roman" w:eastAsia="Times New Roman" w:cs="Times New Roman"/>
          <w:noProof w:val="0"/>
          <w:sz w:val="24"/>
          <w:szCs w:val="24"/>
          <w:lang w:val="en-GB"/>
        </w:rPr>
        <w:t>=</w:t>
      </w:r>
      <w:r w:rsidRPr="3BDB421E" w:rsidR="02C42B82">
        <w:rPr>
          <w:rFonts w:ascii="Times New Roman" w:hAnsi="Times New Roman" w:eastAsia="Times New Roman" w:cs="Times New Roman"/>
          <w:noProof w:val="0"/>
          <w:sz w:val="24"/>
          <w:szCs w:val="24"/>
          <w:lang w:val="en-GB"/>
        </w:rPr>
        <w:t xml:space="preserve"> </w:t>
      </w:r>
      <w:r w:rsidRPr="3BDB421E" w:rsidR="49E0B375">
        <w:rPr>
          <w:rFonts w:ascii="Times New Roman" w:hAnsi="Times New Roman" w:eastAsia="Times New Roman" w:cs="Times New Roman"/>
          <w:b w:val="1"/>
          <w:bCs w:val="1"/>
          <w:noProof w:val="0"/>
          <w:sz w:val="24"/>
          <w:szCs w:val="24"/>
          <w:lang w:val="en-GB"/>
        </w:rPr>
        <w:t>122,070</w:t>
      </w:r>
      <w:r w:rsidRPr="3BDB421E" w:rsidR="52CB52EF">
        <w:rPr>
          <w:rFonts w:ascii="Times New Roman" w:hAnsi="Times New Roman" w:eastAsia="Times New Roman" w:cs="Times New Roman"/>
          <w:b w:val="1"/>
          <w:bCs w:val="1"/>
          <w:noProof w:val="0"/>
          <w:sz w:val="24"/>
          <w:szCs w:val="24"/>
          <w:lang w:val="en-GB"/>
        </w:rPr>
        <w:t xml:space="preserve"> </w:t>
      </w:r>
      <w:r w:rsidRPr="3BDB421E" w:rsidR="49E0B375">
        <w:rPr>
          <w:rFonts w:ascii="Times New Roman" w:hAnsi="Times New Roman" w:eastAsia="Times New Roman" w:cs="Times New Roman"/>
          <w:b w:val="1"/>
          <w:bCs w:val="1"/>
          <w:noProof w:val="0"/>
          <w:sz w:val="24"/>
          <w:szCs w:val="24"/>
          <w:lang w:val="en-GB"/>
        </w:rPr>
        <w:t>−</w:t>
      </w:r>
      <w:r w:rsidRPr="3BDB421E" w:rsidR="6BD16271">
        <w:rPr>
          <w:rFonts w:ascii="Times New Roman" w:hAnsi="Times New Roman" w:eastAsia="Times New Roman" w:cs="Times New Roman"/>
          <w:b w:val="1"/>
          <w:bCs w:val="1"/>
          <w:noProof w:val="0"/>
          <w:sz w:val="24"/>
          <w:szCs w:val="24"/>
          <w:lang w:val="en-GB"/>
        </w:rPr>
        <w:t xml:space="preserve"> </w:t>
      </w:r>
      <w:r w:rsidRPr="3BDB421E" w:rsidR="49E0B375">
        <w:rPr>
          <w:rFonts w:ascii="Times New Roman" w:hAnsi="Times New Roman" w:eastAsia="Times New Roman" w:cs="Times New Roman"/>
          <w:b w:val="1"/>
          <w:bCs w:val="1"/>
          <w:noProof w:val="0"/>
          <w:sz w:val="24"/>
          <w:szCs w:val="24"/>
          <w:lang w:val="en-GB"/>
        </w:rPr>
        <w:t>36,104</w:t>
      </w:r>
      <w:r w:rsidRPr="3BDB421E" w:rsidR="42842ADC">
        <w:rPr>
          <w:rFonts w:ascii="Times New Roman" w:hAnsi="Times New Roman" w:eastAsia="Times New Roman" w:cs="Times New Roman"/>
          <w:b w:val="1"/>
          <w:bCs w:val="1"/>
          <w:noProof w:val="0"/>
          <w:sz w:val="24"/>
          <w:szCs w:val="24"/>
          <w:lang w:val="en-GB"/>
        </w:rPr>
        <w:t xml:space="preserve"> </w:t>
      </w:r>
      <w:r w:rsidRPr="3BDB421E" w:rsidR="1893DF25">
        <w:rPr>
          <w:rFonts w:ascii="Times New Roman" w:hAnsi="Times New Roman" w:eastAsia="Times New Roman" w:cs="Times New Roman"/>
          <w:b w:val="1"/>
          <w:bCs w:val="1"/>
          <w:noProof w:val="0"/>
          <w:sz w:val="24"/>
          <w:szCs w:val="24"/>
          <w:lang w:val="en-GB"/>
        </w:rPr>
        <w:t>= 85,966</w:t>
      </w:r>
    </w:p>
    <w:p w:rsidR="1BBB974A" w:rsidP="3BDB421E" w:rsidRDefault="1BBB974A" w14:paraId="02F5D7FA" w14:textId="21F11B3E">
      <w:pPr>
        <w:pStyle w:val="Normal"/>
        <w:spacing w:before="240" w:beforeAutospacing="off" w:after="240" w:afterAutospacing="off"/>
        <w:rPr>
          <w:rFonts w:ascii="Times New Roman" w:hAnsi="Times New Roman" w:eastAsia="Times New Roman" w:cs="Times New Roman"/>
          <w:b w:val="1"/>
          <w:bCs w:val="1"/>
          <w:i w:val="0"/>
          <w:iCs w:val="0"/>
          <w:noProof w:val="0"/>
          <w:sz w:val="24"/>
          <w:szCs w:val="24"/>
          <w:lang w:val="en-GB"/>
        </w:rPr>
      </w:pPr>
      <w:r w:rsidRPr="3BDB421E" w:rsidR="1BBB974A">
        <w:rPr>
          <w:rFonts w:ascii="Times New Roman" w:hAnsi="Times New Roman" w:eastAsia="Times New Roman" w:cs="Times New Roman"/>
          <w:b w:val="1"/>
          <w:bCs w:val="1"/>
          <w:i w:val="0"/>
          <w:iCs w:val="0"/>
          <w:noProof w:val="0"/>
          <w:sz w:val="24"/>
          <w:szCs w:val="24"/>
          <w:lang w:val="en-GB"/>
        </w:rPr>
        <w:t xml:space="preserve">Operating Profit = </w:t>
      </w:r>
      <w:r w:rsidRPr="3BDB421E" w:rsidR="50BF5820">
        <w:rPr>
          <w:rFonts w:ascii="Times New Roman" w:hAnsi="Times New Roman" w:eastAsia="Times New Roman" w:cs="Times New Roman"/>
          <w:b w:val="1"/>
          <w:bCs w:val="1"/>
          <w:i w:val="0"/>
          <w:iCs w:val="0"/>
          <w:noProof w:val="0"/>
          <w:sz w:val="24"/>
          <w:szCs w:val="24"/>
          <w:lang w:val="en-GB"/>
        </w:rPr>
        <w:t>$</w:t>
      </w:r>
      <w:r w:rsidRPr="3BDB421E" w:rsidR="1BBB974A">
        <w:rPr>
          <w:rFonts w:ascii="Times New Roman" w:hAnsi="Times New Roman" w:eastAsia="Times New Roman" w:cs="Times New Roman"/>
          <w:b w:val="1"/>
          <w:bCs w:val="1"/>
          <w:i w:val="0"/>
          <w:iCs w:val="0"/>
          <w:noProof w:val="0"/>
          <w:sz w:val="24"/>
          <w:szCs w:val="24"/>
          <w:lang w:val="en-GB"/>
        </w:rPr>
        <w:t>3,525</w:t>
      </w:r>
      <w:r w:rsidRPr="3BDB421E" w:rsidR="4E5F39D2">
        <w:rPr>
          <w:rFonts w:ascii="Times New Roman" w:hAnsi="Times New Roman" w:eastAsia="Times New Roman" w:cs="Times New Roman"/>
          <w:b w:val="1"/>
          <w:bCs w:val="1"/>
          <w:i w:val="0"/>
          <w:iCs w:val="0"/>
          <w:noProof w:val="0"/>
          <w:sz w:val="24"/>
          <w:szCs w:val="24"/>
          <w:lang w:val="en-GB"/>
        </w:rPr>
        <w:t xml:space="preserve"> </w:t>
      </w:r>
      <w:r w:rsidRPr="3BDB421E" w:rsidR="4E5F39D2">
        <w:rPr>
          <w:rFonts w:ascii="Times New Roman" w:hAnsi="Times New Roman" w:eastAsia="Times New Roman" w:cs="Times New Roman"/>
          <w:b w:val="1"/>
          <w:bCs w:val="1"/>
          <w:i w:val="0"/>
          <w:iCs w:val="0"/>
          <w:noProof w:val="0"/>
          <w:sz w:val="24"/>
          <w:szCs w:val="24"/>
          <w:lang w:val="en-GB"/>
        </w:rPr>
        <w:t>million</w:t>
      </w:r>
    </w:p>
    <w:p w:rsidR="64F43DA2" w:rsidP="3BDB421E" w:rsidRDefault="64F43DA2" w14:paraId="589824F1" w14:textId="31CFAD35">
      <w:pPr>
        <w:spacing w:before="240" w:beforeAutospacing="off" w:after="240" w:afterAutospacing="off"/>
        <w:rPr>
          <w:rFonts w:ascii="Times New Roman" w:hAnsi="Times New Roman" w:eastAsia="Times New Roman" w:cs="Times New Roman"/>
          <w:b w:val="1"/>
          <w:bCs w:val="1"/>
          <w:i w:val="0"/>
          <w:iCs w:val="0"/>
          <w:noProof w:val="0"/>
          <w:sz w:val="24"/>
          <w:szCs w:val="24"/>
          <w:lang w:val="en-GB"/>
        </w:rPr>
      </w:pPr>
      <w:r w:rsidRPr="3BDB421E" w:rsidR="64F43DA2">
        <w:rPr>
          <w:rFonts w:ascii="Times New Roman" w:hAnsi="Times New Roman" w:eastAsia="Times New Roman" w:cs="Times New Roman"/>
          <w:b w:val="1"/>
          <w:bCs w:val="1"/>
          <w:i w:val="0"/>
          <w:iCs w:val="0"/>
          <w:noProof w:val="0"/>
          <w:sz w:val="24"/>
          <w:szCs w:val="24"/>
          <w:lang w:val="en-GB"/>
        </w:rPr>
        <w:t>Step 2</w:t>
      </w:r>
    </w:p>
    <w:p w:rsidR="65DCFCAA" w:rsidP="3BDB421E" w:rsidRDefault="65DCFCAA" w14:paraId="52ABDB10" w14:textId="68B08439">
      <w:pPr>
        <w:pStyle w:val="Normal"/>
        <w:suppressLineNumbers w:val="0"/>
        <w:bidi w:val="0"/>
        <w:spacing w:before="120" w:beforeAutospacing="off" w:after="120" w:afterAutospacing="off" w:line="360" w:lineRule="auto"/>
        <w:ind w:left="0" w:right="0"/>
        <w:jc w:val="left"/>
        <w:rPr>
          <w:rFonts w:ascii="Times New Roman" w:hAnsi="Times New Roman" w:eastAsia="Times New Roman" w:cs="Times New Roman"/>
          <w:b w:val="0"/>
          <w:bCs w:val="0"/>
          <w:noProof w:val="0"/>
          <w:sz w:val="24"/>
          <w:szCs w:val="24"/>
          <w:lang w:val="en-GB"/>
        </w:rPr>
      </w:pPr>
      <w:r w:rsidRPr="3BDB421E" w:rsidR="65DCFCAA">
        <w:rPr>
          <w:rFonts w:ascii="Times New Roman" w:hAnsi="Times New Roman" w:eastAsia="Times New Roman" w:cs="Times New Roman"/>
          <w:b w:val="0"/>
          <w:bCs w:val="0"/>
          <w:noProof w:val="0"/>
          <w:sz w:val="24"/>
          <w:szCs w:val="24"/>
          <w:lang w:val="en-GB"/>
        </w:rPr>
        <w:t>ROCE =</w:t>
      </w:r>
      <w:r w:rsidRPr="3BDB421E" w:rsidR="00026AA3">
        <w:rPr>
          <w:rFonts w:ascii="Times New Roman" w:hAnsi="Times New Roman" w:eastAsia="Times New Roman" w:cs="Times New Roman"/>
          <w:b w:val="0"/>
          <w:bCs w:val="0"/>
          <w:noProof w:val="0"/>
          <w:sz w:val="24"/>
          <w:szCs w:val="24"/>
          <w:lang w:val="en-GB"/>
        </w:rPr>
        <w:t xml:space="preserve"> </w:t>
      </w:r>
      <w:r w:rsidRPr="3BDB421E" w:rsidR="65DCFCAA">
        <w:rPr>
          <w:rFonts w:ascii="Times New Roman" w:hAnsi="Times New Roman" w:eastAsia="Times New Roman" w:cs="Times New Roman"/>
          <w:b w:val="0"/>
          <w:bCs w:val="0"/>
          <w:noProof w:val="0"/>
          <w:sz w:val="24"/>
          <w:szCs w:val="24"/>
          <w:lang w:val="en-GB"/>
        </w:rPr>
        <w:t xml:space="preserve"> </w:t>
      </w:r>
      <m:oMathPara xmlns:m="http://schemas.openxmlformats.org/officeDocument/2006/math">
        <m:oMath xmlns:m="http://schemas.openxmlformats.org/officeDocument/2006/math">
          <m:f xmlns:m="http://schemas.openxmlformats.org/officeDocument/2006/math">
            <m:fPr>
              <m:ctrlPr/>
            </m:fPr>
            <m:num>
              <m:r>
                <m:t>3,525</m:t>
              </m:r>
            </m:num>
            <m:den>
              <m:r>
                <m:t>85,966</m:t>
              </m:r>
            </m:den>
          </m:f>
          <m:r xmlns:m="http://schemas.openxmlformats.org/officeDocument/2006/math">
            <m:t xmlns:m="http://schemas.openxmlformats.org/officeDocument/2006/math">×100</m:t>
          </m:r>
        </m:oMath>
      </m:oMathPara>
    </w:p>
    <w:p w:rsidR="1352820D" w:rsidP="3BDB421E" w:rsidRDefault="1352820D" w14:paraId="269901BA" w14:textId="504C8C37">
      <w:pPr>
        <w:rPr>
          <w:rFonts w:ascii="Times New Roman" w:hAnsi="Times New Roman" w:eastAsia="Times New Roman" w:cs="Times New Roman"/>
          <w:b w:val="1"/>
          <w:bCs w:val="1"/>
          <w:i w:val="0"/>
          <w:iCs w:val="0"/>
          <w:noProof w:val="0"/>
          <w:sz w:val="24"/>
          <w:szCs w:val="24"/>
          <w:lang w:val="en-GB"/>
        </w:rPr>
      </w:pPr>
      <w:r w:rsidRPr="3BDB421E" w:rsidR="1352820D">
        <w:rPr>
          <w:rFonts w:ascii="Times New Roman" w:hAnsi="Times New Roman" w:eastAsia="Times New Roman" w:cs="Times New Roman"/>
          <w:i w:val="0"/>
          <w:iCs w:val="0"/>
          <w:noProof w:val="0"/>
          <w:sz w:val="24"/>
          <w:szCs w:val="24"/>
          <w:lang w:val="en-GB"/>
        </w:rPr>
        <w:t>ROCE</w:t>
      </w:r>
      <w:r w:rsidRPr="3BDB421E" w:rsidR="3B4D916A">
        <w:rPr>
          <w:rFonts w:ascii="Times New Roman" w:hAnsi="Times New Roman" w:eastAsia="Times New Roman" w:cs="Times New Roman"/>
          <w:i w:val="0"/>
          <w:iCs w:val="0"/>
          <w:noProof w:val="0"/>
          <w:sz w:val="24"/>
          <w:szCs w:val="24"/>
          <w:lang w:val="en-GB"/>
        </w:rPr>
        <w:t xml:space="preserve"> </w:t>
      </w:r>
      <w:r w:rsidRPr="3BDB421E" w:rsidR="1352820D">
        <w:rPr>
          <w:rFonts w:ascii="Times New Roman" w:hAnsi="Times New Roman" w:eastAsia="Times New Roman" w:cs="Times New Roman"/>
          <w:i w:val="0"/>
          <w:iCs w:val="0"/>
          <w:noProof w:val="0"/>
          <w:sz w:val="24"/>
          <w:szCs w:val="24"/>
          <w:lang w:val="en-GB"/>
        </w:rPr>
        <w:t>=</w:t>
      </w:r>
      <w:r w:rsidRPr="3BDB421E" w:rsidR="15316930">
        <w:rPr>
          <w:rFonts w:ascii="Times New Roman" w:hAnsi="Times New Roman" w:eastAsia="Times New Roman" w:cs="Times New Roman"/>
          <w:i w:val="0"/>
          <w:iCs w:val="0"/>
          <w:noProof w:val="0"/>
          <w:sz w:val="24"/>
          <w:szCs w:val="24"/>
          <w:lang w:val="en-GB"/>
        </w:rPr>
        <w:t xml:space="preserve"> </w:t>
      </w:r>
      <w:r w:rsidRPr="3BDB421E" w:rsidR="1352820D">
        <w:rPr>
          <w:rFonts w:ascii="Times New Roman" w:hAnsi="Times New Roman" w:eastAsia="Times New Roman" w:cs="Times New Roman"/>
          <w:b w:val="1"/>
          <w:bCs w:val="1"/>
          <w:i w:val="0"/>
          <w:iCs w:val="0"/>
          <w:noProof w:val="0"/>
          <w:sz w:val="24"/>
          <w:szCs w:val="24"/>
          <w:lang w:val="en-GB"/>
        </w:rPr>
        <w:t>4.10%</w:t>
      </w:r>
    </w:p>
    <w:p w:rsidR="04BC2099" w:rsidP="3BDB421E" w:rsidRDefault="04BC2099" w14:paraId="776C7A6B" w14:textId="0D98C9D8">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3BDB421E" w:rsidR="04BC2099">
        <w:rPr>
          <w:rFonts w:ascii="Times New Roman" w:hAnsi="Times New Roman" w:eastAsia="Times New Roman" w:cs="Times New Roman"/>
          <w:b w:val="1"/>
          <w:bCs w:val="1"/>
          <w:noProof w:val="0"/>
          <w:sz w:val="24"/>
          <w:szCs w:val="24"/>
          <w:lang w:val="en-GB"/>
        </w:rPr>
        <w:t xml:space="preserve">Net </w:t>
      </w:r>
      <w:r w:rsidRPr="3BDB421E" w:rsidR="04BC2099">
        <w:rPr>
          <w:rFonts w:ascii="Times New Roman" w:hAnsi="Times New Roman" w:eastAsia="Times New Roman" w:cs="Times New Roman"/>
          <w:b w:val="1"/>
          <w:bCs w:val="1"/>
          <w:noProof w:val="0"/>
          <w:sz w:val="24"/>
          <w:szCs w:val="24"/>
          <w:lang w:val="en-GB"/>
        </w:rPr>
        <w:t>Profit</w:t>
      </w:r>
      <w:r w:rsidRPr="3BDB421E" w:rsidR="04BC2099">
        <w:rPr>
          <w:rFonts w:ascii="Times New Roman" w:hAnsi="Times New Roman" w:eastAsia="Times New Roman" w:cs="Times New Roman"/>
          <w:b w:val="1"/>
          <w:bCs w:val="1"/>
          <w:noProof w:val="0"/>
          <w:sz w:val="24"/>
          <w:szCs w:val="24"/>
          <w:lang w:val="en-GB"/>
        </w:rPr>
        <w:t xml:space="preserve"> Margin</w:t>
      </w:r>
      <w:r w:rsidRPr="3BDB421E" w:rsidR="4344BA49">
        <w:rPr>
          <w:rFonts w:ascii="Times New Roman" w:hAnsi="Times New Roman" w:eastAsia="Times New Roman" w:cs="Times New Roman"/>
          <w:b w:val="1"/>
          <w:bCs w:val="1"/>
          <w:noProof w:val="0"/>
          <w:sz w:val="24"/>
          <w:szCs w:val="24"/>
          <w:lang w:val="en-GB"/>
        </w:rPr>
        <w:t xml:space="preserve"> </w:t>
      </w:r>
    </w:p>
    <w:p w:rsidR="0008EA6C" w:rsidP="3BDB421E" w:rsidRDefault="0008EA6C" w14:paraId="2BE735FA" w14:textId="46333494">
      <w:pPr>
        <w:pStyle w:val="Normal"/>
        <w:spacing w:before="240" w:beforeAutospacing="off" w:after="240" w:afterAutospacing="off"/>
        <w:rPr>
          <w:rFonts w:ascii="Times New Roman" w:hAnsi="Times New Roman" w:eastAsia="Times New Roman" w:cs="Times New Roman"/>
          <w:b w:val="1"/>
          <w:bCs w:val="1"/>
          <w:i w:val="1"/>
          <w:iCs w:val="1"/>
          <w:noProof w:val="0"/>
          <w:sz w:val="24"/>
          <w:szCs w:val="24"/>
          <w:lang w:val="en-GB"/>
        </w:rPr>
      </w:pPr>
      <w:r w:rsidRPr="3BDB421E" w:rsidR="0008EA6C">
        <w:rPr>
          <w:rFonts w:ascii="Times New Roman" w:hAnsi="Times New Roman" w:eastAsia="Times New Roman" w:cs="Times New Roman"/>
          <w:b w:val="1"/>
          <w:bCs w:val="1"/>
          <w:i w:val="1"/>
          <w:iCs w:val="1"/>
          <w:noProof w:val="0"/>
          <w:sz w:val="24"/>
          <w:szCs w:val="24"/>
          <w:lang w:val="en-GB"/>
        </w:rPr>
        <w:t xml:space="preserve">Formula: </w:t>
      </w:r>
      <w:r w:rsidRPr="3BDB421E" w:rsidR="4344BA49">
        <w:rPr>
          <w:rFonts w:ascii="Times New Roman" w:hAnsi="Times New Roman" w:eastAsia="Times New Roman" w:cs="Times New Roman"/>
          <w:b w:val="1"/>
          <w:bCs w:val="1"/>
          <w:i w:val="1"/>
          <w:iCs w:val="1"/>
          <w:noProof w:val="0"/>
          <w:sz w:val="24"/>
          <w:szCs w:val="24"/>
          <w:lang w:val="en-GB"/>
        </w:rPr>
        <w:t>N</w:t>
      </w:r>
      <w:r w:rsidRPr="3BDB421E" w:rsidR="239C43F9">
        <w:rPr>
          <w:rFonts w:ascii="Times New Roman" w:hAnsi="Times New Roman" w:eastAsia="Times New Roman" w:cs="Times New Roman"/>
          <w:b w:val="1"/>
          <w:bCs w:val="1"/>
          <w:i w:val="1"/>
          <w:iCs w:val="1"/>
          <w:noProof w:val="0"/>
          <w:sz w:val="24"/>
          <w:szCs w:val="24"/>
          <w:lang w:val="en-GB"/>
        </w:rPr>
        <w:t xml:space="preserve">et P </w:t>
      </w:r>
      <w:r w:rsidRPr="3BDB421E" w:rsidR="239C43F9">
        <w:rPr>
          <w:rFonts w:ascii="Times New Roman" w:hAnsi="Times New Roman" w:eastAsia="Times New Roman" w:cs="Times New Roman"/>
          <w:b w:val="1"/>
          <w:bCs w:val="1"/>
          <w:i w:val="1"/>
          <w:iCs w:val="1"/>
          <w:noProof w:val="0"/>
          <w:sz w:val="24"/>
          <w:szCs w:val="24"/>
          <w:lang w:val="en-GB"/>
        </w:rPr>
        <w:t>rofit</w:t>
      </w:r>
      <w:r w:rsidRPr="3BDB421E" w:rsidR="239C43F9">
        <w:rPr>
          <w:rFonts w:ascii="Times New Roman" w:hAnsi="Times New Roman" w:eastAsia="Times New Roman" w:cs="Times New Roman"/>
          <w:b w:val="1"/>
          <w:bCs w:val="1"/>
          <w:i w:val="1"/>
          <w:iCs w:val="1"/>
          <w:noProof w:val="0"/>
          <w:sz w:val="24"/>
          <w:szCs w:val="24"/>
          <w:lang w:val="en-GB"/>
        </w:rPr>
        <w:t xml:space="preserve"> Margin = </w:t>
      </w:r>
      <m:oMathPara xmlns:m="http://schemas.openxmlformats.org/officeDocument/2006/math">
        <m:oMath xmlns:m="http://schemas.openxmlformats.org/officeDocument/2006/math">
          <m:f xmlns:m="http://schemas.openxmlformats.org/officeDocument/2006/math">
            <m:fPr>
              <m:ctrlPr/>
            </m:fPr>
            <m:num>
              <m:r>
                <m:t>𝑁𝑒𝑡</m:t>
              </m:r>
              <m:r>
                <m:t> </m:t>
              </m:r>
              <m:func>
                <m:funcPr>
                  <m:ctrlPr/>
                </m:funcPr>
                <m:fName>
                  <m:r>
                    <m:rPr>
                      <m:sty m:val="p"/>
                    </m:rPr>
                    <m:t>Pr</m:t>
                  </m:r>
                </m:fName>
                <m:e>
                  <m:r>
                    <m:t>𝑜</m:t>
                  </m:r>
                </m:e>
              </m:func>
              <m:r>
                <m:t>𝑓𝑖𝑡</m:t>
              </m:r>
            </m:num>
            <m:den>
              <m:r>
                <m:t>𝑅𝑒𝑣𝑒𝑛𝑒</m:t>
              </m:r>
            </m:den>
          </m:f>
          <m:r xmlns:m="http://schemas.openxmlformats.org/officeDocument/2006/math">
            <m:t xmlns:m="http://schemas.openxmlformats.org/officeDocument/2006/math">×100</m:t>
          </m:r>
        </m:oMath>
      </m:oMathPara>
    </w:p>
    <w:p w:rsidR="7C2F8688" w:rsidP="3BDB421E" w:rsidRDefault="7C2F8688" w14:paraId="1F685C59" w14:textId="2614603C">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r w:rsidRPr="3BDB421E" w:rsidR="7C2F8688">
        <w:rPr>
          <w:rFonts w:ascii="Times New Roman" w:hAnsi="Times New Roman" w:eastAsia="Times New Roman" w:cs="Times New Roman"/>
          <w:noProof w:val="0"/>
          <w:sz w:val="24"/>
          <w:szCs w:val="24"/>
          <w:lang w:val="en-GB"/>
        </w:rPr>
        <w:t xml:space="preserve">Revenue = </w:t>
      </w:r>
      <w:r w:rsidRPr="3BDB421E" w:rsidR="7C2F8688">
        <w:rPr>
          <w:rFonts w:ascii="Times New Roman" w:hAnsi="Times New Roman" w:eastAsia="Times New Roman" w:cs="Times New Roman"/>
          <w:b w:val="1"/>
          <w:bCs w:val="1"/>
          <w:noProof w:val="0"/>
          <w:sz w:val="24"/>
          <w:szCs w:val="24"/>
          <w:lang w:val="en-GB"/>
        </w:rPr>
        <w:t>$97,690 million</w:t>
      </w:r>
      <w:r>
        <w:br/>
      </w:r>
      <w:r w:rsidRPr="3BDB421E" w:rsidR="7C2F8688">
        <w:rPr>
          <w:rFonts w:ascii="Times New Roman" w:hAnsi="Times New Roman" w:eastAsia="Times New Roman" w:cs="Times New Roman"/>
          <w:noProof w:val="0"/>
          <w:sz w:val="24"/>
          <w:szCs w:val="24"/>
          <w:lang w:val="en-GB"/>
        </w:rPr>
        <w:t xml:space="preserve">Net Profit = </w:t>
      </w:r>
      <w:r w:rsidRPr="3BDB421E" w:rsidR="7C2F8688">
        <w:rPr>
          <w:rFonts w:ascii="Times New Roman" w:hAnsi="Times New Roman" w:eastAsia="Times New Roman" w:cs="Times New Roman"/>
          <w:b w:val="1"/>
          <w:bCs w:val="1"/>
          <w:noProof w:val="0"/>
          <w:sz w:val="24"/>
          <w:szCs w:val="24"/>
          <w:lang w:val="en-GB"/>
        </w:rPr>
        <w:t>$3,977 millio</w:t>
      </w:r>
      <w:r w:rsidRPr="3BDB421E" w:rsidR="1A8D94AD">
        <w:rPr>
          <w:rFonts w:ascii="Times New Roman" w:hAnsi="Times New Roman" w:eastAsia="Times New Roman" w:cs="Times New Roman"/>
          <w:b w:val="1"/>
          <w:bCs w:val="1"/>
          <w:noProof w:val="0"/>
          <w:sz w:val="24"/>
          <w:szCs w:val="24"/>
          <w:lang w:val="en-GB"/>
        </w:rPr>
        <w:t>n</w:t>
      </w:r>
    </w:p>
    <w:p w:rsidR="3BB60F63" w:rsidP="3BDB421E" w:rsidRDefault="3BB60F63" w14:paraId="000D0C49" w14:textId="1ED5C5C8">
      <w:pPr>
        <w:pStyle w:val="Normal"/>
        <w:spacing w:before="240" w:beforeAutospacing="off" w:after="240" w:afterAutospacing="off"/>
        <w:rPr>
          <w:rFonts w:ascii="Times New Roman" w:hAnsi="Times New Roman" w:eastAsia="Times New Roman" w:cs="Times New Roman"/>
          <w:noProof w:val="0"/>
          <w:sz w:val="24"/>
          <w:szCs w:val="24"/>
          <w:lang w:val="en-GB"/>
        </w:rPr>
      </w:pPr>
      <w:r w:rsidRPr="3BDB421E" w:rsidR="3BB60F63">
        <w:rPr>
          <w:rFonts w:ascii="Times New Roman" w:hAnsi="Times New Roman" w:eastAsia="Times New Roman" w:cs="Times New Roman"/>
          <w:noProof w:val="0"/>
          <w:sz w:val="24"/>
          <w:szCs w:val="24"/>
          <w:lang w:val="en-GB"/>
        </w:rPr>
        <w:t xml:space="preserve">Net Profit Margin = </w:t>
      </w:r>
      <m:oMathPara xmlns:m="http://schemas.openxmlformats.org/officeDocument/2006/math">
        <m:oMath xmlns:m="http://schemas.openxmlformats.org/officeDocument/2006/math">
          <m:f xmlns:m="http://schemas.openxmlformats.org/officeDocument/2006/math">
            <m:fPr>
              <m:ctrlPr/>
            </m:fPr>
            <m:num>
              <m:r>
                <m:t>3,977</m:t>
              </m:r>
            </m:num>
            <m:den>
              <m:r>
                <m:t>97,690</m:t>
              </m:r>
            </m:den>
          </m:f>
          <m:r xmlns:m="http://schemas.openxmlformats.org/officeDocument/2006/math">
            <m:t xmlns:m="http://schemas.openxmlformats.org/officeDocument/2006/math">×100</m:t>
          </m:r>
        </m:oMath>
      </m:oMathPara>
      <w:r w:rsidRPr="3BDB421E" w:rsidR="519CBB53">
        <w:rPr>
          <w:rFonts w:ascii="Times New Roman" w:hAnsi="Times New Roman" w:eastAsia="Times New Roman" w:cs="Times New Roman"/>
          <w:noProof w:val="0"/>
          <w:sz w:val="24"/>
          <w:szCs w:val="24"/>
          <w:lang w:val="en-GB"/>
        </w:rPr>
        <w:t xml:space="preserve"> </w:t>
      </w:r>
    </w:p>
    <w:p w:rsidR="7FA471C3" w:rsidP="3BDB421E" w:rsidRDefault="7FA471C3" w14:paraId="4FDAFD20" w14:textId="3A52446A">
      <w:pPr>
        <w:pStyle w:val="Normal"/>
        <w:spacing w:before="240" w:beforeAutospacing="off" w:after="240" w:afterAutospacing="off"/>
        <w:rPr>
          <w:rFonts w:ascii="Times New Roman" w:hAnsi="Times New Roman" w:eastAsia="Times New Roman" w:cs="Times New Roman"/>
          <w:noProof w:val="0"/>
          <w:sz w:val="24"/>
          <w:szCs w:val="24"/>
          <w:lang w:val="en-GB"/>
        </w:rPr>
      </w:pPr>
      <w:r w:rsidRPr="3BDB421E" w:rsidR="7FA471C3">
        <w:rPr>
          <w:rFonts w:ascii="Times New Roman" w:hAnsi="Times New Roman" w:eastAsia="Times New Roman" w:cs="Times New Roman"/>
          <w:noProof w:val="0"/>
          <w:sz w:val="24"/>
          <w:szCs w:val="24"/>
          <w:lang w:val="en-GB"/>
        </w:rPr>
        <w:t>= 0.0407</w:t>
      </w:r>
    </w:p>
    <w:p w:rsidR="519CBB53" w:rsidP="3BDB421E" w:rsidRDefault="519CBB53" w14:paraId="7BB87269" w14:textId="3686B8EC">
      <w:pPr>
        <w:pStyle w:val="Normal"/>
        <w:spacing w:before="240" w:beforeAutospacing="off" w:after="240" w:afterAutospacing="off"/>
      </w:pPr>
      <w:r w:rsidRPr="3BDB421E" w:rsidR="519CBB53">
        <w:rPr>
          <w:rFonts w:ascii="Times New Roman" w:hAnsi="Times New Roman" w:eastAsia="Times New Roman" w:cs="Times New Roman"/>
          <w:noProof w:val="0"/>
          <w:sz w:val="24"/>
          <w:szCs w:val="24"/>
          <w:lang w:val="en-GB"/>
        </w:rPr>
        <w:t>Net Profit Margin =</w:t>
      </w:r>
      <w:r w:rsidRPr="3BDB421E" w:rsidR="3BB60F63">
        <w:rPr>
          <w:rFonts w:ascii="Times New Roman" w:hAnsi="Times New Roman" w:eastAsia="Times New Roman" w:cs="Times New Roman"/>
          <w:noProof w:val="0"/>
          <w:sz w:val="24"/>
          <w:szCs w:val="24"/>
          <w:lang w:val="en-GB"/>
        </w:rPr>
        <w:t xml:space="preserve"> </w:t>
      </w:r>
      <w:r w:rsidRPr="3BDB421E" w:rsidR="7C2F8688">
        <w:rPr>
          <w:rFonts w:ascii="Times New Roman" w:hAnsi="Times New Roman" w:eastAsia="Times New Roman" w:cs="Times New Roman"/>
          <w:noProof w:val="0"/>
          <w:sz w:val="24"/>
          <w:szCs w:val="24"/>
          <w:lang w:val="en-GB"/>
        </w:rPr>
        <w:t>0.0407</w:t>
      </w:r>
      <w:r w:rsidRPr="3BDB421E" w:rsidR="4B4D1467">
        <w:rPr>
          <w:rFonts w:ascii="Times New Roman" w:hAnsi="Times New Roman" w:eastAsia="Times New Roman" w:cs="Times New Roman"/>
          <w:noProof w:val="0"/>
          <w:sz w:val="24"/>
          <w:szCs w:val="24"/>
          <w:lang w:val="en-GB"/>
        </w:rPr>
        <w:t xml:space="preserve"> </w:t>
      </w:r>
      <w:r w:rsidRPr="3BDB421E" w:rsidR="7C2F8688">
        <w:rPr>
          <w:rFonts w:ascii="Times New Roman" w:hAnsi="Times New Roman" w:eastAsia="Times New Roman" w:cs="Times New Roman"/>
          <w:noProof w:val="0"/>
          <w:sz w:val="24"/>
          <w:szCs w:val="24"/>
          <w:lang w:val="en-GB"/>
        </w:rPr>
        <w:t>×</w:t>
      </w:r>
      <w:r w:rsidRPr="3BDB421E" w:rsidR="08B881F1">
        <w:rPr>
          <w:rFonts w:ascii="Times New Roman" w:hAnsi="Times New Roman" w:eastAsia="Times New Roman" w:cs="Times New Roman"/>
          <w:noProof w:val="0"/>
          <w:sz w:val="24"/>
          <w:szCs w:val="24"/>
          <w:lang w:val="en-GB"/>
        </w:rPr>
        <w:t xml:space="preserve"> </w:t>
      </w:r>
      <w:r w:rsidRPr="3BDB421E" w:rsidR="7C2F8688">
        <w:rPr>
          <w:rFonts w:ascii="Times New Roman" w:hAnsi="Times New Roman" w:eastAsia="Times New Roman" w:cs="Times New Roman"/>
          <w:noProof w:val="0"/>
          <w:sz w:val="24"/>
          <w:szCs w:val="24"/>
          <w:lang w:val="en-GB"/>
        </w:rPr>
        <w:t>100</w:t>
      </w:r>
    </w:p>
    <w:p w:rsidR="3B3189FB" w:rsidP="3BDB421E" w:rsidRDefault="3B3189FB" w14:paraId="44015A3E" w14:textId="3A456199">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r w:rsidRPr="3BDB421E" w:rsidR="3B3189FB">
        <w:rPr>
          <w:rFonts w:ascii="Times New Roman" w:hAnsi="Times New Roman" w:eastAsia="Times New Roman" w:cs="Times New Roman"/>
          <w:noProof w:val="0"/>
          <w:sz w:val="24"/>
          <w:szCs w:val="24"/>
          <w:lang w:val="en-GB"/>
        </w:rPr>
        <w:t xml:space="preserve">= </w:t>
      </w:r>
      <w:r w:rsidRPr="3BDB421E" w:rsidR="3B3189FB">
        <w:rPr>
          <w:rFonts w:ascii="Times New Roman" w:hAnsi="Times New Roman" w:eastAsia="Times New Roman" w:cs="Times New Roman"/>
          <w:b w:val="1"/>
          <w:bCs w:val="1"/>
          <w:noProof w:val="0"/>
          <w:sz w:val="24"/>
          <w:szCs w:val="24"/>
          <w:lang w:val="en-GB"/>
        </w:rPr>
        <w:t>4.07%</w:t>
      </w:r>
    </w:p>
    <w:p w:rsidR="3161D780" w:rsidP="3BDB421E" w:rsidRDefault="3161D780" w14:paraId="67E4D11F" w14:textId="6948DF11">
      <w:pPr>
        <w:pStyle w:val="ListParagraph"/>
        <w:numPr>
          <w:ilvl w:val="0"/>
          <w:numId w:val="3"/>
        </w:numPr>
        <w:spacing w:before="240" w:beforeAutospacing="off" w:after="240" w:afterAutospacing="off"/>
        <w:rPr>
          <w:rFonts w:ascii="Times New Roman" w:hAnsi="Times New Roman" w:eastAsia="Times New Roman" w:cs="Times New Roman"/>
          <w:b w:val="1"/>
          <w:bCs w:val="1"/>
          <w:noProof w:val="0"/>
          <w:sz w:val="28"/>
          <w:szCs w:val="28"/>
          <w:lang w:val="en-GB"/>
        </w:rPr>
      </w:pPr>
      <w:r w:rsidRPr="3BDB421E" w:rsidR="3161D780">
        <w:rPr>
          <w:rFonts w:ascii="Times New Roman" w:hAnsi="Times New Roman" w:eastAsia="Times New Roman" w:cs="Times New Roman"/>
          <w:b w:val="1"/>
          <w:bCs w:val="1"/>
          <w:noProof w:val="0"/>
          <w:sz w:val="28"/>
          <w:szCs w:val="28"/>
          <w:lang w:val="en-GB"/>
        </w:rPr>
        <w:t xml:space="preserve">Liquidity </w:t>
      </w:r>
      <w:r w:rsidRPr="3BDB421E" w:rsidR="73470A19">
        <w:rPr>
          <w:rFonts w:ascii="Times New Roman" w:hAnsi="Times New Roman" w:eastAsia="Times New Roman" w:cs="Times New Roman"/>
          <w:b w:val="1"/>
          <w:bCs w:val="1"/>
          <w:noProof w:val="0"/>
          <w:sz w:val="28"/>
          <w:szCs w:val="28"/>
          <w:lang w:val="en-GB"/>
        </w:rPr>
        <w:t>Ratios</w:t>
      </w:r>
    </w:p>
    <w:p w:rsidR="70E94B38" w:rsidP="3BDB421E" w:rsidRDefault="70E94B38" w14:paraId="61C6AD2B" w14:textId="5F1AAEE6">
      <w:pPr>
        <w:pStyle w:val="ListParagraph"/>
        <w:numPr>
          <w:ilvl w:val="0"/>
          <w:numId w:val="7"/>
        </w:numPr>
        <w:spacing w:before="240" w:beforeAutospacing="off" w:after="240" w:afterAutospacing="off"/>
        <w:rPr>
          <w:rFonts w:ascii="Times New Roman" w:hAnsi="Times New Roman" w:eastAsia="Times New Roman" w:cs="Times New Roman"/>
          <w:b w:val="1"/>
          <w:bCs w:val="1"/>
          <w:noProof w:val="0"/>
          <w:sz w:val="24"/>
          <w:szCs w:val="24"/>
          <w:lang w:val="en-GB"/>
        </w:rPr>
      </w:pPr>
      <w:r w:rsidRPr="3BDB421E" w:rsidR="70E94B38">
        <w:rPr>
          <w:rFonts w:ascii="Times New Roman" w:hAnsi="Times New Roman" w:eastAsia="Times New Roman" w:cs="Times New Roman"/>
          <w:b w:val="1"/>
          <w:bCs w:val="1"/>
          <w:noProof w:val="0"/>
          <w:sz w:val="24"/>
          <w:szCs w:val="24"/>
          <w:lang w:val="en-GB"/>
        </w:rPr>
        <w:t>Current Ratio</w:t>
      </w:r>
    </w:p>
    <w:p w:rsidR="3FDA7A20" w:rsidP="3BDB421E" w:rsidRDefault="3FDA7A20" w14:paraId="6242FC9F" w14:textId="3AD913D3">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3BDB421E" w:rsidR="3FDA7A20">
        <w:rPr>
          <w:rFonts w:ascii="Times New Roman" w:hAnsi="Times New Roman" w:eastAsia="Times New Roman" w:cs="Times New Roman"/>
          <w:b w:val="1"/>
          <w:bCs w:val="1"/>
          <w:noProof w:val="0"/>
          <w:sz w:val="24"/>
          <w:szCs w:val="24"/>
          <w:lang w:val="en-GB"/>
        </w:rPr>
        <w:t xml:space="preserve">Formula: </w:t>
      </w:r>
      <w:r w:rsidRPr="3BDB421E" w:rsidR="3161D780">
        <w:rPr>
          <w:rFonts w:ascii="Times New Roman" w:hAnsi="Times New Roman" w:eastAsia="Times New Roman" w:cs="Times New Roman"/>
          <w:b w:val="1"/>
          <w:bCs w:val="1"/>
          <w:noProof w:val="0"/>
          <w:sz w:val="24"/>
          <w:szCs w:val="24"/>
          <w:lang w:val="en-GB"/>
        </w:rPr>
        <w:t xml:space="preserve">Current Ratio = </w:t>
      </w:r>
      <m:oMathPara xmlns:m="http://schemas.openxmlformats.org/officeDocument/2006/math">
        <m:oMath xmlns:m="http://schemas.openxmlformats.org/officeDocument/2006/math">
          <m:f xmlns:m="http://schemas.openxmlformats.org/officeDocument/2006/math">
            <m:fPr>
              <m:ctrlPr/>
            </m:fPr>
            <m:num>
              <m:r>
                <m:t>𝐶𝑢𝑟𝑟𝑒𝑛𝑡</m:t>
              </m:r>
              <m:r>
                <m:t> </m:t>
              </m:r>
              <m:r>
                <m:t>𝐴𝑠𝑠𝑒𝑡𝑠</m:t>
              </m:r>
            </m:num>
            <m:den>
              <m:r>
                <m:t>𝐶𝑢𝑟𝑟𝑒𝑛𝑡</m:t>
              </m:r>
              <m:r>
                <m:t> </m:t>
              </m:r>
              <m:r>
                <m:t>𝐿𝑖𝑎𝑏𝑖𝑙𝑖𝑡𝑖𝑒𝑠</m:t>
              </m:r>
            </m:den>
          </m:f>
        </m:oMath>
      </m:oMathPara>
    </w:p>
    <w:p w:rsidR="28FB813A" w:rsidP="3BDB421E" w:rsidRDefault="28FB813A" w14:paraId="32CCC389" w14:textId="36F9426A">
      <w:pPr>
        <w:pStyle w:val="Normal"/>
        <w:rPr>
          <w:rFonts w:ascii="Times New Roman" w:hAnsi="Times New Roman" w:eastAsia="Times New Roman" w:cs="Times New Roman"/>
          <w:noProof w:val="0"/>
          <w:sz w:val="24"/>
          <w:szCs w:val="24"/>
          <w:lang w:val="en-GB"/>
        </w:rPr>
      </w:pPr>
      <w:r w:rsidRPr="3BDB421E" w:rsidR="28FB813A">
        <w:rPr>
          <w:rFonts w:ascii="Times New Roman" w:hAnsi="Times New Roman" w:eastAsia="Times New Roman" w:cs="Times New Roman"/>
          <w:noProof w:val="0"/>
          <w:sz w:val="24"/>
          <w:szCs w:val="24"/>
          <w:lang w:val="en-GB"/>
        </w:rPr>
        <w:t xml:space="preserve">Current Assets = </w:t>
      </w:r>
      <w:r w:rsidRPr="3BDB421E" w:rsidR="28FB813A">
        <w:rPr>
          <w:rFonts w:ascii="Times New Roman" w:hAnsi="Times New Roman" w:eastAsia="Times New Roman" w:cs="Times New Roman"/>
          <w:b w:val="1"/>
          <w:bCs w:val="1"/>
          <w:noProof w:val="0"/>
          <w:sz w:val="24"/>
          <w:szCs w:val="24"/>
          <w:lang w:val="en-GB"/>
        </w:rPr>
        <w:t>$78,520 million</w:t>
      </w:r>
    </w:p>
    <w:p w:rsidR="28FB813A" w:rsidP="3BDB421E" w:rsidRDefault="28FB813A" w14:paraId="1FE9841D" w14:textId="758D82E7">
      <w:pPr>
        <w:pStyle w:val="Normal"/>
        <w:rPr>
          <w:rFonts w:ascii="Times New Roman" w:hAnsi="Times New Roman" w:eastAsia="Times New Roman" w:cs="Times New Roman"/>
          <w:noProof w:val="0"/>
          <w:sz w:val="24"/>
          <w:szCs w:val="24"/>
          <w:lang w:val="en-GB"/>
        </w:rPr>
      </w:pPr>
      <w:r w:rsidRPr="3BDB421E" w:rsidR="28FB813A">
        <w:rPr>
          <w:rFonts w:ascii="Times New Roman" w:hAnsi="Times New Roman" w:eastAsia="Times New Roman" w:cs="Times New Roman"/>
          <w:noProof w:val="0"/>
          <w:sz w:val="24"/>
          <w:szCs w:val="24"/>
          <w:lang w:val="en-GB"/>
        </w:rPr>
        <w:t xml:space="preserve">Current Liabilities = </w:t>
      </w:r>
      <w:r w:rsidRPr="3BDB421E" w:rsidR="28FB813A">
        <w:rPr>
          <w:rFonts w:ascii="Times New Roman" w:hAnsi="Times New Roman" w:eastAsia="Times New Roman" w:cs="Times New Roman"/>
          <w:b w:val="1"/>
          <w:bCs w:val="1"/>
          <w:noProof w:val="0"/>
          <w:sz w:val="24"/>
          <w:szCs w:val="24"/>
          <w:lang w:val="en-GB"/>
        </w:rPr>
        <w:t>$36,400 million</w:t>
      </w:r>
    </w:p>
    <w:p w:rsidR="28FB813A" w:rsidP="3BDB421E" w:rsidRDefault="28FB813A" w14:paraId="70B85D10" w14:textId="57222471">
      <w:pPr>
        <w:pStyle w:val="Normal"/>
        <w:rPr>
          <w:rFonts w:ascii="Times New Roman" w:hAnsi="Times New Roman" w:eastAsia="Times New Roman" w:cs="Times New Roman"/>
          <w:b w:val="0"/>
          <w:bCs w:val="0"/>
          <w:noProof w:val="0"/>
          <w:sz w:val="24"/>
          <w:szCs w:val="24"/>
          <w:lang w:val="en-GB"/>
        </w:rPr>
      </w:pPr>
      <w:r w:rsidRPr="3BDB421E" w:rsidR="28FB813A">
        <w:rPr>
          <w:rFonts w:ascii="Times New Roman" w:hAnsi="Times New Roman" w:eastAsia="Times New Roman" w:cs="Times New Roman"/>
          <w:b w:val="0"/>
          <w:bCs w:val="0"/>
          <w:noProof w:val="0"/>
          <w:sz w:val="24"/>
          <w:szCs w:val="24"/>
          <w:lang w:val="en-GB"/>
        </w:rPr>
        <w:t xml:space="preserve">Current Ratio = </w:t>
      </w:r>
      <m:oMathPara xmlns:m="http://schemas.openxmlformats.org/officeDocument/2006/math">
        <m:oMath xmlns:m="http://schemas.openxmlformats.org/officeDocument/2006/math">
          <m:f xmlns:m="http://schemas.openxmlformats.org/officeDocument/2006/math">
            <m:fPr>
              <m:ctrlPr/>
            </m:fPr>
            <m:num>
              <m:r>
                <m:t>78,520</m:t>
              </m:r>
            </m:num>
            <m:den>
              <m:r>
                <m:t>36,400</m:t>
              </m:r>
            </m:den>
          </m:f>
        </m:oMath>
      </m:oMathPara>
      <w:r w:rsidRPr="3BDB421E" w:rsidR="092F1C48">
        <w:rPr>
          <w:rFonts w:ascii="Times New Roman" w:hAnsi="Times New Roman" w:eastAsia="Times New Roman" w:cs="Times New Roman"/>
          <w:b w:val="0"/>
          <w:bCs w:val="0"/>
          <w:noProof w:val="0"/>
          <w:sz w:val="24"/>
          <w:szCs w:val="24"/>
          <w:lang w:val="en-GB"/>
        </w:rPr>
        <w:t xml:space="preserve"> </w:t>
      </w:r>
    </w:p>
    <w:p w:rsidR="092F1C48" w:rsidP="3BDB421E" w:rsidRDefault="092F1C48" w14:paraId="172A6BB3" w14:textId="7E661F52">
      <w:pPr>
        <w:pStyle w:val="Normal"/>
        <w:rPr>
          <w:rFonts w:ascii="Times New Roman" w:hAnsi="Times New Roman" w:eastAsia="Times New Roman" w:cs="Times New Roman"/>
          <w:b w:val="0"/>
          <w:bCs w:val="0"/>
          <w:noProof w:val="0"/>
          <w:sz w:val="24"/>
          <w:szCs w:val="24"/>
          <w:lang w:val="en-GB"/>
        </w:rPr>
      </w:pPr>
      <w:r w:rsidRPr="3BDB421E" w:rsidR="092F1C48">
        <w:rPr>
          <w:rFonts w:ascii="Times New Roman" w:hAnsi="Times New Roman" w:eastAsia="Times New Roman" w:cs="Times New Roman"/>
          <w:b w:val="0"/>
          <w:bCs w:val="0"/>
          <w:noProof w:val="0"/>
          <w:sz w:val="24"/>
          <w:szCs w:val="24"/>
          <w:lang w:val="en-GB"/>
        </w:rPr>
        <w:t xml:space="preserve"> = </w:t>
      </w:r>
      <w:r w:rsidRPr="3BDB421E" w:rsidR="092F1C48">
        <w:rPr>
          <w:rFonts w:ascii="Times New Roman" w:hAnsi="Times New Roman" w:eastAsia="Times New Roman" w:cs="Times New Roman"/>
          <w:b w:val="1"/>
          <w:bCs w:val="1"/>
          <w:noProof w:val="0"/>
          <w:sz w:val="24"/>
          <w:szCs w:val="24"/>
          <w:lang w:val="en-GB"/>
        </w:rPr>
        <w:t>2.16</w:t>
      </w:r>
    </w:p>
    <w:p w:rsidR="092F1C48" w:rsidP="3BDB421E" w:rsidRDefault="092F1C48" w14:paraId="1D7831A1" w14:textId="2EAD6B89">
      <w:pPr>
        <w:pStyle w:val="Normal"/>
        <w:rPr>
          <w:rFonts w:ascii="Times New Roman" w:hAnsi="Times New Roman" w:eastAsia="Times New Roman" w:cs="Times New Roman"/>
          <w:b w:val="1"/>
          <w:bCs w:val="1"/>
          <w:noProof w:val="0"/>
          <w:sz w:val="24"/>
          <w:szCs w:val="24"/>
          <w:lang w:val="en-GB"/>
        </w:rPr>
      </w:pPr>
      <w:r w:rsidRPr="3BDB421E" w:rsidR="092F1C48">
        <w:rPr>
          <w:rFonts w:ascii="Times New Roman" w:hAnsi="Times New Roman" w:eastAsia="Times New Roman" w:cs="Times New Roman"/>
          <w:b w:val="1"/>
          <w:bCs w:val="1"/>
          <w:noProof w:val="0"/>
          <w:sz w:val="24"/>
          <w:szCs w:val="24"/>
          <w:lang w:val="en-GB"/>
        </w:rPr>
        <w:t>Current Ratio = 2.16</w:t>
      </w:r>
    </w:p>
    <w:p w:rsidR="092F1C48" w:rsidP="3BDB421E" w:rsidRDefault="092F1C48" w14:paraId="321A8C0B" w14:textId="1EDFDE07">
      <w:pPr>
        <w:pStyle w:val="ListParagraph"/>
        <w:numPr>
          <w:ilvl w:val="0"/>
          <w:numId w:val="7"/>
        </w:numPr>
        <w:rPr>
          <w:rFonts w:ascii="Times New Roman" w:hAnsi="Times New Roman" w:eastAsia="Times New Roman" w:cs="Times New Roman"/>
          <w:b w:val="1"/>
          <w:bCs w:val="1"/>
          <w:noProof w:val="0"/>
          <w:sz w:val="24"/>
          <w:szCs w:val="24"/>
          <w:lang w:val="en-GB"/>
        </w:rPr>
      </w:pPr>
      <w:r w:rsidRPr="3BDB421E" w:rsidR="092F1C48">
        <w:rPr>
          <w:rFonts w:ascii="Times New Roman" w:hAnsi="Times New Roman" w:eastAsia="Times New Roman" w:cs="Times New Roman"/>
          <w:b w:val="1"/>
          <w:bCs w:val="1"/>
          <w:noProof w:val="0"/>
          <w:sz w:val="24"/>
          <w:szCs w:val="24"/>
          <w:lang w:val="en-GB"/>
        </w:rPr>
        <w:t>Quick Ratio</w:t>
      </w:r>
    </w:p>
    <w:p w:rsidR="092F1C48" w:rsidP="3BDB421E" w:rsidRDefault="092F1C48" w14:paraId="39BAB8A8" w14:textId="355290B9">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1"/>
          <w:iCs w:val="1"/>
          <w:noProof w:val="0"/>
          <w:sz w:val="24"/>
          <w:szCs w:val="24"/>
          <w:lang w:val="en-GB"/>
        </w:rPr>
      </w:pPr>
      <w:r w:rsidRPr="3BDB421E" w:rsidR="092F1C48">
        <w:rPr>
          <w:rFonts w:ascii="Times New Roman" w:hAnsi="Times New Roman" w:eastAsia="Times New Roman" w:cs="Times New Roman"/>
          <w:b w:val="1"/>
          <w:bCs w:val="1"/>
          <w:noProof w:val="0"/>
          <w:sz w:val="24"/>
          <w:szCs w:val="24"/>
          <w:lang w:val="en-GB"/>
        </w:rPr>
        <w:t xml:space="preserve">Formula: </w:t>
      </w:r>
      <w:r w:rsidRPr="3BDB421E" w:rsidR="092F1C48">
        <w:rPr>
          <w:rFonts w:ascii="Times New Roman" w:hAnsi="Times New Roman" w:eastAsia="Times New Roman" w:cs="Times New Roman"/>
          <w:b w:val="1"/>
          <w:bCs w:val="1"/>
          <w:i w:val="1"/>
          <w:iCs w:val="1"/>
          <w:noProof w:val="0"/>
          <w:sz w:val="24"/>
          <w:szCs w:val="24"/>
          <w:lang w:val="en-GB"/>
        </w:rPr>
        <w:t xml:space="preserve">Quick Ratio = </w:t>
      </w:r>
      <m:oMathPara xmlns:m="http://schemas.openxmlformats.org/officeDocument/2006/math">
        <m:oMath xmlns:m="http://schemas.openxmlformats.org/officeDocument/2006/math">
          <m:f xmlns:m="http://schemas.openxmlformats.org/officeDocument/2006/math">
            <m:fPr>
              <m:ctrlPr/>
            </m:fPr>
            <m:num>
              <m:r>
                <m:t>𝐶𝑢𝑟𝑟𝑒𝑛𝑡</m:t>
              </m:r>
              <m:r>
                <m:t> </m:t>
              </m:r>
              <m:r>
                <m:t>𝐴𝑠𝑠𝑒𝑡𝑠</m:t>
              </m:r>
              <m:r>
                <m:t>−</m:t>
              </m:r>
              <m:r>
                <m:t>𝐼𝑛𝑣𝑒𝑛𝑡𝑜𝑟𝑦</m:t>
              </m:r>
            </m:num>
            <m:den>
              <m:r>
                <m:t>𝐶𝑢𝑟𝑟𝑒𝑛𝑡</m:t>
              </m:r>
              <m:r>
                <m:t> </m:t>
              </m:r>
              <m:r>
                <m:t>𝐿𝑖𝑎𝑏𝑖𝑙𝑖𝑡𝑖𝑒𝑠</m:t>
              </m:r>
            </m:den>
          </m:f>
        </m:oMath>
      </m:oMathPara>
    </w:p>
    <w:p w:rsidR="6508FCFD" w:rsidP="3BDB421E" w:rsidRDefault="6508FCFD" w14:paraId="71CDB26F" w14:textId="16F923DB">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6508FCFD">
        <w:rPr>
          <w:rFonts w:ascii="Times New Roman" w:hAnsi="Times New Roman" w:eastAsia="Times New Roman" w:cs="Times New Roman"/>
          <w:b w:val="0"/>
          <w:bCs w:val="0"/>
          <w:i w:val="0"/>
          <w:iCs w:val="0"/>
          <w:noProof w:val="0"/>
          <w:sz w:val="24"/>
          <w:szCs w:val="24"/>
          <w:lang w:val="en-GB"/>
        </w:rPr>
        <w:t xml:space="preserve">Inventory = </w:t>
      </w:r>
      <w:r w:rsidRPr="3BDB421E" w:rsidR="6508FCFD">
        <w:rPr>
          <w:rFonts w:ascii="Times New Roman" w:hAnsi="Times New Roman" w:eastAsia="Times New Roman" w:cs="Times New Roman"/>
          <w:b w:val="1"/>
          <w:bCs w:val="1"/>
          <w:i w:val="0"/>
          <w:iCs w:val="0"/>
          <w:noProof w:val="0"/>
          <w:sz w:val="24"/>
          <w:szCs w:val="24"/>
          <w:lang w:val="en-GB"/>
        </w:rPr>
        <w:t>$22,800 million</w:t>
      </w:r>
    </w:p>
    <w:p w:rsidR="6508FCFD" w:rsidP="3BDB421E" w:rsidRDefault="6508FCFD" w14:paraId="51D57C6A" w14:textId="6C400394">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6508FCFD">
        <w:rPr>
          <w:rFonts w:ascii="Times New Roman" w:hAnsi="Times New Roman" w:eastAsia="Times New Roman" w:cs="Times New Roman"/>
          <w:b w:val="1"/>
          <w:bCs w:val="1"/>
          <w:i w:val="0"/>
          <w:iCs w:val="0"/>
          <w:noProof w:val="0"/>
          <w:sz w:val="24"/>
          <w:szCs w:val="24"/>
          <w:lang w:val="en-GB"/>
        </w:rPr>
        <w:t>Step 1</w:t>
      </w:r>
    </w:p>
    <w:p w:rsidR="6508FCFD" w:rsidP="3BDB421E" w:rsidRDefault="6508FCFD" w14:paraId="529751F3" w14:textId="26190C4C">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6508FCFD">
        <w:rPr>
          <w:rFonts w:ascii="Times New Roman" w:hAnsi="Times New Roman" w:eastAsia="Times New Roman" w:cs="Times New Roman"/>
          <w:b w:val="0"/>
          <w:bCs w:val="0"/>
          <w:i w:val="0"/>
          <w:iCs w:val="0"/>
          <w:noProof w:val="0"/>
          <w:sz w:val="24"/>
          <w:szCs w:val="24"/>
          <w:lang w:val="en-GB"/>
        </w:rPr>
        <w:t>78,520 – 22,800 = 55,720</w:t>
      </w:r>
    </w:p>
    <w:p w:rsidR="6508FCFD" w:rsidP="3BDB421E" w:rsidRDefault="6508FCFD" w14:paraId="1D48691F" w14:textId="5F5F1682">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6508FCFD">
        <w:rPr>
          <w:rFonts w:ascii="Times New Roman" w:hAnsi="Times New Roman" w:eastAsia="Times New Roman" w:cs="Times New Roman"/>
          <w:b w:val="0"/>
          <w:bCs w:val="0"/>
          <w:i w:val="0"/>
          <w:iCs w:val="0"/>
          <w:noProof w:val="0"/>
          <w:sz w:val="24"/>
          <w:szCs w:val="24"/>
          <w:lang w:val="en-GB"/>
        </w:rPr>
        <w:t>Step 2</w:t>
      </w:r>
    </w:p>
    <w:p w:rsidR="3BDB421E" w:rsidP="3BDB421E" w:rsidRDefault="3BDB421E" w14:paraId="2CD2766F" w14:textId="3D84FB98">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m:oMathPara xmlns:m="http://schemas.openxmlformats.org/officeDocument/2006/math">
        <m:oMath xmlns:m="http://schemas.openxmlformats.org/officeDocument/2006/math">
          <m:r xmlns:m="http://schemas.openxmlformats.org/officeDocument/2006/math">
            <m:t xmlns:m="http://schemas.openxmlformats.org/officeDocument/2006/math">𝑄𝑢𝑖𝑐𝑘</m:t>
          </m:r>
          <m:r xmlns:m="http://schemas.openxmlformats.org/officeDocument/2006/math">
            <m:t xmlns:m="http://schemas.openxmlformats.org/officeDocument/2006/math"> </m:t>
          </m:r>
          <m:r xmlns:m="http://schemas.openxmlformats.org/officeDocument/2006/math">
            <m:t xmlns:m="http://schemas.openxmlformats.org/officeDocument/2006/math">𝑅𝑎𝑡𝑖𝑜</m:t>
          </m:r>
          <m:f xmlns:m="http://schemas.openxmlformats.org/officeDocument/2006/math">
            <m:fPr>
              <m:ctrlPr/>
            </m:fPr>
            <m:num>
              <m:r>
                <m:t>55,720</m:t>
              </m:r>
            </m:num>
            <m:den>
              <m:r>
                <m:t>36,400</m:t>
              </m:r>
            </m:den>
          </m:f>
        </m:oMath>
      </m:oMathPara>
      <w:r w:rsidRPr="3BDB421E" w:rsidR="6508FCFD">
        <w:rPr>
          <w:rFonts w:ascii="Times New Roman" w:hAnsi="Times New Roman" w:eastAsia="Times New Roman" w:cs="Times New Roman"/>
          <w:b w:val="0"/>
          <w:bCs w:val="0"/>
          <w:i w:val="0"/>
          <w:iCs w:val="0"/>
          <w:noProof w:val="0"/>
          <w:sz w:val="24"/>
          <w:szCs w:val="24"/>
          <w:lang w:val="en-GB"/>
        </w:rPr>
        <w:t xml:space="preserve"> </w:t>
      </w:r>
    </w:p>
    <w:p w:rsidR="171AAC9D" w:rsidP="3BDB421E" w:rsidRDefault="171AAC9D" w14:paraId="05B3BDE3" w14:textId="4ABF7C1A">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171AAC9D">
        <w:rPr>
          <w:rFonts w:ascii="Times New Roman" w:hAnsi="Times New Roman" w:eastAsia="Times New Roman" w:cs="Times New Roman"/>
          <w:b w:val="1"/>
          <w:bCs w:val="1"/>
          <w:i w:val="0"/>
          <w:iCs w:val="0"/>
          <w:noProof w:val="0"/>
          <w:sz w:val="24"/>
          <w:szCs w:val="24"/>
          <w:lang w:val="en-GB"/>
        </w:rPr>
        <w:t>Quick Ratio = 1.53</w:t>
      </w:r>
    </w:p>
    <w:p w:rsidR="171AAC9D" w:rsidP="3BDB421E" w:rsidRDefault="171AAC9D" w14:paraId="33FA9B0F" w14:textId="6935106A">
      <w:pPr>
        <w:pStyle w:val="ListParagraph"/>
        <w:numPr>
          <w:ilvl w:val="0"/>
          <w:numId w:val="3"/>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8"/>
          <w:szCs w:val="28"/>
          <w:lang w:val="en-GB"/>
        </w:rPr>
      </w:pPr>
      <w:r w:rsidRPr="3BDB421E" w:rsidR="171AAC9D">
        <w:rPr>
          <w:rFonts w:ascii="Times New Roman" w:hAnsi="Times New Roman" w:eastAsia="Times New Roman" w:cs="Times New Roman"/>
          <w:b w:val="1"/>
          <w:bCs w:val="1"/>
          <w:i w:val="0"/>
          <w:iCs w:val="0"/>
          <w:noProof w:val="0"/>
          <w:sz w:val="28"/>
          <w:szCs w:val="28"/>
          <w:lang w:val="en-GB"/>
        </w:rPr>
        <w:t xml:space="preserve">Efficiency </w:t>
      </w:r>
      <w:r w:rsidRPr="3BDB421E" w:rsidR="5E238F90">
        <w:rPr>
          <w:rFonts w:ascii="Times New Roman" w:hAnsi="Times New Roman" w:eastAsia="Times New Roman" w:cs="Times New Roman"/>
          <w:b w:val="1"/>
          <w:bCs w:val="1"/>
          <w:i w:val="0"/>
          <w:iCs w:val="0"/>
          <w:noProof w:val="0"/>
          <w:sz w:val="28"/>
          <w:szCs w:val="28"/>
          <w:lang w:val="en-GB"/>
        </w:rPr>
        <w:t>Ratios</w:t>
      </w:r>
    </w:p>
    <w:p w:rsidR="171AAC9D" w:rsidP="3BDB421E" w:rsidRDefault="171AAC9D" w14:paraId="53AF42C5" w14:textId="353C069E">
      <w:pPr>
        <w:pStyle w:val="ListParagraph"/>
        <w:numPr>
          <w:ilvl w:val="0"/>
          <w:numId w:val="8"/>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171AAC9D">
        <w:rPr>
          <w:rFonts w:ascii="Times New Roman" w:hAnsi="Times New Roman" w:eastAsia="Times New Roman" w:cs="Times New Roman"/>
          <w:b w:val="1"/>
          <w:bCs w:val="1"/>
          <w:i w:val="0"/>
          <w:iCs w:val="0"/>
          <w:noProof w:val="0"/>
          <w:sz w:val="24"/>
          <w:szCs w:val="24"/>
          <w:lang w:val="en-GB"/>
        </w:rPr>
        <w:t>Asset Turnover</w:t>
      </w:r>
    </w:p>
    <w:p w:rsidR="171AAC9D" w:rsidP="3BDB421E" w:rsidRDefault="171AAC9D" w14:paraId="7819B962" w14:textId="1F45C73B">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1"/>
          <w:iCs w:val="1"/>
          <w:noProof w:val="0"/>
          <w:sz w:val="24"/>
          <w:szCs w:val="24"/>
          <w:lang w:val="en-GB"/>
        </w:rPr>
      </w:pPr>
      <w:r w:rsidRPr="3BDB421E" w:rsidR="171AAC9D">
        <w:rPr>
          <w:rFonts w:ascii="Times New Roman" w:hAnsi="Times New Roman" w:eastAsia="Times New Roman" w:cs="Times New Roman"/>
          <w:b w:val="1"/>
          <w:bCs w:val="1"/>
          <w:i w:val="1"/>
          <w:iCs w:val="1"/>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𝐴𝑠𝑠𝑒𝑡</m:t>
          </m:r>
          <m:r xmlns:m="http://schemas.openxmlformats.org/officeDocument/2006/math">
            <m:t xmlns:m="http://schemas.openxmlformats.org/officeDocument/2006/math"> </m:t>
          </m:r>
          <m:r xmlns:m="http://schemas.openxmlformats.org/officeDocument/2006/math">
            <m:t xmlns:m="http://schemas.openxmlformats.org/officeDocument/2006/math">𝑇𝑢𝑟𝑛𝑜𝑣𝑒𝑟</m:t>
          </m:r>
          <m:r xmlns:m="http://schemas.openxmlformats.org/officeDocument/2006/math">
            <m:t xmlns:m="http://schemas.openxmlformats.org/officeDocument/2006/math">=</m:t>
          </m:r>
          <m:f xmlns:m="http://schemas.openxmlformats.org/officeDocument/2006/math">
            <m:fPr>
              <m:ctrlPr/>
            </m:fPr>
            <m:num>
              <m:r>
                <m:t>𝑅𝑒𝑣𝑒𝑛𝑢𝑒</m:t>
              </m:r>
            </m:num>
            <m:den>
              <m:r>
                <m:t>𝐶𝑎𝑝𝑖𝑡𝑎𝑙</m:t>
              </m:r>
              <m:r>
                <m:t> </m:t>
              </m:r>
              <m:r>
                <m:t>𝐸𝑚𝑝𝑙𝑜𝑦𝑒𝑑</m:t>
              </m:r>
            </m:den>
          </m:f>
        </m:oMath>
      </m:oMathPara>
    </w:p>
    <w:p w:rsidR="66F48C22" w:rsidP="3BDB421E" w:rsidRDefault="66F48C22" w14:paraId="3A12A2E7" w14:textId="4BE4FD69">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66F48C22">
        <w:rPr>
          <w:rFonts w:ascii="Times New Roman" w:hAnsi="Times New Roman" w:eastAsia="Times New Roman" w:cs="Times New Roman"/>
          <w:b w:val="0"/>
          <w:bCs w:val="0"/>
          <w:i w:val="0"/>
          <w:iCs w:val="0"/>
          <w:noProof w:val="0"/>
          <w:sz w:val="24"/>
          <w:szCs w:val="24"/>
          <w:lang w:val="en-GB"/>
        </w:rPr>
        <w:t>Revenue = 97,670</w:t>
      </w:r>
    </w:p>
    <w:p w:rsidR="66F48C22" w:rsidP="3BDB421E" w:rsidRDefault="66F48C22" w14:paraId="24261375" w14:textId="2F923C71">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66F48C22">
        <w:rPr>
          <w:rFonts w:ascii="Times New Roman" w:hAnsi="Times New Roman" w:eastAsia="Times New Roman" w:cs="Times New Roman"/>
          <w:b w:val="0"/>
          <w:bCs w:val="0"/>
          <w:i w:val="0"/>
          <w:iCs w:val="0"/>
          <w:noProof w:val="0"/>
          <w:sz w:val="24"/>
          <w:szCs w:val="24"/>
          <w:lang w:val="en-GB"/>
        </w:rPr>
        <w:t>Capital Employed = 109,700</w:t>
      </w:r>
    </w:p>
    <w:p w:rsidR="3BDB421E" w:rsidP="3BDB421E" w:rsidRDefault="3BDB421E" w14:paraId="5929BEE7" w14:textId="731A7680">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p>
    <w:p w:rsidR="3BDB421E" w:rsidP="3BDB421E" w:rsidRDefault="3BDB421E" w14:paraId="35D37541" w14:textId="670E75D9">
      <w:pPr>
        <w:pStyle w:val="Normal"/>
        <w:suppressLineNumbers w:val="0"/>
        <w:bidi w:val="0"/>
        <w:spacing w:before="120" w:beforeAutospacing="off" w:after="120" w:afterAutospacing="off" w:line="360" w:lineRule="auto"/>
        <w:ind w:left="0" w:right="0"/>
        <w:jc w:val="both"/>
      </w:pPr>
      <m:oMathPara xmlns:m="http://schemas.openxmlformats.org/officeDocument/2006/math">
        <m:oMath xmlns:m="http://schemas.openxmlformats.org/officeDocument/2006/math">
          <m:r xmlns:m="http://schemas.openxmlformats.org/officeDocument/2006/math">
            <m:t xmlns:m="http://schemas.openxmlformats.org/officeDocument/2006/math">𝐴𝑠𝑠𝑒𝑡</m:t>
          </m:r>
          <m:r xmlns:m="http://schemas.openxmlformats.org/officeDocument/2006/math">
            <m:t xmlns:m="http://schemas.openxmlformats.org/officeDocument/2006/math"> </m:t>
          </m:r>
          <m:r xmlns:m="http://schemas.openxmlformats.org/officeDocument/2006/math">
            <m:t xmlns:m="http://schemas.openxmlformats.org/officeDocument/2006/math">𝑇𝑢𝑟𝑛𝑜𝑣𝑒𝑟</m:t>
          </m:r>
          <m:r xmlns:m="http://schemas.openxmlformats.org/officeDocument/2006/math">
            <m:t xmlns:m="http://schemas.openxmlformats.org/officeDocument/2006/math">=</m:t>
          </m:r>
          <m:f xmlns:m="http://schemas.openxmlformats.org/officeDocument/2006/math">
            <m:fPr>
              <m:ctrlPr/>
            </m:fPr>
            <m:num>
              <m:r>
                <m:t>97,690</m:t>
              </m:r>
            </m:num>
            <m:den>
              <m:r>
                <m:t>109,700</m:t>
              </m:r>
            </m:den>
          </m:f>
        </m:oMath>
      </m:oMathPara>
    </w:p>
    <w:p w:rsidR="53314463" w:rsidP="3BDB421E" w:rsidRDefault="53314463" w14:paraId="18D792D7" w14:textId="5DB57BEF">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53314463">
        <w:rPr>
          <w:rFonts w:ascii="Times New Roman" w:hAnsi="Times New Roman" w:eastAsia="Times New Roman" w:cs="Times New Roman"/>
          <w:b w:val="0"/>
          <w:bCs w:val="0"/>
          <w:i w:val="0"/>
          <w:iCs w:val="0"/>
          <w:noProof w:val="0"/>
          <w:sz w:val="24"/>
          <w:szCs w:val="24"/>
          <w:lang w:val="en-GB"/>
        </w:rPr>
        <w:t xml:space="preserve">= </w:t>
      </w:r>
      <w:r w:rsidRPr="3BDB421E" w:rsidR="53314463">
        <w:rPr>
          <w:rFonts w:ascii="Times New Roman" w:hAnsi="Times New Roman" w:eastAsia="Times New Roman" w:cs="Times New Roman"/>
          <w:b w:val="1"/>
          <w:bCs w:val="1"/>
          <w:i w:val="0"/>
          <w:iCs w:val="0"/>
          <w:noProof w:val="0"/>
          <w:sz w:val="24"/>
          <w:szCs w:val="24"/>
          <w:lang w:val="en-GB"/>
        </w:rPr>
        <w:t>0.</w:t>
      </w:r>
      <w:r w:rsidRPr="3BDB421E" w:rsidR="53314463">
        <w:rPr>
          <w:rFonts w:ascii="Times New Roman" w:hAnsi="Times New Roman" w:eastAsia="Times New Roman" w:cs="Times New Roman"/>
          <w:b w:val="1"/>
          <w:bCs w:val="1"/>
          <w:i w:val="0"/>
          <w:iCs w:val="0"/>
          <w:noProof w:val="0"/>
          <w:sz w:val="24"/>
          <w:szCs w:val="24"/>
          <w:lang w:val="en-GB"/>
        </w:rPr>
        <w:t>8</w:t>
      </w:r>
      <w:r w:rsidRPr="3BDB421E" w:rsidR="53314463">
        <w:rPr>
          <w:rFonts w:ascii="Times New Roman" w:hAnsi="Times New Roman" w:eastAsia="Times New Roman" w:cs="Times New Roman"/>
          <w:b w:val="1"/>
          <w:bCs w:val="1"/>
          <w:i w:val="0"/>
          <w:iCs w:val="0"/>
          <w:noProof w:val="0"/>
          <w:sz w:val="24"/>
          <w:szCs w:val="24"/>
          <w:lang w:val="en-GB"/>
        </w:rPr>
        <w:t>9</w:t>
      </w:r>
    </w:p>
    <w:p w:rsidR="53314463" w:rsidP="3BDB421E" w:rsidRDefault="53314463" w14:paraId="172F8DDB" w14:textId="2F41B6A5">
      <w:pPr>
        <w:pStyle w:val="ListParagraph"/>
        <w:numPr>
          <w:ilvl w:val="0"/>
          <w:numId w:val="8"/>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53314463">
        <w:rPr>
          <w:rFonts w:ascii="Times New Roman" w:hAnsi="Times New Roman" w:eastAsia="Times New Roman" w:cs="Times New Roman"/>
          <w:b w:val="1"/>
          <w:bCs w:val="1"/>
          <w:i w:val="0"/>
          <w:iCs w:val="0"/>
          <w:noProof w:val="0"/>
          <w:sz w:val="24"/>
          <w:szCs w:val="24"/>
          <w:lang w:val="en-GB"/>
        </w:rPr>
        <w:t>Inventory Turnover</w:t>
      </w:r>
    </w:p>
    <w:p w:rsidR="53314463" w:rsidP="3BDB421E" w:rsidRDefault="53314463" w14:paraId="7897B965" w14:textId="07EEE440">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53314463">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𝐼𝑛𝑣𝑒𝑛𝑡𝑜𝑟𝑦</m:t>
          </m:r>
          <m:r xmlns:m="http://schemas.openxmlformats.org/officeDocument/2006/math">
            <m:t xmlns:m="http://schemas.openxmlformats.org/officeDocument/2006/math"> </m:t>
          </m:r>
          <m:r xmlns:m="http://schemas.openxmlformats.org/officeDocument/2006/math">
            <m:t xmlns:m="http://schemas.openxmlformats.org/officeDocument/2006/math">𝑇𝑢𝑟𝑛𝑜𝑣𝑒𝑟</m:t>
          </m:r>
          <m:r xmlns:m="http://schemas.openxmlformats.org/officeDocument/2006/math">
            <m:t xmlns:m="http://schemas.openxmlformats.org/officeDocument/2006/math">=</m:t>
          </m:r>
          <m:f xmlns:m="http://schemas.openxmlformats.org/officeDocument/2006/math">
            <m:fPr>
              <m:ctrlPr/>
            </m:fPr>
            <m:num>
              <m:r>
                <m:t>𝐶𝑜𝑠𝑡</m:t>
              </m:r>
              <m:r>
                <m:t> </m:t>
              </m:r>
              <m:r>
                <m:t>𝑜𝑓</m:t>
              </m:r>
              <m:r>
                <m:t> </m:t>
              </m:r>
              <m:r>
                <m:t>𝑆𝑎𝑙𝑒𝑠</m:t>
              </m:r>
            </m:num>
            <m:den>
              <m:r>
                <m:t>𝐴𝑣𝑒𝑟𝑎𝑔𝑒</m:t>
              </m:r>
              <m:r>
                <m:t> </m:t>
              </m:r>
              <m:r>
                <m:t>𝐼𝑛𝑣𝑒𝑛𝑡𝑜𝑟𝑦</m:t>
              </m:r>
            </m:den>
          </m:f>
        </m:oMath>
      </m:oMathPara>
    </w:p>
    <w:p w:rsidR="57384B80" w:rsidP="3BDB421E" w:rsidRDefault="57384B80" w14:paraId="500F4E83" w14:textId="7A895613">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57384B80">
        <w:rPr>
          <w:rFonts w:ascii="Times New Roman" w:hAnsi="Times New Roman" w:eastAsia="Times New Roman" w:cs="Times New Roman"/>
          <w:b w:val="0"/>
          <w:bCs w:val="0"/>
          <w:i w:val="0"/>
          <w:iCs w:val="0"/>
          <w:noProof w:val="0"/>
          <w:sz w:val="24"/>
          <w:szCs w:val="24"/>
          <w:lang w:val="en-GB"/>
        </w:rPr>
        <w:t>Cost of Sales = $143,200 million</w:t>
      </w:r>
    </w:p>
    <w:p w:rsidR="57384B80" w:rsidP="3BDB421E" w:rsidRDefault="57384B80" w14:paraId="3B62575C" w14:textId="405F4F10">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57384B80">
        <w:rPr>
          <w:rFonts w:ascii="Times New Roman" w:hAnsi="Times New Roman" w:eastAsia="Times New Roman" w:cs="Times New Roman"/>
          <w:b w:val="0"/>
          <w:bCs w:val="0"/>
          <w:i w:val="0"/>
          <w:iCs w:val="0"/>
          <w:noProof w:val="0"/>
          <w:sz w:val="24"/>
          <w:szCs w:val="24"/>
          <w:lang w:val="en-GB"/>
        </w:rPr>
        <w:t>Average Inventory = $22,840 million</w:t>
      </w:r>
    </w:p>
    <w:p w:rsidR="3BDB421E" w:rsidP="3BDB421E" w:rsidRDefault="3BDB421E" w14:paraId="7F27B5A2" w14:textId="579D1092">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m:oMathPara xmlns:m="http://schemas.openxmlformats.org/officeDocument/2006/math">
        <m:oMath xmlns:m="http://schemas.openxmlformats.org/officeDocument/2006/math">
          <m:r xmlns:m="http://schemas.openxmlformats.org/officeDocument/2006/math">
            <m:t xmlns:m="http://schemas.openxmlformats.org/officeDocument/2006/math">𝐼𝑛𝑣𝑒𝑛𝑡𝑜𝑟𝑦</m:t>
          </m:r>
          <m:r xmlns:m="http://schemas.openxmlformats.org/officeDocument/2006/math">
            <m:t xmlns:m="http://schemas.openxmlformats.org/officeDocument/2006/math"> </m:t>
          </m:r>
          <m:r xmlns:m="http://schemas.openxmlformats.org/officeDocument/2006/math">
            <m:t xmlns:m="http://schemas.openxmlformats.org/officeDocument/2006/math">𝑇𝑢𝑟𝑛𝑜𝑣𝑒𝑟</m:t>
          </m:r>
          <m:r xmlns:m="http://schemas.openxmlformats.org/officeDocument/2006/math">
            <m:t xmlns:m="http://schemas.openxmlformats.org/officeDocument/2006/math">=</m:t>
          </m:r>
          <m:f xmlns:m="http://schemas.openxmlformats.org/officeDocument/2006/math">
            <m:fPr>
              <m:ctrlPr/>
            </m:fPr>
            <m:num>
              <m:r>
                <m:t>143,200</m:t>
              </m:r>
            </m:num>
            <m:den>
              <m:r>
                <m:t>22,840</m:t>
              </m:r>
            </m:den>
          </m:f>
        </m:oMath>
      </m:oMathPara>
    </w:p>
    <w:p w:rsidR="1913AA1D" w:rsidP="3BDB421E" w:rsidRDefault="1913AA1D" w14:paraId="1F14429A" w14:textId="2E251405">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1913AA1D">
        <w:rPr>
          <w:rFonts w:ascii="Times New Roman" w:hAnsi="Times New Roman" w:eastAsia="Times New Roman" w:cs="Times New Roman"/>
          <w:b w:val="0"/>
          <w:bCs w:val="0"/>
          <w:i w:val="0"/>
          <w:iCs w:val="0"/>
          <w:noProof w:val="0"/>
          <w:sz w:val="24"/>
          <w:szCs w:val="24"/>
          <w:lang w:val="en-GB"/>
        </w:rPr>
        <w:t xml:space="preserve">= </w:t>
      </w:r>
      <w:r w:rsidRPr="3BDB421E" w:rsidR="1913AA1D">
        <w:rPr>
          <w:rFonts w:ascii="Times New Roman" w:hAnsi="Times New Roman" w:eastAsia="Times New Roman" w:cs="Times New Roman"/>
          <w:b w:val="1"/>
          <w:bCs w:val="1"/>
          <w:i w:val="0"/>
          <w:iCs w:val="0"/>
          <w:noProof w:val="0"/>
          <w:sz w:val="24"/>
          <w:szCs w:val="24"/>
          <w:lang w:val="en-GB"/>
        </w:rPr>
        <w:t>6.27</w:t>
      </w:r>
    </w:p>
    <w:p w:rsidR="1913AA1D" w:rsidP="3BDB421E" w:rsidRDefault="1913AA1D" w14:paraId="5364121A" w14:textId="6A5B6B7A">
      <w:pPr>
        <w:pStyle w:val="ListParagraph"/>
        <w:numPr>
          <w:ilvl w:val="0"/>
          <w:numId w:val="3"/>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8"/>
          <w:szCs w:val="28"/>
          <w:lang w:val="en-GB"/>
        </w:rPr>
      </w:pPr>
      <w:r w:rsidRPr="3BDB421E" w:rsidR="1913AA1D">
        <w:rPr>
          <w:rFonts w:ascii="Times New Roman" w:hAnsi="Times New Roman" w:eastAsia="Times New Roman" w:cs="Times New Roman"/>
          <w:b w:val="1"/>
          <w:bCs w:val="1"/>
          <w:i w:val="0"/>
          <w:iCs w:val="0"/>
          <w:noProof w:val="0"/>
          <w:sz w:val="28"/>
          <w:szCs w:val="28"/>
          <w:lang w:val="en-GB"/>
        </w:rPr>
        <w:t>Gearing Ratios</w:t>
      </w:r>
    </w:p>
    <w:p w:rsidR="0751EC1E" w:rsidP="3BDB421E" w:rsidRDefault="0751EC1E" w14:paraId="4BCD4051" w14:textId="00B2EEDD">
      <w:pPr>
        <w:pStyle w:val="ListParagraph"/>
        <w:numPr>
          <w:ilvl w:val="0"/>
          <w:numId w:val="9"/>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0751EC1E">
        <w:rPr>
          <w:rFonts w:ascii="Times New Roman" w:hAnsi="Times New Roman" w:eastAsia="Times New Roman" w:cs="Times New Roman"/>
          <w:b w:val="1"/>
          <w:bCs w:val="1"/>
          <w:i w:val="0"/>
          <w:iCs w:val="0"/>
          <w:noProof w:val="0"/>
          <w:sz w:val="24"/>
          <w:szCs w:val="24"/>
          <w:lang w:val="en-GB"/>
        </w:rPr>
        <w:t>Debt-to-Equity Ratio</w:t>
      </w:r>
    </w:p>
    <w:p w:rsidR="0751EC1E" w:rsidP="3BDB421E" w:rsidRDefault="0751EC1E" w14:paraId="4C46CDBB" w14:textId="6862E686">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0751EC1E">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𝐷𝑒𝑏𝑡</m:t>
          </m:r>
          <m:r xmlns:m="http://schemas.openxmlformats.org/officeDocument/2006/math">
            <m:t xmlns:m="http://schemas.openxmlformats.org/officeDocument/2006/math"> </m:t>
          </m:r>
          <m:r xmlns:m="http://schemas.openxmlformats.org/officeDocument/2006/math">
            <m:t xmlns:m="http://schemas.openxmlformats.org/officeDocument/2006/math">𝑡𝑜</m:t>
          </m:r>
          <m:r xmlns:m="http://schemas.openxmlformats.org/officeDocument/2006/math">
            <m:t xmlns:m="http://schemas.openxmlformats.org/officeDocument/2006/math"> </m:t>
          </m:r>
          <m:r xmlns:m="http://schemas.openxmlformats.org/officeDocument/2006/math">
            <m:t xmlns:m="http://schemas.openxmlformats.org/officeDocument/2006/math">𝐸𝑞𝑢𝑖𝑡𝑦</m:t>
          </m:r>
          <m:r xmlns:m="http://schemas.openxmlformats.org/officeDocument/2006/math">
            <m:t xmlns:m="http://schemas.openxmlformats.org/officeDocument/2006/math">=</m:t>
          </m:r>
          <m:f xmlns:m="http://schemas.openxmlformats.org/officeDocument/2006/math">
            <m:fPr>
              <m:ctrlPr/>
            </m:fPr>
            <m:num>
              <m:r>
                <m:t>𝑇𝑜𝑡𝑎𝑙</m:t>
              </m:r>
              <m:r>
                <m:t> </m:t>
              </m:r>
              <m:r>
                <m:t>𝐷𝑒𝑏𝑡</m:t>
              </m:r>
            </m:num>
            <m:den>
              <m:r>
                <m:t>𝑇𝑜𝑡𝑎𝑙</m:t>
              </m:r>
              <m:r>
                <m:t> </m:t>
              </m:r>
              <m:r>
                <m:t>𝐸𝑞𝑢𝑖𝑡𝑦</m:t>
              </m:r>
            </m:den>
          </m:f>
        </m:oMath>
      </m:oMathPara>
    </w:p>
    <w:p w:rsidR="2132169E" w:rsidP="3BDB421E" w:rsidRDefault="2132169E" w14:paraId="02F5197E" w14:textId="7AD4F476">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2132169E">
        <w:rPr>
          <w:rFonts w:ascii="Times New Roman" w:hAnsi="Times New Roman" w:eastAsia="Times New Roman" w:cs="Times New Roman"/>
          <w:b w:val="0"/>
          <w:bCs w:val="0"/>
          <w:i w:val="0"/>
          <w:iCs w:val="0"/>
          <w:noProof w:val="0"/>
          <w:sz w:val="24"/>
          <w:szCs w:val="24"/>
          <w:lang w:val="en-GB"/>
        </w:rPr>
        <w:t>Total Debt =</w:t>
      </w:r>
      <w:r w:rsidRPr="3BDB421E" w:rsidR="2132169E">
        <w:rPr>
          <w:rFonts w:ascii="Times New Roman" w:hAnsi="Times New Roman" w:eastAsia="Times New Roman" w:cs="Times New Roman"/>
          <w:b w:val="1"/>
          <w:bCs w:val="1"/>
          <w:i w:val="0"/>
          <w:iCs w:val="0"/>
          <w:noProof w:val="0"/>
          <w:sz w:val="24"/>
          <w:szCs w:val="24"/>
          <w:lang w:val="en-GB"/>
        </w:rPr>
        <w:t xml:space="preserve"> $36,400 million</w:t>
      </w:r>
    </w:p>
    <w:p w:rsidR="2132169E" w:rsidP="3BDB421E" w:rsidRDefault="2132169E" w14:paraId="21DEF7FD" w14:textId="20A86CBD">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2132169E">
        <w:rPr>
          <w:rFonts w:ascii="Times New Roman" w:hAnsi="Times New Roman" w:eastAsia="Times New Roman" w:cs="Times New Roman"/>
          <w:b w:val="0"/>
          <w:bCs w:val="0"/>
          <w:i w:val="0"/>
          <w:iCs w:val="0"/>
          <w:noProof w:val="0"/>
          <w:sz w:val="24"/>
          <w:szCs w:val="24"/>
          <w:lang w:val="en-GB"/>
        </w:rPr>
        <w:t xml:space="preserve">Total Equity = </w:t>
      </w:r>
      <w:r w:rsidRPr="3BDB421E" w:rsidR="2132169E">
        <w:rPr>
          <w:rFonts w:ascii="Times New Roman" w:hAnsi="Times New Roman" w:eastAsia="Times New Roman" w:cs="Times New Roman"/>
          <w:b w:val="1"/>
          <w:bCs w:val="1"/>
          <w:i w:val="0"/>
          <w:iCs w:val="0"/>
          <w:noProof w:val="0"/>
          <w:sz w:val="24"/>
          <w:szCs w:val="24"/>
          <w:lang w:val="en-GB"/>
        </w:rPr>
        <w:t>$54,300 million</w:t>
      </w:r>
    </w:p>
    <w:p w:rsidR="3BDB421E" w:rsidP="3BDB421E" w:rsidRDefault="3BDB421E" w14:paraId="2794E393" w14:textId="4FE57804">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p>
    <w:p w:rsidR="3BDB421E" w:rsidP="3BDB421E" w:rsidRDefault="3BDB421E" w14:paraId="3C4F6789" w14:textId="7E3223EE">
      <w:pPr>
        <w:pStyle w:val="Normal"/>
        <w:suppressLineNumbers w:val="0"/>
        <w:bidi w:val="0"/>
        <w:spacing w:before="120" w:beforeAutospacing="off" w:after="120" w:afterAutospacing="off" w:line="360" w:lineRule="auto"/>
        <w:ind w:left="0" w:right="0"/>
        <w:jc w:val="both"/>
      </w:pPr>
      <m:oMathPara xmlns:m="http://schemas.openxmlformats.org/officeDocument/2006/math">
        <m:oMath xmlns:m="http://schemas.openxmlformats.org/officeDocument/2006/math">
          <m:r xmlns:m="http://schemas.openxmlformats.org/officeDocument/2006/math">
            <m:t xmlns:m="http://schemas.openxmlformats.org/officeDocument/2006/math">𝐷𝑒𝑏𝑡</m:t>
          </m:r>
          <m:r xmlns:m="http://schemas.openxmlformats.org/officeDocument/2006/math">
            <m:t xmlns:m="http://schemas.openxmlformats.org/officeDocument/2006/math"> </m:t>
          </m:r>
          <m:r xmlns:m="http://schemas.openxmlformats.org/officeDocument/2006/math">
            <m:t xmlns:m="http://schemas.openxmlformats.org/officeDocument/2006/math">𝑡𝑜</m:t>
          </m:r>
          <m:r xmlns:m="http://schemas.openxmlformats.org/officeDocument/2006/math">
            <m:t xmlns:m="http://schemas.openxmlformats.org/officeDocument/2006/math"> </m:t>
          </m:r>
          <m:r xmlns:m="http://schemas.openxmlformats.org/officeDocument/2006/math">
            <m:t xmlns:m="http://schemas.openxmlformats.org/officeDocument/2006/math">𝐸𝑞𝑢𝑖𝑡𝑦</m:t>
          </m:r>
          <m:r xmlns:m="http://schemas.openxmlformats.org/officeDocument/2006/math">
            <m:t xmlns:m="http://schemas.openxmlformats.org/officeDocument/2006/math">=</m:t>
          </m:r>
          <m:f xmlns:m="http://schemas.openxmlformats.org/officeDocument/2006/math">
            <m:fPr>
              <m:ctrlPr/>
            </m:fPr>
            <m:num>
              <m:r>
                <m:t>36,400</m:t>
              </m:r>
            </m:num>
            <m:den>
              <m:r>
                <m:t>54,300</m:t>
              </m:r>
            </m:den>
          </m:f>
        </m:oMath>
      </m:oMathPara>
    </w:p>
    <w:p w:rsidR="1934B08B" w:rsidP="3BDB421E" w:rsidRDefault="1934B08B" w14:paraId="0EC4E546" w14:textId="5B36D945">
      <w:pPr>
        <w:pStyle w:val="Normal"/>
        <w:suppressLineNumbers w:val="0"/>
        <w:bidi w:val="0"/>
        <w:spacing w:before="120" w:beforeAutospacing="off" w:after="120" w:afterAutospacing="off" w:line="360" w:lineRule="auto"/>
        <w:ind w:left="0" w:right="0"/>
        <w:jc w:val="both"/>
        <w:rPr>
          <w:b w:val="1"/>
          <w:bCs w:val="1"/>
        </w:rPr>
      </w:pPr>
      <w:r w:rsidR="1934B08B">
        <w:rPr/>
        <w:t xml:space="preserve">= </w:t>
      </w:r>
      <w:r w:rsidRPr="3BDB421E" w:rsidR="1934B08B">
        <w:rPr>
          <w:b w:val="1"/>
          <w:bCs w:val="1"/>
        </w:rPr>
        <w:t>0.67</w:t>
      </w:r>
    </w:p>
    <w:p w:rsidR="1934B08B" w:rsidP="3BDB421E" w:rsidRDefault="1934B08B" w14:paraId="306A3ED7" w14:textId="636C1A6B">
      <w:pPr>
        <w:pStyle w:val="ListParagraph"/>
        <w:numPr>
          <w:ilvl w:val="0"/>
          <w:numId w:val="9"/>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1934B08B">
        <w:rPr>
          <w:rFonts w:ascii="Times New Roman" w:hAnsi="Times New Roman" w:eastAsia="Times New Roman" w:cs="Times New Roman"/>
          <w:b w:val="1"/>
          <w:bCs w:val="1"/>
          <w:i w:val="0"/>
          <w:iCs w:val="0"/>
          <w:noProof w:val="0"/>
          <w:sz w:val="24"/>
          <w:szCs w:val="24"/>
          <w:lang w:val="en-GB"/>
        </w:rPr>
        <w:t>Interest Cover</w:t>
      </w:r>
    </w:p>
    <w:p w:rsidR="1934B08B" w:rsidP="3BDB421E" w:rsidRDefault="1934B08B" w14:paraId="0CBC64B1" w14:textId="0F103BDB">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1934B08B">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𝐼𝑛𝑡𝑒𝑟𝑒𝑠𝑡</m:t>
          </m:r>
          <m:r xmlns:m="http://schemas.openxmlformats.org/officeDocument/2006/math">
            <m:t xmlns:m="http://schemas.openxmlformats.org/officeDocument/2006/math"> </m:t>
          </m:r>
          <m:r xmlns:m="http://schemas.openxmlformats.org/officeDocument/2006/math">
            <m:t xmlns:m="http://schemas.openxmlformats.org/officeDocument/2006/math">𝐶𝑜𝑣𝑒𝑟</m:t>
          </m:r>
          <m:r xmlns:m="http://schemas.openxmlformats.org/officeDocument/2006/math">
            <m:t xmlns:m="http://schemas.openxmlformats.org/officeDocument/2006/math">=</m:t>
          </m:r>
          <m:f xmlns:m="http://schemas.openxmlformats.org/officeDocument/2006/math">
            <m:fPr>
              <m:ctrlPr/>
            </m:fPr>
            <m:num>
              <m:r>
                <m:t>𝑂𝑝𝑒𝑟𝑎𝑡𝑖𝑛𝑔</m:t>
              </m:r>
              <m:r>
                <m:t> </m:t>
              </m:r>
              <m:func>
                <m:funcPr>
                  <m:ctrlPr/>
                </m:funcPr>
                <m:fName>
                  <m:r>
                    <m:rPr>
                      <m:sty m:val="p"/>
                    </m:rPr>
                    <m:t>Pr</m:t>
                  </m:r>
                </m:fName>
                <m:e>
                  <m:r>
                    <m:t>𝑜</m:t>
                  </m:r>
                </m:e>
              </m:func>
              <m:r>
                <m:t>𝑓𝑖𝑡</m:t>
              </m:r>
            </m:num>
            <m:den>
              <m:r>
                <m:t>𝐼𝑛𝑡𝑒𝑟𝑒𝑠𝑡</m:t>
              </m:r>
              <m:r>
                <m:t> </m:t>
              </m:r>
              <m:r>
                <m:t>𝐸𝑥𝑝𝑒𝑛𝑠𝑒</m:t>
              </m:r>
            </m:den>
          </m:f>
        </m:oMath>
      </m:oMathPara>
    </w:p>
    <w:p w:rsidR="0B02B521" w:rsidP="3BDB421E" w:rsidRDefault="0B02B521" w14:paraId="08F8D82F" w14:textId="7FE84C46">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0B02B521">
        <w:rPr>
          <w:rFonts w:ascii="Times New Roman" w:hAnsi="Times New Roman" w:eastAsia="Times New Roman" w:cs="Times New Roman"/>
          <w:b w:val="0"/>
          <w:bCs w:val="0"/>
          <w:i w:val="0"/>
          <w:iCs w:val="0"/>
          <w:noProof w:val="0"/>
          <w:sz w:val="24"/>
          <w:szCs w:val="24"/>
          <w:lang w:val="en-GB"/>
        </w:rPr>
        <w:t xml:space="preserve">Operating Profit = </w:t>
      </w:r>
      <w:r w:rsidRPr="3BDB421E" w:rsidR="0B02B521">
        <w:rPr>
          <w:rFonts w:ascii="Times New Roman" w:hAnsi="Times New Roman" w:eastAsia="Times New Roman" w:cs="Times New Roman"/>
          <w:b w:val="1"/>
          <w:bCs w:val="1"/>
          <w:i w:val="0"/>
          <w:iCs w:val="0"/>
          <w:noProof w:val="0"/>
          <w:sz w:val="24"/>
          <w:szCs w:val="24"/>
          <w:lang w:val="en-GB"/>
        </w:rPr>
        <w:t>3,525</w:t>
      </w:r>
    </w:p>
    <w:p w:rsidR="0B02B521" w:rsidP="3BDB421E" w:rsidRDefault="0B02B521" w14:paraId="0BFCC85D" w14:textId="0FCBAF07">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0B02B521">
        <w:rPr>
          <w:rFonts w:ascii="Times New Roman" w:hAnsi="Times New Roman" w:eastAsia="Times New Roman" w:cs="Times New Roman"/>
          <w:b w:val="0"/>
          <w:bCs w:val="0"/>
          <w:i w:val="0"/>
          <w:iCs w:val="0"/>
          <w:noProof w:val="0"/>
          <w:sz w:val="24"/>
          <w:szCs w:val="24"/>
          <w:lang w:val="en-GB"/>
        </w:rPr>
        <w:t>Interest Expense</w:t>
      </w:r>
      <w:r w:rsidRPr="3BDB421E" w:rsidR="0B02B521">
        <w:rPr>
          <w:rFonts w:ascii="Times New Roman" w:hAnsi="Times New Roman" w:eastAsia="Times New Roman" w:cs="Times New Roman"/>
          <w:b w:val="1"/>
          <w:bCs w:val="1"/>
          <w:i w:val="0"/>
          <w:iCs w:val="0"/>
          <w:noProof w:val="0"/>
          <w:sz w:val="24"/>
          <w:szCs w:val="24"/>
          <w:lang w:val="en-GB"/>
        </w:rPr>
        <w:t xml:space="preserve"> = 274</w:t>
      </w:r>
    </w:p>
    <w:p w:rsidR="3BDB421E" w:rsidP="3BDB421E" w:rsidRDefault="3BDB421E" w14:paraId="319669B1" w14:textId="2D3ECEEB">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m:oMathPara xmlns:m="http://schemas.openxmlformats.org/officeDocument/2006/math">
        <m:oMath xmlns:m="http://schemas.openxmlformats.org/officeDocument/2006/math">
          <m:r xmlns:m="http://schemas.openxmlformats.org/officeDocument/2006/math">
            <m:t xmlns:m="http://schemas.openxmlformats.org/officeDocument/2006/math">𝐼𝑛𝑡𝑒𝑟𝑒𝑠𝑡</m:t>
          </m:r>
          <m:r xmlns:m="http://schemas.openxmlformats.org/officeDocument/2006/math">
            <m:t xmlns:m="http://schemas.openxmlformats.org/officeDocument/2006/math"> </m:t>
          </m:r>
          <m:r xmlns:m="http://schemas.openxmlformats.org/officeDocument/2006/math">
            <m:t xmlns:m="http://schemas.openxmlformats.org/officeDocument/2006/math">𝐶𝑜𝑣𝑒𝑟</m:t>
          </m:r>
          <m:r xmlns:m="http://schemas.openxmlformats.org/officeDocument/2006/math">
            <m:t xmlns:m="http://schemas.openxmlformats.org/officeDocument/2006/math">=</m:t>
          </m:r>
          <m:f xmlns:m="http://schemas.openxmlformats.org/officeDocument/2006/math">
            <m:fPr>
              <m:ctrlPr/>
            </m:fPr>
            <m:num>
              <m:r>
                <m:t>3,525</m:t>
              </m:r>
            </m:num>
            <m:den>
              <m:r>
                <m:t>274</m:t>
              </m:r>
            </m:den>
          </m:f>
        </m:oMath>
      </m:oMathPara>
    </w:p>
    <w:p w:rsidR="52DD35D4" w:rsidP="3BDB421E" w:rsidRDefault="52DD35D4" w14:paraId="304A3DB8" w14:textId="41EEFCB4">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52DD35D4">
        <w:rPr>
          <w:rFonts w:ascii="Times New Roman" w:hAnsi="Times New Roman" w:eastAsia="Times New Roman" w:cs="Times New Roman"/>
          <w:b w:val="1"/>
          <w:bCs w:val="1"/>
          <w:i w:val="0"/>
          <w:iCs w:val="0"/>
          <w:noProof w:val="0"/>
          <w:sz w:val="24"/>
          <w:szCs w:val="24"/>
          <w:lang w:val="en-GB"/>
        </w:rPr>
        <w:t>= 12.88</w:t>
      </w:r>
    </w:p>
    <w:p w:rsidR="52DD35D4" w:rsidP="3BDB421E" w:rsidRDefault="52DD35D4" w14:paraId="1A5C528B" w14:textId="2C613C5D">
      <w:pPr>
        <w:pStyle w:val="ListParagraph"/>
        <w:numPr>
          <w:ilvl w:val="0"/>
          <w:numId w:val="3"/>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8"/>
          <w:szCs w:val="28"/>
          <w:lang w:val="en-GB"/>
        </w:rPr>
      </w:pPr>
      <w:r w:rsidRPr="3BDB421E" w:rsidR="52DD35D4">
        <w:rPr>
          <w:rFonts w:ascii="Times New Roman" w:hAnsi="Times New Roman" w:eastAsia="Times New Roman" w:cs="Times New Roman"/>
          <w:b w:val="1"/>
          <w:bCs w:val="1"/>
          <w:i w:val="0"/>
          <w:iCs w:val="0"/>
          <w:noProof w:val="0"/>
          <w:sz w:val="28"/>
          <w:szCs w:val="28"/>
          <w:lang w:val="en-GB"/>
        </w:rPr>
        <w:t>Investment Ratios</w:t>
      </w:r>
    </w:p>
    <w:p w:rsidR="32FBFB8A" w:rsidP="3BDB421E" w:rsidRDefault="32FBFB8A" w14:paraId="23BA8944" w14:textId="1EEEBBC0">
      <w:pPr>
        <w:pStyle w:val="Normal"/>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32FBFB8A">
        <w:rPr>
          <w:rFonts w:ascii="Times New Roman" w:hAnsi="Times New Roman" w:eastAsia="Times New Roman" w:cs="Times New Roman"/>
          <w:b w:val="1"/>
          <w:bCs w:val="1"/>
          <w:i w:val="0"/>
          <w:iCs w:val="0"/>
          <w:noProof w:val="0"/>
          <w:sz w:val="24"/>
          <w:szCs w:val="24"/>
          <w:lang w:val="en-GB"/>
        </w:rPr>
        <w:t xml:space="preserve">      </w:t>
      </w:r>
      <w:r w:rsidRPr="3BDB421E" w:rsidR="3BDB421E">
        <w:rPr>
          <w:rFonts w:ascii="Times New Roman" w:hAnsi="Times New Roman" w:eastAsia="Times New Roman" w:cs="Times New Roman"/>
          <w:b w:val="1"/>
          <w:bCs w:val="1"/>
          <w:i w:val="0"/>
          <w:iCs w:val="0"/>
          <w:noProof w:val="0"/>
          <w:sz w:val="24"/>
          <w:szCs w:val="24"/>
          <w:lang w:val="en-GB"/>
        </w:rPr>
        <w:t>a)</w:t>
      </w:r>
      <w:r w:rsidRPr="3BDB421E" w:rsidR="3BDB421E">
        <w:rPr>
          <w:rFonts w:ascii="Times New Roman" w:hAnsi="Times New Roman" w:eastAsia="Times New Roman" w:cs="Times New Roman"/>
          <w:b w:val="1"/>
          <w:bCs w:val="1"/>
          <w:i w:val="0"/>
          <w:iCs w:val="0"/>
          <w:noProof w:val="0"/>
          <w:sz w:val="28"/>
          <w:szCs w:val="28"/>
          <w:lang w:val="en-GB"/>
        </w:rPr>
        <w:t xml:space="preserve"> </w:t>
      </w:r>
      <w:r w:rsidRPr="3BDB421E" w:rsidR="7DDB305F">
        <w:rPr>
          <w:rFonts w:ascii="Times New Roman" w:hAnsi="Times New Roman" w:eastAsia="Times New Roman" w:cs="Times New Roman"/>
          <w:b w:val="1"/>
          <w:bCs w:val="1"/>
          <w:i w:val="0"/>
          <w:iCs w:val="0"/>
          <w:noProof w:val="0"/>
          <w:sz w:val="24"/>
          <w:szCs w:val="24"/>
          <w:lang w:val="en-GB"/>
        </w:rPr>
        <w:t>Earnings Per Share (EPS)</w:t>
      </w:r>
    </w:p>
    <w:p w:rsidR="2FABC225" w:rsidP="3BDB421E" w:rsidRDefault="2FABC225" w14:paraId="369AE7E0" w14:textId="73B54B64">
      <w:pPr>
        <w:pStyle w:val="Normal"/>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2FABC225">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𝐸𝑃𝑆</m:t>
          </m:r>
          <m:r xmlns:m="http://schemas.openxmlformats.org/officeDocument/2006/math">
            <m:t xmlns:m="http://schemas.openxmlformats.org/officeDocument/2006/math">=</m:t>
          </m:r>
          <m:f xmlns:m="http://schemas.openxmlformats.org/officeDocument/2006/math">
            <m:fPr>
              <m:ctrlPr/>
            </m:fPr>
            <m:num>
              <m:r>
                <m:t>𝑁𝑒𝑡</m:t>
              </m:r>
              <m:r>
                <m:t> </m:t>
              </m:r>
              <m:r>
                <m:t>𝐼𝑛𝑐𝑜𝑚𝑒</m:t>
              </m:r>
            </m:num>
            <m:den>
              <m:r>
                <m:t>𝑁𝑢𝑚𝑏𝑒𝑟</m:t>
              </m:r>
              <m:r>
                <m:t> </m:t>
              </m:r>
              <m:r>
                <m:t>𝑜𝑓</m:t>
              </m:r>
              <m:r>
                <m:t> </m:t>
              </m:r>
              <m:r>
                <m:t>𝑆h𝑎𝑟𝑒𝑠</m:t>
              </m:r>
            </m:den>
          </m:f>
        </m:oMath>
      </m:oMathPara>
    </w:p>
    <w:p w:rsidR="74E99174" w:rsidP="3BDB421E" w:rsidRDefault="74E99174" w14:paraId="155E7572" w14:textId="145E40B9">
      <w:pPr>
        <w:pStyle w:val="Normal"/>
        <w:suppressLineNumbers w:val="0"/>
        <w:bidi w:val="0"/>
        <w:spacing w:before="120" w:beforeAutospacing="off" w:after="120" w:afterAutospacing="off" w:line="360" w:lineRule="auto"/>
        <w:ind w:right="0"/>
        <w:jc w:val="both"/>
        <w:rPr>
          <w:rFonts w:ascii="Times New Roman" w:hAnsi="Times New Roman" w:eastAsia="Times New Roman" w:cs="Times New Roman"/>
          <w:b w:val="0"/>
          <w:bCs w:val="0"/>
          <w:i w:val="0"/>
          <w:iCs w:val="0"/>
          <w:noProof w:val="0"/>
          <w:sz w:val="22"/>
          <w:szCs w:val="22"/>
          <w:lang w:val="en-GB"/>
        </w:rPr>
      </w:pPr>
      <w:r w:rsidRPr="3BDB421E" w:rsidR="74E99174">
        <w:rPr>
          <w:rFonts w:ascii="Times New Roman" w:hAnsi="Times New Roman" w:eastAsia="Times New Roman" w:cs="Times New Roman"/>
          <w:b w:val="0"/>
          <w:bCs w:val="0"/>
          <w:i w:val="0"/>
          <w:iCs w:val="0"/>
          <w:noProof w:val="0"/>
          <w:sz w:val="24"/>
          <w:szCs w:val="24"/>
          <w:lang w:val="en-GB"/>
        </w:rPr>
        <w:t xml:space="preserve">Net Income = </w:t>
      </w:r>
      <w:r w:rsidRPr="3BDB421E" w:rsidR="74E99174">
        <w:rPr>
          <w:rFonts w:ascii="Times New Roman" w:hAnsi="Times New Roman" w:eastAsia="Times New Roman" w:cs="Times New Roman"/>
          <w:b w:val="1"/>
          <w:bCs w:val="1"/>
          <w:i w:val="0"/>
          <w:iCs w:val="0"/>
          <w:noProof w:val="0"/>
          <w:sz w:val="24"/>
          <w:szCs w:val="24"/>
          <w:lang w:val="en-GB"/>
        </w:rPr>
        <w:t>3,977</w:t>
      </w:r>
    </w:p>
    <w:p w:rsidR="74E99174" w:rsidP="3BDB421E" w:rsidRDefault="74E99174" w14:paraId="1AF6EB90" w14:textId="3AE1B2FA">
      <w:pPr>
        <w:pStyle w:val="Normal"/>
        <w:suppressLineNumbers w:val="0"/>
        <w:bidi w:val="0"/>
        <w:spacing w:before="120" w:beforeAutospacing="off" w:after="120" w:afterAutospacing="off" w:line="360" w:lineRule="auto"/>
        <w:ind w:right="0"/>
        <w:jc w:val="both"/>
        <w:rPr>
          <w:rFonts w:ascii="Times New Roman" w:hAnsi="Times New Roman" w:eastAsia="Times New Roman" w:cs="Times New Roman"/>
          <w:b w:val="0"/>
          <w:bCs w:val="0"/>
          <w:i w:val="0"/>
          <w:iCs w:val="0"/>
          <w:noProof w:val="0"/>
          <w:sz w:val="24"/>
          <w:szCs w:val="24"/>
          <w:lang w:val="en-GB"/>
        </w:rPr>
      </w:pPr>
      <w:r w:rsidRPr="3BDB421E" w:rsidR="74E99174">
        <w:rPr>
          <w:rFonts w:ascii="Times New Roman" w:hAnsi="Times New Roman" w:eastAsia="Times New Roman" w:cs="Times New Roman"/>
          <w:b w:val="0"/>
          <w:bCs w:val="0"/>
          <w:i w:val="0"/>
          <w:iCs w:val="0"/>
          <w:noProof w:val="0"/>
          <w:sz w:val="24"/>
          <w:szCs w:val="24"/>
          <w:lang w:val="en-GB"/>
        </w:rPr>
        <w:t xml:space="preserve">Shares Outstanding = </w:t>
      </w:r>
      <w:r w:rsidRPr="3BDB421E" w:rsidR="74E99174">
        <w:rPr>
          <w:rFonts w:ascii="Times New Roman" w:hAnsi="Times New Roman" w:eastAsia="Times New Roman" w:cs="Times New Roman"/>
          <w:b w:val="1"/>
          <w:bCs w:val="1"/>
          <w:i w:val="0"/>
          <w:iCs w:val="0"/>
          <w:noProof w:val="0"/>
          <w:sz w:val="24"/>
          <w:szCs w:val="24"/>
          <w:lang w:val="en-GB"/>
        </w:rPr>
        <w:t>3,680</w:t>
      </w:r>
    </w:p>
    <w:p w:rsidR="3BDB421E" w:rsidP="3BDB421E" w:rsidRDefault="3BDB421E" w14:paraId="7BB285FE" w14:textId="33759558">
      <w:pPr>
        <w:pStyle w:val="Normal"/>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m:oMathPara xmlns:m="http://schemas.openxmlformats.org/officeDocument/2006/math">
        <m:oMath xmlns:m="http://schemas.openxmlformats.org/officeDocument/2006/math">
          <m:r xmlns:m="http://schemas.openxmlformats.org/officeDocument/2006/math">
            <m:t xmlns:m="http://schemas.openxmlformats.org/officeDocument/2006/math">𝐸𝑃𝑆</m:t>
          </m:r>
          <m:r xmlns:m="http://schemas.openxmlformats.org/officeDocument/2006/math">
            <m:t xmlns:m="http://schemas.openxmlformats.org/officeDocument/2006/math">=</m:t>
          </m:r>
          <m:f xmlns:m="http://schemas.openxmlformats.org/officeDocument/2006/math">
            <m:fPr>
              <m:ctrlPr/>
            </m:fPr>
            <m:num>
              <m:r>
                <m:t>3,977</m:t>
              </m:r>
            </m:num>
            <m:den>
              <m:r>
                <m:t>3,680</m:t>
              </m:r>
            </m:den>
          </m:f>
        </m:oMath>
      </m:oMathPara>
    </w:p>
    <w:p w:rsidR="0152CA9F" w:rsidP="3BDB421E" w:rsidRDefault="0152CA9F" w14:paraId="2F42D77C" w14:textId="78CFFE51">
      <w:pPr>
        <w:pStyle w:val="Normal"/>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0152CA9F">
        <w:rPr>
          <w:rFonts w:ascii="Times New Roman" w:hAnsi="Times New Roman" w:eastAsia="Times New Roman" w:cs="Times New Roman"/>
          <w:b w:val="1"/>
          <w:bCs w:val="1"/>
          <w:i w:val="0"/>
          <w:iCs w:val="0"/>
          <w:noProof w:val="0"/>
          <w:sz w:val="24"/>
          <w:szCs w:val="24"/>
          <w:lang w:val="en-GB"/>
        </w:rPr>
        <w:t>=1.08</w:t>
      </w:r>
    </w:p>
    <w:p w:rsidR="1AF2F40C" w:rsidP="3BDB421E" w:rsidRDefault="1AF2F40C" w14:paraId="7AEB4F46" w14:textId="61D54B06">
      <w:pPr>
        <w:pStyle w:val="ListParagraph"/>
        <w:numPr>
          <w:ilvl w:val="0"/>
          <w:numId w:val="9"/>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1AF2F40C">
        <w:rPr>
          <w:rFonts w:ascii="Times New Roman" w:hAnsi="Times New Roman" w:eastAsia="Times New Roman" w:cs="Times New Roman"/>
          <w:b w:val="1"/>
          <w:bCs w:val="1"/>
          <w:i w:val="0"/>
          <w:iCs w:val="0"/>
          <w:noProof w:val="0"/>
          <w:sz w:val="24"/>
          <w:szCs w:val="24"/>
          <w:lang w:val="en-GB"/>
        </w:rPr>
        <w:t>Price-Earnings Ratio (P / E)</w:t>
      </w:r>
    </w:p>
    <w:p w:rsidR="1AF2F40C" w:rsidP="3BDB421E" w:rsidRDefault="1AF2F40C" w14:paraId="05D9C484" w14:textId="7AC5E2E6">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1AF2F40C">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f xmlns:m="http://schemas.openxmlformats.org/officeDocument/2006/math">
            <m:fPr>
              <m:type m:val="lin"/>
              <m:ctrlPr/>
            </m:fPr>
            <m:num>
              <m:r>
                <m:t>𝑃</m:t>
              </m:r>
              <m:r>
                <m:t> </m:t>
              </m:r>
            </m:num>
            <m:den>
              <m:r>
                <m:t>𝐸</m:t>
              </m:r>
              <m:r>
                <m:t>=</m:t>
              </m:r>
              <m:f>
                <m:fPr>
                  <m:ctrlPr/>
                </m:fPr>
                <m:num>
                  <m:r>
                    <m:t>𝑀𝑎𝑟𝑘𝑒𝑡</m:t>
                  </m:r>
                  <m:r>
                    <m:t> </m:t>
                  </m:r>
                  <m:func>
                    <m:funcPr>
                      <m:ctrlPr/>
                    </m:funcPr>
                    <m:fName>
                      <m:r>
                        <m:rPr>
                          <m:sty m:val="p"/>
                        </m:rPr>
                        <m:t>Pr</m:t>
                      </m:r>
                    </m:fName>
                    <m:e>
                      <m:r>
                        <m:t>𝑖</m:t>
                      </m:r>
                    </m:e>
                  </m:func>
                  <m:r>
                    <m:t>𝑐𝑒</m:t>
                  </m:r>
                  <m:r>
                    <m:t> </m:t>
                  </m:r>
                  <m:r>
                    <m:t>𝑝𝑒𝑟</m:t>
                  </m:r>
                  <m:r>
                    <m:t> </m:t>
                  </m:r>
                  <m:r>
                    <m:t>𝑆h𝑎𝑟𝑒</m:t>
                  </m:r>
                </m:num>
                <m:den>
                  <m:r>
                    <m:t>𝐸𝑃𝑆</m:t>
                  </m:r>
                </m:den>
              </m:f>
            </m:den>
          </m:f>
        </m:oMath>
      </m:oMathPara>
    </w:p>
    <w:p w:rsidR="1FFBA011" w:rsidP="3BDB421E" w:rsidRDefault="1FFBA011" w14:paraId="15E1578A" w14:textId="7E5452CF">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1FFBA011">
        <w:rPr>
          <w:rFonts w:ascii="Times New Roman" w:hAnsi="Times New Roman" w:eastAsia="Times New Roman" w:cs="Times New Roman"/>
          <w:b w:val="0"/>
          <w:bCs w:val="0"/>
          <w:i w:val="0"/>
          <w:iCs w:val="0"/>
          <w:noProof w:val="0"/>
          <w:sz w:val="24"/>
          <w:szCs w:val="24"/>
          <w:lang w:val="en-GB"/>
        </w:rPr>
        <w:t>Market Price per Share = $430</w:t>
      </w:r>
    </w:p>
    <w:p w:rsidR="1FFBA011" w:rsidP="3BDB421E" w:rsidRDefault="1FFBA011" w14:paraId="73F675BC" w14:textId="15F3E5B1">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1FFBA011">
        <w:rPr>
          <w:rFonts w:ascii="Times New Roman" w:hAnsi="Times New Roman" w:eastAsia="Times New Roman" w:cs="Times New Roman"/>
          <w:b w:val="0"/>
          <w:bCs w:val="0"/>
          <w:i w:val="0"/>
          <w:iCs w:val="0"/>
          <w:noProof w:val="0"/>
          <w:sz w:val="24"/>
          <w:szCs w:val="24"/>
          <w:lang w:val="en-GB"/>
        </w:rPr>
        <w:t xml:space="preserve">EPS = </w:t>
      </w:r>
      <w:r w:rsidRPr="3BDB421E" w:rsidR="1FFBA011">
        <w:rPr>
          <w:rFonts w:ascii="Times New Roman" w:hAnsi="Times New Roman" w:eastAsia="Times New Roman" w:cs="Times New Roman"/>
          <w:b w:val="1"/>
          <w:bCs w:val="1"/>
          <w:i w:val="0"/>
          <w:iCs w:val="0"/>
          <w:noProof w:val="0"/>
          <w:sz w:val="24"/>
          <w:szCs w:val="24"/>
          <w:lang w:val="en-GB"/>
        </w:rPr>
        <w:t>1.08</w:t>
      </w:r>
    </w:p>
    <w:p w:rsidR="3BDB421E" w:rsidP="3BDB421E" w:rsidRDefault="3BDB421E" w14:paraId="4C385DAF" w14:textId="16D4C9E7">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m:oMathPara xmlns:m="http://schemas.openxmlformats.org/officeDocument/2006/math">
        <m:oMath xmlns:m="http://schemas.openxmlformats.org/officeDocument/2006/math">
          <m:f xmlns:m="http://schemas.openxmlformats.org/officeDocument/2006/math">
            <m:fPr>
              <m:type m:val="lin"/>
              <m:ctrlPr/>
            </m:fPr>
            <m:num>
              <m:r>
                <m:t>𝑃</m:t>
              </m:r>
              <m:r>
                <m:t> </m:t>
              </m:r>
            </m:num>
            <m:den>
              <m:r>
                <m:t>𝐸</m:t>
              </m:r>
              <m:r>
                <m:t>=</m:t>
              </m:r>
              <m:f>
                <m:fPr>
                  <m:ctrlPr/>
                </m:fPr>
                <m:num>
                  <m:r>
                    <m:t>430</m:t>
                  </m:r>
                </m:num>
                <m:den>
                  <m:r>
                    <m:t>1.08</m:t>
                  </m:r>
                </m:den>
              </m:f>
            </m:den>
          </m:f>
        </m:oMath>
      </m:oMathPara>
    </w:p>
    <w:p w:rsidR="1CBC7BF7" w:rsidP="3BDB421E" w:rsidRDefault="1CBC7BF7" w14:paraId="03FBBBDA" w14:textId="5A0B784A">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1CBC7BF7">
        <w:rPr>
          <w:rFonts w:ascii="Times New Roman" w:hAnsi="Times New Roman" w:eastAsia="Times New Roman" w:cs="Times New Roman"/>
          <w:b w:val="1"/>
          <w:bCs w:val="1"/>
          <w:i w:val="0"/>
          <w:iCs w:val="0"/>
          <w:noProof w:val="0"/>
          <w:sz w:val="24"/>
          <w:szCs w:val="24"/>
          <w:lang w:val="en-GB"/>
        </w:rPr>
        <w:t>=</w:t>
      </w:r>
      <w:r w:rsidRPr="3BDB421E" w:rsidR="1A47B5C3">
        <w:rPr>
          <w:rFonts w:ascii="Times New Roman" w:hAnsi="Times New Roman" w:eastAsia="Times New Roman" w:cs="Times New Roman"/>
          <w:b w:val="1"/>
          <w:bCs w:val="1"/>
          <w:i w:val="0"/>
          <w:iCs w:val="0"/>
          <w:noProof w:val="0"/>
          <w:sz w:val="24"/>
          <w:szCs w:val="24"/>
          <w:lang w:val="en-GB"/>
        </w:rPr>
        <w:t xml:space="preserve"> </w:t>
      </w:r>
      <w:r w:rsidRPr="3BDB421E" w:rsidR="1CBC7BF7">
        <w:rPr>
          <w:rFonts w:ascii="Times New Roman" w:hAnsi="Times New Roman" w:eastAsia="Times New Roman" w:cs="Times New Roman"/>
          <w:b w:val="1"/>
          <w:bCs w:val="1"/>
          <w:i w:val="0"/>
          <w:iCs w:val="0"/>
          <w:noProof w:val="0"/>
          <w:sz w:val="24"/>
          <w:szCs w:val="24"/>
          <w:lang w:val="en-GB"/>
        </w:rPr>
        <w:t>398.53</w:t>
      </w:r>
    </w:p>
    <w:p w:rsidR="1CBC7BF7" w:rsidP="3BDB421E" w:rsidRDefault="1CBC7BF7" w14:paraId="16520ADD" w14:textId="545CEE14">
      <w:pPr>
        <w:pStyle w:val="ListParagraph"/>
        <w:numPr>
          <w:ilvl w:val="0"/>
          <w:numId w:val="3"/>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8"/>
          <w:szCs w:val="28"/>
          <w:lang w:val="en-GB"/>
        </w:rPr>
      </w:pPr>
      <w:r w:rsidRPr="3BDB421E" w:rsidR="1CBC7BF7">
        <w:rPr>
          <w:rFonts w:ascii="Times New Roman" w:hAnsi="Times New Roman" w:eastAsia="Times New Roman" w:cs="Times New Roman"/>
          <w:b w:val="1"/>
          <w:bCs w:val="1"/>
          <w:i w:val="0"/>
          <w:iCs w:val="0"/>
          <w:noProof w:val="0"/>
          <w:sz w:val="28"/>
          <w:szCs w:val="28"/>
          <w:lang w:val="en-GB"/>
        </w:rPr>
        <w:t>Cash Flow Ratio</w:t>
      </w:r>
    </w:p>
    <w:p w:rsidR="1CBC7BF7" w:rsidP="3BDB421E" w:rsidRDefault="1CBC7BF7" w14:paraId="7FC4CB65" w14:textId="4665D704">
      <w:pPr>
        <w:pStyle w:val="ListParagraph"/>
        <w:numPr>
          <w:ilvl w:val="0"/>
          <w:numId w:val="11"/>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1CBC7BF7">
        <w:rPr>
          <w:rFonts w:ascii="Times New Roman" w:hAnsi="Times New Roman" w:eastAsia="Times New Roman" w:cs="Times New Roman"/>
          <w:b w:val="1"/>
          <w:bCs w:val="1"/>
          <w:i w:val="0"/>
          <w:iCs w:val="0"/>
          <w:noProof w:val="0"/>
          <w:sz w:val="24"/>
          <w:szCs w:val="24"/>
          <w:lang w:val="en-GB"/>
        </w:rPr>
        <w:t>Operating Cash Flow</w:t>
      </w:r>
      <w:r w:rsidRPr="3BDB421E" w:rsidR="13BE3DDF">
        <w:rPr>
          <w:rFonts w:ascii="Times New Roman" w:hAnsi="Times New Roman" w:eastAsia="Times New Roman" w:cs="Times New Roman"/>
          <w:b w:val="1"/>
          <w:bCs w:val="1"/>
          <w:i w:val="0"/>
          <w:iCs w:val="0"/>
          <w:noProof w:val="0"/>
          <w:sz w:val="24"/>
          <w:szCs w:val="24"/>
          <w:lang w:val="en-GB"/>
        </w:rPr>
        <w:t xml:space="preserve"> (OCF)</w:t>
      </w:r>
    </w:p>
    <w:p w:rsidR="1CBC7BF7" w:rsidP="3BDB421E" w:rsidRDefault="1CBC7BF7" w14:paraId="4FE33BB6" w14:textId="1D5B9650">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1CBC7BF7">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𝑂𝑝𝑒𝑟𝑎𝑡𝑖𝑛𝑔</m:t>
          </m:r>
          <m:r xmlns:m="http://schemas.openxmlformats.org/officeDocument/2006/math">
            <m:t xmlns:m="http://schemas.openxmlformats.org/officeDocument/2006/math"> </m:t>
          </m:r>
          <m:r xmlns:m="http://schemas.openxmlformats.org/officeDocument/2006/math">
            <m:t xmlns:m="http://schemas.openxmlformats.org/officeDocument/2006/math">𝐶𝑎𝑠h</m:t>
          </m:r>
          <m:r xmlns:m="http://schemas.openxmlformats.org/officeDocument/2006/math">
            <m:t xmlns:m="http://schemas.openxmlformats.org/officeDocument/2006/math"> </m:t>
          </m:r>
          <m:r xmlns:m="http://schemas.openxmlformats.org/officeDocument/2006/math">
            <m:t xmlns:m="http://schemas.openxmlformats.org/officeDocument/2006/math">𝐹𝑙𝑜𝑤</m:t>
          </m:r>
          <m:r xmlns:m="http://schemas.openxmlformats.org/officeDocument/2006/math">
            <m:t xmlns:m="http://schemas.openxmlformats.org/officeDocument/2006/math"> </m:t>
          </m:r>
          <m:r xmlns:m="http://schemas.openxmlformats.org/officeDocument/2006/math">
            <m:t xmlns:m="http://schemas.openxmlformats.org/officeDocument/2006/math">𝑅𝑎𝑡𝑖𝑜</m:t>
          </m:r>
          <m:r xmlns:m="http://schemas.openxmlformats.org/officeDocument/2006/math">
            <m:t xmlns:m="http://schemas.openxmlformats.org/officeDocument/2006/math">=</m:t>
          </m:r>
          <m:f xmlns:m="http://schemas.openxmlformats.org/officeDocument/2006/math">
            <m:fPr>
              <m:ctrlPr/>
            </m:fPr>
            <m:num>
              <m:r>
                <m:t>𝑂𝑝𝑒𝑟𝑎𝑡𝑖𝑛𝑔</m:t>
              </m:r>
              <m:r>
                <m:t> </m:t>
              </m:r>
              <m:r>
                <m:t>𝐶𝑎𝑠h</m:t>
              </m:r>
              <m:r>
                <m:t> </m:t>
              </m:r>
              <m:r>
                <m:t>𝐹𝑙𝑜𝑤</m:t>
              </m:r>
            </m:num>
            <m:den>
              <m:r>
                <m:t>𝐶𝑢𝑟𝑟𝑒𝑛𝑡</m:t>
              </m:r>
              <m:r>
                <m:t> </m:t>
              </m:r>
              <m:r>
                <m:t>𝐿𝑖𝑎𝑏𝑖𝑙𝑖𝑡𝑖𝑒𝑠</m:t>
              </m:r>
            </m:den>
          </m:f>
        </m:oMath>
      </m:oMathPara>
    </w:p>
    <w:p w:rsidR="42687FEA" w:rsidP="3BDB421E" w:rsidRDefault="42687FEA" w14:paraId="7E772197" w14:textId="33127989">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42687FEA">
        <w:rPr>
          <w:rFonts w:ascii="Times New Roman" w:hAnsi="Times New Roman" w:eastAsia="Times New Roman" w:cs="Times New Roman"/>
          <w:b w:val="0"/>
          <w:bCs w:val="0"/>
          <w:i w:val="0"/>
          <w:iCs w:val="0"/>
          <w:noProof w:val="0"/>
          <w:sz w:val="24"/>
          <w:szCs w:val="24"/>
          <w:lang w:val="en-GB"/>
        </w:rPr>
        <w:t xml:space="preserve">Operating Cash Flow = </w:t>
      </w:r>
      <w:r w:rsidRPr="3BDB421E" w:rsidR="42687FEA">
        <w:rPr>
          <w:rFonts w:ascii="Times New Roman" w:hAnsi="Times New Roman" w:eastAsia="Times New Roman" w:cs="Times New Roman"/>
          <w:b w:val="1"/>
          <w:bCs w:val="1"/>
          <w:i w:val="0"/>
          <w:iCs w:val="0"/>
          <w:noProof w:val="0"/>
          <w:sz w:val="24"/>
          <w:szCs w:val="24"/>
          <w:lang w:val="en-GB"/>
        </w:rPr>
        <w:t>$16,700 million</w:t>
      </w:r>
    </w:p>
    <w:p w:rsidR="42687FEA" w:rsidP="3BDB421E" w:rsidRDefault="42687FEA" w14:paraId="41D56A9D" w14:textId="496DCB05">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42687FEA">
        <w:rPr>
          <w:rFonts w:ascii="Times New Roman" w:hAnsi="Times New Roman" w:eastAsia="Times New Roman" w:cs="Times New Roman"/>
          <w:b w:val="0"/>
          <w:bCs w:val="0"/>
          <w:i w:val="0"/>
          <w:iCs w:val="0"/>
          <w:noProof w:val="0"/>
          <w:sz w:val="24"/>
          <w:szCs w:val="24"/>
          <w:lang w:val="en-GB"/>
        </w:rPr>
        <w:t>Current Liabilitie</w:t>
      </w:r>
      <w:r w:rsidRPr="3BDB421E" w:rsidR="42687FEA">
        <w:rPr>
          <w:rFonts w:ascii="Times New Roman" w:hAnsi="Times New Roman" w:eastAsia="Times New Roman" w:cs="Times New Roman"/>
          <w:b w:val="1"/>
          <w:bCs w:val="1"/>
          <w:i w:val="0"/>
          <w:iCs w:val="0"/>
          <w:noProof w:val="0"/>
          <w:sz w:val="24"/>
          <w:szCs w:val="24"/>
          <w:lang w:val="en-GB"/>
        </w:rPr>
        <w:t>s = 36,400</w:t>
      </w:r>
    </w:p>
    <w:p w:rsidR="3BDB421E" w:rsidP="3BDB421E" w:rsidRDefault="3BDB421E" w14:paraId="732F3316" w14:textId="150C5B13">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m:oMathPara xmlns:m="http://schemas.openxmlformats.org/officeDocument/2006/math">
        <m:oMath xmlns:m="http://schemas.openxmlformats.org/officeDocument/2006/math">
          <m:r xmlns:m="http://schemas.openxmlformats.org/officeDocument/2006/math">
            <m:t xmlns:m="http://schemas.openxmlformats.org/officeDocument/2006/math">𝑂𝑝𝑒𝑟𝑎𝑡𝑖𝑛𝑔</m:t>
          </m:r>
          <m:r xmlns:m="http://schemas.openxmlformats.org/officeDocument/2006/math">
            <m:t xmlns:m="http://schemas.openxmlformats.org/officeDocument/2006/math"> </m:t>
          </m:r>
          <m:r xmlns:m="http://schemas.openxmlformats.org/officeDocument/2006/math">
            <m:t xmlns:m="http://schemas.openxmlformats.org/officeDocument/2006/math">𝐶𝑎𝑠h</m:t>
          </m:r>
          <m:r xmlns:m="http://schemas.openxmlformats.org/officeDocument/2006/math">
            <m:t xmlns:m="http://schemas.openxmlformats.org/officeDocument/2006/math"> </m:t>
          </m:r>
          <m:r xmlns:m="http://schemas.openxmlformats.org/officeDocument/2006/math">
            <m:t xmlns:m="http://schemas.openxmlformats.org/officeDocument/2006/math">𝐹𝑙𝑜𝑤</m:t>
          </m:r>
          <m:r xmlns:m="http://schemas.openxmlformats.org/officeDocument/2006/math">
            <m:t xmlns:m="http://schemas.openxmlformats.org/officeDocument/2006/math"> </m:t>
          </m:r>
          <m:r xmlns:m="http://schemas.openxmlformats.org/officeDocument/2006/math">
            <m:t xmlns:m="http://schemas.openxmlformats.org/officeDocument/2006/math">𝑅𝑎𝑡𝑖𝑜</m:t>
          </m:r>
          <m:r xmlns:m="http://schemas.openxmlformats.org/officeDocument/2006/math">
            <m:t xmlns:m="http://schemas.openxmlformats.org/officeDocument/2006/math">=</m:t>
          </m:r>
          <m:f xmlns:m="http://schemas.openxmlformats.org/officeDocument/2006/math">
            <m:fPr>
              <m:ctrlPr/>
            </m:fPr>
            <m:num>
              <m:r>
                <m:t>16,700</m:t>
              </m:r>
            </m:num>
            <m:den>
              <m:r>
                <m:t>36,400</m:t>
              </m:r>
            </m:den>
          </m:f>
        </m:oMath>
      </m:oMathPara>
      <w:r w:rsidRPr="3BDB421E" w:rsidR="2D7CE6D0">
        <w:rPr>
          <w:rFonts w:ascii="Times New Roman" w:hAnsi="Times New Roman" w:eastAsia="Times New Roman" w:cs="Times New Roman"/>
          <w:b w:val="1"/>
          <w:bCs w:val="1"/>
          <w:i w:val="0"/>
          <w:iCs w:val="0"/>
          <w:noProof w:val="0"/>
          <w:sz w:val="24"/>
          <w:szCs w:val="24"/>
          <w:lang w:val="en-GB"/>
        </w:rPr>
        <w:t xml:space="preserve"> </w:t>
      </w:r>
    </w:p>
    <w:p w:rsidR="2D7CE6D0" w:rsidP="3BDB421E" w:rsidRDefault="2D7CE6D0" w14:paraId="678CD00A" w14:textId="1E19B6A1">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2D7CE6D0">
        <w:rPr>
          <w:rFonts w:ascii="Times New Roman" w:hAnsi="Times New Roman" w:eastAsia="Times New Roman" w:cs="Times New Roman"/>
          <w:b w:val="1"/>
          <w:bCs w:val="1"/>
          <w:i w:val="0"/>
          <w:iCs w:val="0"/>
          <w:noProof w:val="0"/>
          <w:sz w:val="24"/>
          <w:szCs w:val="24"/>
          <w:lang w:val="en-GB"/>
        </w:rPr>
        <w:t>= 0.46</w:t>
      </w:r>
    </w:p>
    <w:p w:rsidR="2D7CE6D0" w:rsidP="3BDB421E" w:rsidRDefault="2D7CE6D0" w14:paraId="28A329DB" w14:textId="1A4F1617">
      <w:pPr>
        <w:pStyle w:val="ListParagraph"/>
        <w:numPr>
          <w:ilvl w:val="0"/>
          <w:numId w:val="11"/>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2D7CE6D0">
        <w:rPr>
          <w:rFonts w:ascii="Times New Roman" w:hAnsi="Times New Roman" w:eastAsia="Times New Roman" w:cs="Times New Roman"/>
          <w:b w:val="1"/>
          <w:bCs w:val="1"/>
          <w:i w:val="0"/>
          <w:iCs w:val="0"/>
          <w:noProof w:val="0"/>
          <w:sz w:val="24"/>
          <w:szCs w:val="24"/>
          <w:lang w:val="en-GB"/>
        </w:rPr>
        <w:t>Free Cash Flow</w:t>
      </w:r>
      <w:r w:rsidRPr="3BDB421E" w:rsidR="5A4E1851">
        <w:rPr>
          <w:rFonts w:ascii="Times New Roman" w:hAnsi="Times New Roman" w:eastAsia="Times New Roman" w:cs="Times New Roman"/>
          <w:b w:val="1"/>
          <w:bCs w:val="1"/>
          <w:i w:val="0"/>
          <w:iCs w:val="0"/>
          <w:noProof w:val="0"/>
          <w:sz w:val="24"/>
          <w:szCs w:val="24"/>
          <w:lang w:val="en-GB"/>
        </w:rPr>
        <w:t xml:space="preserve"> (FCF)</w:t>
      </w:r>
    </w:p>
    <w:p w:rsidR="2D7CE6D0" w:rsidP="3BDB421E" w:rsidRDefault="2D7CE6D0" w14:paraId="1F932012" w14:textId="401383D2">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2D7CE6D0">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𝐹𝑟𝑒𝑒</m:t>
          </m:r>
          <m:r xmlns:m="http://schemas.openxmlformats.org/officeDocument/2006/math">
            <m:t xmlns:m="http://schemas.openxmlformats.org/officeDocument/2006/math"> </m:t>
          </m:r>
          <m:r xmlns:m="http://schemas.openxmlformats.org/officeDocument/2006/math">
            <m:t xmlns:m="http://schemas.openxmlformats.org/officeDocument/2006/math">𝐶𝑎𝑠h</m:t>
          </m:r>
          <m:r xmlns:m="http://schemas.openxmlformats.org/officeDocument/2006/math">
            <m:t xmlns:m="http://schemas.openxmlformats.org/officeDocument/2006/math"> </m:t>
          </m:r>
          <m:r xmlns:m="http://schemas.openxmlformats.org/officeDocument/2006/math">
            <m:t xmlns:m="http://schemas.openxmlformats.org/officeDocument/2006/math">𝐹𝑙𝑜𝑤</m:t>
          </m:r>
          <m:r xmlns:m="http://schemas.openxmlformats.org/officeDocument/2006/math">
            <m:t xmlns:m="http://schemas.openxmlformats.org/officeDocument/2006/math">=</m:t>
          </m:r>
          <m:r xmlns:m="http://schemas.openxmlformats.org/officeDocument/2006/math">
            <m:t xmlns:m="http://schemas.openxmlformats.org/officeDocument/2006/math">𝑂𝑝𝑒𝑟𝑎𝑡𝑖𝑛𝑔</m:t>
          </m:r>
          <m:r xmlns:m="http://schemas.openxmlformats.org/officeDocument/2006/math">
            <m:t xmlns:m="http://schemas.openxmlformats.org/officeDocument/2006/math"> </m:t>
          </m:r>
          <m:r xmlns:m="http://schemas.openxmlformats.org/officeDocument/2006/math">
            <m:t xmlns:m="http://schemas.openxmlformats.org/officeDocument/2006/math">𝐶𝑎𝑠h</m:t>
          </m:r>
          <m:r xmlns:m="http://schemas.openxmlformats.org/officeDocument/2006/math">
            <m:t xmlns:m="http://schemas.openxmlformats.org/officeDocument/2006/math"> </m:t>
          </m:r>
          <m:r xmlns:m="http://schemas.openxmlformats.org/officeDocument/2006/math">
            <m:t xmlns:m="http://schemas.openxmlformats.org/officeDocument/2006/math">𝐹𝑙𝑜𝑤</m:t>
          </m:r>
          <m:r xmlns:m="http://schemas.openxmlformats.org/officeDocument/2006/math">
            <m:t xmlns:m="http://schemas.openxmlformats.org/officeDocument/2006/math">−</m:t>
          </m:r>
          <m:r xmlns:m="http://schemas.openxmlformats.org/officeDocument/2006/math">
            <m:t xmlns:m="http://schemas.openxmlformats.org/officeDocument/2006/math">𝐶𝑎𝑝𝑖𝑡𝑎𝑙</m:t>
          </m:r>
          <m:r xmlns:m="http://schemas.openxmlformats.org/officeDocument/2006/math">
            <m:t xmlns:m="http://schemas.openxmlformats.org/officeDocument/2006/math"> </m:t>
          </m:r>
          <m:r xmlns:m="http://schemas.openxmlformats.org/officeDocument/2006/math">
            <m:t xmlns:m="http://schemas.openxmlformats.org/officeDocument/2006/math">𝐸𝑥𝑝𝑒𝑛𝑑𝑖𝑡𝑢𝑟𝑒</m:t>
          </m:r>
          <m:r xmlns:m="http://schemas.openxmlformats.org/officeDocument/2006/math">
            <m:t xmlns:m="http://schemas.openxmlformats.org/officeDocument/2006/math"> </m:t>
          </m:r>
        </m:oMath>
      </m:oMathPara>
    </w:p>
    <w:p w:rsidR="1DEAFC24" w:rsidP="3BDB421E" w:rsidRDefault="1DEAFC24" w14:paraId="490F6B45" w14:textId="1733BE64">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1DEAFC24">
        <w:rPr>
          <w:rFonts w:ascii="Times New Roman" w:hAnsi="Times New Roman" w:eastAsia="Times New Roman" w:cs="Times New Roman"/>
          <w:b w:val="0"/>
          <w:bCs w:val="0"/>
          <w:i w:val="0"/>
          <w:iCs w:val="0"/>
          <w:noProof w:val="0"/>
          <w:sz w:val="24"/>
          <w:szCs w:val="24"/>
          <w:lang w:val="en-GB"/>
        </w:rPr>
        <w:t xml:space="preserve">Operating Cash Flow = </w:t>
      </w:r>
      <w:r w:rsidRPr="3BDB421E" w:rsidR="1DEAFC24">
        <w:rPr>
          <w:rFonts w:ascii="Times New Roman" w:hAnsi="Times New Roman" w:eastAsia="Times New Roman" w:cs="Times New Roman"/>
          <w:b w:val="1"/>
          <w:bCs w:val="1"/>
          <w:i w:val="0"/>
          <w:iCs w:val="0"/>
          <w:noProof w:val="0"/>
          <w:sz w:val="24"/>
          <w:szCs w:val="24"/>
          <w:lang w:val="en-GB"/>
        </w:rPr>
        <w:t>16,700</w:t>
      </w:r>
    </w:p>
    <w:p w:rsidR="1DEAFC24" w:rsidP="3BDB421E" w:rsidRDefault="1DEAFC24" w14:paraId="459E66F8" w14:textId="548387BA">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1DEAFC24">
        <w:rPr>
          <w:rFonts w:ascii="Times New Roman" w:hAnsi="Times New Roman" w:eastAsia="Times New Roman" w:cs="Times New Roman"/>
          <w:b w:val="0"/>
          <w:bCs w:val="0"/>
          <w:i w:val="0"/>
          <w:iCs w:val="0"/>
          <w:noProof w:val="0"/>
          <w:sz w:val="24"/>
          <w:szCs w:val="24"/>
          <w:lang w:val="en-GB"/>
        </w:rPr>
        <w:t xml:space="preserve">Capital </w:t>
      </w:r>
      <w:r w:rsidRPr="3BDB421E" w:rsidR="1DEAFC24">
        <w:rPr>
          <w:rFonts w:ascii="Times New Roman" w:hAnsi="Times New Roman" w:eastAsia="Times New Roman" w:cs="Times New Roman"/>
          <w:b w:val="0"/>
          <w:bCs w:val="0"/>
          <w:i w:val="0"/>
          <w:iCs w:val="0"/>
          <w:noProof w:val="0"/>
          <w:sz w:val="24"/>
          <w:szCs w:val="24"/>
          <w:lang w:val="en-GB"/>
        </w:rPr>
        <w:t>Expedirture</w:t>
      </w:r>
      <w:r w:rsidRPr="3BDB421E" w:rsidR="1DEAFC24">
        <w:rPr>
          <w:rFonts w:ascii="Times New Roman" w:hAnsi="Times New Roman" w:eastAsia="Times New Roman" w:cs="Times New Roman"/>
          <w:b w:val="0"/>
          <w:bCs w:val="0"/>
          <w:i w:val="0"/>
          <w:iCs w:val="0"/>
          <w:noProof w:val="0"/>
          <w:sz w:val="24"/>
          <w:szCs w:val="24"/>
          <w:lang w:val="en-GB"/>
        </w:rPr>
        <w:t xml:space="preserve"> = </w:t>
      </w:r>
      <w:r w:rsidRPr="3BDB421E" w:rsidR="1DEAFC24">
        <w:rPr>
          <w:rFonts w:ascii="Times New Roman" w:hAnsi="Times New Roman" w:eastAsia="Times New Roman" w:cs="Times New Roman"/>
          <w:b w:val="1"/>
          <w:bCs w:val="1"/>
          <w:i w:val="0"/>
          <w:iCs w:val="0"/>
          <w:noProof w:val="0"/>
          <w:sz w:val="24"/>
          <w:szCs w:val="24"/>
          <w:lang w:val="en-GB"/>
        </w:rPr>
        <w:t>9,800</w:t>
      </w:r>
    </w:p>
    <w:p w:rsidR="1DEAFC24" w:rsidP="3BDB421E" w:rsidRDefault="1DEAFC24" w14:paraId="3C8821EF" w14:textId="4448CADF">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1DEAFC24">
        <w:rPr>
          <w:rFonts w:ascii="Times New Roman" w:hAnsi="Times New Roman" w:eastAsia="Times New Roman" w:cs="Times New Roman"/>
          <w:b w:val="0"/>
          <w:bCs w:val="0"/>
          <w:i w:val="0"/>
          <w:iCs w:val="0"/>
          <w:noProof w:val="0"/>
          <w:sz w:val="24"/>
          <w:szCs w:val="24"/>
          <w:lang w:val="en-GB"/>
        </w:rPr>
        <w:t>FCF = 16,700</w:t>
      </w:r>
      <w:r w:rsidRPr="3BDB421E" w:rsidR="63B6B1D0">
        <w:rPr>
          <w:rFonts w:ascii="Times New Roman" w:hAnsi="Times New Roman" w:eastAsia="Times New Roman" w:cs="Times New Roman"/>
          <w:b w:val="0"/>
          <w:bCs w:val="0"/>
          <w:i w:val="0"/>
          <w:iCs w:val="0"/>
          <w:noProof w:val="0"/>
          <w:sz w:val="24"/>
          <w:szCs w:val="24"/>
          <w:lang w:val="en-GB"/>
        </w:rPr>
        <w:t xml:space="preserve"> – 9,800 = 6,900</w:t>
      </w:r>
    </w:p>
    <w:p w:rsidR="63B6B1D0" w:rsidP="3BDB421E" w:rsidRDefault="63B6B1D0" w14:paraId="752F17E9" w14:textId="25CED0AB">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63B6B1D0">
        <w:rPr>
          <w:rFonts w:ascii="Times New Roman" w:hAnsi="Times New Roman" w:eastAsia="Times New Roman" w:cs="Times New Roman"/>
          <w:b w:val="0"/>
          <w:bCs w:val="0"/>
          <w:i w:val="0"/>
          <w:iCs w:val="0"/>
          <w:noProof w:val="0"/>
          <w:sz w:val="24"/>
          <w:szCs w:val="24"/>
          <w:lang w:val="en-GB"/>
        </w:rPr>
        <w:t>FCF to Sale:</w:t>
      </w:r>
    </w:p>
    <w:p w:rsidR="3BDB421E" w:rsidP="3BDB421E" w:rsidRDefault="3BDB421E" w14:paraId="1F46B9EA" w14:textId="089FF613">
      <w:pPr>
        <w:pStyle w:val="Normal"/>
        <w:suppressLineNumbers w:val="0"/>
        <w:bidi w:val="0"/>
        <w:spacing w:before="120" w:beforeAutospacing="off" w:after="120" w:afterAutospacing="off" w:line="360" w:lineRule="auto"/>
        <w:ind w:left="0" w:right="0"/>
        <w:jc w:val="both"/>
      </w:pPr>
      <m:oMathPara xmlns:m="http://schemas.openxmlformats.org/officeDocument/2006/math">
        <m:oMath xmlns:m="http://schemas.openxmlformats.org/officeDocument/2006/math">
          <m:f xmlns:m="http://schemas.openxmlformats.org/officeDocument/2006/math">
            <m:fPr>
              <m:ctrlPr/>
            </m:fPr>
            <m:num>
              <m:r>
                <m:t>6,900</m:t>
              </m:r>
            </m:num>
            <m:den>
              <m:r>
                <m:t>97,690</m:t>
              </m:r>
            </m:den>
          </m:f>
        </m:oMath>
      </m:oMathPara>
    </w:p>
    <w:p w:rsidR="7BF13F6E" w:rsidP="3BDB421E" w:rsidRDefault="7BF13F6E" w14:paraId="62B13A56" w14:textId="0F0D5B45">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7BF13F6E">
        <w:rPr>
          <w:rFonts w:ascii="Times New Roman" w:hAnsi="Times New Roman" w:eastAsia="Times New Roman" w:cs="Times New Roman"/>
          <w:b w:val="0"/>
          <w:bCs w:val="0"/>
          <w:i w:val="0"/>
          <w:iCs w:val="0"/>
          <w:noProof w:val="0"/>
          <w:sz w:val="24"/>
          <w:szCs w:val="24"/>
          <w:lang w:val="en-GB"/>
        </w:rPr>
        <w:t>= 0.07</w:t>
      </w:r>
    </w:p>
    <w:p w:rsidR="7BF13F6E" w:rsidP="3BDB421E" w:rsidRDefault="7BF13F6E" w14:paraId="1D635CCF" w14:textId="22BECB57">
      <w:pPr>
        <w:pStyle w:val="ListParagraph"/>
        <w:numPr>
          <w:ilvl w:val="0"/>
          <w:numId w:val="3"/>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8"/>
          <w:szCs w:val="28"/>
          <w:lang w:val="en-GB"/>
        </w:rPr>
      </w:pPr>
      <w:r w:rsidRPr="3BDB421E" w:rsidR="7BF13F6E">
        <w:rPr>
          <w:rFonts w:ascii="Times New Roman" w:hAnsi="Times New Roman" w:eastAsia="Times New Roman" w:cs="Times New Roman"/>
          <w:b w:val="1"/>
          <w:bCs w:val="1"/>
          <w:i w:val="0"/>
          <w:iCs w:val="0"/>
          <w:noProof w:val="0"/>
          <w:sz w:val="28"/>
          <w:szCs w:val="28"/>
          <w:lang w:val="en-GB"/>
        </w:rPr>
        <w:t>Working Capital Cycle</w:t>
      </w:r>
    </w:p>
    <w:p w:rsidR="7BF13F6E" w:rsidP="3BDB421E" w:rsidRDefault="7BF13F6E" w14:paraId="1983654F" w14:textId="69676991">
      <w:pPr>
        <w:pStyle w:val="ListParagraph"/>
        <w:numPr>
          <w:ilvl w:val="0"/>
          <w:numId w:val="13"/>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7BF13F6E">
        <w:rPr>
          <w:rFonts w:ascii="Times New Roman" w:hAnsi="Times New Roman" w:eastAsia="Times New Roman" w:cs="Times New Roman"/>
          <w:b w:val="1"/>
          <w:bCs w:val="1"/>
          <w:i w:val="0"/>
          <w:iCs w:val="0"/>
          <w:noProof w:val="0"/>
          <w:sz w:val="24"/>
          <w:szCs w:val="24"/>
          <w:lang w:val="en-GB"/>
        </w:rPr>
        <w:t>Days Inventory Outstanding (DIO)</w:t>
      </w:r>
    </w:p>
    <w:p w:rsidR="4389DC7F" w:rsidP="3BDB421E" w:rsidRDefault="4389DC7F" w14:paraId="259ED7D3" w14:textId="13CBFD65">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4389DC7F">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𝐷𝐼𝑂</m:t>
          </m:r>
          <m:r xmlns:m="http://schemas.openxmlformats.org/officeDocument/2006/math">
            <m:t xmlns:m="http://schemas.openxmlformats.org/officeDocument/2006/math">=</m:t>
          </m:r>
          <m:f xmlns:m="http://schemas.openxmlformats.org/officeDocument/2006/math">
            <m:fPr>
              <m:ctrlPr/>
            </m:fPr>
            <m:num>
              <m:r>
                <m:t>𝐼𝑛𝑣𝑒𝑛𝑡𝑜𝑟𝑦</m:t>
              </m:r>
            </m:num>
            <m:den>
              <m:r>
                <m:t>𝐶𝑜𝑠𝑡</m:t>
              </m:r>
              <m:r>
                <m:t> </m:t>
              </m:r>
              <m:r>
                <m:t>𝑜𝑓</m:t>
              </m:r>
              <m:r>
                <m:t> </m:t>
              </m:r>
              <m:r>
                <m:t>𝑆𝑎𝑙𝑒𝑠</m:t>
              </m:r>
            </m:den>
          </m:f>
          <m:r xmlns:m="http://schemas.openxmlformats.org/officeDocument/2006/math">
            <m:t xmlns:m="http://schemas.openxmlformats.org/officeDocument/2006/math">×365</m:t>
          </m:r>
        </m:oMath>
      </m:oMathPara>
    </w:p>
    <w:p w:rsidR="6610005A" w:rsidP="3BDB421E" w:rsidRDefault="6610005A" w14:paraId="0F5C4834" w14:textId="5C715BCB">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6610005A">
        <w:rPr>
          <w:rFonts w:ascii="Times New Roman" w:hAnsi="Times New Roman" w:eastAsia="Times New Roman" w:cs="Times New Roman"/>
          <w:b w:val="1"/>
          <w:bCs w:val="1"/>
          <w:i w:val="0"/>
          <w:iCs w:val="0"/>
          <w:noProof w:val="0"/>
          <w:sz w:val="24"/>
          <w:szCs w:val="24"/>
          <w:lang w:val="en-GB"/>
        </w:rPr>
        <w:t>Inventory = 22,800</w:t>
      </w:r>
    </w:p>
    <w:p w:rsidR="6610005A" w:rsidP="3BDB421E" w:rsidRDefault="6610005A" w14:paraId="6A7996BC" w14:textId="0C869D54">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6610005A">
        <w:rPr>
          <w:rFonts w:ascii="Times New Roman" w:hAnsi="Times New Roman" w:eastAsia="Times New Roman" w:cs="Times New Roman"/>
          <w:b w:val="1"/>
          <w:bCs w:val="1"/>
          <w:i w:val="0"/>
          <w:iCs w:val="0"/>
          <w:noProof w:val="0"/>
          <w:sz w:val="24"/>
          <w:szCs w:val="24"/>
          <w:lang w:val="en-GB"/>
        </w:rPr>
        <w:t>Cost of Sales = 145,000</w:t>
      </w:r>
    </w:p>
    <w:p w:rsidR="3BDB421E" w:rsidP="3BDB421E" w:rsidRDefault="3BDB421E" w14:paraId="6BFEE7FD" w14:textId="521305B8">
      <w:pPr>
        <w:pStyle w:val="Normal"/>
        <w:suppressLineNumbers w:val="0"/>
        <w:bidi w:val="0"/>
        <w:spacing w:before="120" w:beforeAutospacing="off" w:after="120" w:afterAutospacing="off" w:line="360" w:lineRule="auto"/>
        <w:ind w:left="0" w:right="0"/>
        <w:jc w:val="both"/>
      </w:pPr>
      <m:oMathPara xmlns:m="http://schemas.openxmlformats.org/officeDocument/2006/math">
        <m:oMath xmlns:m="http://schemas.openxmlformats.org/officeDocument/2006/math">
          <m:r xmlns:m="http://schemas.openxmlformats.org/officeDocument/2006/math">
            <m:t xmlns:m="http://schemas.openxmlformats.org/officeDocument/2006/math">𝐷𝐼𝑂</m:t>
          </m:r>
          <m:r xmlns:m="http://schemas.openxmlformats.org/officeDocument/2006/math">
            <m:t xmlns:m="http://schemas.openxmlformats.org/officeDocument/2006/math">=</m:t>
          </m:r>
          <m:f xmlns:m="http://schemas.openxmlformats.org/officeDocument/2006/math">
            <m:fPr>
              <m:ctrlPr/>
            </m:fPr>
            <m:num>
              <m:r>
                <m:t>22,800</m:t>
              </m:r>
            </m:num>
            <m:den>
              <m:r>
                <m:t>145,000</m:t>
              </m:r>
            </m:den>
          </m:f>
          <m:r xmlns:m="http://schemas.openxmlformats.org/officeDocument/2006/math">
            <m:t xmlns:m="http://schemas.openxmlformats.org/officeDocument/2006/math">×365 =57.39 </m:t>
          </m:r>
          <m:r xmlns:m="http://schemas.openxmlformats.org/officeDocument/2006/math">
            <m:t xmlns:m="http://schemas.openxmlformats.org/officeDocument/2006/math">𝑑𝑎𝑦𝑠</m:t>
          </m:r>
        </m:oMath>
      </m:oMathPara>
    </w:p>
    <w:p w:rsidR="2830B5F4" w:rsidP="3BDB421E" w:rsidRDefault="2830B5F4" w14:paraId="3E12E627" w14:textId="1059444C">
      <w:pPr>
        <w:pStyle w:val="ListParagraph"/>
        <w:numPr>
          <w:ilvl w:val="0"/>
          <w:numId w:val="13"/>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2830B5F4">
        <w:rPr>
          <w:rFonts w:ascii="Times New Roman" w:hAnsi="Times New Roman" w:eastAsia="Times New Roman" w:cs="Times New Roman"/>
          <w:b w:val="1"/>
          <w:bCs w:val="1"/>
          <w:i w:val="0"/>
          <w:iCs w:val="0"/>
          <w:noProof w:val="0"/>
          <w:sz w:val="24"/>
          <w:szCs w:val="24"/>
          <w:lang w:val="en-GB"/>
        </w:rPr>
        <w:t>Days Sales Outstanding (DSO)</w:t>
      </w:r>
    </w:p>
    <w:p w:rsidR="515C5F5C" w:rsidP="3BDB421E" w:rsidRDefault="515C5F5C" w14:paraId="2206174F" w14:textId="70391E2F">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515C5F5C">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𝐷𝑆𝑂</m:t>
          </m:r>
          <m:r xmlns:m="http://schemas.openxmlformats.org/officeDocument/2006/math">
            <m:t xmlns:m="http://schemas.openxmlformats.org/officeDocument/2006/math">=</m:t>
          </m:r>
          <m:f xmlns:m="http://schemas.openxmlformats.org/officeDocument/2006/math">
            <m:fPr>
              <m:ctrlPr/>
            </m:fPr>
            <m:num>
              <m:r>
                <m:t>𝐴𝑐𝑐𝑜𝑢𝑛𝑡𝑠</m:t>
              </m:r>
              <m:r>
                <m:t> </m:t>
              </m:r>
              <m:r>
                <m:t>𝑅𝑒𝑐𝑒𝑖𝑣𝑎𝑏𝑙𝑒</m:t>
              </m:r>
            </m:num>
            <m:den>
              <m:r>
                <m:t>𝑅𝑒𝑣𝑒𝑛𝑢𝑒</m:t>
              </m:r>
            </m:den>
          </m:f>
          <m:r xmlns:m="http://schemas.openxmlformats.org/officeDocument/2006/math">
            <m:t xmlns:m="http://schemas.openxmlformats.org/officeDocument/2006/math">×365 </m:t>
          </m:r>
        </m:oMath>
      </m:oMathPara>
    </w:p>
    <w:p w:rsidR="466B9C8C" w:rsidP="3BDB421E" w:rsidRDefault="466B9C8C" w14:paraId="7D8FF721" w14:textId="33722E00">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466B9C8C">
        <w:rPr>
          <w:rFonts w:ascii="Times New Roman" w:hAnsi="Times New Roman" w:eastAsia="Times New Roman" w:cs="Times New Roman"/>
          <w:b w:val="0"/>
          <w:bCs w:val="0"/>
          <w:i w:val="0"/>
          <w:iCs w:val="0"/>
          <w:noProof w:val="0"/>
          <w:sz w:val="24"/>
          <w:szCs w:val="24"/>
          <w:lang w:val="en-GB"/>
        </w:rPr>
        <w:t>Receivable = 4,650</w:t>
      </w:r>
    </w:p>
    <w:p w:rsidR="466B9C8C" w:rsidP="3BDB421E" w:rsidRDefault="466B9C8C" w14:paraId="486E1341" w14:textId="349C77FB">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466B9C8C">
        <w:rPr>
          <w:rFonts w:ascii="Times New Roman" w:hAnsi="Times New Roman" w:eastAsia="Times New Roman" w:cs="Times New Roman"/>
          <w:b w:val="0"/>
          <w:bCs w:val="0"/>
          <w:i w:val="0"/>
          <w:iCs w:val="0"/>
          <w:noProof w:val="0"/>
          <w:sz w:val="24"/>
          <w:szCs w:val="24"/>
          <w:lang w:val="en-GB"/>
        </w:rPr>
        <w:t>Revenue = 97,690</w:t>
      </w:r>
    </w:p>
    <w:p w:rsidR="3BDB421E" w:rsidP="3BDB421E" w:rsidRDefault="3BDB421E" w14:paraId="2AC91E22" w14:textId="3FB01808">
      <w:pPr>
        <w:pStyle w:val="Normal"/>
        <w:suppressLineNumbers w:val="0"/>
        <w:bidi w:val="0"/>
        <w:spacing w:before="120" w:beforeAutospacing="off" w:after="120" w:afterAutospacing="off" w:line="360" w:lineRule="auto"/>
        <w:ind w:left="0" w:right="0"/>
        <w:jc w:val="both"/>
      </w:pPr>
      <m:oMathPara xmlns:m="http://schemas.openxmlformats.org/officeDocument/2006/math">
        <m:oMath xmlns:m="http://schemas.openxmlformats.org/officeDocument/2006/math">
          <m:r xmlns:m="http://schemas.openxmlformats.org/officeDocument/2006/math">
            <m:t xmlns:m="http://schemas.openxmlformats.org/officeDocument/2006/math">𝐷𝑆𝑂</m:t>
          </m:r>
          <m:r xmlns:m="http://schemas.openxmlformats.org/officeDocument/2006/math">
            <m:t xmlns:m="http://schemas.openxmlformats.org/officeDocument/2006/math">=</m:t>
          </m:r>
          <m:f xmlns:m="http://schemas.openxmlformats.org/officeDocument/2006/math">
            <m:fPr>
              <m:ctrlPr/>
            </m:fPr>
            <m:num>
              <m:r>
                <m:t>4,650</m:t>
              </m:r>
            </m:num>
            <m:den>
              <m:r>
                <m:t>97,690</m:t>
              </m:r>
            </m:den>
          </m:f>
          <m:r xmlns:m="http://schemas.openxmlformats.org/officeDocument/2006/math">
            <m:t xmlns:m="http://schemas.openxmlformats.org/officeDocument/2006/math">×365 =17,37 </m:t>
          </m:r>
          <m:r xmlns:m="http://schemas.openxmlformats.org/officeDocument/2006/math">
            <m:t xmlns:m="http://schemas.openxmlformats.org/officeDocument/2006/math">𝑑𝑎𝑦𝑠</m:t>
          </m:r>
        </m:oMath>
      </m:oMathPara>
    </w:p>
    <w:p w:rsidR="066E97CB" w:rsidP="3BDB421E" w:rsidRDefault="066E97CB" w14:paraId="56E471F5" w14:textId="6C58A6C0">
      <w:pPr>
        <w:pStyle w:val="ListParagraph"/>
        <w:numPr>
          <w:ilvl w:val="0"/>
          <w:numId w:val="13"/>
        </w:numPr>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066E97CB">
        <w:rPr>
          <w:rFonts w:ascii="Times New Roman" w:hAnsi="Times New Roman" w:eastAsia="Times New Roman" w:cs="Times New Roman"/>
          <w:b w:val="1"/>
          <w:bCs w:val="1"/>
          <w:i w:val="0"/>
          <w:iCs w:val="0"/>
          <w:noProof w:val="0"/>
          <w:sz w:val="24"/>
          <w:szCs w:val="24"/>
          <w:lang w:val="en-GB"/>
        </w:rPr>
        <w:t>Days Payable Outstanding (DPO)</w:t>
      </w:r>
    </w:p>
    <w:p w:rsidR="48004508" w:rsidP="3BDB421E" w:rsidRDefault="48004508" w14:paraId="1B9A84DC" w14:textId="00851048">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48004508">
        <w:rPr>
          <w:rFonts w:ascii="Times New Roman" w:hAnsi="Times New Roman" w:eastAsia="Times New Roman" w:cs="Times New Roman"/>
          <w:b w:val="1"/>
          <w:bCs w:val="1"/>
          <w:i w:val="0"/>
          <w:iCs w:val="0"/>
          <w:noProof w:val="0"/>
          <w:sz w:val="24"/>
          <w:szCs w:val="24"/>
          <w:lang w:val="en-GB"/>
        </w:rPr>
        <w:t xml:space="preserve">Formula: </w:t>
      </w:r>
      <m:oMathPara xmlns:m="http://schemas.openxmlformats.org/officeDocument/2006/math">
        <m:oMath xmlns:m="http://schemas.openxmlformats.org/officeDocument/2006/math">
          <m:r xmlns:m="http://schemas.openxmlformats.org/officeDocument/2006/math">
            <m:t xmlns:m="http://schemas.openxmlformats.org/officeDocument/2006/math">𝐷𝑃𝑂</m:t>
          </m:r>
          <m:r xmlns:m="http://schemas.openxmlformats.org/officeDocument/2006/math">
            <m:t xmlns:m="http://schemas.openxmlformats.org/officeDocument/2006/math">=</m:t>
          </m:r>
          <m:f xmlns:m="http://schemas.openxmlformats.org/officeDocument/2006/math">
            <m:fPr>
              <m:ctrlPr/>
            </m:fPr>
            <m:num>
              <m:r>
                <m:t>𝐴𝑐𝑐𝑜𝑢𝑛𝑡𝑠</m:t>
              </m:r>
              <m:r>
                <m:t> </m:t>
              </m:r>
              <m:r>
                <m:t>𝑃𝑎𝑦𝑎𝑏𝑙𝑒</m:t>
              </m:r>
            </m:num>
            <m:den>
              <m:r>
                <m:t>𝐶𝑜𝑠𝑡</m:t>
              </m:r>
              <m:r>
                <m:t> </m:t>
              </m:r>
              <m:r>
                <m:t>𝑜𝑓</m:t>
              </m:r>
              <m:r>
                <m:t> </m:t>
              </m:r>
              <m:r>
                <m:t>𝑆𝑎𝑙𝑒𝑠</m:t>
              </m:r>
            </m:den>
          </m:f>
          <m:r xmlns:m="http://schemas.openxmlformats.org/officeDocument/2006/math">
            <m:t xmlns:m="http://schemas.openxmlformats.org/officeDocument/2006/math">×365 </m:t>
          </m:r>
        </m:oMath>
      </m:oMathPara>
    </w:p>
    <w:p w:rsidR="0D4A24E8" w:rsidP="3BDB421E" w:rsidRDefault="0D4A24E8" w14:paraId="1370BBEC" w14:textId="4E5917C8">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0D4A24E8">
        <w:rPr>
          <w:rFonts w:ascii="Times New Roman" w:hAnsi="Times New Roman" w:eastAsia="Times New Roman" w:cs="Times New Roman"/>
          <w:b w:val="0"/>
          <w:bCs w:val="0"/>
          <w:i w:val="0"/>
          <w:iCs w:val="0"/>
          <w:noProof w:val="0"/>
          <w:sz w:val="24"/>
          <w:szCs w:val="24"/>
          <w:lang w:val="en-GB"/>
        </w:rPr>
        <w:t xml:space="preserve">Accounts payable = </w:t>
      </w:r>
      <w:r w:rsidRPr="3BDB421E" w:rsidR="0D4A24E8">
        <w:rPr>
          <w:rFonts w:ascii="Times New Roman" w:hAnsi="Times New Roman" w:eastAsia="Times New Roman" w:cs="Times New Roman"/>
          <w:b w:val="1"/>
          <w:bCs w:val="1"/>
          <w:i w:val="0"/>
          <w:iCs w:val="0"/>
          <w:noProof w:val="0"/>
          <w:sz w:val="24"/>
          <w:szCs w:val="24"/>
          <w:lang w:val="en-GB"/>
        </w:rPr>
        <w:t>24,000</w:t>
      </w:r>
    </w:p>
    <w:p w:rsidR="0D4A24E8" w:rsidP="3BDB421E" w:rsidRDefault="0D4A24E8" w14:paraId="0A6026A7" w14:textId="0D7DFC54">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3BDB421E" w:rsidR="0D4A24E8">
        <w:rPr>
          <w:rFonts w:ascii="Times New Roman" w:hAnsi="Times New Roman" w:eastAsia="Times New Roman" w:cs="Times New Roman"/>
          <w:b w:val="0"/>
          <w:bCs w:val="0"/>
          <w:i w:val="0"/>
          <w:iCs w:val="0"/>
          <w:noProof w:val="0"/>
          <w:sz w:val="24"/>
          <w:szCs w:val="24"/>
          <w:lang w:val="en-GB"/>
        </w:rPr>
        <w:t xml:space="preserve">Cost of Sales = </w:t>
      </w:r>
      <w:r w:rsidRPr="3BDB421E" w:rsidR="0D4A24E8">
        <w:rPr>
          <w:rFonts w:ascii="Times New Roman" w:hAnsi="Times New Roman" w:eastAsia="Times New Roman" w:cs="Times New Roman"/>
          <w:b w:val="1"/>
          <w:bCs w:val="1"/>
          <w:i w:val="0"/>
          <w:iCs w:val="0"/>
          <w:noProof w:val="0"/>
          <w:sz w:val="24"/>
          <w:szCs w:val="24"/>
          <w:lang w:val="en-GB"/>
        </w:rPr>
        <w:t>145,000</w:t>
      </w:r>
    </w:p>
    <w:p w:rsidR="3BDB421E" w:rsidP="3BDB421E" w:rsidRDefault="3BDB421E" w14:paraId="5E947F8E" w14:textId="547DE4F3">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m:oMathPara xmlns:m="http://schemas.openxmlformats.org/officeDocument/2006/math">
        <m:oMath xmlns:m="http://schemas.openxmlformats.org/officeDocument/2006/math">
          <m:r xmlns:m="http://schemas.openxmlformats.org/officeDocument/2006/math">
            <m:t xmlns:m="http://schemas.openxmlformats.org/officeDocument/2006/math">𝐷𝑃𝑂</m:t>
          </m:r>
          <m:r xmlns:m="http://schemas.openxmlformats.org/officeDocument/2006/math">
            <m:t xmlns:m="http://schemas.openxmlformats.org/officeDocument/2006/math">=</m:t>
          </m:r>
          <m:f xmlns:m="http://schemas.openxmlformats.org/officeDocument/2006/math">
            <m:fPr>
              <m:ctrlPr/>
            </m:fPr>
            <m:num>
              <m:r>
                <m:t>24,000</m:t>
              </m:r>
            </m:num>
            <m:den>
              <m:r>
                <m:t>145,000</m:t>
              </m:r>
            </m:den>
          </m:f>
          <m:r xmlns:m="http://schemas.openxmlformats.org/officeDocument/2006/math">
            <m:t xmlns:m="http://schemas.openxmlformats.org/officeDocument/2006/math">×365=61.92 </m:t>
          </m:r>
          <m:r xmlns:m="http://schemas.openxmlformats.org/officeDocument/2006/math">
            <m:t xmlns:m="http://schemas.openxmlformats.org/officeDocument/2006/math">𝑑𝑎𝑦𝑠</m:t>
          </m:r>
          <m:r xmlns:m="http://schemas.openxmlformats.org/officeDocument/2006/math">
            <m:t xmlns:m="http://schemas.openxmlformats.org/officeDocument/2006/math"> </m:t>
          </m:r>
        </m:oMath>
      </m:oMathPara>
    </w:p>
    <w:p w:rsidR="42F22B47" w:rsidP="3BDB421E" w:rsidRDefault="42F22B47" w14:paraId="7D778B4A" w14:textId="0EF9A5F2">
      <w:pPr>
        <w:pStyle w:val="Normal"/>
        <w:suppressLineNumbers w:val="0"/>
        <w:bidi w:val="0"/>
        <w:spacing w:before="120" w:beforeAutospacing="off" w:after="120" w:afterAutospacing="off" w:line="360" w:lineRule="auto"/>
        <w:ind w:right="0"/>
        <w:jc w:val="both"/>
        <w:rPr>
          <w:rFonts w:ascii="Times New Roman" w:hAnsi="Times New Roman" w:eastAsia="Times New Roman" w:cs="Times New Roman"/>
          <w:b w:val="1"/>
          <w:bCs w:val="1"/>
          <w:i w:val="0"/>
          <w:iCs w:val="0"/>
          <w:noProof w:val="0"/>
          <w:sz w:val="24"/>
          <w:szCs w:val="24"/>
          <w:lang w:val="en-GB"/>
        </w:rPr>
      </w:pPr>
      <w:r w:rsidRPr="3BDB421E" w:rsidR="42F22B47">
        <w:rPr>
          <w:rFonts w:ascii="Times New Roman" w:hAnsi="Times New Roman" w:eastAsia="Times New Roman" w:cs="Times New Roman"/>
          <w:b w:val="1"/>
          <w:bCs w:val="1"/>
          <w:i w:val="0"/>
          <w:iCs w:val="0"/>
          <w:noProof w:val="0"/>
          <w:sz w:val="24"/>
          <w:szCs w:val="24"/>
          <w:lang w:val="en-GB"/>
        </w:rPr>
        <w:t>d</w:t>
      </w:r>
      <w:r w:rsidRPr="3BDB421E" w:rsidR="3BDB421E">
        <w:rPr>
          <w:rFonts w:ascii="Times New Roman" w:hAnsi="Times New Roman" w:eastAsia="Times New Roman" w:cs="Times New Roman"/>
          <w:b w:val="1"/>
          <w:bCs w:val="1"/>
          <w:i w:val="0"/>
          <w:iCs w:val="0"/>
          <w:noProof w:val="0"/>
          <w:sz w:val="24"/>
          <w:szCs w:val="24"/>
          <w:lang w:val="en-GB"/>
        </w:rPr>
        <w:t xml:space="preserve">) </w:t>
      </w:r>
      <w:r w:rsidRPr="3BDB421E" w:rsidR="74041045">
        <w:rPr>
          <w:rFonts w:ascii="Times New Roman" w:hAnsi="Times New Roman" w:eastAsia="Times New Roman" w:cs="Times New Roman"/>
          <w:b w:val="1"/>
          <w:bCs w:val="1"/>
          <w:i w:val="0"/>
          <w:iCs w:val="0"/>
          <w:noProof w:val="0"/>
          <w:sz w:val="24"/>
          <w:szCs w:val="24"/>
          <w:lang w:val="en-GB"/>
        </w:rPr>
        <w:t>Cash Operating Cycle</w:t>
      </w:r>
      <w:r w:rsidRPr="3BDB421E" w:rsidR="0B9BEBF8">
        <w:rPr>
          <w:rFonts w:ascii="Times New Roman" w:hAnsi="Times New Roman" w:eastAsia="Times New Roman" w:cs="Times New Roman"/>
          <w:b w:val="1"/>
          <w:bCs w:val="1"/>
          <w:i w:val="0"/>
          <w:iCs w:val="0"/>
          <w:noProof w:val="0"/>
          <w:sz w:val="24"/>
          <w:szCs w:val="24"/>
          <w:lang w:val="en-GB"/>
        </w:rPr>
        <w:t xml:space="preserve"> (COC)</w:t>
      </w:r>
    </w:p>
    <w:p w:rsidR="74041045" w:rsidP="3BDB421E" w:rsidRDefault="74041045" w14:paraId="4CAB9E8B" w14:textId="072D46AE">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74041045">
        <w:rPr>
          <w:rFonts w:ascii="Times New Roman" w:hAnsi="Times New Roman" w:eastAsia="Times New Roman" w:cs="Times New Roman"/>
          <w:b w:val="1"/>
          <w:bCs w:val="1"/>
          <w:i w:val="0"/>
          <w:iCs w:val="0"/>
          <w:noProof w:val="0"/>
          <w:sz w:val="24"/>
          <w:szCs w:val="24"/>
          <w:lang w:val="en-GB"/>
        </w:rPr>
        <w:t>Formula:</w:t>
      </w:r>
    </w:p>
    <w:p w:rsidR="74041045" w:rsidP="3BDB421E" w:rsidRDefault="74041045" w14:paraId="3A61CF9B" w14:textId="108B169D">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74041045">
        <w:rPr>
          <w:rFonts w:ascii="Times New Roman" w:hAnsi="Times New Roman" w:eastAsia="Times New Roman" w:cs="Times New Roman"/>
          <w:b w:val="1"/>
          <w:bCs w:val="1"/>
          <w:i w:val="0"/>
          <w:iCs w:val="0"/>
          <w:noProof w:val="0"/>
          <w:sz w:val="24"/>
          <w:szCs w:val="24"/>
          <w:lang w:val="en-GB"/>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𝐶𝑂𝐶</m:t>
          </m:r>
          <m:r xmlns:m="http://schemas.openxmlformats.org/officeDocument/2006/math">
            <m:t xmlns:m="http://schemas.openxmlformats.org/officeDocument/2006/math">=</m:t>
          </m:r>
          <m:r xmlns:m="http://schemas.openxmlformats.org/officeDocument/2006/math">
            <m:t xmlns:m="http://schemas.openxmlformats.org/officeDocument/2006/math">𝐷𝐼𝑂</m:t>
          </m:r>
          <m:r xmlns:m="http://schemas.openxmlformats.org/officeDocument/2006/math">
            <m:t xmlns:m="http://schemas.openxmlformats.org/officeDocument/2006/math">+</m:t>
          </m:r>
          <m:r xmlns:m="http://schemas.openxmlformats.org/officeDocument/2006/math">
            <m:t xmlns:m="http://schemas.openxmlformats.org/officeDocument/2006/math">𝐷𝑆𝑂</m:t>
          </m:r>
          <m:r xmlns:m="http://schemas.openxmlformats.org/officeDocument/2006/math">
            <m:t xmlns:m="http://schemas.openxmlformats.org/officeDocument/2006/math">−</m:t>
          </m:r>
          <m:r xmlns:m="http://schemas.openxmlformats.org/officeDocument/2006/math">
            <m:t xmlns:m="http://schemas.openxmlformats.org/officeDocument/2006/math">𝐷𝑃𝑂</m:t>
          </m:r>
          <m:r xmlns:m="http://schemas.openxmlformats.org/officeDocument/2006/math">
            <m:t xmlns:m="http://schemas.openxmlformats.org/officeDocument/2006/math">  </m:t>
          </m:r>
        </m:oMath>
      </m:oMathPara>
    </w:p>
    <w:p w:rsidR="3BDB421E" w:rsidP="3BDB421E" w:rsidRDefault="3BDB421E" w14:paraId="6C812E48" w14:textId="28C31B74">
      <w:pPr>
        <w:pStyle w:val="Normal"/>
        <w:suppressLineNumbers w:val="0"/>
        <w:bidi w:val="0"/>
        <w:spacing w:before="120" w:beforeAutospacing="off" w:after="120" w:afterAutospacing="off" w:line="360" w:lineRule="auto"/>
        <w:ind w:left="0" w:right="0"/>
        <w:jc w:val="both"/>
      </w:pPr>
      <m:oMathPara xmlns:m="http://schemas.openxmlformats.org/officeDocument/2006/math">
        <m:oMath xmlns:m="http://schemas.openxmlformats.org/officeDocument/2006/math">
          <m:r xmlns:m="http://schemas.openxmlformats.org/officeDocument/2006/math">
            <m:t xmlns:m="http://schemas.openxmlformats.org/officeDocument/2006/math">𝐶𝑂𝐶</m:t>
          </m:r>
          <m:r xmlns:m="http://schemas.openxmlformats.org/officeDocument/2006/math">
            <m:t xmlns:m="http://schemas.openxmlformats.org/officeDocument/2006/math">=57.39+17.37−61.92 </m:t>
          </m:r>
        </m:oMath>
      </m:oMathPara>
    </w:p>
    <w:p w:rsidR="2FC7DB1F" w:rsidP="3BDB421E" w:rsidRDefault="2FC7DB1F" w14:paraId="4F68C5E9" w14:textId="72AA8100">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r w:rsidRPr="3BDB421E" w:rsidR="2FC7DB1F">
        <w:rPr>
          <w:rFonts w:ascii="Times New Roman" w:hAnsi="Times New Roman" w:eastAsia="Times New Roman" w:cs="Times New Roman"/>
          <w:b w:val="1"/>
          <w:bCs w:val="1"/>
          <w:i w:val="0"/>
          <w:iCs w:val="0"/>
          <w:noProof w:val="0"/>
          <w:sz w:val="24"/>
          <w:szCs w:val="24"/>
          <w:lang w:val="en-GB"/>
        </w:rPr>
        <w:t>COC</w:t>
      </w:r>
      <w:r w:rsidRPr="3BDB421E" w:rsidR="3918723D">
        <w:rPr>
          <w:rFonts w:ascii="Times New Roman" w:hAnsi="Times New Roman" w:eastAsia="Times New Roman" w:cs="Times New Roman"/>
          <w:b w:val="1"/>
          <w:bCs w:val="1"/>
          <w:i w:val="0"/>
          <w:iCs w:val="0"/>
          <w:noProof w:val="0"/>
          <w:sz w:val="24"/>
          <w:szCs w:val="24"/>
          <w:lang w:val="en-GB"/>
        </w:rPr>
        <w:t xml:space="preserve"> = 12.84 days</w:t>
      </w:r>
    </w:p>
    <w:p w:rsidR="3BDB421E" w:rsidP="3BDB421E" w:rsidRDefault="3BDB421E" w14:paraId="6F27A927" w14:textId="3A443391">
      <w:pPr>
        <w:pStyle w:val="Normal"/>
        <w:suppressLineNumbers w:val="0"/>
        <w:bidi w:val="0"/>
        <w:spacing w:before="120" w:beforeAutospacing="off" w:after="120" w:afterAutospacing="off" w:line="360" w:lineRule="auto"/>
        <w:ind w:left="0" w:right="0"/>
        <w:jc w:val="both"/>
        <w:rPr>
          <w:rFonts w:ascii="Times New Roman" w:hAnsi="Times New Roman" w:eastAsia="Times New Roman" w:cs="Times New Roman"/>
          <w:b w:val="1"/>
          <w:bCs w:val="1"/>
          <w:i w:val="0"/>
          <w:iCs w:val="0"/>
          <w:noProof w:val="0"/>
          <w:sz w:val="24"/>
          <w:szCs w:val="24"/>
          <w:lang w:val="en-GB"/>
        </w:rPr>
      </w:pPr>
    </w:p>
    <w:tbl>
      <w:tblPr>
        <w:tblStyle w:val="TableGrid2"/>
        <w:tblW w:w="11250" w:type="dxa"/>
        <w:tblInd w:w="-995" w:type="dxa"/>
        <w:tblLook w:val="04A0" w:firstRow="1" w:lastRow="0" w:firstColumn="1" w:lastColumn="0" w:noHBand="0" w:noVBand="1"/>
      </w:tblPr>
      <w:tblGrid>
        <w:gridCol w:w="1423"/>
        <w:gridCol w:w="1997"/>
        <w:gridCol w:w="2215"/>
        <w:gridCol w:w="1205"/>
        <w:gridCol w:w="1080"/>
        <w:gridCol w:w="1080"/>
        <w:gridCol w:w="1170"/>
        <w:gridCol w:w="1080"/>
      </w:tblGrid>
      <w:tr w:rsidRPr="00922100" w:rsidR="00922100" w:rsidTr="3BDB421E" w14:paraId="0A4CF339" w14:textId="77777777">
        <w:trPr>
          <w:trHeight w:val="375"/>
        </w:trPr>
        <w:tc>
          <w:tcPr>
            <w:tcW w:w="1423" w:type="dxa"/>
            <w:tcMar/>
            <w:hideMark/>
          </w:tcPr>
          <w:p w:rsidRPr="00922100" w:rsidR="00922100" w:rsidP="3BDB421E" w:rsidRDefault="00922100" w14:paraId="5271862C" w14:textId="77777777">
            <w:pPr>
              <w:rPr>
                <w:b w:val="1"/>
                <w:bCs w:val="1"/>
                <w:lang w:val="en-US"/>
              </w:rPr>
            </w:pPr>
            <w:r w:rsidRPr="3BDB421E" w:rsidR="1697CC84">
              <w:rPr>
                <w:b w:val="1"/>
                <w:bCs w:val="1"/>
              </w:rPr>
              <w:t>Category</w:t>
            </w:r>
          </w:p>
        </w:tc>
        <w:tc>
          <w:tcPr>
            <w:tcW w:w="1997" w:type="dxa"/>
            <w:tcMar/>
            <w:hideMark/>
          </w:tcPr>
          <w:p w:rsidRPr="00922100" w:rsidR="00922100" w:rsidP="3BDB421E" w:rsidRDefault="00922100" w14:paraId="68352537" w14:textId="77777777">
            <w:pPr>
              <w:rPr>
                <w:b w:val="1"/>
                <w:bCs w:val="1"/>
              </w:rPr>
            </w:pPr>
            <w:r w:rsidRPr="3BDB421E" w:rsidR="1697CC84">
              <w:rPr>
                <w:b w:val="1"/>
                <w:bCs w:val="1"/>
              </w:rPr>
              <w:t>Ratio Name</w:t>
            </w:r>
          </w:p>
        </w:tc>
        <w:tc>
          <w:tcPr>
            <w:tcW w:w="2215" w:type="dxa"/>
            <w:tcMar/>
            <w:hideMark/>
          </w:tcPr>
          <w:p w:rsidRPr="00922100" w:rsidR="00922100" w:rsidP="3BDB421E" w:rsidRDefault="00922100" w14:paraId="59E1AA03" w14:textId="77777777">
            <w:pPr>
              <w:rPr>
                <w:b w:val="1"/>
                <w:bCs w:val="1"/>
              </w:rPr>
            </w:pPr>
            <w:r w:rsidRPr="3BDB421E" w:rsidR="1697CC84">
              <w:rPr>
                <w:b w:val="1"/>
                <w:bCs w:val="1"/>
              </w:rPr>
              <w:t>Formula</w:t>
            </w:r>
          </w:p>
        </w:tc>
        <w:tc>
          <w:tcPr>
            <w:tcW w:w="1205" w:type="dxa"/>
            <w:tcMar/>
            <w:hideMark/>
          </w:tcPr>
          <w:p w:rsidRPr="00922100" w:rsidR="00922100" w:rsidP="3BDB421E" w:rsidRDefault="00922100" w14:paraId="414418AB" w14:textId="77777777">
            <w:pPr>
              <w:rPr>
                <w:b w:val="1"/>
                <w:bCs w:val="1"/>
              </w:rPr>
            </w:pPr>
            <w:r w:rsidRPr="3BDB421E" w:rsidR="1697CC84">
              <w:rPr>
                <w:b w:val="1"/>
                <w:bCs w:val="1"/>
              </w:rPr>
              <w:t>2025</w:t>
            </w:r>
          </w:p>
        </w:tc>
        <w:tc>
          <w:tcPr>
            <w:tcW w:w="1080" w:type="dxa"/>
            <w:tcMar/>
            <w:hideMark/>
          </w:tcPr>
          <w:p w:rsidRPr="00922100" w:rsidR="00922100" w:rsidP="3BDB421E" w:rsidRDefault="00922100" w14:paraId="6C734151" w14:textId="77777777">
            <w:pPr>
              <w:rPr>
                <w:b w:val="1"/>
                <w:bCs w:val="1"/>
              </w:rPr>
            </w:pPr>
            <w:r w:rsidRPr="3BDB421E" w:rsidR="1697CC84">
              <w:rPr>
                <w:b w:val="1"/>
                <w:bCs w:val="1"/>
              </w:rPr>
              <w:t>2024</w:t>
            </w:r>
          </w:p>
        </w:tc>
        <w:tc>
          <w:tcPr>
            <w:tcW w:w="1080" w:type="dxa"/>
            <w:tcMar/>
            <w:hideMark/>
          </w:tcPr>
          <w:p w:rsidRPr="00922100" w:rsidR="00922100" w:rsidP="3BDB421E" w:rsidRDefault="00922100" w14:paraId="1C9DC188" w14:textId="77777777">
            <w:pPr>
              <w:rPr>
                <w:b w:val="1"/>
                <w:bCs w:val="1"/>
              </w:rPr>
            </w:pPr>
            <w:r w:rsidRPr="3BDB421E" w:rsidR="1697CC84">
              <w:rPr>
                <w:b w:val="1"/>
                <w:bCs w:val="1"/>
              </w:rPr>
              <w:t>2023</w:t>
            </w:r>
          </w:p>
        </w:tc>
        <w:tc>
          <w:tcPr>
            <w:tcW w:w="1170" w:type="dxa"/>
            <w:tcMar/>
            <w:hideMark/>
          </w:tcPr>
          <w:p w:rsidRPr="00922100" w:rsidR="00922100" w:rsidP="3BDB421E" w:rsidRDefault="00922100" w14:paraId="6B1630AE" w14:textId="77777777">
            <w:pPr>
              <w:rPr>
                <w:b w:val="1"/>
                <w:bCs w:val="1"/>
              </w:rPr>
            </w:pPr>
            <w:r w:rsidRPr="3BDB421E" w:rsidR="1697CC84">
              <w:rPr>
                <w:b w:val="1"/>
                <w:bCs w:val="1"/>
              </w:rPr>
              <w:t>2022</w:t>
            </w:r>
          </w:p>
        </w:tc>
        <w:tc>
          <w:tcPr>
            <w:tcW w:w="1080" w:type="dxa"/>
            <w:tcMar/>
            <w:hideMark/>
          </w:tcPr>
          <w:p w:rsidRPr="00922100" w:rsidR="00922100" w:rsidP="3BDB421E" w:rsidRDefault="00922100" w14:paraId="4D567ED8" w14:textId="77777777">
            <w:pPr>
              <w:rPr>
                <w:b w:val="1"/>
                <w:bCs w:val="1"/>
              </w:rPr>
            </w:pPr>
            <w:r w:rsidRPr="3BDB421E" w:rsidR="1697CC84">
              <w:rPr>
                <w:b w:val="1"/>
                <w:bCs w:val="1"/>
              </w:rPr>
              <w:t>2021</w:t>
            </w:r>
          </w:p>
        </w:tc>
      </w:tr>
      <w:tr w:rsidRPr="00922100" w:rsidR="00922100" w:rsidTr="3BDB421E" w14:paraId="5F8E9CC7" w14:textId="77777777">
        <w:trPr>
          <w:trHeight w:val="750"/>
        </w:trPr>
        <w:tc>
          <w:tcPr>
            <w:tcW w:w="1423" w:type="dxa"/>
            <w:vMerge w:val="restart"/>
            <w:tcMar/>
            <w:hideMark/>
          </w:tcPr>
          <w:p w:rsidRPr="00922100" w:rsidR="00922100" w:rsidP="00922100" w:rsidRDefault="00922100" w14:paraId="451B8183" w14:textId="77777777">
            <w:r w:rsidRPr="00922100">
              <w:t>Profitability</w:t>
            </w:r>
          </w:p>
        </w:tc>
        <w:tc>
          <w:tcPr>
            <w:tcW w:w="1997" w:type="dxa"/>
            <w:tcMar/>
            <w:hideMark/>
          </w:tcPr>
          <w:p w:rsidRPr="00922100" w:rsidR="00922100" w:rsidP="00922100" w:rsidRDefault="00922100" w14:paraId="4B445415" w14:textId="77777777">
            <w:r w:rsidRPr="00922100">
              <w:t>Return on Capital Employed (ROCE)</w:t>
            </w:r>
          </w:p>
        </w:tc>
        <w:tc>
          <w:tcPr>
            <w:tcW w:w="2215" w:type="dxa"/>
            <w:tcMar/>
            <w:hideMark/>
          </w:tcPr>
          <w:p w:rsidRPr="00922100" w:rsidR="00922100" w:rsidP="00922100" w:rsidRDefault="00922100" w14:paraId="175A8D23" w14:textId="77777777">
            <w:r w:rsidRPr="00922100">
              <w:t>Operating Profit ÷ Capital Employed × 100</w:t>
            </w:r>
          </w:p>
        </w:tc>
        <w:tc>
          <w:tcPr>
            <w:tcW w:w="1205" w:type="dxa"/>
            <w:tcMar/>
            <w:hideMark/>
          </w:tcPr>
          <w:p w:rsidRPr="00922100" w:rsidR="00922100" w:rsidP="00922100" w:rsidRDefault="00922100" w14:paraId="07E53396" w14:textId="77777777">
            <w:r w:rsidRPr="00922100">
              <w:t>4.10%</w:t>
            </w:r>
          </w:p>
        </w:tc>
        <w:tc>
          <w:tcPr>
            <w:tcW w:w="1080" w:type="dxa"/>
            <w:tcMar/>
            <w:hideMark/>
          </w:tcPr>
          <w:p w:rsidRPr="00922100" w:rsidR="00922100" w:rsidP="00922100" w:rsidRDefault="00922100" w14:paraId="7EF8B9FC" w14:textId="77777777">
            <w:r w:rsidRPr="00922100">
              <w:t>7.59%</w:t>
            </w:r>
          </w:p>
        </w:tc>
        <w:tc>
          <w:tcPr>
            <w:tcW w:w="1080" w:type="dxa"/>
            <w:tcMar/>
            <w:hideMark/>
          </w:tcPr>
          <w:p w:rsidRPr="00922100" w:rsidR="00922100" w:rsidP="00922100" w:rsidRDefault="00922100" w14:paraId="2703F71A" w14:textId="77777777">
            <w:r w:rsidRPr="00922100">
              <w:t>11.42%</w:t>
            </w:r>
          </w:p>
        </w:tc>
        <w:tc>
          <w:tcPr>
            <w:tcW w:w="1170" w:type="dxa"/>
            <w:tcMar/>
            <w:hideMark/>
          </w:tcPr>
          <w:p w:rsidRPr="00922100" w:rsidR="00922100" w:rsidP="00922100" w:rsidRDefault="00922100" w14:paraId="5E2B7257" w14:textId="77777777">
            <w:r w:rsidRPr="00922100">
              <w:t>24.55%</w:t>
            </w:r>
          </w:p>
        </w:tc>
        <w:tc>
          <w:tcPr>
            <w:tcW w:w="1080" w:type="dxa"/>
            <w:tcMar/>
            <w:hideMark/>
          </w:tcPr>
          <w:p w:rsidRPr="00922100" w:rsidR="00922100" w:rsidP="00922100" w:rsidRDefault="00922100" w14:paraId="43CE61E6" w14:textId="77777777">
            <w:r w:rsidRPr="00922100">
              <w:t>15.38%</w:t>
            </w:r>
          </w:p>
        </w:tc>
      </w:tr>
      <w:tr w:rsidRPr="00922100" w:rsidR="00922100" w:rsidTr="3BDB421E" w14:paraId="45973FA1" w14:textId="77777777">
        <w:trPr>
          <w:trHeight w:val="375"/>
        </w:trPr>
        <w:tc>
          <w:tcPr>
            <w:tcW w:w="1423" w:type="dxa"/>
            <w:vMerge/>
            <w:tcMar/>
            <w:hideMark/>
          </w:tcPr>
          <w:p w:rsidRPr="00922100" w:rsidR="00922100" w:rsidRDefault="00922100" w14:paraId="7D217187" w14:textId="77777777"/>
        </w:tc>
        <w:tc>
          <w:tcPr>
            <w:tcW w:w="1997" w:type="dxa"/>
            <w:tcMar/>
            <w:hideMark/>
          </w:tcPr>
          <w:p w:rsidRPr="00922100" w:rsidR="00922100" w:rsidP="00922100" w:rsidRDefault="00922100" w14:paraId="070D5630" w14:textId="77777777">
            <w:r w:rsidRPr="00922100">
              <w:t>Net Profit Margin</w:t>
            </w:r>
          </w:p>
        </w:tc>
        <w:tc>
          <w:tcPr>
            <w:tcW w:w="2215" w:type="dxa"/>
            <w:tcMar/>
            <w:hideMark/>
          </w:tcPr>
          <w:p w:rsidRPr="00922100" w:rsidR="00922100" w:rsidP="00922100" w:rsidRDefault="00922100" w14:paraId="25B01295" w14:textId="77777777">
            <w:r w:rsidRPr="00922100">
              <w:t>Net Profit ÷ Revenue × 100</w:t>
            </w:r>
          </w:p>
        </w:tc>
        <w:tc>
          <w:tcPr>
            <w:tcW w:w="1205" w:type="dxa"/>
            <w:tcMar/>
            <w:hideMark/>
          </w:tcPr>
          <w:p w:rsidRPr="00922100" w:rsidR="00922100" w:rsidP="00922100" w:rsidRDefault="00922100" w14:paraId="6EC598DF" w14:textId="77777777">
            <w:r w:rsidRPr="00922100">
              <w:t>4.07%</w:t>
            </w:r>
          </w:p>
        </w:tc>
        <w:tc>
          <w:tcPr>
            <w:tcW w:w="1080" w:type="dxa"/>
            <w:tcMar/>
            <w:hideMark/>
          </w:tcPr>
          <w:p w:rsidRPr="00922100" w:rsidR="00922100" w:rsidP="00922100" w:rsidRDefault="00922100" w14:paraId="2D868C70" w14:textId="77777777">
            <w:r w:rsidRPr="00922100">
              <w:t>7.32%</w:t>
            </w:r>
          </w:p>
        </w:tc>
        <w:tc>
          <w:tcPr>
            <w:tcW w:w="1080" w:type="dxa"/>
            <w:tcMar/>
            <w:hideMark/>
          </w:tcPr>
          <w:p w:rsidRPr="00922100" w:rsidR="00922100" w:rsidP="00922100" w:rsidRDefault="00922100" w14:paraId="1DC66E0B" w14:textId="466D5D59">
            <w:r w:rsidR="1697CC84">
              <w:rPr/>
              <w:t>15.4</w:t>
            </w:r>
            <w:r w:rsidR="24F15FDB">
              <w:rPr/>
              <w:t>9</w:t>
            </w:r>
            <w:r w:rsidR="1697CC84">
              <w:rPr/>
              <w:t>%</w:t>
            </w:r>
          </w:p>
        </w:tc>
        <w:tc>
          <w:tcPr>
            <w:tcW w:w="1170" w:type="dxa"/>
            <w:tcMar/>
            <w:hideMark/>
          </w:tcPr>
          <w:p w:rsidRPr="00922100" w:rsidR="00922100" w:rsidP="00922100" w:rsidRDefault="00922100" w14:paraId="60786F2A" w14:textId="47FF08E7">
            <w:r w:rsidR="1697CC84">
              <w:rPr/>
              <w:t>15.4</w:t>
            </w:r>
            <w:r w:rsidR="25DF1F9E">
              <w:rPr/>
              <w:t>1</w:t>
            </w:r>
            <w:r w:rsidR="1697CC84">
              <w:rPr/>
              <w:t>%</w:t>
            </w:r>
          </w:p>
        </w:tc>
        <w:tc>
          <w:tcPr>
            <w:tcW w:w="1080" w:type="dxa"/>
            <w:tcMar/>
            <w:hideMark/>
          </w:tcPr>
          <w:p w:rsidRPr="00922100" w:rsidR="00922100" w:rsidP="00922100" w:rsidRDefault="00922100" w14:paraId="074D8FEE" w14:textId="3B54F909">
            <w:r w:rsidR="1697CC84">
              <w:rPr/>
              <w:t>10.</w:t>
            </w:r>
            <w:r w:rsidR="4ABB1FA4">
              <w:rPr/>
              <w:t>25</w:t>
            </w:r>
            <w:r w:rsidR="1697CC84">
              <w:rPr/>
              <w:t>%</w:t>
            </w:r>
          </w:p>
        </w:tc>
      </w:tr>
      <w:tr w:rsidR="3BDB421E" w:rsidTr="3BDB421E" w14:paraId="706CE06B">
        <w:trPr>
          <w:trHeight w:val="300"/>
        </w:trPr>
        <w:tc>
          <w:tcPr>
            <w:tcW w:w="1423" w:type="dxa"/>
            <w:tcMar/>
            <w:hideMark/>
          </w:tcPr>
          <w:p w:rsidR="3BDB421E" w:rsidP="3BDB421E" w:rsidRDefault="3BDB421E" w14:paraId="24CD1A0D" w14:textId="23D44FA0">
            <w:pPr>
              <w:pStyle w:val="Normal"/>
            </w:pPr>
          </w:p>
        </w:tc>
        <w:tc>
          <w:tcPr>
            <w:tcW w:w="1997" w:type="dxa"/>
            <w:tcMar/>
            <w:hideMark/>
          </w:tcPr>
          <w:p w:rsidR="53FD74E7" w:rsidP="3BDB421E" w:rsidRDefault="53FD74E7" w14:paraId="21EB42BB" w14:textId="53468AE0">
            <w:pPr>
              <w:pStyle w:val="Normal"/>
              <w:rPr>
                <w:color w:val="auto"/>
              </w:rPr>
            </w:pPr>
            <w:r w:rsidRPr="3BDB421E" w:rsidR="53FD74E7">
              <w:rPr>
                <w:color w:val="auto"/>
              </w:rPr>
              <w:t xml:space="preserve">Gross </w:t>
            </w:r>
            <w:r w:rsidRPr="3BDB421E" w:rsidR="73BDFFD8">
              <w:rPr>
                <w:color w:val="auto"/>
              </w:rPr>
              <w:t>Profit Margi</w:t>
            </w:r>
            <w:r w:rsidRPr="3BDB421E" w:rsidR="0BD2890B">
              <w:rPr>
                <w:color w:val="auto"/>
              </w:rPr>
              <w:t>n</w:t>
            </w:r>
          </w:p>
        </w:tc>
        <w:tc>
          <w:tcPr>
            <w:tcW w:w="2215" w:type="dxa"/>
            <w:tcMar/>
            <w:hideMark/>
          </w:tcPr>
          <w:p w:rsidR="31DA8D00" w:rsidP="3BDB421E" w:rsidRDefault="31DA8D00" w14:paraId="648CE646" w14:textId="7C4360F7">
            <w:pPr>
              <w:pStyle w:val="Normal"/>
            </w:pPr>
            <w:r w:rsidR="31DA8D00">
              <w:rPr/>
              <w:t xml:space="preserve">Gross </w:t>
            </w:r>
            <w:r w:rsidR="063A3648">
              <w:rPr/>
              <w:t>Profit</w:t>
            </w:r>
            <w:r w:rsidR="31DA8D00">
              <w:rPr/>
              <w:t xml:space="preserve"> </w:t>
            </w:r>
            <w:r w:rsidR="24462EC4">
              <w:rPr/>
              <w:t>÷</w:t>
            </w:r>
            <w:r w:rsidR="61126E0D">
              <w:rPr/>
              <w:t xml:space="preserve"> Revenue </w:t>
            </w:r>
            <w:r w:rsidR="744D117E">
              <w:rPr/>
              <w:t>× 100</w:t>
            </w:r>
          </w:p>
        </w:tc>
        <w:tc>
          <w:tcPr>
            <w:tcW w:w="1205" w:type="dxa"/>
            <w:tcMar/>
            <w:hideMark/>
          </w:tcPr>
          <w:p w:rsidR="234CDFD2" w:rsidP="3BDB421E" w:rsidRDefault="234CDFD2" w14:paraId="4B4E6069" w14:textId="0A24D361">
            <w:pPr>
              <w:pStyle w:val="Normal"/>
            </w:pPr>
            <w:r w:rsidR="234CDFD2">
              <w:rPr/>
              <w:t>19.01%</w:t>
            </w:r>
          </w:p>
        </w:tc>
        <w:tc>
          <w:tcPr>
            <w:tcW w:w="1080" w:type="dxa"/>
            <w:tcMar/>
            <w:hideMark/>
          </w:tcPr>
          <w:p w:rsidR="6F8326EE" w:rsidP="3BDB421E" w:rsidRDefault="6F8326EE" w14:paraId="38517E49" w14:textId="1596A7D2">
            <w:pPr>
              <w:pStyle w:val="Normal"/>
            </w:pPr>
            <w:r w:rsidR="6F8326EE">
              <w:rPr/>
              <w:t>18.25%</w:t>
            </w:r>
          </w:p>
        </w:tc>
        <w:tc>
          <w:tcPr>
            <w:tcW w:w="1080" w:type="dxa"/>
            <w:tcMar/>
            <w:hideMark/>
          </w:tcPr>
          <w:p w:rsidR="6F8326EE" w:rsidP="3BDB421E" w:rsidRDefault="6F8326EE" w14:paraId="2DB20485" w14:textId="1072DC0B">
            <w:pPr>
              <w:pStyle w:val="Normal"/>
            </w:pPr>
            <w:r w:rsidR="6F8326EE">
              <w:rPr/>
              <w:t>24.91%</w:t>
            </w:r>
          </w:p>
        </w:tc>
        <w:tc>
          <w:tcPr>
            <w:tcW w:w="1170" w:type="dxa"/>
            <w:tcMar/>
            <w:hideMark/>
          </w:tcPr>
          <w:p w:rsidR="6F8326EE" w:rsidP="3BDB421E" w:rsidRDefault="6F8326EE" w14:paraId="5DA28EA7" w14:textId="583C7017">
            <w:pPr>
              <w:pStyle w:val="Normal"/>
            </w:pPr>
            <w:r w:rsidR="6F8326EE">
              <w:rPr/>
              <w:t>25.60%</w:t>
            </w:r>
          </w:p>
        </w:tc>
        <w:tc>
          <w:tcPr>
            <w:tcW w:w="1080" w:type="dxa"/>
            <w:tcMar/>
            <w:hideMark/>
          </w:tcPr>
          <w:p w:rsidR="6F8326EE" w:rsidP="3BDB421E" w:rsidRDefault="6F8326EE" w14:paraId="38C4864A" w14:textId="5FB87038">
            <w:pPr>
              <w:pStyle w:val="Normal"/>
            </w:pPr>
            <w:r w:rsidR="6F8326EE">
              <w:rPr/>
              <w:t>25.27%</w:t>
            </w:r>
          </w:p>
        </w:tc>
      </w:tr>
      <w:tr w:rsidR="3BDB421E" w:rsidTr="3BDB421E" w14:paraId="1717DBCB">
        <w:trPr>
          <w:trHeight w:val="300"/>
        </w:trPr>
        <w:tc>
          <w:tcPr>
            <w:tcW w:w="1423" w:type="dxa"/>
            <w:tcMar/>
            <w:hideMark/>
          </w:tcPr>
          <w:p w:rsidR="3BDB421E" w:rsidP="3BDB421E" w:rsidRDefault="3BDB421E" w14:paraId="01579313" w14:textId="4E0BF338">
            <w:pPr>
              <w:pStyle w:val="Normal"/>
              <w:rPr>
                <w:color w:val="auto"/>
              </w:rPr>
            </w:pPr>
          </w:p>
        </w:tc>
        <w:tc>
          <w:tcPr>
            <w:tcW w:w="1997" w:type="dxa"/>
            <w:tcMar/>
            <w:hideMark/>
          </w:tcPr>
          <w:p w:rsidR="43DC9CB7" w:rsidP="3BDB421E" w:rsidRDefault="43DC9CB7" w14:paraId="692F5245" w14:textId="3FAB9449">
            <w:pPr>
              <w:pStyle w:val="Normal"/>
              <w:rPr>
                <w:color w:val="auto"/>
              </w:rPr>
            </w:pPr>
            <w:r w:rsidRPr="3BDB421E" w:rsidR="43DC9CB7">
              <w:rPr>
                <w:color w:val="auto"/>
              </w:rPr>
              <w:t>Operating Profit Margin</w:t>
            </w:r>
          </w:p>
        </w:tc>
        <w:tc>
          <w:tcPr>
            <w:tcW w:w="2215" w:type="dxa"/>
            <w:tcMar/>
            <w:hideMark/>
          </w:tcPr>
          <w:p w:rsidR="148D13C2" w:rsidP="3BDB421E" w:rsidRDefault="148D13C2" w14:paraId="26A075A2" w14:textId="3EF573FB">
            <w:pPr>
              <w:pStyle w:val="Normal"/>
            </w:pPr>
            <w:r w:rsidR="148D13C2">
              <w:rPr/>
              <w:t xml:space="preserve">Operating Profit   ÷ Revenue </w:t>
            </w:r>
            <w:r w:rsidR="3D6593C9">
              <w:rPr/>
              <w:t>× 100</w:t>
            </w:r>
          </w:p>
        </w:tc>
        <w:tc>
          <w:tcPr>
            <w:tcW w:w="1205" w:type="dxa"/>
            <w:tcMar/>
            <w:hideMark/>
          </w:tcPr>
          <w:p w:rsidR="127A33BE" w:rsidP="3BDB421E" w:rsidRDefault="127A33BE" w14:paraId="13C128A6" w14:textId="130D9F57">
            <w:pPr>
              <w:pStyle w:val="Normal"/>
            </w:pPr>
            <w:r w:rsidR="127A33BE">
              <w:rPr/>
              <w:t>3.61%</w:t>
            </w:r>
          </w:p>
        </w:tc>
        <w:tc>
          <w:tcPr>
            <w:tcW w:w="1080" w:type="dxa"/>
            <w:tcMar/>
            <w:hideMark/>
          </w:tcPr>
          <w:p w:rsidR="67E8A949" w:rsidP="3BDB421E" w:rsidRDefault="67E8A949" w14:paraId="6F89375E" w14:textId="492950BA">
            <w:pPr>
              <w:pStyle w:val="Normal"/>
            </w:pPr>
            <w:r w:rsidR="67E8A949">
              <w:rPr/>
              <w:t>7.59%</w:t>
            </w:r>
          </w:p>
        </w:tc>
        <w:tc>
          <w:tcPr>
            <w:tcW w:w="1080" w:type="dxa"/>
            <w:tcMar/>
            <w:hideMark/>
          </w:tcPr>
          <w:p w:rsidR="67E8A949" w:rsidP="3BDB421E" w:rsidRDefault="67E8A949" w14:paraId="06B522F1" w14:textId="2C0086C8">
            <w:pPr>
              <w:pStyle w:val="Normal"/>
            </w:pPr>
            <w:r w:rsidR="67E8A949">
              <w:rPr/>
              <w:t>11.45%</w:t>
            </w:r>
          </w:p>
        </w:tc>
        <w:tc>
          <w:tcPr>
            <w:tcW w:w="1170" w:type="dxa"/>
            <w:tcMar/>
            <w:hideMark/>
          </w:tcPr>
          <w:p w:rsidR="67E8A949" w:rsidP="3BDB421E" w:rsidRDefault="67E8A949" w14:paraId="01CF3AB1" w14:textId="553F3945">
            <w:pPr>
              <w:pStyle w:val="Normal"/>
            </w:pPr>
            <w:r w:rsidR="67E8A949">
              <w:rPr/>
              <w:t>23.62%</w:t>
            </w:r>
          </w:p>
        </w:tc>
        <w:tc>
          <w:tcPr>
            <w:tcW w:w="1080" w:type="dxa"/>
            <w:tcMar/>
            <w:hideMark/>
          </w:tcPr>
          <w:p w:rsidR="67E8A949" w:rsidP="3BDB421E" w:rsidRDefault="67E8A949" w14:paraId="036618C2" w14:textId="36A01D34">
            <w:pPr>
              <w:pStyle w:val="Normal"/>
            </w:pPr>
            <w:r w:rsidR="67E8A949">
              <w:rPr/>
              <w:t>16.08%</w:t>
            </w:r>
          </w:p>
        </w:tc>
      </w:tr>
      <w:tr w:rsidRPr="00922100" w:rsidR="00922100" w:rsidTr="3BDB421E" w14:paraId="47562852" w14:textId="77777777">
        <w:trPr>
          <w:trHeight w:val="750"/>
        </w:trPr>
        <w:tc>
          <w:tcPr>
            <w:tcW w:w="1423" w:type="dxa"/>
            <w:vMerge w:val="restart"/>
            <w:tcMar/>
            <w:hideMark/>
          </w:tcPr>
          <w:p w:rsidRPr="00922100" w:rsidR="00922100" w:rsidP="00922100" w:rsidRDefault="00922100" w14:paraId="5670D6BC" w14:textId="77777777">
            <w:r w:rsidRPr="00922100">
              <w:t>Liquidity</w:t>
            </w:r>
          </w:p>
        </w:tc>
        <w:tc>
          <w:tcPr>
            <w:tcW w:w="1997" w:type="dxa"/>
            <w:tcMar/>
            <w:hideMark/>
          </w:tcPr>
          <w:p w:rsidRPr="00922100" w:rsidR="00922100" w:rsidP="00922100" w:rsidRDefault="00922100" w14:paraId="41EABC91" w14:textId="77777777">
            <w:r w:rsidRPr="00922100">
              <w:t>Current Ratio</w:t>
            </w:r>
          </w:p>
        </w:tc>
        <w:tc>
          <w:tcPr>
            <w:tcW w:w="2215" w:type="dxa"/>
            <w:tcMar/>
            <w:hideMark/>
          </w:tcPr>
          <w:p w:rsidRPr="00922100" w:rsidR="00922100" w:rsidP="00922100" w:rsidRDefault="00922100" w14:paraId="6550F172" w14:textId="77777777">
            <w:r w:rsidRPr="00922100">
              <w:t>Current Assets ÷ Current Liabilities</w:t>
            </w:r>
          </w:p>
        </w:tc>
        <w:tc>
          <w:tcPr>
            <w:tcW w:w="1205" w:type="dxa"/>
            <w:tcMar/>
            <w:hideMark/>
          </w:tcPr>
          <w:p w:rsidRPr="00922100" w:rsidR="00922100" w:rsidP="00922100" w:rsidRDefault="00922100" w14:paraId="6D4B9C65" w14:textId="67589963">
            <w:r w:rsidR="2F5C9DBA">
              <w:rPr/>
              <w:t xml:space="preserve">       </w:t>
            </w:r>
            <w:r w:rsidR="1697CC84">
              <w:rPr/>
              <w:t xml:space="preserve">2.16 </w:t>
            </w:r>
          </w:p>
        </w:tc>
        <w:tc>
          <w:tcPr>
            <w:tcW w:w="1080" w:type="dxa"/>
            <w:tcMar/>
            <w:hideMark/>
          </w:tcPr>
          <w:p w:rsidRPr="00922100" w:rsidR="00922100" w:rsidP="00922100" w:rsidRDefault="00922100" w14:paraId="08BBC3CF" w14:textId="77777777">
            <w:r w:rsidRPr="00922100">
              <w:t xml:space="preserve">       2.02 </w:t>
            </w:r>
          </w:p>
        </w:tc>
        <w:tc>
          <w:tcPr>
            <w:tcW w:w="1080" w:type="dxa"/>
            <w:tcMar/>
            <w:hideMark/>
          </w:tcPr>
          <w:p w:rsidRPr="00922100" w:rsidR="00922100" w:rsidP="00922100" w:rsidRDefault="00922100" w14:paraId="26538C15" w14:textId="77777777">
            <w:r w:rsidRPr="00922100">
              <w:t xml:space="preserve">       1.73 </w:t>
            </w:r>
          </w:p>
        </w:tc>
        <w:tc>
          <w:tcPr>
            <w:tcW w:w="1170" w:type="dxa"/>
            <w:tcMar/>
            <w:hideMark/>
          </w:tcPr>
          <w:p w:rsidRPr="00922100" w:rsidR="00922100" w:rsidP="00922100" w:rsidRDefault="00922100" w14:paraId="6E31B7BA" w14:textId="77777777">
            <w:r w:rsidRPr="00922100">
              <w:t xml:space="preserve">       1.53 </w:t>
            </w:r>
          </w:p>
        </w:tc>
        <w:tc>
          <w:tcPr>
            <w:tcW w:w="1080" w:type="dxa"/>
            <w:tcMar/>
            <w:hideMark/>
          </w:tcPr>
          <w:p w:rsidRPr="00922100" w:rsidR="00922100" w:rsidP="00922100" w:rsidRDefault="00922100" w14:paraId="046239F5" w14:textId="77777777">
            <w:r w:rsidRPr="00922100">
              <w:t xml:space="preserve">       1.38 </w:t>
            </w:r>
          </w:p>
        </w:tc>
      </w:tr>
      <w:tr w:rsidRPr="00922100" w:rsidR="00922100" w:rsidTr="3BDB421E" w14:paraId="06B5FBD6" w14:textId="77777777">
        <w:trPr>
          <w:trHeight w:val="750"/>
        </w:trPr>
        <w:tc>
          <w:tcPr>
            <w:tcW w:w="1423" w:type="dxa"/>
            <w:vMerge/>
            <w:tcMar/>
            <w:hideMark/>
          </w:tcPr>
          <w:p w:rsidRPr="00922100" w:rsidR="00922100" w:rsidRDefault="00922100" w14:paraId="4F55B418" w14:textId="77777777"/>
        </w:tc>
        <w:tc>
          <w:tcPr>
            <w:tcW w:w="1997" w:type="dxa"/>
            <w:tcMar/>
            <w:hideMark/>
          </w:tcPr>
          <w:p w:rsidRPr="00922100" w:rsidR="00922100" w:rsidP="00922100" w:rsidRDefault="00922100" w14:paraId="25EAE28C" w14:textId="77777777">
            <w:r w:rsidRPr="00922100">
              <w:t>Quick Ratio (Acid Test Ratio)</w:t>
            </w:r>
          </w:p>
        </w:tc>
        <w:tc>
          <w:tcPr>
            <w:tcW w:w="2215" w:type="dxa"/>
            <w:tcMar/>
            <w:hideMark/>
          </w:tcPr>
          <w:p w:rsidRPr="00922100" w:rsidR="00922100" w:rsidP="00922100" w:rsidRDefault="00922100" w14:paraId="3F01E8EE" w14:textId="77777777">
            <w:r w:rsidRPr="00922100">
              <w:t>(Current Assets − Inventory) ÷ Current Liabilities</w:t>
            </w:r>
          </w:p>
        </w:tc>
        <w:tc>
          <w:tcPr>
            <w:tcW w:w="1205" w:type="dxa"/>
            <w:tcMar/>
            <w:hideMark/>
          </w:tcPr>
          <w:p w:rsidRPr="00922100" w:rsidR="00922100" w:rsidP="00922100" w:rsidRDefault="00922100" w14:paraId="4751C4A8" w14:textId="77777777">
            <w:r w:rsidRPr="00922100">
              <w:t xml:space="preserve">       1.53 </w:t>
            </w:r>
          </w:p>
        </w:tc>
        <w:tc>
          <w:tcPr>
            <w:tcW w:w="1080" w:type="dxa"/>
            <w:tcMar/>
            <w:hideMark/>
          </w:tcPr>
          <w:p w:rsidRPr="00922100" w:rsidR="00922100" w:rsidP="00922100" w:rsidRDefault="00922100" w14:paraId="26F244D6" w14:textId="77777777">
            <w:r w:rsidRPr="00922100">
              <w:t xml:space="preserve">       1.42 </w:t>
            </w:r>
          </w:p>
        </w:tc>
        <w:tc>
          <w:tcPr>
            <w:tcW w:w="1080" w:type="dxa"/>
            <w:tcMar/>
            <w:hideMark/>
          </w:tcPr>
          <w:p w:rsidRPr="00922100" w:rsidR="00922100" w:rsidP="00922100" w:rsidRDefault="00922100" w14:paraId="37479D7C" w14:textId="77777777">
            <w:r w:rsidRPr="00922100">
              <w:t xml:space="preserve">       1.13 </w:t>
            </w:r>
          </w:p>
        </w:tc>
        <w:tc>
          <w:tcPr>
            <w:tcW w:w="1170" w:type="dxa"/>
            <w:tcMar/>
            <w:hideMark/>
          </w:tcPr>
          <w:p w:rsidRPr="00922100" w:rsidR="00922100" w:rsidP="00922100" w:rsidRDefault="00922100" w14:paraId="51716C6C" w14:textId="77777777">
            <w:r w:rsidRPr="00922100">
              <w:t xml:space="preserve">       0.94 </w:t>
            </w:r>
          </w:p>
        </w:tc>
        <w:tc>
          <w:tcPr>
            <w:tcW w:w="1080" w:type="dxa"/>
            <w:tcMar/>
            <w:hideMark/>
          </w:tcPr>
          <w:p w:rsidRPr="00922100" w:rsidR="00922100" w:rsidP="00922100" w:rsidRDefault="00922100" w14:paraId="075944ED" w14:textId="77777777">
            <w:r w:rsidRPr="00922100">
              <w:t xml:space="preserve">       1.00 </w:t>
            </w:r>
          </w:p>
        </w:tc>
      </w:tr>
      <w:tr w:rsidRPr="00922100" w:rsidR="00922100" w:rsidTr="3BDB421E" w14:paraId="584890A8" w14:textId="77777777">
        <w:trPr>
          <w:trHeight w:val="375"/>
        </w:trPr>
        <w:tc>
          <w:tcPr>
            <w:tcW w:w="1423" w:type="dxa"/>
            <w:vMerge w:val="restart"/>
            <w:tcMar/>
            <w:hideMark/>
          </w:tcPr>
          <w:p w:rsidRPr="00922100" w:rsidR="00922100" w:rsidP="00922100" w:rsidRDefault="00922100" w14:paraId="0E8AFC04" w14:textId="77777777">
            <w:r w:rsidRPr="00922100">
              <w:t>Efficiency</w:t>
            </w:r>
          </w:p>
        </w:tc>
        <w:tc>
          <w:tcPr>
            <w:tcW w:w="1997" w:type="dxa"/>
            <w:tcMar/>
            <w:hideMark/>
          </w:tcPr>
          <w:p w:rsidRPr="00922100" w:rsidR="00922100" w:rsidP="00922100" w:rsidRDefault="00922100" w14:paraId="04F2CC92" w14:textId="77777777">
            <w:r w:rsidRPr="00922100">
              <w:t>Asset Turnover</w:t>
            </w:r>
          </w:p>
        </w:tc>
        <w:tc>
          <w:tcPr>
            <w:tcW w:w="2215" w:type="dxa"/>
            <w:tcMar/>
            <w:hideMark/>
          </w:tcPr>
          <w:p w:rsidRPr="00922100" w:rsidR="00922100" w:rsidP="00922100" w:rsidRDefault="00922100" w14:paraId="719EA978" w14:textId="77777777">
            <w:r w:rsidRPr="00922100">
              <w:t>Revenue ÷ Capital Employed</w:t>
            </w:r>
          </w:p>
        </w:tc>
        <w:tc>
          <w:tcPr>
            <w:tcW w:w="1205" w:type="dxa"/>
            <w:tcMar/>
            <w:hideMark/>
          </w:tcPr>
          <w:p w:rsidRPr="00922100" w:rsidR="00922100" w:rsidP="00922100" w:rsidRDefault="00922100" w14:paraId="6ED855C7" w14:textId="77777777">
            <w:r w:rsidRPr="00922100">
              <w:t xml:space="preserve">       0.89 </w:t>
            </w:r>
          </w:p>
        </w:tc>
        <w:tc>
          <w:tcPr>
            <w:tcW w:w="1080" w:type="dxa"/>
            <w:tcMar/>
            <w:hideMark/>
          </w:tcPr>
          <w:p w:rsidRPr="00922100" w:rsidR="00922100" w:rsidP="00922100" w:rsidRDefault="00922100" w14:paraId="7C5FB6CA" w14:textId="77777777">
            <w:r w:rsidRPr="00922100">
              <w:t xml:space="preserve">       1.05 </w:t>
            </w:r>
          </w:p>
        </w:tc>
        <w:tc>
          <w:tcPr>
            <w:tcW w:w="1080" w:type="dxa"/>
            <w:tcMar/>
            <w:hideMark/>
          </w:tcPr>
          <w:p w:rsidRPr="00922100" w:rsidR="00922100" w:rsidP="00922100" w:rsidRDefault="00922100" w14:paraId="7EF45B31" w14:textId="77777777">
            <w:r w:rsidRPr="00922100">
              <w:t xml:space="preserve">       1.24 </w:t>
            </w:r>
          </w:p>
        </w:tc>
        <w:tc>
          <w:tcPr>
            <w:tcW w:w="1170" w:type="dxa"/>
            <w:tcMar/>
            <w:hideMark/>
          </w:tcPr>
          <w:p w:rsidRPr="00922100" w:rsidR="00922100" w:rsidP="00922100" w:rsidRDefault="00922100" w14:paraId="7F5B51B8" w14:textId="77777777">
            <w:r w:rsidRPr="00922100">
              <w:t xml:space="preserve">       1.46 </w:t>
            </w:r>
          </w:p>
        </w:tc>
        <w:tc>
          <w:tcPr>
            <w:tcW w:w="1080" w:type="dxa"/>
            <w:tcMar/>
            <w:hideMark/>
          </w:tcPr>
          <w:p w:rsidRPr="00922100" w:rsidR="00922100" w:rsidP="00922100" w:rsidRDefault="00922100" w14:paraId="6D5B07D6" w14:textId="77777777">
            <w:r w:rsidRPr="00922100">
              <w:t xml:space="preserve">       1.27 </w:t>
            </w:r>
          </w:p>
        </w:tc>
      </w:tr>
      <w:tr w:rsidRPr="00922100" w:rsidR="00922100" w:rsidTr="3BDB421E" w14:paraId="215EF24B" w14:textId="77777777">
        <w:trPr>
          <w:trHeight w:val="750"/>
        </w:trPr>
        <w:tc>
          <w:tcPr>
            <w:tcW w:w="1423" w:type="dxa"/>
            <w:vMerge/>
            <w:tcMar/>
            <w:hideMark/>
          </w:tcPr>
          <w:p w:rsidRPr="00922100" w:rsidR="00922100" w:rsidRDefault="00922100" w14:paraId="72E256DE" w14:textId="77777777"/>
        </w:tc>
        <w:tc>
          <w:tcPr>
            <w:tcW w:w="1997" w:type="dxa"/>
            <w:tcMar/>
            <w:hideMark/>
          </w:tcPr>
          <w:p w:rsidRPr="00922100" w:rsidR="00922100" w:rsidP="00922100" w:rsidRDefault="00922100" w14:paraId="702B7AAE" w14:textId="77777777">
            <w:r w:rsidRPr="00922100">
              <w:t>Inventory Turnover</w:t>
            </w:r>
          </w:p>
        </w:tc>
        <w:tc>
          <w:tcPr>
            <w:tcW w:w="2215" w:type="dxa"/>
            <w:tcMar/>
            <w:hideMark/>
          </w:tcPr>
          <w:p w:rsidRPr="00922100" w:rsidR="00922100" w:rsidP="00922100" w:rsidRDefault="00922100" w14:paraId="4F0E651D" w14:textId="77777777">
            <w:r w:rsidRPr="00922100">
              <w:t>Cost of Sales ÷ Average Inventory</w:t>
            </w:r>
          </w:p>
        </w:tc>
        <w:tc>
          <w:tcPr>
            <w:tcW w:w="1205" w:type="dxa"/>
            <w:tcMar/>
            <w:hideMark/>
          </w:tcPr>
          <w:p w:rsidRPr="00922100" w:rsidR="00922100" w:rsidP="00922100" w:rsidRDefault="00922100" w14:paraId="7649E5C5" w14:textId="77777777">
            <w:r w:rsidRPr="00922100">
              <w:t xml:space="preserve">       6.27 </w:t>
            </w:r>
          </w:p>
        </w:tc>
        <w:tc>
          <w:tcPr>
            <w:tcW w:w="1080" w:type="dxa"/>
            <w:tcMar/>
            <w:hideMark/>
          </w:tcPr>
          <w:p w:rsidRPr="00922100" w:rsidR="00922100" w:rsidP="00922100" w:rsidRDefault="00922100" w14:paraId="0C00A769" w14:textId="77777777">
            <w:r w:rsidRPr="00922100">
              <w:t xml:space="preserve">       6.68 </w:t>
            </w:r>
          </w:p>
        </w:tc>
        <w:tc>
          <w:tcPr>
            <w:tcW w:w="1080" w:type="dxa"/>
            <w:tcMar/>
            <w:hideMark/>
          </w:tcPr>
          <w:p w:rsidRPr="00922100" w:rsidR="00922100" w:rsidP="00922100" w:rsidRDefault="00922100" w14:paraId="10232FE7" w14:textId="77777777">
            <w:r w:rsidRPr="00922100">
              <w:t xml:space="preserve">       5.81 </w:t>
            </w:r>
          </w:p>
        </w:tc>
        <w:tc>
          <w:tcPr>
            <w:tcW w:w="1170" w:type="dxa"/>
            <w:tcMar/>
            <w:hideMark/>
          </w:tcPr>
          <w:p w:rsidRPr="00922100" w:rsidR="00922100" w:rsidP="00922100" w:rsidRDefault="00922100" w14:paraId="30F172B5" w14:textId="77777777">
            <w:r w:rsidRPr="00922100">
              <w:t xml:space="preserve">       4.72 </w:t>
            </w:r>
          </w:p>
        </w:tc>
        <w:tc>
          <w:tcPr>
            <w:tcW w:w="1080" w:type="dxa"/>
            <w:tcMar/>
            <w:hideMark/>
          </w:tcPr>
          <w:p w:rsidRPr="00922100" w:rsidR="00922100" w:rsidP="00922100" w:rsidRDefault="00922100" w14:paraId="39CA4FAA" w14:textId="77777777">
            <w:r w:rsidRPr="00922100">
              <w:t xml:space="preserve">       6.99 </w:t>
            </w:r>
          </w:p>
        </w:tc>
      </w:tr>
      <w:tr w:rsidR="3BDB421E" w:rsidTr="3BDB421E" w14:paraId="79E7E034">
        <w:trPr>
          <w:trHeight w:val="750"/>
        </w:trPr>
        <w:tc>
          <w:tcPr>
            <w:tcW w:w="1423" w:type="dxa"/>
            <w:tcMar/>
            <w:hideMark/>
          </w:tcPr>
          <w:p w:rsidR="3BDB421E" w:rsidP="3BDB421E" w:rsidRDefault="3BDB421E" w14:paraId="58ACAB96" w14:textId="15D25F32">
            <w:pPr>
              <w:pStyle w:val="Normal"/>
            </w:pPr>
          </w:p>
        </w:tc>
        <w:tc>
          <w:tcPr>
            <w:tcW w:w="1997" w:type="dxa"/>
            <w:tcMar/>
            <w:hideMark/>
          </w:tcPr>
          <w:p w:rsidR="1FEC8E15" w:rsidP="3BDB421E" w:rsidRDefault="1FEC8E15" w14:paraId="08D2EDE7" w14:textId="50FC0C57">
            <w:pPr>
              <w:pStyle w:val="Normal"/>
            </w:pPr>
            <w:r w:rsidR="1FEC8E15">
              <w:rPr/>
              <w:t>Days sales Outstanding</w:t>
            </w:r>
            <w:r w:rsidR="30B2F499">
              <w:rPr/>
              <w:t xml:space="preserve"> (DSO)</w:t>
            </w:r>
          </w:p>
        </w:tc>
        <w:tc>
          <w:tcPr>
            <w:tcW w:w="2215" w:type="dxa"/>
            <w:tcMar/>
            <w:hideMark/>
          </w:tcPr>
          <w:p w:rsidR="30B2F499" w:rsidP="3BDB421E" w:rsidRDefault="30B2F499" w14:paraId="5862DA96" w14:textId="0A98B037">
            <w:pPr>
              <w:pStyle w:val="Normal"/>
            </w:pPr>
            <w:r w:rsidR="30B2F499">
              <w:rPr/>
              <w:t>Accounts Receivable</w:t>
            </w:r>
            <w:r w:rsidR="7E1F16CA">
              <w:rPr/>
              <w:t xml:space="preserve"> ÷ Revenue × 365</w:t>
            </w:r>
          </w:p>
        </w:tc>
        <w:tc>
          <w:tcPr>
            <w:tcW w:w="1205" w:type="dxa"/>
            <w:tcMar/>
            <w:hideMark/>
          </w:tcPr>
          <w:p w:rsidR="30B2F499" w:rsidP="3BDB421E" w:rsidRDefault="30B2F499" w14:paraId="1C24581E" w14:textId="0A3D9FA3">
            <w:pPr>
              <w:pStyle w:val="Normal"/>
            </w:pPr>
            <w:r w:rsidR="30B2F499">
              <w:rPr/>
              <w:t>17.37</w:t>
            </w:r>
          </w:p>
        </w:tc>
        <w:tc>
          <w:tcPr>
            <w:tcW w:w="1080" w:type="dxa"/>
            <w:tcMar/>
            <w:hideMark/>
          </w:tcPr>
          <w:p w:rsidR="30B2F499" w:rsidP="3BDB421E" w:rsidRDefault="30B2F499" w14:paraId="3020D71E" w14:textId="23F7912F">
            <w:pPr>
              <w:pStyle w:val="Normal"/>
            </w:pPr>
            <w:r w:rsidR="30B2F499">
              <w:rPr/>
              <w:t>16.28</w:t>
            </w:r>
          </w:p>
        </w:tc>
        <w:tc>
          <w:tcPr>
            <w:tcW w:w="1080" w:type="dxa"/>
            <w:tcMar/>
            <w:hideMark/>
          </w:tcPr>
          <w:p w:rsidR="30B2F499" w:rsidP="3BDB421E" w:rsidRDefault="30B2F499" w14:paraId="3694E516" w14:textId="22262690">
            <w:pPr>
              <w:pStyle w:val="Normal"/>
            </w:pPr>
            <w:r w:rsidR="30B2F499">
              <w:rPr/>
              <w:t>13.05</w:t>
            </w:r>
          </w:p>
        </w:tc>
        <w:tc>
          <w:tcPr>
            <w:tcW w:w="1170" w:type="dxa"/>
            <w:tcMar/>
            <w:hideMark/>
          </w:tcPr>
          <w:p w:rsidR="30B2F499" w:rsidP="3BDB421E" w:rsidRDefault="30B2F499" w14:paraId="117F3692" w14:textId="7A858BDB">
            <w:pPr>
              <w:pStyle w:val="Normal"/>
            </w:pPr>
            <w:r w:rsidR="30B2F499">
              <w:rPr/>
              <w:t>13.05</w:t>
            </w:r>
          </w:p>
        </w:tc>
        <w:tc>
          <w:tcPr>
            <w:tcW w:w="1080" w:type="dxa"/>
            <w:tcMar/>
            <w:hideMark/>
          </w:tcPr>
          <w:p w:rsidR="30B2F499" w:rsidP="3BDB421E" w:rsidRDefault="30B2F499" w14:paraId="3A59DFC4" w14:textId="0B8F3E73">
            <w:pPr>
              <w:pStyle w:val="Normal"/>
            </w:pPr>
            <w:r w:rsidR="30B2F499">
              <w:rPr/>
              <w:t>12.80</w:t>
            </w:r>
          </w:p>
        </w:tc>
      </w:tr>
      <w:tr w:rsidRPr="00922100" w:rsidR="00922100" w:rsidTr="3BDB421E" w14:paraId="3C14F08C" w14:textId="77777777">
        <w:trPr>
          <w:trHeight w:val="375"/>
        </w:trPr>
        <w:tc>
          <w:tcPr>
            <w:tcW w:w="1423" w:type="dxa"/>
            <w:vMerge w:val="restart"/>
            <w:tcMar/>
            <w:hideMark/>
          </w:tcPr>
          <w:p w:rsidRPr="00922100" w:rsidR="00922100" w:rsidP="00922100" w:rsidRDefault="00922100" w14:paraId="5281F04D" w14:textId="77777777">
            <w:r w:rsidRPr="00922100">
              <w:t>Gearing</w:t>
            </w:r>
          </w:p>
        </w:tc>
        <w:tc>
          <w:tcPr>
            <w:tcW w:w="1997" w:type="dxa"/>
            <w:tcMar/>
            <w:hideMark/>
          </w:tcPr>
          <w:p w:rsidRPr="00922100" w:rsidR="00922100" w:rsidP="00922100" w:rsidRDefault="00922100" w14:paraId="5DEC97A2" w14:textId="77777777">
            <w:r w:rsidRPr="00922100">
              <w:t>Debt-to-Equity Ratio</w:t>
            </w:r>
          </w:p>
        </w:tc>
        <w:tc>
          <w:tcPr>
            <w:tcW w:w="2215" w:type="dxa"/>
            <w:tcMar/>
            <w:hideMark/>
          </w:tcPr>
          <w:p w:rsidRPr="00922100" w:rsidR="00922100" w:rsidP="00922100" w:rsidRDefault="00922100" w14:paraId="5881FDA3" w14:textId="77777777">
            <w:r w:rsidRPr="00922100">
              <w:t>Total Debt ÷ Total Equity</w:t>
            </w:r>
          </w:p>
        </w:tc>
        <w:tc>
          <w:tcPr>
            <w:tcW w:w="1205" w:type="dxa"/>
            <w:tcMar/>
            <w:hideMark/>
          </w:tcPr>
          <w:p w:rsidRPr="00922100" w:rsidR="00922100" w:rsidP="00922100" w:rsidRDefault="00922100" w14:paraId="0DEC439D" w14:textId="77777777">
            <w:r w:rsidRPr="00922100">
              <w:t xml:space="preserve">       0.67 </w:t>
            </w:r>
          </w:p>
        </w:tc>
        <w:tc>
          <w:tcPr>
            <w:tcW w:w="1080" w:type="dxa"/>
            <w:tcMar/>
            <w:hideMark/>
          </w:tcPr>
          <w:p w:rsidRPr="00922100" w:rsidR="00922100" w:rsidP="00922100" w:rsidRDefault="00922100" w14:paraId="3BEA9901" w14:textId="77777777">
            <w:r w:rsidRPr="00922100">
              <w:t xml:space="preserve">       0.66 </w:t>
            </w:r>
          </w:p>
        </w:tc>
        <w:tc>
          <w:tcPr>
            <w:tcW w:w="1080" w:type="dxa"/>
            <w:tcMar/>
            <w:hideMark/>
          </w:tcPr>
          <w:p w:rsidRPr="00922100" w:rsidR="00922100" w:rsidP="00922100" w:rsidRDefault="00922100" w14:paraId="31FC9355" w14:textId="77777777">
            <w:r w:rsidRPr="00922100">
              <w:t xml:space="preserve">       0.69 </w:t>
            </w:r>
          </w:p>
        </w:tc>
        <w:tc>
          <w:tcPr>
            <w:tcW w:w="1170" w:type="dxa"/>
            <w:tcMar/>
            <w:hideMark/>
          </w:tcPr>
          <w:p w:rsidRPr="00922100" w:rsidR="00922100" w:rsidP="00922100" w:rsidRDefault="00922100" w14:paraId="41ACE0CC" w14:textId="77777777">
            <w:r w:rsidRPr="00922100">
              <w:t xml:space="preserve">       0.82 </w:t>
            </w:r>
          </w:p>
        </w:tc>
        <w:tc>
          <w:tcPr>
            <w:tcW w:w="1080" w:type="dxa"/>
            <w:tcMar/>
            <w:hideMark/>
          </w:tcPr>
          <w:p w:rsidRPr="00922100" w:rsidR="00922100" w:rsidP="00922100" w:rsidRDefault="00922100" w14:paraId="2038BF70" w14:textId="77777777">
            <w:r w:rsidRPr="00922100">
              <w:t xml:space="preserve">       1.01 </w:t>
            </w:r>
          </w:p>
        </w:tc>
      </w:tr>
      <w:tr w:rsidRPr="00922100" w:rsidR="00922100" w:rsidTr="3BDB421E" w14:paraId="3EEDEAA0" w14:textId="77777777">
        <w:trPr>
          <w:trHeight w:val="750"/>
        </w:trPr>
        <w:tc>
          <w:tcPr>
            <w:tcW w:w="1423" w:type="dxa"/>
            <w:vMerge/>
            <w:tcMar/>
            <w:hideMark/>
          </w:tcPr>
          <w:p w:rsidRPr="00922100" w:rsidR="00922100" w:rsidRDefault="00922100" w14:paraId="0A5D01EE" w14:textId="77777777"/>
        </w:tc>
        <w:tc>
          <w:tcPr>
            <w:tcW w:w="1997" w:type="dxa"/>
            <w:tcMar/>
            <w:hideMark/>
          </w:tcPr>
          <w:p w:rsidRPr="00922100" w:rsidR="00922100" w:rsidP="00922100" w:rsidRDefault="00922100" w14:paraId="2D1FBD7C" w14:textId="77777777">
            <w:r w:rsidRPr="00922100">
              <w:t>Interest Cover Ratio</w:t>
            </w:r>
          </w:p>
        </w:tc>
        <w:tc>
          <w:tcPr>
            <w:tcW w:w="2215" w:type="dxa"/>
            <w:tcMar/>
            <w:hideMark/>
          </w:tcPr>
          <w:p w:rsidRPr="00922100" w:rsidR="00922100" w:rsidP="00922100" w:rsidRDefault="00922100" w14:paraId="35B51677" w14:textId="77777777">
            <w:r w:rsidRPr="00922100">
              <w:t>Operating Profit ÷ Interest Expense</w:t>
            </w:r>
          </w:p>
        </w:tc>
        <w:tc>
          <w:tcPr>
            <w:tcW w:w="1205" w:type="dxa"/>
            <w:tcMar/>
            <w:hideMark/>
          </w:tcPr>
          <w:p w:rsidRPr="00922100" w:rsidR="00922100" w:rsidP="00922100" w:rsidRDefault="00922100" w14:paraId="7F2B9397" w14:textId="77777777">
            <w:r w:rsidRPr="00922100">
              <w:t xml:space="preserve">     12.88 </w:t>
            </w:r>
          </w:p>
        </w:tc>
        <w:tc>
          <w:tcPr>
            <w:tcW w:w="1080" w:type="dxa"/>
            <w:tcMar/>
            <w:hideMark/>
          </w:tcPr>
          <w:p w:rsidRPr="00922100" w:rsidR="00922100" w:rsidP="00922100" w:rsidRDefault="00922100" w14:paraId="45CA092F" w14:textId="77777777">
            <w:r w:rsidRPr="00922100">
              <w:t xml:space="preserve">     20.22 </w:t>
            </w:r>
          </w:p>
        </w:tc>
        <w:tc>
          <w:tcPr>
            <w:tcW w:w="1080" w:type="dxa"/>
            <w:tcMar/>
            <w:hideMark/>
          </w:tcPr>
          <w:p w:rsidRPr="00922100" w:rsidR="00922100" w:rsidP="00922100" w:rsidRDefault="00922100" w14:paraId="72CF1754" w14:textId="77777777">
            <w:r w:rsidRPr="00922100">
              <w:t xml:space="preserve">     56.99 </w:t>
            </w:r>
          </w:p>
        </w:tc>
        <w:tc>
          <w:tcPr>
            <w:tcW w:w="1170" w:type="dxa"/>
            <w:tcMar/>
            <w:hideMark/>
          </w:tcPr>
          <w:p w:rsidRPr="00922100" w:rsidR="00922100" w:rsidP="00922100" w:rsidRDefault="00922100" w14:paraId="0DBEE7C2" w14:textId="77777777">
            <w:r w:rsidRPr="00922100">
              <w:t xml:space="preserve">     71.50 </w:t>
            </w:r>
          </w:p>
        </w:tc>
        <w:tc>
          <w:tcPr>
            <w:tcW w:w="1080" w:type="dxa"/>
            <w:tcMar/>
            <w:hideMark/>
          </w:tcPr>
          <w:p w:rsidRPr="00922100" w:rsidR="00922100" w:rsidP="00922100" w:rsidRDefault="00922100" w14:paraId="6FCDA2DD" w14:textId="77777777">
            <w:r w:rsidRPr="00922100">
              <w:t xml:space="preserve">     17.58 </w:t>
            </w:r>
          </w:p>
        </w:tc>
      </w:tr>
      <w:tr w:rsidRPr="00922100" w:rsidR="00922100" w:rsidTr="3BDB421E" w14:paraId="194DE5DE" w14:textId="77777777">
        <w:trPr>
          <w:trHeight w:val="1125"/>
        </w:trPr>
        <w:tc>
          <w:tcPr>
            <w:tcW w:w="1423" w:type="dxa"/>
            <w:vMerge w:val="restart"/>
            <w:tcMar/>
            <w:hideMark/>
          </w:tcPr>
          <w:p w:rsidRPr="00922100" w:rsidR="00922100" w:rsidP="00922100" w:rsidRDefault="00922100" w14:paraId="484EDD28" w14:textId="77777777">
            <w:r w:rsidRPr="00922100">
              <w:t>Investment</w:t>
            </w:r>
          </w:p>
        </w:tc>
        <w:tc>
          <w:tcPr>
            <w:tcW w:w="1997" w:type="dxa"/>
            <w:tcMar/>
            <w:hideMark/>
          </w:tcPr>
          <w:p w:rsidRPr="00922100" w:rsidR="00922100" w:rsidP="00922100" w:rsidRDefault="00922100" w14:paraId="148729FD" w14:textId="77777777">
            <w:r w:rsidRPr="00922100">
              <w:t>Earnings Per Share (EPS)</w:t>
            </w:r>
          </w:p>
        </w:tc>
        <w:tc>
          <w:tcPr>
            <w:tcW w:w="2215" w:type="dxa"/>
            <w:tcMar/>
            <w:hideMark/>
          </w:tcPr>
          <w:p w:rsidRPr="00922100" w:rsidR="00922100" w:rsidP="00922100" w:rsidRDefault="00922100" w14:paraId="20629C50" w14:textId="77777777">
            <w:r w:rsidRPr="00922100">
              <w:t>(Net Profit − Preference Dividends) ÷ Number of Ordinary Shares</w:t>
            </w:r>
          </w:p>
        </w:tc>
        <w:tc>
          <w:tcPr>
            <w:tcW w:w="1205" w:type="dxa"/>
            <w:tcMar/>
            <w:hideMark/>
          </w:tcPr>
          <w:p w:rsidRPr="00922100" w:rsidR="00922100" w:rsidP="00922100" w:rsidRDefault="00922100" w14:paraId="021374E5" w14:textId="77777777">
            <w:r w:rsidRPr="00922100">
              <w:t xml:space="preserve">       1.08 </w:t>
            </w:r>
          </w:p>
        </w:tc>
        <w:tc>
          <w:tcPr>
            <w:tcW w:w="1080" w:type="dxa"/>
            <w:tcMar/>
            <w:hideMark/>
          </w:tcPr>
          <w:p w:rsidRPr="00922100" w:rsidR="00922100" w:rsidP="00922100" w:rsidRDefault="00922100" w14:paraId="3F7821C6" w14:textId="77777777">
            <w:r w:rsidRPr="00922100">
              <w:t xml:space="preserve">       2.04 </w:t>
            </w:r>
          </w:p>
        </w:tc>
        <w:tc>
          <w:tcPr>
            <w:tcW w:w="1080" w:type="dxa"/>
            <w:tcMar/>
            <w:hideMark/>
          </w:tcPr>
          <w:p w:rsidRPr="00922100" w:rsidR="00922100" w:rsidP="00922100" w:rsidRDefault="00922100" w14:paraId="7EB485B1" w14:textId="77777777">
            <w:r w:rsidRPr="00922100">
              <w:t xml:space="preserve">       4.30 </w:t>
            </w:r>
          </w:p>
        </w:tc>
        <w:tc>
          <w:tcPr>
            <w:tcW w:w="1170" w:type="dxa"/>
            <w:tcMar/>
            <w:hideMark/>
          </w:tcPr>
          <w:p w:rsidRPr="00922100" w:rsidR="00922100" w:rsidP="00922100" w:rsidRDefault="00922100" w14:paraId="6E79C332" w14:textId="77777777">
            <w:r w:rsidRPr="00922100">
              <w:t xml:space="preserve">       3.62 </w:t>
            </w:r>
          </w:p>
        </w:tc>
        <w:tc>
          <w:tcPr>
            <w:tcW w:w="1080" w:type="dxa"/>
            <w:tcMar/>
            <w:hideMark/>
          </w:tcPr>
          <w:p w:rsidRPr="00922100" w:rsidR="00922100" w:rsidP="00922100" w:rsidRDefault="00922100" w14:paraId="50424495" w14:textId="77777777">
            <w:r w:rsidRPr="00922100">
              <w:t xml:space="preserve">       1.63 </w:t>
            </w:r>
          </w:p>
        </w:tc>
      </w:tr>
      <w:tr w:rsidRPr="00922100" w:rsidR="00922100" w:rsidTr="3BDB421E" w14:paraId="7E3CD3A2" w14:textId="77777777">
        <w:trPr>
          <w:trHeight w:val="750"/>
        </w:trPr>
        <w:tc>
          <w:tcPr>
            <w:tcW w:w="1423" w:type="dxa"/>
            <w:vMerge/>
            <w:tcMar/>
            <w:hideMark/>
          </w:tcPr>
          <w:p w:rsidRPr="00922100" w:rsidR="00922100" w:rsidRDefault="00922100" w14:paraId="5C78320A" w14:textId="77777777"/>
        </w:tc>
        <w:tc>
          <w:tcPr>
            <w:tcW w:w="1997" w:type="dxa"/>
            <w:tcMar/>
            <w:hideMark/>
          </w:tcPr>
          <w:p w:rsidRPr="00922100" w:rsidR="00922100" w:rsidP="00922100" w:rsidRDefault="00922100" w14:paraId="0A2492E9" w14:textId="77777777">
            <w:r w:rsidRPr="00922100">
              <w:t>Price/Earnings (P/E) Ratio</w:t>
            </w:r>
          </w:p>
        </w:tc>
        <w:tc>
          <w:tcPr>
            <w:tcW w:w="2215" w:type="dxa"/>
            <w:tcMar/>
            <w:hideMark/>
          </w:tcPr>
          <w:p w:rsidRPr="00922100" w:rsidR="00922100" w:rsidP="00922100" w:rsidRDefault="00922100" w14:paraId="3824AFFD" w14:textId="77777777">
            <w:r w:rsidRPr="00922100">
              <w:t>Market Price per Share ÷ Earnings Per Share</w:t>
            </w:r>
          </w:p>
        </w:tc>
        <w:tc>
          <w:tcPr>
            <w:tcW w:w="1205" w:type="dxa"/>
            <w:tcMar/>
            <w:hideMark/>
          </w:tcPr>
          <w:p w:rsidRPr="00922100" w:rsidR="00922100" w:rsidP="00922100" w:rsidRDefault="00922100" w14:paraId="7280515A" w14:textId="77777777">
            <w:r w:rsidRPr="00922100">
              <w:t xml:space="preserve">   398.53 </w:t>
            </w:r>
          </w:p>
        </w:tc>
        <w:tc>
          <w:tcPr>
            <w:tcW w:w="1080" w:type="dxa"/>
            <w:tcMar/>
            <w:hideMark/>
          </w:tcPr>
          <w:p w:rsidRPr="00922100" w:rsidR="00922100" w:rsidP="00922100" w:rsidRDefault="00922100" w14:paraId="3FBDDEBC" w14:textId="77777777">
            <w:r w:rsidRPr="00922100">
              <w:t xml:space="preserve">   198.33 </w:t>
            </w:r>
          </w:p>
        </w:tc>
        <w:tc>
          <w:tcPr>
            <w:tcW w:w="1080" w:type="dxa"/>
            <w:tcMar/>
            <w:hideMark/>
          </w:tcPr>
          <w:p w:rsidRPr="00922100" w:rsidR="00922100" w:rsidP="00922100" w:rsidRDefault="00922100" w14:paraId="7216A1A5" w14:textId="77777777">
            <w:r w:rsidRPr="00922100">
              <w:t xml:space="preserve">     43.56 </w:t>
            </w:r>
          </w:p>
        </w:tc>
        <w:tc>
          <w:tcPr>
            <w:tcW w:w="1170" w:type="dxa"/>
            <w:tcMar/>
            <w:hideMark/>
          </w:tcPr>
          <w:p w:rsidRPr="00922100" w:rsidR="00922100" w:rsidP="00922100" w:rsidRDefault="00922100" w14:paraId="69441E7D" w14:textId="77777777">
            <w:r w:rsidRPr="00922100">
              <w:t xml:space="preserve">     47.85 </w:t>
            </w:r>
          </w:p>
        </w:tc>
        <w:tc>
          <w:tcPr>
            <w:tcW w:w="1080" w:type="dxa"/>
            <w:tcMar/>
            <w:hideMark/>
          </w:tcPr>
          <w:p w:rsidRPr="00922100" w:rsidR="00922100" w:rsidP="00922100" w:rsidRDefault="00922100" w14:paraId="7552A2CF" w14:textId="77777777">
            <w:r w:rsidRPr="00922100">
              <w:t xml:space="preserve">   191.56 </w:t>
            </w:r>
          </w:p>
        </w:tc>
      </w:tr>
      <w:tr w:rsidRPr="00922100" w:rsidR="00922100" w:rsidTr="3BDB421E" w14:paraId="4DA1A6FC" w14:textId="77777777">
        <w:trPr>
          <w:trHeight w:val="750"/>
        </w:trPr>
        <w:tc>
          <w:tcPr>
            <w:tcW w:w="1423" w:type="dxa"/>
            <w:vMerge w:val="restart"/>
            <w:tcMar/>
            <w:hideMark/>
          </w:tcPr>
          <w:p w:rsidRPr="00922100" w:rsidR="00922100" w:rsidP="00922100" w:rsidRDefault="00922100" w14:paraId="7E8FF88A" w14:textId="77777777">
            <w:r w:rsidRPr="00922100">
              <w:t>Cash Flow</w:t>
            </w:r>
          </w:p>
        </w:tc>
        <w:tc>
          <w:tcPr>
            <w:tcW w:w="1997" w:type="dxa"/>
            <w:tcMar/>
            <w:hideMark/>
          </w:tcPr>
          <w:p w:rsidRPr="00922100" w:rsidR="00922100" w:rsidP="00922100" w:rsidRDefault="00922100" w14:paraId="743ECEB9" w14:textId="77777777">
            <w:r w:rsidRPr="00922100">
              <w:t>Operating Cash Flow Ratio</w:t>
            </w:r>
          </w:p>
        </w:tc>
        <w:tc>
          <w:tcPr>
            <w:tcW w:w="2215" w:type="dxa"/>
            <w:tcMar/>
            <w:hideMark/>
          </w:tcPr>
          <w:p w:rsidRPr="00922100" w:rsidR="00922100" w:rsidP="00922100" w:rsidRDefault="00922100" w14:paraId="288D9482" w14:textId="77777777">
            <w:r w:rsidRPr="00922100">
              <w:t>Operating Cash Flow ÷ Current Liabilities</w:t>
            </w:r>
          </w:p>
        </w:tc>
        <w:tc>
          <w:tcPr>
            <w:tcW w:w="1205" w:type="dxa"/>
            <w:tcMar/>
            <w:hideMark/>
          </w:tcPr>
          <w:p w:rsidRPr="00922100" w:rsidR="00922100" w:rsidP="00922100" w:rsidRDefault="00922100" w14:paraId="5A86F819" w14:textId="77777777">
            <w:r w:rsidRPr="00922100">
              <w:t xml:space="preserve">       0.46 </w:t>
            </w:r>
          </w:p>
        </w:tc>
        <w:tc>
          <w:tcPr>
            <w:tcW w:w="1080" w:type="dxa"/>
            <w:tcMar/>
            <w:hideMark/>
          </w:tcPr>
          <w:p w:rsidRPr="00922100" w:rsidR="00922100" w:rsidP="00922100" w:rsidRDefault="00922100" w14:paraId="06E8ABC1" w14:textId="77777777">
            <w:r w:rsidRPr="00922100">
              <w:t xml:space="preserve">       0.52 </w:t>
            </w:r>
          </w:p>
        </w:tc>
        <w:tc>
          <w:tcPr>
            <w:tcW w:w="1080" w:type="dxa"/>
            <w:tcMar/>
            <w:hideMark/>
          </w:tcPr>
          <w:p w:rsidRPr="00922100" w:rsidR="00922100" w:rsidP="00922100" w:rsidRDefault="00922100" w14:paraId="2711C855" w14:textId="77777777">
            <w:r w:rsidRPr="00922100">
              <w:t xml:space="preserve">       0.46 </w:t>
            </w:r>
          </w:p>
        </w:tc>
        <w:tc>
          <w:tcPr>
            <w:tcW w:w="1170" w:type="dxa"/>
            <w:tcMar/>
            <w:hideMark/>
          </w:tcPr>
          <w:p w:rsidRPr="00922100" w:rsidR="00922100" w:rsidP="00922100" w:rsidRDefault="00922100" w14:paraId="703F27B6" w14:textId="77777777">
            <w:r w:rsidRPr="00922100">
              <w:t xml:space="preserve">       0.55 </w:t>
            </w:r>
          </w:p>
        </w:tc>
        <w:tc>
          <w:tcPr>
            <w:tcW w:w="1080" w:type="dxa"/>
            <w:tcMar/>
            <w:hideMark/>
          </w:tcPr>
          <w:p w:rsidRPr="00922100" w:rsidR="00922100" w:rsidP="00922100" w:rsidRDefault="00922100" w14:paraId="41E37238" w14:textId="77777777">
            <w:r w:rsidRPr="00922100">
              <w:t xml:space="preserve">       0.58 </w:t>
            </w:r>
          </w:p>
        </w:tc>
      </w:tr>
      <w:tr w:rsidRPr="00922100" w:rsidR="00922100" w:rsidTr="3BDB421E" w14:paraId="28719405" w14:textId="77777777">
        <w:trPr>
          <w:trHeight w:val="750"/>
        </w:trPr>
        <w:tc>
          <w:tcPr>
            <w:tcW w:w="1423" w:type="dxa"/>
            <w:vMerge/>
            <w:tcMar/>
            <w:hideMark/>
          </w:tcPr>
          <w:p w:rsidRPr="00922100" w:rsidR="00922100" w:rsidRDefault="00922100" w14:paraId="4D8FE6D1" w14:textId="77777777"/>
        </w:tc>
        <w:tc>
          <w:tcPr>
            <w:tcW w:w="1997" w:type="dxa"/>
            <w:tcMar/>
            <w:hideMark/>
          </w:tcPr>
          <w:p w:rsidRPr="00922100" w:rsidR="00922100" w:rsidP="00922100" w:rsidRDefault="00922100" w14:paraId="2496AE87" w14:textId="77777777">
            <w:r w:rsidRPr="00922100">
              <w:t>Free Cash Flow (FCF)</w:t>
            </w:r>
          </w:p>
        </w:tc>
        <w:tc>
          <w:tcPr>
            <w:tcW w:w="2215" w:type="dxa"/>
            <w:tcMar/>
            <w:hideMark/>
          </w:tcPr>
          <w:p w:rsidRPr="00922100" w:rsidR="00922100" w:rsidP="00922100" w:rsidRDefault="00922100" w14:paraId="43B23946" w14:textId="77777777">
            <w:r w:rsidRPr="00922100">
              <w:t>Operating Cash Flow − Capital Expenditure</w:t>
            </w:r>
          </w:p>
        </w:tc>
        <w:tc>
          <w:tcPr>
            <w:tcW w:w="1205" w:type="dxa"/>
            <w:tcMar/>
            <w:hideMark/>
          </w:tcPr>
          <w:p w:rsidRPr="00922100" w:rsidR="00922100" w:rsidP="00922100" w:rsidRDefault="00922100" w14:paraId="274C102B" w14:textId="77777777">
            <w:r w:rsidRPr="00922100">
              <w:t xml:space="preserve">       0.07 </w:t>
            </w:r>
          </w:p>
        </w:tc>
        <w:tc>
          <w:tcPr>
            <w:tcW w:w="1080" w:type="dxa"/>
            <w:tcMar/>
            <w:hideMark/>
          </w:tcPr>
          <w:p w:rsidRPr="00922100" w:rsidR="00922100" w:rsidP="00922100" w:rsidRDefault="00922100" w14:paraId="2C14FE04" w14:textId="77777777">
            <w:r w:rsidRPr="00922100">
              <w:t xml:space="preserve">       0.04 </w:t>
            </w:r>
          </w:p>
        </w:tc>
        <w:tc>
          <w:tcPr>
            <w:tcW w:w="1080" w:type="dxa"/>
            <w:tcMar/>
            <w:hideMark/>
          </w:tcPr>
          <w:p w:rsidRPr="00922100" w:rsidR="00922100" w:rsidP="00922100" w:rsidRDefault="00922100" w14:paraId="3C61A25D" w14:textId="77777777">
            <w:r w:rsidRPr="00922100">
              <w:t xml:space="preserve">       0.05 </w:t>
            </w:r>
          </w:p>
        </w:tc>
        <w:tc>
          <w:tcPr>
            <w:tcW w:w="1170" w:type="dxa"/>
            <w:tcMar/>
            <w:hideMark/>
          </w:tcPr>
          <w:p w:rsidRPr="00922100" w:rsidR="00922100" w:rsidP="00922100" w:rsidRDefault="00922100" w14:paraId="089EAB7F" w14:textId="77777777">
            <w:r w:rsidRPr="00922100">
              <w:t xml:space="preserve">       0.09 </w:t>
            </w:r>
          </w:p>
        </w:tc>
        <w:tc>
          <w:tcPr>
            <w:tcW w:w="1080" w:type="dxa"/>
            <w:tcMar/>
            <w:hideMark/>
          </w:tcPr>
          <w:p w:rsidRPr="00922100" w:rsidR="00922100" w:rsidP="00922100" w:rsidRDefault="00922100" w14:paraId="4A25D538" w14:textId="77777777">
            <w:r w:rsidRPr="00922100">
              <w:t xml:space="preserve">       0.09 </w:t>
            </w:r>
          </w:p>
        </w:tc>
      </w:tr>
    </w:tbl>
    <w:p w:rsidR="00922100" w:rsidP="00922100" w:rsidRDefault="00922100" w14:paraId="2713FADA" w14:textId="0086EABB">
      <w:pPr>
        <w:pStyle w:val="Caption"/>
        <w:jc w:val="center"/>
      </w:pPr>
      <w:r>
        <w:t xml:space="preserve">Table </w:t>
      </w:r>
      <w:r>
        <w:fldChar w:fldCharType="begin"/>
      </w:r>
      <w:r>
        <w:instrText xml:space="preserve"> SEQ Table \* ARABIC </w:instrText>
      </w:r>
      <w:r>
        <w:fldChar w:fldCharType="separate"/>
      </w:r>
      <w:r w:rsidR="00F16C4B">
        <w:rPr>
          <w:noProof/>
        </w:rPr>
        <w:t>1</w:t>
      </w:r>
      <w:r>
        <w:fldChar w:fldCharType="end"/>
      </w:r>
      <w:r>
        <w:t>: Ratio Analysis (Source- Author)</w:t>
      </w:r>
    </w:p>
    <w:p w:rsidR="001C54A0" w:rsidP="001C54A0" w:rsidRDefault="001C54A0" w14:paraId="2A61D347" w14:textId="77777777">
      <w:pPr>
        <w:jc w:val="center"/>
      </w:pPr>
      <w:r>
        <w:rPr>
          <w:noProof/>
        </w:rPr>
        <w:drawing>
          <wp:inline distT="0" distB="0" distL="0" distR="0" wp14:anchorId="68F44041" wp14:editId="2BE0CC44">
            <wp:extent cx="4595812" cy="2740818"/>
            <wp:effectExtent l="0" t="0" r="14605" b="2540"/>
            <wp:docPr id="533758710" name="Chart 1">
              <a:extLst xmlns:a="http://schemas.openxmlformats.org/drawingml/2006/main">
                <a:ext uri="{FF2B5EF4-FFF2-40B4-BE49-F238E27FC236}">
                  <a16:creationId xmlns:a16="http://schemas.microsoft.com/office/drawing/2014/main" id="{EA04C94B-2200-F5B7-6EA1-8372635CF8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1C54A0" w:rsidP="00B8244D" w:rsidRDefault="00B8244D" w14:paraId="57B23BFC" w14:textId="0EA3E91D">
      <w:pPr>
        <w:pStyle w:val="Caption"/>
        <w:jc w:val="center"/>
      </w:pPr>
      <w:r>
        <w:t xml:space="preserve">Figure </w:t>
      </w:r>
      <w:r>
        <w:fldChar w:fldCharType="begin"/>
      </w:r>
      <w:r>
        <w:instrText xml:space="preserve"> SEQ Figure \* ARABIC </w:instrText>
      </w:r>
      <w:r>
        <w:fldChar w:fldCharType="separate"/>
      </w:r>
      <w:r w:rsidR="006942BB">
        <w:rPr>
          <w:noProof/>
        </w:rPr>
        <w:t>1</w:t>
      </w:r>
      <w:r>
        <w:fldChar w:fldCharType="end"/>
      </w:r>
      <w:r>
        <w:t xml:space="preserve">: </w:t>
      </w:r>
      <w:r w:rsidRPr="001B5386">
        <w:t>Profitability Ratios</w:t>
      </w:r>
      <w:r w:rsidR="00B759D0">
        <w:t xml:space="preserve"> (Source- Author)</w:t>
      </w:r>
    </w:p>
    <w:p w:rsidR="0038422D" w:rsidP="001C54A0" w:rsidRDefault="001C54A0" w14:paraId="0E2DFFBB" w14:textId="77777777">
      <w:pPr>
        <w:jc w:val="center"/>
      </w:pPr>
      <w:r>
        <w:rPr>
          <w:noProof/>
        </w:rPr>
        <w:drawing>
          <wp:inline distT="0" distB="0" distL="0" distR="0" wp14:anchorId="486A0750" wp14:editId="26A7589D">
            <wp:extent cx="4595812" cy="2740818"/>
            <wp:effectExtent l="0" t="0" r="0" b="2540"/>
            <wp:docPr id="888533701" name="Chart 2">
              <a:extLst xmlns:a="http://schemas.openxmlformats.org/drawingml/2006/main">
                <a:ext uri="{FF2B5EF4-FFF2-40B4-BE49-F238E27FC236}">
                  <a16:creationId xmlns:a16="http://schemas.microsoft.com/office/drawing/2014/main" id="{589FDE28-F86F-AA51-DEF6-829B11D722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38422D" w:rsidP="0038422D" w:rsidRDefault="0038422D" w14:paraId="605E700B" w14:textId="19C5EEB5">
      <w:pPr>
        <w:pStyle w:val="Caption"/>
        <w:jc w:val="center"/>
      </w:pPr>
      <w:r>
        <w:t xml:space="preserve">Figure </w:t>
      </w:r>
      <w:r>
        <w:fldChar w:fldCharType="begin"/>
      </w:r>
      <w:r>
        <w:instrText xml:space="preserve"> SEQ Figure \* ARABIC </w:instrText>
      </w:r>
      <w:r>
        <w:fldChar w:fldCharType="separate"/>
      </w:r>
      <w:r w:rsidR="006942BB">
        <w:rPr>
          <w:noProof/>
        </w:rPr>
        <w:t>2</w:t>
      </w:r>
      <w:r>
        <w:fldChar w:fldCharType="end"/>
      </w:r>
      <w:r>
        <w:t xml:space="preserve">: </w:t>
      </w:r>
      <w:r w:rsidRPr="00942E4A">
        <w:t>Liquidity Ratios</w:t>
      </w:r>
      <w:r w:rsidR="00B759D0">
        <w:t xml:space="preserve"> (Source- Author)</w:t>
      </w:r>
    </w:p>
    <w:p w:rsidR="008A17F1" w:rsidP="001C54A0" w:rsidRDefault="001C54A0" w14:paraId="12601B0C" w14:textId="77777777">
      <w:pPr>
        <w:jc w:val="center"/>
      </w:pPr>
      <w:r>
        <w:rPr>
          <w:noProof/>
        </w:rPr>
        <w:drawing>
          <wp:inline distT="0" distB="0" distL="0" distR="0" wp14:anchorId="7CFF3C9F" wp14:editId="66C5ABCD">
            <wp:extent cx="4595812" cy="2740818"/>
            <wp:effectExtent l="0" t="0" r="14605" b="2540"/>
            <wp:docPr id="1021411829" name="Chart 3">
              <a:extLst xmlns:a="http://schemas.openxmlformats.org/drawingml/2006/main">
                <a:ext uri="{FF2B5EF4-FFF2-40B4-BE49-F238E27FC236}">
                  <a16:creationId xmlns:a16="http://schemas.microsoft.com/office/drawing/2014/main" id="{0E71A809-C581-49F6-DA29-54231292FD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8A17F1" w:rsidP="008A17F1" w:rsidRDefault="008A17F1" w14:paraId="1D6A1103" w14:textId="4C62297F">
      <w:pPr>
        <w:pStyle w:val="Caption"/>
        <w:jc w:val="center"/>
      </w:pPr>
      <w:r>
        <w:t xml:space="preserve">Figure </w:t>
      </w:r>
      <w:r>
        <w:fldChar w:fldCharType="begin"/>
      </w:r>
      <w:r>
        <w:instrText xml:space="preserve"> SEQ Figure \* ARABIC </w:instrText>
      </w:r>
      <w:r>
        <w:fldChar w:fldCharType="separate"/>
      </w:r>
      <w:r w:rsidR="006942BB">
        <w:rPr>
          <w:noProof/>
        </w:rPr>
        <w:t>3</w:t>
      </w:r>
      <w:r>
        <w:fldChar w:fldCharType="end"/>
      </w:r>
      <w:r>
        <w:t xml:space="preserve">: </w:t>
      </w:r>
      <w:r w:rsidRPr="00FD1366">
        <w:t>Efficiency Ratios</w:t>
      </w:r>
      <w:r w:rsidR="00B759D0">
        <w:t xml:space="preserve"> (Source- Author)</w:t>
      </w:r>
    </w:p>
    <w:p w:rsidR="00A94C14" w:rsidP="001C54A0" w:rsidRDefault="001C54A0" w14:paraId="451059F2" w14:textId="77777777">
      <w:pPr>
        <w:jc w:val="center"/>
      </w:pPr>
      <w:r>
        <w:rPr>
          <w:noProof/>
        </w:rPr>
        <w:drawing>
          <wp:inline distT="0" distB="0" distL="0" distR="0" wp14:anchorId="485CC40B" wp14:editId="29D9BB68">
            <wp:extent cx="4595812" cy="2740818"/>
            <wp:effectExtent l="0" t="0" r="14605" b="2540"/>
            <wp:docPr id="248214231" name="Chart 4">
              <a:extLst xmlns:a="http://schemas.openxmlformats.org/drawingml/2006/main">
                <a:ext uri="{FF2B5EF4-FFF2-40B4-BE49-F238E27FC236}">
                  <a16:creationId xmlns:a16="http://schemas.microsoft.com/office/drawing/2014/main" id="{10CEA41F-B924-05FB-4F2D-267D266FD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A94C14" w:rsidP="00A94C14" w:rsidRDefault="00A94C14" w14:paraId="7B35CCA0" w14:textId="5B3488EA">
      <w:pPr>
        <w:pStyle w:val="Caption"/>
        <w:jc w:val="center"/>
      </w:pPr>
      <w:r>
        <w:t xml:space="preserve">Figure </w:t>
      </w:r>
      <w:r>
        <w:fldChar w:fldCharType="begin"/>
      </w:r>
      <w:r>
        <w:instrText xml:space="preserve"> SEQ Figure \* ARABIC </w:instrText>
      </w:r>
      <w:r>
        <w:fldChar w:fldCharType="separate"/>
      </w:r>
      <w:r w:rsidR="006942BB">
        <w:rPr>
          <w:noProof/>
        </w:rPr>
        <w:t>4</w:t>
      </w:r>
      <w:r>
        <w:fldChar w:fldCharType="end"/>
      </w:r>
      <w:r>
        <w:t xml:space="preserve">: </w:t>
      </w:r>
      <w:r w:rsidRPr="00776BED">
        <w:t>Gearing Ratios</w:t>
      </w:r>
      <w:r w:rsidR="00B759D0">
        <w:t xml:space="preserve"> (Source- Author)</w:t>
      </w:r>
    </w:p>
    <w:p w:rsidR="00742918" w:rsidP="001C54A0" w:rsidRDefault="001C54A0" w14:paraId="43C1E262" w14:textId="77777777">
      <w:pPr>
        <w:jc w:val="center"/>
      </w:pPr>
      <w:r>
        <w:rPr>
          <w:noProof/>
        </w:rPr>
        <w:drawing>
          <wp:inline distT="0" distB="0" distL="0" distR="0" wp14:anchorId="20F73D5B" wp14:editId="47F984DB">
            <wp:extent cx="4595812" cy="2740818"/>
            <wp:effectExtent l="0" t="0" r="14605" b="2540"/>
            <wp:docPr id="1697520231" name="Chart 5">
              <a:extLst xmlns:a="http://schemas.openxmlformats.org/drawingml/2006/main">
                <a:ext uri="{FF2B5EF4-FFF2-40B4-BE49-F238E27FC236}">
                  <a16:creationId xmlns:a16="http://schemas.microsoft.com/office/drawing/2014/main" id="{C7C2276E-B2B5-E0CB-33B2-419EF6958C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742918" w:rsidP="00742918" w:rsidRDefault="00742918" w14:paraId="7F8617D9" w14:textId="2C25E1F4">
      <w:pPr>
        <w:pStyle w:val="Caption"/>
        <w:jc w:val="center"/>
      </w:pPr>
      <w:r>
        <w:t xml:space="preserve">Figure </w:t>
      </w:r>
      <w:r>
        <w:fldChar w:fldCharType="begin"/>
      </w:r>
      <w:r>
        <w:instrText xml:space="preserve"> SEQ Figure \* ARABIC </w:instrText>
      </w:r>
      <w:r>
        <w:fldChar w:fldCharType="separate"/>
      </w:r>
      <w:r w:rsidR="006942BB">
        <w:rPr>
          <w:noProof/>
        </w:rPr>
        <w:t>5</w:t>
      </w:r>
      <w:r>
        <w:fldChar w:fldCharType="end"/>
      </w:r>
      <w:r>
        <w:t xml:space="preserve">: </w:t>
      </w:r>
      <w:r w:rsidRPr="00A2545B">
        <w:t>Investment Ratios</w:t>
      </w:r>
      <w:r w:rsidR="00B759D0">
        <w:t xml:space="preserve"> (Source- Author)</w:t>
      </w:r>
    </w:p>
    <w:p w:rsidR="001C54A0" w:rsidP="001C54A0" w:rsidRDefault="001C54A0" w14:paraId="6B382281" w14:textId="267DD0D9">
      <w:pPr>
        <w:jc w:val="center"/>
      </w:pPr>
      <w:r>
        <w:rPr>
          <w:noProof/>
        </w:rPr>
        <w:drawing>
          <wp:inline distT="0" distB="0" distL="0" distR="0" wp14:anchorId="4A6A9342" wp14:editId="75A032AD">
            <wp:extent cx="4595812" cy="2740818"/>
            <wp:effectExtent l="0" t="0" r="14605" b="2540"/>
            <wp:docPr id="709965761" name="Chart 6">
              <a:extLst xmlns:a="http://schemas.openxmlformats.org/drawingml/2006/main">
                <a:ext uri="{FF2B5EF4-FFF2-40B4-BE49-F238E27FC236}">
                  <a16:creationId xmlns:a16="http://schemas.microsoft.com/office/drawing/2014/main" id="{1C93D11C-7082-B42D-E8C5-E1F63D414F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4831C4" w:rsidP="004831C4" w:rsidRDefault="004831C4" w14:paraId="460057BD" w14:textId="603AD1A1">
      <w:pPr>
        <w:pStyle w:val="Caption"/>
        <w:jc w:val="center"/>
      </w:pPr>
      <w:r>
        <w:t xml:space="preserve">Figure </w:t>
      </w:r>
      <w:r>
        <w:fldChar w:fldCharType="begin"/>
      </w:r>
      <w:r>
        <w:instrText xml:space="preserve"> SEQ Figure \* ARABIC </w:instrText>
      </w:r>
      <w:r>
        <w:fldChar w:fldCharType="separate"/>
      </w:r>
      <w:r w:rsidR="006942BB">
        <w:rPr>
          <w:noProof/>
        </w:rPr>
        <w:t>6</w:t>
      </w:r>
      <w:r>
        <w:fldChar w:fldCharType="end"/>
      </w:r>
      <w:r>
        <w:t xml:space="preserve">: </w:t>
      </w:r>
      <w:r w:rsidRPr="003B7C94">
        <w:t>Cash Flow Ratios</w:t>
      </w:r>
      <w:r w:rsidR="001B4BC5">
        <w:t xml:space="preserve"> (Source- Author)</w:t>
      </w:r>
    </w:p>
    <w:p w:rsidR="005047DC" w:rsidP="005047DC" w:rsidRDefault="005047DC" w14:paraId="1FAEC892" w14:textId="6791C637">
      <w:pPr>
        <w:pStyle w:val="Heading2"/>
      </w:pPr>
      <w:bookmarkStart w:name="_Toc1441806762" w:id="1391982082"/>
      <w:r w:rsidR="1DF566F9">
        <w:rPr/>
        <w:t>Appendix 2: Working Capital Management Analysis</w:t>
      </w:r>
      <w:bookmarkEnd w:id="1391982082"/>
    </w:p>
    <w:tbl>
      <w:tblPr>
        <w:tblStyle w:val="TableGrid"/>
        <w:tblW w:w="0" w:type="auto"/>
        <w:tblLook w:val="04A0" w:firstRow="1" w:lastRow="0" w:firstColumn="1" w:lastColumn="0" w:noHBand="0" w:noVBand="1"/>
      </w:tblPr>
      <w:tblGrid>
        <w:gridCol w:w="3405"/>
        <w:gridCol w:w="1189"/>
        <w:gridCol w:w="1189"/>
        <w:gridCol w:w="1189"/>
        <w:gridCol w:w="1189"/>
        <w:gridCol w:w="1189"/>
      </w:tblGrid>
      <w:tr w:rsidRPr="002B17F2" w:rsidR="002B17F2" w:rsidTr="002B17F2" w14:paraId="197AE221" w14:textId="77777777">
        <w:trPr>
          <w:trHeight w:val="465"/>
        </w:trPr>
        <w:tc>
          <w:tcPr>
            <w:tcW w:w="3440" w:type="dxa"/>
            <w:noWrap/>
            <w:hideMark/>
          </w:tcPr>
          <w:p w:rsidRPr="002B17F2" w:rsidR="002B17F2" w:rsidP="002B17F2" w:rsidRDefault="002B17F2" w14:paraId="79E2751B" w14:textId="77777777">
            <w:pPr>
              <w:rPr>
                <w:b/>
                <w:bCs/>
                <w:lang w:val="en-US"/>
              </w:rPr>
            </w:pPr>
            <w:r w:rsidRPr="002B17F2">
              <w:rPr>
                <w:b/>
                <w:bCs/>
              </w:rPr>
              <w:t>Items</w:t>
            </w:r>
          </w:p>
        </w:tc>
        <w:tc>
          <w:tcPr>
            <w:tcW w:w="1200" w:type="dxa"/>
            <w:noWrap/>
            <w:hideMark/>
          </w:tcPr>
          <w:p w:rsidRPr="002B17F2" w:rsidR="002B17F2" w:rsidP="002B17F2" w:rsidRDefault="002B17F2" w14:paraId="7FB39074" w14:textId="77777777">
            <w:pPr>
              <w:rPr>
                <w:b/>
                <w:bCs/>
              </w:rPr>
            </w:pPr>
            <w:r w:rsidRPr="002B17F2">
              <w:rPr>
                <w:b/>
                <w:bCs/>
              </w:rPr>
              <w:t>2025</w:t>
            </w:r>
          </w:p>
        </w:tc>
        <w:tc>
          <w:tcPr>
            <w:tcW w:w="1200" w:type="dxa"/>
            <w:noWrap/>
            <w:hideMark/>
          </w:tcPr>
          <w:p w:rsidRPr="002B17F2" w:rsidR="002B17F2" w:rsidP="002B17F2" w:rsidRDefault="002B17F2" w14:paraId="26B9B7E4" w14:textId="77777777">
            <w:pPr>
              <w:rPr>
                <w:b/>
                <w:bCs/>
              </w:rPr>
            </w:pPr>
            <w:r w:rsidRPr="002B17F2">
              <w:rPr>
                <w:b/>
                <w:bCs/>
              </w:rPr>
              <w:t>2024</w:t>
            </w:r>
          </w:p>
        </w:tc>
        <w:tc>
          <w:tcPr>
            <w:tcW w:w="1200" w:type="dxa"/>
            <w:noWrap/>
            <w:hideMark/>
          </w:tcPr>
          <w:p w:rsidRPr="002B17F2" w:rsidR="002B17F2" w:rsidP="002B17F2" w:rsidRDefault="002B17F2" w14:paraId="3DD06225" w14:textId="77777777">
            <w:pPr>
              <w:rPr>
                <w:b/>
                <w:bCs/>
              </w:rPr>
            </w:pPr>
            <w:r w:rsidRPr="002B17F2">
              <w:rPr>
                <w:b/>
                <w:bCs/>
              </w:rPr>
              <w:t>2023</w:t>
            </w:r>
          </w:p>
        </w:tc>
        <w:tc>
          <w:tcPr>
            <w:tcW w:w="1200" w:type="dxa"/>
            <w:noWrap/>
            <w:hideMark/>
          </w:tcPr>
          <w:p w:rsidRPr="002B17F2" w:rsidR="002B17F2" w:rsidP="002B17F2" w:rsidRDefault="002B17F2" w14:paraId="7E5207BE" w14:textId="77777777">
            <w:pPr>
              <w:rPr>
                <w:b/>
                <w:bCs/>
              </w:rPr>
            </w:pPr>
            <w:r w:rsidRPr="002B17F2">
              <w:rPr>
                <w:b/>
                <w:bCs/>
              </w:rPr>
              <w:t>2022</w:t>
            </w:r>
          </w:p>
        </w:tc>
        <w:tc>
          <w:tcPr>
            <w:tcW w:w="1200" w:type="dxa"/>
            <w:noWrap/>
            <w:hideMark/>
          </w:tcPr>
          <w:p w:rsidRPr="002B17F2" w:rsidR="002B17F2" w:rsidP="002B17F2" w:rsidRDefault="002B17F2" w14:paraId="2C001037" w14:textId="77777777">
            <w:pPr>
              <w:rPr>
                <w:b/>
                <w:bCs/>
              </w:rPr>
            </w:pPr>
            <w:r w:rsidRPr="002B17F2">
              <w:rPr>
                <w:b/>
                <w:bCs/>
              </w:rPr>
              <w:t>2021</w:t>
            </w:r>
          </w:p>
        </w:tc>
      </w:tr>
      <w:tr w:rsidRPr="002B17F2" w:rsidR="002B17F2" w:rsidTr="002B17F2" w14:paraId="20ED6938" w14:textId="77777777">
        <w:trPr>
          <w:trHeight w:val="375"/>
        </w:trPr>
        <w:tc>
          <w:tcPr>
            <w:tcW w:w="3440" w:type="dxa"/>
            <w:noWrap/>
            <w:hideMark/>
          </w:tcPr>
          <w:p w:rsidRPr="002B17F2" w:rsidR="002B17F2" w:rsidP="002B17F2" w:rsidRDefault="002B17F2" w14:paraId="1A41BECB" w14:textId="77777777">
            <w:r w:rsidRPr="002B17F2">
              <w:t>Days Inventory Outstanding</w:t>
            </w:r>
          </w:p>
        </w:tc>
        <w:tc>
          <w:tcPr>
            <w:tcW w:w="1200" w:type="dxa"/>
            <w:noWrap/>
            <w:hideMark/>
          </w:tcPr>
          <w:p w:rsidRPr="002B17F2" w:rsidR="002B17F2" w:rsidRDefault="002B17F2" w14:paraId="67412B10" w14:textId="77777777">
            <w:r w:rsidRPr="002B17F2">
              <w:t xml:space="preserve">     57.39 </w:t>
            </w:r>
          </w:p>
        </w:tc>
        <w:tc>
          <w:tcPr>
            <w:tcW w:w="1200" w:type="dxa"/>
            <w:noWrap/>
            <w:hideMark/>
          </w:tcPr>
          <w:p w:rsidRPr="002B17F2" w:rsidR="002B17F2" w:rsidRDefault="002B17F2" w14:paraId="4A1E034B" w14:textId="77777777">
            <w:r w:rsidRPr="002B17F2">
              <w:t xml:space="preserve">     53.91 </w:t>
            </w:r>
          </w:p>
        </w:tc>
        <w:tc>
          <w:tcPr>
            <w:tcW w:w="1200" w:type="dxa"/>
            <w:noWrap/>
            <w:hideMark/>
          </w:tcPr>
          <w:p w:rsidRPr="002B17F2" w:rsidR="002B17F2" w:rsidRDefault="002B17F2" w14:paraId="7C711F19" w14:textId="77777777">
            <w:r w:rsidRPr="002B17F2">
              <w:t xml:space="preserve">     62.00 </w:t>
            </w:r>
          </w:p>
        </w:tc>
        <w:tc>
          <w:tcPr>
            <w:tcW w:w="1200" w:type="dxa"/>
            <w:noWrap/>
            <w:hideMark/>
          </w:tcPr>
          <w:p w:rsidRPr="002B17F2" w:rsidR="002B17F2" w:rsidRDefault="002B17F2" w14:paraId="1AC2ED88" w14:textId="77777777">
            <w:r w:rsidRPr="002B17F2">
              <w:t xml:space="preserve">     76.26 </w:t>
            </w:r>
          </w:p>
        </w:tc>
        <w:tc>
          <w:tcPr>
            <w:tcW w:w="1200" w:type="dxa"/>
            <w:noWrap/>
            <w:hideMark/>
          </w:tcPr>
          <w:p w:rsidRPr="002B17F2" w:rsidR="002B17F2" w:rsidRDefault="002B17F2" w14:paraId="431F402A" w14:textId="77777777">
            <w:r w:rsidRPr="002B17F2">
              <w:t xml:space="preserve">     51.53 </w:t>
            </w:r>
          </w:p>
        </w:tc>
      </w:tr>
      <w:tr w:rsidRPr="002B17F2" w:rsidR="002B17F2" w:rsidTr="002B17F2" w14:paraId="7D7D3618" w14:textId="77777777">
        <w:trPr>
          <w:trHeight w:val="375"/>
        </w:trPr>
        <w:tc>
          <w:tcPr>
            <w:tcW w:w="3440" w:type="dxa"/>
            <w:noWrap/>
            <w:hideMark/>
          </w:tcPr>
          <w:p w:rsidRPr="002B17F2" w:rsidR="002B17F2" w:rsidRDefault="002B17F2" w14:paraId="4EEA5AA4" w14:textId="77777777">
            <w:r w:rsidRPr="002B17F2">
              <w:t>Days Sales Outstanding</w:t>
            </w:r>
          </w:p>
        </w:tc>
        <w:tc>
          <w:tcPr>
            <w:tcW w:w="1200" w:type="dxa"/>
            <w:noWrap/>
            <w:hideMark/>
          </w:tcPr>
          <w:p w:rsidRPr="002B17F2" w:rsidR="002B17F2" w:rsidRDefault="002B17F2" w14:paraId="0FA4227E" w14:textId="77777777">
            <w:r w:rsidRPr="002B17F2">
              <w:t xml:space="preserve">     17.37 </w:t>
            </w:r>
          </w:p>
        </w:tc>
        <w:tc>
          <w:tcPr>
            <w:tcW w:w="1200" w:type="dxa"/>
            <w:noWrap/>
            <w:hideMark/>
          </w:tcPr>
          <w:p w:rsidRPr="002B17F2" w:rsidR="002B17F2" w:rsidRDefault="002B17F2" w14:paraId="26CBF83E" w14:textId="77777777">
            <w:r w:rsidRPr="002B17F2">
              <w:t xml:space="preserve">     16.28 </w:t>
            </w:r>
          </w:p>
        </w:tc>
        <w:tc>
          <w:tcPr>
            <w:tcW w:w="1200" w:type="dxa"/>
            <w:noWrap/>
            <w:hideMark/>
          </w:tcPr>
          <w:p w:rsidRPr="002B17F2" w:rsidR="002B17F2" w:rsidRDefault="002B17F2" w14:paraId="79FF2C66" w14:textId="77777777">
            <w:r w:rsidRPr="002B17F2">
              <w:t xml:space="preserve">     13.05 </w:t>
            </w:r>
          </w:p>
        </w:tc>
        <w:tc>
          <w:tcPr>
            <w:tcW w:w="1200" w:type="dxa"/>
            <w:noWrap/>
            <w:hideMark/>
          </w:tcPr>
          <w:p w:rsidRPr="002B17F2" w:rsidR="002B17F2" w:rsidRDefault="002B17F2" w14:paraId="4D574901" w14:textId="77777777">
            <w:r w:rsidRPr="002B17F2">
              <w:t xml:space="preserve">     13.05 </w:t>
            </w:r>
          </w:p>
        </w:tc>
        <w:tc>
          <w:tcPr>
            <w:tcW w:w="1200" w:type="dxa"/>
            <w:noWrap/>
            <w:hideMark/>
          </w:tcPr>
          <w:p w:rsidRPr="002B17F2" w:rsidR="002B17F2" w:rsidRDefault="002B17F2" w14:paraId="28988042" w14:textId="77777777">
            <w:r w:rsidRPr="002B17F2">
              <w:t xml:space="preserve">     12.80 </w:t>
            </w:r>
          </w:p>
        </w:tc>
      </w:tr>
      <w:tr w:rsidRPr="002B17F2" w:rsidR="002B17F2" w:rsidTr="002B17F2" w14:paraId="41E16E74" w14:textId="77777777">
        <w:trPr>
          <w:trHeight w:val="375"/>
        </w:trPr>
        <w:tc>
          <w:tcPr>
            <w:tcW w:w="3440" w:type="dxa"/>
            <w:noWrap/>
            <w:hideMark/>
          </w:tcPr>
          <w:p w:rsidRPr="002B17F2" w:rsidR="002B17F2" w:rsidRDefault="002B17F2" w14:paraId="479139EB" w14:textId="77777777">
            <w:r w:rsidRPr="002B17F2">
              <w:t>Days Payable Outstanding</w:t>
            </w:r>
          </w:p>
        </w:tc>
        <w:tc>
          <w:tcPr>
            <w:tcW w:w="1200" w:type="dxa"/>
            <w:noWrap/>
            <w:hideMark/>
          </w:tcPr>
          <w:p w:rsidRPr="002B17F2" w:rsidR="002B17F2" w:rsidRDefault="002B17F2" w14:paraId="2967C84F" w14:textId="77777777">
            <w:r w:rsidRPr="002B17F2">
              <w:t xml:space="preserve">     61.92 </w:t>
            </w:r>
          </w:p>
        </w:tc>
        <w:tc>
          <w:tcPr>
            <w:tcW w:w="1200" w:type="dxa"/>
            <w:noWrap/>
            <w:hideMark/>
          </w:tcPr>
          <w:p w:rsidRPr="002B17F2" w:rsidR="002B17F2" w:rsidRDefault="002B17F2" w14:paraId="0D7C53AC" w14:textId="77777777">
            <w:r w:rsidRPr="002B17F2">
              <w:t xml:space="preserve">     55.97 </w:t>
            </w:r>
          </w:p>
        </w:tc>
        <w:tc>
          <w:tcPr>
            <w:tcW w:w="1200" w:type="dxa"/>
            <w:noWrap/>
            <w:hideMark/>
          </w:tcPr>
          <w:p w:rsidRPr="002B17F2" w:rsidR="002B17F2" w:rsidRDefault="002B17F2" w14:paraId="75A2A035" w14:textId="77777777">
            <w:r w:rsidRPr="002B17F2">
              <w:t xml:space="preserve">     65.67 </w:t>
            </w:r>
          </w:p>
        </w:tc>
        <w:tc>
          <w:tcPr>
            <w:tcW w:w="1200" w:type="dxa"/>
            <w:noWrap/>
            <w:hideMark/>
          </w:tcPr>
          <w:p w:rsidRPr="002B17F2" w:rsidR="002B17F2" w:rsidRDefault="002B17F2" w14:paraId="7AE91054" w14:textId="77777777">
            <w:r w:rsidRPr="002B17F2">
              <w:t xml:space="preserve">     90.61 </w:t>
            </w:r>
          </w:p>
        </w:tc>
        <w:tc>
          <w:tcPr>
            <w:tcW w:w="1200" w:type="dxa"/>
            <w:noWrap/>
            <w:hideMark/>
          </w:tcPr>
          <w:p w:rsidRPr="002B17F2" w:rsidR="002B17F2" w:rsidRDefault="002B17F2" w14:paraId="5A24691D" w14:textId="77777777">
            <w:r w:rsidRPr="002B17F2">
              <w:t xml:space="preserve">     89.74 </w:t>
            </w:r>
          </w:p>
        </w:tc>
      </w:tr>
      <w:tr w:rsidRPr="002B17F2" w:rsidR="002B17F2" w:rsidTr="002B17F2" w14:paraId="237B2B88" w14:textId="77777777">
        <w:trPr>
          <w:trHeight w:val="375"/>
        </w:trPr>
        <w:tc>
          <w:tcPr>
            <w:tcW w:w="3440" w:type="dxa"/>
            <w:noWrap/>
            <w:hideMark/>
          </w:tcPr>
          <w:p w:rsidRPr="002B17F2" w:rsidR="002B17F2" w:rsidRDefault="002B17F2" w14:paraId="005727B8" w14:textId="77777777">
            <w:pPr>
              <w:rPr>
                <w:b/>
                <w:bCs/>
              </w:rPr>
            </w:pPr>
            <w:r w:rsidRPr="002B17F2">
              <w:rPr>
                <w:b/>
                <w:bCs/>
              </w:rPr>
              <w:t>Cash Operating Cycle</w:t>
            </w:r>
          </w:p>
        </w:tc>
        <w:tc>
          <w:tcPr>
            <w:tcW w:w="1200" w:type="dxa"/>
            <w:noWrap/>
            <w:hideMark/>
          </w:tcPr>
          <w:p w:rsidRPr="002B17F2" w:rsidR="002B17F2" w:rsidRDefault="002B17F2" w14:paraId="2A9B6D93" w14:textId="77777777">
            <w:pPr>
              <w:rPr>
                <w:b/>
                <w:bCs/>
              </w:rPr>
            </w:pPr>
            <w:r w:rsidRPr="002B17F2">
              <w:rPr>
                <w:b/>
                <w:bCs/>
              </w:rPr>
              <w:t xml:space="preserve">     12.84 </w:t>
            </w:r>
          </w:p>
        </w:tc>
        <w:tc>
          <w:tcPr>
            <w:tcW w:w="1200" w:type="dxa"/>
            <w:noWrap/>
            <w:hideMark/>
          </w:tcPr>
          <w:p w:rsidRPr="002B17F2" w:rsidR="002B17F2" w:rsidRDefault="002B17F2" w14:paraId="27C76EEE" w14:textId="77777777">
            <w:pPr>
              <w:rPr>
                <w:b/>
                <w:bCs/>
              </w:rPr>
            </w:pPr>
            <w:r w:rsidRPr="002B17F2">
              <w:rPr>
                <w:b/>
                <w:bCs/>
              </w:rPr>
              <w:t xml:space="preserve">     14.23 </w:t>
            </w:r>
          </w:p>
        </w:tc>
        <w:tc>
          <w:tcPr>
            <w:tcW w:w="1200" w:type="dxa"/>
            <w:noWrap/>
            <w:hideMark/>
          </w:tcPr>
          <w:p w:rsidRPr="002B17F2" w:rsidR="002B17F2" w:rsidRDefault="002B17F2" w14:paraId="28F7701D" w14:textId="77777777">
            <w:pPr>
              <w:rPr>
                <w:b/>
                <w:bCs/>
              </w:rPr>
            </w:pPr>
            <w:r w:rsidRPr="002B17F2">
              <w:rPr>
                <w:b/>
                <w:bCs/>
              </w:rPr>
              <w:t xml:space="preserve">       9.39 </w:t>
            </w:r>
          </w:p>
        </w:tc>
        <w:tc>
          <w:tcPr>
            <w:tcW w:w="1200" w:type="dxa"/>
            <w:noWrap/>
            <w:hideMark/>
          </w:tcPr>
          <w:p w:rsidRPr="002B17F2" w:rsidR="002B17F2" w:rsidRDefault="002B17F2" w14:paraId="3794BF3C" w14:textId="77777777">
            <w:pPr>
              <w:rPr>
                <w:b/>
                <w:bCs/>
              </w:rPr>
            </w:pPr>
            <w:r w:rsidRPr="002B17F2">
              <w:rPr>
                <w:b/>
                <w:bCs/>
              </w:rPr>
              <w:t xml:space="preserve">     (1.30)</w:t>
            </w:r>
          </w:p>
        </w:tc>
        <w:tc>
          <w:tcPr>
            <w:tcW w:w="1200" w:type="dxa"/>
            <w:noWrap/>
            <w:hideMark/>
          </w:tcPr>
          <w:p w:rsidRPr="002B17F2" w:rsidR="002B17F2" w:rsidRDefault="002B17F2" w14:paraId="60792B33" w14:textId="77777777">
            <w:pPr>
              <w:rPr>
                <w:b/>
                <w:bCs/>
              </w:rPr>
            </w:pPr>
            <w:r w:rsidRPr="002B17F2">
              <w:rPr>
                <w:b/>
                <w:bCs/>
              </w:rPr>
              <w:t xml:space="preserve">   (25.41)</w:t>
            </w:r>
          </w:p>
        </w:tc>
      </w:tr>
    </w:tbl>
    <w:p w:rsidR="005047DC" w:rsidP="002B17F2" w:rsidRDefault="002B17F2" w14:paraId="2503D929" w14:textId="3CF82F18">
      <w:pPr>
        <w:pStyle w:val="Caption"/>
        <w:jc w:val="center"/>
      </w:pPr>
      <w:r>
        <w:t xml:space="preserve">Table </w:t>
      </w:r>
      <w:r>
        <w:fldChar w:fldCharType="begin"/>
      </w:r>
      <w:r>
        <w:instrText xml:space="preserve"> SEQ Table \* ARABIC </w:instrText>
      </w:r>
      <w:r>
        <w:fldChar w:fldCharType="separate"/>
      </w:r>
      <w:r w:rsidR="00F16C4B">
        <w:rPr>
          <w:noProof/>
        </w:rPr>
        <w:t>2</w:t>
      </w:r>
      <w:r>
        <w:fldChar w:fldCharType="end"/>
      </w:r>
      <w:r>
        <w:t xml:space="preserve">: </w:t>
      </w:r>
      <w:r w:rsidRPr="0061517D">
        <w:t>Cash Operating Cycle</w:t>
      </w:r>
      <w:r>
        <w:t xml:space="preserve"> (Source- Author)</w:t>
      </w:r>
    </w:p>
    <w:p w:rsidR="00F306C5" w:rsidP="00F306C5" w:rsidRDefault="00F306C5" w14:paraId="0C4D3230" w14:textId="58EAADAD">
      <w:r>
        <w:rPr>
          <w:noProof/>
        </w:rPr>
        <w:drawing>
          <wp:inline distT="0" distB="0" distL="0" distR="0" wp14:anchorId="3E1599EB" wp14:editId="0F17E01B">
            <wp:extent cx="5943600" cy="3625215"/>
            <wp:effectExtent l="0" t="0" r="0" b="13335"/>
            <wp:docPr id="56536173" name="Chart 1">
              <a:extLst xmlns:a="http://schemas.openxmlformats.org/drawingml/2006/main">
                <a:ext uri="{FF2B5EF4-FFF2-40B4-BE49-F238E27FC236}">
                  <a16:creationId xmlns:a16="http://schemas.microsoft.com/office/drawing/2014/main" id="{DEDE8A3F-9E4D-455F-9810-CF14140248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6942BB" w:rsidP="006942BB" w:rsidRDefault="006942BB" w14:paraId="63A67BDD" w14:textId="14C69228">
      <w:pPr>
        <w:pStyle w:val="Caption"/>
        <w:jc w:val="center"/>
      </w:pPr>
      <w:r w:rsidR="0BE28393">
        <w:rPr/>
        <w:t xml:space="preserve">Figure </w:t>
      </w:r>
      <w:r>
        <w:fldChar w:fldCharType="begin"/>
      </w:r>
      <w:r>
        <w:instrText xml:space="preserve"> SEQ Figure \* ARABIC </w:instrText>
      </w:r>
      <w:r>
        <w:fldChar w:fldCharType="separate"/>
      </w:r>
      <w:r w:rsidRPr="3BDB421E" w:rsidR="0BE28393">
        <w:rPr>
          <w:noProof/>
        </w:rPr>
        <w:t>7</w:t>
      </w:r>
      <w:r>
        <w:fldChar w:fldCharType="end"/>
      </w:r>
      <w:r w:rsidR="0BE28393">
        <w:rPr/>
        <w:t xml:space="preserve">: </w:t>
      </w:r>
      <w:r w:rsidR="0BE28393">
        <w:rPr/>
        <w:t>Cash Operating Cycle</w:t>
      </w:r>
      <w:r w:rsidR="4A74AB9C">
        <w:rPr/>
        <w:t xml:space="preserve"> Trend</w:t>
      </w:r>
      <w:r w:rsidR="0BE28393">
        <w:rPr/>
        <w:t xml:space="preserve"> (Source- Author)</w:t>
      </w:r>
    </w:p>
    <w:p w:rsidR="3BDB421E" w:rsidP="3BDB421E" w:rsidRDefault="3BDB421E" w14:paraId="35E09013" w14:textId="3251D4C0">
      <w:pPr>
        <w:pStyle w:val="Normal"/>
      </w:pPr>
    </w:p>
    <w:p w:rsidR="3BDB421E" w:rsidP="3BDB421E" w:rsidRDefault="3BDB421E" w14:paraId="380E212E" w14:textId="50B72BB0">
      <w:pPr>
        <w:pStyle w:val="Normal"/>
      </w:pPr>
    </w:p>
    <w:p w:rsidR="3BDB421E" w:rsidP="3BDB421E" w:rsidRDefault="3BDB421E" w14:paraId="2EC61A60" w14:textId="2645F959">
      <w:pPr>
        <w:pStyle w:val="Normal"/>
      </w:pPr>
    </w:p>
    <w:p w:rsidR="3BDB421E" w:rsidP="3BDB421E" w:rsidRDefault="3BDB421E" w14:paraId="68C28CFA" w14:textId="7E719CE9">
      <w:pPr>
        <w:pStyle w:val="Normal"/>
      </w:pPr>
    </w:p>
    <w:p w:rsidR="3BDB421E" w:rsidP="3BDB421E" w:rsidRDefault="3BDB421E" w14:paraId="3EB5C4E0" w14:textId="1ECA9AF3">
      <w:pPr>
        <w:pStyle w:val="Normal"/>
      </w:pPr>
    </w:p>
    <w:p w:rsidR="3BDB421E" w:rsidP="3BDB421E" w:rsidRDefault="3BDB421E" w14:paraId="6FB65021" w14:textId="37EDB043">
      <w:pPr>
        <w:pStyle w:val="Normal"/>
      </w:pPr>
    </w:p>
    <w:p w:rsidR="3BDB421E" w:rsidP="3BDB421E" w:rsidRDefault="3BDB421E" w14:paraId="6AE4340A" w14:textId="489052EB">
      <w:pPr>
        <w:pStyle w:val="Normal"/>
      </w:pPr>
    </w:p>
    <w:p w:rsidRPr="00091501" w:rsidR="00091501" w:rsidP="00091501" w:rsidRDefault="00091501" w14:paraId="48A5574D" w14:textId="735407FD">
      <w:pPr>
        <w:pStyle w:val="Heading2"/>
      </w:pPr>
      <w:bookmarkStart w:name="_Toc1532771519" w:id="1296607110"/>
      <w:r w:rsidR="79B19631">
        <w:rPr/>
        <w:t>Appendix 3: Investment Appraisals</w:t>
      </w:r>
      <w:bookmarkEnd w:id="1296607110"/>
    </w:p>
    <w:tbl>
      <w:tblPr>
        <w:tblStyle w:val="TableGrid"/>
        <w:tblW w:w="10207" w:type="dxa"/>
        <w:tblLook w:val="04A0" w:firstRow="1" w:lastRow="0" w:firstColumn="1" w:lastColumn="0" w:noHBand="0" w:noVBand="1"/>
      </w:tblPr>
      <w:tblGrid>
        <w:gridCol w:w="3546"/>
        <w:gridCol w:w="1192"/>
        <w:gridCol w:w="1090"/>
        <w:gridCol w:w="1090"/>
        <w:gridCol w:w="1090"/>
        <w:gridCol w:w="1090"/>
        <w:gridCol w:w="1109"/>
      </w:tblGrid>
      <w:tr w:rsidRPr="00A10744" w:rsidR="00A10744" w:rsidTr="4B42EC94" w14:paraId="38EC1002" w14:textId="77777777">
        <w:trPr>
          <w:trHeight w:val="113"/>
        </w:trPr>
        <w:tc>
          <w:tcPr>
            <w:tcW w:w="10207" w:type="dxa"/>
            <w:gridSpan w:val="7"/>
            <w:noWrap/>
            <w:tcMar/>
            <w:hideMark/>
          </w:tcPr>
          <w:p w:rsidRPr="00A10744" w:rsidR="00A10744" w:rsidP="00A10744" w:rsidRDefault="00A10744" w14:paraId="332F4EBA" w14:textId="172F2218">
            <w:pPr>
              <w:jc w:val="center"/>
              <w:rPr>
                <w:b w:val="1"/>
                <w:bCs w:val="1"/>
                <w:lang w:val="en-US"/>
              </w:rPr>
            </w:pPr>
            <w:r w:rsidRPr="4B42EC94" w:rsidR="5610F6E2">
              <w:rPr>
                <w:b w:val="1"/>
                <w:bCs w:val="1"/>
              </w:rPr>
              <w:t>Project A</w:t>
            </w:r>
          </w:p>
        </w:tc>
      </w:tr>
      <w:tr w:rsidRPr="00A10744" w:rsidR="00091501" w:rsidTr="4B42EC94" w14:paraId="3CE93BD8" w14:textId="77777777">
        <w:trPr>
          <w:trHeight w:val="63"/>
        </w:trPr>
        <w:tc>
          <w:tcPr>
            <w:tcW w:w="3546" w:type="dxa"/>
            <w:noWrap/>
            <w:tcMar/>
            <w:hideMark/>
          </w:tcPr>
          <w:p w:rsidRPr="00A10744" w:rsidR="00A10744" w:rsidP="00A10744" w:rsidRDefault="00A10744" w14:paraId="532EFFC8" w14:textId="77777777">
            <w:r w:rsidRPr="00A10744">
              <w:t>Item</w:t>
            </w:r>
          </w:p>
        </w:tc>
        <w:tc>
          <w:tcPr>
            <w:tcW w:w="1192" w:type="dxa"/>
            <w:noWrap/>
            <w:tcMar/>
            <w:hideMark/>
          </w:tcPr>
          <w:p w:rsidRPr="00A10744" w:rsidR="00A10744" w:rsidRDefault="00A10744" w14:paraId="4D177A71" w14:textId="77777777">
            <w:r w:rsidRPr="00A10744">
              <w:t>Year-0</w:t>
            </w:r>
          </w:p>
        </w:tc>
        <w:tc>
          <w:tcPr>
            <w:tcW w:w="1090" w:type="dxa"/>
            <w:noWrap/>
            <w:tcMar/>
            <w:hideMark/>
          </w:tcPr>
          <w:p w:rsidRPr="00A10744" w:rsidR="00A10744" w:rsidRDefault="00A10744" w14:paraId="18C11247" w14:textId="77777777">
            <w:r w:rsidRPr="00A10744">
              <w:t>Year-1</w:t>
            </w:r>
          </w:p>
        </w:tc>
        <w:tc>
          <w:tcPr>
            <w:tcW w:w="1090" w:type="dxa"/>
            <w:noWrap/>
            <w:tcMar/>
            <w:hideMark/>
          </w:tcPr>
          <w:p w:rsidRPr="00A10744" w:rsidR="00A10744" w:rsidRDefault="00A10744" w14:paraId="41E6DD5F" w14:textId="77777777">
            <w:r w:rsidRPr="00A10744">
              <w:t>Year-2</w:t>
            </w:r>
          </w:p>
        </w:tc>
        <w:tc>
          <w:tcPr>
            <w:tcW w:w="1090" w:type="dxa"/>
            <w:noWrap/>
            <w:tcMar/>
            <w:hideMark/>
          </w:tcPr>
          <w:p w:rsidRPr="00A10744" w:rsidR="00A10744" w:rsidRDefault="00A10744" w14:paraId="50C76C76" w14:textId="77777777">
            <w:r w:rsidRPr="00A10744">
              <w:t>Year-3</w:t>
            </w:r>
          </w:p>
        </w:tc>
        <w:tc>
          <w:tcPr>
            <w:tcW w:w="1090" w:type="dxa"/>
            <w:noWrap/>
            <w:tcMar/>
            <w:hideMark/>
          </w:tcPr>
          <w:p w:rsidRPr="00A10744" w:rsidR="00A10744" w:rsidRDefault="00A10744" w14:paraId="0D98DABD" w14:textId="77777777">
            <w:r w:rsidRPr="00A10744">
              <w:t>Year-4</w:t>
            </w:r>
          </w:p>
        </w:tc>
        <w:tc>
          <w:tcPr>
            <w:tcW w:w="1104" w:type="dxa"/>
            <w:noWrap/>
            <w:tcMar/>
            <w:hideMark/>
          </w:tcPr>
          <w:p w:rsidRPr="00A10744" w:rsidR="00A10744" w:rsidRDefault="00A10744" w14:paraId="3C0C3F68" w14:textId="77777777">
            <w:r w:rsidRPr="00A10744">
              <w:t>Year-5</w:t>
            </w:r>
          </w:p>
        </w:tc>
      </w:tr>
      <w:tr w:rsidRPr="00A10744" w:rsidR="00091501" w:rsidTr="4B42EC94" w14:paraId="29C05016" w14:textId="77777777">
        <w:trPr>
          <w:trHeight w:val="63"/>
        </w:trPr>
        <w:tc>
          <w:tcPr>
            <w:tcW w:w="3546" w:type="dxa"/>
            <w:noWrap/>
            <w:tcMar/>
            <w:hideMark/>
          </w:tcPr>
          <w:p w:rsidRPr="00A10744" w:rsidR="00A10744" w:rsidRDefault="00A10744" w14:paraId="5AA996BF" w14:textId="77777777">
            <w:r w:rsidRPr="00A10744">
              <w:t>Initial Investment</w:t>
            </w:r>
          </w:p>
        </w:tc>
        <w:tc>
          <w:tcPr>
            <w:tcW w:w="1192" w:type="dxa"/>
            <w:noWrap/>
            <w:tcMar/>
            <w:hideMark/>
          </w:tcPr>
          <w:p w:rsidRPr="00A10744" w:rsidR="00A10744" w:rsidRDefault="00A10744" w14:paraId="37090FF4" w14:textId="77777777">
            <w:r w:rsidRPr="00A10744">
              <w:t xml:space="preserve">     50.00 </w:t>
            </w:r>
          </w:p>
        </w:tc>
        <w:tc>
          <w:tcPr>
            <w:tcW w:w="1090" w:type="dxa"/>
            <w:noWrap/>
            <w:tcMar/>
            <w:hideMark/>
          </w:tcPr>
          <w:p w:rsidRPr="00A10744" w:rsidR="00A10744" w:rsidRDefault="00A10744" w14:paraId="71B5D310" w14:textId="77777777">
            <w:r w:rsidRPr="00A10744">
              <w:t> </w:t>
            </w:r>
          </w:p>
        </w:tc>
        <w:tc>
          <w:tcPr>
            <w:tcW w:w="1090" w:type="dxa"/>
            <w:noWrap/>
            <w:tcMar/>
            <w:hideMark/>
          </w:tcPr>
          <w:p w:rsidRPr="00A10744" w:rsidR="00A10744" w:rsidRDefault="00A10744" w14:paraId="676EFB54" w14:textId="77777777">
            <w:r w:rsidRPr="00A10744">
              <w:t> </w:t>
            </w:r>
          </w:p>
        </w:tc>
        <w:tc>
          <w:tcPr>
            <w:tcW w:w="1090" w:type="dxa"/>
            <w:noWrap/>
            <w:tcMar/>
            <w:hideMark/>
          </w:tcPr>
          <w:p w:rsidRPr="00A10744" w:rsidR="00A10744" w:rsidRDefault="00A10744" w14:paraId="27ACC2B9" w14:textId="77777777">
            <w:r w:rsidRPr="00A10744">
              <w:t> </w:t>
            </w:r>
          </w:p>
        </w:tc>
        <w:tc>
          <w:tcPr>
            <w:tcW w:w="1090" w:type="dxa"/>
            <w:noWrap/>
            <w:tcMar/>
            <w:hideMark/>
          </w:tcPr>
          <w:p w:rsidRPr="00A10744" w:rsidR="00A10744" w:rsidRDefault="00A10744" w14:paraId="29B6FAB1" w14:textId="77777777">
            <w:r w:rsidRPr="00A10744">
              <w:t> </w:t>
            </w:r>
          </w:p>
        </w:tc>
        <w:tc>
          <w:tcPr>
            <w:tcW w:w="1104" w:type="dxa"/>
            <w:noWrap/>
            <w:tcMar/>
            <w:hideMark/>
          </w:tcPr>
          <w:p w:rsidRPr="00A10744" w:rsidR="00A10744" w:rsidRDefault="00A10744" w14:paraId="6BBC16B7" w14:textId="77777777">
            <w:r w:rsidRPr="00A10744">
              <w:t> </w:t>
            </w:r>
          </w:p>
        </w:tc>
      </w:tr>
      <w:tr w:rsidRPr="00A10744" w:rsidR="00091501" w:rsidTr="4B42EC94" w14:paraId="0915DA42" w14:textId="77777777">
        <w:trPr>
          <w:trHeight w:val="63"/>
        </w:trPr>
        <w:tc>
          <w:tcPr>
            <w:tcW w:w="3546" w:type="dxa"/>
            <w:noWrap/>
            <w:tcMar/>
            <w:hideMark/>
          </w:tcPr>
          <w:p w:rsidRPr="00A10744" w:rsidR="00A10744" w:rsidRDefault="00A10744" w14:paraId="51CD1B28" w14:textId="77777777">
            <w:r w:rsidRPr="00A10744">
              <w:t>Net Cash Flows</w:t>
            </w:r>
          </w:p>
        </w:tc>
        <w:tc>
          <w:tcPr>
            <w:tcW w:w="1192" w:type="dxa"/>
            <w:noWrap/>
            <w:tcMar/>
            <w:hideMark/>
          </w:tcPr>
          <w:p w:rsidRPr="00A10744" w:rsidR="00A10744" w:rsidRDefault="00A10744" w14:paraId="4497AC17" w14:textId="77777777">
            <w:r w:rsidRPr="00A10744">
              <w:t> </w:t>
            </w:r>
          </w:p>
        </w:tc>
        <w:tc>
          <w:tcPr>
            <w:tcW w:w="1090" w:type="dxa"/>
            <w:noWrap/>
            <w:tcMar/>
            <w:hideMark/>
          </w:tcPr>
          <w:p w:rsidRPr="00A10744" w:rsidR="00A10744" w:rsidRDefault="00A10744" w14:paraId="09B1D10A" w14:textId="77777777">
            <w:r w:rsidRPr="00A10744">
              <w:t xml:space="preserve">     10.00 </w:t>
            </w:r>
          </w:p>
        </w:tc>
        <w:tc>
          <w:tcPr>
            <w:tcW w:w="1090" w:type="dxa"/>
            <w:noWrap/>
            <w:tcMar/>
            <w:hideMark/>
          </w:tcPr>
          <w:p w:rsidRPr="00A10744" w:rsidR="00A10744" w:rsidRDefault="00A10744" w14:paraId="05AD2894" w14:textId="77777777">
            <w:r w:rsidRPr="00A10744">
              <w:t xml:space="preserve">     12.00 </w:t>
            </w:r>
          </w:p>
        </w:tc>
        <w:tc>
          <w:tcPr>
            <w:tcW w:w="1090" w:type="dxa"/>
            <w:noWrap/>
            <w:tcMar/>
            <w:hideMark/>
          </w:tcPr>
          <w:p w:rsidRPr="00A10744" w:rsidR="00A10744" w:rsidRDefault="00A10744" w14:paraId="5EFA753A" w14:textId="77777777">
            <w:r w:rsidRPr="00A10744">
              <w:t xml:space="preserve">     14.00 </w:t>
            </w:r>
          </w:p>
        </w:tc>
        <w:tc>
          <w:tcPr>
            <w:tcW w:w="1090" w:type="dxa"/>
            <w:noWrap/>
            <w:tcMar/>
            <w:hideMark/>
          </w:tcPr>
          <w:p w:rsidRPr="00A10744" w:rsidR="00A10744" w:rsidRDefault="00A10744" w14:paraId="49702C81" w14:textId="77777777">
            <w:r w:rsidRPr="00A10744">
              <w:t xml:space="preserve">     10.00 </w:t>
            </w:r>
          </w:p>
        </w:tc>
        <w:tc>
          <w:tcPr>
            <w:tcW w:w="1104" w:type="dxa"/>
            <w:noWrap/>
            <w:tcMar/>
            <w:hideMark/>
          </w:tcPr>
          <w:p w:rsidRPr="00A10744" w:rsidR="00A10744" w:rsidRDefault="00A10744" w14:paraId="6F68230F" w14:textId="77777777">
            <w:r w:rsidRPr="00A10744">
              <w:t xml:space="preserve">       8.00 </w:t>
            </w:r>
          </w:p>
        </w:tc>
      </w:tr>
      <w:tr w:rsidRPr="00A10744" w:rsidR="00091501" w:rsidTr="4B42EC94" w14:paraId="147E9614" w14:textId="77777777">
        <w:trPr>
          <w:trHeight w:val="63"/>
        </w:trPr>
        <w:tc>
          <w:tcPr>
            <w:tcW w:w="3546" w:type="dxa"/>
            <w:noWrap/>
            <w:tcMar/>
            <w:hideMark/>
          </w:tcPr>
          <w:p w:rsidRPr="00A10744" w:rsidR="00A10744" w:rsidRDefault="00A10744" w14:paraId="2662C75B" w14:textId="77777777">
            <w:r w:rsidRPr="00A10744">
              <w:t>Depreciation</w:t>
            </w:r>
          </w:p>
        </w:tc>
        <w:tc>
          <w:tcPr>
            <w:tcW w:w="1192" w:type="dxa"/>
            <w:noWrap/>
            <w:tcMar/>
            <w:hideMark/>
          </w:tcPr>
          <w:p w:rsidRPr="00A10744" w:rsidR="00A10744" w:rsidRDefault="00A10744" w14:paraId="3686BC6F" w14:textId="77777777">
            <w:r w:rsidRPr="00A10744">
              <w:t> </w:t>
            </w:r>
          </w:p>
        </w:tc>
        <w:tc>
          <w:tcPr>
            <w:tcW w:w="1090" w:type="dxa"/>
            <w:noWrap/>
            <w:tcMar/>
            <w:hideMark/>
          </w:tcPr>
          <w:p w:rsidRPr="00A10744" w:rsidR="00A10744" w:rsidRDefault="00A10744" w14:paraId="69F7C803" w14:textId="77777777">
            <w:r w:rsidRPr="00A10744">
              <w:t xml:space="preserve">     10.00 </w:t>
            </w:r>
          </w:p>
        </w:tc>
        <w:tc>
          <w:tcPr>
            <w:tcW w:w="1090" w:type="dxa"/>
            <w:noWrap/>
            <w:tcMar/>
            <w:hideMark/>
          </w:tcPr>
          <w:p w:rsidRPr="00A10744" w:rsidR="00A10744" w:rsidRDefault="00A10744" w14:paraId="61C10530" w14:textId="77777777">
            <w:r w:rsidRPr="00A10744">
              <w:t xml:space="preserve">     10.00 </w:t>
            </w:r>
          </w:p>
        </w:tc>
        <w:tc>
          <w:tcPr>
            <w:tcW w:w="1090" w:type="dxa"/>
            <w:noWrap/>
            <w:tcMar/>
            <w:hideMark/>
          </w:tcPr>
          <w:p w:rsidRPr="00A10744" w:rsidR="00A10744" w:rsidRDefault="00A10744" w14:paraId="44F0E412" w14:textId="77777777">
            <w:r w:rsidRPr="00A10744">
              <w:t xml:space="preserve">     10.00 </w:t>
            </w:r>
          </w:p>
        </w:tc>
        <w:tc>
          <w:tcPr>
            <w:tcW w:w="1090" w:type="dxa"/>
            <w:noWrap/>
            <w:tcMar/>
            <w:hideMark/>
          </w:tcPr>
          <w:p w:rsidRPr="00A10744" w:rsidR="00A10744" w:rsidRDefault="00A10744" w14:paraId="686A5403" w14:textId="77777777">
            <w:r w:rsidRPr="00A10744">
              <w:t xml:space="preserve">     10.00 </w:t>
            </w:r>
          </w:p>
        </w:tc>
        <w:tc>
          <w:tcPr>
            <w:tcW w:w="1104" w:type="dxa"/>
            <w:noWrap/>
            <w:tcMar/>
            <w:hideMark/>
          </w:tcPr>
          <w:p w:rsidRPr="00A10744" w:rsidR="00A10744" w:rsidRDefault="00A10744" w14:paraId="5225F040" w14:textId="77777777">
            <w:r w:rsidRPr="00A10744">
              <w:t xml:space="preserve">     10.00 </w:t>
            </w:r>
          </w:p>
        </w:tc>
      </w:tr>
      <w:tr w:rsidRPr="00A10744" w:rsidR="00091501" w:rsidTr="4B42EC94" w14:paraId="7640879B" w14:textId="77777777">
        <w:trPr>
          <w:trHeight w:val="63"/>
        </w:trPr>
        <w:tc>
          <w:tcPr>
            <w:tcW w:w="3546" w:type="dxa"/>
            <w:noWrap/>
            <w:tcMar/>
            <w:hideMark/>
          </w:tcPr>
          <w:p w:rsidRPr="00A10744" w:rsidR="00A10744" w:rsidRDefault="00A10744" w14:paraId="5750340A" w14:textId="77777777">
            <w:r w:rsidRPr="00A10744">
              <w:t>Project Cash Flows</w:t>
            </w:r>
          </w:p>
        </w:tc>
        <w:tc>
          <w:tcPr>
            <w:tcW w:w="1192" w:type="dxa"/>
            <w:noWrap/>
            <w:tcMar/>
            <w:hideMark/>
          </w:tcPr>
          <w:p w:rsidRPr="00A10744" w:rsidR="00A10744" w:rsidRDefault="00A10744" w14:paraId="3AE93501" w14:textId="77777777">
            <w:r w:rsidRPr="00A10744">
              <w:t xml:space="preserve">    (50.00)</w:t>
            </w:r>
          </w:p>
        </w:tc>
        <w:tc>
          <w:tcPr>
            <w:tcW w:w="1090" w:type="dxa"/>
            <w:noWrap/>
            <w:tcMar/>
            <w:hideMark/>
          </w:tcPr>
          <w:p w:rsidRPr="00A10744" w:rsidR="00A10744" w:rsidRDefault="00A10744" w14:paraId="1FA34B3F" w14:textId="77777777">
            <w:r w:rsidRPr="00A10744">
              <w:t xml:space="preserve">     20.00 </w:t>
            </w:r>
          </w:p>
        </w:tc>
        <w:tc>
          <w:tcPr>
            <w:tcW w:w="1090" w:type="dxa"/>
            <w:noWrap/>
            <w:tcMar/>
            <w:hideMark/>
          </w:tcPr>
          <w:p w:rsidRPr="00A10744" w:rsidR="00A10744" w:rsidRDefault="00A10744" w14:paraId="568A683B" w14:textId="77777777">
            <w:r w:rsidRPr="00A10744">
              <w:t xml:space="preserve">     22.00 </w:t>
            </w:r>
          </w:p>
        </w:tc>
        <w:tc>
          <w:tcPr>
            <w:tcW w:w="1090" w:type="dxa"/>
            <w:noWrap/>
            <w:tcMar/>
            <w:hideMark/>
          </w:tcPr>
          <w:p w:rsidRPr="00A10744" w:rsidR="00A10744" w:rsidRDefault="00A10744" w14:paraId="16CD900E" w14:textId="77777777">
            <w:r w:rsidRPr="00A10744">
              <w:t xml:space="preserve">     24.00 </w:t>
            </w:r>
          </w:p>
        </w:tc>
        <w:tc>
          <w:tcPr>
            <w:tcW w:w="1090" w:type="dxa"/>
            <w:noWrap/>
            <w:tcMar/>
            <w:hideMark/>
          </w:tcPr>
          <w:p w:rsidRPr="00A10744" w:rsidR="00A10744" w:rsidRDefault="00A10744" w14:paraId="671C1CC9" w14:textId="77777777">
            <w:r w:rsidRPr="00A10744">
              <w:t xml:space="preserve">     20.00 </w:t>
            </w:r>
          </w:p>
        </w:tc>
        <w:tc>
          <w:tcPr>
            <w:tcW w:w="1104" w:type="dxa"/>
            <w:noWrap/>
            <w:tcMar/>
            <w:hideMark/>
          </w:tcPr>
          <w:p w:rsidRPr="00A10744" w:rsidR="00A10744" w:rsidRDefault="00A10744" w14:paraId="3C893199" w14:textId="77777777">
            <w:r w:rsidRPr="00A10744">
              <w:t xml:space="preserve">     18.00 </w:t>
            </w:r>
          </w:p>
        </w:tc>
      </w:tr>
      <w:tr w:rsidRPr="00A10744" w:rsidR="00091501" w:rsidTr="4B42EC94" w14:paraId="2C767D13" w14:textId="77777777">
        <w:trPr>
          <w:trHeight w:val="63"/>
        </w:trPr>
        <w:tc>
          <w:tcPr>
            <w:tcW w:w="3546" w:type="dxa"/>
            <w:noWrap/>
            <w:tcMar/>
            <w:hideMark/>
          </w:tcPr>
          <w:p w:rsidRPr="00A10744" w:rsidR="00A10744" w:rsidRDefault="00A10744" w14:paraId="249F3B06" w14:textId="77777777">
            <w:r w:rsidRPr="00A10744">
              <w:t>Discount Rate</w:t>
            </w:r>
          </w:p>
        </w:tc>
        <w:tc>
          <w:tcPr>
            <w:tcW w:w="1192" w:type="dxa"/>
            <w:noWrap/>
            <w:tcMar/>
            <w:hideMark/>
          </w:tcPr>
          <w:p w:rsidRPr="00A10744" w:rsidR="00A10744" w:rsidP="00A10744" w:rsidRDefault="00A10744" w14:paraId="0BA81672" w14:textId="77777777">
            <w:r w:rsidRPr="00A10744">
              <w:t>10%</w:t>
            </w:r>
          </w:p>
        </w:tc>
        <w:tc>
          <w:tcPr>
            <w:tcW w:w="1090" w:type="dxa"/>
            <w:noWrap/>
            <w:tcMar/>
            <w:hideMark/>
          </w:tcPr>
          <w:p w:rsidRPr="00A10744" w:rsidR="00A10744" w:rsidP="00A10744" w:rsidRDefault="00A10744" w14:paraId="4A71CEE8" w14:textId="77777777"/>
        </w:tc>
        <w:tc>
          <w:tcPr>
            <w:tcW w:w="1090" w:type="dxa"/>
            <w:noWrap/>
            <w:tcMar/>
            <w:hideMark/>
          </w:tcPr>
          <w:p w:rsidRPr="00A10744" w:rsidR="00A10744" w:rsidRDefault="00A10744" w14:paraId="0B1B7CAA" w14:textId="77777777"/>
        </w:tc>
        <w:tc>
          <w:tcPr>
            <w:tcW w:w="1090" w:type="dxa"/>
            <w:noWrap/>
            <w:tcMar/>
            <w:hideMark/>
          </w:tcPr>
          <w:p w:rsidRPr="00A10744" w:rsidR="00A10744" w:rsidRDefault="00A10744" w14:paraId="388A4C31" w14:textId="77777777"/>
        </w:tc>
        <w:tc>
          <w:tcPr>
            <w:tcW w:w="1090" w:type="dxa"/>
            <w:noWrap/>
            <w:tcMar/>
            <w:hideMark/>
          </w:tcPr>
          <w:p w:rsidRPr="00A10744" w:rsidR="00A10744" w:rsidRDefault="00A10744" w14:paraId="2C99C3C0" w14:textId="77777777"/>
        </w:tc>
        <w:tc>
          <w:tcPr>
            <w:tcW w:w="1104" w:type="dxa"/>
            <w:noWrap/>
            <w:tcMar/>
            <w:hideMark/>
          </w:tcPr>
          <w:p w:rsidRPr="00A10744" w:rsidR="00A10744" w:rsidRDefault="00A10744" w14:paraId="21F76F53" w14:textId="77777777">
            <w:r w:rsidRPr="00A10744">
              <w:t> </w:t>
            </w:r>
          </w:p>
        </w:tc>
      </w:tr>
      <w:tr w:rsidRPr="00A10744" w:rsidR="00091501" w:rsidTr="4B42EC94" w14:paraId="44D16A4B" w14:textId="77777777">
        <w:trPr>
          <w:trHeight w:val="63"/>
        </w:trPr>
        <w:tc>
          <w:tcPr>
            <w:tcW w:w="3546" w:type="dxa"/>
            <w:noWrap/>
            <w:tcMar/>
            <w:hideMark/>
          </w:tcPr>
          <w:p w:rsidRPr="00A10744" w:rsidR="00A10744" w:rsidRDefault="00A10744" w14:paraId="58A90509" w14:textId="2684A4FD">
            <w:pPr>
              <w:rPr>
                <w:b w:val="1"/>
                <w:bCs w:val="1"/>
              </w:rPr>
            </w:pPr>
            <w:r w:rsidRPr="4B42EC94" w:rsidR="76B9AFA9">
              <w:rPr>
                <w:b w:val="1"/>
                <w:bCs w:val="1"/>
              </w:rPr>
              <w:t>P</w:t>
            </w:r>
            <w:r w:rsidRPr="4B42EC94" w:rsidR="49BC9400">
              <w:rPr>
                <w:b w:val="1"/>
                <w:bCs w:val="1"/>
              </w:rPr>
              <w:t>a</w:t>
            </w:r>
            <w:r w:rsidRPr="4B42EC94" w:rsidR="76B9AFA9">
              <w:rPr>
                <w:b w:val="1"/>
                <w:bCs w:val="1"/>
              </w:rPr>
              <w:t>yback</w:t>
            </w:r>
            <w:r w:rsidRPr="4B42EC94" w:rsidR="76B9AFA9">
              <w:rPr>
                <w:b w:val="1"/>
                <w:bCs w:val="1"/>
              </w:rPr>
              <w:t xml:space="preserve"> Period</w:t>
            </w:r>
          </w:p>
        </w:tc>
        <w:tc>
          <w:tcPr>
            <w:tcW w:w="1192" w:type="dxa"/>
            <w:noWrap/>
            <w:tcMar/>
            <w:hideMark/>
          </w:tcPr>
          <w:p w:rsidRPr="00A10744" w:rsidR="00A10744" w:rsidRDefault="00A10744" w14:paraId="673320E1" w14:textId="536C6AB1">
            <w:pPr>
              <w:rPr>
                <w:b w:val="1"/>
                <w:bCs w:val="1"/>
              </w:rPr>
            </w:pPr>
            <w:r w:rsidRPr="4B42EC94" w:rsidR="784D56C8">
              <w:rPr>
                <w:b w:val="1"/>
                <w:bCs w:val="1"/>
              </w:rPr>
              <w:t xml:space="preserve">     </w:t>
            </w:r>
            <w:r w:rsidRPr="4B42EC94" w:rsidR="76B9AFA9">
              <w:rPr>
                <w:b w:val="1"/>
                <w:bCs w:val="1"/>
              </w:rPr>
              <w:t xml:space="preserve">2.33 </w:t>
            </w:r>
          </w:p>
        </w:tc>
        <w:tc>
          <w:tcPr>
            <w:tcW w:w="1090" w:type="dxa"/>
            <w:noWrap/>
            <w:tcMar/>
            <w:hideMark/>
          </w:tcPr>
          <w:p w:rsidRPr="00A10744" w:rsidR="00A10744" w:rsidRDefault="00A10744" w14:paraId="2F81462F" w14:textId="77777777">
            <w:pPr>
              <w:rPr>
                <w:b/>
                <w:bCs/>
              </w:rPr>
            </w:pPr>
          </w:p>
        </w:tc>
        <w:tc>
          <w:tcPr>
            <w:tcW w:w="1090" w:type="dxa"/>
            <w:noWrap/>
            <w:tcMar/>
            <w:hideMark/>
          </w:tcPr>
          <w:p w:rsidRPr="00A10744" w:rsidR="00A10744" w:rsidRDefault="00A10744" w14:paraId="0D6E48E0" w14:textId="77777777"/>
        </w:tc>
        <w:tc>
          <w:tcPr>
            <w:tcW w:w="1090" w:type="dxa"/>
            <w:noWrap/>
            <w:tcMar/>
            <w:hideMark/>
          </w:tcPr>
          <w:p w:rsidRPr="00A10744" w:rsidR="00A10744" w:rsidRDefault="00A10744" w14:paraId="5AEE7E02" w14:textId="77777777"/>
        </w:tc>
        <w:tc>
          <w:tcPr>
            <w:tcW w:w="1090" w:type="dxa"/>
            <w:noWrap/>
            <w:tcMar/>
            <w:hideMark/>
          </w:tcPr>
          <w:p w:rsidRPr="00A10744" w:rsidR="00A10744" w:rsidRDefault="00A10744" w14:paraId="0A64FB41" w14:textId="77777777"/>
        </w:tc>
        <w:tc>
          <w:tcPr>
            <w:tcW w:w="1104" w:type="dxa"/>
            <w:noWrap/>
            <w:tcMar/>
            <w:hideMark/>
          </w:tcPr>
          <w:p w:rsidRPr="00A10744" w:rsidR="00A10744" w:rsidRDefault="00A10744" w14:paraId="5F07AF00" w14:textId="77777777">
            <w:r w:rsidRPr="00A10744">
              <w:t> </w:t>
            </w:r>
          </w:p>
        </w:tc>
      </w:tr>
      <w:tr w:rsidRPr="00A10744" w:rsidR="00091501" w:rsidTr="4B42EC94" w14:paraId="0CFE1A84" w14:textId="77777777">
        <w:trPr>
          <w:trHeight w:val="63"/>
        </w:trPr>
        <w:tc>
          <w:tcPr>
            <w:tcW w:w="3546" w:type="dxa"/>
            <w:noWrap/>
            <w:tcMar/>
            <w:hideMark/>
          </w:tcPr>
          <w:p w:rsidRPr="00A10744" w:rsidR="00A10744" w:rsidRDefault="00A10744" w14:paraId="30E78A2D" w14:textId="77777777">
            <w:pPr>
              <w:rPr>
                <w:b/>
                <w:bCs/>
              </w:rPr>
            </w:pPr>
            <w:r w:rsidRPr="00A10744">
              <w:rPr>
                <w:b/>
                <w:bCs/>
              </w:rPr>
              <w:t>Accounting Rate of Return</w:t>
            </w:r>
          </w:p>
        </w:tc>
        <w:tc>
          <w:tcPr>
            <w:tcW w:w="1192" w:type="dxa"/>
            <w:noWrap/>
            <w:tcMar/>
            <w:hideMark/>
          </w:tcPr>
          <w:p w:rsidRPr="00A10744" w:rsidR="00A10744" w:rsidP="00A10744" w:rsidRDefault="00A10744" w14:paraId="3DACAC66" w14:textId="77777777">
            <w:pPr>
              <w:rPr>
                <w:b/>
                <w:bCs/>
              </w:rPr>
            </w:pPr>
            <w:r w:rsidRPr="00A10744">
              <w:rPr>
                <w:b/>
                <w:bCs/>
              </w:rPr>
              <w:t>22%</w:t>
            </w:r>
          </w:p>
        </w:tc>
        <w:tc>
          <w:tcPr>
            <w:tcW w:w="1090" w:type="dxa"/>
            <w:noWrap/>
            <w:tcMar/>
            <w:hideMark/>
          </w:tcPr>
          <w:p w:rsidRPr="00A10744" w:rsidR="00A10744" w:rsidP="00A10744" w:rsidRDefault="00A10744" w14:paraId="245EACE8" w14:textId="77777777">
            <w:pPr>
              <w:rPr>
                <w:b/>
                <w:bCs/>
              </w:rPr>
            </w:pPr>
          </w:p>
        </w:tc>
        <w:tc>
          <w:tcPr>
            <w:tcW w:w="1090" w:type="dxa"/>
            <w:noWrap/>
            <w:tcMar/>
            <w:hideMark/>
          </w:tcPr>
          <w:p w:rsidRPr="00A10744" w:rsidR="00A10744" w:rsidRDefault="00A10744" w14:paraId="5F1C10AE" w14:textId="77777777"/>
        </w:tc>
        <w:tc>
          <w:tcPr>
            <w:tcW w:w="1090" w:type="dxa"/>
            <w:noWrap/>
            <w:tcMar/>
            <w:hideMark/>
          </w:tcPr>
          <w:p w:rsidRPr="00A10744" w:rsidR="00A10744" w:rsidRDefault="00A10744" w14:paraId="52B8B93A" w14:textId="77777777"/>
        </w:tc>
        <w:tc>
          <w:tcPr>
            <w:tcW w:w="1090" w:type="dxa"/>
            <w:noWrap/>
            <w:tcMar/>
            <w:hideMark/>
          </w:tcPr>
          <w:p w:rsidRPr="00A10744" w:rsidR="00A10744" w:rsidRDefault="00A10744" w14:paraId="13A6D3FE" w14:textId="77777777"/>
        </w:tc>
        <w:tc>
          <w:tcPr>
            <w:tcW w:w="1104" w:type="dxa"/>
            <w:noWrap/>
            <w:tcMar/>
            <w:hideMark/>
          </w:tcPr>
          <w:p w:rsidRPr="00A10744" w:rsidR="00A10744" w:rsidRDefault="00A10744" w14:paraId="021F7CA9" w14:textId="77777777">
            <w:r w:rsidRPr="00A10744">
              <w:t> </w:t>
            </w:r>
          </w:p>
        </w:tc>
      </w:tr>
      <w:tr w:rsidRPr="00A10744" w:rsidR="00091501" w:rsidTr="4B42EC94" w14:paraId="5C320676" w14:textId="77777777">
        <w:trPr>
          <w:trHeight w:val="63"/>
        </w:trPr>
        <w:tc>
          <w:tcPr>
            <w:tcW w:w="3546" w:type="dxa"/>
            <w:noWrap/>
            <w:tcMar/>
            <w:hideMark/>
          </w:tcPr>
          <w:p w:rsidRPr="00A10744" w:rsidR="00A10744" w:rsidRDefault="00A10744" w14:paraId="0B4BF980" w14:textId="77777777">
            <w:pPr>
              <w:rPr>
                <w:b/>
                <w:bCs/>
              </w:rPr>
            </w:pPr>
            <w:r w:rsidRPr="00A10744">
              <w:rPr>
                <w:b/>
                <w:bCs/>
              </w:rPr>
              <w:t>Net Present value</w:t>
            </w:r>
          </w:p>
        </w:tc>
        <w:tc>
          <w:tcPr>
            <w:tcW w:w="1192" w:type="dxa"/>
            <w:noWrap/>
            <w:tcMar/>
            <w:hideMark/>
          </w:tcPr>
          <w:p w:rsidRPr="00A10744" w:rsidR="00A10744" w:rsidRDefault="00A10744" w14:paraId="7CAF48CD" w14:textId="77777777">
            <w:pPr>
              <w:rPr>
                <w:b/>
                <w:bCs/>
              </w:rPr>
            </w:pPr>
            <w:r w:rsidRPr="00A10744">
              <w:rPr>
                <w:b/>
                <w:bCs/>
              </w:rPr>
              <w:t xml:space="preserve"> £ 29.23 </w:t>
            </w:r>
          </w:p>
        </w:tc>
        <w:tc>
          <w:tcPr>
            <w:tcW w:w="1090" w:type="dxa"/>
            <w:noWrap/>
            <w:tcMar/>
            <w:hideMark/>
          </w:tcPr>
          <w:p w:rsidRPr="00A10744" w:rsidR="00A10744" w:rsidRDefault="00A10744" w14:paraId="6B88E2F3" w14:textId="77777777">
            <w:pPr>
              <w:rPr>
                <w:b/>
                <w:bCs/>
              </w:rPr>
            </w:pPr>
          </w:p>
        </w:tc>
        <w:tc>
          <w:tcPr>
            <w:tcW w:w="1090" w:type="dxa"/>
            <w:noWrap/>
            <w:tcMar/>
            <w:hideMark/>
          </w:tcPr>
          <w:p w:rsidRPr="00A10744" w:rsidR="00A10744" w:rsidRDefault="00A10744" w14:paraId="7D776E99" w14:textId="77777777"/>
        </w:tc>
        <w:tc>
          <w:tcPr>
            <w:tcW w:w="1090" w:type="dxa"/>
            <w:noWrap/>
            <w:tcMar/>
            <w:hideMark/>
          </w:tcPr>
          <w:p w:rsidRPr="00A10744" w:rsidR="00A10744" w:rsidRDefault="00A10744" w14:paraId="69DADA31" w14:textId="77777777"/>
        </w:tc>
        <w:tc>
          <w:tcPr>
            <w:tcW w:w="1090" w:type="dxa"/>
            <w:noWrap/>
            <w:tcMar/>
            <w:hideMark/>
          </w:tcPr>
          <w:p w:rsidRPr="00A10744" w:rsidR="00A10744" w:rsidRDefault="00A10744" w14:paraId="0BF17853" w14:textId="77777777"/>
        </w:tc>
        <w:tc>
          <w:tcPr>
            <w:tcW w:w="1104" w:type="dxa"/>
            <w:noWrap/>
            <w:tcMar/>
            <w:hideMark/>
          </w:tcPr>
          <w:p w:rsidRPr="00A10744" w:rsidR="00A10744" w:rsidRDefault="00A10744" w14:paraId="49A1B88E" w14:textId="77777777">
            <w:r w:rsidRPr="00A10744">
              <w:t> </w:t>
            </w:r>
          </w:p>
        </w:tc>
      </w:tr>
      <w:tr w:rsidRPr="00A10744" w:rsidR="00091501" w:rsidTr="4B42EC94" w14:paraId="0CF5CACD" w14:textId="77777777">
        <w:trPr>
          <w:trHeight w:val="63"/>
        </w:trPr>
        <w:tc>
          <w:tcPr>
            <w:tcW w:w="3546" w:type="dxa"/>
            <w:noWrap/>
            <w:tcMar/>
            <w:hideMark/>
          </w:tcPr>
          <w:p w:rsidRPr="00A10744" w:rsidR="00A10744" w:rsidRDefault="00A10744" w14:paraId="062EC5C5" w14:textId="77777777">
            <w:pPr>
              <w:rPr>
                <w:b/>
                <w:bCs/>
              </w:rPr>
            </w:pPr>
            <w:r w:rsidRPr="00A10744">
              <w:rPr>
                <w:b/>
                <w:bCs/>
              </w:rPr>
              <w:t>IRR</w:t>
            </w:r>
          </w:p>
        </w:tc>
        <w:tc>
          <w:tcPr>
            <w:tcW w:w="1192" w:type="dxa"/>
            <w:noWrap/>
            <w:tcMar/>
            <w:hideMark/>
          </w:tcPr>
          <w:p w:rsidRPr="00A10744" w:rsidR="00A10744" w:rsidP="00A10744" w:rsidRDefault="00A10744" w14:paraId="4B65D56E" w14:textId="77777777">
            <w:pPr>
              <w:rPr>
                <w:b/>
                <w:bCs/>
              </w:rPr>
            </w:pPr>
            <w:r w:rsidRPr="00A10744">
              <w:rPr>
                <w:b/>
                <w:bCs/>
              </w:rPr>
              <w:t>31.23%</w:t>
            </w:r>
          </w:p>
        </w:tc>
        <w:tc>
          <w:tcPr>
            <w:tcW w:w="1090" w:type="dxa"/>
            <w:noWrap/>
            <w:tcMar/>
            <w:hideMark/>
          </w:tcPr>
          <w:p w:rsidRPr="00A10744" w:rsidR="00A10744" w:rsidP="00A10744" w:rsidRDefault="00A10744" w14:paraId="1CB9C603" w14:textId="77777777">
            <w:pPr>
              <w:rPr>
                <w:b/>
                <w:bCs/>
              </w:rPr>
            </w:pPr>
          </w:p>
        </w:tc>
        <w:tc>
          <w:tcPr>
            <w:tcW w:w="1090" w:type="dxa"/>
            <w:noWrap/>
            <w:tcMar/>
            <w:hideMark/>
          </w:tcPr>
          <w:p w:rsidRPr="00A10744" w:rsidR="00A10744" w:rsidRDefault="00A10744" w14:paraId="1DEE2DE5" w14:textId="77777777"/>
        </w:tc>
        <w:tc>
          <w:tcPr>
            <w:tcW w:w="1090" w:type="dxa"/>
            <w:noWrap/>
            <w:tcMar/>
            <w:hideMark/>
          </w:tcPr>
          <w:p w:rsidRPr="00A10744" w:rsidR="00A10744" w:rsidRDefault="00A10744" w14:paraId="556364A2" w14:textId="77777777"/>
        </w:tc>
        <w:tc>
          <w:tcPr>
            <w:tcW w:w="1090" w:type="dxa"/>
            <w:noWrap/>
            <w:tcMar/>
            <w:hideMark/>
          </w:tcPr>
          <w:p w:rsidRPr="00A10744" w:rsidR="00A10744" w:rsidRDefault="00A10744" w14:paraId="61188EC4" w14:textId="77777777"/>
        </w:tc>
        <w:tc>
          <w:tcPr>
            <w:tcW w:w="1104" w:type="dxa"/>
            <w:noWrap/>
            <w:tcMar/>
            <w:hideMark/>
          </w:tcPr>
          <w:p w:rsidRPr="00A10744" w:rsidR="00A10744" w:rsidRDefault="00A10744" w14:paraId="0629CEF9" w14:textId="77777777">
            <w:r w:rsidRPr="00A10744">
              <w:t> </w:t>
            </w:r>
          </w:p>
        </w:tc>
      </w:tr>
      <w:tr w:rsidRPr="00A10744" w:rsidR="00091501" w:rsidTr="4B42EC94" w14:paraId="03C6A0DF" w14:textId="77777777">
        <w:trPr>
          <w:trHeight w:val="65"/>
        </w:trPr>
        <w:tc>
          <w:tcPr>
            <w:tcW w:w="3546" w:type="dxa"/>
            <w:noWrap/>
            <w:tcMar/>
            <w:hideMark/>
          </w:tcPr>
          <w:p w:rsidRPr="00A10744" w:rsidR="00A10744" w:rsidRDefault="00A10744" w14:paraId="4C71D19F" w14:textId="77777777">
            <w:pPr>
              <w:rPr>
                <w:b/>
                <w:bCs/>
              </w:rPr>
            </w:pPr>
            <w:r w:rsidRPr="00A10744">
              <w:rPr>
                <w:b/>
                <w:bCs/>
              </w:rPr>
              <w:t>Profitability Index</w:t>
            </w:r>
          </w:p>
        </w:tc>
        <w:tc>
          <w:tcPr>
            <w:tcW w:w="1192" w:type="dxa"/>
            <w:noWrap/>
            <w:tcMar/>
            <w:hideMark/>
          </w:tcPr>
          <w:p w:rsidRPr="00A10744" w:rsidR="00A10744" w:rsidRDefault="00A10744" w14:paraId="45838E9D" w14:textId="2309E582">
            <w:pPr>
              <w:rPr>
                <w:b w:val="1"/>
                <w:bCs w:val="1"/>
              </w:rPr>
            </w:pPr>
            <w:r w:rsidRPr="4B42EC94" w:rsidR="34EFAF9A">
              <w:rPr>
                <w:b w:val="1"/>
                <w:bCs w:val="1"/>
              </w:rPr>
              <w:t xml:space="preserve">     </w:t>
            </w:r>
            <w:r w:rsidRPr="4B42EC94" w:rsidR="76B9AFA9">
              <w:rPr>
                <w:b w:val="1"/>
                <w:bCs w:val="1"/>
              </w:rPr>
              <w:t xml:space="preserve">1.58 </w:t>
            </w:r>
          </w:p>
        </w:tc>
        <w:tc>
          <w:tcPr>
            <w:tcW w:w="1090" w:type="dxa"/>
            <w:noWrap/>
            <w:tcMar/>
            <w:hideMark/>
          </w:tcPr>
          <w:p w:rsidRPr="00A10744" w:rsidR="00A10744" w:rsidRDefault="00A10744" w14:paraId="6302EC4F" w14:textId="77777777">
            <w:r w:rsidRPr="00A10744">
              <w:t> </w:t>
            </w:r>
          </w:p>
        </w:tc>
        <w:tc>
          <w:tcPr>
            <w:tcW w:w="1090" w:type="dxa"/>
            <w:noWrap/>
            <w:tcMar/>
            <w:hideMark/>
          </w:tcPr>
          <w:p w:rsidRPr="00A10744" w:rsidR="00A10744" w:rsidRDefault="00A10744" w14:paraId="02307349" w14:textId="77777777">
            <w:r w:rsidRPr="00A10744">
              <w:t> </w:t>
            </w:r>
          </w:p>
        </w:tc>
        <w:tc>
          <w:tcPr>
            <w:tcW w:w="1090" w:type="dxa"/>
            <w:noWrap/>
            <w:tcMar/>
            <w:hideMark/>
          </w:tcPr>
          <w:p w:rsidRPr="00A10744" w:rsidR="00A10744" w:rsidRDefault="00A10744" w14:paraId="17C3702B" w14:textId="77777777">
            <w:r w:rsidRPr="00A10744">
              <w:t> </w:t>
            </w:r>
          </w:p>
        </w:tc>
        <w:tc>
          <w:tcPr>
            <w:tcW w:w="1090" w:type="dxa"/>
            <w:noWrap/>
            <w:tcMar/>
            <w:hideMark/>
          </w:tcPr>
          <w:p w:rsidRPr="00A10744" w:rsidR="00A10744" w:rsidRDefault="00A10744" w14:paraId="3FB2E163" w14:textId="77777777">
            <w:r w:rsidRPr="00A10744">
              <w:t> </w:t>
            </w:r>
          </w:p>
        </w:tc>
        <w:tc>
          <w:tcPr>
            <w:tcW w:w="1104" w:type="dxa"/>
            <w:noWrap/>
            <w:tcMar/>
            <w:hideMark/>
          </w:tcPr>
          <w:p w:rsidRPr="00A10744" w:rsidR="00A10744" w:rsidRDefault="00A10744" w14:paraId="4C7D738C" w14:textId="77777777">
            <w:r w:rsidRPr="00A10744">
              <w:t> </w:t>
            </w:r>
          </w:p>
        </w:tc>
      </w:tr>
    </w:tbl>
    <w:p w:rsidR="00A10744" w:rsidP="0083178B" w:rsidRDefault="0083178B" w14:paraId="7AD1A7C8" w14:textId="0DC8CA8C">
      <w:pPr>
        <w:pStyle w:val="Caption"/>
        <w:jc w:val="center"/>
      </w:pPr>
      <w:r>
        <w:t xml:space="preserve">Table </w:t>
      </w:r>
      <w:r>
        <w:fldChar w:fldCharType="begin"/>
      </w:r>
      <w:r>
        <w:instrText xml:space="preserve"> SEQ Table \* ARABIC </w:instrText>
      </w:r>
      <w:r>
        <w:fldChar w:fldCharType="separate"/>
      </w:r>
      <w:r w:rsidR="00F16C4B">
        <w:rPr>
          <w:noProof/>
        </w:rPr>
        <w:t>3</w:t>
      </w:r>
      <w:r>
        <w:fldChar w:fldCharType="end"/>
      </w:r>
      <w:r>
        <w:t>: Investment Appraisal of Project A (Source- Author)</w:t>
      </w:r>
    </w:p>
    <w:tbl>
      <w:tblPr>
        <w:tblStyle w:val="TableGrid"/>
        <w:tblW w:w="10189" w:type="dxa"/>
        <w:tblLook w:val="04A0" w:firstRow="1" w:lastRow="0" w:firstColumn="1" w:lastColumn="0" w:noHBand="0" w:noVBand="1"/>
      </w:tblPr>
      <w:tblGrid>
        <w:gridCol w:w="3542"/>
        <w:gridCol w:w="1192"/>
        <w:gridCol w:w="1090"/>
        <w:gridCol w:w="1090"/>
        <w:gridCol w:w="1090"/>
        <w:gridCol w:w="1090"/>
        <w:gridCol w:w="1095"/>
      </w:tblGrid>
      <w:tr w:rsidRPr="00D53788" w:rsidR="00D53788" w:rsidTr="4B42EC94" w14:paraId="29036761" w14:textId="77777777">
        <w:trPr>
          <w:trHeight w:val="664"/>
        </w:trPr>
        <w:tc>
          <w:tcPr>
            <w:tcW w:w="10189" w:type="dxa"/>
            <w:gridSpan w:val="7"/>
            <w:noWrap/>
            <w:tcMar/>
            <w:hideMark/>
          </w:tcPr>
          <w:p w:rsidRPr="00D53788" w:rsidR="00D53788" w:rsidP="00A74ED9" w:rsidRDefault="00D53788" w14:paraId="1D0D79B9" w14:textId="77777777">
            <w:pPr>
              <w:jc w:val="center"/>
              <w:rPr>
                <w:b/>
                <w:bCs/>
                <w:lang w:val="en-US"/>
              </w:rPr>
            </w:pPr>
            <w:r w:rsidRPr="00D53788">
              <w:rPr>
                <w:b/>
                <w:bCs/>
              </w:rPr>
              <w:t>Project B</w:t>
            </w:r>
          </w:p>
        </w:tc>
      </w:tr>
      <w:tr w:rsidRPr="00D53788" w:rsidR="00D53788" w:rsidTr="4B42EC94" w14:paraId="6F7CFACD" w14:textId="77777777">
        <w:trPr>
          <w:trHeight w:val="368"/>
        </w:trPr>
        <w:tc>
          <w:tcPr>
            <w:tcW w:w="3542" w:type="dxa"/>
            <w:noWrap/>
            <w:tcMar/>
            <w:hideMark/>
          </w:tcPr>
          <w:p w:rsidRPr="00D53788" w:rsidR="00D53788" w:rsidP="00D53788" w:rsidRDefault="00D53788" w14:paraId="02A1BE6C" w14:textId="77777777">
            <w:r w:rsidRPr="00D53788">
              <w:t>Item</w:t>
            </w:r>
          </w:p>
        </w:tc>
        <w:tc>
          <w:tcPr>
            <w:tcW w:w="1192" w:type="dxa"/>
            <w:noWrap/>
            <w:tcMar/>
            <w:hideMark/>
          </w:tcPr>
          <w:p w:rsidRPr="00D53788" w:rsidR="00D53788" w:rsidRDefault="00D53788" w14:paraId="1212E1F8" w14:textId="77777777">
            <w:r w:rsidRPr="00D53788">
              <w:t>Year-0</w:t>
            </w:r>
          </w:p>
        </w:tc>
        <w:tc>
          <w:tcPr>
            <w:tcW w:w="1090" w:type="dxa"/>
            <w:noWrap/>
            <w:tcMar/>
            <w:hideMark/>
          </w:tcPr>
          <w:p w:rsidRPr="00D53788" w:rsidR="00D53788" w:rsidRDefault="00D53788" w14:paraId="7973AB6D" w14:textId="77777777">
            <w:r w:rsidRPr="00D53788">
              <w:t>Year-1</w:t>
            </w:r>
          </w:p>
        </w:tc>
        <w:tc>
          <w:tcPr>
            <w:tcW w:w="1090" w:type="dxa"/>
            <w:noWrap/>
            <w:tcMar/>
            <w:hideMark/>
          </w:tcPr>
          <w:p w:rsidRPr="00D53788" w:rsidR="00D53788" w:rsidRDefault="00D53788" w14:paraId="65847E9D" w14:textId="77777777">
            <w:r w:rsidRPr="00D53788">
              <w:t>Year-2</w:t>
            </w:r>
          </w:p>
        </w:tc>
        <w:tc>
          <w:tcPr>
            <w:tcW w:w="1090" w:type="dxa"/>
            <w:noWrap/>
            <w:tcMar/>
            <w:hideMark/>
          </w:tcPr>
          <w:p w:rsidRPr="00D53788" w:rsidR="00D53788" w:rsidRDefault="00D53788" w14:paraId="26FA3D5B" w14:textId="77777777">
            <w:r w:rsidRPr="00D53788">
              <w:t>Year-3</w:t>
            </w:r>
          </w:p>
        </w:tc>
        <w:tc>
          <w:tcPr>
            <w:tcW w:w="1090" w:type="dxa"/>
            <w:noWrap/>
            <w:tcMar/>
            <w:hideMark/>
          </w:tcPr>
          <w:p w:rsidRPr="00D53788" w:rsidR="00D53788" w:rsidRDefault="00D53788" w14:paraId="69108A3F" w14:textId="77777777">
            <w:r w:rsidRPr="00D53788">
              <w:t>Year-4</w:t>
            </w:r>
          </w:p>
        </w:tc>
        <w:tc>
          <w:tcPr>
            <w:tcW w:w="1090" w:type="dxa"/>
            <w:noWrap/>
            <w:tcMar/>
            <w:hideMark/>
          </w:tcPr>
          <w:p w:rsidRPr="00D53788" w:rsidR="00D53788" w:rsidRDefault="00D53788" w14:paraId="3A9489F3" w14:textId="77777777">
            <w:r w:rsidRPr="00D53788">
              <w:t>Year-5</w:t>
            </w:r>
          </w:p>
        </w:tc>
      </w:tr>
      <w:tr w:rsidRPr="00D53788" w:rsidR="00D53788" w:rsidTr="4B42EC94" w14:paraId="26921D36" w14:textId="77777777">
        <w:trPr>
          <w:trHeight w:val="368"/>
        </w:trPr>
        <w:tc>
          <w:tcPr>
            <w:tcW w:w="3542" w:type="dxa"/>
            <w:noWrap/>
            <w:tcMar/>
            <w:hideMark/>
          </w:tcPr>
          <w:p w:rsidRPr="00D53788" w:rsidR="00D53788" w:rsidRDefault="00D53788" w14:paraId="28AE8E46" w14:textId="77777777">
            <w:r w:rsidRPr="00D53788">
              <w:t>Initial Investment</w:t>
            </w:r>
          </w:p>
        </w:tc>
        <w:tc>
          <w:tcPr>
            <w:tcW w:w="1192" w:type="dxa"/>
            <w:noWrap/>
            <w:tcMar/>
            <w:hideMark/>
          </w:tcPr>
          <w:p w:rsidRPr="00D53788" w:rsidR="00D53788" w:rsidRDefault="00D53788" w14:paraId="4B94DA63" w14:textId="6452F569">
            <w:r w:rsidR="00D53788">
              <w:rPr/>
              <w:t xml:space="preserve"> 50.00 </w:t>
            </w:r>
          </w:p>
        </w:tc>
        <w:tc>
          <w:tcPr>
            <w:tcW w:w="1090" w:type="dxa"/>
            <w:noWrap/>
            <w:tcMar/>
            <w:hideMark/>
          </w:tcPr>
          <w:p w:rsidRPr="00D53788" w:rsidR="00D53788" w:rsidRDefault="00D53788" w14:paraId="288AE255" w14:textId="77777777">
            <w:r w:rsidRPr="00D53788">
              <w:t> </w:t>
            </w:r>
          </w:p>
        </w:tc>
        <w:tc>
          <w:tcPr>
            <w:tcW w:w="1090" w:type="dxa"/>
            <w:noWrap/>
            <w:tcMar/>
            <w:hideMark/>
          </w:tcPr>
          <w:p w:rsidRPr="00D53788" w:rsidR="00D53788" w:rsidRDefault="00D53788" w14:paraId="73198C9A" w14:textId="77777777">
            <w:r w:rsidRPr="00D53788">
              <w:t> </w:t>
            </w:r>
          </w:p>
        </w:tc>
        <w:tc>
          <w:tcPr>
            <w:tcW w:w="1090" w:type="dxa"/>
            <w:noWrap/>
            <w:tcMar/>
            <w:hideMark/>
          </w:tcPr>
          <w:p w:rsidRPr="00D53788" w:rsidR="00D53788" w:rsidRDefault="00D53788" w14:paraId="3633D2DA" w14:textId="77777777">
            <w:r w:rsidRPr="00D53788">
              <w:t> </w:t>
            </w:r>
          </w:p>
        </w:tc>
        <w:tc>
          <w:tcPr>
            <w:tcW w:w="1090" w:type="dxa"/>
            <w:noWrap/>
            <w:tcMar/>
            <w:hideMark/>
          </w:tcPr>
          <w:p w:rsidRPr="00D53788" w:rsidR="00D53788" w:rsidRDefault="00D53788" w14:paraId="7D2CC60A" w14:textId="77777777">
            <w:r w:rsidRPr="00D53788">
              <w:t> </w:t>
            </w:r>
          </w:p>
        </w:tc>
        <w:tc>
          <w:tcPr>
            <w:tcW w:w="1090" w:type="dxa"/>
            <w:noWrap/>
            <w:tcMar/>
            <w:hideMark/>
          </w:tcPr>
          <w:p w:rsidRPr="00D53788" w:rsidR="00D53788" w:rsidRDefault="00D53788" w14:paraId="39B66D76" w14:textId="77777777">
            <w:r w:rsidRPr="00D53788">
              <w:t> </w:t>
            </w:r>
          </w:p>
        </w:tc>
      </w:tr>
      <w:tr w:rsidRPr="00D53788" w:rsidR="00D53788" w:rsidTr="4B42EC94" w14:paraId="6989D362" w14:textId="77777777">
        <w:trPr>
          <w:trHeight w:val="368"/>
        </w:trPr>
        <w:tc>
          <w:tcPr>
            <w:tcW w:w="3542" w:type="dxa"/>
            <w:noWrap/>
            <w:tcMar/>
            <w:hideMark/>
          </w:tcPr>
          <w:p w:rsidRPr="00D53788" w:rsidR="00D53788" w:rsidRDefault="00D53788" w14:paraId="4E77762F" w14:textId="77777777">
            <w:r w:rsidRPr="00D53788">
              <w:t>Net Cash Flows</w:t>
            </w:r>
          </w:p>
        </w:tc>
        <w:tc>
          <w:tcPr>
            <w:tcW w:w="1192" w:type="dxa"/>
            <w:noWrap/>
            <w:tcMar/>
            <w:hideMark/>
          </w:tcPr>
          <w:p w:rsidRPr="00D53788" w:rsidR="00D53788" w:rsidRDefault="00D53788" w14:paraId="57FDD38C" w14:textId="77777777">
            <w:r w:rsidRPr="00D53788">
              <w:t> </w:t>
            </w:r>
          </w:p>
        </w:tc>
        <w:tc>
          <w:tcPr>
            <w:tcW w:w="1090" w:type="dxa"/>
            <w:noWrap/>
            <w:tcMar/>
            <w:hideMark/>
          </w:tcPr>
          <w:p w:rsidRPr="00D53788" w:rsidR="00D53788" w:rsidRDefault="00D53788" w14:paraId="3FA97FF8" w14:textId="77777777">
            <w:r w:rsidRPr="00D53788">
              <w:t xml:space="preserve">     11.00 </w:t>
            </w:r>
          </w:p>
        </w:tc>
        <w:tc>
          <w:tcPr>
            <w:tcW w:w="1090" w:type="dxa"/>
            <w:noWrap/>
            <w:tcMar/>
            <w:hideMark/>
          </w:tcPr>
          <w:p w:rsidRPr="00D53788" w:rsidR="00D53788" w:rsidRDefault="00D53788" w14:paraId="649F2C53" w14:textId="77777777">
            <w:r w:rsidRPr="00D53788">
              <w:t xml:space="preserve">     11.00 </w:t>
            </w:r>
          </w:p>
        </w:tc>
        <w:tc>
          <w:tcPr>
            <w:tcW w:w="1090" w:type="dxa"/>
            <w:noWrap/>
            <w:tcMar/>
            <w:hideMark/>
          </w:tcPr>
          <w:p w:rsidRPr="00D53788" w:rsidR="00D53788" w:rsidRDefault="00D53788" w14:paraId="4974672F" w14:textId="77777777">
            <w:r w:rsidRPr="00D53788">
              <w:t xml:space="preserve">     11.00 </w:t>
            </w:r>
          </w:p>
        </w:tc>
        <w:tc>
          <w:tcPr>
            <w:tcW w:w="1090" w:type="dxa"/>
            <w:noWrap/>
            <w:tcMar/>
            <w:hideMark/>
          </w:tcPr>
          <w:p w:rsidRPr="00D53788" w:rsidR="00D53788" w:rsidRDefault="00D53788" w14:paraId="11A759A8" w14:textId="77777777">
            <w:r w:rsidRPr="00D53788">
              <w:t xml:space="preserve">     11.00 </w:t>
            </w:r>
          </w:p>
        </w:tc>
        <w:tc>
          <w:tcPr>
            <w:tcW w:w="1090" w:type="dxa"/>
            <w:noWrap/>
            <w:tcMar/>
            <w:hideMark/>
          </w:tcPr>
          <w:p w:rsidRPr="00D53788" w:rsidR="00D53788" w:rsidRDefault="00D53788" w14:paraId="5C2744DE" w14:textId="77777777">
            <w:r w:rsidRPr="00D53788">
              <w:t xml:space="preserve">     11.00 </w:t>
            </w:r>
          </w:p>
        </w:tc>
      </w:tr>
      <w:tr w:rsidRPr="00D53788" w:rsidR="00D53788" w:rsidTr="4B42EC94" w14:paraId="0C24427C" w14:textId="77777777">
        <w:trPr>
          <w:trHeight w:val="368"/>
        </w:trPr>
        <w:tc>
          <w:tcPr>
            <w:tcW w:w="3542" w:type="dxa"/>
            <w:noWrap/>
            <w:tcMar/>
            <w:hideMark/>
          </w:tcPr>
          <w:p w:rsidRPr="00D53788" w:rsidR="00D53788" w:rsidRDefault="00D53788" w14:paraId="677F5587" w14:textId="77777777">
            <w:r w:rsidRPr="00D53788">
              <w:t>Depreciation</w:t>
            </w:r>
          </w:p>
        </w:tc>
        <w:tc>
          <w:tcPr>
            <w:tcW w:w="1192" w:type="dxa"/>
            <w:noWrap/>
            <w:tcMar/>
            <w:hideMark/>
          </w:tcPr>
          <w:p w:rsidRPr="00D53788" w:rsidR="00D53788" w:rsidRDefault="00D53788" w14:paraId="1B0110B5" w14:textId="77777777">
            <w:r w:rsidRPr="00D53788">
              <w:t> </w:t>
            </w:r>
          </w:p>
        </w:tc>
        <w:tc>
          <w:tcPr>
            <w:tcW w:w="1090" w:type="dxa"/>
            <w:noWrap/>
            <w:tcMar/>
            <w:hideMark/>
          </w:tcPr>
          <w:p w:rsidRPr="00D53788" w:rsidR="00D53788" w:rsidRDefault="00D53788" w14:paraId="12EAC27A" w14:textId="77777777">
            <w:r w:rsidRPr="00D53788">
              <w:t xml:space="preserve">     10.00 </w:t>
            </w:r>
          </w:p>
        </w:tc>
        <w:tc>
          <w:tcPr>
            <w:tcW w:w="1090" w:type="dxa"/>
            <w:noWrap/>
            <w:tcMar/>
            <w:hideMark/>
          </w:tcPr>
          <w:p w:rsidRPr="00D53788" w:rsidR="00D53788" w:rsidRDefault="00D53788" w14:paraId="53338A2D" w14:textId="77777777">
            <w:r w:rsidRPr="00D53788">
              <w:t xml:space="preserve">     10.00 </w:t>
            </w:r>
          </w:p>
        </w:tc>
        <w:tc>
          <w:tcPr>
            <w:tcW w:w="1090" w:type="dxa"/>
            <w:noWrap/>
            <w:tcMar/>
            <w:hideMark/>
          </w:tcPr>
          <w:p w:rsidRPr="00D53788" w:rsidR="00D53788" w:rsidRDefault="00D53788" w14:paraId="7B48C19A" w14:textId="77777777">
            <w:r w:rsidRPr="00D53788">
              <w:t xml:space="preserve">     10.00 </w:t>
            </w:r>
          </w:p>
        </w:tc>
        <w:tc>
          <w:tcPr>
            <w:tcW w:w="1090" w:type="dxa"/>
            <w:noWrap/>
            <w:tcMar/>
            <w:hideMark/>
          </w:tcPr>
          <w:p w:rsidRPr="00D53788" w:rsidR="00D53788" w:rsidRDefault="00D53788" w14:paraId="3138284F" w14:textId="77777777">
            <w:r w:rsidRPr="00D53788">
              <w:t xml:space="preserve">     10.00 </w:t>
            </w:r>
          </w:p>
        </w:tc>
        <w:tc>
          <w:tcPr>
            <w:tcW w:w="1090" w:type="dxa"/>
            <w:noWrap/>
            <w:tcMar/>
            <w:hideMark/>
          </w:tcPr>
          <w:p w:rsidRPr="00D53788" w:rsidR="00D53788" w:rsidRDefault="00D53788" w14:paraId="526F1FD0" w14:textId="77777777">
            <w:r w:rsidRPr="00D53788">
              <w:t xml:space="preserve">     10.00 </w:t>
            </w:r>
          </w:p>
        </w:tc>
      </w:tr>
      <w:tr w:rsidRPr="00D53788" w:rsidR="00D53788" w:rsidTr="4B42EC94" w14:paraId="3C5DB510" w14:textId="77777777">
        <w:trPr>
          <w:trHeight w:val="368"/>
        </w:trPr>
        <w:tc>
          <w:tcPr>
            <w:tcW w:w="3542" w:type="dxa"/>
            <w:noWrap/>
            <w:tcMar/>
            <w:hideMark/>
          </w:tcPr>
          <w:p w:rsidRPr="00D53788" w:rsidR="00D53788" w:rsidRDefault="00D53788" w14:paraId="6617534E" w14:textId="77777777">
            <w:r w:rsidRPr="00D53788">
              <w:t>Project Cash Flows</w:t>
            </w:r>
          </w:p>
        </w:tc>
        <w:tc>
          <w:tcPr>
            <w:tcW w:w="1192" w:type="dxa"/>
            <w:noWrap/>
            <w:tcMar/>
            <w:hideMark/>
          </w:tcPr>
          <w:p w:rsidRPr="00D53788" w:rsidR="00D53788" w:rsidRDefault="00D53788" w14:paraId="27E3C362" w14:textId="77777777">
            <w:r w:rsidRPr="00D53788">
              <w:t xml:space="preserve">    (50.00)</w:t>
            </w:r>
          </w:p>
        </w:tc>
        <w:tc>
          <w:tcPr>
            <w:tcW w:w="1090" w:type="dxa"/>
            <w:noWrap/>
            <w:tcMar/>
            <w:hideMark/>
          </w:tcPr>
          <w:p w:rsidRPr="00D53788" w:rsidR="00D53788" w:rsidRDefault="00D53788" w14:paraId="67CB5D97" w14:textId="77777777">
            <w:r w:rsidRPr="00D53788">
              <w:t xml:space="preserve">     21.00 </w:t>
            </w:r>
          </w:p>
        </w:tc>
        <w:tc>
          <w:tcPr>
            <w:tcW w:w="1090" w:type="dxa"/>
            <w:noWrap/>
            <w:tcMar/>
            <w:hideMark/>
          </w:tcPr>
          <w:p w:rsidRPr="00D53788" w:rsidR="00D53788" w:rsidRDefault="00D53788" w14:paraId="7FD265A2" w14:textId="77777777">
            <w:r w:rsidRPr="00D53788">
              <w:t xml:space="preserve">     21.00 </w:t>
            </w:r>
          </w:p>
        </w:tc>
        <w:tc>
          <w:tcPr>
            <w:tcW w:w="1090" w:type="dxa"/>
            <w:noWrap/>
            <w:tcMar/>
            <w:hideMark/>
          </w:tcPr>
          <w:p w:rsidRPr="00D53788" w:rsidR="00D53788" w:rsidRDefault="00D53788" w14:paraId="4591FAC0" w14:textId="77777777">
            <w:r w:rsidRPr="00D53788">
              <w:t xml:space="preserve">     21.00 </w:t>
            </w:r>
          </w:p>
        </w:tc>
        <w:tc>
          <w:tcPr>
            <w:tcW w:w="1090" w:type="dxa"/>
            <w:noWrap/>
            <w:tcMar/>
            <w:hideMark/>
          </w:tcPr>
          <w:p w:rsidRPr="00D53788" w:rsidR="00D53788" w:rsidRDefault="00D53788" w14:paraId="0C4D7E2E" w14:textId="77777777">
            <w:r w:rsidRPr="00D53788">
              <w:t xml:space="preserve">     21.00 </w:t>
            </w:r>
          </w:p>
        </w:tc>
        <w:tc>
          <w:tcPr>
            <w:tcW w:w="1090" w:type="dxa"/>
            <w:noWrap/>
            <w:tcMar/>
            <w:hideMark/>
          </w:tcPr>
          <w:p w:rsidRPr="00D53788" w:rsidR="00D53788" w:rsidRDefault="00D53788" w14:paraId="13EE69CE" w14:textId="77777777">
            <w:r w:rsidRPr="00D53788">
              <w:t xml:space="preserve">     21.00 </w:t>
            </w:r>
          </w:p>
        </w:tc>
      </w:tr>
      <w:tr w:rsidRPr="00D53788" w:rsidR="00D53788" w:rsidTr="4B42EC94" w14:paraId="4FF9E2B5" w14:textId="77777777">
        <w:trPr>
          <w:trHeight w:val="368"/>
        </w:trPr>
        <w:tc>
          <w:tcPr>
            <w:tcW w:w="3542" w:type="dxa"/>
            <w:noWrap/>
            <w:tcMar/>
            <w:hideMark/>
          </w:tcPr>
          <w:p w:rsidRPr="00D53788" w:rsidR="00D53788" w:rsidRDefault="00D53788" w14:paraId="71F80D9D" w14:textId="77777777">
            <w:r w:rsidRPr="00D53788">
              <w:t>Discount Rate</w:t>
            </w:r>
          </w:p>
        </w:tc>
        <w:tc>
          <w:tcPr>
            <w:tcW w:w="1192" w:type="dxa"/>
            <w:noWrap/>
            <w:tcMar/>
            <w:hideMark/>
          </w:tcPr>
          <w:p w:rsidRPr="00D53788" w:rsidR="00D53788" w:rsidP="00D53788" w:rsidRDefault="00D53788" w14:paraId="542F21F7" w14:textId="77777777">
            <w:r w:rsidRPr="00D53788">
              <w:t>10%</w:t>
            </w:r>
          </w:p>
        </w:tc>
        <w:tc>
          <w:tcPr>
            <w:tcW w:w="1090" w:type="dxa"/>
            <w:noWrap/>
            <w:tcMar/>
            <w:hideMark/>
          </w:tcPr>
          <w:p w:rsidRPr="00D53788" w:rsidR="00D53788" w:rsidP="00D53788" w:rsidRDefault="00D53788" w14:paraId="2F36EA28" w14:textId="77777777"/>
        </w:tc>
        <w:tc>
          <w:tcPr>
            <w:tcW w:w="1090" w:type="dxa"/>
            <w:noWrap/>
            <w:tcMar/>
            <w:hideMark/>
          </w:tcPr>
          <w:p w:rsidRPr="00D53788" w:rsidR="00D53788" w:rsidRDefault="00D53788" w14:paraId="68C1C9CF" w14:textId="77777777"/>
        </w:tc>
        <w:tc>
          <w:tcPr>
            <w:tcW w:w="1090" w:type="dxa"/>
            <w:noWrap/>
            <w:tcMar/>
            <w:hideMark/>
          </w:tcPr>
          <w:p w:rsidRPr="00D53788" w:rsidR="00D53788" w:rsidRDefault="00D53788" w14:paraId="6D67FCC3" w14:textId="77777777"/>
        </w:tc>
        <w:tc>
          <w:tcPr>
            <w:tcW w:w="1090" w:type="dxa"/>
            <w:noWrap/>
            <w:tcMar/>
            <w:hideMark/>
          </w:tcPr>
          <w:p w:rsidRPr="00D53788" w:rsidR="00D53788" w:rsidRDefault="00D53788" w14:paraId="4958BAA0" w14:textId="77777777"/>
        </w:tc>
        <w:tc>
          <w:tcPr>
            <w:tcW w:w="1090" w:type="dxa"/>
            <w:noWrap/>
            <w:tcMar/>
            <w:hideMark/>
          </w:tcPr>
          <w:p w:rsidRPr="00D53788" w:rsidR="00D53788" w:rsidRDefault="00D53788" w14:paraId="6BFC7AA4" w14:textId="77777777">
            <w:r w:rsidRPr="00D53788">
              <w:t> </w:t>
            </w:r>
          </w:p>
        </w:tc>
      </w:tr>
      <w:tr w:rsidRPr="00D53788" w:rsidR="00D53788" w:rsidTr="4B42EC94" w14:paraId="5DDB9357" w14:textId="77777777">
        <w:trPr>
          <w:trHeight w:val="368"/>
        </w:trPr>
        <w:tc>
          <w:tcPr>
            <w:tcW w:w="3542" w:type="dxa"/>
            <w:noWrap/>
            <w:tcMar/>
            <w:hideMark/>
          </w:tcPr>
          <w:p w:rsidRPr="00D53788" w:rsidR="00D53788" w:rsidRDefault="00D53788" w14:paraId="407B20C8" w14:textId="03B7BB0E">
            <w:pPr>
              <w:rPr>
                <w:b w:val="1"/>
                <w:bCs w:val="1"/>
              </w:rPr>
            </w:pPr>
            <w:r w:rsidRPr="4B42EC94" w:rsidR="00D53788">
              <w:rPr>
                <w:b w:val="1"/>
                <w:bCs w:val="1"/>
              </w:rPr>
              <w:t>P</w:t>
            </w:r>
            <w:r w:rsidRPr="4B42EC94" w:rsidR="0C311991">
              <w:rPr>
                <w:b w:val="1"/>
                <w:bCs w:val="1"/>
              </w:rPr>
              <w:t>a</w:t>
            </w:r>
            <w:r w:rsidRPr="4B42EC94" w:rsidR="00D53788">
              <w:rPr>
                <w:b w:val="1"/>
                <w:bCs w:val="1"/>
              </w:rPr>
              <w:t>yback Period</w:t>
            </w:r>
          </w:p>
        </w:tc>
        <w:tc>
          <w:tcPr>
            <w:tcW w:w="1192" w:type="dxa"/>
            <w:noWrap/>
            <w:tcMar/>
            <w:hideMark/>
          </w:tcPr>
          <w:p w:rsidRPr="00D53788" w:rsidR="00D53788" w:rsidRDefault="00D53788" w14:paraId="4EA56921" w14:textId="38E19674">
            <w:pPr>
              <w:rPr>
                <w:b w:val="1"/>
                <w:bCs w:val="1"/>
              </w:rPr>
            </w:pPr>
            <w:r w:rsidRPr="4B42EC94" w:rsidR="00D53788">
              <w:rPr>
                <w:b w:val="1"/>
                <w:bCs w:val="1"/>
              </w:rPr>
              <w:t xml:space="preserve"> </w:t>
            </w:r>
            <w:r w:rsidRPr="4B42EC94" w:rsidR="581DFD40">
              <w:rPr>
                <w:b w:val="1"/>
                <w:bCs w:val="1"/>
              </w:rPr>
              <w:t xml:space="preserve">   </w:t>
            </w:r>
            <w:r w:rsidRPr="4B42EC94" w:rsidR="00D53788">
              <w:rPr>
                <w:b w:val="1"/>
                <w:bCs w:val="1"/>
              </w:rPr>
              <w:t xml:space="preserve">2.38 </w:t>
            </w:r>
          </w:p>
        </w:tc>
        <w:tc>
          <w:tcPr>
            <w:tcW w:w="1090" w:type="dxa"/>
            <w:noWrap/>
            <w:tcMar/>
            <w:hideMark/>
          </w:tcPr>
          <w:p w:rsidRPr="00D53788" w:rsidR="00D53788" w:rsidRDefault="00D53788" w14:paraId="3ABEF3FA" w14:textId="77777777">
            <w:pPr>
              <w:rPr>
                <w:b/>
                <w:bCs/>
              </w:rPr>
            </w:pPr>
          </w:p>
        </w:tc>
        <w:tc>
          <w:tcPr>
            <w:tcW w:w="1090" w:type="dxa"/>
            <w:noWrap/>
            <w:tcMar/>
            <w:hideMark/>
          </w:tcPr>
          <w:p w:rsidRPr="00D53788" w:rsidR="00D53788" w:rsidRDefault="00D53788" w14:paraId="4AA28141" w14:textId="77777777"/>
        </w:tc>
        <w:tc>
          <w:tcPr>
            <w:tcW w:w="1090" w:type="dxa"/>
            <w:noWrap/>
            <w:tcMar/>
            <w:hideMark/>
          </w:tcPr>
          <w:p w:rsidRPr="00D53788" w:rsidR="00D53788" w:rsidRDefault="00D53788" w14:paraId="574586BC" w14:textId="77777777"/>
        </w:tc>
        <w:tc>
          <w:tcPr>
            <w:tcW w:w="1090" w:type="dxa"/>
            <w:noWrap/>
            <w:tcMar/>
            <w:hideMark/>
          </w:tcPr>
          <w:p w:rsidRPr="00D53788" w:rsidR="00D53788" w:rsidRDefault="00D53788" w14:paraId="214EB842" w14:textId="77777777"/>
        </w:tc>
        <w:tc>
          <w:tcPr>
            <w:tcW w:w="1090" w:type="dxa"/>
            <w:noWrap/>
            <w:tcMar/>
            <w:hideMark/>
          </w:tcPr>
          <w:p w:rsidRPr="00D53788" w:rsidR="00D53788" w:rsidRDefault="00D53788" w14:paraId="63FF8D46" w14:textId="77777777">
            <w:r w:rsidRPr="00D53788">
              <w:t> </w:t>
            </w:r>
          </w:p>
        </w:tc>
      </w:tr>
      <w:tr w:rsidRPr="00D53788" w:rsidR="00D53788" w:rsidTr="4B42EC94" w14:paraId="20B88588" w14:textId="77777777">
        <w:trPr>
          <w:trHeight w:val="368"/>
        </w:trPr>
        <w:tc>
          <w:tcPr>
            <w:tcW w:w="3542" w:type="dxa"/>
            <w:noWrap/>
            <w:tcMar/>
            <w:hideMark/>
          </w:tcPr>
          <w:p w:rsidRPr="00D53788" w:rsidR="00D53788" w:rsidRDefault="00D53788" w14:paraId="4BB0536F" w14:textId="77777777">
            <w:pPr>
              <w:rPr>
                <w:b/>
                <w:bCs/>
              </w:rPr>
            </w:pPr>
            <w:r w:rsidRPr="00D53788">
              <w:rPr>
                <w:b/>
                <w:bCs/>
              </w:rPr>
              <w:t>Accounting Rate of Return</w:t>
            </w:r>
          </w:p>
        </w:tc>
        <w:tc>
          <w:tcPr>
            <w:tcW w:w="1192" w:type="dxa"/>
            <w:noWrap/>
            <w:tcMar/>
            <w:hideMark/>
          </w:tcPr>
          <w:p w:rsidRPr="00D53788" w:rsidR="00D53788" w:rsidP="00D53788" w:rsidRDefault="00D53788" w14:paraId="467DB991" w14:textId="77777777">
            <w:pPr>
              <w:rPr>
                <w:b/>
                <w:bCs/>
              </w:rPr>
            </w:pPr>
            <w:r w:rsidRPr="00D53788">
              <w:rPr>
                <w:b/>
                <w:bCs/>
              </w:rPr>
              <w:t>22%</w:t>
            </w:r>
          </w:p>
        </w:tc>
        <w:tc>
          <w:tcPr>
            <w:tcW w:w="1090" w:type="dxa"/>
            <w:noWrap/>
            <w:tcMar/>
            <w:hideMark/>
          </w:tcPr>
          <w:p w:rsidRPr="00D53788" w:rsidR="00D53788" w:rsidP="00D53788" w:rsidRDefault="00D53788" w14:paraId="6044CD42" w14:textId="77777777">
            <w:pPr>
              <w:rPr>
                <w:b/>
                <w:bCs/>
              </w:rPr>
            </w:pPr>
          </w:p>
        </w:tc>
        <w:tc>
          <w:tcPr>
            <w:tcW w:w="1090" w:type="dxa"/>
            <w:noWrap/>
            <w:tcMar/>
            <w:hideMark/>
          </w:tcPr>
          <w:p w:rsidRPr="00D53788" w:rsidR="00D53788" w:rsidRDefault="00D53788" w14:paraId="4A835829" w14:textId="77777777"/>
        </w:tc>
        <w:tc>
          <w:tcPr>
            <w:tcW w:w="1090" w:type="dxa"/>
            <w:noWrap/>
            <w:tcMar/>
            <w:hideMark/>
          </w:tcPr>
          <w:p w:rsidRPr="00D53788" w:rsidR="00D53788" w:rsidRDefault="00D53788" w14:paraId="2BD9E80D" w14:textId="77777777"/>
        </w:tc>
        <w:tc>
          <w:tcPr>
            <w:tcW w:w="1090" w:type="dxa"/>
            <w:noWrap/>
            <w:tcMar/>
            <w:hideMark/>
          </w:tcPr>
          <w:p w:rsidRPr="00D53788" w:rsidR="00D53788" w:rsidRDefault="00D53788" w14:paraId="61A7F551" w14:textId="77777777"/>
        </w:tc>
        <w:tc>
          <w:tcPr>
            <w:tcW w:w="1090" w:type="dxa"/>
            <w:noWrap/>
            <w:tcMar/>
            <w:hideMark/>
          </w:tcPr>
          <w:p w:rsidRPr="00D53788" w:rsidR="00D53788" w:rsidRDefault="00D53788" w14:paraId="037AFFEB" w14:textId="77777777">
            <w:r w:rsidRPr="00D53788">
              <w:t> </w:t>
            </w:r>
          </w:p>
        </w:tc>
      </w:tr>
      <w:tr w:rsidRPr="00D53788" w:rsidR="00D53788" w:rsidTr="4B42EC94" w14:paraId="40F46E57" w14:textId="77777777">
        <w:trPr>
          <w:trHeight w:val="368"/>
        </w:trPr>
        <w:tc>
          <w:tcPr>
            <w:tcW w:w="3542" w:type="dxa"/>
            <w:noWrap/>
            <w:tcMar/>
            <w:hideMark/>
          </w:tcPr>
          <w:p w:rsidRPr="00D53788" w:rsidR="00D53788" w:rsidRDefault="00D53788" w14:paraId="61E77DDB" w14:textId="77777777">
            <w:pPr>
              <w:rPr>
                <w:b/>
                <w:bCs/>
              </w:rPr>
            </w:pPr>
            <w:r w:rsidRPr="00D53788">
              <w:rPr>
                <w:b/>
                <w:bCs/>
              </w:rPr>
              <w:t>Net Present value</w:t>
            </w:r>
          </w:p>
        </w:tc>
        <w:tc>
          <w:tcPr>
            <w:tcW w:w="1192" w:type="dxa"/>
            <w:noWrap/>
            <w:tcMar/>
            <w:hideMark/>
          </w:tcPr>
          <w:p w:rsidRPr="00D53788" w:rsidR="00D53788" w:rsidRDefault="00D53788" w14:paraId="08D43765" w14:textId="27B692BF">
            <w:pPr>
              <w:rPr>
                <w:b/>
                <w:bCs/>
              </w:rPr>
            </w:pPr>
            <w:r w:rsidRPr="00D53788">
              <w:rPr>
                <w:b/>
                <w:bCs/>
              </w:rPr>
              <w:t xml:space="preserve"> £ 29.61 </w:t>
            </w:r>
          </w:p>
        </w:tc>
        <w:tc>
          <w:tcPr>
            <w:tcW w:w="1090" w:type="dxa"/>
            <w:noWrap/>
            <w:tcMar/>
            <w:hideMark/>
          </w:tcPr>
          <w:p w:rsidRPr="00D53788" w:rsidR="00D53788" w:rsidRDefault="00D53788" w14:paraId="505DC255" w14:textId="77777777">
            <w:pPr>
              <w:rPr>
                <w:b/>
                <w:bCs/>
              </w:rPr>
            </w:pPr>
          </w:p>
        </w:tc>
        <w:tc>
          <w:tcPr>
            <w:tcW w:w="1090" w:type="dxa"/>
            <w:noWrap/>
            <w:tcMar/>
            <w:hideMark/>
          </w:tcPr>
          <w:p w:rsidRPr="00D53788" w:rsidR="00D53788" w:rsidRDefault="00D53788" w14:paraId="37F509E6" w14:textId="77777777"/>
        </w:tc>
        <w:tc>
          <w:tcPr>
            <w:tcW w:w="1090" w:type="dxa"/>
            <w:noWrap/>
            <w:tcMar/>
            <w:hideMark/>
          </w:tcPr>
          <w:p w:rsidRPr="00D53788" w:rsidR="00D53788" w:rsidRDefault="00D53788" w14:paraId="4E89A049" w14:textId="77777777"/>
        </w:tc>
        <w:tc>
          <w:tcPr>
            <w:tcW w:w="1090" w:type="dxa"/>
            <w:noWrap/>
            <w:tcMar/>
            <w:hideMark/>
          </w:tcPr>
          <w:p w:rsidRPr="00D53788" w:rsidR="00D53788" w:rsidRDefault="00D53788" w14:paraId="10D6E14C" w14:textId="77777777"/>
        </w:tc>
        <w:tc>
          <w:tcPr>
            <w:tcW w:w="1090" w:type="dxa"/>
            <w:noWrap/>
            <w:tcMar/>
            <w:hideMark/>
          </w:tcPr>
          <w:p w:rsidRPr="00D53788" w:rsidR="00D53788" w:rsidRDefault="00D53788" w14:paraId="1E8DCCBF" w14:textId="77777777">
            <w:r w:rsidRPr="00D53788">
              <w:t> </w:t>
            </w:r>
          </w:p>
        </w:tc>
      </w:tr>
      <w:tr w:rsidRPr="00D53788" w:rsidR="00D53788" w:rsidTr="4B42EC94" w14:paraId="396632B7" w14:textId="77777777">
        <w:trPr>
          <w:trHeight w:val="368"/>
        </w:trPr>
        <w:tc>
          <w:tcPr>
            <w:tcW w:w="3542" w:type="dxa"/>
            <w:noWrap/>
            <w:tcMar/>
            <w:hideMark/>
          </w:tcPr>
          <w:p w:rsidRPr="00D53788" w:rsidR="00D53788" w:rsidRDefault="00D53788" w14:paraId="7C39C6DC" w14:textId="77777777">
            <w:pPr>
              <w:rPr>
                <w:b/>
                <w:bCs/>
              </w:rPr>
            </w:pPr>
            <w:r w:rsidRPr="00D53788">
              <w:rPr>
                <w:b/>
                <w:bCs/>
              </w:rPr>
              <w:t>IRR</w:t>
            </w:r>
          </w:p>
        </w:tc>
        <w:tc>
          <w:tcPr>
            <w:tcW w:w="1192" w:type="dxa"/>
            <w:noWrap/>
            <w:tcMar/>
            <w:hideMark/>
          </w:tcPr>
          <w:p w:rsidRPr="00D53788" w:rsidR="00D53788" w:rsidP="00D53788" w:rsidRDefault="00D53788" w14:paraId="4F8EDC28" w14:textId="77777777">
            <w:pPr>
              <w:rPr>
                <w:b/>
                <w:bCs/>
              </w:rPr>
            </w:pPr>
            <w:r w:rsidRPr="00D53788">
              <w:rPr>
                <w:b/>
                <w:bCs/>
              </w:rPr>
              <w:t>31.19%</w:t>
            </w:r>
          </w:p>
        </w:tc>
        <w:tc>
          <w:tcPr>
            <w:tcW w:w="1090" w:type="dxa"/>
            <w:noWrap/>
            <w:tcMar/>
            <w:hideMark/>
          </w:tcPr>
          <w:p w:rsidRPr="00D53788" w:rsidR="00D53788" w:rsidP="00D53788" w:rsidRDefault="00D53788" w14:paraId="36A0DCA6" w14:textId="77777777">
            <w:pPr>
              <w:rPr>
                <w:b/>
                <w:bCs/>
              </w:rPr>
            </w:pPr>
          </w:p>
        </w:tc>
        <w:tc>
          <w:tcPr>
            <w:tcW w:w="1090" w:type="dxa"/>
            <w:noWrap/>
            <w:tcMar/>
            <w:hideMark/>
          </w:tcPr>
          <w:p w:rsidRPr="00D53788" w:rsidR="00D53788" w:rsidRDefault="00D53788" w14:paraId="543D9848" w14:textId="77777777"/>
        </w:tc>
        <w:tc>
          <w:tcPr>
            <w:tcW w:w="1090" w:type="dxa"/>
            <w:noWrap/>
            <w:tcMar/>
            <w:hideMark/>
          </w:tcPr>
          <w:p w:rsidRPr="00D53788" w:rsidR="00D53788" w:rsidRDefault="00D53788" w14:paraId="5A07E30A" w14:textId="77777777"/>
        </w:tc>
        <w:tc>
          <w:tcPr>
            <w:tcW w:w="1090" w:type="dxa"/>
            <w:noWrap/>
            <w:tcMar/>
            <w:hideMark/>
          </w:tcPr>
          <w:p w:rsidRPr="00D53788" w:rsidR="00D53788" w:rsidRDefault="00D53788" w14:paraId="7B9DCB26" w14:textId="77777777"/>
        </w:tc>
        <w:tc>
          <w:tcPr>
            <w:tcW w:w="1090" w:type="dxa"/>
            <w:noWrap/>
            <w:tcMar/>
            <w:hideMark/>
          </w:tcPr>
          <w:p w:rsidRPr="00D53788" w:rsidR="00D53788" w:rsidRDefault="00D53788" w14:paraId="6F876CCF" w14:textId="77777777">
            <w:r w:rsidRPr="00D53788">
              <w:t> </w:t>
            </w:r>
          </w:p>
        </w:tc>
      </w:tr>
      <w:tr w:rsidRPr="00D53788" w:rsidR="00D53788" w:rsidTr="4B42EC94" w14:paraId="28478AD4" w14:textId="77777777">
        <w:trPr>
          <w:trHeight w:val="383"/>
        </w:trPr>
        <w:tc>
          <w:tcPr>
            <w:tcW w:w="3542" w:type="dxa"/>
            <w:noWrap/>
            <w:tcMar/>
            <w:hideMark/>
          </w:tcPr>
          <w:p w:rsidRPr="00D53788" w:rsidR="00D53788" w:rsidRDefault="00D53788" w14:paraId="20B47784" w14:textId="77777777">
            <w:pPr>
              <w:rPr>
                <w:b/>
                <w:bCs/>
              </w:rPr>
            </w:pPr>
            <w:r w:rsidRPr="00D53788">
              <w:rPr>
                <w:b/>
                <w:bCs/>
              </w:rPr>
              <w:t>Profitability Index</w:t>
            </w:r>
          </w:p>
        </w:tc>
        <w:tc>
          <w:tcPr>
            <w:tcW w:w="1192" w:type="dxa"/>
            <w:noWrap/>
            <w:tcMar/>
            <w:hideMark/>
          </w:tcPr>
          <w:p w:rsidRPr="00D53788" w:rsidR="00D53788" w:rsidRDefault="00D53788" w14:paraId="4659BF0C" w14:textId="4EF12A12">
            <w:pPr>
              <w:rPr>
                <w:b w:val="1"/>
                <w:bCs w:val="1"/>
              </w:rPr>
            </w:pPr>
            <w:r w:rsidRPr="4B42EC94" w:rsidR="00D53788">
              <w:rPr>
                <w:b w:val="1"/>
                <w:bCs w:val="1"/>
              </w:rPr>
              <w:t xml:space="preserve"> </w:t>
            </w:r>
            <w:r w:rsidRPr="4B42EC94" w:rsidR="3D2F6DC0">
              <w:rPr>
                <w:b w:val="1"/>
                <w:bCs w:val="1"/>
              </w:rPr>
              <w:t xml:space="preserve">     </w:t>
            </w:r>
            <w:r w:rsidRPr="4B42EC94" w:rsidR="00D53788">
              <w:rPr>
                <w:b w:val="1"/>
                <w:bCs w:val="1"/>
              </w:rPr>
              <w:t xml:space="preserve">1.59 </w:t>
            </w:r>
          </w:p>
        </w:tc>
        <w:tc>
          <w:tcPr>
            <w:tcW w:w="1090" w:type="dxa"/>
            <w:noWrap/>
            <w:tcMar/>
            <w:hideMark/>
          </w:tcPr>
          <w:p w:rsidRPr="00D53788" w:rsidR="00D53788" w:rsidRDefault="00D53788" w14:paraId="7C02FCC2" w14:textId="77777777">
            <w:r w:rsidRPr="00D53788">
              <w:t> </w:t>
            </w:r>
          </w:p>
        </w:tc>
        <w:tc>
          <w:tcPr>
            <w:tcW w:w="1090" w:type="dxa"/>
            <w:noWrap/>
            <w:tcMar/>
            <w:hideMark/>
          </w:tcPr>
          <w:p w:rsidRPr="00D53788" w:rsidR="00D53788" w:rsidRDefault="00D53788" w14:paraId="19A790AC" w14:textId="77777777">
            <w:r w:rsidRPr="00D53788">
              <w:t> </w:t>
            </w:r>
          </w:p>
        </w:tc>
        <w:tc>
          <w:tcPr>
            <w:tcW w:w="1090" w:type="dxa"/>
            <w:noWrap/>
            <w:tcMar/>
            <w:hideMark/>
          </w:tcPr>
          <w:p w:rsidRPr="00D53788" w:rsidR="00D53788" w:rsidRDefault="00D53788" w14:paraId="4C65C311" w14:textId="77777777">
            <w:r w:rsidRPr="00D53788">
              <w:t> </w:t>
            </w:r>
          </w:p>
        </w:tc>
        <w:tc>
          <w:tcPr>
            <w:tcW w:w="1090" w:type="dxa"/>
            <w:noWrap/>
            <w:tcMar/>
            <w:hideMark/>
          </w:tcPr>
          <w:p w:rsidRPr="00D53788" w:rsidR="00D53788" w:rsidRDefault="00D53788" w14:paraId="76F93FEF" w14:textId="77777777">
            <w:r w:rsidRPr="00D53788">
              <w:t> </w:t>
            </w:r>
          </w:p>
        </w:tc>
        <w:tc>
          <w:tcPr>
            <w:tcW w:w="1090" w:type="dxa"/>
            <w:noWrap/>
            <w:tcMar/>
            <w:hideMark/>
          </w:tcPr>
          <w:p w:rsidRPr="00D53788" w:rsidR="00D53788" w:rsidRDefault="00D53788" w14:paraId="5316AF15" w14:textId="77777777">
            <w:r w:rsidRPr="00D53788">
              <w:t> </w:t>
            </w:r>
          </w:p>
        </w:tc>
      </w:tr>
    </w:tbl>
    <w:p w:rsidR="00D53788" w:rsidP="00D53788" w:rsidRDefault="00D53788" w14:paraId="113AA75E" w14:textId="49B06657">
      <w:pPr>
        <w:pStyle w:val="Caption"/>
        <w:jc w:val="center"/>
      </w:pPr>
      <w:r>
        <w:t xml:space="preserve">Table </w:t>
      </w:r>
      <w:r>
        <w:fldChar w:fldCharType="begin"/>
      </w:r>
      <w:r>
        <w:instrText xml:space="preserve"> SEQ Table \* ARABIC </w:instrText>
      </w:r>
      <w:r>
        <w:fldChar w:fldCharType="separate"/>
      </w:r>
      <w:r w:rsidR="00F16C4B">
        <w:rPr>
          <w:noProof/>
        </w:rPr>
        <w:t>4</w:t>
      </w:r>
      <w:r>
        <w:fldChar w:fldCharType="end"/>
      </w:r>
      <w:r>
        <w:t xml:space="preserve">: </w:t>
      </w:r>
      <w:r w:rsidRPr="003456DF">
        <w:t xml:space="preserve">Investment Appraisal of Project </w:t>
      </w:r>
      <w:r w:rsidR="007B4FBE">
        <w:t>B</w:t>
      </w:r>
      <w:r w:rsidRPr="003456DF">
        <w:t xml:space="preserve"> (Source- Author)</w:t>
      </w:r>
    </w:p>
    <w:p w:rsidR="00A74ED9" w:rsidP="00A74ED9" w:rsidRDefault="00A74ED9" w14:paraId="02BA8159" w14:textId="77777777"/>
    <w:p w:rsidR="00A74ED9" w:rsidP="00A74ED9" w:rsidRDefault="00A74ED9" w14:paraId="2BC6FCD9" w14:textId="77777777"/>
    <w:tbl>
      <w:tblPr>
        <w:tblStyle w:val="TableGrid"/>
        <w:tblW w:w="10428" w:type="dxa"/>
        <w:tblLook w:val="04A0" w:firstRow="1" w:lastRow="0" w:firstColumn="1" w:lastColumn="0" w:noHBand="0" w:noVBand="1"/>
      </w:tblPr>
      <w:tblGrid>
        <w:gridCol w:w="3620"/>
        <w:gridCol w:w="1217"/>
        <w:gridCol w:w="1122"/>
        <w:gridCol w:w="1113"/>
        <w:gridCol w:w="1113"/>
        <w:gridCol w:w="1113"/>
        <w:gridCol w:w="1130"/>
      </w:tblGrid>
      <w:tr w:rsidRPr="00A74ED9" w:rsidR="00A74ED9" w:rsidTr="4B42EC94" w14:paraId="5192FD88" w14:textId="77777777">
        <w:trPr>
          <w:trHeight w:val="611"/>
        </w:trPr>
        <w:tc>
          <w:tcPr>
            <w:tcW w:w="10428" w:type="dxa"/>
            <w:gridSpan w:val="7"/>
            <w:noWrap/>
            <w:tcMar/>
            <w:hideMark/>
          </w:tcPr>
          <w:p w:rsidRPr="00A74ED9" w:rsidR="00A74ED9" w:rsidP="00A74ED9" w:rsidRDefault="00A74ED9" w14:paraId="2753B6A7" w14:textId="77777777">
            <w:pPr>
              <w:jc w:val="center"/>
              <w:rPr>
                <w:b/>
                <w:bCs/>
                <w:lang w:val="en-US"/>
              </w:rPr>
            </w:pPr>
            <w:r w:rsidRPr="00A74ED9">
              <w:rPr>
                <w:b/>
                <w:bCs/>
              </w:rPr>
              <w:t>Project C</w:t>
            </w:r>
          </w:p>
        </w:tc>
      </w:tr>
      <w:tr w:rsidRPr="00A74ED9" w:rsidR="00A74ED9" w:rsidTr="4B42EC94" w14:paraId="454D7937" w14:textId="77777777">
        <w:trPr>
          <w:trHeight w:val="339"/>
        </w:trPr>
        <w:tc>
          <w:tcPr>
            <w:tcW w:w="3620" w:type="dxa"/>
            <w:noWrap/>
            <w:tcMar/>
            <w:hideMark/>
          </w:tcPr>
          <w:p w:rsidRPr="00A74ED9" w:rsidR="00A74ED9" w:rsidP="00A74ED9" w:rsidRDefault="00A74ED9" w14:paraId="0F153495" w14:textId="77777777">
            <w:r w:rsidRPr="00A74ED9">
              <w:t>Item</w:t>
            </w:r>
          </w:p>
        </w:tc>
        <w:tc>
          <w:tcPr>
            <w:tcW w:w="1217" w:type="dxa"/>
            <w:noWrap/>
            <w:tcMar/>
            <w:hideMark/>
          </w:tcPr>
          <w:p w:rsidRPr="00A74ED9" w:rsidR="00A74ED9" w:rsidRDefault="00A74ED9" w14:paraId="3B8EFA5E" w14:textId="77777777">
            <w:r w:rsidRPr="00A74ED9">
              <w:t>Year-0</w:t>
            </w:r>
          </w:p>
        </w:tc>
        <w:tc>
          <w:tcPr>
            <w:tcW w:w="1122" w:type="dxa"/>
            <w:noWrap/>
            <w:tcMar/>
            <w:hideMark/>
          </w:tcPr>
          <w:p w:rsidRPr="00A74ED9" w:rsidR="00A74ED9" w:rsidRDefault="00A74ED9" w14:paraId="7727B180" w14:textId="77777777">
            <w:r w:rsidRPr="00A74ED9">
              <w:t>Year-1</w:t>
            </w:r>
          </w:p>
        </w:tc>
        <w:tc>
          <w:tcPr>
            <w:tcW w:w="1113" w:type="dxa"/>
            <w:noWrap/>
            <w:tcMar/>
            <w:hideMark/>
          </w:tcPr>
          <w:p w:rsidRPr="00A74ED9" w:rsidR="00A74ED9" w:rsidRDefault="00A74ED9" w14:paraId="48D17509" w14:textId="77777777">
            <w:r w:rsidRPr="00A74ED9">
              <w:t>Year-2</w:t>
            </w:r>
          </w:p>
        </w:tc>
        <w:tc>
          <w:tcPr>
            <w:tcW w:w="1113" w:type="dxa"/>
            <w:noWrap/>
            <w:tcMar/>
            <w:hideMark/>
          </w:tcPr>
          <w:p w:rsidRPr="00A74ED9" w:rsidR="00A74ED9" w:rsidRDefault="00A74ED9" w14:paraId="2683A5B9" w14:textId="77777777">
            <w:r w:rsidRPr="00A74ED9">
              <w:t>Year-3</w:t>
            </w:r>
          </w:p>
        </w:tc>
        <w:tc>
          <w:tcPr>
            <w:tcW w:w="1113" w:type="dxa"/>
            <w:noWrap/>
            <w:tcMar/>
            <w:hideMark/>
          </w:tcPr>
          <w:p w:rsidRPr="00A74ED9" w:rsidR="00A74ED9" w:rsidRDefault="00A74ED9" w14:paraId="237980AD" w14:textId="77777777">
            <w:r w:rsidRPr="00A74ED9">
              <w:t>Year-4</w:t>
            </w:r>
          </w:p>
        </w:tc>
        <w:tc>
          <w:tcPr>
            <w:tcW w:w="1127" w:type="dxa"/>
            <w:noWrap/>
            <w:tcMar/>
            <w:hideMark/>
          </w:tcPr>
          <w:p w:rsidRPr="00A74ED9" w:rsidR="00A74ED9" w:rsidRDefault="00A74ED9" w14:paraId="074A37DB" w14:textId="77777777">
            <w:r w:rsidRPr="00A74ED9">
              <w:t>Year-5</w:t>
            </w:r>
          </w:p>
        </w:tc>
      </w:tr>
      <w:tr w:rsidRPr="00A74ED9" w:rsidR="00A74ED9" w:rsidTr="4B42EC94" w14:paraId="5F8C20DA" w14:textId="77777777">
        <w:trPr>
          <w:trHeight w:val="339"/>
        </w:trPr>
        <w:tc>
          <w:tcPr>
            <w:tcW w:w="3620" w:type="dxa"/>
            <w:noWrap/>
            <w:tcMar/>
            <w:hideMark/>
          </w:tcPr>
          <w:p w:rsidRPr="00A74ED9" w:rsidR="00A74ED9" w:rsidRDefault="00A74ED9" w14:paraId="483016B6" w14:textId="77777777">
            <w:r w:rsidRPr="00A74ED9">
              <w:t>Initial Investment</w:t>
            </w:r>
          </w:p>
        </w:tc>
        <w:tc>
          <w:tcPr>
            <w:tcW w:w="1217" w:type="dxa"/>
            <w:noWrap/>
            <w:tcMar/>
            <w:hideMark/>
          </w:tcPr>
          <w:p w:rsidRPr="00A74ED9" w:rsidR="00A74ED9" w:rsidRDefault="00A74ED9" w14:paraId="77E414E3" w14:textId="320F3CC1">
            <w:r w:rsidR="00A74ED9">
              <w:rPr/>
              <w:t xml:space="preserve">50.00 </w:t>
            </w:r>
          </w:p>
        </w:tc>
        <w:tc>
          <w:tcPr>
            <w:tcW w:w="1122" w:type="dxa"/>
            <w:noWrap/>
            <w:tcMar/>
            <w:hideMark/>
          </w:tcPr>
          <w:p w:rsidRPr="00A74ED9" w:rsidR="00A74ED9" w:rsidRDefault="00A74ED9" w14:paraId="04024154" w14:textId="77777777">
            <w:r w:rsidRPr="00A74ED9">
              <w:t> </w:t>
            </w:r>
          </w:p>
        </w:tc>
        <w:tc>
          <w:tcPr>
            <w:tcW w:w="1113" w:type="dxa"/>
            <w:noWrap/>
            <w:tcMar/>
            <w:hideMark/>
          </w:tcPr>
          <w:p w:rsidRPr="00A74ED9" w:rsidR="00A74ED9" w:rsidRDefault="00A74ED9" w14:paraId="6590E68A" w14:textId="77777777">
            <w:r w:rsidRPr="00A74ED9">
              <w:t> </w:t>
            </w:r>
          </w:p>
        </w:tc>
        <w:tc>
          <w:tcPr>
            <w:tcW w:w="1113" w:type="dxa"/>
            <w:noWrap/>
            <w:tcMar/>
            <w:hideMark/>
          </w:tcPr>
          <w:p w:rsidRPr="00A74ED9" w:rsidR="00A74ED9" w:rsidRDefault="00A74ED9" w14:paraId="02E930BA" w14:textId="77777777">
            <w:r w:rsidRPr="00A74ED9">
              <w:t> </w:t>
            </w:r>
          </w:p>
        </w:tc>
        <w:tc>
          <w:tcPr>
            <w:tcW w:w="1113" w:type="dxa"/>
            <w:noWrap/>
            <w:tcMar/>
            <w:hideMark/>
          </w:tcPr>
          <w:p w:rsidRPr="00A74ED9" w:rsidR="00A74ED9" w:rsidRDefault="00A74ED9" w14:paraId="46FEF4F6" w14:textId="77777777">
            <w:r w:rsidRPr="00A74ED9">
              <w:t> </w:t>
            </w:r>
          </w:p>
        </w:tc>
        <w:tc>
          <w:tcPr>
            <w:tcW w:w="1127" w:type="dxa"/>
            <w:noWrap/>
            <w:tcMar/>
            <w:hideMark/>
          </w:tcPr>
          <w:p w:rsidRPr="00A74ED9" w:rsidR="00A74ED9" w:rsidRDefault="00A74ED9" w14:paraId="3E084D59" w14:textId="77777777">
            <w:r w:rsidRPr="00A74ED9">
              <w:t> </w:t>
            </w:r>
          </w:p>
        </w:tc>
      </w:tr>
      <w:tr w:rsidRPr="00A74ED9" w:rsidR="00A74ED9" w:rsidTr="4B42EC94" w14:paraId="5F6441F8" w14:textId="77777777">
        <w:trPr>
          <w:trHeight w:val="339"/>
        </w:trPr>
        <w:tc>
          <w:tcPr>
            <w:tcW w:w="3620" w:type="dxa"/>
            <w:noWrap/>
            <w:tcMar/>
            <w:hideMark/>
          </w:tcPr>
          <w:p w:rsidRPr="00A74ED9" w:rsidR="00A74ED9" w:rsidRDefault="00A74ED9" w14:paraId="1DD53D04" w14:textId="77777777">
            <w:r w:rsidRPr="00A74ED9">
              <w:t>Net Cash Flows</w:t>
            </w:r>
          </w:p>
        </w:tc>
        <w:tc>
          <w:tcPr>
            <w:tcW w:w="1217" w:type="dxa"/>
            <w:noWrap/>
            <w:tcMar/>
            <w:hideMark/>
          </w:tcPr>
          <w:p w:rsidRPr="00A74ED9" w:rsidR="00A74ED9" w:rsidRDefault="00A74ED9" w14:paraId="1892728F" w14:textId="77777777">
            <w:r w:rsidRPr="00A74ED9">
              <w:t> </w:t>
            </w:r>
          </w:p>
        </w:tc>
        <w:tc>
          <w:tcPr>
            <w:tcW w:w="1122" w:type="dxa"/>
            <w:noWrap/>
            <w:tcMar/>
            <w:hideMark/>
          </w:tcPr>
          <w:p w:rsidRPr="00A74ED9" w:rsidR="00A74ED9" w:rsidRDefault="00A74ED9" w14:paraId="4541A2F4" w14:textId="77777777">
            <w:r w:rsidRPr="00A74ED9">
              <w:t xml:space="preserve">       5.00 </w:t>
            </w:r>
          </w:p>
        </w:tc>
        <w:tc>
          <w:tcPr>
            <w:tcW w:w="1113" w:type="dxa"/>
            <w:noWrap/>
            <w:tcMar/>
            <w:hideMark/>
          </w:tcPr>
          <w:p w:rsidRPr="00A74ED9" w:rsidR="00A74ED9" w:rsidRDefault="00A74ED9" w14:paraId="02153DAA" w14:textId="77777777">
            <w:r w:rsidRPr="00A74ED9">
              <w:t xml:space="preserve">     10.00 </w:t>
            </w:r>
          </w:p>
        </w:tc>
        <w:tc>
          <w:tcPr>
            <w:tcW w:w="1113" w:type="dxa"/>
            <w:noWrap/>
            <w:tcMar/>
            <w:hideMark/>
          </w:tcPr>
          <w:p w:rsidRPr="00A74ED9" w:rsidR="00A74ED9" w:rsidRDefault="00A74ED9" w14:paraId="03EB6021" w14:textId="77777777">
            <w:r w:rsidRPr="00A74ED9">
              <w:t xml:space="preserve">     20.00 </w:t>
            </w:r>
          </w:p>
        </w:tc>
        <w:tc>
          <w:tcPr>
            <w:tcW w:w="1113" w:type="dxa"/>
            <w:noWrap/>
            <w:tcMar/>
            <w:hideMark/>
          </w:tcPr>
          <w:p w:rsidRPr="00A74ED9" w:rsidR="00A74ED9" w:rsidRDefault="00A74ED9" w14:paraId="77D37C66" w14:textId="77777777">
            <w:r w:rsidRPr="00A74ED9">
              <w:t xml:space="preserve">     25.00 </w:t>
            </w:r>
          </w:p>
        </w:tc>
        <w:tc>
          <w:tcPr>
            <w:tcW w:w="1127" w:type="dxa"/>
            <w:noWrap/>
            <w:tcMar/>
            <w:hideMark/>
          </w:tcPr>
          <w:p w:rsidRPr="00A74ED9" w:rsidR="00A74ED9" w:rsidRDefault="00A74ED9" w14:paraId="07583E8C" w14:textId="77777777">
            <w:r w:rsidRPr="00A74ED9">
              <w:t xml:space="preserve">       5.00 </w:t>
            </w:r>
          </w:p>
        </w:tc>
      </w:tr>
      <w:tr w:rsidRPr="00A74ED9" w:rsidR="00A74ED9" w:rsidTr="4B42EC94" w14:paraId="6975EDEA" w14:textId="77777777">
        <w:trPr>
          <w:trHeight w:val="339"/>
        </w:trPr>
        <w:tc>
          <w:tcPr>
            <w:tcW w:w="3620" w:type="dxa"/>
            <w:noWrap/>
            <w:tcMar/>
            <w:hideMark/>
          </w:tcPr>
          <w:p w:rsidRPr="00A74ED9" w:rsidR="00A74ED9" w:rsidRDefault="00A74ED9" w14:paraId="2443C161" w14:textId="77777777">
            <w:r w:rsidRPr="00A74ED9">
              <w:t>Depreciation</w:t>
            </w:r>
          </w:p>
        </w:tc>
        <w:tc>
          <w:tcPr>
            <w:tcW w:w="1217" w:type="dxa"/>
            <w:noWrap/>
            <w:tcMar/>
            <w:hideMark/>
          </w:tcPr>
          <w:p w:rsidRPr="00A74ED9" w:rsidR="00A74ED9" w:rsidRDefault="00A74ED9" w14:paraId="565E6A7F" w14:textId="77777777">
            <w:r w:rsidRPr="00A74ED9">
              <w:t> </w:t>
            </w:r>
          </w:p>
        </w:tc>
        <w:tc>
          <w:tcPr>
            <w:tcW w:w="1122" w:type="dxa"/>
            <w:noWrap/>
            <w:tcMar/>
            <w:hideMark/>
          </w:tcPr>
          <w:p w:rsidRPr="00A74ED9" w:rsidR="00A74ED9" w:rsidRDefault="00A74ED9" w14:paraId="7F28762E" w14:textId="77777777">
            <w:r w:rsidRPr="00A74ED9">
              <w:t xml:space="preserve">     10.00 </w:t>
            </w:r>
          </w:p>
        </w:tc>
        <w:tc>
          <w:tcPr>
            <w:tcW w:w="1113" w:type="dxa"/>
            <w:noWrap/>
            <w:tcMar/>
            <w:hideMark/>
          </w:tcPr>
          <w:p w:rsidRPr="00A74ED9" w:rsidR="00A74ED9" w:rsidRDefault="00A74ED9" w14:paraId="4E4AC011" w14:textId="77777777">
            <w:r w:rsidRPr="00A74ED9">
              <w:t xml:space="preserve">     10.00 </w:t>
            </w:r>
          </w:p>
        </w:tc>
        <w:tc>
          <w:tcPr>
            <w:tcW w:w="1113" w:type="dxa"/>
            <w:noWrap/>
            <w:tcMar/>
            <w:hideMark/>
          </w:tcPr>
          <w:p w:rsidRPr="00A74ED9" w:rsidR="00A74ED9" w:rsidRDefault="00A74ED9" w14:paraId="24B721AC" w14:textId="77777777">
            <w:r w:rsidRPr="00A74ED9">
              <w:t xml:space="preserve">     10.00 </w:t>
            </w:r>
          </w:p>
        </w:tc>
        <w:tc>
          <w:tcPr>
            <w:tcW w:w="1113" w:type="dxa"/>
            <w:noWrap/>
            <w:tcMar/>
            <w:hideMark/>
          </w:tcPr>
          <w:p w:rsidRPr="00A74ED9" w:rsidR="00A74ED9" w:rsidRDefault="00A74ED9" w14:paraId="209380A1" w14:textId="77777777">
            <w:r w:rsidRPr="00A74ED9">
              <w:t xml:space="preserve">     10.00 </w:t>
            </w:r>
          </w:p>
        </w:tc>
        <w:tc>
          <w:tcPr>
            <w:tcW w:w="1127" w:type="dxa"/>
            <w:noWrap/>
            <w:tcMar/>
            <w:hideMark/>
          </w:tcPr>
          <w:p w:rsidRPr="00A74ED9" w:rsidR="00A74ED9" w:rsidRDefault="00A74ED9" w14:paraId="55BA5C5B" w14:textId="77777777">
            <w:r w:rsidRPr="00A74ED9">
              <w:t xml:space="preserve">     10.00 </w:t>
            </w:r>
          </w:p>
        </w:tc>
      </w:tr>
      <w:tr w:rsidRPr="00A74ED9" w:rsidR="00A74ED9" w:rsidTr="4B42EC94" w14:paraId="6FFA7186" w14:textId="77777777">
        <w:trPr>
          <w:trHeight w:val="339"/>
        </w:trPr>
        <w:tc>
          <w:tcPr>
            <w:tcW w:w="3620" w:type="dxa"/>
            <w:noWrap/>
            <w:tcMar/>
            <w:hideMark/>
          </w:tcPr>
          <w:p w:rsidRPr="00A74ED9" w:rsidR="00A74ED9" w:rsidRDefault="00A74ED9" w14:paraId="6C35288F" w14:textId="77777777">
            <w:r w:rsidRPr="00A74ED9">
              <w:t>Project Cash Flows</w:t>
            </w:r>
          </w:p>
        </w:tc>
        <w:tc>
          <w:tcPr>
            <w:tcW w:w="1217" w:type="dxa"/>
            <w:noWrap/>
            <w:tcMar/>
            <w:hideMark/>
          </w:tcPr>
          <w:p w:rsidRPr="00A74ED9" w:rsidR="00A74ED9" w:rsidRDefault="00A74ED9" w14:paraId="4E61EE22" w14:textId="77777777">
            <w:r w:rsidRPr="00A74ED9">
              <w:t xml:space="preserve">    (50.00)</w:t>
            </w:r>
          </w:p>
        </w:tc>
        <w:tc>
          <w:tcPr>
            <w:tcW w:w="1122" w:type="dxa"/>
            <w:noWrap/>
            <w:tcMar/>
            <w:hideMark/>
          </w:tcPr>
          <w:p w:rsidRPr="00A74ED9" w:rsidR="00A74ED9" w:rsidRDefault="00A74ED9" w14:paraId="1DF975AE" w14:textId="77777777">
            <w:r w:rsidRPr="00A74ED9">
              <w:t xml:space="preserve">     15.00 </w:t>
            </w:r>
          </w:p>
        </w:tc>
        <w:tc>
          <w:tcPr>
            <w:tcW w:w="1113" w:type="dxa"/>
            <w:noWrap/>
            <w:tcMar/>
            <w:hideMark/>
          </w:tcPr>
          <w:p w:rsidRPr="00A74ED9" w:rsidR="00A74ED9" w:rsidRDefault="00A74ED9" w14:paraId="06245A33" w14:textId="77777777">
            <w:r w:rsidRPr="00A74ED9">
              <w:t xml:space="preserve">     20.00 </w:t>
            </w:r>
          </w:p>
        </w:tc>
        <w:tc>
          <w:tcPr>
            <w:tcW w:w="1113" w:type="dxa"/>
            <w:noWrap/>
            <w:tcMar/>
            <w:hideMark/>
          </w:tcPr>
          <w:p w:rsidRPr="00A74ED9" w:rsidR="00A74ED9" w:rsidRDefault="00A74ED9" w14:paraId="3BA4FCAB" w14:textId="77777777">
            <w:r w:rsidRPr="00A74ED9">
              <w:t xml:space="preserve">     30.00 </w:t>
            </w:r>
          </w:p>
        </w:tc>
        <w:tc>
          <w:tcPr>
            <w:tcW w:w="1113" w:type="dxa"/>
            <w:noWrap/>
            <w:tcMar/>
            <w:hideMark/>
          </w:tcPr>
          <w:p w:rsidRPr="00A74ED9" w:rsidR="00A74ED9" w:rsidRDefault="00A74ED9" w14:paraId="437DF10E" w14:textId="77777777">
            <w:r w:rsidRPr="00A74ED9">
              <w:t xml:space="preserve">     35.00 </w:t>
            </w:r>
          </w:p>
        </w:tc>
        <w:tc>
          <w:tcPr>
            <w:tcW w:w="1127" w:type="dxa"/>
            <w:noWrap/>
            <w:tcMar/>
            <w:hideMark/>
          </w:tcPr>
          <w:p w:rsidRPr="00A74ED9" w:rsidR="00A74ED9" w:rsidRDefault="00A74ED9" w14:paraId="5195841F" w14:textId="77777777">
            <w:r w:rsidRPr="00A74ED9">
              <w:t xml:space="preserve">     15.00 </w:t>
            </w:r>
          </w:p>
        </w:tc>
      </w:tr>
      <w:tr w:rsidRPr="00A74ED9" w:rsidR="00A74ED9" w:rsidTr="4B42EC94" w14:paraId="3F6C06C1" w14:textId="77777777">
        <w:trPr>
          <w:trHeight w:val="339"/>
        </w:trPr>
        <w:tc>
          <w:tcPr>
            <w:tcW w:w="3620" w:type="dxa"/>
            <w:noWrap/>
            <w:tcMar/>
            <w:hideMark/>
          </w:tcPr>
          <w:p w:rsidRPr="00A74ED9" w:rsidR="00A74ED9" w:rsidRDefault="00A74ED9" w14:paraId="75E220D4" w14:textId="77777777">
            <w:r w:rsidRPr="00A74ED9">
              <w:t>Discount Rate</w:t>
            </w:r>
          </w:p>
        </w:tc>
        <w:tc>
          <w:tcPr>
            <w:tcW w:w="1217" w:type="dxa"/>
            <w:noWrap/>
            <w:tcMar/>
            <w:hideMark/>
          </w:tcPr>
          <w:p w:rsidRPr="00A74ED9" w:rsidR="00A74ED9" w:rsidP="00A74ED9" w:rsidRDefault="00A74ED9" w14:paraId="7F126EA8" w14:textId="77777777">
            <w:r w:rsidRPr="00A74ED9">
              <w:t>10%</w:t>
            </w:r>
          </w:p>
        </w:tc>
        <w:tc>
          <w:tcPr>
            <w:tcW w:w="1122" w:type="dxa"/>
            <w:noWrap/>
            <w:tcMar/>
            <w:hideMark/>
          </w:tcPr>
          <w:p w:rsidRPr="00A74ED9" w:rsidR="00A74ED9" w:rsidP="00A74ED9" w:rsidRDefault="00A74ED9" w14:paraId="012C16CD" w14:textId="77777777"/>
        </w:tc>
        <w:tc>
          <w:tcPr>
            <w:tcW w:w="1113" w:type="dxa"/>
            <w:noWrap/>
            <w:tcMar/>
            <w:hideMark/>
          </w:tcPr>
          <w:p w:rsidRPr="00A74ED9" w:rsidR="00A74ED9" w:rsidRDefault="00A74ED9" w14:paraId="13735C04" w14:textId="77777777"/>
        </w:tc>
        <w:tc>
          <w:tcPr>
            <w:tcW w:w="1113" w:type="dxa"/>
            <w:noWrap/>
            <w:tcMar/>
            <w:hideMark/>
          </w:tcPr>
          <w:p w:rsidRPr="00A74ED9" w:rsidR="00A74ED9" w:rsidRDefault="00A74ED9" w14:paraId="4B9DB901" w14:textId="77777777"/>
        </w:tc>
        <w:tc>
          <w:tcPr>
            <w:tcW w:w="1113" w:type="dxa"/>
            <w:noWrap/>
            <w:tcMar/>
            <w:hideMark/>
          </w:tcPr>
          <w:p w:rsidRPr="00A74ED9" w:rsidR="00A74ED9" w:rsidRDefault="00A74ED9" w14:paraId="7CCF3F80" w14:textId="77777777"/>
        </w:tc>
        <w:tc>
          <w:tcPr>
            <w:tcW w:w="1127" w:type="dxa"/>
            <w:noWrap/>
            <w:tcMar/>
            <w:hideMark/>
          </w:tcPr>
          <w:p w:rsidRPr="00A74ED9" w:rsidR="00A74ED9" w:rsidRDefault="00A74ED9" w14:paraId="35C41BD2" w14:textId="77777777">
            <w:r w:rsidRPr="00A74ED9">
              <w:t> </w:t>
            </w:r>
          </w:p>
        </w:tc>
      </w:tr>
      <w:tr w:rsidRPr="00A74ED9" w:rsidR="00A74ED9" w:rsidTr="4B42EC94" w14:paraId="10BC7959" w14:textId="77777777">
        <w:trPr>
          <w:trHeight w:val="339"/>
        </w:trPr>
        <w:tc>
          <w:tcPr>
            <w:tcW w:w="3620" w:type="dxa"/>
            <w:noWrap/>
            <w:tcMar/>
            <w:hideMark/>
          </w:tcPr>
          <w:p w:rsidRPr="00A74ED9" w:rsidR="00A74ED9" w:rsidRDefault="00A74ED9" w14:paraId="2E4BEE2F" w14:textId="77777777">
            <w:pPr>
              <w:rPr>
                <w:b/>
                <w:bCs/>
              </w:rPr>
            </w:pPr>
            <w:r w:rsidRPr="00A74ED9">
              <w:rPr>
                <w:b/>
                <w:bCs/>
              </w:rPr>
              <w:t>Pyaback Period</w:t>
            </w:r>
          </w:p>
        </w:tc>
        <w:tc>
          <w:tcPr>
            <w:tcW w:w="1217" w:type="dxa"/>
            <w:noWrap/>
            <w:tcMar/>
            <w:hideMark/>
          </w:tcPr>
          <w:p w:rsidRPr="00A74ED9" w:rsidR="00A74ED9" w:rsidRDefault="00A74ED9" w14:paraId="31FD5346" w14:textId="77777777">
            <w:pPr>
              <w:rPr>
                <w:b/>
                <w:bCs/>
              </w:rPr>
            </w:pPr>
            <w:r w:rsidRPr="00A74ED9">
              <w:rPr>
                <w:b/>
                <w:bCs/>
              </w:rPr>
              <w:t xml:space="preserve">       2.50 </w:t>
            </w:r>
          </w:p>
        </w:tc>
        <w:tc>
          <w:tcPr>
            <w:tcW w:w="1122" w:type="dxa"/>
            <w:noWrap/>
            <w:tcMar/>
            <w:hideMark/>
          </w:tcPr>
          <w:p w:rsidRPr="00A74ED9" w:rsidR="00A74ED9" w:rsidRDefault="00A74ED9" w14:paraId="5E7061DF" w14:textId="77777777">
            <w:pPr>
              <w:rPr>
                <w:b/>
                <w:bCs/>
              </w:rPr>
            </w:pPr>
          </w:p>
        </w:tc>
        <w:tc>
          <w:tcPr>
            <w:tcW w:w="1113" w:type="dxa"/>
            <w:noWrap/>
            <w:tcMar/>
            <w:hideMark/>
          </w:tcPr>
          <w:p w:rsidRPr="00A74ED9" w:rsidR="00A74ED9" w:rsidRDefault="00A74ED9" w14:paraId="18677FC1" w14:textId="77777777"/>
        </w:tc>
        <w:tc>
          <w:tcPr>
            <w:tcW w:w="1113" w:type="dxa"/>
            <w:noWrap/>
            <w:tcMar/>
            <w:hideMark/>
          </w:tcPr>
          <w:p w:rsidRPr="00A74ED9" w:rsidR="00A74ED9" w:rsidRDefault="00A74ED9" w14:paraId="559CDD7D" w14:textId="77777777"/>
        </w:tc>
        <w:tc>
          <w:tcPr>
            <w:tcW w:w="1113" w:type="dxa"/>
            <w:noWrap/>
            <w:tcMar/>
            <w:hideMark/>
          </w:tcPr>
          <w:p w:rsidRPr="00A74ED9" w:rsidR="00A74ED9" w:rsidRDefault="00A74ED9" w14:paraId="7DE9DE19" w14:textId="77777777"/>
        </w:tc>
        <w:tc>
          <w:tcPr>
            <w:tcW w:w="1127" w:type="dxa"/>
            <w:noWrap/>
            <w:tcMar/>
            <w:hideMark/>
          </w:tcPr>
          <w:p w:rsidRPr="00A74ED9" w:rsidR="00A74ED9" w:rsidRDefault="00A74ED9" w14:paraId="0FFA4F2F" w14:textId="77777777">
            <w:r w:rsidRPr="00A74ED9">
              <w:t> </w:t>
            </w:r>
          </w:p>
        </w:tc>
      </w:tr>
      <w:tr w:rsidRPr="00A74ED9" w:rsidR="00A74ED9" w:rsidTr="4B42EC94" w14:paraId="58B23B2B" w14:textId="77777777">
        <w:trPr>
          <w:trHeight w:val="339"/>
        </w:trPr>
        <w:tc>
          <w:tcPr>
            <w:tcW w:w="3620" w:type="dxa"/>
            <w:noWrap/>
            <w:tcMar/>
            <w:hideMark/>
          </w:tcPr>
          <w:p w:rsidRPr="00A74ED9" w:rsidR="00A74ED9" w:rsidRDefault="00A74ED9" w14:paraId="2987F272" w14:textId="77777777">
            <w:pPr>
              <w:rPr>
                <w:b/>
                <w:bCs/>
              </w:rPr>
            </w:pPr>
            <w:r w:rsidRPr="00A74ED9">
              <w:rPr>
                <w:b/>
                <w:bCs/>
              </w:rPr>
              <w:t>Accounting Rate of Return</w:t>
            </w:r>
          </w:p>
        </w:tc>
        <w:tc>
          <w:tcPr>
            <w:tcW w:w="1217" w:type="dxa"/>
            <w:noWrap/>
            <w:tcMar/>
            <w:hideMark/>
          </w:tcPr>
          <w:p w:rsidRPr="00A74ED9" w:rsidR="00A74ED9" w:rsidP="00A74ED9" w:rsidRDefault="00A74ED9" w14:paraId="5F6CD235" w14:textId="77777777">
            <w:pPr>
              <w:rPr>
                <w:b/>
                <w:bCs/>
              </w:rPr>
            </w:pPr>
            <w:r w:rsidRPr="00A74ED9">
              <w:rPr>
                <w:b/>
                <w:bCs/>
              </w:rPr>
              <w:t>26%</w:t>
            </w:r>
          </w:p>
        </w:tc>
        <w:tc>
          <w:tcPr>
            <w:tcW w:w="1122" w:type="dxa"/>
            <w:noWrap/>
            <w:tcMar/>
            <w:hideMark/>
          </w:tcPr>
          <w:p w:rsidRPr="00A74ED9" w:rsidR="00A74ED9" w:rsidP="00A74ED9" w:rsidRDefault="00A74ED9" w14:paraId="6CC93070" w14:textId="77777777">
            <w:pPr>
              <w:rPr>
                <w:b/>
                <w:bCs/>
              </w:rPr>
            </w:pPr>
          </w:p>
        </w:tc>
        <w:tc>
          <w:tcPr>
            <w:tcW w:w="1113" w:type="dxa"/>
            <w:noWrap/>
            <w:tcMar/>
            <w:hideMark/>
          </w:tcPr>
          <w:p w:rsidRPr="00A74ED9" w:rsidR="00A74ED9" w:rsidRDefault="00A74ED9" w14:paraId="7D543C2F" w14:textId="77777777"/>
        </w:tc>
        <w:tc>
          <w:tcPr>
            <w:tcW w:w="1113" w:type="dxa"/>
            <w:noWrap/>
            <w:tcMar/>
            <w:hideMark/>
          </w:tcPr>
          <w:p w:rsidRPr="00A74ED9" w:rsidR="00A74ED9" w:rsidRDefault="00A74ED9" w14:paraId="2395CEE3" w14:textId="77777777"/>
        </w:tc>
        <w:tc>
          <w:tcPr>
            <w:tcW w:w="1113" w:type="dxa"/>
            <w:noWrap/>
            <w:tcMar/>
            <w:hideMark/>
          </w:tcPr>
          <w:p w:rsidRPr="00A74ED9" w:rsidR="00A74ED9" w:rsidRDefault="00A74ED9" w14:paraId="452E9F06" w14:textId="77777777"/>
        </w:tc>
        <w:tc>
          <w:tcPr>
            <w:tcW w:w="1127" w:type="dxa"/>
            <w:noWrap/>
            <w:tcMar/>
            <w:hideMark/>
          </w:tcPr>
          <w:p w:rsidRPr="00A74ED9" w:rsidR="00A74ED9" w:rsidRDefault="00A74ED9" w14:paraId="28978ABD" w14:textId="77777777">
            <w:r w:rsidRPr="00A74ED9">
              <w:t> </w:t>
            </w:r>
          </w:p>
        </w:tc>
      </w:tr>
      <w:tr w:rsidRPr="00A74ED9" w:rsidR="00A74ED9" w:rsidTr="4B42EC94" w14:paraId="654A8B3B" w14:textId="77777777">
        <w:trPr>
          <w:trHeight w:val="339"/>
        </w:trPr>
        <w:tc>
          <w:tcPr>
            <w:tcW w:w="3620" w:type="dxa"/>
            <w:noWrap/>
            <w:tcMar/>
            <w:hideMark/>
          </w:tcPr>
          <w:p w:rsidRPr="00A74ED9" w:rsidR="00A74ED9" w:rsidRDefault="00A74ED9" w14:paraId="4894B78A" w14:textId="77777777">
            <w:pPr>
              <w:rPr>
                <w:b/>
                <w:bCs/>
              </w:rPr>
            </w:pPr>
            <w:r w:rsidRPr="00A74ED9">
              <w:rPr>
                <w:b/>
                <w:bCs/>
              </w:rPr>
              <w:t>Net Present value</w:t>
            </w:r>
          </w:p>
        </w:tc>
        <w:tc>
          <w:tcPr>
            <w:tcW w:w="1217" w:type="dxa"/>
            <w:noWrap/>
            <w:tcMar/>
            <w:hideMark/>
          </w:tcPr>
          <w:p w:rsidRPr="00A74ED9" w:rsidR="00A74ED9" w:rsidRDefault="00A74ED9" w14:paraId="0C51F796" w14:textId="77777777">
            <w:pPr>
              <w:rPr>
                <w:b/>
                <w:bCs/>
              </w:rPr>
            </w:pPr>
            <w:r w:rsidRPr="00A74ED9">
              <w:rPr>
                <w:b/>
                <w:bCs/>
              </w:rPr>
              <w:t xml:space="preserve"> £ 35.92 </w:t>
            </w:r>
          </w:p>
        </w:tc>
        <w:tc>
          <w:tcPr>
            <w:tcW w:w="1122" w:type="dxa"/>
            <w:noWrap/>
            <w:tcMar/>
            <w:hideMark/>
          </w:tcPr>
          <w:p w:rsidRPr="00A74ED9" w:rsidR="00A74ED9" w:rsidRDefault="00A74ED9" w14:paraId="3F93EFC9" w14:textId="77777777">
            <w:pPr>
              <w:rPr>
                <w:b/>
                <w:bCs/>
              </w:rPr>
            </w:pPr>
          </w:p>
        </w:tc>
        <w:tc>
          <w:tcPr>
            <w:tcW w:w="1113" w:type="dxa"/>
            <w:noWrap/>
            <w:tcMar/>
            <w:hideMark/>
          </w:tcPr>
          <w:p w:rsidRPr="00A74ED9" w:rsidR="00A74ED9" w:rsidRDefault="00A74ED9" w14:paraId="2962D800" w14:textId="77777777"/>
        </w:tc>
        <w:tc>
          <w:tcPr>
            <w:tcW w:w="1113" w:type="dxa"/>
            <w:noWrap/>
            <w:tcMar/>
            <w:hideMark/>
          </w:tcPr>
          <w:p w:rsidRPr="00A74ED9" w:rsidR="00A74ED9" w:rsidRDefault="00A74ED9" w14:paraId="500533A4" w14:textId="77777777"/>
        </w:tc>
        <w:tc>
          <w:tcPr>
            <w:tcW w:w="1113" w:type="dxa"/>
            <w:noWrap/>
            <w:tcMar/>
            <w:hideMark/>
          </w:tcPr>
          <w:p w:rsidRPr="00A74ED9" w:rsidR="00A74ED9" w:rsidRDefault="00A74ED9" w14:paraId="729B0AE5" w14:textId="77777777"/>
        </w:tc>
        <w:tc>
          <w:tcPr>
            <w:tcW w:w="1127" w:type="dxa"/>
            <w:noWrap/>
            <w:tcMar/>
            <w:hideMark/>
          </w:tcPr>
          <w:p w:rsidRPr="00A74ED9" w:rsidR="00A74ED9" w:rsidRDefault="00A74ED9" w14:paraId="40FDD7BF" w14:textId="77777777">
            <w:r w:rsidRPr="00A74ED9">
              <w:t> </w:t>
            </w:r>
          </w:p>
        </w:tc>
      </w:tr>
      <w:tr w:rsidRPr="00A74ED9" w:rsidR="00A74ED9" w:rsidTr="4B42EC94" w14:paraId="03F49FA5" w14:textId="77777777">
        <w:trPr>
          <w:trHeight w:val="339"/>
        </w:trPr>
        <w:tc>
          <w:tcPr>
            <w:tcW w:w="3620" w:type="dxa"/>
            <w:noWrap/>
            <w:tcMar/>
            <w:hideMark/>
          </w:tcPr>
          <w:p w:rsidRPr="00A74ED9" w:rsidR="00A74ED9" w:rsidRDefault="00A74ED9" w14:paraId="77CC5642" w14:textId="77777777">
            <w:pPr>
              <w:rPr>
                <w:b/>
                <w:bCs/>
              </w:rPr>
            </w:pPr>
            <w:r w:rsidRPr="00A74ED9">
              <w:rPr>
                <w:b/>
                <w:bCs/>
              </w:rPr>
              <w:t>IRR</w:t>
            </w:r>
          </w:p>
        </w:tc>
        <w:tc>
          <w:tcPr>
            <w:tcW w:w="1217" w:type="dxa"/>
            <w:noWrap/>
            <w:tcMar/>
            <w:hideMark/>
          </w:tcPr>
          <w:p w:rsidRPr="00A74ED9" w:rsidR="00A74ED9" w:rsidP="00A74ED9" w:rsidRDefault="00A74ED9" w14:paraId="75161D88" w14:textId="77777777">
            <w:pPr>
              <w:rPr>
                <w:b/>
                <w:bCs/>
              </w:rPr>
            </w:pPr>
            <w:r w:rsidRPr="00A74ED9">
              <w:rPr>
                <w:b/>
                <w:bCs/>
              </w:rPr>
              <w:t>33.12%</w:t>
            </w:r>
          </w:p>
        </w:tc>
        <w:tc>
          <w:tcPr>
            <w:tcW w:w="1122" w:type="dxa"/>
            <w:noWrap/>
            <w:tcMar/>
            <w:hideMark/>
          </w:tcPr>
          <w:p w:rsidRPr="00A74ED9" w:rsidR="00A74ED9" w:rsidP="00A74ED9" w:rsidRDefault="00A74ED9" w14:paraId="6C77D879" w14:textId="77777777">
            <w:pPr>
              <w:rPr>
                <w:b/>
                <w:bCs/>
              </w:rPr>
            </w:pPr>
          </w:p>
        </w:tc>
        <w:tc>
          <w:tcPr>
            <w:tcW w:w="1113" w:type="dxa"/>
            <w:noWrap/>
            <w:tcMar/>
            <w:hideMark/>
          </w:tcPr>
          <w:p w:rsidRPr="00A74ED9" w:rsidR="00A74ED9" w:rsidRDefault="00A74ED9" w14:paraId="4CB893B7" w14:textId="77777777"/>
        </w:tc>
        <w:tc>
          <w:tcPr>
            <w:tcW w:w="1113" w:type="dxa"/>
            <w:noWrap/>
            <w:tcMar/>
            <w:hideMark/>
          </w:tcPr>
          <w:p w:rsidRPr="00A74ED9" w:rsidR="00A74ED9" w:rsidRDefault="00A74ED9" w14:paraId="6007B3C3" w14:textId="77777777"/>
        </w:tc>
        <w:tc>
          <w:tcPr>
            <w:tcW w:w="1113" w:type="dxa"/>
            <w:noWrap/>
            <w:tcMar/>
            <w:hideMark/>
          </w:tcPr>
          <w:p w:rsidRPr="00A74ED9" w:rsidR="00A74ED9" w:rsidRDefault="00A74ED9" w14:paraId="22882957" w14:textId="77777777"/>
        </w:tc>
        <w:tc>
          <w:tcPr>
            <w:tcW w:w="1127" w:type="dxa"/>
            <w:noWrap/>
            <w:tcMar/>
            <w:hideMark/>
          </w:tcPr>
          <w:p w:rsidRPr="00A74ED9" w:rsidR="00A74ED9" w:rsidRDefault="00A74ED9" w14:paraId="5CA6BEDA" w14:textId="77777777">
            <w:r w:rsidRPr="00A74ED9">
              <w:t> </w:t>
            </w:r>
          </w:p>
        </w:tc>
      </w:tr>
      <w:tr w:rsidRPr="00A74ED9" w:rsidR="00A74ED9" w:rsidTr="4B42EC94" w14:paraId="5911A77C" w14:textId="77777777">
        <w:trPr>
          <w:trHeight w:val="352"/>
        </w:trPr>
        <w:tc>
          <w:tcPr>
            <w:tcW w:w="3620" w:type="dxa"/>
            <w:noWrap/>
            <w:tcMar/>
            <w:hideMark/>
          </w:tcPr>
          <w:p w:rsidRPr="00A74ED9" w:rsidR="00A74ED9" w:rsidRDefault="00A74ED9" w14:paraId="5A9D2660" w14:textId="77777777">
            <w:pPr>
              <w:rPr>
                <w:b/>
                <w:bCs/>
              </w:rPr>
            </w:pPr>
            <w:r w:rsidRPr="00A74ED9">
              <w:rPr>
                <w:b/>
                <w:bCs/>
              </w:rPr>
              <w:t>Profitability Index</w:t>
            </w:r>
          </w:p>
        </w:tc>
        <w:tc>
          <w:tcPr>
            <w:tcW w:w="1217" w:type="dxa"/>
            <w:noWrap/>
            <w:tcMar/>
            <w:hideMark/>
          </w:tcPr>
          <w:p w:rsidRPr="00A74ED9" w:rsidR="00A74ED9" w:rsidRDefault="00A74ED9" w14:paraId="59D61BDF" w14:textId="77777777">
            <w:pPr>
              <w:rPr>
                <w:b/>
                <w:bCs/>
              </w:rPr>
            </w:pPr>
            <w:r w:rsidRPr="00A74ED9">
              <w:rPr>
                <w:b/>
                <w:bCs/>
              </w:rPr>
              <w:t xml:space="preserve">       1.72 </w:t>
            </w:r>
          </w:p>
        </w:tc>
        <w:tc>
          <w:tcPr>
            <w:tcW w:w="1122" w:type="dxa"/>
            <w:noWrap/>
            <w:tcMar/>
            <w:hideMark/>
          </w:tcPr>
          <w:p w:rsidRPr="00A74ED9" w:rsidR="00A74ED9" w:rsidRDefault="00A74ED9" w14:paraId="05F8228A" w14:textId="77777777">
            <w:r w:rsidRPr="00A74ED9">
              <w:t> </w:t>
            </w:r>
          </w:p>
        </w:tc>
        <w:tc>
          <w:tcPr>
            <w:tcW w:w="1113" w:type="dxa"/>
            <w:noWrap/>
            <w:tcMar/>
            <w:hideMark/>
          </w:tcPr>
          <w:p w:rsidRPr="00A74ED9" w:rsidR="00A74ED9" w:rsidRDefault="00A74ED9" w14:paraId="1B51CA86" w14:textId="77777777">
            <w:r w:rsidRPr="00A74ED9">
              <w:t> </w:t>
            </w:r>
          </w:p>
        </w:tc>
        <w:tc>
          <w:tcPr>
            <w:tcW w:w="1113" w:type="dxa"/>
            <w:noWrap/>
            <w:tcMar/>
            <w:hideMark/>
          </w:tcPr>
          <w:p w:rsidRPr="00A74ED9" w:rsidR="00A74ED9" w:rsidRDefault="00A74ED9" w14:paraId="2BD3279C" w14:textId="77777777">
            <w:r w:rsidRPr="00A74ED9">
              <w:t> </w:t>
            </w:r>
          </w:p>
        </w:tc>
        <w:tc>
          <w:tcPr>
            <w:tcW w:w="1113" w:type="dxa"/>
            <w:noWrap/>
            <w:tcMar/>
            <w:hideMark/>
          </w:tcPr>
          <w:p w:rsidRPr="00A74ED9" w:rsidR="00A74ED9" w:rsidRDefault="00A74ED9" w14:paraId="5EA35699" w14:textId="77777777">
            <w:r w:rsidRPr="00A74ED9">
              <w:t> </w:t>
            </w:r>
          </w:p>
        </w:tc>
        <w:tc>
          <w:tcPr>
            <w:tcW w:w="1127" w:type="dxa"/>
            <w:noWrap/>
            <w:tcMar/>
            <w:hideMark/>
          </w:tcPr>
          <w:p w:rsidRPr="00A74ED9" w:rsidR="00A74ED9" w:rsidRDefault="00A74ED9" w14:paraId="3B3E1E00" w14:textId="77777777">
            <w:r w:rsidRPr="00A74ED9">
              <w:t> </w:t>
            </w:r>
          </w:p>
        </w:tc>
      </w:tr>
    </w:tbl>
    <w:p w:rsidR="00A74ED9" w:rsidP="00A74ED9" w:rsidRDefault="00A74ED9" w14:paraId="7EC15DFA" w14:textId="7E6875F5">
      <w:pPr>
        <w:pStyle w:val="Caption"/>
        <w:jc w:val="center"/>
      </w:pPr>
      <w:r>
        <w:t xml:space="preserve">Table </w:t>
      </w:r>
      <w:r>
        <w:fldChar w:fldCharType="begin"/>
      </w:r>
      <w:r>
        <w:instrText xml:space="preserve"> SEQ Table \* ARABIC </w:instrText>
      </w:r>
      <w:r>
        <w:fldChar w:fldCharType="separate"/>
      </w:r>
      <w:r w:rsidR="00F16C4B">
        <w:rPr>
          <w:noProof/>
        </w:rPr>
        <w:t>5</w:t>
      </w:r>
      <w:r>
        <w:fldChar w:fldCharType="end"/>
      </w:r>
      <w:r w:rsidRPr="00FF3808">
        <w:t xml:space="preserve">: Investment Appraisal of Project </w:t>
      </w:r>
      <w:r w:rsidR="007B4FBE">
        <w:t>C</w:t>
      </w:r>
      <w:r w:rsidRPr="00FF3808">
        <w:t xml:space="preserve"> (Source- Author)</w:t>
      </w:r>
    </w:p>
    <w:tbl>
      <w:tblPr>
        <w:tblStyle w:val="TableGrid"/>
        <w:tblW w:w="7766" w:type="dxa"/>
        <w:jc w:val="center"/>
        <w:tblLook w:val="04A0" w:firstRow="1" w:lastRow="0" w:firstColumn="1" w:lastColumn="0" w:noHBand="0" w:noVBand="1"/>
      </w:tblPr>
      <w:tblGrid>
        <w:gridCol w:w="2363"/>
        <w:gridCol w:w="1801"/>
        <w:gridCol w:w="1801"/>
        <w:gridCol w:w="1801"/>
      </w:tblGrid>
      <w:tr w:rsidRPr="00F16C4B" w:rsidR="00F16C4B" w:rsidTr="4B42EC94" w14:paraId="43CEF2F9" w14:textId="77777777">
        <w:trPr>
          <w:trHeight w:val="14"/>
          <w:jc w:val="center"/>
        </w:trPr>
        <w:tc>
          <w:tcPr>
            <w:tcW w:w="2363" w:type="dxa"/>
            <w:noWrap/>
            <w:tcMar/>
            <w:hideMark/>
          </w:tcPr>
          <w:p w:rsidRPr="00F16C4B" w:rsidR="00F16C4B" w:rsidP="00F16C4B" w:rsidRDefault="00F16C4B" w14:paraId="40428D72" w14:textId="77777777">
            <w:pPr>
              <w:spacing w:line="240" w:lineRule="auto"/>
              <w:jc w:val="center"/>
              <w:rPr>
                <w:b/>
                <w:bCs/>
                <w:lang w:val="en-US"/>
              </w:rPr>
            </w:pPr>
            <w:r w:rsidRPr="00F16C4B">
              <w:rPr>
                <w:b/>
                <w:bCs/>
              </w:rPr>
              <w:t>Techniques</w:t>
            </w:r>
          </w:p>
        </w:tc>
        <w:tc>
          <w:tcPr>
            <w:tcW w:w="1801" w:type="dxa"/>
            <w:noWrap/>
            <w:tcMar/>
            <w:hideMark/>
          </w:tcPr>
          <w:p w:rsidRPr="00F16C4B" w:rsidR="00F16C4B" w:rsidP="00F16C4B" w:rsidRDefault="00F16C4B" w14:paraId="5439306B" w14:textId="77777777">
            <w:pPr>
              <w:spacing w:line="240" w:lineRule="auto"/>
              <w:jc w:val="center"/>
              <w:rPr>
                <w:b/>
                <w:bCs/>
              </w:rPr>
            </w:pPr>
            <w:r w:rsidRPr="00F16C4B">
              <w:rPr>
                <w:b/>
                <w:bCs/>
              </w:rPr>
              <w:t>Project A</w:t>
            </w:r>
          </w:p>
        </w:tc>
        <w:tc>
          <w:tcPr>
            <w:tcW w:w="1801" w:type="dxa"/>
            <w:noWrap/>
            <w:tcMar/>
            <w:hideMark/>
          </w:tcPr>
          <w:p w:rsidRPr="00F16C4B" w:rsidR="00F16C4B" w:rsidP="00F16C4B" w:rsidRDefault="00F16C4B" w14:paraId="31036931" w14:textId="77777777">
            <w:pPr>
              <w:spacing w:line="240" w:lineRule="auto"/>
              <w:jc w:val="center"/>
              <w:rPr>
                <w:b/>
                <w:bCs/>
              </w:rPr>
            </w:pPr>
            <w:r w:rsidRPr="00F16C4B">
              <w:rPr>
                <w:b/>
                <w:bCs/>
              </w:rPr>
              <w:t>Project B</w:t>
            </w:r>
          </w:p>
        </w:tc>
        <w:tc>
          <w:tcPr>
            <w:tcW w:w="1801" w:type="dxa"/>
            <w:noWrap/>
            <w:tcMar/>
            <w:hideMark/>
          </w:tcPr>
          <w:p w:rsidRPr="00F16C4B" w:rsidR="00F16C4B" w:rsidP="00F16C4B" w:rsidRDefault="00F16C4B" w14:paraId="6AE73AFD" w14:textId="77777777">
            <w:pPr>
              <w:spacing w:line="240" w:lineRule="auto"/>
              <w:jc w:val="center"/>
              <w:rPr>
                <w:b/>
                <w:bCs/>
              </w:rPr>
            </w:pPr>
            <w:r w:rsidRPr="00F16C4B">
              <w:rPr>
                <w:b/>
                <w:bCs/>
              </w:rPr>
              <w:t>Project C</w:t>
            </w:r>
          </w:p>
        </w:tc>
      </w:tr>
      <w:tr w:rsidRPr="00F16C4B" w:rsidR="00F16C4B" w:rsidTr="4B42EC94" w14:paraId="63BBA819" w14:textId="77777777">
        <w:trPr>
          <w:trHeight w:val="14"/>
          <w:jc w:val="center"/>
        </w:trPr>
        <w:tc>
          <w:tcPr>
            <w:tcW w:w="2363" w:type="dxa"/>
            <w:noWrap/>
            <w:tcMar/>
            <w:hideMark/>
          </w:tcPr>
          <w:p w:rsidRPr="00F16C4B" w:rsidR="00F16C4B" w:rsidP="00F16C4B" w:rsidRDefault="00F16C4B" w14:paraId="754C060F" w14:textId="68985A09">
            <w:pPr>
              <w:spacing w:line="240" w:lineRule="auto"/>
              <w:jc w:val="center"/>
            </w:pPr>
            <w:r w:rsidR="58A6E386">
              <w:rPr/>
              <w:t>PBP</w:t>
            </w:r>
          </w:p>
        </w:tc>
        <w:tc>
          <w:tcPr>
            <w:tcW w:w="1801" w:type="dxa"/>
            <w:noWrap/>
            <w:tcMar/>
            <w:hideMark/>
          </w:tcPr>
          <w:p w:rsidRPr="00F16C4B" w:rsidR="00F16C4B" w:rsidP="00F16C4B" w:rsidRDefault="00F16C4B" w14:paraId="009151DB" w14:textId="3BF12F8C">
            <w:pPr>
              <w:spacing w:line="240" w:lineRule="auto"/>
              <w:jc w:val="center"/>
            </w:pPr>
            <w:r w:rsidRPr="00F16C4B">
              <w:t>2.33</w:t>
            </w:r>
          </w:p>
        </w:tc>
        <w:tc>
          <w:tcPr>
            <w:tcW w:w="1801" w:type="dxa"/>
            <w:noWrap/>
            <w:tcMar/>
            <w:hideMark/>
          </w:tcPr>
          <w:p w:rsidRPr="00F16C4B" w:rsidR="00F16C4B" w:rsidP="00F16C4B" w:rsidRDefault="00F16C4B" w14:paraId="61FE0151" w14:textId="2C5996F1">
            <w:pPr>
              <w:spacing w:line="240" w:lineRule="auto"/>
              <w:jc w:val="center"/>
            </w:pPr>
            <w:r w:rsidRPr="00F16C4B">
              <w:t>2.38</w:t>
            </w:r>
          </w:p>
        </w:tc>
        <w:tc>
          <w:tcPr>
            <w:tcW w:w="1801" w:type="dxa"/>
            <w:noWrap/>
            <w:tcMar/>
            <w:hideMark/>
          </w:tcPr>
          <w:p w:rsidRPr="00F16C4B" w:rsidR="00F16C4B" w:rsidP="00F16C4B" w:rsidRDefault="00F16C4B" w14:paraId="68857A8F" w14:textId="20AA0EBE">
            <w:pPr>
              <w:spacing w:line="240" w:lineRule="auto"/>
              <w:jc w:val="center"/>
            </w:pPr>
            <w:r w:rsidRPr="00F16C4B">
              <w:t>2.50</w:t>
            </w:r>
          </w:p>
        </w:tc>
      </w:tr>
      <w:tr w:rsidRPr="00F16C4B" w:rsidR="00F16C4B" w:rsidTr="4B42EC94" w14:paraId="4C919824" w14:textId="77777777">
        <w:trPr>
          <w:trHeight w:val="14"/>
          <w:jc w:val="center"/>
        </w:trPr>
        <w:tc>
          <w:tcPr>
            <w:tcW w:w="2363" w:type="dxa"/>
            <w:noWrap/>
            <w:tcMar/>
            <w:hideMark/>
          </w:tcPr>
          <w:p w:rsidRPr="00F16C4B" w:rsidR="00F16C4B" w:rsidP="00F16C4B" w:rsidRDefault="00F16C4B" w14:paraId="312CB35B" w14:textId="77777777">
            <w:pPr>
              <w:spacing w:line="240" w:lineRule="auto"/>
              <w:jc w:val="center"/>
            </w:pPr>
            <w:r w:rsidRPr="00F16C4B">
              <w:t>ARR</w:t>
            </w:r>
          </w:p>
        </w:tc>
        <w:tc>
          <w:tcPr>
            <w:tcW w:w="1801" w:type="dxa"/>
            <w:noWrap/>
            <w:tcMar/>
            <w:hideMark/>
          </w:tcPr>
          <w:p w:rsidRPr="00F16C4B" w:rsidR="00F16C4B" w:rsidP="00F16C4B" w:rsidRDefault="00F16C4B" w14:paraId="1AE96F98" w14:textId="77777777">
            <w:pPr>
              <w:spacing w:line="240" w:lineRule="auto"/>
              <w:jc w:val="center"/>
            </w:pPr>
            <w:r w:rsidRPr="00F16C4B">
              <w:t>22%</w:t>
            </w:r>
          </w:p>
        </w:tc>
        <w:tc>
          <w:tcPr>
            <w:tcW w:w="1801" w:type="dxa"/>
            <w:noWrap/>
            <w:tcMar/>
            <w:hideMark/>
          </w:tcPr>
          <w:p w:rsidRPr="00F16C4B" w:rsidR="00F16C4B" w:rsidP="00F16C4B" w:rsidRDefault="00F16C4B" w14:paraId="086AE347" w14:textId="77777777">
            <w:pPr>
              <w:spacing w:line="240" w:lineRule="auto"/>
              <w:jc w:val="center"/>
            </w:pPr>
            <w:r w:rsidRPr="00F16C4B">
              <w:t>22%</w:t>
            </w:r>
          </w:p>
        </w:tc>
        <w:tc>
          <w:tcPr>
            <w:tcW w:w="1801" w:type="dxa"/>
            <w:noWrap/>
            <w:tcMar/>
            <w:hideMark/>
          </w:tcPr>
          <w:p w:rsidRPr="00F16C4B" w:rsidR="00F16C4B" w:rsidP="00F16C4B" w:rsidRDefault="00F16C4B" w14:paraId="079DD218" w14:textId="77777777">
            <w:pPr>
              <w:spacing w:line="240" w:lineRule="auto"/>
              <w:jc w:val="center"/>
            </w:pPr>
            <w:r w:rsidRPr="00F16C4B">
              <w:t>26%</w:t>
            </w:r>
          </w:p>
        </w:tc>
      </w:tr>
      <w:tr w:rsidRPr="00F16C4B" w:rsidR="00F16C4B" w:rsidTr="4B42EC94" w14:paraId="4CCF84DC" w14:textId="77777777">
        <w:trPr>
          <w:trHeight w:val="14"/>
          <w:jc w:val="center"/>
        </w:trPr>
        <w:tc>
          <w:tcPr>
            <w:tcW w:w="2363" w:type="dxa"/>
            <w:noWrap/>
            <w:tcMar/>
            <w:hideMark/>
          </w:tcPr>
          <w:p w:rsidRPr="00F16C4B" w:rsidR="00F16C4B" w:rsidP="00F16C4B" w:rsidRDefault="00F16C4B" w14:paraId="08868A7A" w14:textId="77777777">
            <w:pPr>
              <w:spacing w:line="240" w:lineRule="auto"/>
              <w:jc w:val="center"/>
            </w:pPr>
            <w:r w:rsidRPr="00F16C4B">
              <w:t>NPV</w:t>
            </w:r>
          </w:p>
        </w:tc>
        <w:tc>
          <w:tcPr>
            <w:tcW w:w="1801" w:type="dxa"/>
            <w:noWrap/>
            <w:tcMar/>
            <w:hideMark/>
          </w:tcPr>
          <w:p w:rsidRPr="00F16C4B" w:rsidR="00F16C4B" w:rsidP="00F16C4B" w:rsidRDefault="00F16C4B" w14:paraId="2C7B254A" w14:textId="3DEA46F6">
            <w:pPr>
              <w:spacing w:line="240" w:lineRule="auto"/>
              <w:jc w:val="center"/>
            </w:pPr>
            <w:r w:rsidRPr="00F16C4B">
              <w:t>29.23</w:t>
            </w:r>
          </w:p>
        </w:tc>
        <w:tc>
          <w:tcPr>
            <w:tcW w:w="1801" w:type="dxa"/>
            <w:noWrap/>
            <w:tcMar/>
            <w:hideMark/>
          </w:tcPr>
          <w:p w:rsidRPr="00F16C4B" w:rsidR="00F16C4B" w:rsidP="00F16C4B" w:rsidRDefault="00F16C4B" w14:paraId="0B525FDA" w14:textId="26C29866">
            <w:pPr>
              <w:spacing w:line="240" w:lineRule="auto"/>
              <w:jc w:val="center"/>
            </w:pPr>
            <w:r w:rsidRPr="00F16C4B">
              <w:t>29.61</w:t>
            </w:r>
          </w:p>
        </w:tc>
        <w:tc>
          <w:tcPr>
            <w:tcW w:w="1801" w:type="dxa"/>
            <w:noWrap/>
            <w:tcMar/>
            <w:hideMark/>
          </w:tcPr>
          <w:p w:rsidRPr="00F16C4B" w:rsidR="00F16C4B" w:rsidP="00F16C4B" w:rsidRDefault="00F16C4B" w14:paraId="7233EB1C" w14:textId="1E530475">
            <w:pPr>
              <w:spacing w:line="240" w:lineRule="auto"/>
              <w:jc w:val="center"/>
            </w:pPr>
            <w:r w:rsidRPr="00F16C4B">
              <w:t>35.92</w:t>
            </w:r>
          </w:p>
        </w:tc>
      </w:tr>
      <w:tr w:rsidRPr="00F16C4B" w:rsidR="00F16C4B" w:rsidTr="4B42EC94" w14:paraId="5CD26581" w14:textId="77777777">
        <w:trPr>
          <w:trHeight w:val="14"/>
          <w:jc w:val="center"/>
        </w:trPr>
        <w:tc>
          <w:tcPr>
            <w:tcW w:w="2363" w:type="dxa"/>
            <w:noWrap/>
            <w:tcMar/>
            <w:hideMark/>
          </w:tcPr>
          <w:p w:rsidRPr="00F16C4B" w:rsidR="00F16C4B" w:rsidP="00F16C4B" w:rsidRDefault="00F16C4B" w14:paraId="5028D725" w14:textId="77777777">
            <w:pPr>
              <w:spacing w:line="240" w:lineRule="auto"/>
              <w:jc w:val="center"/>
            </w:pPr>
            <w:r w:rsidRPr="00F16C4B">
              <w:t>IRR</w:t>
            </w:r>
          </w:p>
        </w:tc>
        <w:tc>
          <w:tcPr>
            <w:tcW w:w="1801" w:type="dxa"/>
            <w:noWrap/>
            <w:tcMar/>
            <w:hideMark/>
          </w:tcPr>
          <w:p w:rsidRPr="00F16C4B" w:rsidR="00F16C4B" w:rsidP="00F16C4B" w:rsidRDefault="00F16C4B" w14:paraId="49D27D82" w14:textId="77777777">
            <w:pPr>
              <w:spacing w:line="240" w:lineRule="auto"/>
              <w:jc w:val="center"/>
            </w:pPr>
            <w:r w:rsidRPr="00F16C4B">
              <w:t>31.23%</w:t>
            </w:r>
          </w:p>
        </w:tc>
        <w:tc>
          <w:tcPr>
            <w:tcW w:w="1801" w:type="dxa"/>
            <w:noWrap/>
            <w:tcMar/>
            <w:hideMark/>
          </w:tcPr>
          <w:p w:rsidRPr="00F16C4B" w:rsidR="00F16C4B" w:rsidP="00F16C4B" w:rsidRDefault="00F16C4B" w14:paraId="2B25C09D" w14:textId="77777777">
            <w:pPr>
              <w:spacing w:line="240" w:lineRule="auto"/>
              <w:jc w:val="center"/>
            </w:pPr>
            <w:r w:rsidRPr="00F16C4B">
              <w:t>31.19%</w:t>
            </w:r>
          </w:p>
        </w:tc>
        <w:tc>
          <w:tcPr>
            <w:tcW w:w="1801" w:type="dxa"/>
            <w:noWrap/>
            <w:tcMar/>
            <w:hideMark/>
          </w:tcPr>
          <w:p w:rsidRPr="00F16C4B" w:rsidR="00F16C4B" w:rsidP="00F16C4B" w:rsidRDefault="00F16C4B" w14:paraId="625B1F73" w14:textId="77777777">
            <w:pPr>
              <w:spacing w:line="240" w:lineRule="auto"/>
              <w:jc w:val="center"/>
            </w:pPr>
            <w:r w:rsidRPr="00F16C4B">
              <w:t>33.12%</w:t>
            </w:r>
          </w:p>
        </w:tc>
      </w:tr>
      <w:tr w:rsidRPr="00F16C4B" w:rsidR="00F16C4B" w:rsidTr="4B42EC94" w14:paraId="4344FB30" w14:textId="77777777">
        <w:trPr>
          <w:trHeight w:val="14"/>
          <w:jc w:val="center"/>
        </w:trPr>
        <w:tc>
          <w:tcPr>
            <w:tcW w:w="2363" w:type="dxa"/>
            <w:noWrap/>
            <w:tcMar/>
            <w:hideMark/>
          </w:tcPr>
          <w:p w:rsidRPr="00F16C4B" w:rsidR="00F16C4B" w:rsidP="00F16C4B" w:rsidRDefault="00F16C4B" w14:paraId="0E8CE0D4" w14:textId="77777777">
            <w:pPr>
              <w:spacing w:line="240" w:lineRule="auto"/>
              <w:jc w:val="center"/>
            </w:pPr>
            <w:r w:rsidRPr="00F16C4B">
              <w:t>PI</w:t>
            </w:r>
          </w:p>
        </w:tc>
        <w:tc>
          <w:tcPr>
            <w:tcW w:w="1801" w:type="dxa"/>
            <w:noWrap/>
            <w:tcMar/>
            <w:hideMark/>
          </w:tcPr>
          <w:p w:rsidRPr="00F16C4B" w:rsidR="00F16C4B" w:rsidP="00F16C4B" w:rsidRDefault="00F16C4B" w14:paraId="4D99EC1F" w14:textId="0A0E9F75">
            <w:pPr>
              <w:spacing w:line="240" w:lineRule="auto"/>
              <w:jc w:val="center"/>
            </w:pPr>
            <w:r w:rsidRPr="00F16C4B">
              <w:t>1.58</w:t>
            </w:r>
          </w:p>
        </w:tc>
        <w:tc>
          <w:tcPr>
            <w:tcW w:w="1801" w:type="dxa"/>
            <w:noWrap/>
            <w:tcMar/>
            <w:hideMark/>
          </w:tcPr>
          <w:p w:rsidRPr="00F16C4B" w:rsidR="00F16C4B" w:rsidP="00F16C4B" w:rsidRDefault="00F16C4B" w14:paraId="25044990" w14:textId="462F1970">
            <w:pPr>
              <w:spacing w:line="240" w:lineRule="auto"/>
              <w:jc w:val="center"/>
            </w:pPr>
            <w:r w:rsidRPr="00F16C4B">
              <w:t>1.59</w:t>
            </w:r>
          </w:p>
        </w:tc>
        <w:tc>
          <w:tcPr>
            <w:tcW w:w="1801" w:type="dxa"/>
            <w:noWrap/>
            <w:tcMar/>
            <w:hideMark/>
          </w:tcPr>
          <w:p w:rsidRPr="00F16C4B" w:rsidR="00F16C4B" w:rsidP="00F16C4B" w:rsidRDefault="00F16C4B" w14:paraId="3086ED29" w14:textId="63A2793A">
            <w:pPr>
              <w:spacing w:line="240" w:lineRule="auto"/>
              <w:jc w:val="center"/>
            </w:pPr>
            <w:r w:rsidRPr="00F16C4B">
              <w:t>1.72</w:t>
            </w:r>
          </w:p>
        </w:tc>
      </w:tr>
    </w:tbl>
    <w:p w:rsidR="0FC7A337" w:rsidP="3BDB421E" w:rsidRDefault="0FC7A337" w14:paraId="761E0C38" w14:textId="0BCF15F5">
      <w:pPr>
        <w:pStyle w:val="Caption"/>
        <w:jc w:val="center"/>
      </w:pPr>
      <w:r w:rsidR="53F1F2FB">
        <w:rPr/>
        <w:t xml:space="preserve">Table </w:t>
      </w:r>
      <w:r>
        <w:fldChar w:fldCharType="begin"/>
      </w:r>
      <w:r>
        <w:instrText xml:space="preserve"> SEQ Table \* ARABIC </w:instrText>
      </w:r>
      <w:r>
        <w:fldChar w:fldCharType="separate"/>
      </w:r>
      <w:r w:rsidRPr="3BDB421E" w:rsidR="53F1F2FB">
        <w:rPr>
          <w:noProof/>
        </w:rPr>
        <w:t>6</w:t>
      </w:r>
      <w:r>
        <w:fldChar w:fldCharType="end"/>
      </w:r>
      <w:r w:rsidR="53F1F2FB">
        <w:rPr/>
        <w:t>: Summary of Investment Appraisal (Source- Author)</w:t>
      </w:r>
    </w:p>
    <w:sectPr w:rsidRPr="007B4FBE" w:rsidR="007B4FBE" w:rsidSect="006A7C0D">
      <w:footerReference w:type="default" r:id="rId34"/>
      <w:pgSz w:w="12240" w:h="15840" w:orient="portrait"/>
      <w:pgMar w:top="1440" w:right="1440" w:bottom="1440" w:left="1440" w:header="720" w:footer="720" w:gutter="0"/>
      <w:pgNumType w:start="1"/>
      <w:cols w:space="720"/>
      <w:docGrid w:linePitch="360"/>
      <w:headerReference w:type="default" r:id="Re17a03ad955d4a7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AB0D0B" w:rsidR="008C0DA1" w:rsidP="001D74B3" w:rsidRDefault="008C0DA1" w14:paraId="5837386C" w14:textId="77777777">
      <w:pPr>
        <w:spacing w:before="0" w:after="0" w:line="240" w:lineRule="auto"/>
      </w:pPr>
      <w:r w:rsidRPr="00AB0D0B">
        <w:separator/>
      </w:r>
    </w:p>
  </w:endnote>
  <w:endnote w:type="continuationSeparator" w:id="0">
    <w:p w:rsidRPr="00AB0D0B" w:rsidR="008C0DA1" w:rsidP="001D74B3" w:rsidRDefault="008C0DA1" w14:paraId="13124E2C" w14:textId="77777777">
      <w:pPr>
        <w:spacing w:before="0" w:after="0" w:line="240" w:lineRule="auto"/>
      </w:pPr>
      <w:r w:rsidRPr="00AB0D0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627932"/>
      <w:docPartObj>
        <w:docPartGallery w:val="Page Numbers (Bottom of Page)"/>
        <w:docPartUnique/>
      </w:docPartObj>
    </w:sdtPr>
    <w:sdtEndPr/>
    <w:sdtContent>
      <w:p w:rsidRPr="00AB0D0B" w:rsidR="00345F6A" w:rsidRDefault="00345F6A" w14:paraId="49269DAF" w14:textId="212C9E15">
        <w:pPr>
          <w:pStyle w:val="Footer"/>
          <w:jc w:val="right"/>
        </w:pPr>
        <w:r w:rsidRPr="00AB0D0B">
          <w:fldChar w:fldCharType="begin"/>
        </w:r>
        <w:r w:rsidRPr="00AB0D0B">
          <w:instrText xml:space="preserve"> PAGE   \* MERGEFORMAT </w:instrText>
        </w:r>
        <w:r w:rsidRPr="00AB0D0B">
          <w:fldChar w:fldCharType="separate"/>
        </w:r>
        <w:r w:rsidRPr="00AB0D0B" w:rsidR="00722452">
          <w:t>4</w:t>
        </w:r>
        <w:r w:rsidRPr="00AB0D0B">
          <w:fldChar w:fldCharType="end"/>
        </w:r>
      </w:p>
    </w:sdtContent>
  </w:sdt>
  <w:p w:rsidRPr="00AB0D0B" w:rsidR="00345F6A" w:rsidRDefault="00345F6A" w14:paraId="697C137F" w14:textId="77777777">
    <w:pPr>
      <w:pStyle w:val="Footer"/>
    </w:pPr>
  </w:p>
  <w:p w:rsidRPr="00AB0D0B" w:rsidR="002D40CD" w:rsidRDefault="002D40CD" w14:paraId="3F025A45" w14:textId="77777777"/>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B42EC94" w:rsidTr="4B42EC94" w14:paraId="340714E0">
      <w:trPr>
        <w:trHeight w:val="300"/>
      </w:trPr>
      <w:tc>
        <w:tcPr>
          <w:tcW w:w="3120" w:type="dxa"/>
          <w:tcMar/>
        </w:tcPr>
        <w:p w:rsidR="4B42EC94" w:rsidP="4B42EC94" w:rsidRDefault="4B42EC94" w14:paraId="0D2F7FFF" w14:textId="2F98EA43">
          <w:pPr>
            <w:pStyle w:val="Header"/>
            <w:bidi w:val="0"/>
            <w:ind w:left="-115"/>
            <w:jc w:val="left"/>
          </w:pPr>
        </w:p>
      </w:tc>
      <w:tc>
        <w:tcPr>
          <w:tcW w:w="3120" w:type="dxa"/>
          <w:tcMar/>
        </w:tcPr>
        <w:p w:rsidR="4B42EC94" w:rsidP="4B42EC94" w:rsidRDefault="4B42EC94" w14:paraId="0179B6C4" w14:textId="74E40104">
          <w:pPr>
            <w:pStyle w:val="Header"/>
            <w:bidi w:val="0"/>
            <w:jc w:val="center"/>
          </w:pPr>
        </w:p>
      </w:tc>
      <w:tc>
        <w:tcPr>
          <w:tcW w:w="3120" w:type="dxa"/>
          <w:tcMar/>
        </w:tcPr>
        <w:p w:rsidR="4B42EC94" w:rsidP="4B42EC94" w:rsidRDefault="4B42EC94" w14:paraId="56BF2DE9" w14:textId="2E7B3B72">
          <w:pPr>
            <w:pStyle w:val="Header"/>
            <w:bidi w:val="0"/>
            <w:ind w:right="-115"/>
            <w:jc w:val="right"/>
          </w:pPr>
        </w:p>
      </w:tc>
    </w:tr>
  </w:tbl>
  <w:p w:rsidR="4B42EC94" w:rsidP="4B42EC94" w:rsidRDefault="4B42EC94" w14:paraId="631B9EF1" w14:textId="1AA1BB65">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B42EC94" w:rsidTr="4B42EC94" w14:paraId="05358B82">
      <w:trPr>
        <w:trHeight w:val="300"/>
      </w:trPr>
      <w:tc>
        <w:tcPr>
          <w:tcW w:w="3120" w:type="dxa"/>
          <w:tcMar/>
        </w:tcPr>
        <w:p w:rsidR="4B42EC94" w:rsidP="4B42EC94" w:rsidRDefault="4B42EC94" w14:paraId="56A0DE72" w14:textId="19BC6E90">
          <w:pPr>
            <w:pStyle w:val="Header"/>
            <w:bidi w:val="0"/>
            <w:ind w:left="-115"/>
            <w:jc w:val="left"/>
          </w:pPr>
        </w:p>
      </w:tc>
      <w:tc>
        <w:tcPr>
          <w:tcW w:w="3120" w:type="dxa"/>
          <w:tcMar/>
        </w:tcPr>
        <w:p w:rsidR="4B42EC94" w:rsidP="4B42EC94" w:rsidRDefault="4B42EC94" w14:paraId="5323FE1E" w14:textId="60CD92A2">
          <w:pPr>
            <w:pStyle w:val="Header"/>
            <w:bidi w:val="0"/>
            <w:jc w:val="center"/>
          </w:pPr>
        </w:p>
      </w:tc>
      <w:tc>
        <w:tcPr>
          <w:tcW w:w="3120" w:type="dxa"/>
          <w:tcMar/>
        </w:tcPr>
        <w:p w:rsidR="4B42EC94" w:rsidP="4B42EC94" w:rsidRDefault="4B42EC94" w14:paraId="5A84004B" w14:textId="7398AA13">
          <w:pPr>
            <w:pStyle w:val="Header"/>
            <w:bidi w:val="0"/>
            <w:ind w:right="-115"/>
            <w:jc w:val="right"/>
          </w:pPr>
        </w:p>
      </w:tc>
    </w:tr>
  </w:tbl>
  <w:p w:rsidR="4B42EC94" w:rsidP="4B42EC94" w:rsidRDefault="4B42EC94" w14:paraId="16740347" w14:textId="103FFDC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AB0D0B" w:rsidR="008C0DA1" w:rsidP="001D74B3" w:rsidRDefault="008C0DA1" w14:paraId="797D41CA" w14:textId="77777777">
      <w:pPr>
        <w:spacing w:before="0" w:after="0" w:line="240" w:lineRule="auto"/>
      </w:pPr>
      <w:r w:rsidRPr="00AB0D0B">
        <w:separator/>
      </w:r>
    </w:p>
  </w:footnote>
  <w:footnote w:type="continuationSeparator" w:id="0">
    <w:p w:rsidRPr="00AB0D0B" w:rsidR="008C0DA1" w:rsidP="001D74B3" w:rsidRDefault="008C0DA1" w14:paraId="3F719D34" w14:textId="77777777">
      <w:pPr>
        <w:spacing w:before="0" w:after="0" w:line="240" w:lineRule="auto"/>
      </w:pPr>
      <w:r w:rsidRPr="00AB0D0B">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B42EC94" w:rsidTr="4B42EC94" w14:paraId="1C37DB85">
      <w:trPr>
        <w:trHeight w:val="300"/>
      </w:trPr>
      <w:tc>
        <w:tcPr>
          <w:tcW w:w="3120" w:type="dxa"/>
          <w:tcMar/>
        </w:tcPr>
        <w:p w:rsidR="4B42EC94" w:rsidP="4B42EC94" w:rsidRDefault="4B42EC94" w14:paraId="4A7CA7AE" w14:textId="416294B6">
          <w:pPr>
            <w:pStyle w:val="Header"/>
            <w:bidi w:val="0"/>
            <w:ind w:left="-115"/>
            <w:jc w:val="left"/>
          </w:pPr>
        </w:p>
      </w:tc>
      <w:tc>
        <w:tcPr>
          <w:tcW w:w="3120" w:type="dxa"/>
          <w:tcMar/>
        </w:tcPr>
        <w:p w:rsidR="4B42EC94" w:rsidP="4B42EC94" w:rsidRDefault="4B42EC94" w14:paraId="00A7437A" w14:textId="27BFAAA8">
          <w:pPr>
            <w:pStyle w:val="Header"/>
            <w:bidi w:val="0"/>
            <w:jc w:val="center"/>
          </w:pPr>
        </w:p>
      </w:tc>
      <w:tc>
        <w:tcPr>
          <w:tcW w:w="3120" w:type="dxa"/>
          <w:tcMar/>
        </w:tcPr>
        <w:p w:rsidR="4B42EC94" w:rsidP="4B42EC94" w:rsidRDefault="4B42EC94" w14:paraId="0C840681" w14:textId="47FA5C60">
          <w:pPr>
            <w:pStyle w:val="Header"/>
            <w:bidi w:val="0"/>
            <w:ind w:right="-115"/>
            <w:jc w:val="right"/>
          </w:pPr>
        </w:p>
      </w:tc>
    </w:tr>
  </w:tbl>
  <w:p w:rsidR="4B42EC94" w:rsidP="4B42EC94" w:rsidRDefault="4B42EC94" w14:paraId="7BF13B82" w14:textId="23C92C5A">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B42EC94" w:rsidTr="4B42EC94" w14:paraId="67DC0EFB">
      <w:trPr>
        <w:trHeight w:val="300"/>
      </w:trPr>
      <w:tc>
        <w:tcPr>
          <w:tcW w:w="3120" w:type="dxa"/>
          <w:tcMar/>
        </w:tcPr>
        <w:p w:rsidR="4B42EC94" w:rsidP="4B42EC94" w:rsidRDefault="4B42EC94" w14:paraId="315F5F8C" w14:textId="32EB33F3">
          <w:pPr>
            <w:pStyle w:val="Header"/>
            <w:bidi w:val="0"/>
            <w:ind w:left="-115"/>
            <w:jc w:val="left"/>
          </w:pPr>
        </w:p>
      </w:tc>
      <w:tc>
        <w:tcPr>
          <w:tcW w:w="3120" w:type="dxa"/>
          <w:tcMar/>
        </w:tcPr>
        <w:p w:rsidR="4B42EC94" w:rsidP="4B42EC94" w:rsidRDefault="4B42EC94" w14:paraId="4F99F675" w14:textId="267CD914">
          <w:pPr>
            <w:pStyle w:val="Header"/>
            <w:bidi w:val="0"/>
            <w:jc w:val="center"/>
          </w:pPr>
        </w:p>
      </w:tc>
      <w:tc>
        <w:tcPr>
          <w:tcW w:w="3120" w:type="dxa"/>
          <w:tcMar/>
        </w:tcPr>
        <w:p w:rsidR="4B42EC94" w:rsidP="4B42EC94" w:rsidRDefault="4B42EC94" w14:paraId="3296DD19" w14:textId="3A1F5269">
          <w:pPr>
            <w:pStyle w:val="Header"/>
            <w:bidi w:val="0"/>
            <w:ind w:right="-115"/>
            <w:jc w:val="right"/>
          </w:pPr>
        </w:p>
      </w:tc>
    </w:tr>
  </w:tbl>
  <w:p w:rsidR="4B42EC94" w:rsidP="4B42EC94" w:rsidRDefault="4B42EC94" w14:paraId="6F8069F7" w14:textId="437F3502">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B42EC94" w:rsidTr="4B42EC94" w14:paraId="780086C1">
      <w:trPr>
        <w:trHeight w:val="300"/>
      </w:trPr>
      <w:tc>
        <w:tcPr>
          <w:tcW w:w="3120" w:type="dxa"/>
          <w:tcMar/>
        </w:tcPr>
        <w:p w:rsidR="4B42EC94" w:rsidP="4B42EC94" w:rsidRDefault="4B42EC94" w14:paraId="26717DB5" w14:textId="66305170">
          <w:pPr>
            <w:pStyle w:val="Header"/>
            <w:bidi w:val="0"/>
            <w:ind w:left="-115"/>
            <w:jc w:val="left"/>
          </w:pPr>
        </w:p>
      </w:tc>
      <w:tc>
        <w:tcPr>
          <w:tcW w:w="3120" w:type="dxa"/>
          <w:tcMar/>
        </w:tcPr>
        <w:p w:rsidR="4B42EC94" w:rsidP="4B42EC94" w:rsidRDefault="4B42EC94" w14:paraId="5A43B129" w14:textId="18B9608D">
          <w:pPr>
            <w:pStyle w:val="Header"/>
            <w:bidi w:val="0"/>
            <w:jc w:val="center"/>
          </w:pPr>
        </w:p>
      </w:tc>
      <w:tc>
        <w:tcPr>
          <w:tcW w:w="3120" w:type="dxa"/>
          <w:tcMar/>
        </w:tcPr>
        <w:p w:rsidR="4B42EC94" w:rsidP="4B42EC94" w:rsidRDefault="4B42EC94" w14:paraId="1B9D14A5" w14:textId="4CF40050">
          <w:pPr>
            <w:pStyle w:val="Header"/>
            <w:bidi w:val="0"/>
            <w:ind w:right="-115"/>
            <w:jc w:val="right"/>
          </w:pPr>
        </w:p>
      </w:tc>
    </w:tr>
  </w:tbl>
  <w:p w:rsidR="4B42EC94" w:rsidP="4B42EC94" w:rsidRDefault="4B42EC94" w14:paraId="5B0D984E" w14:textId="6E5D974F">
    <w:pPr>
      <w:pStyle w:val="Header"/>
      <w:bidi w:val="0"/>
    </w:pPr>
  </w:p>
</w:hdr>
</file>

<file path=word/intelligence2.xml><?xml version="1.0" encoding="utf-8"?>
<int2:intelligence xmlns:int2="http://schemas.microsoft.com/office/intelligence/2020/intelligence">
  <int2:observations>
    <int2:bookmark int2:bookmarkName="_Int_ZEhMcWPA" int2:invalidationBookmarkName="" int2:hashCode="4mIguhtRZJLWe7" int2:id="evoKpGb4">
      <int2:state int2:type="style" int2:value="Rejected"/>
    </int2:bookmark>
    <int2:bookmark int2:bookmarkName="_Int_E3RuaFkD" int2:invalidationBookmarkName="" int2:hashCode="3KKjJeR/dxf+gy" int2:id="GC2Hve5K">
      <int2:state int2:type="style" int2:value="Rejected"/>
    </int2:bookmark>
    <int2:bookmark int2:bookmarkName="_Int_CX1I3aKS" int2:invalidationBookmarkName="" int2:hashCode="PP+Hh7LqQ7YUGl" int2:id="fAXAb6hB">
      <int2:state int2:type="style" int2:value="Rejected"/>
    </int2:bookmark>
    <int2:bookmark int2:bookmarkName="_Int_MGgOcIgG" int2:invalidationBookmarkName="" int2:hashCode="y9fCYgoBwXXeBQ" int2:id="MjNkjUB2">
      <int2:state int2:type="gram" int2:value="Rejected"/>
    </int2:bookmark>
    <int2:bookmark int2:bookmarkName="_Int_AGJkMIwY" int2:invalidationBookmarkName="" int2:hashCode="liiScqfuRU0kjU" int2:id="4j7ZQCJ2">
      <int2:state int2:type="gram" int2:value="Rejected"/>
    </int2:bookmark>
    <int2:bookmark int2:bookmarkName="_Int_by7L3KWK" int2:invalidationBookmarkName="" int2:hashCode="TJGL8aDEzxNzkc" int2:id="IsfMgJwm">
      <int2:state int2:type="gram" int2:value="Rejected"/>
    </int2:bookmark>
    <int2:bookmark int2:bookmarkName="_Int_99cEBbyP" int2:invalidationBookmarkName="" int2:hashCode="TJGL8aDEzxNzkc" int2:id="9ptHPrB5">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1b36b27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77b12e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1417bc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de4b9af"/>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65eba34"/>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8">
    <w:nsid w:val="17bc012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0ef1ab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e06bf88"/>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608f8d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80f5dd4"/>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2ca56cb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1655f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44173AE"/>
    <w:multiLevelType w:val="hybridMultilevel"/>
    <w:tmpl w:val="77C89EF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B120167"/>
    <w:multiLevelType w:val="hybridMultilevel"/>
    <w:tmpl w:val="E1F2B60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339355128">
    <w:abstractNumId w:val="1"/>
  </w:num>
  <w:num w:numId="2" w16cid:durableId="1547596814">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ztDAwNLUwtDQwMjZV0lEKTi0uzszPAykwMrWoBQA0SXcgLgAAAA=="/>
  </w:docVars>
  <w:rsids>
    <w:rsidRoot w:val="00E82C9B"/>
    <w:rsid w:val="00000022"/>
    <w:rsid w:val="00000300"/>
    <w:rsid w:val="00000569"/>
    <w:rsid w:val="00000A5A"/>
    <w:rsid w:val="000012F1"/>
    <w:rsid w:val="00001B02"/>
    <w:rsid w:val="00001C2A"/>
    <w:rsid w:val="00002E96"/>
    <w:rsid w:val="0000311D"/>
    <w:rsid w:val="00003291"/>
    <w:rsid w:val="000032D8"/>
    <w:rsid w:val="000033DB"/>
    <w:rsid w:val="00003409"/>
    <w:rsid w:val="000036C9"/>
    <w:rsid w:val="0000380C"/>
    <w:rsid w:val="000038D0"/>
    <w:rsid w:val="00003ABA"/>
    <w:rsid w:val="00003E88"/>
    <w:rsid w:val="00004021"/>
    <w:rsid w:val="00004272"/>
    <w:rsid w:val="00004540"/>
    <w:rsid w:val="000046A8"/>
    <w:rsid w:val="0000496D"/>
    <w:rsid w:val="00004D0C"/>
    <w:rsid w:val="0000506E"/>
    <w:rsid w:val="000053C6"/>
    <w:rsid w:val="0000596A"/>
    <w:rsid w:val="00005995"/>
    <w:rsid w:val="00005A52"/>
    <w:rsid w:val="00005D85"/>
    <w:rsid w:val="00006597"/>
    <w:rsid w:val="00006812"/>
    <w:rsid w:val="00006D20"/>
    <w:rsid w:val="00006D63"/>
    <w:rsid w:val="0000703E"/>
    <w:rsid w:val="000077CB"/>
    <w:rsid w:val="00007CFF"/>
    <w:rsid w:val="00007E7A"/>
    <w:rsid w:val="00010938"/>
    <w:rsid w:val="00010945"/>
    <w:rsid w:val="00010AAB"/>
    <w:rsid w:val="00010E87"/>
    <w:rsid w:val="0001153C"/>
    <w:rsid w:val="000115AA"/>
    <w:rsid w:val="0001163A"/>
    <w:rsid w:val="000118FD"/>
    <w:rsid w:val="00011D3A"/>
    <w:rsid w:val="000120D8"/>
    <w:rsid w:val="00012550"/>
    <w:rsid w:val="000130F4"/>
    <w:rsid w:val="00013151"/>
    <w:rsid w:val="000133AC"/>
    <w:rsid w:val="00013C3E"/>
    <w:rsid w:val="00013F93"/>
    <w:rsid w:val="00014287"/>
    <w:rsid w:val="000142AA"/>
    <w:rsid w:val="00014459"/>
    <w:rsid w:val="000146AD"/>
    <w:rsid w:val="00014ACF"/>
    <w:rsid w:val="00014D84"/>
    <w:rsid w:val="00014F20"/>
    <w:rsid w:val="000157AF"/>
    <w:rsid w:val="00015847"/>
    <w:rsid w:val="000161DD"/>
    <w:rsid w:val="000163E4"/>
    <w:rsid w:val="00016552"/>
    <w:rsid w:val="00016656"/>
    <w:rsid w:val="000166F9"/>
    <w:rsid w:val="000167D6"/>
    <w:rsid w:val="000168BF"/>
    <w:rsid w:val="00016A3F"/>
    <w:rsid w:val="00016C2E"/>
    <w:rsid w:val="00016DB5"/>
    <w:rsid w:val="00017151"/>
    <w:rsid w:val="00017459"/>
    <w:rsid w:val="0001769C"/>
    <w:rsid w:val="00017A26"/>
    <w:rsid w:val="00017E9A"/>
    <w:rsid w:val="00017E9B"/>
    <w:rsid w:val="00020272"/>
    <w:rsid w:val="000206B5"/>
    <w:rsid w:val="00020A0D"/>
    <w:rsid w:val="00020B35"/>
    <w:rsid w:val="00020BA4"/>
    <w:rsid w:val="00020D55"/>
    <w:rsid w:val="00020E73"/>
    <w:rsid w:val="000213D3"/>
    <w:rsid w:val="00021B0B"/>
    <w:rsid w:val="00021B76"/>
    <w:rsid w:val="00022022"/>
    <w:rsid w:val="00022628"/>
    <w:rsid w:val="000233FD"/>
    <w:rsid w:val="00023C84"/>
    <w:rsid w:val="00023D98"/>
    <w:rsid w:val="00024C42"/>
    <w:rsid w:val="00024EC4"/>
    <w:rsid w:val="0002504E"/>
    <w:rsid w:val="0002519E"/>
    <w:rsid w:val="000253AE"/>
    <w:rsid w:val="000254CD"/>
    <w:rsid w:val="000256A1"/>
    <w:rsid w:val="000261AE"/>
    <w:rsid w:val="0002624F"/>
    <w:rsid w:val="0002694D"/>
    <w:rsid w:val="000269A3"/>
    <w:rsid w:val="00026AA3"/>
    <w:rsid w:val="00026B22"/>
    <w:rsid w:val="00026B97"/>
    <w:rsid w:val="00026DC0"/>
    <w:rsid w:val="00026ED6"/>
    <w:rsid w:val="000274EF"/>
    <w:rsid w:val="000276DA"/>
    <w:rsid w:val="000279E5"/>
    <w:rsid w:val="00027B01"/>
    <w:rsid w:val="00027C5F"/>
    <w:rsid w:val="00030100"/>
    <w:rsid w:val="00030220"/>
    <w:rsid w:val="00030264"/>
    <w:rsid w:val="00030305"/>
    <w:rsid w:val="000303F7"/>
    <w:rsid w:val="000306BE"/>
    <w:rsid w:val="000307C8"/>
    <w:rsid w:val="00030834"/>
    <w:rsid w:val="00030931"/>
    <w:rsid w:val="00030D3B"/>
    <w:rsid w:val="00030EA6"/>
    <w:rsid w:val="00031105"/>
    <w:rsid w:val="000312FB"/>
    <w:rsid w:val="000313C8"/>
    <w:rsid w:val="000315D0"/>
    <w:rsid w:val="000318F3"/>
    <w:rsid w:val="000324B2"/>
    <w:rsid w:val="00032774"/>
    <w:rsid w:val="00032876"/>
    <w:rsid w:val="00032892"/>
    <w:rsid w:val="00033434"/>
    <w:rsid w:val="000338E9"/>
    <w:rsid w:val="00033986"/>
    <w:rsid w:val="000339EA"/>
    <w:rsid w:val="00033FDA"/>
    <w:rsid w:val="000342E1"/>
    <w:rsid w:val="000342E4"/>
    <w:rsid w:val="0003452D"/>
    <w:rsid w:val="0003481D"/>
    <w:rsid w:val="00034975"/>
    <w:rsid w:val="00034AE6"/>
    <w:rsid w:val="00034BD8"/>
    <w:rsid w:val="00034D90"/>
    <w:rsid w:val="00034F97"/>
    <w:rsid w:val="000352AC"/>
    <w:rsid w:val="00035599"/>
    <w:rsid w:val="0003559F"/>
    <w:rsid w:val="00035792"/>
    <w:rsid w:val="00035A52"/>
    <w:rsid w:val="000367AE"/>
    <w:rsid w:val="000368B1"/>
    <w:rsid w:val="000369E7"/>
    <w:rsid w:val="00036CC4"/>
    <w:rsid w:val="00036F75"/>
    <w:rsid w:val="00037002"/>
    <w:rsid w:val="0003700C"/>
    <w:rsid w:val="0003706E"/>
    <w:rsid w:val="000371B4"/>
    <w:rsid w:val="0003758B"/>
    <w:rsid w:val="000375CD"/>
    <w:rsid w:val="00037C5A"/>
    <w:rsid w:val="00037F69"/>
    <w:rsid w:val="0004046E"/>
    <w:rsid w:val="000404FA"/>
    <w:rsid w:val="000407AA"/>
    <w:rsid w:val="000408A3"/>
    <w:rsid w:val="00040EE6"/>
    <w:rsid w:val="0004111A"/>
    <w:rsid w:val="000418A6"/>
    <w:rsid w:val="000419E4"/>
    <w:rsid w:val="00041C70"/>
    <w:rsid w:val="00041CAB"/>
    <w:rsid w:val="00041D14"/>
    <w:rsid w:val="00041D85"/>
    <w:rsid w:val="00041F36"/>
    <w:rsid w:val="00042952"/>
    <w:rsid w:val="000429ED"/>
    <w:rsid w:val="00042A87"/>
    <w:rsid w:val="00042AAF"/>
    <w:rsid w:val="00042B94"/>
    <w:rsid w:val="00042EB6"/>
    <w:rsid w:val="0004322C"/>
    <w:rsid w:val="000434F1"/>
    <w:rsid w:val="000436F9"/>
    <w:rsid w:val="0004378A"/>
    <w:rsid w:val="000437E6"/>
    <w:rsid w:val="00043A13"/>
    <w:rsid w:val="00043B11"/>
    <w:rsid w:val="00043EB5"/>
    <w:rsid w:val="000440AB"/>
    <w:rsid w:val="000441F4"/>
    <w:rsid w:val="000446C6"/>
    <w:rsid w:val="00044C1A"/>
    <w:rsid w:val="00044C1E"/>
    <w:rsid w:val="00044C58"/>
    <w:rsid w:val="00044E5B"/>
    <w:rsid w:val="00045288"/>
    <w:rsid w:val="00045816"/>
    <w:rsid w:val="00045846"/>
    <w:rsid w:val="0004595D"/>
    <w:rsid w:val="00045BE1"/>
    <w:rsid w:val="00046578"/>
    <w:rsid w:val="000468F3"/>
    <w:rsid w:val="00046CD8"/>
    <w:rsid w:val="00046FA5"/>
    <w:rsid w:val="00047341"/>
    <w:rsid w:val="000477BA"/>
    <w:rsid w:val="00047FC7"/>
    <w:rsid w:val="000503FB"/>
    <w:rsid w:val="00050611"/>
    <w:rsid w:val="00050761"/>
    <w:rsid w:val="0005094D"/>
    <w:rsid w:val="00050B03"/>
    <w:rsid w:val="00050BB8"/>
    <w:rsid w:val="00050FA4"/>
    <w:rsid w:val="00050FB6"/>
    <w:rsid w:val="00051117"/>
    <w:rsid w:val="00051521"/>
    <w:rsid w:val="0005168A"/>
    <w:rsid w:val="000517E1"/>
    <w:rsid w:val="00051AFD"/>
    <w:rsid w:val="00051C56"/>
    <w:rsid w:val="00051D44"/>
    <w:rsid w:val="000525CC"/>
    <w:rsid w:val="000528AD"/>
    <w:rsid w:val="00052B18"/>
    <w:rsid w:val="00052D74"/>
    <w:rsid w:val="00053154"/>
    <w:rsid w:val="0005320C"/>
    <w:rsid w:val="000533BB"/>
    <w:rsid w:val="00053B66"/>
    <w:rsid w:val="00053D0C"/>
    <w:rsid w:val="00053F66"/>
    <w:rsid w:val="000542DD"/>
    <w:rsid w:val="00054539"/>
    <w:rsid w:val="00054833"/>
    <w:rsid w:val="00055391"/>
    <w:rsid w:val="00055462"/>
    <w:rsid w:val="00055762"/>
    <w:rsid w:val="00055FBB"/>
    <w:rsid w:val="00056199"/>
    <w:rsid w:val="00056999"/>
    <w:rsid w:val="00056BE1"/>
    <w:rsid w:val="00056D87"/>
    <w:rsid w:val="00056DC8"/>
    <w:rsid w:val="00056E0E"/>
    <w:rsid w:val="00056F63"/>
    <w:rsid w:val="00057000"/>
    <w:rsid w:val="0005707C"/>
    <w:rsid w:val="000571CC"/>
    <w:rsid w:val="000572D1"/>
    <w:rsid w:val="000575E0"/>
    <w:rsid w:val="000576F2"/>
    <w:rsid w:val="0005773E"/>
    <w:rsid w:val="0005776D"/>
    <w:rsid w:val="00057B33"/>
    <w:rsid w:val="000601FA"/>
    <w:rsid w:val="00060303"/>
    <w:rsid w:val="0006051B"/>
    <w:rsid w:val="000608A7"/>
    <w:rsid w:val="00060FC6"/>
    <w:rsid w:val="0006101C"/>
    <w:rsid w:val="000612ED"/>
    <w:rsid w:val="00061770"/>
    <w:rsid w:val="0006199F"/>
    <w:rsid w:val="00061E8D"/>
    <w:rsid w:val="000623BB"/>
    <w:rsid w:val="00062448"/>
    <w:rsid w:val="000628EE"/>
    <w:rsid w:val="00062CC8"/>
    <w:rsid w:val="00062D63"/>
    <w:rsid w:val="00062EAC"/>
    <w:rsid w:val="00062EB9"/>
    <w:rsid w:val="00062F66"/>
    <w:rsid w:val="00062F8B"/>
    <w:rsid w:val="000631C3"/>
    <w:rsid w:val="000634BD"/>
    <w:rsid w:val="000639BE"/>
    <w:rsid w:val="00063F15"/>
    <w:rsid w:val="00064DD9"/>
    <w:rsid w:val="00064EE6"/>
    <w:rsid w:val="00064FBC"/>
    <w:rsid w:val="000653D9"/>
    <w:rsid w:val="00065429"/>
    <w:rsid w:val="00065477"/>
    <w:rsid w:val="0006572E"/>
    <w:rsid w:val="00065BBA"/>
    <w:rsid w:val="00066124"/>
    <w:rsid w:val="00066242"/>
    <w:rsid w:val="00066290"/>
    <w:rsid w:val="000663CB"/>
    <w:rsid w:val="000668BB"/>
    <w:rsid w:val="000669EF"/>
    <w:rsid w:val="00066CAA"/>
    <w:rsid w:val="00067051"/>
    <w:rsid w:val="0006754A"/>
    <w:rsid w:val="00067834"/>
    <w:rsid w:val="000678CF"/>
    <w:rsid w:val="000679AB"/>
    <w:rsid w:val="00067D25"/>
    <w:rsid w:val="00067D44"/>
    <w:rsid w:val="000700EC"/>
    <w:rsid w:val="000704D9"/>
    <w:rsid w:val="0007064D"/>
    <w:rsid w:val="00070A8E"/>
    <w:rsid w:val="00070B36"/>
    <w:rsid w:val="00070EDF"/>
    <w:rsid w:val="00070F49"/>
    <w:rsid w:val="00071696"/>
    <w:rsid w:val="000717A6"/>
    <w:rsid w:val="00071996"/>
    <w:rsid w:val="00071AFF"/>
    <w:rsid w:val="00072539"/>
    <w:rsid w:val="0007253C"/>
    <w:rsid w:val="000725A0"/>
    <w:rsid w:val="00072703"/>
    <w:rsid w:val="00072AF0"/>
    <w:rsid w:val="00073101"/>
    <w:rsid w:val="000731EF"/>
    <w:rsid w:val="00073489"/>
    <w:rsid w:val="00073700"/>
    <w:rsid w:val="00073CE8"/>
    <w:rsid w:val="000740DF"/>
    <w:rsid w:val="00074258"/>
    <w:rsid w:val="0007492F"/>
    <w:rsid w:val="00074CBC"/>
    <w:rsid w:val="00075B18"/>
    <w:rsid w:val="00075F1C"/>
    <w:rsid w:val="0007666D"/>
    <w:rsid w:val="00076B23"/>
    <w:rsid w:val="00076C72"/>
    <w:rsid w:val="00076EAC"/>
    <w:rsid w:val="0007705E"/>
    <w:rsid w:val="0007713D"/>
    <w:rsid w:val="0007719E"/>
    <w:rsid w:val="000772C3"/>
    <w:rsid w:val="000773AA"/>
    <w:rsid w:val="000775F6"/>
    <w:rsid w:val="0007772E"/>
    <w:rsid w:val="00077749"/>
    <w:rsid w:val="000777DC"/>
    <w:rsid w:val="00077AF6"/>
    <w:rsid w:val="00077EAC"/>
    <w:rsid w:val="00077FF5"/>
    <w:rsid w:val="00080510"/>
    <w:rsid w:val="00080838"/>
    <w:rsid w:val="000808DC"/>
    <w:rsid w:val="00080A4A"/>
    <w:rsid w:val="00080D97"/>
    <w:rsid w:val="00080F68"/>
    <w:rsid w:val="0008134F"/>
    <w:rsid w:val="00081671"/>
    <w:rsid w:val="0008186A"/>
    <w:rsid w:val="00081A29"/>
    <w:rsid w:val="00081C08"/>
    <w:rsid w:val="0008206C"/>
    <w:rsid w:val="0008268F"/>
    <w:rsid w:val="0008280F"/>
    <w:rsid w:val="00082A8F"/>
    <w:rsid w:val="00082E7A"/>
    <w:rsid w:val="00082F81"/>
    <w:rsid w:val="000831F6"/>
    <w:rsid w:val="00083443"/>
    <w:rsid w:val="00083AE8"/>
    <w:rsid w:val="00083B45"/>
    <w:rsid w:val="00083C0E"/>
    <w:rsid w:val="00083C90"/>
    <w:rsid w:val="00083DF9"/>
    <w:rsid w:val="00083F76"/>
    <w:rsid w:val="0008456E"/>
    <w:rsid w:val="00084652"/>
    <w:rsid w:val="000847A0"/>
    <w:rsid w:val="00084851"/>
    <w:rsid w:val="00085428"/>
    <w:rsid w:val="000855D0"/>
    <w:rsid w:val="0008573B"/>
    <w:rsid w:val="00085B2B"/>
    <w:rsid w:val="00085E73"/>
    <w:rsid w:val="00085FAB"/>
    <w:rsid w:val="000860C6"/>
    <w:rsid w:val="00086188"/>
    <w:rsid w:val="00086220"/>
    <w:rsid w:val="0008625F"/>
    <w:rsid w:val="00086A64"/>
    <w:rsid w:val="00086ADC"/>
    <w:rsid w:val="00086B9E"/>
    <w:rsid w:val="00086BC7"/>
    <w:rsid w:val="00086E9F"/>
    <w:rsid w:val="00087102"/>
    <w:rsid w:val="00087692"/>
    <w:rsid w:val="000879D9"/>
    <w:rsid w:val="0008D69D"/>
    <w:rsid w:val="0008EA6C"/>
    <w:rsid w:val="00090325"/>
    <w:rsid w:val="000905E7"/>
    <w:rsid w:val="00090656"/>
    <w:rsid w:val="00090746"/>
    <w:rsid w:val="0009089A"/>
    <w:rsid w:val="00090A65"/>
    <w:rsid w:val="00091115"/>
    <w:rsid w:val="00091232"/>
    <w:rsid w:val="000912DE"/>
    <w:rsid w:val="00091501"/>
    <w:rsid w:val="00091958"/>
    <w:rsid w:val="00091B9E"/>
    <w:rsid w:val="00091D83"/>
    <w:rsid w:val="00092190"/>
    <w:rsid w:val="000922A5"/>
    <w:rsid w:val="000925FE"/>
    <w:rsid w:val="0009291F"/>
    <w:rsid w:val="00092998"/>
    <w:rsid w:val="000929E1"/>
    <w:rsid w:val="00092BC2"/>
    <w:rsid w:val="000930AB"/>
    <w:rsid w:val="00093222"/>
    <w:rsid w:val="00094248"/>
    <w:rsid w:val="00094330"/>
    <w:rsid w:val="00094509"/>
    <w:rsid w:val="00094791"/>
    <w:rsid w:val="00094FCC"/>
    <w:rsid w:val="00094FE3"/>
    <w:rsid w:val="00095461"/>
    <w:rsid w:val="00095D4D"/>
    <w:rsid w:val="00095DC2"/>
    <w:rsid w:val="00096215"/>
    <w:rsid w:val="0009626E"/>
    <w:rsid w:val="00096448"/>
    <w:rsid w:val="00096689"/>
    <w:rsid w:val="00096771"/>
    <w:rsid w:val="00096791"/>
    <w:rsid w:val="000969C6"/>
    <w:rsid w:val="00096AC2"/>
    <w:rsid w:val="000972E4"/>
    <w:rsid w:val="000973FA"/>
    <w:rsid w:val="0009792F"/>
    <w:rsid w:val="00097F2E"/>
    <w:rsid w:val="000A0337"/>
    <w:rsid w:val="000A0753"/>
    <w:rsid w:val="000A0A25"/>
    <w:rsid w:val="000A0B5C"/>
    <w:rsid w:val="000A0D7F"/>
    <w:rsid w:val="000A154D"/>
    <w:rsid w:val="000A15E6"/>
    <w:rsid w:val="000A1765"/>
    <w:rsid w:val="000A1788"/>
    <w:rsid w:val="000A17C7"/>
    <w:rsid w:val="000A1CBE"/>
    <w:rsid w:val="000A1EE0"/>
    <w:rsid w:val="000A2454"/>
    <w:rsid w:val="000A2537"/>
    <w:rsid w:val="000A26DA"/>
    <w:rsid w:val="000A33BE"/>
    <w:rsid w:val="000A399D"/>
    <w:rsid w:val="000A3BEB"/>
    <w:rsid w:val="000A4047"/>
    <w:rsid w:val="000A4314"/>
    <w:rsid w:val="000A4BD0"/>
    <w:rsid w:val="000A4C08"/>
    <w:rsid w:val="000A4CCA"/>
    <w:rsid w:val="000A511C"/>
    <w:rsid w:val="000A520A"/>
    <w:rsid w:val="000A5323"/>
    <w:rsid w:val="000A55C2"/>
    <w:rsid w:val="000A5821"/>
    <w:rsid w:val="000A5909"/>
    <w:rsid w:val="000A5994"/>
    <w:rsid w:val="000A5CDC"/>
    <w:rsid w:val="000A600F"/>
    <w:rsid w:val="000A6395"/>
    <w:rsid w:val="000A6644"/>
    <w:rsid w:val="000A6B23"/>
    <w:rsid w:val="000A6B95"/>
    <w:rsid w:val="000A6DAB"/>
    <w:rsid w:val="000A6E90"/>
    <w:rsid w:val="000A6EBB"/>
    <w:rsid w:val="000A767C"/>
    <w:rsid w:val="000A7685"/>
    <w:rsid w:val="000A768A"/>
    <w:rsid w:val="000A7772"/>
    <w:rsid w:val="000A77A6"/>
    <w:rsid w:val="000A79B5"/>
    <w:rsid w:val="000A7BC8"/>
    <w:rsid w:val="000A7CF2"/>
    <w:rsid w:val="000B0A80"/>
    <w:rsid w:val="000B0DEB"/>
    <w:rsid w:val="000B1010"/>
    <w:rsid w:val="000B120A"/>
    <w:rsid w:val="000B1217"/>
    <w:rsid w:val="000B12AA"/>
    <w:rsid w:val="000B1326"/>
    <w:rsid w:val="000B1A18"/>
    <w:rsid w:val="000B1B7C"/>
    <w:rsid w:val="000B205B"/>
    <w:rsid w:val="000B22FA"/>
    <w:rsid w:val="000B2700"/>
    <w:rsid w:val="000B2964"/>
    <w:rsid w:val="000B2F12"/>
    <w:rsid w:val="000B2F5E"/>
    <w:rsid w:val="000B32B4"/>
    <w:rsid w:val="000B353F"/>
    <w:rsid w:val="000B3613"/>
    <w:rsid w:val="000B39CE"/>
    <w:rsid w:val="000B3B0C"/>
    <w:rsid w:val="000B3CC6"/>
    <w:rsid w:val="000B3D85"/>
    <w:rsid w:val="000B3E30"/>
    <w:rsid w:val="000B409C"/>
    <w:rsid w:val="000B414E"/>
    <w:rsid w:val="000B41A5"/>
    <w:rsid w:val="000B41BA"/>
    <w:rsid w:val="000B47D5"/>
    <w:rsid w:val="000B495F"/>
    <w:rsid w:val="000B4DBF"/>
    <w:rsid w:val="000B5252"/>
    <w:rsid w:val="000B54D9"/>
    <w:rsid w:val="000B561D"/>
    <w:rsid w:val="000B57C8"/>
    <w:rsid w:val="000B5B51"/>
    <w:rsid w:val="000B5B8E"/>
    <w:rsid w:val="000B5C94"/>
    <w:rsid w:val="000B60F2"/>
    <w:rsid w:val="000B62AF"/>
    <w:rsid w:val="000B66EB"/>
    <w:rsid w:val="000B697F"/>
    <w:rsid w:val="000B6A2A"/>
    <w:rsid w:val="000B6A5E"/>
    <w:rsid w:val="000B6E9D"/>
    <w:rsid w:val="000B7D69"/>
    <w:rsid w:val="000C07A9"/>
    <w:rsid w:val="000C0980"/>
    <w:rsid w:val="000C17EC"/>
    <w:rsid w:val="000C18BC"/>
    <w:rsid w:val="000C2153"/>
    <w:rsid w:val="000C2928"/>
    <w:rsid w:val="000C2C4E"/>
    <w:rsid w:val="000C2D9D"/>
    <w:rsid w:val="000C3195"/>
    <w:rsid w:val="000C3397"/>
    <w:rsid w:val="000C3456"/>
    <w:rsid w:val="000C3645"/>
    <w:rsid w:val="000C3BCB"/>
    <w:rsid w:val="000C3BCE"/>
    <w:rsid w:val="000C3BD6"/>
    <w:rsid w:val="000C3BE5"/>
    <w:rsid w:val="000C3E52"/>
    <w:rsid w:val="000C45FF"/>
    <w:rsid w:val="000C4729"/>
    <w:rsid w:val="000C48A4"/>
    <w:rsid w:val="000C4BDD"/>
    <w:rsid w:val="000C4C9B"/>
    <w:rsid w:val="000C501E"/>
    <w:rsid w:val="000C5064"/>
    <w:rsid w:val="000C52E1"/>
    <w:rsid w:val="000C5510"/>
    <w:rsid w:val="000C5566"/>
    <w:rsid w:val="000C593B"/>
    <w:rsid w:val="000C5AFE"/>
    <w:rsid w:val="000C5B49"/>
    <w:rsid w:val="000C5C90"/>
    <w:rsid w:val="000C6922"/>
    <w:rsid w:val="000C7037"/>
    <w:rsid w:val="000C7180"/>
    <w:rsid w:val="000C72DE"/>
    <w:rsid w:val="000C731C"/>
    <w:rsid w:val="000C76F3"/>
    <w:rsid w:val="000C7817"/>
    <w:rsid w:val="000C7B2F"/>
    <w:rsid w:val="000C7C05"/>
    <w:rsid w:val="000D0182"/>
    <w:rsid w:val="000D0270"/>
    <w:rsid w:val="000D0337"/>
    <w:rsid w:val="000D0D14"/>
    <w:rsid w:val="000D0DD4"/>
    <w:rsid w:val="000D16B4"/>
    <w:rsid w:val="000D16ED"/>
    <w:rsid w:val="000D17E0"/>
    <w:rsid w:val="000D186D"/>
    <w:rsid w:val="000D18C9"/>
    <w:rsid w:val="000D1AF1"/>
    <w:rsid w:val="000D1BD2"/>
    <w:rsid w:val="000D1CB7"/>
    <w:rsid w:val="000D1E27"/>
    <w:rsid w:val="000D1E57"/>
    <w:rsid w:val="000D2672"/>
    <w:rsid w:val="000D2728"/>
    <w:rsid w:val="000D29A2"/>
    <w:rsid w:val="000D29C1"/>
    <w:rsid w:val="000D2C32"/>
    <w:rsid w:val="000D2C34"/>
    <w:rsid w:val="000D3303"/>
    <w:rsid w:val="000D3379"/>
    <w:rsid w:val="000D367C"/>
    <w:rsid w:val="000D36D5"/>
    <w:rsid w:val="000D382C"/>
    <w:rsid w:val="000D3FC2"/>
    <w:rsid w:val="000D442B"/>
    <w:rsid w:val="000D4C8E"/>
    <w:rsid w:val="000D531B"/>
    <w:rsid w:val="000D53E3"/>
    <w:rsid w:val="000D540D"/>
    <w:rsid w:val="000D5DB7"/>
    <w:rsid w:val="000D6608"/>
    <w:rsid w:val="000D675D"/>
    <w:rsid w:val="000D6761"/>
    <w:rsid w:val="000D6783"/>
    <w:rsid w:val="000D6AAB"/>
    <w:rsid w:val="000D6BC1"/>
    <w:rsid w:val="000D6CA0"/>
    <w:rsid w:val="000D6D30"/>
    <w:rsid w:val="000D6EA3"/>
    <w:rsid w:val="000D6F09"/>
    <w:rsid w:val="000D7731"/>
    <w:rsid w:val="000D78C7"/>
    <w:rsid w:val="000E0782"/>
    <w:rsid w:val="000E0969"/>
    <w:rsid w:val="000E0A3E"/>
    <w:rsid w:val="000E0DF6"/>
    <w:rsid w:val="000E0F20"/>
    <w:rsid w:val="000E14D1"/>
    <w:rsid w:val="000E1945"/>
    <w:rsid w:val="000E1D51"/>
    <w:rsid w:val="000E2087"/>
    <w:rsid w:val="000E26B1"/>
    <w:rsid w:val="000E273E"/>
    <w:rsid w:val="000E291E"/>
    <w:rsid w:val="000E2C71"/>
    <w:rsid w:val="000E2D59"/>
    <w:rsid w:val="000E38FF"/>
    <w:rsid w:val="000E3C8B"/>
    <w:rsid w:val="000E40A2"/>
    <w:rsid w:val="000E4393"/>
    <w:rsid w:val="000E43F7"/>
    <w:rsid w:val="000E45B1"/>
    <w:rsid w:val="000E4810"/>
    <w:rsid w:val="000E4E2E"/>
    <w:rsid w:val="000E4F36"/>
    <w:rsid w:val="000E50B5"/>
    <w:rsid w:val="000E51B6"/>
    <w:rsid w:val="000E520C"/>
    <w:rsid w:val="000E5218"/>
    <w:rsid w:val="000E5241"/>
    <w:rsid w:val="000E5719"/>
    <w:rsid w:val="000E5A73"/>
    <w:rsid w:val="000E5F41"/>
    <w:rsid w:val="000E61D6"/>
    <w:rsid w:val="000E6292"/>
    <w:rsid w:val="000E6AE2"/>
    <w:rsid w:val="000E734B"/>
    <w:rsid w:val="000E73B5"/>
    <w:rsid w:val="000E74A0"/>
    <w:rsid w:val="000E7700"/>
    <w:rsid w:val="000E7734"/>
    <w:rsid w:val="000E7A2B"/>
    <w:rsid w:val="000F0A0F"/>
    <w:rsid w:val="000F0AA6"/>
    <w:rsid w:val="000F10BC"/>
    <w:rsid w:val="000F114E"/>
    <w:rsid w:val="000F11A5"/>
    <w:rsid w:val="000F121A"/>
    <w:rsid w:val="000F13A8"/>
    <w:rsid w:val="000F1698"/>
    <w:rsid w:val="000F1B90"/>
    <w:rsid w:val="000F2153"/>
    <w:rsid w:val="000F22CE"/>
    <w:rsid w:val="000F30AD"/>
    <w:rsid w:val="000F34F5"/>
    <w:rsid w:val="000F3709"/>
    <w:rsid w:val="000F391E"/>
    <w:rsid w:val="000F3973"/>
    <w:rsid w:val="000F3DEC"/>
    <w:rsid w:val="000F3E2F"/>
    <w:rsid w:val="000F3FEC"/>
    <w:rsid w:val="000F42C5"/>
    <w:rsid w:val="000F44D6"/>
    <w:rsid w:val="000F4649"/>
    <w:rsid w:val="000F4A19"/>
    <w:rsid w:val="000F53E9"/>
    <w:rsid w:val="000F58A7"/>
    <w:rsid w:val="000F58D2"/>
    <w:rsid w:val="000F5BE5"/>
    <w:rsid w:val="000F64CB"/>
    <w:rsid w:val="000F66EF"/>
    <w:rsid w:val="000F68AE"/>
    <w:rsid w:val="000F6D7E"/>
    <w:rsid w:val="000F6F92"/>
    <w:rsid w:val="000F7138"/>
    <w:rsid w:val="000F73FE"/>
    <w:rsid w:val="000F74B0"/>
    <w:rsid w:val="000F74D8"/>
    <w:rsid w:val="000F7516"/>
    <w:rsid w:val="000F7670"/>
    <w:rsid w:val="000F79A6"/>
    <w:rsid w:val="000F79E5"/>
    <w:rsid w:val="000F7F47"/>
    <w:rsid w:val="00100122"/>
    <w:rsid w:val="001003DC"/>
    <w:rsid w:val="00100612"/>
    <w:rsid w:val="001006BB"/>
    <w:rsid w:val="00100A10"/>
    <w:rsid w:val="00100FBB"/>
    <w:rsid w:val="00100FF2"/>
    <w:rsid w:val="001012E5"/>
    <w:rsid w:val="0010195A"/>
    <w:rsid w:val="0010196C"/>
    <w:rsid w:val="0010227B"/>
    <w:rsid w:val="00102479"/>
    <w:rsid w:val="001030E4"/>
    <w:rsid w:val="00103300"/>
    <w:rsid w:val="00103C0C"/>
    <w:rsid w:val="00103F8E"/>
    <w:rsid w:val="00104011"/>
    <w:rsid w:val="00104746"/>
    <w:rsid w:val="001049D0"/>
    <w:rsid w:val="00104D38"/>
    <w:rsid w:val="00104D78"/>
    <w:rsid w:val="001052AD"/>
    <w:rsid w:val="00105DAF"/>
    <w:rsid w:val="00105ED1"/>
    <w:rsid w:val="001062A3"/>
    <w:rsid w:val="0010641B"/>
    <w:rsid w:val="001064B8"/>
    <w:rsid w:val="00106892"/>
    <w:rsid w:val="00106B7E"/>
    <w:rsid w:val="00106F93"/>
    <w:rsid w:val="00107120"/>
    <w:rsid w:val="00107827"/>
    <w:rsid w:val="0010798C"/>
    <w:rsid w:val="0011007D"/>
    <w:rsid w:val="001100C7"/>
    <w:rsid w:val="00110111"/>
    <w:rsid w:val="001105D7"/>
    <w:rsid w:val="0011064D"/>
    <w:rsid w:val="00110798"/>
    <w:rsid w:val="00110B9A"/>
    <w:rsid w:val="00110CE0"/>
    <w:rsid w:val="00111132"/>
    <w:rsid w:val="0011120D"/>
    <w:rsid w:val="0011173F"/>
    <w:rsid w:val="00111E5E"/>
    <w:rsid w:val="0011211C"/>
    <w:rsid w:val="001123D5"/>
    <w:rsid w:val="00112525"/>
    <w:rsid w:val="001125D8"/>
    <w:rsid w:val="0011263C"/>
    <w:rsid w:val="0011263E"/>
    <w:rsid w:val="00112671"/>
    <w:rsid w:val="00112752"/>
    <w:rsid w:val="0011280F"/>
    <w:rsid w:val="001128C1"/>
    <w:rsid w:val="00112932"/>
    <w:rsid w:val="00113014"/>
    <w:rsid w:val="00113CE8"/>
    <w:rsid w:val="00113FBF"/>
    <w:rsid w:val="001140B4"/>
    <w:rsid w:val="001142E7"/>
    <w:rsid w:val="001146B4"/>
    <w:rsid w:val="00114E09"/>
    <w:rsid w:val="001150F3"/>
    <w:rsid w:val="001152CE"/>
    <w:rsid w:val="001154C5"/>
    <w:rsid w:val="00115771"/>
    <w:rsid w:val="001158A5"/>
    <w:rsid w:val="0011592A"/>
    <w:rsid w:val="00115A8D"/>
    <w:rsid w:val="00115C66"/>
    <w:rsid w:val="00115D1B"/>
    <w:rsid w:val="00116472"/>
    <w:rsid w:val="001164E0"/>
    <w:rsid w:val="00116871"/>
    <w:rsid w:val="00116F5D"/>
    <w:rsid w:val="001172F1"/>
    <w:rsid w:val="0011731D"/>
    <w:rsid w:val="00117677"/>
    <w:rsid w:val="001179F8"/>
    <w:rsid w:val="00117E40"/>
    <w:rsid w:val="00117E7C"/>
    <w:rsid w:val="00117ECC"/>
    <w:rsid w:val="00117FC7"/>
    <w:rsid w:val="00117FFB"/>
    <w:rsid w:val="001205A8"/>
    <w:rsid w:val="001205BB"/>
    <w:rsid w:val="00120B06"/>
    <w:rsid w:val="00121096"/>
    <w:rsid w:val="001214EF"/>
    <w:rsid w:val="001214FC"/>
    <w:rsid w:val="00121B27"/>
    <w:rsid w:val="00121C2D"/>
    <w:rsid w:val="00121F7B"/>
    <w:rsid w:val="0012247C"/>
    <w:rsid w:val="001225C2"/>
    <w:rsid w:val="00122869"/>
    <w:rsid w:val="00122F04"/>
    <w:rsid w:val="0012385E"/>
    <w:rsid w:val="00123936"/>
    <w:rsid w:val="001239CD"/>
    <w:rsid w:val="00123FAE"/>
    <w:rsid w:val="00124250"/>
    <w:rsid w:val="00124695"/>
    <w:rsid w:val="00124A13"/>
    <w:rsid w:val="00124AEC"/>
    <w:rsid w:val="00124D0D"/>
    <w:rsid w:val="00124E7F"/>
    <w:rsid w:val="0012516B"/>
    <w:rsid w:val="00125441"/>
    <w:rsid w:val="0012562A"/>
    <w:rsid w:val="0012562B"/>
    <w:rsid w:val="00125978"/>
    <w:rsid w:val="001262AB"/>
    <w:rsid w:val="00127344"/>
    <w:rsid w:val="00127445"/>
    <w:rsid w:val="00127446"/>
    <w:rsid w:val="00127559"/>
    <w:rsid w:val="00127756"/>
    <w:rsid w:val="00127841"/>
    <w:rsid w:val="00127DB8"/>
    <w:rsid w:val="00127E17"/>
    <w:rsid w:val="00130350"/>
    <w:rsid w:val="00130A7D"/>
    <w:rsid w:val="00130B2D"/>
    <w:rsid w:val="00130C42"/>
    <w:rsid w:val="00130DCE"/>
    <w:rsid w:val="00130F68"/>
    <w:rsid w:val="0013157B"/>
    <w:rsid w:val="00131924"/>
    <w:rsid w:val="00131A98"/>
    <w:rsid w:val="00131CEB"/>
    <w:rsid w:val="0013206C"/>
    <w:rsid w:val="00132666"/>
    <w:rsid w:val="0013277A"/>
    <w:rsid w:val="00132895"/>
    <w:rsid w:val="001328EA"/>
    <w:rsid w:val="00132B4C"/>
    <w:rsid w:val="001332CB"/>
    <w:rsid w:val="00133372"/>
    <w:rsid w:val="0013346C"/>
    <w:rsid w:val="001339D9"/>
    <w:rsid w:val="001345F6"/>
    <w:rsid w:val="00134858"/>
    <w:rsid w:val="001348CD"/>
    <w:rsid w:val="00134B64"/>
    <w:rsid w:val="00134BDE"/>
    <w:rsid w:val="00134E0D"/>
    <w:rsid w:val="001353D2"/>
    <w:rsid w:val="00135CB6"/>
    <w:rsid w:val="001361FD"/>
    <w:rsid w:val="001362CE"/>
    <w:rsid w:val="001362E7"/>
    <w:rsid w:val="00136300"/>
    <w:rsid w:val="0013695C"/>
    <w:rsid w:val="00136E8C"/>
    <w:rsid w:val="00137AD0"/>
    <w:rsid w:val="00140C65"/>
    <w:rsid w:val="0014117C"/>
    <w:rsid w:val="0014161D"/>
    <w:rsid w:val="0014172E"/>
    <w:rsid w:val="001419A2"/>
    <w:rsid w:val="0014269B"/>
    <w:rsid w:val="001428A8"/>
    <w:rsid w:val="00142F25"/>
    <w:rsid w:val="00143929"/>
    <w:rsid w:val="001439CF"/>
    <w:rsid w:val="00143C0B"/>
    <w:rsid w:val="00144501"/>
    <w:rsid w:val="00144503"/>
    <w:rsid w:val="001448E7"/>
    <w:rsid w:val="00144AB1"/>
    <w:rsid w:val="00144C72"/>
    <w:rsid w:val="00144DE1"/>
    <w:rsid w:val="00144DFA"/>
    <w:rsid w:val="00144F0B"/>
    <w:rsid w:val="001451C8"/>
    <w:rsid w:val="00145549"/>
    <w:rsid w:val="00145718"/>
    <w:rsid w:val="00145725"/>
    <w:rsid w:val="00145D98"/>
    <w:rsid w:val="00145FA0"/>
    <w:rsid w:val="0014629A"/>
    <w:rsid w:val="0014676E"/>
    <w:rsid w:val="00146BF1"/>
    <w:rsid w:val="00146C30"/>
    <w:rsid w:val="00146DAA"/>
    <w:rsid w:val="00146DE0"/>
    <w:rsid w:val="001470CF"/>
    <w:rsid w:val="001477D7"/>
    <w:rsid w:val="001478D0"/>
    <w:rsid w:val="00147AFE"/>
    <w:rsid w:val="00147F3A"/>
    <w:rsid w:val="00147FDA"/>
    <w:rsid w:val="00150090"/>
    <w:rsid w:val="00150B4E"/>
    <w:rsid w:val="00150CA3"/>
    <w:rsid w:val="00150DAB"/>
    <w:rsid w:val="001510DB"/>
    <w:rsid w:val="001513E3"/>
    <w:rsid w:val="00151437"/>
    <w:rsid w:val="00151FF3"/>
    <w:rsid w:val="001525C1"/>
    <w:rsid w:val="0015285C"/>
    <w:rsid w:val="00152AB9"/>
    <w:rsid w:val="00152EE7"/>
    <w:rsid w:val="001531D4"/>
    <w:rsid w:val="001533B9"/>
    <w:rsid w:val="001537CB"/>
    <w:rsid w:val="00153CAE"/>
    <w:rsid w:val="00153CBA"/>
    <w:rsid w:val="00153E4F"/>
    <w:rsid w:val="0015419F"/>
    <w:rsid w:val="001541C1"/>
    <w:rsid w:val="00154530"/>
    <w:rsid w:val="0015495C"/>
    <w:rsid w:val="00154C98"/>
    <w:rsid w:val="00154E6C"/>
    <w:rsid w:val="00154F0B"/>
    <w:rsid w:val="00154F67"/>
    <w:rsid w:val="001557D0"/>
    <w:rsid w:val="001558AE"/>
    <w:rsid w:val="001558C4"/>
    <w:rsid w:val="001558E3"/>
    <w:rsid w:val="00155BF2"/>
    <w:rsid w:val="00155F48"/>
    <w:rsid w:val="00155F52"/>
    <w:rsid w:val="0015622C"/>
    <w:rsid w:val="0015660E"/>
    <w:rsid w:val="00156A9F"/>
    <w:rsid w:val="00156C21"/>
    <w:rsid w:val="00156C45"/>
    <w:rsid w:val="00156F71"/>
    <w:rsid w:val="00156FE1"/>
    <w:rsid w:val="0015705E"/>
    <w:rsid w:val="001572C1"/>
    <w:rsid w:val="0015775B"/>
    <w:rsid w:val="0015784C"/>
    <w:rsid w:val="00160617"/>
    <w:rsid w:val="0016092F"/>
    <w:rsid w:val="00160A66"/>
    <w:rsid w:val="00160CC0"/>
    <w:rsid w:val="00160DD0"/>
    <w:rsid w:val="001613F1"/>
    <w:rsid w:val="0016159F"/>
    <w:rsid w:val="001617C7"/>
    <w:rsid w:val="0016185C"/>
    <w:rsid w:val="00161B19"/>
    <w:rsid w:val="00161CF0"/>
    <w:rsid w:val="00161D9B"/>
    <w:rsid w:val="00161F6F"/>
    <w:rsid w:val="00162103"/>
    <w:rsid w:val="0016245E"/>
    <w:rsid w:val="0016254F"/>
    <w:rsid w:val="0016262C"/>
    <w:rsid w:val="00162854"/>
    <w:rsid w:val="001628A7"/>
    <w:rsid w:val="00162A2F"/>
    <w:rsid w:val="00162BF3"/>
    <w:rsid w:val="00162CA9"/>
    <w:rsid w:val="00162CF5"/>
    <w:rsid w:val="00162DBA"/>
    <w:rsid w:val="00162EB0"/>
    <w:rsid w:val="001632E0"/>
    <w:rsid w:val="001636F0"/>
    <w:rsid w:val="00163922"/>
    <w:rsid w:val="00163AB1"/>
    <w:rsid w:val="001640F9"/>
    <w:rsid w:val="00164270"/>
    <w:rsid w:val="00164446"/>
    <w:rsid w:val="00164594"/>
    <w:rsid w:val="0016485C"/>
    <w:rsid w:val="00164FC9"/>
    <w:rsid w:val="001652C4"/>
    <w:rsid w:val="00165693"/>
    <w:rsid w:val="001659E0"/>
    <w:rsid w:val="00165C47"/>
    <w:rsid w:val="00165D65"/>
    <w:rsid w:val="00165E2E"/>
    <w:rsid w:val="0016632C"/>
    <w:rsid w:val="00166648"/>
    <w:rsid w:val="0016671D"/>
    <w:rsid w:val="001667D4"/>
    <w:rsid w:val="0016733C"/>
    <w:rsid w:val="0016763E"/>
    <w:rsid w:val="00167891"/>
    <w:rsid w:val="00167A36"/>
    <w:rsid w:val="00167A74"/>
    <w:rsid w:val="00167AE4"/>
    <w:rsid w:val="00167B16"/>
    <w:rsid w:val="00167F67"/>
    <w:rsid w:val="0017060F"/>
    <w:rsid w:val="0017078D"/>
    <w:rsid w:val="001707C3"/>
    <w:rsid w:val="0017128E"/>
    <w:rsid w:val="00171429"/>
    <w:rsid w:val="001715D3"/>
    <w:rsid w:val="00171746"/>
    <w:rsid w:val="001717E0"/>
    <w:rsid w:val="00171804"/>
    <w:rsid w:val="00171950"/>
    <w:rsid w:val="00172855"/>
    <w:rsid w:val="00172A6C"/>
    <w:rsid w:val="00172AE8"/>
    <w:rsid w:val="00172E71"/>
    <w:rsid w:val="0017346F"/>
    <w:rsid w:val="00173A68"/>
    <w:rsid w:val="00173FD5"/>
    <w:rsid w:val="001741ED"/>
    <w:rsid w:val="0017427B"/>
    <w:rsid w:val="001745EA"/>
    <w:rsid w:val="0017484C"/>
    <w:rsid w:val="00174970"/>
    <w:rsid w:val="00174FC4"/>
    <w:rsid w:val="00175125"/>
    <w:rsid w:val="001757C8"/>
    <w:rsid w:val="0017582D"/>
    <w:rsid w:val="00175DD3"/>
    <w:rsid w:val="001760B9"/>
    <w:rsid w:val="001765F2"/>
    <w:rsid w:val="00176D08"/>
    <w:rsid w:val="0017710B"/>
    <w:rsid w:val="0017737C"/>
    <w:rsid w:val="00177B79"/>
    <w:rsid w:val="00177F2E"/>
    <w:rsid w:val="00180056"/>
    <w:rsid w:val="00180226"/>
    <w:rsid w:val="00180341"/>
    <w:rsid w:val="001803B3"/>
    <w:rsid w:val="001804DD"/>
    <w:rsid w:val="00180765"/>
    <w:rsid w:val="001810C9"/>
    <w:rsid w:val="001812F6"/>
    <w:rsid w:val="001825FB"/>
    <w:rsid w:val="00182D86"/>
    <w:rsid w:val="00182F7A"/>
    <w:rsid w:val="00182FF2"/>
    <w:rsid w:val="001830FE"/>
    <w:rsid w:val="0018321C"/>
    <w:rsid w:val="001833C2"/>
    <w:rsid w:val="00183429"/>
    <w:rsid w:val="00183666"/>
    <w:rsid w:val="00183713"/>
    <w:rsid w:val="00183A5B"/>
    <w:rsid w:val="00184180"/>
    <w:rsid w:val="001841F1"/>
    <w:rsid w:val="0018477A"/>
    <w:rsid w:val="00184A9D"/>
    <w:rsid w:val="001858A7"/>
    <w:rsid w:val="00185B50"/>
    <w:rsid w:val="00185D13"/>
    <w:rsid w:val="001862AF"/>
    <w:rsid w:val="001867EC"/>
    <w:rsid w:val="001867EF"/>
    <w:rsid w:val="00186A3A"/>
    <w:rsid w:val="00186BA2"/>
    <w:rsid w:val="00186F47"/>
    <w:rsid w:val="00187154"/>
    <w:rsid w:val="00187689"/>
    <w:rsid w:val="001876F2"/>
    <w:rsid w:val="00187849"/>
    <w:rsid w:val="001878D5"/>
    <w:rsid w:val="001879FA"/>
    <w:rsid w:val="00187A84"/>
    <w:rsid w:val="00187CD2"/>
    <w:rsid w:val="00187F97"/>
    <w:rsid w:val="00187FD8"/>
    <w:rsid w:val="00190186"/>
    <w:rsid w:val="00190252"/>
    <w:rsid w:val="001902BA"/>
    <w:rsid w:val="00190AD9"/>
    <w:rsid w:val="00190B7E"/>
    <w:rsid w:val="00190C00"/>
    <w:rsid w:val="00190D9E"/>
    <w:rsid w:val="0019147F"/>
    <w:rsid w:val="001915E5"/>
    <w:rsid w:val="00191B30"/>
    <w:rsid w:val="00192142"/>
    <w:rsid w:val="00192206"/>
    <w:rsid w:val="00192612"/>
    <w:rsid w:val="0019270D"/>
    <w:rsid w:val="00192812"/>
    <w:rsid w:val="00192CDB"/>
    <w:rsid w:val="00192F7C"/>
    <w:rsid w:val="00192FEF"/>
    <w:rsid w:val="00193839"/>
    <w:rsid w:val="00193BE1"/>
    <w:rsid w:val="00193F81"/>
    <w:rsid w:val="00194063"/>
    <w:rsid w:val="00194376"/>
    <w:rsid w:val="001943C1"/>
    <w:rsid w:val="00194400"/>
    <w:rsid w:val="00194638"/>
    <w:rsid w:val="00194819"/>
    <w:rsid w:val="00194D53"/>
    <w:rsid w:val="00194EE3"/>
    <w:rsid w:val="00195067"/>
    <w:rsid w:val="001954BD"/>
    <w:rsid w:val="001956C3"/>
    <w:rsid w:val="00195A76"/>
    <w:rsid w:val="00196131"/>
    <w:rsid w:val="0019615C"/>
    <w:rsid w:val="00196171"/>
    <w:rsid w:val="001964D1"/>
    <w:rsid w:val="0019663C"/>
    <w:rsid w:val="00196C60"/>
    <w:rsid w:val="00196EB8"/>
    <w:rsid w:val="001970BD"/>
    <w:rsid w:val="001975BB"/>
    <w:rsid w:val="0019767E"/>
    <w:rsid w:val="00197A36"/>
    <w:rsid w:val="00197C03"/>
    <w:rsid w:val="00197FB3"/>
    <w:rsid w:val="001A0470"/>
    <w:rsid w:val="001A0EE0"/>
    <w:rsid w:val="001A15BC"/>
    <w:rsid w:val="001A1BBC"/>
    <w:rsid w:val="001A1C48"/>
    <w:rsid w:val="001A1CEF"/>
    <w:rsid w:val="001A1F7D"/>
    <w:rsid w:val="001A243D"/>
    <w:rsid w:val="001A252F"/>
    <w:rsid w:val="001A2534"/>
    <w:rsid w:val="001A256D"/>
    <w:rsid w:val="001A2587"/>
    <w:rsid w:val="001A2696"/>
    <w:rsid w:val="001A271C"/>
    <w:rsid w:val="001A27BB"/>
    <w:rsid w:val="001A2A83"/>
    <w:rsid w:val="001A2AF4"/>
    <w:rsid w:val="001A2DE2"/>
    <w:rsid w:val="001A2E8A"/>
    <w:rsid w:val="001A3562"/>
    <w:rsid w:val="001A37E2"/>
    <w:rsid w:val="001A3ED0"/>
    <w:rsid w:val="001A3FE9"/>
    <w:rsid w:val="001A413A"/>
    <w:rsid w:val="001A449B"/>
    <w:rsid w:val="001A4C3C"/>
    <w:rsid w:val="001A5384"/>
    <w:rsid w:val="001A579C"/>
    <w:rsid w:val="001A5FFE"/>
    <w:rsid w:val="001A6201"/>
    <w:rsid w:val="001A6213"/>
    <w:rsid w:val="001A6402"/>
    <w:rsid w:val="001A653D"/>
    <w:rsid w:val="001A6573"/>
    <w:rsid w:val="001A67E1"/>
    <w:rsid w:val="001A6B20"/>
    <w:rsid w:val="001A6D8E"/>
    <w:rsid w:val="001A71FE"/>
    <w:rsid w:val="001A76E2"/>
    <w:rsid w:val="001A784A"/>
    <w:rsid w:val="001A7A51"/>
    <w:rsid w:val="001A7B26"/>
    <w:rsid w:val="001A7D85"/>
    <w:rsid w:val="001A7F94"/>
    <w:rsid w:val="001B0868"/>
    <w:rsid w:val="001B0BC7"/>
    <w:rsid w:val="001B0FB4"/>
    <w:rsid w:val="001B104F"/>
    <w:rsid w:val="001B15A1"/>
    <w:rsid w:val="001B161E"/>
    <w:rsid w:val="001B161F"/>
    <w:rsid w:val="001B1AC2"/>
    <w:rsid w:val="001B2026"/>
    <w:rsid w:val="001B277B"/>
    <w:rsid w:val="001B2962"/>
    <w:rsid w:val="001B296E"/>
    <w:rsid w:val="001B2CE2"/>
    <w:rsid w:val="001B2F24"/>
    <w:rsid w:val="001B30A6"/>
    <w:rsid w:val="001B317A"/>
    <w:rsid w:val="001B33DE"/>
    <w:rsid w:val="001B35D6"/>
    <w:rsid w:val="001B36D5"/>
    <w:rsid w:val="001B36E5"/>
    <w:rsid w:val="001B3933"/>
    <w:rsid w:val="001B3CA7"/>
    <w:rsid w:val="001B3FED"/>
    <w:rsid w:val="001B4084"/>
    <w:rsid w:val="001B44F4"/>
    <w:rsid w:val="001B4A09"/>
    <w:rsid w:val="001B4AAE"/>
    <w:rsid w:val="001B4BB0"/>
    <w:rsid w:val="001B4BC5"/>
    <w:rsid w:val="001B4BEA"/>
    <w:rsid w:val="001B4E7F"/>
    <w:rsid w:val="001B4F6D"/>
    <w:rsid w:val="001B4FB2"/>
    <w:rsid w:val="001B553B"/>
    <w:rsid w:val="001B5659"/>
    <w:rsid w:val="001B609B"/>
    <w:rsid w:val="001B63D8"/>
    <w:rsid w:val="001B64AD"/>
    <w:rsid w:val="001B6608"/>
    <w:rsid w:val="001B6A8E"/>
    <w:rsid w:val="001B6AFE"/>
    <w:rsid w:val="001B6B78"/>
    <w:rsid w:val="001B6F14"/>
    <w:rsid w:val="001B72C8"/>
    <w:rsid w:val="001B7449"/>
    <w:rsid w:val="001B766D"/>
    <w:rsid w:val="001B7885"/>
    <w:rsid w:val="001B78F9"/>
    <w:rsid w:val="001B7A2B"/>
    <w:rsid w:val="001B7A4F"/>
    <w:rsid w:val="001B7BC7"/>
    <w:rsid w:val="001B7CA0"/>
    <w:rsid w:val="001B7D69"/>
    <w:rsid w:val="001B7DE0"/>
    <w:rsid w:val="001C0158"/>
    <w:rsid w:val="001C0416"/>
    <w:rsid w:val="001C0943"/>
    <w:rsid w:val="001C0954"/>
    <w:rsid w:val="001C1805"/>
    <w:rsid w:val="001C1CC7"/>
    <w:rsid w:val="001C2672"/>
    <w:rsid w:val="001C2676"/>
    <w:rsid w:val="001C3140"/>
    <w:rsid w:val="001C39CF"/>
    <w:rsid w:val="001C3D7C"/>
    <w:rsid w:val="001C3DCD"/>
    <w:rsid w:val="001C42FF"/>
    <w:rsid w:val="001C4421"/>
    <w:rsid w:val="001C4EDE"/>
    <w:rsid w:val="001C4FAC"/>
    <w:rsid w:val="001C54A0"/>
    <w:rsid w:val="001C577B"/>
    <w:rsid w:val="001C57C8"/>
    <w:rsid w:val="001C5957"/>
    <w:rsid w:val="001C59F8"/>
    <w:rsid w:val="001C5A0C"/>
    <w:rsid w:val="001C5C7C"/>
    <w:rsid w:val="001C65C7"/>
    <w:rsid w:val="001C6888"/>
    <w:rsid w:val="001C695D"/>
    <w:rsid w:val="001C6B66"/>
    <w:rsid w:val="001C6C9F"/>
    <w:rsid w:val="001C6ECD"/>
    <w:rsid w:val="001C6F10"/>
    <w:rsid w:val="001C713A"/>
    <w:rsid w:val="001C743F"/>
    <w:rsid w:val="001C763A"/>
    <w:rsid w:val="001C791E"/>
    <w:rsid w:val="001C7D29"/>
    <w:rsid w:val="001D0166"/>
    <w:rsid w:val="001D0367"/>
    <w:rsid w:val="001D054E"/>
    <w:rsid w:val="001D068B"/>
    <w:rsid w:val="001D0D8E"/>
    <w:rsid w:val="001D0E83"/>
    <w:rsid w:val="001D1969"/>
    <w:rsid w:val="001D22F3"/>
    <w:rsid w:val="001D241E"/>
    <w:rsid w:val="001D2C95"/>
    <w:rsid w:val="001D2CBE"/>
    <w:rsid w:val="001D2ECC"/>
    <w:rsid w:val="001D3C14"/>
    <w:rsid w:val="001D51AC"/>
    <w:rsid w:val="001D5672"/>
    <w:rsid w:val="001D5B04"/>
    <w:rsid w:val="001D5CB1"/>
    <w:rsid w:val="001D6255"/>
    <w:rsid w:val="001D653A"/>
    <w:rsid w:val="001D6566"/>
    <w:rsid w:val="001D6B6C"/>
    <w:rsid w:val="001D6BB7"/>
    <w:rsid w:val="001D7154"/>
    <w:rsid w:val="001D71B2"/>
    <w:rsid w:val="001D73FB"/>
    <w:rsid w:val="001D74B3"/>
    <w:rsid w:val="001D77E3"/>
    <w:rsid w:val="001D7846"/>
    <w:rsid w:val="001D7DAB"/>
    <w:rsid w:val="001D7F6D"/>
    <w:rsid w:val="001E03FF"/>
    <w:rsid w:val="001E0650"/>
    <w:rsid w:val="001E06FF"/>
    <w:rsid w:val="001E1137"/>
    <w:rsid w:val="001E113A"/>
    <w:rsid w:val="001E13AC"/>
    <w:rsid w:val="001E1518"/>
    <w:rsid w:val="001E1C00"/>
    <w:rsid w:val="001E1FC1"/>
    <w:rsid w:val="001E207B"/>
    <w:rsid w:val="001E235D"/>
    <w:rsid w:val="001E23E1"/>
    <w:rsid w:val="001E255A"/>
    <w:rsid w:val="001E26AE"/>
    <w:rsid w:val="001E2876"/>
    <w:rsid w:val="001E2913"/>
    <w:rsid w:val="001E29D9"/>
    <w:rsid w:val="001E2B06"/>
    <w:rsid w:val="001E2D4B"/>
    <w:rsid w:val="001E309B"/>
    <w:rsid w:val="001E375B"/>
    <w:rsid w:val="001E440A"/>
    <w:rsid w:val="001E4724"/>
    <w:rsid w:val="001E52AC"/>
    <w:rsid w:val="001E5401"/>
    <w:rsid w:val="001E559B"/>
    <w:rsid w:val="001E566B"/>
    <w:rsid w:val="001E5780"/>
    <w:rsid w:val="001E594B"/>
    <w:rsid w:val="001E595C"/>
    <w:rsid w:val="001E5FDD"/>
    <w:rsid w:val="001E6387"/>
    <w:rsid w:val="001E64D0"/>
    <w:rsid w:val="001E6805"/>
    <w:rsid w:val="001E6A1C"/>
    <w:rsid w:val="001E6C25"/>
    <w:rsid w:val="001E6C8D"/>
    <w:rsid w:val="001E6CDA"/>
    <w:rsid w:val="001E6D5F"/>
    <w:rsid w:val="001E7825"/>
    <w:rsid w:val="001E793F"/>
    <w:rsid w:val="001E795A"/>
    <w:rsid w:val="001E7999"/>
    <w:rsid w:val="001E7DD7"/>
    <w:rsid w:val="001E7E11"/>
    <w:rsid w:val="001E7E12"/>
    <w:rsid w:val="001E7F29"/>
    <w:rsid w:val="001F0527"/>
    <w:rsid w:val="001F0B08"/>
    <w:rsid w:val="001F0CBD"/>
    <w:rsid w:val="001F1014"/>
    <w:rsid w:val="001F14F8"/>
    <w:rsid w:val="001F18C1"/>
    <w:rsid w:val="001F1999"/>
    <w:rsid w:val="001F1ABE"/>
    <w:rsid w:val="001F1C3A"/>
    <w:rsid w:val="001F1DFF"/>
    <w:rsid w:val="001F1EA2"/>
    <w:rsid w:val="001F2DD7"/>
    <w:rsid w:val="001F2F5A"/>
    <w:rsid w:val="001F3126"/>
    <w:rsid w:val="001F353D"/>
    <w:rsid w:val="001F3CFD"/>
    <w:rsid w:val="001F4254"/>
    <w:rsid w:val="001F4262"/>
    <w:rsid w:val="001F4796"/>
    <w:rsid w:val="001F4974"/>
    <w:rsid w:val="001F4A17"/>
    <w:rsid w:val="001F4CE6"/>
    <w:rsid w:val="001F4F1A"/>
    <w:rsid w:val="001F5172"/>
    <w:rsid w:val="001F5370"/>
    <w:rsid w:val="001F5801"/>
    <w:rsid w:val="001F5A39"/>
    <w:rsid w:val="001F5E2A"/>
    <w:rsid w:val="001F5EAD"/>
    <w:rsid w:val="001F600B"/>
    <w:rsid w:val="001F62C4"/>
    <w:rsid w:val="001F642E"/>
    <w:rsid w:val="001F66A4"/>
    <w:rsid w:val="001F6744"/>
    <w:rsid w:val="001F677B"/>
    <w:rsid w:val="001F6839"/>
    <w:rsid w:val="001F68CB"/>
    <w:rsid w:val="001F69D5"/>
    <w:rsid w:val="001F6B60"/>
    <w:rsid w:val="001F6BC1"/>
    <w:rsid w:val="001F7858"/>
    <w:rsid w:val="001F7A78"/>
    <w:rsid w:val="001F7B8F"/>
    <w:rsid w:val="001F7C09"/>
    <w:rsid w:val="001F7C28"/>
    <w:rsid w:val="00200A5B"/>
    <w:rsid w:val="00200D96"/>
    <w:rsid w:val="00200EF9"/>
    <w:rsid w:val="00201160"/>
    <w:rsid w:val="00201390"/>
    <w:rsid w:val="0020147D"/>
    <w:rsid w:val="00201DD4"/>
    <w:rsid w:val="00202220"/>
    <w:rsid w:val="002024FC"/>
    <w:rsid w:val="002027CA"/>
    <w:rsid w:val="0020298E"/>
    <w:rsid w:val="002029D7"/>
    <w:rsid w:val="0020355E"/>
    <w:rsid w:val="0020371B"/>
    <w:rsid w:val="00203755"/>
    <w:rsid w:val="00203FA1"/>
    <w:rsid w:val="00203FF1"/>
    <w:rsid w:val="002044A4"/>
    <w:rsid w:val="002044B0"/>
    <w:rsid w:val="00204552"/>
    <w:rsid w:val="002047D2"/>
    <w:rsid w:val="00204E68"/>
    <w:rsid w:val="00204F02"/>
    <w:rsid w:val="00204FC5"/>
    <w:rsid w:val="002051F0"/>
    <w:rsid w:val="00205430"/>
    <w:rsid w:val="00205689"/>
    <w:rsid w:val="0020569F"/>
    <w:rsid w:val="0020576A"/>
    <w:rsid w:val="00206211"/>
    <w:rsid w:val="002063FD"/>
    <w:rsid w:val="00206691"/>
    <w:rsid w:val="002066CE"/>
    <w:rsid w:val="0020688B"/>
    <w:rsid w:val="00206B17"/>
    <w:rsid w:val="00206C12"/>
    <w:rsid w:val="00206C43"/>
    <w:rsid w:val="00206C5A"/>
    <w:rsid w:val="00206ED6"/>
    <w:rsid w:val="0020763B"/>
    <w:rsid w:val="00210023"/>
    <w:rsid w:val="002102DC"/>
    <w:rsid w:val="002105D6"/>
    <w:rsid w:val="00210CF0"/>
    <w:rsid w:val="00210E2C"/>
    <w:rsid w:val="00211160"/>
    <w:rsid w:val="0021126A"/>
    <w:rsid w:val="0021159D"/>
    <w:rsid w:val="002115C0"/>
    <w:rsid w:val="00211BF5"/>
    <w:rsid w:val="00211D0F"/>
    <w:rsid w:val="00211ECB"/>
    <w:rsid w:val="00211F13"/>
    <w:rsid w:val="002120C0"/>
    <w:rsid w:val="0021234F"/>
    <w:rsid w:val="0021251C"/>
    <w:rsid w:val="00212872"/>
    <w:rsid w:val="002128AE"/>
    <w:rsid w:val="00212DB9"/>
    <w:rsid w:val="00212F0B"/>
    <w:rsid w:val="00213773"/>
    <w:rsid w:val="00213B4B"/>
    <w:rsid w:val="00213CF4"/>
    <w:rsid w:val="00214978"/>
    <w:rsid w:val="00214B40"/>
    <w:rsid w:val="00214B47"/>
    <w:rsid w:val="00214DA7"/>
    <w:rsid w:val="00215172"/>
    <w:rsid w:val="00215193"/>
    <w:rsid w:val="002151CD"/>
    <w:rsid w:val="00215234"/>
    <w:rsid w:val="002153AE"/>
    <w:rsid w:val="0021553D"/>
    <w:rsid w:val="0021608F"/>
    <w:rsid w:val="0021667A"/>
    <w:rsid w:val="00216E4B"/>
    <w:rsid w:val="00216E93"/>
    <w:rsid w:val="00216E99"/>
    <w:rsid w:val="002173EE"/>
    <w:rsid w:val="0021768F"/>
    <w:rsid w:val="002177A8"/>
    <w:rsid w:val="00217BD4"/>
    <w:rsid w:val="002202C9"/>
    <w:rsid w:val="0022058F"/>
    <w:rsid w:val="002207D0"/>
    <w:rsid w:val="00220B96"/>
    <w:rsid w:val="00220D9D"/>
    <w:rsid w:val="0022168C"/>
    <w:rsid w:val="0022179B"/>
    <w:rsid w:val="00221C75"/>
    <w:rsid w:val="002225BD"/>
    <w:rsid w:val="00222781"/>
    <w:rsid w:val="002228C6"/>
    <w:rsid w:val="00222924"/>
    <w:rsid w:val="002236D5"/>
    <w:rsid w:val="00223FDD"/>
    <w:rsid w:val="0022401F"/>
    <w:rsid w:val="002245C1"/>
    <w:rsid w:val="002246C0"/>
    <w:rsid w:val="00224869"/>
    <w:rsid w:val="00224A43"/>
    <w:rsid w:val="00224FBB"/>
    <w:rsid w:val="002251EC"/>
    <w:rsid w:val="00225786"/>
    <w:rsid w:val="00225A63"/>
    <w:rsid w:val="00225CA1"/>
    <w:rsid w:val="0022606A"/>
    <w:rsid w:val="0022678D"/>
    <w:rsid w:val="00226B9E"/>
    <w:rsid w:val="00226BC5"/>
    <w:rsid w:val="0022733E"/>
    <w:rsid w:val="0022748E"/>
    <w:rsid w:val="00227858"/>
    <w:rsid w:val="00227BD0"/>
    <w:rsid w:val="00227E22"/>
    <w:rsid w:val="00227E96"/>
    <w:rsid w:val="00230327"/>
    <w:rsid w:val="00230354"/>
    <w:rsid w:val="00230533"/>
    <w:rsid w:val="002307FA"/>
    <w:rsid w:val="00230995"/>
    <w:rsid w:val="00230ADF"/>
    <w:rsid w:val="00230CBB"/>
    <w:rsid w:val="00230F27"/>
    <w:rsid w:val="00230FAB"/>
    <w:rsid w:val="00231385"/>
    <w:rsid w:val="00231770"/>
    <w:rsid w:val="00231875"/>
    <w:rsid w:val="00231B11"/>
    <w:rsid w:val="00231C45"/>
    <w:rsid w:val="00231E7A"/>
    <w:rsid w:val="002320F1"/>
    <w:rsid w:val="00232306"/>
    <w:rsid w:val="00232523"/>
    <w:rsid w:val="0023253C"/>
    <w:rsid w:val="002327BF"/>
    <w:rsid w:val="00232D18"/>
    <w:rsid w:val="00232DB6"/>
    <w:rsid w:val="00232FA2"/>
    <w:rsid w:val="002333E7"/>
    <w:rsid w:val="00233594"/>
    <w:rsid w:val="002337CE"/>
    <w:rsid w:val="00233AAE"/>
    <w:rsid w:val="00233F08"/>
    <w:rsid w:val="002344C1"/>
    <w:rsid w:val="002345FD"/>
    <w:rsid w:val="00234667"/>
    <w:rsid w:val="00235184"/>
    <w:rsid w:val="0023522E"/>
    <w:rsid w:val="0023567D"/>
    <w:rsid w:val="0023595B"/>
    <w:rsid w:val="00235F67"/>
    <w:rsid w:val="002360AF"/>
    <w:rsid w:val="0023634A"/>
    <w:rsid w:val="0023635D"/>
    <w:rsid w:val="00236442"/>
    <w:rsid w:val="002365C6"/>
    <w:rsid w:val="002365EB"/>
    <w:rsid w:val="002368CA"/>
    <w:rsid w:val="00236F0F"/>
    <w:rsid w:val="00237056"/>
    <w:rsid w:val="00237234"/>
    <w:rsid w:val="0023743F"/>
    <w:rsid w:val="002377E1"/>
    <w:rsid w:val="002379E8"/>
    <w:rsid w:val="00237D0B"/>
    <w:rsid w:val="00237DFD"/>
    <w:rsid w:val="0024023C"/>
    <w:rsid w:val="002410D5"/>
    <w:rsid w:val="0024178A"/>
    <w:rsid w:val="0024187A"/>
    <w:rsid w:val="002419CB"/>
    <w:rsid w:val="00241B2A"/>
    <w:rsid w:val="00241BA5"/>
    <w:rsid w:val="00241CA4"/>
    <w:rsid w:val="00242648"/>
    <w:rsid w:val="002427F2"/>
    <w:rsid w:val="0024292D"/>
    <w:rsid w:val="00243451"/>
    <w:rsid w:val="002434EB"/>
    <w:rsid w:val="00243782"/>
    <w:rsid w:val="002440D0"/>
    <w:rsid w:val="00244235"/>
    <w:rsid w:val="0024479C"/>
    <w:rsid w:val="00244901"/>
    <w:rsid w:val="00244BCF"/>
    <w:rsid w:val="00244E23"/>
    <w:rsid w:val="00244F47"/>
    <w:rsid w:val="002451B2"/>
    <w:rsid w:val="00245315"/>
    <w:rsid w:val="002455DC"/>
    <w:rsid w:val="00245753"/>
    <w:rsid w:val="00245C02"/>
    <w:rsid w:val="00246277"/>
    <w:rsid w:val="00246296"/>
    <w:rsid w:val="00246530"/>
    <w:rsid w:val="0024683E"/>
    <w:rsid w:val="002468EA"/>
    <w:rsid w:val="00246B26"/>
    <w:rsid w:val="00247232"/>
    <w:rsid w:val="00247382"/>
    <w:rsid w:val="00247F8F"/>
    <w:rsid w:val="002502DC"/>
    <w:rsid w:val="0025035C"/>
    <w:rsid w:val="002503E7"/>
    <w:rsid w:val="00250457"/>
    <w:rsid w:val="0025066B"/>
    <w:rsid w:val="0025079F"/>
    <w:rsid w:val="00250B8C"/>
    <w:rsid w:val="00250C9D"/>
    <w:rsid w:val="00251E1B"/>
    <w:rsid w:val="00251E47"/>
    <w:rsid w:val="00252375"/>
    <w:rsid w:val="002524DA"/>
    <w:rsid w:val="002526CF"/>
    <w:rsid w:val="002527D0"/>
    <w:rsid w:val="00252BE6"/>
    <w:rsid w:val="00252E41"/>
    <w:rsid w:val="00253762"/>
    <w:rsid w:val="00253764"/>
    <w:rsid w:val="0025378C"/>
    <w:rsid w:val="00253F10"/>
    <w:rsid w:val="00254683"/>
    <w:rsid w:val="00254C7E"/>
    <w:rsid w:val="00255637"/>
    <w:rsid w:val="00255A5B"/>
    <w:rsid w:val="002560CB"/>
    <w:rsid w:val="002564D4"/>
    <w:rsid w:val="00256796"/>
    <w:rsid w:val="00256D3C"/>
    <w:rsid w:val="00256F14"/>
    <w:rsid w:val="00256FC1"/>
    <w:rsid w:val="00257314"/>
    <w:rsid w:val="0025769D"/>
    <w:rsid w:val="002577BE"/>
    <w:rsid w:val="00257982"/>
    <w:rsid w:val="00257C1A"/>
    <w:rsid w:val="00257D9D"/>
    <w:rsid w:val="00260894"/>
    <w:rsid w:val="00260A61"/>
    <w:rsid w:val="00260DE8"/>
    <w:rsid w:val="00261011"/>
    <w:rsid w:val="0026108C"/>
    <w:rsid w:val="0026114C"/>
    <w:rsid w:val="0026135D"/>
    <w:rsid w:val="002618DB"/>
    <w:rsid w:val="00261E02"/>
    <w:rsid w:val="002620F0"/>
    <w:rsid w:val="00262473"/>
    <w:rsid w:val="002626E2"/>
    <w:rsid w:val="00262874"/>
    <w:rsid w:val="0026296E"/>
    <w:rsid w:val="00262997"/>
    <w:rsid w:val="002629F0"/>
    <w:rsid w:val="00262A0A"/>
    <w:rsid w:val="00262AD7"/>
    <w:rsid w:val="00262CBC"/>
    <w:rsid w:val="00263243"/>
    <w:rsid w:val="0026330B"/>
    <w:rsid w:val="002637E6"/>
    <w:rsid w:val="0026444B"/>
    <w:rsid w:val="002645F2"/>
    <w:rsid w:val="00264805"/>
    <w:rsid w:val="00264C37"/>
    <w:rsid w:val="00264F48"/>
    <w:rsid w:val="00264F8C"/>
    <w:rsid w:val="0026511B"/>
    <w:rsid w:val="0026524B"/>
    <w:rsid w:val="00265306"/>
    <w:rsid w:val="00265312"/>
    <w:rsid w:val="0026542F"/>
    <w:rsid w:val="0026571D"/>
    <w:rsid w:val="002657B3"/>
    <w:rsid w:val="00265A03"/>
    <w:rsid w:val="00266008"/>
    <w:rsid w:val="002662F1"/>
    <w:rsid w:val="002664FD"/>
    <w:rsid w:val="00266AD4"/>
    <w:rsid w:val="00266B75"/>
    <w:rsid w:val="002670ED"/>
    <w:rsid w:val="00267296"/>
    <w:rsid w:val="002676CA"/>
    <w:rsid w:val="00267F25"/>
    <w:rsid w:val="002702E6"/>
    <w:rsid w:val="0027034E"/>
    <w:rsid w:val="0027065B"/>
    <w:rsid w:val="002707BA"/>
    <w:rsid w:val="00270890"/>
    <w:rsid w:val="00270C63"/>
    <w:rsid w:val="00270E90"/>
    <w:rsid w:val="00271173"/>
    <w:rsid w:val="00271190"/>
    <w:rsid w:val="00271198"/>
    <w:rsid w:val="002717E7"/>
    <w:rsid w:val="00271A19"/>
    <w:rsid w:val="00271AA8"/>
    <w:rsid w:val="00271ABE"/>
    <w:rsid w:val="00271B15"/>
    <w:rsid w:val="00271B73"/>
    <w:rsid w:val="00271D45"/>
    <w:rsid w:val="0027237F"/>
    <w:rsid w:val="00272DA7"/>
    <w:rsid w:val="00272EBF"/>
    <w:rsid w:val="002730B1"/>
    <w:rsid w:val="0027352D"/>
    <w:rsid w:val="002739A9"/>
    <w:rsid w:val="0027405B"/>
    <w:rsid w:val="00274ABD"/>
    <w:rsid w:val="00274C7D"/>
    <w:rsid w:val="00274F23"/>
    <w:rsid w:val="00274F64"/>
    <w:rsid w:val="002751B5"/>
    <w:rsid w:val="002753EE"/>
    <w:rsid w:val="00276171"/>
    <w:rsid w:val="0027619A"/>
    <w:rsid w:val="00276266"/>
    <w:rsid w:val="002763B9"/>
    <w:rsid w:val="002766AC"/>
    <w:rsid w:val="002767CD"/>
    <w:rsid w:val="00276C5F"/>
    <w:rsid w:val="00276E6A"/>
    <w:rsid w:val="002772D8"/>
    <w:rsid w:val="00277348"/>
    <w:rsid w:val="002776C2"/>
    <w:rsid w:val="00277759"/>
    <w:rsid w:val="00277DD6"/>
    <w:rsid w:val="002801EA"/>
    <w:rsid w:val="00280220"/>
    <w:rsid w:val="00280365"/>
    <w:rsid w:val="00280616"/>
    <w:rsid w:val="00280BC9"/>
    <w:rsid w:val="00280DD8"/>
    <w:rsid w:val="00281078"/>
    <w:rsid w:val="002814D4"/>
    <w:rsid w:val="002818B2"/>
    <w:rsid w:val="002818E7"/>
    <w:rsid w:val="00281954"/>
    <w:rsid w:val="00281C32"/>
    <w:rsid w:val="00281C8C"/>
    <w:rsid w:val="0028209D"/>
    <w:rsid w:val="00282370"/>
    <w:rsid w:val="00282435"/>
    <w:rsid w:val="002828C4"/>
    <w:rsid w:val="0028299F"/>
    <w:rsid w:val="002829B0"/>
    <w:rsid w:val="00282E17"/>
    <w:rsid w:val="002833F4"/>
    <w:rsid w:val="00283689"/>
    <w:rsid w:val="00283C06"/>
    <w:rsid w:val="00283E0D"/>
    <w:rsid w:val="0028406E"/>
    <w:rsid w:val="00284401"/>
    <w:rsid w:val="002847C3"/>
    <w:rsid w:val="0028490E"/>
    <w:rsid w:val="00284A09"/>
    <w:rsid w:val="00284F4E"/>
    <w:rsid w:val="0028505A"/>
    <w:rsid w:val="00285115"/>
    <w:rsid w:val="00285AAB"/>
    <w:rsid w:val="00285BD7"/>
    <w:rsid w:val="00285BF4"/>
    <w:rsid w:val="002864FA"/>
    <w:rsid w:val="00286678"/>
    <w:rsid w:val="00286936"/>
    <w:rsid w:val="00286E11"/>
    <w:rsid w:val="0028751D"/>
    <w:rsid w:val="00287627"/>
    <w:rsid w:val="0029062A"/>
    <w:rsid w:val="002908DC"/>
    <w:rsid w:val="0029092E"/>
    <w:rsid w:val="00290A02"/>
    <w:rsid w:val="00290AC1"/>
    <w:rsid w:val="00290D6C"/>
    <w:rsid w:val="00290EB8"/>
    <w:rsid w:val="00290FC7"/>
    <w:rsid w:val="00291124"/>
    <w:rsid w:val="0029148A"/>
    <w:rsid w:val="0029175E"/>
    <w:rsid w:val="0029176C"/>
    <w:rsid w:val="00291927"/>
    <w:rsid w:val="00291B40"/>
    <w:rsid w:val="00291B91"/>
    <w:rsid w:val="00291D39"/>
    <w:rsid w:val="00291F2B"/>
    <w:rsid w:val="00292285"/>
    <w:rsid w:val="002922E1"/>
    <w:rsid w:val="002925A2"/>
    <w:rsid w:val="00292CFE"/>
    <w:rsid w:val="00293832"/>
    <w:rsid w:val="00293AA0"/>
    <w:rsid w:val="00293BC3"/>
    <w:rsid w:val="00293D0A"/>
    <w:rsid w:val="00293F1A"/>
    <w:rsid w:val="0029417C"/>
    <w:rsid w:val="00294235"/>
    <w:rsid w:val="0029435C"/>
    <w:rsid w:val="00294ACD"/>
    <w:rsid w:val="00294EE3"/>
    <w:rsid w:val="00295A3C"/>
    <w:rsid w:val="00295C99"/>
    <w:rsid w:val="002965EC"/>
    <w:rsid w:val="0029666A"/>
    <w:rsid w:val="00296B00"/>
    <w:rsid w:val="00296B03"/>
    <w:rsid w:val="00296CB2"/>
    <w:rsid w:val="0029708D"/>
    <w:rsid w:val="0029709E"/>
    <w:rsid w:val="002970C4"/>
    <w:rsid w:val="00297442"/>
    <w:rsid w:val="00297734"/>
    <w:rsid w:val="00297C74"/>
    <w:rsid w:val="00297E07"/>
    <w:rsid w:val="00297EAD"/>
    <w:rsid w:val="00297F56"/>
    <w:rsid w:val="002A0464"/>
    <w:rsid w:val="002A0486"/>
    <w:rsid w:val="002A05FE"/>
    <w:rsid w:val="002A09E0"/>
    <w:rsid w:val="002A0A8D"/>
    <w:rsid w:val="002A0C63"/>
    <w:rsid w:val="002A14D9"/>
    <w:rsid w:val="002A1A76"/>
    <w:rsid w:val="002A1B43"/>
    <w:rsid w:val="002A1D40"/>
    <w:rsid w:val="002A1E2C"/>
    <w:rsid w:val="002A22A5"/>
    <w:rsid w:val="002A22B1"/>
    <w:rsid w:val="002A22DE"/>
    <w:rsid w:val="002A22F4"/>
    <w:rsid w:val="002A25CF"/>
    <w:rsid w:val="002A2727"/>
    <w:rsid w:val="002A2D53"/>
    <w:rsid w:val="002A2DA2"/>
    <w:rsid w:val="002A3552"/>
    <w:rsid w:val="002A3643"/>
    <w:rsid w:val="002A3AEE"/>
    <w:rsid w:val="002A3B28"/>
    <w:rsid w:val="002A3C9D"/>
    <w:rsid w:val="002A4166"/>
    <w:rsid w:val="002A4898"/>
    <w:rsid w:val="002A4C09"/>
    <w:rsid w:val="002A4E4C"/>
    <w:rsid w:val="002A568F"/>
    <w:rsid w:val="002A58AD"/>
    <w:rsid w:val="002A5D14"/>
    <w:rsid w:val="002A6A34"/>
    <w:rsid w:val="002A6A66"/>
    <w:rsid w:val="002A6AFF"/>
    <w:rsid w:val="002A6BC5"/>
    <w:rsid w:val="002A6E21"/>
    <w:rsid w:val="002A6EA3"/>
    <w:rsid w:val="002A7821"/>
    <w:rsid w:val="002A7DFD"/>
    <w:rsid w:val="002B01AB"/>
    <w:rsid w:val="002B0230"/>
    <w:rsid w:val="002B02A4"/>
    <w:rsid w:val="002B03A5"/>
    <w:rsid w:val="002B06C7"/>
    <w:rsid w:val="002B0C59"/>
    <w:rsid w:val="002B0F63"/>
    <w:rsid w:val="002B10C0"/>
    <w:rsid w:val="002B1134"/>
    <w:rsid w:val="002B17F2"/>
    <w:rsid w:val="002B1D54"/>
    <w:rsid w:val="002B2A13"/>
    <w:rsid w:val="002B2B8D"/>
    <w:rsid w:val="002B2D0C"/>
    <w:rsid w:val="002B2D84"/>
    <w:rsid w:val="002B2E09"/>
    <w:rsid w:val="002B2FC4"/>
    <w:rsid w:val="002B364D"/>
    <w:rsid w:val="002B367E"/>
    <w:rsid w:val="002B3D75"/>
    <w:rsid w:val="002B415D"/>
    <w:rsid w:val="002B43A0"/>
    <w:rsid w:val="002B4493"/>
    <w:rsid w:val="002B44FE"/>
    <w:rsid w:val="002B4C0A"/>
    <w:rsid w:val="002B4CA0"/>
    <w:rsid w:val="002B53B9"/>
    <w:rsid w:val="002B5B32"/>
    <w:rsid w:val="002B63C6"/>
    <w:rsid w:val="002B6647"/>
    <w:rsid w:val="002B6930"/>
    <w:rsid w:val="002B7366"/>
    <w:rsid w:val="002B76B1"/>
    <w:rsid w:val="002B7932"/>
    <w:rsid w:val="002B7B61"/>
    <w:rsid w:val="002B7E8E"/>
    <w:rsid w:val="002C000B"/>
    <w:rsid w:val="002C0180"/>
    <w:rsid w:val="002C0622"/>
    <w:rsid w:val="002C0909"/>
    <w:rsid w:val="002C0A35"/>
    <w:rsid w:val="002C0AD8"/>
    <w:rsid w:val="002C100A"/>
    <w:rsid w:val="002C14B2"/>
    <w:rsid w:val="002C15F7"/>
    <w:rsid w:val="002C19AE"/>
    <w:rsid w:val="002C1A9D"/>
    <w:rsid w:val="002C1B8C"/>
    <w:rsid w:val="002C1E3A"/>
    <w:rsid w:val="002C1E70"/>
    <w:rsid w:val="002C1F7D"/>
    <w:rsid w:val="002C24AB"/>
    <w:rsid w:val="002C26DC"/>
    <w:rsid w:val="002C343A"/>
    <w:rsid w:val="002C3705"/>
    <w:rsid w:val="002C395E"/>
    <w:rsid w:val="002C3D99"/>
    <w:rsid w:val="002C4519"/>
    <w:rsid w:val="002C4564"/>
    <w:rsid w:val="002C4727"/>
    <w:rsid w:val="002C4868"/>
    <w:rsid w:val="002C4DE3"/>
    <w:rsid w:val="002C5266"/>
    <w:rsid w:val="002C527E"/>
    <w:rsid w:val="002C591A"/>
    <w:rsid w:val="002C6140"/>
    <w:rsid w:val="002C6903"/>
    <w:rsid w:val="002C6914"/>
    <w:rsid w:val="002C6A8B"/>
    <w:rsid w:val="002C718D"/>
    <w:rsid w:val="002C7497"/>
    <w:rsid w:val="002C7A5F"/>
    <w:rsid w:val="002C7BEE"/>
    <w:rsid w:val="002C7D88"/>
    <w:rsid w:val="002C7EA1"/>
    <w:rsid w:val="002D0130"/>
    <w:rsid w:val="002D0414"/>
    <w:rsid w:val="002D04FB"/>
    <w:rsid w:val="002D071C"/>
    <w:rsid w:val="002D0765"/>
    <w:rsid w:val="002D076F"/>
    <w:rsid w:val="002D0997"/>
    <w:rsid w:val="002D0D79"/>
    <w:rsid w:val="002D0DAE"/>
    <w:rsid w:val="002D1210"/>
    <w:rsid w:val="002D17C5"/>
    <w:rsid w:val="002D1FC7"/>
    <w:rsid w:val="002D202F"/>
    <w:rsid w:val="002D20FE"/>
    <w:rsid w:val="002D22AE"/>
    <w:rsid w:val="002D22FF"/>
    <w:rsid w:val="002D2380"/>
    <w:rsid w:val="002D2809"/>
    <w:rsid w:val="002D3041"/>
    <w:rsid w:val="002D32C2"/>
    <w:rsid w:val="002D3308"/>
    <w:rsid w:val="002D3779"/>
    <w:rsid w:val="002D37A3"/>
    <w:rsid w:val="002D3976"/>
    <w:rsid w:val="002D3FC0"/>
    <w:rsid w:val="002D40CD"/>
    <w:rsid w:val="002D4199"/>
    <w:rsid w:val="002D41AF"/>
    <w:rsid w:val="002D41FD"/>
    <w:rsid w:val="002D423A"/>
    <w:rsid w:val="002D4A03"/>
    <w:rsid w:val="002D5162"/>
    <w:rsid w:val="002D52BA"/>
    <w:rsid w:val="002D5729"/>
    <w:rsid w:val="002D57CC"/>
    <w:rsid w:val="002D5BE9"/>
    <w:rsid w:val="002D5FFA"/>
    <w:rsid w:val="002D61BD"/>
    <w:rsid w:val="002D6B69"/>
    <w:rsid w:val="002D6EE5"/>
    <w:rsid w:val="002D79EA"/>
    <w:rsid w:val="002D7BFA"/>
    <w:rsid w:val="002D7F0A"/>
    <w:rsid w:val="002E00E4"/>
    <w:rsid w:val="002E0128"/>
    <w:rsid w:val="002E044A"/>
    <w:rsid w:val="002E055F"/>
    <w:rsid w:val="002E0589"/>
    <w:rsid w:val="002E070F"/>
    <w:rsid w:val="002E0937"/>
    <w:rsid w:val="002E0D86"/>
    <w:rsid w:val="002E0E7C"/>
    <w:rsid w:val="002E1850"/>
    <w:rsid w:val="002E1A2A"/>
    <w:rsid w:val="002E1E1D"/>
    <w:rsid w:val="002E225F"/>
    <w:rsid w:val="002E26B2"/>
    <w:rsid w:val="002E2869"/>
    <w:rsid w:val="002E2A46"/>
    <w:rsid w:val="002E3A0D"/>
    <w:rsid w:val="002E3EC5"/>
    <w:rsid w:val="002E4042"/>
    <w:rsid w:val="002E438A"/>
    <w:rsid w:val="002E4B63"/>
    <w:rsid w:val="002E4EAF"/>
    <w:rsid w:val="002E500C"/>
    <w:rsid w:val="002E559F"/>
    <w:rsid w:val="002E5A45"/>
    <w:rsid w:val="002E5C31"/>
    <w:rsid w:val="002E5EA4"/>
    <w:rsid w:val="002E6192"/>
    <w:rsid w:val="002E620E"/>
    <w:rsid w:val="002E621F"/>
    <w:rsid w:val="002E6419"/>
    <w:rsid w:val="002E6517"/>
    <w:rsid w:val="002E651C"/>
    <w:rsid w:val="002E652A"/>
    <w:rsid w:val="002E6654"/>
    <w:rsid w:val="002E6B3F"/>
    <w:rsid w:val="002E6B86"/>
    <w:rsid w:val="002E6EF8"/>
    <w:rsid w:val="002E7049"/>
    <w:rsid w:val="002E708E"/>
    <w:rsid w:val="002E7256"/>
    <w:rsid w:val="002E754D"/>
    <w:rsid w:val="002E76EB"/>
    <w:rsid w:val="002E77E6"/>
    <w:rsid w:val="002E7824"/>
    <w:rsid w:val="002E78CF"/>
    <w:rsid w:val="002E791A"/>
    <w:rsid w:val="002E79E2"/>
    <w:rsid w:val="002F0482"/>
    <w:rsid w:val="002F0B26"/>
    <w:rsid w:val="002F142F"/>
    <w:rsid w:val="002F18FD"/>
    <w:rsid w:val="002F1A5A"/>
    <w:rsid w:val="002F1A82"/>
    <w:rsid w:val="002F2494"/>
    <w:rsid w:val="002F2A61"/>
    <w:rsid w:val="002F2B6F"/>
    <w:rsid w:val="002F2DD3"/>
    <w:rsid w:val="002F32CE"/>
    <w:rsid w:val="002F3722"/>
    <w:rsid w:val="002F3B44"/>
    <w:rsid w:val="002F42A2"/>
    <w:rsid w:val="002F45BA"/>
    <w:rsid w:val="002F48CD"/>
    <w:rsid w:val="002F4914"/>
    <w:rsid w:val="002F499E"/>
    <w:rsid w:val="002F4A8B"/>
    <w:rsid w:val="002F5411"/>
    <w:rsid w:val="002F5B97"/>
    <w:rsid w:val="002F61C8"/>
    <w:rsid w:val="002F6208"/>
    <w:rsid w:val="002F624B"/>
    <w:rsid w:val="002F6478"/>
    <w:rsid w:val="002F6DB2"/>
    <w:rsid w:val="002F6E7F"/>
    <w:rsid w:val="002F700D"/>
    <w:rsid w:val="002F7162"/>
    <w:rsid w:val="002F73A6"/>
    <w:rsid w:val="002F7489"/>
    <w:rsid w:val="002F74A2"/>
    <w:rsid w:val="002F759A"/>
    <w:rsid w:val="002F7754"/>
    <w:rsid w:val="002F77A0"/>
    <w:rsid w:val="002F7B51"/>
    <w:rsid w:val="002F7B63"/>
    <w:rsid w:val="002F7D33"/>
    <w:rsid w:val="002F7DC1"/>
    <w:rsid w:val="003000A3"/>
    <w:rsid w:val="003008BF"/>
    <w:rsid w:val="00300FBE"/>
    <w:rsid w:val="0030180C"/>
    <w:rsid w:val="00301959"/>
    <w:rsid w:val="00301968"/>
    <w:rsid w:val="00301CD6"/>
    <w:rsid w:val="003020C3"/>
    <w:rsid w:val="00302108"/>
    <w:rsid w:val="00302454"/>
    <w:rsid w:val="00302786"/>
    <w:rsid w:val="003027B3"/>
    <w:rsid w:val="00302A35"/>
    <w:rsid w:val="00302B9E"/>
    <w:rsid w:val="00303B0D"/>
    <w:rsid w:val="00303C68"/>
    <w:rsid w:val="00303F00"/>
    <w:rsid w:val="00303FA3"/>
    <w:rsid w:val="003043C1"/>
    <w:rsid w:val="003046A0"/>
    <w:rsid w:val="00304863"/>
    <w:rsid w:val="00304AF9"/>
    <w:rsid w:val="003051F3"/>
    <w:rsid w:val="003052B5"/>
    <w:rsid w:val="003053AA"/>
    <w:rsid w:val="003053B3"/>
    <w:rsid w:val="003057EA"/>
    <w:rsid w:val="00305828"/>
    <w:rsid w:val="00305AA5"/>
    <w:rsid w:val="00305D32"/>
    <w:rsid w:val="00305DF7"/>
    <w:rsid w:val="00305E8B"/>
    <w:rsid w:val="00306180"/>
    <w:rsid w:val="00306202"/>
    <w:rsid w:val="003065C9"/>
    <w:rsid w:val="00306611"/>
    <w:rsid w:val="00306A32"/>
    <w:rsid w:val="00306F8C"/>
    <w:rsid w:val="003074E4"/>
    <w:rsid w:val="00307605"/>
    <w:rsid w:val="00307740"/>
    <w:rsid w:val="00307919"/>
    <w:rsid w:val="00307A4B"/>
    <w:rsid w:val="00307B29"/>
    <w:rsid w:val="00307D88"/>
    <w:rsid w:val="003102E1"/>
    <w:rsid w:val="00310351"/>
    <w:rsid w:val="0031071D"/>
    <w:rsid w:val="003107C9"/>
    <w:rsid w:val="003108C9"/>
    <w:rsid w:val="00310A80"/>
    <w:rsid w:val="00310BFB"/>
    <w:rsid w:val="00311123"/>
    <w:rsid w:val="003114BD"/>
    <w:rsid w:val="003119A8"/>
    <w:rsid w:val="00311B12"/>
    <w:rsid w:val="00311BF2"/>
    <w:rsid w:val="00311D6B"/>
    <w:rsid w:val="00312181"/>
    <w:rsid w:val="00312EBD"/>
    <w:rsid w:val="00313569"/>
    <w:rsid w:val="003135E5"/>
    <w:rsid w:val="00313B87"/>
    <w:rsid w:val="00313E9F"/>
    <w:rsid w:val="0031418D"/>
    <w:rsid w:val="0031463F"/>
    <w:rsid w:val="0031475D"/>
    <w:rsid w:val="00314AE0"/>
    <w:rsid w:val="00314F6A"/>
    <w:rsid w:val="00315C70"/>
    <w:rsid w:val="00315E66"/>
    <w:rsid w:val="00315F57"/>
    <w:rsid w:val="0031626F"/>
    <w:rsid w:val="00316E47"/>
    <w:rsid w:val="0031728A"/>
    <w:rsid w:val="003176F2"/>
    <w:rsid w:val="00317862"/>
    <w:rsid w:val="003200CA"/>
    <w:rsid w:val="00320254"/>
    <w:rsid w:val="0032064F"/>
    <w:rsid w:val="003207C5"/>
    <w:rsid w:val="00321081"/>
    <w:rsid w:val="00321189"/>
    <w:rsid w:val="0032149A"/>
    <w:rsid w:val="00321B1B"/>
    <w:rsid w:val="00321D9F"/>
    <w:rsid w:val="00321F02"/>
    <w:rsid w:val="00321F9B"/>
    <w:rsid w:val="0032219E"/>
    <w:rsid w:val="003221F0"/>
    <w:rsid w:val="00322261"/>
    <w:rsid w:val="003224C2"/>
    <w:rsid w:val="003228D0"/>
    <w:rsid w:val="003229AB"/>
    <w:rsid w:val="00322A70"/>
    <w:rsid w:val="00322EA1"/>
    <w:rsid w:val="00322FA7"/>
    <w:rsid w:val="0032311E"/>
    <w:rsid w:val="00323295"/>
    <w:rsid w:val="00323C4D"/>
    <w:rsid w:val="00323C65"/>
    <w:rsid w:val="00323F73"/>
    <w:rsid w:val="003244BB"/>
    <w:rsid w:val="00324675"/>
    <w:rsid w:val="0032470A"/>
    <w:rsid w:val="00324749"/>
    <w:rsid w:val="0032497B"/>
    <w:rsid w:val="00324A22"/>
    <w:rsid w:val="00324A9E"/>
    <w:rsid w:val="00324BCE"/>
    <w:rsid w:val="00324ED7"/>
    <w:rsid w:val="00325129"/>
    <w:rsid w:val="00325209"/>
    <w:rsid w:val="00325A56"/>
    <w:rsid w:val="00325CDB"/>
    <w:rsid w:val="00325ED7"/>
    <w:rsid w:val="003262EC"/>
    <w:rsid w:val="00326D8A"/>
    <w:rsid w:val="00326E00"/>
    <w:rsid w:val="00327561"/>
    <w:rsid w:val="00327A03"/>
    <w:rsid w:val="00327A5C"/>
    <w:rsid w:val="00327BC7"/>
    <w:rsid w:val="00327C59"/>
    <w:rsid w:val="00327CD2"/>
    <w:rsid w:val="00327DD3"/>
    <w:rsid w:val="00330204"/>
    <w:rsid w:val="003304E7"/>
    <w:rsid w:val="003308DA"/>
    <w:rsid w:val="00330B55"/>
    <w:rsid w:val="00330C38"/>
    <w:rsid w:val="00330CD1"/>
    <w:rsid w:val="00330E53"/>
    <w:rsid w:val="0033134A"/>
    <w:rsid w:val="00331633"/>
    <w:rsid w:val="00331781"/>
    <w:rsid w:val="003318FD"/>
    <w:rsid w:val="00331EE1"/>
    <w:rsid w:val="00331FEC"/>
    <w:rsid w:val="0033230B"/>
    <w:rsid w:val="003324D0"/>
    <w:rsid w:val="00332AEE"/>
    <w:rsid w:val="00332E0D"/>
    <w:rsid w:val="00332E47"/>
    <w:rsid w:val="00332F6D"/>
    <w:rsid w:val="00333270"/>
    <w:rsid w:val="00333542"/>
    <w:rsid w:val="003337E3"/>
    <w:rsid w:val="0033390C"/>
    <w:rsid w:val="00333AC0"/>
    <w:rsid w:val="00333E86"/>
    <w:rsid w:val="00333F43"/>
    <w:rsid w:val="003340E2"/>
    <w:rsid w:val="0033417F"/>
    <w:rsid w:val="0033458D"/>
    <w:rsid w:val="00334B88"/>
    <w:rsid w:val="00334E07"/>
    <w:rsid w:val="003353C1"/>
    <w:rsid w:val="00335455"/>
    <w:rsid w:val="00335882"/>
    <w:rsid w:val="00335898"/>
    <w:rsid w:val="003358F3"/>
    <w:rsid w:val="00336154"/>
    <w:rsid w:val="003361C9"/>
    <w:rsid w:val="00336288"/>
    <w:rsid w:val="003366BA"/>
    <w:rsid w:val="00336856"/>
    <w:rsid w:val="003368C0"/>
    <w:rsid w:val="003369F6"/>
    <w:rsid w:val="00336AC4"/>
    <w:rsid w:val="00336CE5"/>
    <w:rsid w:val="00337098"/>
    <w:rsid w:val="00337193"/>
    <w:rsid w:val="003372BB"/>
    <w:rsid w:val="00337348"/>
    <w:rsid w:val="0033735A"/>
    <w:rsid w:val="003376EB"/>
    <w:rsid w:val="00337D43"/>
    <w:rsid w:val="00340B6D"/>
    <w:rsid w:val="00340C50"/>
    <w:rsid w:val="003415B6"/>
    <w:rsid w:val="0034205B"/>
    <w:rsid w:val="00342131"/>
    <w:rsid w:val="003421ED"/>
    <w:rsid w:val="00342385"/>
    <w:rsid w:val="00342548"/>
    <w:rsid w:val="0034281B"/>
    <w:rsid w:val="003428E6"/>
    <w:rsid w:val="003433C7"/>
    <w:rsid w:val="00343594"/>
    <w:rsid w:val="00343862"/>
    <w:rsid w:val="0034390F"/>
    <w:rsid w:val="0034418C"/>
    <w:rsid w:val="003443A7"/>
    <w:rsid w:val="0034450A"/>
    <w:rsid w:val="00344BFF"/>
    <w:rsid w:val="00344DC3"/>
    <w:rsid w:val="00344F38"/>
    <w:rsid w:val="00345653"/>
    <w:rsid w:val="00345847"/>
    <w:rsid w:val="00345E42"/>
    <w:rsid w:val="00345F6A"/>
    <w:rsid w:val="0034602A"/>
    <w:rsid w:val="0034606C"/>
    <w:rsid w:val="00346517"/>
    <w:rsid w:val="003467B8"/>
    <w:rsid w:val="00346829"/>
    <w:rsid w:val="0034697A"/>
    <w:rsid w:val="00346C19"/>
    <w:rsid w:val="00347452"/>
    <w:rsid w:val="0034760B"/>
    <w:rsid w:val="00347653"/>
    <w:rsid w:val="003476D0"/>
    <w:rsid w:val="00347C41"/>
    <w:rsid w:val="00347FF8"/>
    <w:rsid w:val="00349811"/>
    <w:rsid w:val="003503C4"/>
    <w:rsid w:val="00350595"/>
    <w:rsid w:val="00350698"/>
    <w:rsid w:val="0035077E"/>
    <w:rsid w:val="00350815"/>
    <w:rsid w:val="0035098A"/>
    <w:rsid w:val="0035119D"/>
    <w:rsid w:val="00351446"/>
    <w:rsid w:val="003515BF"/>
    <w:rsid w:val="00351B81"/>
    <w:rsid w:val="00351C30"/>
    <w:rsid w:val="0035217E"/>
    <w:rsid w:val="00352500"/>
    <w:rsid w:val="00352600"/>
    <w:rsid w:val="00352779"/>
    <w:rsid w:val="00352C25"/>
    <w:rsid w:val="00352D0E"/>
    <w:rsid w:val="00352EDC"/>
    <w:rsid w:val="00353486"/>
    <w:rsid w:val="003535D9"/>
    <w:rsid w:val="00353A8B"/>
    <w:rsid w:val="00353BA4"/>
    <w:rsid w:val="00353CE4"/>
    <w:rsid w:val="00353D68"/>
    <w:rsid w:val="0035420F"/>
    <w:rsid w:val="0035421E"/>
    <w:rsid w:val="0035488E"/>
    <w:rsid w:val="003549C2"/>
    <w:rsid w:val="00354AE1"/>
    <w:rsid w:val="0035503A"/>
    <w:rsid w:val="00355348"/>
    <w:rsid w:val="0035538D"/>
    <w:rsid w:val="00355C33"/>
    <w:rsid w:val="003565AD"/>
    <w:rsid w:val="00356698"/>
    <w:rsid w:val="003566FC"/>
    <w:rsid w:val="00356A18"/>
    <w:rsid w:val="00356F5D"/>
    <w:rsid w:val="00356F6D"/>
    <w:rsid w:val="003573DB"/>
    <w:rsid w:val="00357698"/>
    <w:rsid w:val="00357779"/>
    <w:rsid w:val="00357BC4"/>
    <w:rsid w:val="003600A9"/>
    <w:rsid w:val="003604F9"/>
    <w:rsid w:val="003609CA"/>
    <w:rsid w:val="00360BDC"/>
    <w:rsid w:val="00360D59"/>
    <w:rsid w:val="00360E7F"/>
    <w:rsid w:val="00360FED"/>
    <w:rsid w:val="003612BC"/>
    <w:rsid w:val="003613B3"/>
    <w:rsid w:val="003616F1"/>
    <w:rsid w:val="0036185F"/>
    <w:rsid w:val="0036190A"/>
    <w:rsid w:val="003619E7"/>
    <w:rsid w:val="00361AFC"/>
    <w:rsid w:val="00361EB2"/>
    <w:rsid w:val="00362074"/>
    <w:rsid w:val="003620C4"/>
    <w:rsid w:val="0036277B"/>
    <w:rsid w:val="003629B7"/>
    <w:rsid w:val="00362C67"/>
    <w:rsid w:val="00362C87"/>
    <w:rsid w:val="00362F9B"/>
    <w:rsid w:val="0036312A"/>
    <w:rsid w:val="00363C97"/>
    <w:rsid w:val="0036409E"/>
    <w:rsid w:val="003640F3"/>
    <w:rsid w:val="00364375"/>
    <w:rsid w:val="00364A9F"/>
    <w:rsid w:val="00364C72"/>
    <w:rsid w:val="00364DFC"/>
    <w:rsid w:val="003650B7"/>
    <w:rsid w:val="00365BAC"/>
    <w:rsid w:val="00365EED"/>
    <w:rsid w:val="00366423"/>
    <w:rsid w:val="003666CB"/>
    <w:rsid w:val="0036702B"/>
    <w:rsid w:val="0036729D"/>
    <w:rsid w:val="00367720"/>
    <w:rsid w:val="0036791F"/>
    <w:rsid w:val="00367AAB"/>
    <w:rsid w:val="00367B0A"/>
    <w:rsid w:val="00367FF8"/>
    <w:rsid w:val="003700F1"/>
    <w:rsid w:val="003706C1"/>
    <w:rsid w:val="00370729"/>
    <w:rsid w:val="003707F7"/>
    <w:rsid w:val="003709F7"/>
    <w:rsid w:val="00370FC6"/>
    <w:rsid w:val="00371072"/>
    <w:rsid w:val="00371287"/>
    <w:rsid w:val="00371294"/>
    <w:rsid w:val="00371736"/>
    <w:rsid w:val="0037175E"/>
    <w:rsid w:val="003719B1"/>
    <w:rsid w:val="00371A42"/>
    <w:rsid w:val="00371E05"/>
    <w:rsid w:val="00371E6D"/>
    <w:rsid w:val="00371EE3"/>
    <w:rsid w:val="00372695"/>
    <w:rsid w:val="003729C0"/>
    <w:rsid w:val="00373302"/>
    <w:rsid w:val="00373D5C"/>
    <w:rsid w:val="00373D97"/>
    <w:rsid w:val="00373E96"/>
    <w:rsid w:val="00374551"/>
    <w:rsid w:val="00374855"/>
    <w:rsid w:val="00374BB7"/>
    <w:rsid w:val="00374DC7"/>
    <w:rsid w:val="0037550E"/>
    <w:rsid w:val="00375979"/>
    <w:rsid w:val="00375CFA"/>
    <w:rsid w:val="00375E61"/>
    <w:rsid w:val="00375E9A"/>
    <w:rsid w:val="00375FD0"/>
    <w:rsid w:val="00376050"/>
    <w:rsid w:val="003762AE"/>
    <w:rsid w:val="003764E6"/>
    <w:rsid w:val="003768F9"/>
    <w:rsid w:val="00376AF7"/>
    <w:rsid w:val="003772CF"/>
    <w:rsid w:val="003778F2"/>
    <w:rsid w:val="00377C67"/>
    <w:rsid w:val="00377D37"/>
    <w:rsid w:val="0038090F"/>
    <w:rsid w:val="00380CD6"/>
    <w:rsid w:val="00381580"/>
    <w:rsid w:val="00381E5E"/>
    <w:rsid w:val="00382023"/>
    <w:rsid w:val="0038223B"/>
    <w:rsid w:val="003824ED"/>
    <w:rsid w:val="003826F7"/>
    <w:rsid w:val="003827CC"/>
    <w:rsid w:val="003828FE"/>
    <w:rsid w:val="00382972"/>
    <w:rsid w:val="00382BD3"/>
    <w:rsid w:val="0038346B"/>
    <w:rsid w:val="00383795"/>
    <w:rsid w:val="00383E01"/>
    <w:rsid w:val="00383EEC"/>
    <w:rsid w:val="0038422D"/>
    <w:rsid w:val="0038457D"/>
    <w:rsid w:val="00384AB6"/>
    <w:rsid w:val="00385026"/>
    <w:rsid w:val="0038523A"/>
    <w:rsid w:val="00385976"/>
    <w:rsid w:val="00385DE5"/>
    <w:rsid w:val="00385ED4"/>
    <w:rsid w:val="0038641E"/>
    <w:rsid w:val="00386500"/>
    <w:rsid w:val="00386A98"/>
    <w:rsid w:val="00386BA5"/>
    <w:rsid w:val="00387411"/>
    <w:rsid w:val="00387869"/>
    <w:rsid w:val="003878FF"/>
    <w:rsid w:val="00387D94"/>
    <w:rsid w:val="00387F2F"/>
    <w:rsid w:val="00390636"/>
    <w:rsid w:val="00390D6A"/>
    <w:rsid w:val="00390E64"/>
    <w:rsid w:val="003918D2"/>
    <w:rsid w:val="00391985"/>
    <w:rsid w:val="00391B68"/>
    <w:rsid w:val="0039202D"/>
    <w:rsid w:val="00392C46"/>
    <w:rsid w:val="00392F30"/>
    <w:rsid w:val="0039371A"/>
    <w:rsid w:val="003937B6"/>
    <w:rsid w:val="00393B74"/>
    <w:rsid w:val="00393D4E"/>
    <w:rsid w:val="00394041"/>
    <w:rsid w:val="003942C7"/>
    <w:rsid w:val="003943AF"/>
    <w:rsid w:val="003945C0"/>
    <w:rsid w:val="00394A8E"/>
    <w:rsid w:val="00394BFA"/>
    <w:rsid w:val="00394EB8"/>
    <w:rsid w:val="0039534C"/>
    <w:rsid w:val="00395395"/>
    <w:rsid w:val="003956E5"/>
    <w:rsid w:val="003959EB"/>
    <w:rsid w:val="00395CD3"/>
    <w:rsid w:val="00395D1A"/>
    <w:rsid w:val="00395D57"/>
    <w:rsid w:val="003960E5"/>
    <w:rsid w:val="00396541"/>
    <w:rsid w:val="0039746F"/>
    <w:rsid w:val="00397EDD"/>
    <w:rsid w:val="003A076F"/>
    <w:rsid w:val="003A0C68"/>
    <w:rsid w:val="003A1352"/>
    <w:rsid w:val="003A1B62"/>
    <w:rsid w:val="003A1E63"/>
    <w:rsid w:val="003A201E"/>
    <w:rsid w:val="003A28AF"/>
    <w:rsid w:val="003A2940"/>
    <w:rsid w:val="003A2A2B"/>
    <w:rsid w:val="003A2A86"/>
    <w:rsid w:val="003A2BBE"/>
    <w:rsid w:val="003A2C8D"/>
    <w:rsid w:val="003A2D1E"/>
    <w:rsid w:val="003A348B"/>
    <w:rsid w:val="003A3498"/>
    <w:rsid w:val="003A41B3"/>
    <w:rsid w:val="003A4246"/>
    <w:rsid w:val="003A4674"/>
    <w:rsid w:val="003A46B5"/>
    <w:rsid w:val="003A4936"/>
    <w:rsid w:val="003A4CAC"/>
    <w:rsid w:val="003A5109"/>
    <w:rsid w:val="003A536D"/>
    <w:rsid w:val="003A5754"/>
    <w:rsid w:val="003A5B59"/>
    <w:rsid w:val="003A6084"/>
    <w:rsid w:val="003A6814"/>
    <w:rsid w:val="003A6B75"/>
    <w:rsid w:val="003A6FB8"/>
    <w:rsid w:val="003A711D"/>
    <w:rsid w:val="003A728D"/>
    <w:rsid w:val="003A73D9"/>
    <w:rsid w:val="003A74DE"/>
    <w:rsid w:val="003A76A3"/>
    <w:rsid w:val="003A76D2"/>
    <w:rsid w:val="003A7851"/>
    <w:rsid w:val="003A797B"/>
    <w:rsid w:val="003A7A02"/>
    <w:rsid w:val="003A7DC5"/>
    <w:rsid w:val="003A7FF4"/>
    <w:rsid w:val="003B003B"/>
    <w:rsid w:val="003B05D9"/>
    <w:rsid w:val="003B08B3"/>
    <w:rsid w:val="003B0AFC"/>
    <w:rsid w:val="003B0C20"/>
    <w:rsid w:val="003B0DE3"/>
    <w:rsid w:val="003B0DE4"/>
    <w:rsid w:val="003B10D0"/>
    <w:rsid w:val="003B11E0"/>
    <w:rsid w:val="003B1844"/>
    <w:rsid w:val="003B186A"/>
    <w:rsid w:val="003B1950"/>
    <w:rsid w:val="003B1B67"/>
    <w:rsid w:val="003B1B9A"/>
    <w:rsid w:val="003B2194"/>
    <w:rsid w:val="003B224D"/>
    <w:rsid w:val="003B2429"/>
    <w:rsid w:val="003B2927"/>
    <w:rsid w:val="003B2A1D"/>
    <w:rsid w:val="003B2ACB"/>
    <w:rsid w:val="003B2C2E"/>
    <w:rsid w:val="003B32E0"/>
    <w:rsid w:val="003B32EF"/>
    <w:rsid w:val="003B3677"/>
    <w:rsid w:val="003B3777"/>
    <w:rsid w:val="003B3787"/>
    <w:rsid w:val="003B38D2"/>
    <w:rsid w:val="003B3D84"/>
    <w:rsid w:val="003B3DC1"/>
    <w:rsid w:val="003B42CB"/>
    <w:rsid w:val="003B42F0"/>
    <w:rsid w:val="003B46DB"/>
    <w:rsid w:val="003B47CA"/>
    <w:rsid w:val="003B4AC0"/>
    <w:rsid w:val="003B4C86"/>
    <w:rsid w:val="003B4FA5"/>
    <w:rsid w:val="003B4FD3"/>
    <w:rsid w:val="003B5179"/>
    <w:rsid w:val="003B53C7"/>
    <w:rsid w:val="003B55AB"/>
    <w:rsid w:val="003B56C1"/>
    <w:rsid w:val="003B5805"/>
    <w:rsid w:val="003B5B1E"/>
    <w:rsid w:val="003B6002"/>
    <w:rsid w:val="003B6806"/>
    <w:rsid w:val="003B6A41"/>
    <w:rsid w:val="003B6ED7"/>
    <w:rsid w:val="003B73AF"/>
    <w:rsid w:val="003B7434"/>
    <w:rsid w:val="003B75FC"/>
    <w:rsid w:val="003B7B54"/>
    <w:rsid w:val="003B7B5D"/>
    <w:rsid w:val="003B7CE1"/>
    <w:rsid w:val="003C0157"/>
    <w:rsid w:val="003C09B7"/>
    <w:rsid w:val="003C100D"/>
    <w:rsid w:val="003C1245"/>
    <w:rsid w:val="003C13F1"/>
    <w:rsid w:val="003C1BC9"/>
    <w:rsid w:val="003C1D55"/>
    <w:rsid w:val="003C1D6D"/>
    <w:rsid w:val="003C1E82"/>
    <w:rsid w:val="003C2144"/>
    <w:rsid w:val="003C21A0"/>
    <w:rsid w:val="003C258A"/>
    <w:rsid w:val="003C26BF"/>
    <w:rsid w:val="003C3BFE"/>
    <w:rsid w:val="003C3DF6"/>
    <w:rsid w:val="003C3E67"/>
    <w:rsid w:val="003C4543"/>
    <w:rsid w:val="003C495D"/>
    <w:rsid w:val="003C530C"/>
    <w:rsid w:val="003C5760"/>
    <w:rsid w:val="003C5E1E"/>
    <w:rsid w:val="003C5F59"/>
    <w:rsid w:val="003C6325"/>
    <w:rsid w:val="003C696E"/>
    <w:rsid w:val="003C698D"/>
    <w:rsid w:val="003C6C78"/>
    <w:rsid w:val="003C716B"/>
    <w:rsid w:val="003C71D2"/>
    <w:rsid w:val="003C724D"/>
    <w:rsid w:val="003C7298"/>
    <w:rsid w:val="003C7787"/>
    <w:rsid w:val="003C7DB7"/>
    <w:rsid w:val="003C7FDC"/>
    <w:rsid w:val="003D02B6"/>
    <w:rsid w:val="003D0511"/>
    <w:rsid w:val="003D0657"/>
    <w:rsid w:val="003D0704"/>
    <w:rsid w:val="003D07C7"/>
    <w:rsid w:val="003D0AB0"/>
    <w:rsid w:val="003D0DB8"/>
    <w:rsid w:val="003D0EB8"/>
    <w:rsid w:val="003D0ED9"/>
    <w:rsid w:val="003D0F92"/>
    <w:rsid w:val="003D11DD"/>
    <w:rsid w:val="003D124F"/>
    <w:rsid w:val="003D152C"/>
    <w:rsid w:val="003D1740"/>
    <w:rsid w:val="003D1C82"/>
    <w:rsid w:val="003D1D1F"/>
    <w:rsid w:val="003D1D3A"/>
    <w:rsid w:val="003D1FAE"/>
    <w:rsid w:val="003D278F"/>
    <w:rsid w:val="003D285F"/>
    <w:rsid w:val="003D2DD9"/>
    <w:rsid w:val="003D2FE7"/>
    <w:rsid w:val="003D33F0"/>
    <w:rsid w:val="003D349C"/>
    <w:rsid w:val="003D35B0"/>
    <w:rsid w:val="003D413E"/>
    <w:rsid w:val="003D4404"/>
    <w:rsid w:val="003D4927"/>
    <w:rsid w:val="003D4BEE"/>
    <w:rsid w:val="003D4C0E"/>
    <w:rsid w:val="003D5073"/>
    <w:rsid w:val="003D52A1"/>
    <w:rsid w:val="003D5AED"/>
    <w:rsid w:val="003D5F02"/>
    <w:rsid w:val="003D60A7"/>
    <w:rsid w:val="003D612B"/>
    <w:rsid w:val="003D64EF"/>
    <w:rsid w:val="003D6787"/>
    <w:rsid w:val="003D69C1"/>
    <w:rsid w:val="003D6A87"/>
    <w:rsid w:val="003D6A94"/>
    <w:rsid w:val="003D6C11"/>
    <w:rsid w:val="003D7050"/>
    <w:rsid w:val="003D73E7"/>
    <w:rsid w:val="003D782B"/>
    <w:rsid w:val="003D7843"/>
    <w:rsid w:val="003D79C6"/>
    <w:rsid w:val="003D7CDA"/>
    <w:rsid w:val="003E012D"/>
    <w:rsid w:val="003E03EC"/>
    <w:rsid w:val="003E076D"/>
    <w:rsid w:val="003E0A3B"/>
    <w:rsid w:val="003E149E"/>
    <w:rsid w:val="003E1636"/>
    <w:rsid w:val="003E18A9"/>
    <w:rsid w:val="003E1C89"/>
    <w:rsid w:val="003E1FA6"/>
    <w:rsid w:val="003E24D6"/>
    <w:rsid w:val="003E2E83"/>
    <w:rsid w:val="003E2EFF"/>
    <w:rsid w:val="003E3173"/>
    <w:rsid w:val="003E3652"/>
    <w:rsid w:val="003E370C"/>
    <w:rsid w:val="003E3996"/>
    <w:rsid w:val="003E3D8C"/>
    <w:rsid w:val="003E40AC"/>
    <w:rsid w:val="003E43D2"/>
    <w:rsid w:val="003E4692"/>
    <w:rsid w:val="003E479B"/>
    <w:rsid w:val="003E4B80"/>
    <w:rsid w:val="003E4B8B"/>
    <w:rsid w:val="003E5148"/>
    <w:rsid w:val="003E5261"/>
    <w:rsid w:val="003E58E4"/>
    <w:rsid w:val="003E5D20"/>
    <w:rsid w:val="003E5D60"/>
    <w:rsid w:val="003E62D7"/>
    <w:rsid w:val="003E6454"/>
    <w:rsid w:val="003E6538"/>
    <w:rsid w:val="003E6A5A"/>
    <w:rsid w:val="003E6D86"/>
    <w:rsid w:val="003E6E3A"/>
    <w:rsid w:val="003E7328"/>
    <w:rsid w:val="003E7397"/>
    <w:rsid w:val="003E783E"/>
    <w:rsid w:val="003E7C52"/>
    <w:rsid w:val="003E7DB4"/>
    <w:rsid w:val="003F001F"/>
    <w:rsid w:val="003F0152"/>
    <w:rsid w:val="003F01F3"/>
    <w:rsid w:val="003F0BBB"/>
    <w:rsid w:val="003F0D02"/>
    <w:rsid w:val="003F0F35"/>
    <w:rsid w:val="003F1376"/>
    <w:rsid w:val="003F162A"/>
    <w:rsid w:val="003F188E"/>
    <w:rsid w:val="003F196A"/>
    <w:rsid w:val="003F1A5D"/>
    <w:rsid w:val="003F1CFA"/>
    <w:rsid w:val="003F2013"/>
    <w:rsid w:val="003F216F"/>
    <w:rsid w:val="003F2AC8"/>
    <w:rsid w:val="003F2CCF"/>
    <w:rsid w:val="003F30DD"/>
    <w:rsid w:val="003F3737"/>
    <w:rsid w:val="003F37A2"/>
    <w:rsid w:val="003F3995"/>
    <w:rsid w:val="003F3AF8"/>
    <w:rsid w:val="003F3C25"/>
    <w:rsid w:val="003F3FD8"/>
    <w:rsid w:val="003F41A0"/>
    <w:rsid w:val="003F4411"/>
    <w:rsid w:val="003F4441"/>
    <w:rsid w:val="003F4660"/>
    <w:rsid w:val="003F4A75"/>
    <w:rsid w:val="003F4A98"/>
    <w:rsid w:val="003F543D"/>
    <w:rsid w:val="003F57BB"/>
    <w:rsid w:val="003F5F25"/>
    <w:rsid w:val="003F63CF"/>
    <w:rsid w:val="003F7099"/>
    <w:rsid w:val="003F750B"/>
    <w:rsid w:val="003F7583"/>
    <w:rsid w:val="003F763B"/>
    <w:rsid w:val="003F7845"/>
    <w:rsid w:val="003F7BC1"/>
    <w:rsid w:val="003F7D0D"/>
    <w:rsid w:val="003F7DB5"/>
    <w:rsid w:val="003F7E23"/>
    <w:rsid w:val="0040000F"/>
    <w:rsid w:val="00400611"/>
    <w:rsid w:val="0040064B"/>
    <w:rsid w:val="00400887"/>
    <w:rsid w:val="00400889"/>
    <w:rsid w:val="00400FD2"/>
    <w:rsid w:val="00401469"/>
    <w:rsid w:val="004017AC"/>
    <w:rsid w:val="00401EA0"/>
    <w:rsid w:val="00401F3A"/>
    <w:rsid w:val="00401FBC"/>
    <w:rsid w:val="00402058"/>
    <w:rsid w:val="00402204"/>
    <w:rsid w:val="0040220C"/>
    <w:rsid w:val="0040272D"/>
    <w:rsid w:val="00402E9E"/>
    <w:rsid w:val="004030FC"/>
    <w:rsid w:val="004035AD"/>
    <w:rsid w:val="00403AAF"/>
    <w:rsid w:val="00403C52"/>
    <w:rsid w:val="00403CA8"/>
    <w:rsid w:val="00403EA9"/>
    <w:rsid w:val="004047FF"/>
    <w:rsid w:val="004049B4"/>
    <w:rsid w:val="00404D9A"/>
    <w:rsid w:val="00404DC2"/>
    <w:rsid w:val="00404E30"/>
    <w:rsid w:val="00404E3F"/>
    <w:rsid w:val="0040562E"/>
    <w:rsid w:val="0040621C"/>
    <w:rsid w:val="00406484"/>
    <w:rsid w:val="00406650"/>
    <w:rsid w:val="004068D1"/>
    <w:rsid w:val="00406AFA"/>
    <w:rsid w:val="00406C69"/>
    <w:rsid w:val="00406F50"/>
    <w:rsid w:val="00407240"/>
    <w:rsid w:val="0040735B"/>
    <w:rsid w:val="00407667"/>
    <w:rsid w:val="0040782C"/>
    <w:rsid w:val="00407859"/>
    <w:rsid w:val="00407DA9"/>
    <w:rsid w:val="00407F73"/>
    <w:rsid w:val="00407FD4"/>
    <w:rsid w:val="0041004C"/>
    <w:rsid w:val="0041062B"/>
    <w:rsid w:val="00410989"/>
    <w:rsid w:val="00410C11"/>
    <w:rsid w:val="00410FC0"/>
    <w:rsid w:val="004111ED"/>
    <w:rsid w:val="00411334"/>
    <w:rsid w:val="00411654"/>
    <w:rsid w:val="00411A32"/>
    <w:rsid w:val="00411E7D"/>
    <w:rsid w:val="00412115"/>
    <w:rsid w:val="00412155"/>
    <w:rsid w:val="00412842"/>
    <w:rsid w:val="004129E7"/>
    <w:rsid w:val="00412BC4"/>
    <w:rsid w:val="00413AA0"/>
    <w:rsid w:val="00413FC6"/>
    <w:rsid w:val="0041476C"/>
    <w:rsid w:val="00414928"/>
    <w:rsid w:val="00414D0E"/>
    <w:rsid w:val="00415035"/>
    <w:rsid w:val="0041562C"/>
    <w:rsid w:val="004156B5"/>
    <w:rsid w:val="0041574B"/>
    <w:rsid w:val="00415F18"/>
    <w:rsid w:val="004160E3"/>
    <w:rsid w:val="004160FA"/>
    <w:rsid w:val="0041658E"/>
    <w:rsid w:val="00416729"/>
    <w:rsid w:val="00416A25"/>
    <w:rsid w:val="00416A3B"/>
    <w:rsid w:val="00416F04"/>
    <w:rsid w:val="0041724A"/>
    <w:rsid w:val="00417327"/>
    <w:rsid w:val="0041745D"/>
    <w:rsid w:val="0041764B"/>
    <w:rsid w:val="00417767"/>
    <w:rsid w:val="004177D0"/>
    <w:rsid w:val="00417D6F"/>
    <w:rsid w:val="00420256"/>
    <w:rsid w:val="0042034D"/>
    <w:rsid w:val="00420A8E"/>
    <w:rsid w:val="00420A9F"/>
    <w:rsid w:val="00420C15"/>
    <w:rsid w:val="00420F7D"/>
    <w:rsid w:val="00421612"/>
    <w:rsid w:val="004218B1"/>
    <w:rsid w:val="00421C97"/>
    <w:rsid w:val="0042219C"/>
    <w:rsid w:val="0042309F"/>
    <w:rsid w:val="004230E8"/>
    <w:rsid w:val="0042337A"/>
    <w:rsid w:val="00423506"/>
    <w:rsid w:val="00423A0F"/>
    <w:rsid w:val="00423BEE"/>
    <w:rsid w:val="00423C88"/>
    <w:rsid w:val="00423D92"/>
    <w:rsid w:val="0042400E"/>
    <w:rsid w:val="00424135"/>
    <w:rsid w:val="00424149"/>
    <w:rsid w:val="0042435B"/>
    <w:rsid w:val="004244FC"/>
    <w:rsid w:val="004249A6"/>
    <w:rsid w:val="00424A33"/>
    <w:rsid w:val="00424B85"/>
    <w:rsid w:val="00424E36"/>
    <w:rsid w:val="004250A2"/>
    <w:rsid w:val="004251CA"/>
    <w:rsid w:val="00425286"/>
    <w:rsid w:val="00425580"/>
    <w:rsid w:val="004257D7"/>
    <w:rsid w:val="004258D4"/>
    <w:rsid w:val="004258DA"/>
    <w:rsid w:val="004260CE"/>
    <w:rsid w:val="004261F0"/>
    <w:rsid w:val="0042633C"/>
    <w:rsid w:val="0042660A"/>
    <w:rsid w:val="00426C54"/>
    <w:rsid w:val="00426CB4"/>
    <w:rsid w:val="00426DDB"/>
    <w:rsid w:val="0042733A"/>
    <w:rsid w:val="00427603"/>
    <w:rsid w:val="0042765D"/>
    <w:rsid w:val="00427791"/>
    <w:rsid w:val="004278F2"/>
    <w:rsid w:val="00427FC6"/>
    <w:rsid w:val="004301EF"/>
    <w:rsid w:val="00430323"/>
    <w:rsid w:val="0043058F"/>
    <w:rsid w:val="00430A13"/>
    <w:rsid w:val="00430B29"/>
    <w:rsid w:val="00430C4E"/>
    <w:rsid w:val="00430DEB"/>
    <w:rsid w:val="00430EFE"/>
    <w:rsid w:val="0043121E"/>
    <w:rsid w:val="00431231"/>
    <w:rsid w:val="0043131F"/>
    <w:rsid w:val="00431579"/>
    <w:rsid w:val="004319CC"/>
    <w:rsid w:val="00431F9E"/>
    <w:rsid w:val="0043220D"/>
    <w:rsid w:val="00432230"/>
    <w:rsid w:val="004326DC"/>
    <w:rsid w:val="00432FF7"/>
    <w:rsid w:val="0043392C"/>
    <w:rsid w:val="004339C5"/>
    <w:rsid w:val="00433D2E"/>
    <w:rsid w:val="0043413F"/>
    <w:rsid w:val="00434267"/>
    <w:rsid w:val="00434472"/>
    <w:rsid w:val="0043460A"/>
    <w:rsid w:val="00434A56"/>
    <w:rsid w:val="0043508D"/>
    <w:rsid w:val="004350D3"/>
    <w:rsid w:val="00435313"/>
    <w:rsid w:val="00435315"/>
    <w:rsid w:val="00435594"/>
    <w:rsid w:val="00435CE7"/>
    <w:rsid w:val="00435CEB"/>
    <w:rsid w:val="00435E83"/>
    <w:rsid w:val="00435F12"/>
    <w:rsid w:val="004364AF"/>
    <w:rsid w:val="004364B1"/>
    <w:rsid w:val="004366CE"/>
    <w:rsid w:val="00436989"/>
    <w:rsid w:val="00436C80"/>
    <w:rsid w:val="00436EEC"/>
    <w:rsid w:val="00436F72"/>
    <w:rsid w:val="0043742B"/>
    <w:rsid w:val="004377F1"/>
    <w:rsid w:val="0043780D"/>
    <w:rsid w:val="00437AC8"/>
    <w:rsid w:val="00437AFB"/>
    <w:rsid w:val="00437D56"/>
    <w:rsid w:val="00440359"/>
    <w:rsid w:val="0044066A"/>
    <w:rsid w:val="00440768"/>
    <w:rsid w:val="00440A88"/>
    <w:rsid w:val="0044111A"/>
    <w:rsid w:val="0044133D"/>
    <w:rsid w:val="004417C7"/>
    <w:rsid w:val="00441C7E"/>
    <w:rsid w:val="00441DFB"/>
    <w:rsid w:val="0044257D"/>
    <w:rsid w:val="00442584"/>
    <w:rsid w:val="004426A9"/>
    <w:rsid w:val="00442CA9"/>
    <w:rsid w:val="00442EA8"/>
    <w:rsid w:val="004431ED"/>
    <w:rsid w:val="004431FB"/>
    <w:rsid w:val="004433B1"/>
    <w:rsid w:val="004438DC"/>
    <w:rsid w:val="00443B3C"/>
    <w:rsid w:val="00443B5E"/>
    <w:rsid w:val="00443D01"/>
    <w:rsid w:val="00443DDE"/>
    <w:rsid w:val="00444428"/>
    <w:rsid w:val="004448B6"/>
    <w:rsid w:val="004448ED"/>
    <w:rsid w:val="00444B47"/>
    <w:rsid w:val="00444F4E"/>
    <w:rsid w:val="00444FBE"/>
    <w:rsid w:val="004452B1"/>
    <w:rsid w:val="00445502"/>
    <w:rsid w:val="00445F41"/>
    <w:rsid w:val="00446056"/>
    <w:rsid w:val="004460D2"/>
    <w:rsid w:val="0044639D"/>
    <w:rsid w:val="004463CD"/>
    <w:rsid w:val="00446AE6"/>
    <w:rsid w:val="00447183"/>
    <w:rsid w:val="00447209"/>
    <w:rsid w:val="00447906"/>
    <w:rsid w:val="00447988"/>
    <w:rsid w:val="0044798A"/>
    <w:rsid w:val="00450801"/>
    <w:rsid w:val="00450A4C"/>
    <w:rsid w:val="00450D32"/>
    <w:rsid w:val="00451343"/>
    <w:rsid w:val="00451433"/>
    <w:rsid w:val="00451664"/>
    <w:rsid w:val="00451999"/>
    <w:rsid w:val="00451D8D"/>
    <w:rsid w:val="00451E1E"/>
    <w:rsid w:val="004521ED"/>
    <w:rsid w:val="00452518"/>
    <w:rsid w:val="004527BA"/>
    <w:rsid w:val="00452C51"/>
    <w:rsid w:val="00452C52"/>
    <w:rsid w:val="00452EFA"/>
    <w:rsid w:val="00452FFB"/>
    <w:rsid w:val="00453071"/>
    <w:rsid w:val="00453238"/>
    <w:rsid w:val="0045375E"/>
    <w:rsid w:val="004539D0"/>
    <w:rsid w:val="00453D5B"/>
    <w:rsid w:val="00453ECF"/>
    <w:rsid w:val="00453F34"/>
    <w:rsid w:val="00453FF6"/>
    <w:rsid w:val="004543E6"/>
    <w:rsid w:val="004544EA"/>
    <w:rsid w:val="004545AD"/>
    <w:rsid w:val="00454E04"/>
    <w:rsid w:val="00454F1F"/>
    <w:rsid w:val="004550F0"/>
    <w:rsid w:val="00455209"/>
    <w:rsid w:val="0045564F"/>
    <w:rsid w:val="00456145"/>
    <w:rsid w:val="00456425"/>
    <w:rsid w:val="004568AB"/>
    <w:rsid w:val="00456922"/>
    <w:rsid w:val="00456AB2"/>
    <w:rsid w:val="00456D19"/>
    <w:rsid w:val="00456EFE"/>
    <w:rsid w:val="004570EE"/>
    <w:rsid w:val="004574FC"/>
    <w:rsid w:val="00457645"/>
    <w:rsid w:val="004578D9"/>
    <w:rsid w:val="00457F2D"/>
    <w:rsid w:val="00460081"/>
    <w:rsid w:val="004602E2"/>
    <w:rsid w:val="0046065B"/>
    <w:rsid w:val="00460B04"/>
    <w:rsid w:val="00460CDC"/>
    <w:rsid w:val="00460F8A"/>
    <w:rsid w:val="00461B91"/>
    <w:rsid w:val="00461EAE"/>
    <w:rsid w:val="00461FB1"/>
    <w:rsid w:val="00461FC4"/>
    <w:rsid w:val="00462064"/>
    <w:rsid w:val="0046208D"/>
    <w:rsid w:val="004620AC"/>
    <w:rsid w:val="0046244C"/>
    <w:rsid w:val="00462673"/>
    <w:rsid w:val="00462697"/>
    <w:rsid w:val="00462798"/>
    <w:rsid w:val="00462817"/>
    <w:rsid w:val="00462F0E"/>
    <w:rsid w:val="0046345B"/>
    <w:rsid w:val="00463C3A"/>
    <w:rsid w:val="00463DA9"/>
    <w:rsid w:val="0046419E"/>
    <w:rsid w:val="004641E5"/>
    <w:rsid w:val="0046476D"/>
    <w:rsid w:val="00464C35"/>
    <w:rsid w:val="00464C3C"/>
    <w:rsid w:val="00464D1D"/>
    <w:rsid w:val="00465004"/>
    <w:rsid w:val="004658B7"/>
    <w:rsid w:val="00465CAA"/>
    <w:rsid w:val="004660AF"/>
    <w:rsid w:val="00466944"/>
    <w:rsid w:val="004671C0"/>
    <w:rsid w:val="004671CE"/>
    <w:rsid w:val="00467812"/>
    <w:rsid w:val="004679BC"/>
    <w:rsid w:val="00467D82"/>
    <w:rsid w:val="00467F5F"/>
    <w:rsid w:val="0047006F"/>
    <w:rsid w:val="00470205"/>
    <w:rsid w:val="00470B99"/>
    <w:rsid w:val="00470C88"/>
    <w:rsid w:val="00470ED8"/>
    <w:rsid w:val="00470F63"/>
    <w:rsid w:val="00471935"/>
    <w:rsid w:val="00471956"/>
    <w:rsid w:val="00471B3E"/>
    <w:rsid w:val="00471B78"/>
    <w:rsid w:val="00471B99"/>
    <w:rsid w:val="00471EE6"/>
    <w:rsid w:val="00471FC3"/>
    <w:rsid w:val="00471FFD"/>
    <w:rsid w:val="004722D3"/>
    <w:rsid w:val="004727FB"/>
    <w:rsid w:val="00472907"/>
    <w:rsid w:val="00472978"/>
    <w:rsid w:val="00472BF9"/>
    <w:rsid w:val="0047337C"/>
    <w:rsid w:val="00473461"/>
    <w:rsid w:val="00473A52"/>
    <w:rsid w:val="00473AFD"/>
    <w:rsid w:val="004741E4"/>
    <w:rsid w:val="00474421"/>
    <w:rsid w:val="00475000"/>
    <w:rsid w:val="00475175"/>
    <w:rsid w:val="00475656"/>
    <w:rsid w:val="004757B7"/>
    <w:rsid w:val="00475894"/>
    <w:rsid w:val="00475A5A"/>
    <w:rsid w:val="00476207"/>
    <w:rsid w:val="00476285"/>
    <w:rsid w:val="0047630C"/>
    <w:rsid w:val="0047647B"/>
    <w:rsid w:val="00476B52"/>
    <w:rsid w:val="00476EAE"/>
    <w:rsid w:val="00476FA6"/>
    <w:rsid w:val="00477466"/>
    <w:rsid w:val="004774E8"/>
    <w:rsid w:val="00477B87"/>
    <w:rsid w:val="00477F53"/>
    <w:rsid w:val="00480524"/>
    <w:rsid w:val="00480573"/>
    <w:rsid w:val="00480814"/>
    <w:rsid w:val="00480882"/>
    <w:rsid w:val="00480F05"/>
    <w:rsid w:val="00481368"/>
    <w:rsid w:val="004816EF"/>
    <w:rsid w:val="00481812"/>
    <w:rsid w:val="00481899"/>
    <w:rsid w:val="00481902"/>
    <w:rsid w:val="00481A1F"/>
    <w:rsid w:val="00481E3C"/>
    <w:rsid w:val="004820FF"/>
    <w:rsid w:val="00482420"/>
    <w:rsid w:val="0048262D"/>
    <w:rsid w:val="004827F8"/>
    <w:rsid w:val="00482B0F"/>
    <w:rsid w:val="00482EDE"/>
    <w:rsid w:val="004831C4"/>
    <w:rsid w:val="00483281"/>
    <w:rsid w:val="004832CC"/>
    <w:rsid w:val="00483327"/>
    <w:rsid w:val="00483551"/>
    <w:rsid w:val="0048358D"/>
    <w:rsid w:val="00483735"/>
    <w:rsid w:val="00483C75"/>
    <w:rsid w:val="00483C80"/>
    <w:rsid w:val="0048412B"/>
    <w:rsid w:val="0048499E"/>
    <w:rsid w:val="004850B0"/>
    <w:rsid w:val="00485226"/>
    <w:rsid w:val="00485248"/>
    <w:rsid w:val="004853A9"/>
    <w:rsid w:val="00485419"/>
    <w:rsid w:val="0048576F"/>
    <w:rsid w:val="0048584E"/>
    <w:rsid w:val="004859DF"/>
    <w:rsid w:val="00485CE3"/>
    <w:rsid w:val="004865CD"/>
    <w:rsid w:val="004868D9"/>
    <w:rsid w:val="00486925"/>
    <w:rsid w:val="00486A31"/>
    <w:rsid w:val="00486A8D"/>
    <w:rsid w:val="00486C38"/>
    <w:rsid w:val="00486E22"/>
    <w:rsid w:val="00487108"/>
    <w:rsid w:val="00487603"/>
    <w:rsid w:val="0048792A"/>
    <w:rsid w:val="00487CD6"/>
    <w:rsid w:val="00487F1E"/>
    <w:rsid w:val="00490119"/>
    <w:rsid w:val="00490EEF"/>
    <w:rsid w:val="00491034"/>
    <w:rsid w:val="004915B5"/>
    <w:rsid w:val="004916C2"/>
    <w:rsid w:val="00491745"/>
    <w:rsid w:val="004918D8"/>
    <w:rsid w:val="00491B2C"/>
    <w:rsid w:val="00491C57"/>
    <w:rsid w:val="0049229A"/>
    <w:rsid w:val="00492582"/>
    <w:rsid w:val="00492742"/>
    <w:rsid w:val="00492961"/>
    <w:rsid w:val="00492A5A"/>
    <w:rsid w:val="00493845"/>
    <w:rsid w:val="00493A00"/>
    <w:rsid w:val="00493BBC"/>
    <w:rsid w:val="00493C98"/>
    <w:rsid w:val="00493E21"/>
    <w:rsid w:val="0049454A"/>
    <w:rsid w:val="00494613"/>
    <w:rsid w:val="00494736"/>
    <w:rsid w:val="00494A66"/>
    <w:rsid w:val="00494DE5"/>
    <w:rsid w:val="004952B6"/>
    <w:rsid w:val="0049541C"/>
    <w:rsid w:val="004957B4"/>
    <w:rsid w:val="004958C4"/>
    <w:rsid w:val="00495BD0"/>
    <w:rsid w:val="00495C03"/>
    <w:rsid w:val="00496545"/>
    <w:rsid w:val="004967A4"/>
    <w:rsid w:val="00496A6E"/>
    <w:rsid w:val="00496CA5"/>
    <w:rsid w:val="00496FD7"/>
    <w:rsid w:val="00497027"/>
    <w:rsid w:val="004976C5"/>
    <w:rsid w:val="00497A66"/>
    <w:rsid w:val="00497B8A"/>
    <w:rsid w:val="00497E25"/>
    <w:rsid w:val="004A01B6"/>
    <w:rsid w:val="004A0212"/>
    <w:rsid w:val="004A022C"/>
    <w:rsid w:val="004A0437"/>
    <w:rsid w:val="004A0717"/>
    <w:rsid w:val="004A07B9"/>
    <w:rsid w:val="004A0986"/>
    <w:rsid w:val="004A0B54"/>
    <w:rsid w:val="004A0BB1"/>
    <w:rsid w:val="004A10CA"/>
    <w:rsid w:val="004A138E"/>
    <w:rsid w:val="004A1836"/>
    <w:rsid w:val="004A188B"/>
    <w:rsid w:val="004A194D"/>
    <w:rsid w:val="004A1CDD"/>
    <w:rsid w:val="004A1CF4"/>
    <w:rsid w:val="004A29C4"/>
    <w:rsid w:val="004A2B98"/>
    <w:rsid w:val="004A2BD5"/>
    <w:rsid w:val="004A2E3D"/>
    <w:rsid w:val="004A3246"/>
    <w:rsid w:val="004A36E1"/>
    <w:rsid w:val="004A378C"/>
    <w:rsid w:val="004A3A61"/>
    <w:rsid w:val="004A40E2"/>
    <w:rsid w:val="004A4769"/>
    <w:rsid w:val="004A49C1"/>
    <w:rsid w:val="004A5057"/>
    <w:rsid w:val="004A54F4"/>
    <w:rsid w:val="004A574C"/>
    <w:rsid w:val="004A59A0"/>
    <w:rsid w:val="004A5E0A"/>
    <w:rsid w:val="004A6373"/>
    <w:rsid w:val="004A63A3"/>
    <w:rsid w:val="004A63F4"/>
    <w:rsid w:val="004A66F9"/>
    <w:rsid w:val="004A69CB"/>
    <w:rsid w:val="004A6A90"/>
    <w:rsid w:val="004A6D1A"/>
    <w:rsid w:val="004A70BC"/>
    <w:rsid w:val="004A7280"/>
    <w:rsid w:val="004B0206"/>
    <w:rsid w:val="004B02E9"/>
    <w:rsid w:val="004B0624"/>
    <w:rsid w:val="004B0892"/>
    <w:rsid w:val="004B0DB0"/>
    <w:rsid w:val="004B0EE8"/>
    <w:rsid w:val="004B1A44"/>
    <w:rsid w:val="004B1B8D"/>
    <w:rsid w:val="004B1DE9"/>
    <w:rsid w:val="004B1E56"/>
    <w:rsid w:val="004B22B1"/>
    <w:rsid w:val="004B2348"/>
    <w:rsid w:val="004B26EE"/>
    <w:rsid w:val="004B27A6"/>
    <w:rsid w:val="004B2CD1"/>
    <w:rsid w:val="004B2D77"/>
    <w:rsid w:val="004B2F3E"/>
    <w:rsid w:val="004B3065"/>
    <w:rsid w:val="004B30B9"/>
    <w:rsid w:val="004B31A9"/>
    <w:rsid w:val="004B33FB"/>
    <w:rsid w:val="004B3596"/>
    <w:rsid w:val="004B3690"/>
    <w:rsid w:val="004B3A61"/>
    <w:rsid w:val="004B3BAA"/>
    <w:rsid w:val="004B42AD"/>
    <w:rsid w:val="004B46FB"/>
    <w:rsid w:val="004B4B6C"/>
    <w:rsid w:val="004B4E0D"/>
    <w:rsid w:val="004B545C"/>
    <w:rsid w:val="004B5DB6"/>
    <w:rsid w:val="004B63C5"/>
    <w:rsid w:val="004B6402"/>
    <w:rsid w:val="004B6560"/>
    <w:rsid w:val="004B6628"/>
    <w:rsid w:val="004B6D87"/>
    <w:rsid w:val="004B6F8F"/>
    <w:rsid w:val="004B704E"/>
    <w:rsid w:val="004B736C"/>
    <w:rsid w:val="004B76B5"/>
    <w:rsid w:val="004B78B9"/>
    <w:rsid w:val="004B7B40"/>
    <w:rsid w:val="004B7C5D"/>
    <w:rsid w:val="004B7CC2"/>
    <w:rsid w:val="004B7D00"/>
    <w:rsid w:val="004C059E"/>
    <w:rsid w:val="004C074E"/>
    <w:rsid w:val="004C0A0E"/>
    <w:rsid w:val="004C0BFC"/>
    <w:rsid w:val="004C0D68"/>
    <w:rsid w:val="004C0E96"/>
    <w:rsid w:val="004C0E9C"/>
    <w:rsid w:val="004C1174"/>
    <w:rsid w:val="004C1179"/>
    <w:rsid w:val="004C11AC"/>
    <w:rsid w:val="004C141F"/>
    <w:rsid w:val="004C1780"/>
    <w:rsid w:val="004C17DF"/>
    <w:rsid w:val="004C19AD"/>
    <w:rsid w:val="004C1B1B"/>
    <w:rsid w:val="004C21CF"/>
    <w:rsid w:val="004C2352"/>
    <w:rsid w:val="004C25B1"/>
    <w:rsid w:val="004C2802"/>
    <w:rsid w:val="004C2916"/>
    <w:rsid w:val="004C2B13"/>
    <w:rsid w:val="004C2C23"/>
    <w:rsid w:val="004C2CFA"/>
    <w:rsid w:val="004C33AF"/>
    <w:rsid w:val="004C39E5"/>
    <w:rsid w:val="004C3AC5"/>
    <w:rsid w:val="004C3AF5"/>
    <w:rsid w:val="004C3FAC"/>
    <w:rsid w:val="004C4638"/>
    <w:rsid w:val="004C4705"/>
    <w:rsid w:val="004C4B56"/>
    <w:rsid w:val="004C4E79"/>
    <w:rsid w:val="004C50E5"/>
    <w:rsid w:val="004C5381"/>
    <w:rsid w:val="004C5922"/>
    <w:rsid w:val="004C5B8C"/>
    <w:rsid w:val="004C6C97"/>
    <w:rsid w:val="004C6E48"/>
    <w:rsid w:val="004C70E3"/>
    <w:rsid w:val="004C720E"/>
    <w:rsid w:val="004C7477"/>
    <w:rsid w:val="004C74D4"/>
    <w:rsid w:val="004C7A97"/>
    <w:rsid w:val="004C7B20"/>
    <w:rsid w:val="004C7C72"/>
    <w:rsid w:val="004D0172"/>
    <w:rsid w:val="004D01E2"/>
    <w:rsid w:val="004D0435"/>
    <w:rsid w:val="004D04C6"/>
    <w:rsid w:val="004D0962"/>
    <w:rsid w:val="004D11D9"/>
    <w:rsid w:val="004D163A"/>
    <w:rsid w:val="004D1731"/>
    <w:rsid w:val="004D1C35"/>
    <w:rsid w:val="004D1CD8"/>
    <w:rsid w:val="004D1D3F"/>
    <w:rsid w:val="004D2412"/>
    <w:rsid w:val="004D2ADF"/>
    <w:rsid w:val="004D3644"/>
    <w:rsid w:val="004D37BC"/>
    <w:rsid w:val="004D3CF2"/>
    <w:rsid w:val="004D3ECA"/>
    <w:rsid w:val="004D423F"/>
    <w:rsid w:val="004D4768"/>
    <w:rsid w:val="004D571F"/>
    <w:rsid w:val="004D5817"/>
    <w:rsid w:val="004D5EC5"/>
    <w:rsid w:val="004D60F9"/>
    <w:rsid w:val="004D6ABD"/>
    <w:rsid w:val="004D6BDE"/>
    <w:rsid w:val="004D6E17"/>
    <w:rsid w:val="004D75A0"/>
    <w:rsid w:val="004D7875"/>
    <w:rsid w:val="004D7DBE"/>
    <w:rsid w:val="004D7E89"/>
    <w:rsid w:val="004E0128"/>
    <w:rsid w:val="004E0344"/>
    <w:rsid w:val="004E07A2"/>
    <w:rsid w:val="004E0BB2"/>
    <w:rsid w:val="004E0CDF"/>
    <w:rsid w:val="004E104D"/>
    <w:rsid w:val="004E1483"/>
    <w:rsid w:val="004E1BA0"/>
    <w:rsid w:val="004E1E42"/>
    <w:rsid w:val="004E2ADE"/>
    <w:rsid w:val="004E2C95"/>
    <w:rsid w:val="004E2F96"/>
    <w:rsid w:val="004E316B"/>
    <w:rsid w:val="004E3187"/>
    <w:rsid w:val="004E39F4"/>
    <w:rsid w:val="004E3BDC"/>
    <w:rsid w:val="004E4182"/>
    <w:rsid w:val="004E4890"/>
    <w:rsid w:val="004E4B60"/>
    <w:rsid w:val="004E4BED"/>
    <w:rsid w:val="004E4EC4"/>
    <w:rsid w:val="004E52CC"/>
    <w:rsid w:val="004E5666"/>
    <w:rsid w:val="004E5835"/>
    <w:rsid w:val="004E5AFC"/>
    <w:rsid w:val="004E5B7F"/>
    <w:rsid w:val="004E5E6C"/>
    <w:rsid w:val="004E6091"/>
    <w:rsid w:val="004E6207"/>
    <w:rsid w:val="004E6510"/>
    <w:rsid w:val="004E6E5B"/>
    <w:rsid w:val="004E7344"/>
    <w:rsid w:val="004E794A"/>
    <w:rsid w:val="004E7B27"/>
    <w:rsid w:val="004E7BCE"/>
    <w:rsid w:val="004E7F03"/>
    <w:rsid w:val="004F029F"/>
    <w:rsid w:val="004F02CA"/>
    <w:rsid w:val="004F0559"/>
    <w:rsid w:val="004F05D7"/>
    <w:rsid w:val="004F0607"/>
    <w:rsid w:val="004F0750"/>
    <w:rsid w:val="004F07C5"/>
    <w:rsid w:val="004F08A3"/>
    <w:rsid w:val="004F08F3"/>
    <w:rsid w:val="004F0958"/>
    <w:rsid w:val="004F0AA2"/>
    <w:rsid w:val="004F0C5F"/>
    <w:rsid w:val="004F101C"/>
    <w:rsid w:val="004F10CB"/>
    <w:rsid w:val="004F174F"/>
    <w:rsid w:val="004F1A6D"/>
    <w:rsid w:val="004F212E"/>
    <w:rsid w:val="004F27BE"/>
    <w:rsid w:val="004F2A89"/>
    <w:rsid w:val="004F2C5D"/>
    <w:rsid w:val="004F2D6B"/>
    <w:rsid w:val="004F2EFB"/>
    <w:rsid w:val="004F2FA5"/>
    <w:rsid w:val="004F3A6F"/>
    <w:rsid w:val="004F3CDF"/>
    <w:rsid w:val="004F3F0C"/>
    <w:rsid w:val="004F3F70"/>
    <w:rsid w:val="004F4523"/>
    <w:rsid w:val="004F499E"/>
    <w:rsid w:val="004F4EED"/>
    <w:rsid w:val="004F55FA"/>
    <w:rsid w:val="004F5866"/>
    <w:rsid w:val="004F5B6A"/>
    <w:rsid w:val="004F5CF5"/>
    <w:rsid w:val="004F66DD"/>
    <w:rsid w:val="004F671D"/>
    <w:rsid w:val="004F6CAF"/>
    <w:rsid w:val="004F6F9A"/>
    <w:rsid w:val="004F709C"/>
    <w:rsid w:val="004F7123"/>
    <w:rsid w:val="004F7230"/>
    <w:rsid w:val="004F76A9"/>
    <w:rsid w:val="004F79EF"/>
    <w:rsid w:val="004F7EBB"/>
    <w:rsid w:val="00500751"/>
    <w:rsid w:val="00500844"/>
    <w:rsid w:val="00500F1C"/>
    <w:rsid w:val="005012FA"/>
    <w:rsid w:val="00501AF1"/>
    <w:rsid w:val="00501C7D"/>
    <w:rsid w:val="00501D4A"/>
    <w:rsid w:val="00502142"/>
    <w:rsid w:val="00502306"/>
    <w:rsid w:val="00502578"/>
    <w:rsid w:val="005027DE"/>
    <w:rsid w:val="00502865"/>
    <w:rsid w:val="00502AB7"/>
    <w:rsid w:val="00502B16"/>
    <w:rsid w:val="0050361B"/>
    <w:rsid w:val="00503640"/>
    <w:rsid w:val="00503713"/>
    <w:rsid w:val="00503863"/>
    <w:rsid w:val="005038AF"/>
    <w:rsid w:val="00503C2F"/>
    <w:rsid w:val="00503EB9"/>
    <w:rsid w:val="005040EC"/>
    <w:rsid w:val="0050415C"/>
    <w:rsid w:val="005047DC"/>
    <w:rsid w:val="00504A3D"/>
    <w:rsid w:val="005050C8"/>
    <w:rsid w:val="0050588C"/>
    <w:rsid w:val="00505949"/>
    <w:rsid w:val="00505DE6"/>
    <w:rsid w:val="00505FD5"/>
    <w:rsid w:val="0050615B"/>
    <w:rsid w:val="0050628D"/>
    <w:rsid w:val="0050669A"/>
    <w:rsid w:val="0050679A"/>
    <w:rsid w:val="005068C4"/>
    <w:rsid w:val="00507094"/>
    <w:rsid w:val="005072B2"/>
    <w:rsid w:val="0050734F"/>
    <w:rsid w:val="00507957"/>
    <w:rsid w:val="00507A7E"/>
    <w:rsid w:val="00507DEE"/>
    <w:rsid w:val="00507E75"/>
    <w:rsid w:val="00507E7D"/>
    <w:rsid w:val="00507F75"/>
    <w:rsid w:val="005102EF"/>
    <w:rsid w:val="005108B4"/>
    <w:rsid w:val="00510DDD"/>
    <w:rsid w:val="00511639"/>
    <w:rsid w:val="00511811"/>
    <w:rsid w:val="00511D9E"/>
    <w:rsid w:val="005120D3"/>
    <w:rsid w:val="005120F1"/>
    <w:rsid w:val="005126EB"/>
    <w:rsid w:val="0051270C"/>
    <w:rsid w:val="00512878"/>
    <w:rsid w:val="0051301C"/>
    <w:rsid w:val="00513376"/>
    <w:rsid w:val="0051353F"/>
    <w:rsid w:val="0051379F"/>
    <w:rsid w:val="00513844"/>
    <w:rsid w:val="00513A6F"/>
    <w:rsid w:val="00513B2D"/>
    <w:rsid w:val="00513C64"/>
    <w:rsid w:val="00513C8B"/>
    <w:rsid w:val="005140A1"/>
    <w:rsid w:val="00514250"/>
    <w:rsid w:val="00514309"/>
    <w:rsid w:val="00514671"/>
    <w:rsid w:val="00514D74"/>
    <w:rsid w:val="00514DCB"/>
    <w:rsid w:val="0051504D"/>
    <w:rsid w:val="00515183"/>
    <w:rsid w:val="00515425"/>
    <w:rsid w:val="0051584D"/>
    <w:rsid w:val="00515B54"/>
    <w:rsid w:val="00515CDA"/>
    <w:rsid w:val="00515E37"/>
    <w:rsid w:val="0051601A"/>
    <w:rsid w:val="00516982"/>
    <w:rsid w:val="005172DC"/>
    <w:rsid w:val="005173C1"/>
    <w:rsid w:val="005176BA"/>
    <w:rsid w:val="00521328"/>
    <w:rsid w:val="005213F1"/>
    <w:rsid w:val="00521427"/>
    <w:rsid w:val="005216EB"/>
    <w:rsid w:val="00521882"/>
    <w:rsid w:val="005219B8"/>
    <w:rsid w:val="00521B3B"/>
    <w:rsid w:val="00521B66"/>
    <w:rsid w:val="00521DC2"/>
    <w:rsid w:val="00522733"/>
    <w:rsid w:val="00522A52"/>
    <w:rsid w:val="00522EB1"/>
    <w:rsid w:val="00523554"/>
    <w:rsid w:val="005238C2"/>
    <w:rsid w:val="00523B1E"/>
    <w:rsid w:val="00523CCB"/>
    <w:rsid w:val="00523D45"/>
    <w:rsid w:val="0052439F"/>
    <w:rsid w:val="00524731"/>
    <w:rsid w:val="00524C9D"/>
    <w:rsid w:val="0052523B"/>
    <w:rsid w:val="0052524F"/>
    <w:rsid w:val="00525539"/>
    <w:rsid w:val="005255B4"/>
    <w:rsid w:val="005259F8"/>
    <w:rsid w:val="00525AB8"/>
    <w:rsid w:val="00525B59"/>
    <w:rsid w:val="00525EED"/>
    <w:rsid w:val="005262B5"/>
    <w:rsid w:val="00526377"/>
    <w:rsid w:val="00526497"/>
    <w:rsid w:val="00526547"/>
    <w:rsid w:val="0052679B"/>
    <w:rsid w:val="00526A81"/>
    <w:rsid w:val="00526C25"/>
    <w:rsid w:val="00526C4D"/>
    <w:rsid w:val="00526F79"/>
    <w:rsid w:val="0052704A"/>
    <w:rsid w:val="00527369"/>
    <w:rsid w:val="00527827"/>
    <w:rsid w:val="00527F70"/>
    <w:rsid w:val="00530326"/>
    <w:rsid w:val="005306C7"/>
    <w:rsid w:val="00530738"/>
    <w:rsid w:val="00530AD2"/>
    <w:rsid w:val="0053102C"/>
    <w:rsid w:val="0053133E"/>
    <w:rsid w:val="0053155C"/>
    <w:rsid w:val="005315E2"/>
    <w:rsid w:val="00531921"/>
    <w:rsid w:val="00531BF3"/>
    <w:rsid w:val="00531E2B"/>
    <w:rsid w:val="00531E64"/>
    <w:rsid w:val="0053205D"/>
    <w:rsid w:val="005323CE"/>
    <w:rsid w:val="005324ED"/>
    <w:rsid w:val="00532BD2"/>
    <w:rsid w:val="00532E4C"/>
    <w:rsid w:val="005330A2"/>
    <w:rsid w:val="00533444"/>
    <w:rsid w:val="0053346A"/>
    <w:rsid w:val="00533881"/>
    <w:rsid w:val="00533BE6"/>
    <w:rsid w:val="00533E5C"/>
    <w:rsid w:val="00534402"/>
    <w:rsid w:val="00534BF0"/>
    <w:rsid w:val="0053519B"/>
    <w:rsid w:val="005358D6"/>
    <w:rsid w:val="005358EC"/>
    <w:rsid w:val="00535AE3"/>
    <w:rsid w:val="00535EC0"/>
    <w:rsid w:val="00536708"/>
    <w:rsid w:val="00536731"/>
    <w:rsid w:val="005367A8"/>
    <w:rsid w:val="00536DC4"/>
    <w:rsid w:val="00536F2F"/>
    <w:rsid w:val="00537074"/>
    <w:rsid w:val="00537164"/>
    <w:rsid w:val="0053789B"/>
    <w:rsid w:val="00537C4E"/>
    <w:rsid w:val="00540A2D"/>
    <w:rsid w:val="0054126B"/>
    <w:rsid w:val="00541AEB"/>
    <w:rsid w:val="0054208B"/>
    <w:rsid w:val="00542404"/>
    <w:rsid w:val="00542685"/>
    <w:rsid w:val="005427BB"/>
    <w:rsid w:val="00542DCA"/>
    <w:rsid w:val="0054318E"/>
    <w:rsid w:val="00543B40"/>
    <w:rsid w:val="0054403E"/>
    <w:rsid w:val="0054414E"/>
    <w:rsid w:val="00544C19"/>
    <w:rsid w:val="00544D30"/>
    <w:rsid w:val="0054588D"/>
    <w:rsid w:val="00545976"/>
    <w:rsid w:val="00545F6F"/>
    <w:rsid w:val="00546123"/>
    <w:rsid w:val="00546203"/>
    <w:rsid w:val="00546209"/>
    <w:rsid w:val="005462AB"/>
    <w:rsid w:val="00546403"/>
    <w:rsid w:val="00546708"/>
    <w:rsid w:val="0054679B"/>
    <w:rsid w:val="005468B6"/>
    <w:rsid w:val="005469E7"/>
    <w:rsid w:val="00546CE0"/>
    <w:rsid w:val="00546FC6"/>
    <w:rsid w:val="005473A3"/>
    <w:rsid w:val="005474E5"/>
    <w:rsid w:val="0054768C"/>
    <w:rsid w:val="00547B90"/>
    <w:rsid w:val="00547CAC"/>
    <w:rsid w:val="00547DD0"/>
    <w:rsid w:val="0055057D"/>
    <w:rsid w:val="0055063F"/>
    <w:rsid w:val="00550DC5"/>
    <w:rsid w:val="00550E50"/>
    <w:rsid w:val="00551308"/>
    <w:rsid w:val="005513B8"/>
    <w:rsid w:val="005514E3"/>
    <w:rsid w:val="0055197D"/>
    <w:rsid w:val="00551C09"/>
    <w:rsid w:val="00551DD6"/>
    <w:rsid w:val="00551E74"/>
    <w:rsid w:val="00552179"/>
    <w:rsid w:val="0055229D"/>
    <w:rsid w:val="005524CF"/>
    <w:rsid w:val="005525C1"/>
    <w:rsid w:val="00552773"/>
    <w:rsid w:val="00552CB6"/>
    <w:rsid w:val="00552DB8"/>
    <w:rsid w:val="00552DE8"/>
    <w:rsid w:val="005533CA"/>
    <w:rsid w:val="00553434"/>
    <w:rsid w:val="005536B1"/>
    <w:rsid w:val="00553E42"/>
    <w:rsid w:val="005544EE"/>
    <w:rsid w:val="00554807"/>
    <w:rsid w:val="00554813"/>
    <w:rsid w:val="00554846"/>
    <w:rsid w:val="005548CD"/>
    <w:rsid w:val="00554F04"/>
    <w:rsid w:val="005553A3"/>
    <w:rsid w:val="00555619"/>
    <w:rsid w:val="00555A31"/>
    <w:rsid w:val="00555B24"/>
    <w:rsid w:val="00555C49"/>
    <w:rsid w:val="00555ED7"/>
    <w:rsid w:val="00556881"/>
    <w:rsid w:val="00557007"/>
    <w:rsid w:val="0055771C"/>
    <w:rsid w:val="0055773A"/>
    <w:rsid w:val="0056045E"/>
    <w:rsid w:val="00560555"/>
    <w:rsid w:val="005605B6"/>
    <w:rsid w:val="00560883"/>
    <w:rsid w:val="00560887"/>
    <w:rsid w:val="005608E1"/>
    <w:rsid w:val="00560974"/>
    <w:rsid w:val="00560C74"/>
    <w:rsid w:val="005611A6"/>
    <w:rsid w:val="00561232"/>
    <w:rsid w:val="005613C4"/>
    <w:rsid w:val="00561515"/>
    <w:rsid w:val="00561797"/>
    <w:rsid w:val="00561D02"/>
    <w:rsid w:val="00561E71"/>
    <w:rsid w:val="00561F16"/>
    <w:rsid w:val="00561FB9"/>
    <w:rsid w:val="005621EE"/>
    <w:rsid w:val="005623A0"/>
    <w:rsid w:val="0056241E"/>
    <w:rsid w:val="00562932"/>
    <w:rsid w:val="00562E58"/>
    <w:rsid w:val="00562E65"/>
    <w:rsid w:val="005630CD"/>
    <w:rsid w:val="00563159"/>
    <w:rsid w:val="005632C5"/>
    <w:rsid w:val="0056390D"/>
    <w:rsid w:val="00563993"/>
    <w:rsid w:val="00563CBE"/>
    <w:rsid w:val="00564006"/>
    <w:rsid w:val="005640A3"/>
    <w:rsid w:val="00564279"/>
    <w:rsid w:val="00564329"/>
    <w:rsid w:val="00564737"/>
    <w:rsid w:val="00565129"/>
    <w:rsid w:val="00565220"/>
    <w:rsid w:val="00565DEE"/>
    <w:rsid w:val="00565DF1"/>
    <w:rsid w:val="00565F5E"/>
    <w:rsid w:val="00566365"/>
    <w:rsid w:val="00566C01"/>
    <w:rsid w:val="00566CDF"/>
    <w:rsid w:val="00566D36"/>
    <w:rsid w:val="00566F08"/>
    <w:rsid w:val="0056735D"/>
    <w:rsid w:val="00567E67"/>
    <w:rsid w:val="005701D4"/>
    <w:rsid w:val="00570354"/>
    <w:rsid w:val="0057099A"/>
    <w:rsid w:val="00570B3E"/>
    <w:rsid w:val="0057134D"/>
    <w:rsid w:val="0057186A"/>
    <w:rsid w:val="0057299A"/>
    <w:rsid w:val="00572BD5"/>
    <w:rsid w:val="0057334E"/>
    <w:rsid w:val="005737AB"/>
    <w:rsid w:val="00573807"/>
    <w:rsid w:val="00573A85"/>
    <w:rsid w:val="00573AB1"/>
    <w:rsid w:val="00573BD4"/>
    <w:rsid w:val="00573BFB"/>
    <w:rsid w:val="00573C51"/>
    <w:rsid w:val="00573FC3"/>
    <w:rsid w:val="005743B3"/>
    <w:rsid w:val="005746C3"/>
    <w:rsid w:val="00574934"/>
    <w:rsid w:val="00574BB4"/>
    <w:rsid w:val="00574F54"/>
    <w:rsid w:val="005751B4"/>
    <w:rsid w:val="005754A7"/>
    <w:rsid w:val="0057598C"/>
    <w:rsid w:val="00575DD5"/>
    <w:rsid w:val="0057611A"/>
    <w:rsid w:val="0057626C"/>
    <w:rsid w:val="00576486"/>
    <w:rsid w:val="005769DF"/>
    <w:rsid w:val="00576D60"/>
    <w:rsid w:val="00577362"/>
    <w:rsid w:val="005776F9"/>
    <w:rsid w:val="005777D3"/>
    <w:rsid w:val="0057789F"/>
    <w:rsid w:val="00577C3C"/>
    <w:rsid w:val="00577D3D"/>
    <w:rsid w:val="005802CF"/>
    <w:rsid w:val="00580484"/>
    <w:rsid w:val="005805ED"/>
    <w:rsid w:val="00580898"/>
    <w:rsid w:val="00580C79"/>
    <w:rsid w:val="005814A1"/>
    <w:rsid w:val="005814FB"/>
    <w:rsid w:val="005818A9"/>
    <w:rsid w:val="00581D15"/>
    <w:rsid w:val="00581EB9"/>
    <w:rsid w:val="00582220"/>
    <w:rsid w:val="00582725"/>
    <w:rsid w:val="005827B0"/>
    <w:rsid w:val="00582E24"/>
    <w:rsid w:val="00582F51"/>
    <w:rsid w:val="0058323F"/>
    <w:rsid w:val="005843B2"/>
    <w:rsid w:val="0058457F"/>
    <w:rsid w:val="00584667"/>
    <w:rsid w:val="00584988"/>
    <w:rsid w:val="0058521D"/>
    <w:rsid w:val="00585394"/>
    <w:rsid w:val="0058596D"/>
    <w:rsid w:val="00585A5F"/>
    <w:rsid w:val="00585D4D"/>
    <w:rsid w:val="0058600D"/>
    <w:rsid w:val="00586331"/>
    <w:rsid w:val="00586533"/>
    <w:rsid w:val="00586600"/>
    <w:rsid w:val="00586732"/>
    <w:rsid w:val="00586A3F"/>
    <w:rsid w:val="00586B44"/>
    <w:rsid w:val="00586E23"/>
    <w:rsid w:val="00587081"/>
    <w:rsid w:val="00587BC2"/>
    <w:rsid w:val="00587C20"/>
    <w:rsid w:val="00587FC6"/>
    <w:rsid w:val="005906ED"/>
    <w:rsid w:val="00590885"/>
    <w:rsid w:val="0059134E"/>
    <w:rsid w:val="00591A73"/>
    <w:rsid w:val="00591D2C"/>
    <w:rsid w:val="00592A55"/>
    <w:rsid w:val="00592D47"/>
    <w:rsid w:val="00592F86"/>
    <w:rsid w:val="00592F94"/>
    <w:rsid w:val="005930C6"/>
    <w:rsid w:val="00593287"/>
    <w:rsid w:val="00593526"/>
    <w:rsid w:val="00593611"/>
    <w:rsid w:val="00594028"/>
    <w:rsid w:val="00594541"/>
    <w:rsid w:val="00594586"/>
    <w:rsid w:val="0059497D"/>
    <w:rsid w:val="00594B39"/>
    <w:rsid w:val="00594DEC"/>
    <w:rsid w:val="005957E6"/>
    <w:rsid w:val="005958A1"/>
    <w:rsid w:val="00595A07"/>
    <w:rsid w:val="00595CD7"/>
    <w:rsid w:val="00595FFC"/>
    <w:rsid w:val="0059646B"/>
    <w:rsid w:val="00596895"/>
    <w:rsid w:val="00596961"/>
    <w:rsid w:val="00596AA3"/>
    <w:rsid w:val="00596DDA"/>
    <w:rsid w:val="00596EF4"/>
    <w:rsid w:val="0059721C"/>
    <w:rsid w:val="005973D1"/>
    <w:rsid w:val="00597A31"/>
    <w:rsid w:val="00597E02"/>
    <w:rsid w:val="005A006F"/>
    <w:rsid w:val="005A0536"/>
    <w:rsid w:val="005A0790"/>
    <w:rsid w:val="005A0E32"/>
    <w:rsid w:val="005A0F3C"/>
    <w:rsid w:val="005A1438"/>
    <w:rsid w:val="005A16D3"/>
    <w:rsid w:val="005A1942"/>
    <w:rsid w:val="005A1A37"/>
    <w:rsid w:val="005A1B91"/>
    <w:rsid w:val="005A1C6C"/>
    <w:rsid w:val="005A1EFE"/>
    <w:rsid w:val="005A2113"/>
    <w:rsid w:val="005A2BC8"/>
    <w:rsid w:val="005A35B5"/>
    <w:rsid w:val="005A367A"/>
    <w:rsid w:val="005A39F3"/>
    <w:rsid w:val="005A3DDF"/>
    <w:rsid w:val="005A4539"/>
    <w:rsid w:val="005A4D0C"/>
    <w:rsid w:val="005A4D39"/>
    <w:rsid w:val="005A57D3"/>
    <w:rsid w:val="005A587C"/>
    <w:rsid w:val="005A599E"/>
    <w:rsid w:val="005A5D45"/>
    <w:rsid w:val="005A5E37"/>
    <w:rsid w:val="005A5FC5"/>
    <w:rsid w:val="005A6935"/>
    <w:rsid w:val="005A6B31"/>
    <w:rsid w:val="005A6B7D"/>
    <w:rsid w:val="005A718B"/>
    <w:rsid w:val="005A71C1"/>
    <w:rsid w:val="005A74AD"/>
    <w:rsid w:val="005A753E"/>
    <w:rsid w:val="005A79E9"/>
    <w:rsid w:val="005A7A58"/>
    <w:rsid w:val="005A7AEB"/>
    <w:rsid w:val="005A7D77"/>
    <w:rsid w:val="005A7DAE"/>
    <w:rsid w:val="005A7E6F"/>
    <w:rsid w:val="005B00AB"/>
    <w:rsid w:val="005B057E"/>
    <w:rsid w:val="005B0947"/>
    <w:rsid w:val="005B1288"/>
    <w:rsid w:val="005B1482"/>
    <w:rsid w:val="005B169A"/>
    <w:rsid w:val="005B16B1"/>
    <w:rsid w:val="005B1978"/>
    <w:rsid w:val="005B1A03"/>
    <w:rsid w:val="005B1C74"/>
    <w:rsid w:val="005B1D40"/>
    <w:rsid w:val="005B1D46"/>
    <w:rsid w:val="005B1F04"/>
    <w:rsid w:val="005B2398"/>
    <w:rsid w:val="005B24A3"/>
    <w:rsid w:val="005B2563"/>
    <w:rsid w:val="005B28EC"/>
    <w:rsid w:val="005B293D"/>
    <w:rsid w:val="005B2BB3"/>
    <w:rsid w:val="005B3157"/>
    <w:rsid w:val="005B326C"/>
    <w:rsid w:val="005B3B59"/>
    <w:rsid w:val="005B3D16"/>
    <w:rsid w:val="005B3EF1"/>
    <w:rsid w:val="005B40B6"/>
    <w:rsid w:val="005B4174"/>
    <w:rsid w:val="005B4790"/>
    <w:rsid w:val="005B480B"/>
    <w:rsid w:val="005B4A48"/>
    <w:rsid w:val="005B4A91"/>
    <w:rsid w:val="005B504A"/>
    <w:rsid w:val="005B50F1"/>
    <w:rsid w:val="005B51E6"/>
    <w:rsid w:val="005B52F0"/>
    <w:rsid w:val="005B587B"/>
    <w:rsid w:val="005B5BD9"/>
    <w:rsid w:val="005B5CA9"/>
    <w:rsid w:val="005B5CF1"/>
    <w:rsid w:val="005B5EBA"/>
    <w:rsid w:val="005B600A"/>
    <w:rsid w:val="005B6099"/>
    <w:rsid w:val="005B6105"/>
    <w:rsid w:val="005B67D1"/>
    <w:rsid w:val="005B6B2F"/>
    <w:rsid w:val="005B71F0"/>
    <w:rsid w:val="005B7422"/>
    <w:rsid w:val="005B75EE"/>
    <w:rsid w:val="005B7C9F"/>
    <w:rsid w:val="005C0441"/>
    <w:rsid w:val="005C0475"/>
    <w:rsid w:val="005C06EC"/>
    <w:rsid w:val="005C09D5"/>
    <w:rsid w:val="005C0C34"/>
    <w:rsid w:val="005C10B1"/>
    <w:rsid w:val="005C15AB"/>
    <w:rsid w:val="005C15AC"/>
    <w:rsid w:val="005C1654"/>
    <w:rsid w:val="005C1BFC"/>
    <w:rsid w:val="005C1CA5"/>
    <w:rsid w:val="005C298B"/>
    <w:rsid w:val="005C2F2F"/>
    <w:rsid w:val="005C312E"/>
    <w:rsid w:val="005C3388"/>
    <w:rsid w:val="005C35A2"/>
    <w:rsid w:val="005C3AD7"/>
    <w:rsid w:val="005C3B66"/>
    <w:rsid w:val="005C3BFB"/>
    <w:rsid w:val="005C3D24"/>
    <w:rsid w:val="005C3E5E"/>
    <w:rsid w:val="005C3EB8"/>
    <w:rsid w:val="005C4098"/>
    <w:rsid w:val="005C47C0"/>
    <w:rsid w:val="005C4943"/>
    <w:rsid w:val="005C4CD5"/>
    <w:rsid w:val="005C4EDA"/>
    <w:rsid w:val="005C533A"/>
    <w:rsid w:val="005C540C"/>
    <w:rsid w:val="005C5482"/>
    <w:rsid w:val="005C5780"/>
    <w:rsid w:val="005C595C"/>
    <w:rsid w:val="005C5997"/>
    <w:rsid w:val="005C5F14"/>
    <w:rsid w:val="005C676F"/>
    <w:rsid w:val="005C69F0"/>
    <w:rsid w:val="005C6A68"/>
    <w:rsid w:val="005C6B50"/>
    <w:rsid w:val="005C7182"/>
    <w:rsid w:val="005C73B5"/>
    <w:rsid w:val="005C7F2D"/>
    <w:rsid w:val="005C7F86"/>
    <w:rsid w:val="005D0186"/>
    <w:rsid w:val="005D0222"/>
    <w:rsid w:val="005D02AF"/>
    <w:rsid w:val="005D0ADE"/>
    <w:rsid w:val="005D0D04"/>
    <w:rsid w:val="005D0F34"/>
    <w:rsid w:val="005D1170"/>
    <w:rsid w:val="005D12EA"/>
    <w:rsid w:val="005D12F5"/>
    <w:rsid w:val="005D139D"/>
    <w:rsid w:val="005D14B0"/>
    <w:rsid w:val="005D1750"/>
    <w:rsid w:val="005D1901"/>
    <w:rsid w:val="005D1B06"/>
    <w:rsid w:val="005D1B6D"/>
    <w:rsid w:val="005D211C"/>
    <w:rsid w:val="005D2369"/>
    <w:rsid w:val="005D24CB"/>
    <w:rsid w:val="005D26EF"/>
    <w:rsid w:val="005D2FBE"/>
    <w:rsid w:val="005D30E3"/>
    <w:rsid w:val="005D3278"/>
    <w:rsid w:val="005D3C90"/>
    <w:rsid w:val="005D3EC4"/>
    <w:rsid w:val="005D423C"/>
    <w:rsid w:val="005D458C"/>
    <w:rsid w:val="005D4712"/>
    <w:rsid w:val="005D4B41"/>
    <w:rsid w:val="005D4E5A"/>
    <w:rsid w:val="005D4FD8"/>
    <w:rsid w:val="005D5184"/>
    <w:rsid w:val="005D553B"/>
    <w:rsid w:val="005D5581"/>
    <w:rsid w:val="005D5589"/>
    <w:rsid w:val="005D5761"/>
    <w:rsid w:val="005D5B22"/>
    <w:rsid w:val="005D5BB2"/>
    <w:rsid w:val="005D5C45"/>
    <w:rsid w:val="005D5C5D"/>
    <w:rsid w:val="005D605C"/>
    <w:rsid w:val="005D607A"/>
    <w:rsid w:val="005D63D1"/>
    <w:rsid w:val="005D69A6"/>
    <w:rsid w:val="005D69AB"/>
    <w:rsid w:val="005D6D92"/>
    <w:rsid w:val="005D6DFF"/>
    <w:rsid w:val="005D6FEB"/>
    <w:rsid w:val="005D7576"/>
    <w:rsid w:val="005D773A"/>
    <w:rsid w:val="005D7A8E"/>
    <w:rsid w:val="005E0366"/>
    <w:rsid w:val="005E0472"/>
    <w:rsid w:val="005E0B53"/>
    <w:rsid w:val="005E11FF"/>
    <w:rsid w:val="005E1294"/>
    <w:rsid w:val="005E19C5"/>
    <w:rsid w:val="005E1BC5"/>
    <w:rsid w:val="005E1C3A"/>
    <w:rsid w:val="005E1D37"/>
    <w:rsid w:val="005E287C"/>
    <w:rsid w:val="005E2991"/>
    <w:rsid w:val="005E2F8B"/>
    <w:rsid w:val="005E30DA"/>
    <w:rsid w:val="005E313D"/>
    <w:rsid w:val="005E377E"/>
    <w:rsid w:val="005E3920"/>
    <w:rsid w:val="005E3AC3"/>
    <w:rsid w:val="005E3D1C"/>
    <w:rsid w:val="005E4062"/>
    <w:rsid w:val="005E4342"/>
    <w:rsid w:val="005E46F4"/>
    <w:rsid w:val="005E4E98"/>
    <w:rsid w:val="005E5063"/>
    <w:rsid w:val="005E554C"/>
    <w:rsid w:val="005E55EB"/>
    <w:rsid w:val="005E5BC8"/>
    <w:rsid w:val="005E5E1E"/>
    <w:rsid w:val="005E5E77"/>
    <w:rsid w:val="005E5F2D"/>
    <w:rsid w:val="005E6290"/>
    <w:rsid w:val="005E664E"/>
    <w:rsid w:val="005E6A28"/>
    <w:rsid w:val="005E6FFF"/>
    <w:rsid w:val="005E73A4"/>
    <w:rsid w:val="005E74E6"/>
    <w:rsid w:val="005E768A"/>
    <w:rsid w:val="005E7A51"/>
    <w:rsid w:val="005E7E09"/>
    <w:rsid w:val="005E7E59"/>
    <w:rsid w:val="005F0A30"/>
    <w:rsid w:val="005F0C6E"/>
    <w:rsid w:val="005F0CAB"/>
    <w:rsid w:val="005F0DFF"/>
    <w:rsid w:val="005F157A"/>
    <w:rsid w:val="005F1810"/>
    <w:rsid w:val="005F21B8"/>
    <w:rsid w:val="005F253B"/>
    <w:rsid w:val="005F2665"/>
    <w:rsid w:val="005F275A"/>
    <w:rsid w:val="005F29D4"/>
    <w:rsid w:val="005F3B6B"/>
    <w:rsid w:val="005F3E29"/>
    <w:rsid w:val="005F3F62"/>
    <w:rsid w:val="005F3FDA"/>
    <w:rsid w:val="005F4075"/>
    <w:rsid w:val="005F413C"/>
    <w:rsid w:val="005F4407"/>
    <w:rsid w:val="005F4AC2"/>
    <w:rsid w:val="005F52BE"/>
    <w:rsid w:val="005F54A6"/>
    <w:rsid w:val="005F568E"/>
    <w:rsid w:val="005F6062"/>
    <w:rsid w:val="005F6335"/>
    <w:rsid w:val="005F66A3"/>
    <w:rsid w:val="005F66AB"/>
    <w:rsid w:val="005F6D5E"/>
    <w:rsid w:val="005F6E9C"/>
    <w:rsid w:val="005F6F3D"/>
    <w:rsid w:val="005F6F61"/>
    <w:rsid w:val="005F7156"/>
    <w:rsid w:val="005F761C"/>
    <w:rsid w:val="005F76B0"/>
    <w:rsid w:val="005F77AC"/>
    <w:rsid w:val="005F791B"/>
    <w:rsid w:val="005F7B2E"/>
    <w:rsid w:val="005F7E95"/>
    <w:rsid w:val="005F7E9A"/>
    <w:rsid w:val="005F7FC7"/>
    <w:rsid w:val="00600526"/>
    <w:rsid w:val="006007BF"/>
    <w:rsid w:val="00600F22"/>
    <w:rsid w:val="00600F83"/>
    <w:rsid w:val="006013A2"/>
    <w:rsid w:val="00601640"/>
    <w:rsid w:val="0060164B"/>
    <w:rsid w:val="00601755"/>
    <w:rsid w:val="00601D53"/>
    <w:rsid w:val="006020DE"/>
    <w:rsid w:val="0060261F"/>
    <w:rsid w:val="006029AC"/>
    <w:rsid w:val="00602B83"/>
    <w:rsid w:val="00602BF4"/>
    <w:rsid w:val="00602CB3"/>
    <w:rsid w:val="00603694"/>
    <w:rsid w:val="00603A1A"/>
    <w:rsid w:val="0060453F"/>
    <w:rsid w:val="00604695"/>
    <w:rsid w:val="00604906"/>
    <w:rsid w:val="006050CD"/>
    <w:rsid w:val="0060515F"/>
    <w:rsid w:val="0060535F"/>
    <w:rsid w:val="00605C99"/>
    <w:rsid w:val="00605DCF"/>
    <w:rsid w:val="00606336"/>
    <w:rsid w:val="00606DBC"/>
    <w:rsid w:val="00606E69"/>
    <w:rsid w:val="006072A0"/>
    <w:rsid w:val="006073EF"/>
    <w:rsid w:val="0060747C"/>
    <w:rsid w:val="00607620"/>
    <w:rsid w:val="00607753"/>
    <w:rsid w:val="006078BD"/>
    <w:rsid w:val="00607C43"/>
    <w:rsid w:val="00607DC2"/>
    <w:rsid w:val="00607E17"/>
    <w:rsid w:val="006105BA"/>
    <w:rsid w:val="00610643"/>
    <w:rsid w:val="00610B8E"/>
    <w:rsid w:val="006111E4"/>
    <w:rsid w:val="0061192E"/>
    <w:rsid w:val="00611BE2"/>
    <w:rsid w:val="006121FC"/>
    <w:rsid w:val="006122C6"/>
    <w:rsid w:val="0061246B"/>
    <w:rsid w:val="00612553"/>
    <w:rsid w:val="00612872"/>
    <w:rsid w:val="00612932"/>
    <w:rsid w:val="00612A04"/>
    <w:rsid w:val="00612AB6"/>
    <w:rsid w:val="00612BC6"/>
    <w:rsid w:val="00612EF2"/>
    <w:rsid w:val="00612FA2"/>
    <w:rsid w:val="00613110"/>
    <w:rsid w:val="00613186"/>
    <w:rsid w:val="00613469"/>
    <w:rsid w:val="006138D8"/>
    <w:rsid w:val="00613A06"/>
    <w:rsid w:val="00613A0A"/>
    <w:rsid w:val="00613A99"/>
    <w:rsid w:val="00613F00"/>
    <w:rsid w:val="00614136"/>
    <w:rsid w:val="00614300"/>
    <w:rsid w:val="00614402"/>
    <w:rsid w:val="00614988"/>
    <w:rsid w:val="0061528C"/>
    <w:rsid w:val="00615877"/>
    <w:rsid w:val="00615C5D"/>
    <w:rsid w:val="00615CDA"/>
    <w:rsid w:val="00615D92"/>
    <w:rsid w:val="00616253"/>
    <w:rsid w:val="006163B9"/>
    <w:rsid w:val="006166EF"/>
    <w:rsid w:val="00616993"/>
    <w:rsid w:val="00616C3F"/>
    <w:rsid w:val="00616D54"/>
    <w:rsid w:val="00616F97"/>
    <w:rsid w:val="00616FD7"/>
    <w:rsid w:val="00617081"/>
    <w:rsid w:val="00617204"/>
    <w:rsid w:val="006173AF"/>
    <w:rsid w:val="0061759A"/>
    <w:rsid w:val="006178E5"/>
    <w:rsid w:val="006179FF"/>
    <w:rsid w:val="00617C20"/>
    <w:rsid w:val="00617D68"/>
    <w:rsid w:val="00617D8D"/>
    <w:rsid w:val="006203BD"/>
    <w:rsid w:val="006203D5"/>
    <w:rsid w:val="0062088E"/>
    <w:rsid w:val="00620C03"/>
    <w:rsid w:val="00620CE1"/>
    <w:rsid w:val="00621001"/>
    <w:rsid w:val="00621D42"/>
    <w:rsid w:val="00621E8D"/>
    <w:rsid w:val="00621F62"/>
    <w:rsid w:val="006225F3"/>
    <w:rsid w:val="006228CA"/>
    <w:rsid w:val="006230EE"/>
    <w:rsid w:val="0062341E"/>
    <w:rsid w:val="0062357F"/>
    <w:rsid w:val="0062386A"/>
    <w:rsid w:val="00623B50"/>
    <w:rsid w:val="00623BA6"/>
    <w:rsid w:val="00623D4D"/>
    <w:rsid w:val="0062401F"/>
    <w:rsid w:val="00624BED"/>
    <w:rsid w:val="00624C04"/>
    <w:rsid w:val="00624E5B"/>
    <w:rsid w:val="0062510A"/>
    <w:rsid w:val="0062510C"/>
    <w:rsid w:val="0062516C"/>
    <w:rsid w:val="006256B9"/>
    <w:rsid w:val="00625C65"/>
    <w:rsid w:val="00625D23"/>
    <w:rsid w:val="006260ED"/>
    <w:rsid w:val="00626130"/>
    <w:rsid w:val="00626261"/>
    <w:rsid w:val="006268B9"/>
    <w:rsid w:val="0062694F"/>
    <w:rsid w:val="00626B0E"/>
    <w:rsid w:val="00626C28"/>
    <w:rsid w:val="00626D52"/>
    <w:rsid w:val="00626E44"/>
    <w:rsid w:val="006275E0"/>
    <w:rsid w:val="00627889"/>
    <w:rsid w:val="00627E21"/>
    <w:rsid w:val="00630063"/>
    <w:rsid w:val="0063024A"/>
    <w:rsid w:val="00630972"/>
    <w:rsid w:val="00630A21"/>
    <w:rsid w:val="00630B46"/>
    <w:rsid w:val="00631133"/>
    <w:rsid w:val="00631383"/>
    <w:rsid w:val="006317AF"/>
    <w:rsid w:val="0063209A"/>
    <w:rsid w:val="00632695"/>
    <w:rsid w:val="006327D1"/>
    <w:rsid w:val="00632A9E"/>
    <w:rsid w:val="00632ADB"/>
    <w:rsid w:val="00632DAD"/>
    <w:rsid w:val="00632E3B"/>
    <w:rsid w:val="00632FBD"/>
    <w:rsid w:val="006335BF"/>
    <w:rsid w:val="006338CD"/>
    <w:rsid w:val="00633A3E"/>
    <w:rsid w:val="00633A93"/>
    <w:rsid w:val="00633F55"/>
    <w:rsid w:val="00634099"/>
    <w:rsid w:val="006342A4"/>
    <w:rsid w:val="00634383"/>
    <w:rsid w:val="0063442E"/>
    <w:rsid w:val="006344B2"/>
    <w:rsid w:val="00634752"/>
    <w:rsid w:val="0063498A"/>
    <w:rsid w:val="00634B5C"/>
    <w:rsid w:val="00634E55"/>
    <w:rsid w:val="00634E5C"/>
    <w:rsid w:val="006351F7"/>
    <w:rsid w:val="006351FC"/>
    <w:rsid w:val="006352AC"/>
    <w:rsid w:val="00635310"/>
    <w:rsid w:val="00635A70"/>
    <w:rsid w:val="00636290"/>
    <w:rsid w:val="006362AA"/>
    <w:rsid w:val="006364A4"/>
    <w:rsid w:val="006364DE"/>
    <w:rsid w:val="006366BC"/>
    <w:rsid w:val="0063695B"/>
    <w:rsid w:val="00636A0D"/>
    <w:rsid w:val="00636B1F"/>
    <w:rsid w:val="00636B71"/>
    <w:rsid w:val="006373C9"/>
    <w:rsid w:val="0063742F"/>
    <w:rsid w:val="006374D1"/>
    <w:rsid w:val="00637F7C"/>
    <w:rsid w:val="0064008C"/>
    <w:rsid w:val="006402E5"/>
    <w:rsid w:val="0064084E"/>
    <w:rsid w:val="00640950"/>
    <w:rsid w:val="00640EF8"/>
    <w:rsid w:val="006411CA"/>
    <w:rsid w:val="006414D1"/>
    <w:rsid w:val="00641573"/>
    <w:rsid w:val="00641962"/>
    <w:rsid w:val="00641C5E"/>
    <w:rsid w:val="00641E1F"/>
    <w:rsid w:val="006420EB"/>
    <w:rsid w:val="006427A5"/>
    <w:rsid w:val="00642810"/>
    <w:rsid w:val="00642F76"/>
    <w:rsid w:val="0064303C"/>
    <w:rsid w:val="00643049"/>
    <w:rsid w:val="0064314A"/>
    <w:rsid w:val="006435DD"/>
    <w:rsid w:val="00643BEE"/>
    <w:rsid w:val="00643DC9"/>
    <w:rsid w:val="00644479"/>
    <w:rsid w:val="006445E5"/>
    <w:rsid w:val="00644797"/>
    <w:rsid w:val="006447AA"/>
    <w:rsid w:val="00645404"/>
    <w:rsid w:val="00645463"/>
    <w:rsid w:val="0064582A"/>
    <w:rsid w:val="006459D1"/>
    <w:rsid w:val="00645A3C"/>
    <w:rsid w:val="00645BA1"/>
    <w:rsid w:val="00645F84"/>
    <w:rsid w:val="00645FBA"/>
    <w:rsid w:val="006460CC"/>
    <w:rsid w:val="00646270"/>
    <w:rsid w:val="00646683"/>
    <w:rsid w:val="00646D1E"/>
    <w:rsid w:val="00647229"/>
    <w:rsid w:val="006473DC"/>
    <w:rsid w:val="00647CF2"/>
    <w:rsid w:val="006501AD"/>
    <w:rsid w:val="00650290"/>
    <w:rsid w:val="0065042C"/>
    <w:rsid w:val="00650544"/>
    <w:rsid w:val="0065099E"/>
    <w:rsid w:val="00650F16"/>
    <w:rsid w:val="00651D1D"/>
    <w:rsid w:val="00651E6C"/>
    <w:rsid w:val="00651F79"/>
    <w:rsid w:val="0065255C"/>
    <w:rsid w:val="006527C7"/>
    <w:rsid w:val="00652DDE"/>
    <w:rsid w:val="0065307F"/>
    <w:rsid w:val="00653087"/>
    <w:rsid w:val="006531A8"/>
    <w:rsid w:val="006533D9"/>
    <w:rsid w:val="00653640"/>
    <w:rsid w:val="006536AA"/>
    <w:rsid w:val="006536BA"/>
    <w:rsid w:val="00653CE2"/>
    <w:rsid w:val="00653D14"/>
    <w:rsid w:val="006546A2"/>
    <w:rsid w:val="00654832"/>
    <w:rsid w:val="00654D4C"/>
    <w:rsid w:val="006552B1"/>
    <w:rsid w:val="006554FE"/>
    <w:rsid w:val="00655848"/>
    <w:rsid w:val="00655893"/>
    <w:rsid w:val="00655937"/>
    <w:rsid w:val="006562A9"/>
    <w:rsid w:val="006562EB"/>
    <w:rsid w:val="0065696C"/>
    <w:rsid w:val="00656C0C"/>
    <w:rsid w:val="00656FDF"/>
    <w:rsid w:val="006570B5"/>
    <w:rsid w:val="00657C1A"/>
    <w:rsid w:val="0066015D"/>
    <w:rsid w:val="0066049C"/>
    <w:rsid w:val="006607B1"/>
    <w:rsid w:val="00660F16"/>
    <w:rsid w:val="006612B7"/>
    <w:rsid w:val="006617A2"/>
    <w:rsid w:val="006618B8"/>
    <w:rsid w:val="00661AB5"/>
    <w:rsid w:val="00661B81"/>
    <w:rsid w:val="006622D6"/>
    <w:rsid w:val="00662556"/>
    <w:rsid w:val="0066264F"/>
    <w:rsid w:val="00662A99"/>
    <w:rsid w:val="00662CD1"/>
    <w:rsid w:val="00662CFB"/>
    <w:rsid w:val="00662E96"/>
    <w:rsid w:val="006632E9"/>
    <w:rsid w:val="006635D1"/>
    <w:rsid w:val="00663763"/>
    <w:rsid w:val="00663D05"/>
    <w:rsid w:val="00664306"/>
    <w:rsid w:val="006646E2"/>
    <w:rsid w:val="00664931"/>
    <w:rsid w:val="006649FB"/>
    <w:rsid w:val="006650BB"/>
    <w:rsid w:val="006652DE"/>
    <w:rsid w:val="0066541F"/>
    <w:rsid w:val="00665611"/>
    <w:rsid w:val="00665A58"/>
    <w:rsid w:val="00665D02"/>
    <w:rsid w:val="006665C0"/>
    <w:rsid w:val="00666663"/>
    <w:rsid w:val="0066711D"/>
    <w:rsid w:val="0066765D"/>
    <w:rsid w:val="00667842"/>
    <w:rsid w:val="0066789C"/>
    <w:rsid w:val="00667B91"/>
    <w:rsid w:val="00667C55"/>
    <w:rsid w:val="00667EDB"/>
    <w:rsid w:val="006702A8"/>
    <w:rsid w:val="006702B4"/>
    <w:rsid w:val="00670401"/>
    <w:rsid w:val="006704FE"/>
    <w:rsid w:val="006706E0"/>
    <w:rsid w:val="0067089D"/>
    <w:rsid w:val="00670A1F"/>
    <w:rsid w:val="00670CA1"/>
    <w:rsid w:val="00670CD7"/>
    <w:rsid w:val="00671530"/>
    <w:rsid w:val="00671979"/>
    <w:rsid w:val="00671991"/>
    <w:rsid w:val="00671DD8"/>
    <w:rsid w:val="00671E4C"/>
    <w:rsid w:val="00672128"/>
    <w:rsid w:val="006721D2"/>
    <w:rsid w:val="006728E1"/>
    <w:rsid w:val="00672F13"/>
    <w:rsid w:val="00672F74"/>
    <w:rsid w:val="00673008"/>
    <w:rsid w:val="00673253"/>
    <w:rsid w:val="00673457"/>
    <w:rsid w:val="00673DC3"/>
    <w:rsid w:val="006743C6"/>
    <w:rsid w:val="00674507"/>
    <w:rsid w:val="00675136"/>
    <w:rsid w:val="006752E5"/>
    <w:rsid w:val="0067548A"/>
    <w:rsid w:val="00675676"/>
    <w:rsid w:val="006759A2"/>
    <w:rsid w:val="00675B69"/>
    <w:rsid w:val="00675E1A"/>
    <w:rsid w:val="00676BFE"/>
    <w:rsid w:val="00677101"/>
    <w:rsid w:val="00677439"/>
    <w:rsid w:val="00677458"/>
    <w:rsid w:val="00677629"/>
    <w:rsid w:val="00677CE9"/>
    <w:rsid w:val="00677D05"/>
    <w:rsid w:val="00677D4D"/>
    <w:rsid w:val="00677E0A"/>
    <w:rsid w:val="006805AD"/>
    <w:rsid w:val="006805B7"/>
    <w:rsid w:val="00680675"/>
    <w:rsid w:val="00680D24"/>
    <w:rsid w:val="00680D38"/>
    <w:rsid w:val="0068143B"/>
    <w:rsid w:val="00681471"/>
    <w:rsid w:val="0068150C"/>
    <w:rsid w:val="0068192A"/>
    <w:rsid w:val="00681B4A"/>
    <w:rsid w:val="00682269"/>
    <w:rsid w:val="00682340"/>
    <w:rsid w:val="00682453"/>
    <w:rsid w:val="00682656"/>
    <w:rsid w:val="00682708"/>
    <w:rsid w:val="00682709"/>
    <w:rsid w:val="00682DF7"/>
    <w:rsid w:val="00683007"/>
    <w:rsid w:val="0068301C"/>
    <w:rsid w:val="00683329"/>
    <w:rsid w:val="006834DE"/>
    <w:rsid w:val="006835DC"/>
    <w:rsid w:val="0068382A"/>
    <w:rsid w:val="00684497"/>
    <w:rsid w:val="006848FE"/>
    <w:rsid w:val="00684C59"/>
    <w:rsid w:val="00684E6D"/>
    <w:rsid w:val="00684F5C"/>
    <w:rsid w:val="00685157"/>
    <w:rsid w:val="0068516E"/>
    <w:rsid w:val="006852BD"/>
    <w:rsid w:val="0068531D"/>
    <w:rsid w:val="0068533A"/>
    <w:rsid w:val="00685940"/>
    <w:rsid w:val="00685B0E"/>
    <w:rsid w:val="00685B39"/>
    <w:rsid w:val="00685BEF"/>
    <w:rsid w:val="0068684D"/>
    <w:rsid w:val="006870AC"/>
    <w:rsid w:val="00687168"/>
    <w:rsid w:val="006876E7"/>
    <w:rsid w:val="00687943"/>
    <w:rsid w:val="00687A67"/>
    <w:rsid w:val="00687FC1"/>
    <w:rsid w:val="00690446"/>
    <w:rsid w:val="006908C2"/>
    <w:rsid w:val="00691958"/>
    <w:rsid w:val="00691BEF"/>
    <w:rsid w:val="00691C0E"/>
    <w:rsid w:val="00691E23"/>
    <w:rsid w:val="00692013"/>
    <w:rsid w:val="006923CF"/>
    <w:rsid w:val="00692618"/>
    <w:rsid w:val="006928A6"/>
    <w:rsid w:val="006928E8"/>
    <w:rsid w:val="00693245"/>
    <w:rsid w:val="00693831"/>
    <w:rsid w:val="00693AA2"/>
    <w:rsid w:val="00693E75"/>
    <w:rsid w:val="00694289"/>
    <w:rsid w:val="006942BB"/>
    <w:rsid w:val="006944C7"/>
    <w:rsid w:val="00694528"/>
    <w:rsid w:val="0069482E"/>
    <w:rsid w:val="00694CD6"/>
    <w:rsid w:val="00694DCA"/>
    <w:rsid w:val="00694E20"/>
    <w:rsid w:val="00694FB3"/>
    <w:rsid w:val="00695A57"/>
    <w:rsid w:val="00695B0D"/>
    <w:rsid w:val="00695BC2"/>
    <w:rsid w:val="00695DCE"/>
    <w:rsid w:val="00695FF7"/>
    <w:rsid w:val="00696173"/>
    <w:rsid w:val="00696518"/>
    <w:rsid w:val="00696D92"/>
    <w:rsid w:val="006973A7"/>
    <w:rsid w:val="00697658"/>
    <w:rsid w:val="0069797D"/>
    <w:rsid w:val="00697B7D"/>
    <w:rsid w:val="006A0232"/>
    <w:rsid w:val="006A0541"/>
    <w:rsid w:val="006A0642"/>
    <w:rsid w:val="006A0AF0"/>
    <w:rsid w:val="006A0B6F"/>
    <w:rsid w:val="006A0ECA"/>
    <w:rsid w:val="006A105B"/>
    <w:rsid w:val="006A16EE"/>
    <w:rsid w:val="006A1A46"/>
    <w:rsid w:val="006A1A69"/>
    <w:rsid w:val="006A1EEE"/>
    <w:rsid w:val="006A23ED"/>
    <w:rsid w:val="006A2906"/>
    <w:rsid w:val="006A2AC2"/>
    <w:rsid w:val="006A3653"/>
    <w:rsid w:val="006A4803"/>
    <w:rsid w:val="006A48C3"/>
    <w:rsid w:val="006A4A34"/>
    <w:rsid w:val="006A4FE5"/>
    <w:rsid w:val="006A509F"/>
    <w:rsid w:val="006A5213"/>
    <w:rsid w:val="006A5229"/>
    <w:rsid w:val="006A5299"/>
    <w:rsid w:val="006A580E"/>
    <w:rsid w:val="006A5AF6"/>
    <w:rsid w:val="006A6718"/>
    <w:rsid w:val="006A694B"/>
    <w:rsid w:val="006A6D5F"/>
    <w:rsid w:val="006A6DB4"/>
    <w:rsid w:val="006A76A4"/>
    <w:rsid w:val="006A77BF"/>
    <w:rsid w:val="006A790B"/>
    <w:rsid w:val="006A7A2D"/>
    <w:rsid w:val="006A7A59"/>
    <w:rsid w:val="006A7C0D"/>
    <w:rsid w:val="006A7EA0"/>
    <w:rsid w:val="006A7ED9"/>
    <w:rsid w:val="006B065F"/>
    <w:rsid w:val="006B0944"/>
    <w:rsid w:val="006B0C53"/>
    <w:rsid w:val="006B0D8D"/>
    <w:rsid w:val="006B0E44"/>
    <w:rsid w:val="006B0EFA"/>
    <w:rsid w:val="006B108A"/>
    <w:rsid w:val="006B163E"/>
    <w:rsid w:val="006B1D4C"/>
    <w:rsid w:val="006B1DDF"/>
    <w:rsid w:val="006B1FC6"/>
    <w:rsid w:val="006B20FC"/>
    <w:rsid w:val="006B263A"/>
    <w:rsid w:val="006B26A4"/>
    <w:rsid w:val="006B2757"/>
    <w:rsid w:val="006B27F4"/>
    <w:rsid w:val="006B2837"/>
    <w:rsid w:val="006B2BA9"/>
    <w:rsid w:val="006B2C77"/>
    <w:rsid w:val="006B2E3D"/>
    <w:rsid w:val="006B37B0"/>
    <w:rsid w:val="006B38EA"/>
    <w:rsid w:val="006B3919"/>
    <w:rsid w:val="006B4222"/>
    <w:rsid w:val="006B438D"/>
    <w:rsid w:val="006B43BC"/>
    <w:rsid w:val="006B4406"/>
    <w:rsid w:val="006B4413"/>
    <w:rsid w:val="006B471C"/>
    <w:rsid w:val="006B495F"/>
    <w:rsid w:val="006B49E9"/>
    <w:rsid w:val="006B514D"/>
    <w:rsid w:val="006B5201"/>
    <w:rsid w:val="006B52DB"/>
    <w:rsid w:val="006B5483"/>
    <w:rsid w:val="006B55F8"/>
    <w:rsid w:val="006B59C2"/>
    <w:rsid w:val="006B5D17"/>
    <w:rsid w:val="006B5FCE"/>
    <w:rsid w:val="006B6069"/>
    <w:rsid w:val="006B617D"/>
    <w:rsid w:val="006B6203"/>
    <w:rsid w:val="006B65F5"/>
    <w:rsid w:val="006B6E24"/>
    <w:rsid w:val="006B6E4D"/>
    <w:rsid w:val="006B7122"/>
    <w:rsid w:val="006B7AAD"/>
    <w:rsid w:val="006B7C66"/>
    <w:rsid w:val="006B7D99"/>
    <w:rsid w:val="006B7D9D"/>
    <w:rsid w:val="006C03A8"/>
    <w:rsid w:val="006C051B"/>
    <w:rsid w:val="006C0699"/>
    <w:rsid w:val="006C0859"/>
    <w:rsid w:val="006C0980"/>
    <w:rsid w:val="006C0D00"/>
    <w:rsid w:val="006C13EA"/>
    <w:rsid w:val="006C177E"/>
    <w:rsid w:val="006C1A14"/>
    <w:rsid w:val="006C1E38"/>
    <w:rsid w:val="006C1EC7"/>
    <w:rsid w:val="006C238B"/>
    <w:rsid w:val="006C25E6"/>
    <w:rsid w:val="006C2809"/>
    <w:rsid w:val="006C2CB8"/>
    <w:rsid w:val="006C2D1E"/>
    <w:rsid w:val="006C2D65"/>
    <w:rsid w:val="006C3084"/>
    <w:rsid w:val="006C375A"/>
    <w:rsid w:val="006C3B24"/>
    <w:rsid w:val="006C3BCB"/>
    <w:rsid w:val="006C3C6F"/>
    <w:rsid w:val="006C3EB7"/>
    <w:rsid w:val="006C4082"/>
    <w:rsid w:val="006C4183"/>
    <w:rsid w:val="006C4836"/>
    <w:rsid w:val="006C4972"/>
    <w:rsid w:val="006C5212"/>
    <w:rsid w:val="006C5276"/>
    <w:rsid w:val="006C5358"/>
    <w:rsid w:val="006C542D"/>
    <w:rsid w:val="006C54A5"/>
    <w:rsid w:val="006C5EFC"/>
    <w:rsid w:val="006C60C8"/>
    <w:rsid w:val="006C6407"/>
    <w:rsid w:val="006C6515"/>
    <w:rsid w:val="006C66EA"/>
    <w:rsid w:val="006C6AEF"/>
    <w:rsid w:val="006C6B30"/>
    <w:rsid w:val="006C70BB"/>
    <w:rsid w:val="006C764E"/>
    <w:rsid w:val="006C7F26"/>
    <w:rsid w:val="006C7F56"/>
    <w:rsid w:val="006D006A"/>
    <w:rsid w:val="006D0141"/>
    <w:rsid w:val="006D02B3"/>
    <w:rsid w:val="006D0355"/>
    <w:rsid w:val="006D06A5"/>
    <w:rsid w:val="006D0755"/>
    <w:rsid w:val="006D08FB"/>
    <w:rsid w:val="006D14F8"/>
    <w:rsid w:val="006D155C"/>
    <w:rsid w:val="006D15A8"/>
    <w:rsid w:val="006D1A19"/>
    <w:rsid w:val="006D1D81"/>
    <w:rsid w:val="006D1D8D"/>
    <w:rsid w:val="006D1E58"/>
    <w:rsid w:val="006D1FB9"/>
    <w:rsid w:val="006D24A3"/>
    <w:rsid w:val="006D24A7"/>
    <w:rsid w:val="006D24BE"/>
    <w:rsid w:val="006D291F"/>
    <w:rsid w:val="006D2DE0"/>
    <w:rsid w:val="006D317B"/>
    <w:rsid w:val="006D3500"/>
    <w:rsid w:val="006D36E0"/>
    <w:rsid w:val="006D3CCB"/>
    <w:rsid w:val="006D3EBF"/>
    <w:rsid w:val="006D4226"/>
    <w:rsid w:val="006D4557"/>
    <w:rsid w:val="006D4761"/>
    <w:rsid w:val="006D49BE"/>
    <w:rsid w:val="006D4C0E"/>
    <w:rsid w:val="006D51A8"/>
    <w:rsid w:val="006D5565"/>
    <w:rsid w:val="006D5733"/>
    <w:rsid w:val="006D5A43"/>
    <w:rsid w:val="006D5A96"/>
    <w:rsid w:val="006D5CC8"/>
    <w:rsid w:val="006D5ED4"/>
    <w:rsid w:val="006D5F36"/>
    <w:rsid w:val="006D5F89"/>
    <w:rsid w:val="006D6153"/>
    <w:rsid w:val="006D67A4"/>
    <w:rsid w:val="006D6B68"/>
    <w:rsid w:val="006D6CB2"/>
    <w:rsid w:val="006D6D7E"/>
    <w:rsid w:val="006D708E"/>
    <w:rsid w:val="006D7193"/>
    <w:rsid w:val="006D72C0"/>
    <w:rsid w:val="006D7401"/>
    <w:rsid w:val="006D7535"/>
    <w:rsid w:val="006D7A9A"/>
    <w:rsid w:val="006D7CD2"/>
    <w:rsid w:val="006D7CFE"/>
    <w:rsid w:val="006D7E0B"/>
    <w:rsid w:val="006E0E1F"/>
    <w:rsid w:val="006E0E4D"/>
    <w:rsid w:val="006E1A6F"/>
    <w:rsid w:val="006E1A8D"/>
    <w:rsid w:val="006E1EC0"/>
    <w:rsid w:val="006E1F08"/>
    <w:rsid w:val="006E1FF3"/>
    <w:rsid w:val="006E216E"/>
    <w:rsid w:val="006E2553"/>
    <w:rsid w:val="006E2902"/>
    <w:rsid w:val="006E2D82"/>
    <w:rsid w:val="006E3117"/>
    <w:rsid w:val="006E31A7"/>
    <w:rsid w:val="006E31E0"/>
    <w:rsid w:val="006E3772"/>
    <w:rsid w:val="006E38D9"/>
    <w:rsid w:val="006E420E"/>
    <w:rsid w:val="006E46D0"/>
    <w:rsid w:val="006E52E8"/>
    <w:rsid w:val="006E52F0"/>
    <w:rsid w:val="006E595D"/>
    <w:rsid w:val="006E6156"/>
    <w:rsid w:val="006E62B0"/>
    <w:rsid w:val="006E642B"/>
    <w:rsid w:val="006E6642"/>
    <w:rsid w:val="006E6655"/>
    <w:rsid w:val="006E6B79"/>
    <w:rsid w:val="006E6CE0"/>
    <w:rsid w:val="006E6DFD"/>
    <w:rsid w:val="006E744D"/>
    <w:rsid w:val="006E76C6"/>
    <w:rsid w:val="006E785C"/>
    <w:rsid w:val="006E7B07"/>
    <w:rsid w:val="006F00AA"/>
    <w:rsid w:val="006F067C"/>
    <w:rsid w:val="006F099C"/>
    <w:rsid w:val="006F0D76"/>
    <w:rsid w:val="006F1178"/>
    <w:rsid w:val="006F11C3"/>
    <w:rsid w:val="006F130D"/>
    <w:rsid w:val="006F134E"/>
    <w:rsid w:val="006F1601"/>
    <w:rsid w:val="006F1663"/>
    <w:rsid w:val="006F1D61"/>
    <w:rsid w:val="006F1E7A"/>
    <w:rsid w:val="006F1EB5"/>
    <w:rsid w:val="006F1EBF"/>
    <w:rsid w:val="006F233B"/>
    <w:rsid w:val="006F243C"/>
    <w:rsid w:val="006F25B1"/>
    <w:rsid w:val="006F2D85"/>
    <w:rsid w:val="006F344D"/>
    <w:rsid w:val="006F3556"/>
    <w:rsid w:val="006F3810"/>
    <w:rsid w:val="006F3917"/>
    <w:rsid w:val="006F3B0B"/>
    <w:rsid w:val="006F3E59"/>
    <w:rsid w:val="006F423C"/>
    <w:rsid w:val="006F432C"/>
    <w:rsid w:val="006F4533"/>
    <w:rsid w:val="006F45DD"/>
    <w:rsid w:val="006F4603"/>
    <w:rsid w:val="006F486C"/>
    <w:rsid w:val="006F4908"/>
    <w:rsid w:val="006F49DB"/>
    <w:rsid w:val="006F4DDE"/>
    <w:rsid w:val="006F51BD"/>
    <w:rsid w:val="006F5850"/>
    <w:rsid w:val="006F5DB7"/>
    <w:rsid w:val="006F651E"/>
    <w:rsid w:val="006F6B12"/>
    <w:rsid w:val="006F6C03"/>
    <w:rsid w:val="006F7102"/>
    <w:rsid w:val="006F71D9"/>
    <w:rsid w:val="006F76A8"/>
    <w:rsid w:val="006F7B17"/>
    <w:rsid w:val="006F7C1F"/>
    <w:rsid w:val="006F7F5C"/>
    <w:rsid w:val="0070039F"/>
    <w:rsid w:val="007003D3"/>
    <w:rsid w:val="007005B7"/>
    <w:rsid w:val="00700764"/>
    <w:rsid w:val="007009BA"/>
    <w:rsid w:val="007011F9"/>
    <w:rsid w:val="00701B4A"/>
    <w:rsid w:val="0070219D"/>
    <w:rsid w:val="00702275"/>
    <w:rsid w:val="007026FB"/>
    <w:rsid w:val="00702DBB"/>
    <w:rsid w:val="00702EE1"/>
    <w:rsid w:val="0070396C"/>
    <w:rsid w:val="00703B41"/>
    <w:rsid w:val="007041EA"/>
    <w:rsid w:val="00704381"/>
    <w:rsid w:val="0070489B"/>
    <w:rsid w:val="00704B20"/>
    <w:rsid w:val="00705125"/>
    <w:rsid w:val="007054AB"/>
    <w:rsid w:val="00705583"/>
    <w:rsid w:val="00705813"/>
    <w:rsid w:val="007058FF"/>
    <w:rsid w:val="00705B16"/>
    <w:rsid w:val="00705B35"/>
    <w:rsid w:val="00705C50"/>
    <w:rsid w:val="00705ECA"/>
    <w:rsid w:val="0070678E"/>
    <w:rsid w:val="00706EBF"/>
    <w:rsid w:val="00706F4E"/>
    <w:rsid w:val="00707743"/>
    <w:rsid w:val="00707866"/>
    <w:rsid w:val="00707EE4"/>
    <w:rsid w:val="007100E6"/>
    <w:rsid w:val="007106F8"/>
    <w:rsid w:val="0071090E"/>
    <w:rsid w:val="00710933"/>
    <w:rsid w:val="00710C0E"/>
    <w:rsid w:val="00710D12"/>
    <w:rsid w:val="00710DC2"/>
    <w:rsid w:val="0071114E"/>
    <w:rsid w:val="00711174"/>
    <w:rsid w:val="00711402"/>
    <w:rsid w:val="00711454"/>
    <w:rsid w:val="007115A4"/>
    <w:rsid w:val="00711702"/>
    <w:rsid w:val="007117B4"/>
    <w:rsid w:val="00711DBD"/>
    <w:rsid w:val="00711E01"/>
    <w:rsid w:val="00712144"/>
    <w:rsid w:val="00712740"/>
    <w:rsid w:val="00712A08"/>
    <w:rsid w:val="00712B14"/>
    <w:rsid w:val="00712C3E"/>
    <w:rsid w:val="00713483"/>
    <w:rsid w:val="0071363D"/>
    <w:rsid w:val="0071374A"/>
    <w:rsid w:val="00713908"/>
    <w:rsid w:val="00713AE7"/>
    <w:rsid w:val="00713D10"/>
    <w:rsid w:val="00713D95"/>
    <w:rsid w:val="00713DB2"/>
    <w:rsid w:val="007146A1"/>
    <w:rsid w:val="0071487D"/>
    <w:rsid w:val="0071492D"/>
    <w:rsid w:val="007149C1"/>
    <w:rsid w:val="00714FCF"/>
    <w:rsid w:val="007156EB"/>
    <w:rsid w:val="00715B8F"/>
    <w:rsid w:val="00715EFF"/>
    <w:rsid w:val="0071612E"/>
    <w:rsid w:val="0071644F"/>
    <w:rsid w:val="0071645A"/>
    <w:rsid w:val="007164ED"/>
    <w:rsid w:val="00716772"/>
    <w:rsid w:val="00716F00"/>
    <w:rsid w:val="007171CD"/>
    <w:rsid w:val="0071794A"/>
    <w:rsid w:val="00717D0A"/>
    <w:rsid w:val="00717D61"/>
    <w:rsid w:val="007205F4"/>
    <w:rsid w:val="0072062B"/>
    <w:rsid w:val="00720DA0"/>
    <w:rsid w:val="007211EB"/>
    <w:rsid w:val="00721781"/>
    <w:rsid w:val="00721795"/>
    <w:rsid w:val="00721EBC"/>
    <w:rsid w:val="00722380"/>
    <w:rsid w:val="0072244E"/>
    <w:rsid w:val="00722452"/>
    <w:rsid w:val="0072280A"/>
    <w:rsid w:val="0072285D"/>
    <w:rsid w:val="00722933"/>
    <w:rsid w:val="00722C57"/>
    <w:rsid w:val="00722FE9"/>
    <w:rsid w:val="007230B9"/>
    <w:rsid w:val="00723189"/>
    <w:rsid w:val="00723249"/>
    <w:rsid w:val="00723436"/>
    <w:rsid w:val="0072343B"/>
    <w:rsid w:val="007237F7"/>
    <w:rsid w:val="00723BEB"/>
    <w:rsid w:val="00724416"/>
    <w:rsid w:val="007246D7"/>
    <w:rsid w:val="00724D3F"/>
    <w:rsid w:val="0072597B"/>
    <w:rsid w:val="00726083"/>
    <w:rsid w:val="00726090"/>
    <w:rsid w:val="0072609A"/>
    <w:rsid w:val="007261CC"/>
    <w:rsid w:val="007263A3"/>
    <w:rsid w:val="00726D0A"/>
    <w:rsid w:val="007274CE"/>
    <w:rsid w:val="0072765A"/>
    <w:rsid w:val="007277A2"/>
    <w:rsid w:val="0072798B"/>
    <w:rsid w:val="00727AC4"/>
    <w:rsid w:val="007301C5"/>
    <w:rsid w:val="00730296"/>
    <w:rsid w:val="007302F9"/>
    <w:rsid w:val="00730B1A"/>
    <w:rsid w:val="00730F70"/>
    <w:rsid w:val="007312BE"/>
    <w:rsid w:val="007312D7"/>
    <w:rsid w:val="007316D0"/>
    <w:rsid w:val="00731A6A"/>
    <w:rsid w:val="00732207"/>
    <w:rsid w:val="00732438"/>
    <w:rsid w:val="0073300E"/>
    <w:rsid w:val="007333D1"/>
    <w:rsid w:val="00733F9F"/>
    <w:rsid w:val="007346E7"/>
    <w:rsid w:val="00734D5E"/>
    <w:rsid w:val="0073512C"/>
    <w:rsid w:val="007351E7"/>
    <w:rsid w:val="00735452"/>
    <w:rsid w:val="00735861"/>
    <w:rsid w:val="00735A3C"/>
    <w:rsid w:val="00735B68"/>
    <w:rsid w:val="00735BB0"/>
    <w:rsid w:val="00735EDE"/>
    <w:rsid w:val="007360EC"/>
    <w:rsid w:val="0073625B"/>
    <w:rsid w:val="0073655C"/>
    <w:rsid w:val="00736AB7"/>
    <w:rsid w:val="00736D49"/>
    <w:rsid w:val="00737373"/>
    <w:rsid w:val="007373CB"/>
    <w:rsid w:val="00737473"/>
    <w:rsid w:val="00737650"/>
    <w:rsid w:val="007376FB"/>
    <w:rsid w:val="00737816"/>
    <w:rsid w:val="0074045F"/>
    <w:rsid w:val="007404AB"/>
    <w:rsid w:val="00740C10"/>
    <w:rsid w:val="00740EFF"/>
    <w:rsid w:val="007411ED"/>
    <w:rsid w:val="00741296"/>
    <w:rsid w:val="00741959"/>
    <w:rsid w:val="00741DA4"/>
    <w:rsid w:val="00741DB0"/>
    <w:rsid w:val="007420F4"/>
    <w:rsid w:val="00742142"/>
    <w:rsid w:val="00742231"/>
    <w:rsid w:val="00742498"/>
    <w:rsid w:val="007426C1"/>
    <w:rsid w:val="007428FF"/>
    <w:rsid w:val="00742918"/>
    <w:rsid w:val="00742A84"/>
    <w:rsid w:val="00742D6E"/>
    <w:rsid w:val="00744628"/>
    <w:rsid w:val="007446A6"/>
    <w:rsid w:val="00744C5D"/>
    <w:rsid w:val="00745164"/>
    <w:rsid w:val="007451BE"/>
    <w:rsid w:val="00745542"/>
    <w:rsid w:val="007456FE"/>
    <w:rsid w:val="00745708"/>
    <w:rsid w:val="00745834"/>
    <w:rsid w:val="00745E79"/>
    <w:rsid w:val="007460A3"/>
    <w:rsid w:val="007463BF"/>
    <w:rsid w:val="00746531"/>
    <w:rsid w:val="00746580"/>
    <w:rsid w:val="007468DE"/>
    <w:rsid w:val="00746CA9"/>
    <w:rsid w:val="00746DAF"/>
    <w:rsid w:val="0074778F"/>
    <w:rsid w:val="00747926"/>
    <w:rsid w:val="00747B7E"/>
    <w:rsid w:val="00747D64"/>
    <w:rsid w:val="00750093"/>
    <w:rsid w:val="007500D4"/>
    <w:rsid w:val="00750494"/>
    <w:rsid w:val="0075090C"/>
    <w:rsid w:val="00750AE6"/>
    <w:rsid w:val="00750C41"/>
    <w:rsid w:val="00751156"/>
    <w:rsid w:val="00751533"/>
    <w:rsid w:val="00751695"/>
    <w:rsid w:val="00752063"/>
    <w:rsid w:val="0075231D"/>
    <w:rsid w:val="007523D5"/>
    <w:rsid w:val="0075288E"/>
    <w:rsid w:val="00752AAD"/>
    <w:rsid w:val="00752B12"/>
    <w:rsid w:val="00752E91"/>
    <w:rsid w:val="0075349A"/>
    <w:rsid w:val="00753CD7"/>
    <w:rsid w:val="00753E95"/>
    <w:rsid w:val="00754414"/>
    <w:rsid w:val="00754893"/>
    <w:rsid w:val="007548EA"/>
    <w:rsid w:val="007552BE"/>
    <w:rsid w:val="007557C0"/>
    <w:rsid w:val="007558AA"/>
    <w:rsid w:val="00755ABC"/>
    <w:rsid w:val="00755B89"/>
    <w:rsid w:val="00755C9B"/>
    <w:rsid w:val="00755CA4"/>
    <w:rsid w:val="00755E46"/>
    <w:rsid w:val="0075617F"/>
    <w:rsid w:val="00756521"/>
    <w:rsid w:val="0075673B"/>
    <w:rsid w:val="007567EA"/>
    <w:rsid w:val="0075682F"/>
    <w:rsid w:val="0075696C"/>
    <w:rsid w:val="00756C8C"/>
    <w:rsid w:val="007571E6"/>
    <w:rsid w:val="00757268"/>
    <w:rsid w:val="00757C54"/>
    <w:rsid w:val="007600C9"/>
    <w:rsid w:val="007605CB"/>
    <w:rsid w:val="00760B7F"/>
    <w:rsid w:val="00760CE0"/>
    <w:rsid w:val="00760E3B"/>
    <w:rsid w:val="0076133E"/>
    <w:rsid w:val="00761346"/>
    <w:rsid w:val="0076135A"/>
    <w:rsid w:val="007613CF"/>
    <w:rsid w:val="007616A0"/>
    <w:rsid w:val="00761E1B"/>
    <w:rsid w:val="00762805"/>
    <w:rsid w:val="0076296B"/>
    <w:rsid w:val="00762A29"/>
    <w:rsid w:val="00762AF7"/>
    <w:rsid w:val="00762C0C"/>
    <w:rsid w:val="00762E38"/>
    <w:rsid w:val="00762FBF"/>
    <w:rsid w:val="00763228"/>
    <w:rsid w:val="00763256"/>
    <w:rsid w:val="0076335B"/>
    <w:rsid w:val="00763A66"/>
    <w:rsid w:val="007640D5"/>
    <w:rsid w:val="00764195"/>
    <w:rsid w:val="0076435C"/>
    <w:rsid w:val="00764400"/>
    <w:rsid w:val="00764632"/>
    <w:rsid w:val="00765834"/>
    <w:rsid w:val="00765FD3"/>
    <w:rsid w:val="00766480"/>
    <w:rsid w:val="0076740C"/>
    <w:rsid w:val="00767429"/>
    <w:rsid w:val="0076742B"/>
    <w:rsid w:val="007676D8"/>
    <w:rsid w:val="007677FD"/>
    <w:rsid w:val="00767896"/>
    <w:rsid w:val="00767A41"/>
    <w:rsid w:val="00767A48"/>
    <w:rsid w:val="00767ADB"/>
    <w:rsid w:val="00767D02"/>
    <w:rsid w:val="00767D8C"/>
    <w:rsid w:val="00767F59"/>
    <w:rsid w:val="007703DE"/>
    <w:rsid w:val="00770B7A"/>
    <w:rsid w:val="00770DDE"/>
    <w:rsid w:val="00770E2E"/>
    <w:rsid w:val="00770F9E"/>
    <w:rsid w:val="00770FA3"/>
    <w:rsid w:val="00770FDF"/>
    <w:rsid w:val="00771443"/>
    <w:rsid w:val="00771468"/>
    <w:rsid w:val="0077168D"/>
    <w:rsid w:val="007716A9"/>
    <w:rsid w:val="00771857"/>
    <w:rsid w:val="007718E3"/>
    <w:rsid w:val="007719CD"/>
    <w:rsid w:val="007719E1"/>
    <w:rsid w:val="00771D04"/>
    <w:rsid w:val="00771F07"/>
    <w:rsid w:val="007723F7"/>
    <w:rsid w:val="007726F3"/>
    <w:rsid w:val="00772D7A"/>
    <w:rsid w:val="0077321B"/>
    <w:rsid w:val="007733CE"/>
    <w:rsid w:val="0077340F"/>
    <w:rsid w:val="007736D2"/>
    <w:rsid w:val="00773D21"/>
    <w:rsid w:val="00774060"/>
    <w:rsid w:val="007744EA"/>
    <w:rsid w:val="007744F8"/>
    <w:rsid w:val="0077480B"/>
    <w:rsid w:val="00774A13"/>
    <w:rsid w:val="00774AB5"/>
    <w:rsid w:val="00774C65"/>
    <w:rsid w:val="00774CB7"/>
    <w:rsid w:val="007752FB"/>
    <w:rsid w:val="00775390"/>
    <w:rsid w:val="007755AE"/>
    <w:rsid w:val="0077564B"/>
    <w:rsid w:val="0077649F"/>
    <w:rsid w:val="00776AE7"/>
    <w:rsid w:val="00776C0F"/>
    <w:rsid w:val="00776DB9"/>
    <w:rsid w:val="00776E08"/>
    <w:rsid w:val="007772F2"/>
    <w:rsid w:val="0077730F"/>
    <w:rsid w:val="00777984"/>
    <w:rsid w:val="007779AB"/>
    <w:rsid w:val="007779D3"/>
    <w:rsid w:val="00777C8A"/>
    <w:rsid w:val="00777D03"/>
    <w:rsid w:val="00777E6B"/>
    <w:rsid w:val="0078024F"/>
    <w:rsid w:val="0078030B"/>
    <w:rsid w:val="007807F9"/>
    <w:rsid w:val="00780CB0"/>
    <w:rsid w:val="00780D1C"/>
    <w:rsid w:val="00780D7E"/>
    <w:rsid w:val="00780D92"/>
    <w:rsid w:val="00780FA3"/>
    <w:rsid w:val="00780FCD"/>
    <w:rsid w:val="007811A4"/>
    <w:rsid w:val="00781823"/>
    <w:rsid w:val="00781A92"/>
    <w:rsid w:val="00781AA9"/>
    <w:rsid w:val="00782AB6"/>
    <w:rsid w:val="00783404"/>
    <w:rsid w:val="007836CB"/>
    <w:rsid w:val="0078384C"/>
    <w:rsid w:val="00783A38"/>
    <w:rsid w:val="00784492"/>
    <w:rsid w:val="007844D2"/>
    <w:rsid w:val="00784667"/>
    <w:rsid w:val="0078482C"/>
    <w:rsid w:val="00784838"/>
    <w:rsid w:val="007849E5"/>
    <w:rsid w:val="00784BE4"/>
    <w:rsid w:val="00785372"/>
    <w:rsid w:val="007855B0"/>
    <w:rsid w:val="00785692"/>
    <w:rsid w:val="00785B4C"/>
    <w:rsid w:val="0078607F"/>
    <w:rsid w:val="00786297"/>
    <w:rsid w:val="007863DC"/>
    <w:rsid w:val="007865F9"/>
    <w:rsid w:val="00786AA7"/>
    <w:rsid w:val="00786D08"/>
    <w:rsid w:val="00787157"/>
    <w:rsid w:val="00787487"/>
    <w:rsid w:val="00787CCD"/>
    <w:rsid w:val="007900A3"/>
    <w:rsid w:val="00790169"/>
    <w:rsid w:val="007903CC"/>
    <w:rsid w:val="0079081F"/>
    <w:rsid w:val="007908DF"/>
    <w:rsid w:val="00790A75"/>
    <w:rsid w:val="00790C96"/>
    <w:rsid w:val="00790F4E"/>
    <w:rsid w:val="00790F61"/>
    <w:rsid w:val="00791103"/>
    <w:rsid w:val="0079137E"/>
    <w:rsid w:val="0079163D"/>
    <w:rsid w:val="0079264A"/>
    <w:rsid w:val="00792657"/>
    <w:rsid w:val="00792CB0"/>
    <w:rsid w:val="00792ED9"/>
    <w:rsid w:val="00793493"/>
    <w:rsid w:val="007936D7"/>
    <w:rsid w:val="007939C3"/>
    <w:rsid w:val="00793B90"/>
    <w:rsid w:val="00793D49"/>
    <w:rsid w:val="00793E05"/>
    <w:rsid w:val="00794119"/>
    <w:rsid w:val="0079415E"/>
    <w:rsid w:val="007941DC"/>
    <w:rsid w:val="00794587"/>
    <w:rsid w:val="00794BA7"/>
    <w:rsid w:val="00794E07"/>
    <w:rsid w:val="00794E91"/>
    <w:rsid w:val="0079510E"/>
    <w:rsid w:val="00795171"/>
    <w:rsid w:val="00795D0E"/>
    <w:rsid w:val="0079668A"/>
    <w:rsid w:val="00796767"/>
    <w:rsid w:val="00796C27"/>
    <w:rsid w:val="00796F40"/>
    <w:rsid w:val="00796F96"/>
    <w:rsid w:val="007A0132"/>
    <w:rsid w:val="007A0243"/>
    <w:rsid w:val="007A0716"/>
    <w:rsid w:val="007A08D9"/>
    <w:rsid w:val="007A0A06"/>
    <w:rsid w:val="007A0CB4"/>
    <w:rsid w:val="007A10B3"/>
    <w:rsid w:val="007A10BF"/>
    <w:rsid w:val="007A1138"/>
    <w:rsid w:val="007A12DE"/>
    <w:rsid w:val="007A1933"/>
    <w:rsid w:val="007A22E4"/>
    <w:rsid w:val="007A2888"/>
    <w:rsid w:val="007A2911"/>
    <w:rsid w:val="007A2B78"/>
    <w:rsid w:val="007A2ED2"/>
    <w:rsid w:val="007A30DF"/>
    <w:rsid w:val="007A33C9"/>
    <w:rsid w:val="007A3402"/>
    <w:rsid w:val="007A341E"/>
    <w:rsid w:val="007A3475"/>
    <w:rsid w:val="007A34E0"/>
    <w:rsid w:val="007A3807"/>
    <w:rsid w:val="007A3AF5"/>
    <w:rsid w:val="007A409C"/>
    <w:rsid w:val="007A47FF"/>
    <w:rsid w:val="007A4A71"/>
    <w:rsid w:val="007A4EEF"/>
    <w:rsid w:val="007A5104"/>
    <w:rsid w:val="007A5531"/>
    <w:rsid w:val="007A5C62"/>
    <w:rsid w:val="007A608B"/>
    <w:rsid w:val="007A60DE"/>
    <w:rsid w:val="007A6226"/>
    <w:rsid w:val="007A659D"/>
    <w:rsid w:val="007A6664"/>
    <w:rsid w:val="007A67B1"/>
    <w:rsid w:val="007A6F04"/>
    <w:rsid w:val="007A71DB"/>
    <w:rsid w:val="007A72F8"/>
    <w:rsid w:val="007A7402"/>
    <w:rsid w:val="007A7557"/>
    <w:rsid w:val="007A7C8F"/>
    <w:rsid w:val="007A7FE9"/>
    <w:rsid w:val="007B0297"/>
    <w:rsid w:val="007B041B"/>
    <w:rsid w:val="007B05EE"/>
    <w:rsid w:val="007B0830"/>
    <w:rsid w:val="007B0956"/>
    <w:rsid w:val="007B0A99"/>
    <w:rsid w:val="007B0B11"/>
    <w:rsid w:val="007B0C3F"/>
    <w:rsid w:val="007B0CB9"/>
    <w:rsid w:val="007B0D0E"/>
    <w:rsid w:val="007B0F9B"/>
    <w:rsid w:val="007B103C"/>
    <w:rsid w:val="007B1348"/>
    <w:rsid w:val="007B1C9A"/>
    <w:rsid w:val="007B1D52"/>
    <w:rsid w:val="007B1DC8"/>
    <w:rsid w:val="007B1F63"/>
    <w:rsid w:val="007B1F8B"/>
    <w:rsid w:val="007B2A1B"/>
    <w:rsid w:val="007B3158"/>
    <w:rsid w:val="007B3528"/>
    <w:rsid w:val="007B3820"/>
    <w:rsid w:val="007B3A5A"/>
    <w:rsid w:val="007B3DC6"/>
    <w:rsid w:val="007B3E4F"/>
    <w:rsid w:val="007B4761"/>
    <w:rsid w:val="007B4A1C"/>
    <w:rsid w:val="007B4C78"/>
    <w:rsid w:val="007B4CBC"/>
    <w:rsid w:val="007B4FBE"/>
    <w:rsid w:val="007B51E9"/>
    <w:rsid w:val="007B547C"/>
    <w:rsid w:val="007B5673"/>
    <w:rsid w:val="007B5824"/>
    <w:rsid w:val="007B5A2F"/>
    <w:rsid w:val="007B5B53"/>
    <w:rsid w:val="007B5B7E"/>
    <w:rsid w:val="007B5F8D"/>
    <w:rsid w:val="007B64F3"/>
    <w:rsid w:val="007B68C6"/>
    <w:rsid w:val="007B6D2A"/>
    <w:rsid w:val="007B717F"/>
    <w:rsid w:val="007B721B"/>
    <w:rsid w:val="007B758A"/>
    <w:rsid w:val="007B75CD"/>
    <w:rsid w:val="007B779B"/>
    <w:rsid w:val="007B7C85"/>
    <w:rsid w:val="007B7E95"/>
    <w:rsid w:val="007C00CB"/>
    <w:rsid w:val="007C05AF"/>
    <w:rsid w:val="007C0631"/>
    <w:rsid w:val="007C0695"/>
    <w:rsid w:val="007C1987"/>
    <w:rsid w:val="007C1CFB"/>
    <w:rsid w:val="007C1D5C"/>
    <w:rsid w:val="007C2061"/>
    <w:rsid w:val="007C2588"/>
    <w:rsid w:val="007C273F"/>
    <w:rsid w:val="007C34FC"/>
    <w:rsid w:val="007C3515"/>
    <w:rsid w:val="007C3537"/>
    <w:rsid w:val="007C35A4"/>
    <w:rsid w:val="007C3969"/>
    <w:rsid w:val="007C3ADC"/>
    <w:rsid w:val="007C3DE5"/>
    <w:rsid w:val="007C41D7"/>
    <w:rsid w:val="007C440D"/>
    <w:rsid w:val="007C47C0"/>
    <w:rsid w:val="007C4A54"/>
    <w:rsid w:val="007C4BC7"/>
    <w:rsid w:val="007C4D87"/>
    <w:rsid w:val="007C51A5"/>
    <w:rsid w:val="007C51E6"/>
    <w:rsid w:val="007C5286"/>
    <w:rsid w:val="007C5347"/>
    <w:rsid w:val="007C5614"/>
    <w:rsid w:val="007C5640"/>
    <w:rsid w:val="007C5817"/>
    <w:rsid w:val="007C5CC1"/>
    <w:rsid w:val="007C5D7A"/>
    <w:rsid w:val="007C5E8E"/>
    <w:rsid w:val="007C5F62"/>
    <w:rsid w:val="007C5F98"/>
    <w:rsid w:val="007C60AA"/>
    <w:rsid w:val="007C642A"/>
    <w:rsid w:val="007C670E"/>
    <w:rsid w:val="007C6AA0"/>
    <w:rsid w:val="007C6C6E"/>
    <w:rsid w:val="007C6F11"/>
    <w:rsid w:val="007C6F41"/>
    <w:rsid w:val="007C730F"/>
    <w:rsid w:val="007C7510"/>
    <w:rsid w:val="007C756C"/>
    <w:rsid w:val="007C7A44"/>
    <w:rsid w:val="007D0099"/>
    <w:rsid w:val="007D0471"/>
    <w:rsid w:val="007D0AD6"/>
    <w:rsid w:val="007D0BDE"/>
    <w:rsid w:val="007D0EAA"/>
    <w:rsid w:val="007D0EF0"/>
    <w:rsid w:val="007D10B7"/>
    <w:rsid w:val="007D13B1"/>
    <w:rsid w:val="007D13CF"/>
    <w:rsid w:val="007D1AC5"/>
    <w:rsid w:val="007D21B0"/>
    <w:rsid w:val="007D2EBE"/>
    <w:rsid w:val="007D382B"/>
    <w:rsid w:val="007D3A07"/>
    <w:rsid w:val="007D3DDB"/>
    <w:rsid w:val="007D440A"/>
    <w:rsid w:val="007D444F"/>
    <w:rsid w:val="007D498F"/>
    <w:rsid w:val="007D4DE4"/>
    <w:rsid w:val="007D4E5C"/>
    <w:rsid w:val="007D506E"/>
    <w:rsid w:val="007D525A"/>
    <w:rsid w:val="007D56A8"/>
    <w:rsid w:val="007D5E05"/>
    <w:rsid w:val="007D6AFE"/>
    <w:rsid w:val="007D6E0D"/>
    <w:rsid w:val="007D6F4A"/>
    <w:rsid w:val="007D7102"/>
    <w:rsid w:val="007D718C"/>
    <w:rsid w:val="007D751B"/>
    <w:rsid w:val="007D79A7"/>
    <w:rsid w:val="007D7ABE"/>
    <w:rsid w:val="007D7B61"/>
    <w:rsid w:val="007D7FD6"/>
    <w:rsid w:val="007E035A"/>
    <w:rsid w:val="007E039E"/>
    <w:rsid w:val="007E0EDD"/>
    <w:rsid w:val="007E1014"/>
    <w:rsid w:val="007E1311"/>
    <w:rsid w:val="007E1329"/>
    <w:rsid w:val="007E14B8"/>
    <w:rsid w:val="007E1A81"/>
    <w:rsid w:val="007E1E2F"/>
    <w:rsid w:val="007E1ED4"/>
    <w:rsid w:val="007E2B19"/>
    <w:rsid w:val="007E2CAE"/>
    <w:rsid w:val="007E2D4A"/>
    <w:rsid w:val="007E2ED0"/>
    <w:rsid w:val="007E2ED3"/>
    <w:rsid w:val="007E3513"/>
    <w:rsid w:val="007E35A8"/>
    <w:rsid w:val="007E3638"/>
    <w:rsid w:val="007E3B36"/>
    <w:rsid w:val="007E3EB3"/>
    <w:rsid w:val="007E489C"/>
    <w:rsid w:val="007E4A60"/>
    <w:rsid w:val="007E4AD5"/>
    <w:rsid w:val="007E4C47"/>
    <w:rsid w:val="007E4CCC"/>
    <w:rsid w:val="007E5160"/>
    <w:rsid w:val="007E51A4"/>
    <w:rsid w:val="007E5646"/>
    <w:rsid w:val="007E606C"/>
    <w:rsid w:val="007E614E"/>
    <w:rsid w:val="007E6A5E"/>
    <w:rsid w:val="007E6C4E"/>
    <w:rsid w:val="007E71B9"/>
    <w:rsid w:val="007E7EE4"/>
    <w:rsid w:val="007F00F9"/>
    <w:rsid w:val="007F0187"/>
    <w:rsid w:val="007F03EC"/>
    <w:rsid w:val="007F0AD0"/>
    <w:rsid w:val="007F0ED9"/>
    <w:rsid w:val="007F12AD"/>
    <w:rsid w:val="007F13A6"/>
    <w:rsid w:val="007F1418"/>
    <w:rsid w:val="007F1447"/>
    <w:rsid w:val="007F14F0"/>
    <w:rsid w:val="007F1531"/>
    <w:rsid w:val="007F180A"/>
    <w:rsid w:val="007F19FA"/>
    <w:rsid w:val="007F1AB8"/>
    <w:rsid w:val="007F1B2D"/>
    <w:rsid w:val="007F1CF1"/>
    <w:rsid w:val="007F1DE5"/>
    <w:rsid w:val="007F1F61"/>
    <w:rsid w:val="007F238B"/>
    <w:rsid w:val="007F23D6"/>
    <w:rsid w:val="007F267F"/>
    <w:rsid w:val="007F3157"/>
    <w:rsid w:val="007F3401"/>
    <w:rsid w:val="007F3492"/>
    <w:rsid w:val="007F374E"/>
    <w:rsid w:val="007F3850"/>
    <w:rsid w:val="007F3CA4"/>
    <w:rsid w:val="007F3CA8"/>
    <w:rsid w:val="007F3EB7"/>
    <w:rsid w:val="007F401F"/>
    <w:rsid w:val="007F4152"/>
    <w:rsid w:val="007F417E"/>
    <w:rsid w:val="007F4314"/>
    <w:rsid w:val="007F46FF"/>
    <w:rsid w:val="007F479C"/>
    <w:rsid w:val="007F498D"/>
    <w:rsid w:val="007F4EEE"/>
    <w:rsid w:val="007F5359"/>
    <w:rsid w:val="007F53E6"/>
    <w:rsid w:val="007F585F"/>
    <w:rsid w:val="007F5AF5"/>
    <w:rsid w:val="007F5FF1"/>
    <w:rsid w:val="007F67FF"/>
    <w:rsid w:val="007F6B1D"/>
    <w:rsid w:val="007F6C6B"/>
    <w:rsid w:val="007F6E40"/>
    <w:rsid w:val="007F70FC"/>
    <w:rsid w:val="007F7198"/>
    <w:rsid w:val="007F74C2"/>
    <w:rsid w:val="007F793F"/>
    <w:rsid w:val="007F7B25"/>
    <w:rsid w:val="007F7CAE"/>
    <w:rsid w:val="00800065"/>
    <w:rsid w:val="008000CE"/>
    <w:rsid w:val="0080020D"/>
    <w:rsid w:val="00800F13"/>
    <w:rsid w:val="0080116A"/>
    <w:rsid w:val="0080144F"/>
    <w:rsid w:val="0080150A"/>
    <w:rsid w:val="00801B01"/>
    <w:rsid w:val="0080202D"/>
    <w:rsid w:val="008021D8"/>
    <w:rsid w:val="008022ED"/>
    <w:rsid w:val="008024EA"/>
    <w:rsid w:val="00802C31"/>
    <w:rsid w:val="00802EC5"/>
    <w:rsid w:val="00802FFF"/>
    <w:rsid w:val="00803103"/>
    <w:rsid w:val="00803247"/>
    <w:rsid w:val="00803738"/>
    <w:rsid w:val="008039EF"/>
    <w:rsid w:val="00803EC3"/>
    <w:rsid w:val="0080483D"/>
    <w:rsid w:val="008050ED"/>
    <w:rsid w:val="008051D2"/>
    <w:rsid w:val="00805300"/>
    <w:rsid w:val="0080557E"/>
    <w:rsid w:val="00805D00"/>
    <w:rsid w:val="0080695F"/>
    <w:rsid w:val="00806AFE"/>
    <w:rsid w:val="00806C5B"/>
    <w:rsid w:val="00806DA8"/>
    <w:rsid w:val="00807325"/>
    <w:rsid w:val="008073EE"/>
    <w:rsid w:val="0080795C"/>
    <w:rsid w:val="00807B7A"/>
    <w:rsid w:val="00807BDA"/>
    <w:rsid w:val="00807E55"/>
    <w:rsid w:val="00807F73"/>
    <w:rsid w:val="00807FC3"/>
    <w:rsid w:val="00810D0F"/>
    <w:rsid w:val="00810D99"/>
    <w:rsid w:val="00810F2F"/>
    <w:rsid w:val="00811043"/>
    <w:rsid w:val="008114BD"/>
    <w:rsid w:val="008114C7"/>
    <w:rsid w:val="00811A73"/>
    <w:rsid w:val="00811C08"/>
    <w:rsid w:val="00811CED"/>
    <w:rsid w:val="00811DA3"/>
    <w:rsid w:val="0081252E"/>
    <w:rsid w:val="00812814"/>
    <w:rsid w:val="00812B10"/>
    <w:rsid w:val="00812D3C"/>
    <w:rsid w:val="00813138"/>
    <w:rsid w:val="00813301"/>
    <w:rsid w:val="0081349C"/>
    <w:rsid w:val="00813634"/>
    <w:rsid w:val="0081388C"/>
    <w:rsid w:val="00813AB7"/>
    <w:rsid w:val="00813FA4"/>
    <w:rsid w:val="008140F0"/>
    <w:rsid w:val="00814124"/>
    <w:rsid w:val="0081424A"/>
    <w:rsid w:val="00814870"/>
    <w:rsid w:val="00814C6D"/>
    <w:rsid w:val="00814CEC"/>
    <w:rsid w:val="00814D12"/>
    <w:rsid w:val="00814DFA"/>
    <w:rsid w:val="00815C15"/>
    <w:rsid w:val="00815DBC"/>
    <w:rsid w:val="00816062"/>
    <w:rsid w:val="0081617A"/>
    <w:rsid w:val="0081643C"/>
    <w:rsid w:val="00816AA8"/>
    <w:rsid w:val="00816B76"/>
    <w:rsid w:val="00816ED5"/>
    <w:rsid w:val="008176F7"/>
    <w:rsid w:val="00817795"/>
    <w:rsid w:val="00817CE8"/>
    <w:rsid w:val="0082008F"/>
    <w:rsid w:val="0082024E"/>
    <w:rsid w:val="008204BD"/>
    <w:rsid w:val="00820EAA"/>
    <w:rsid w:val="00821139"/>
    <w:rsid w:val="008214CB"/>
    <w:rsid w:val="00821F04"/>
    <w:rsid w:val="00821FFF"/>
    <w:rsid w:val="0082229E"/>
    <w:rsid w:val="008223F9"/>
    <w:rsid w:val="00822422"/>
    <w:rsid w:val="00822CD8"/>
    <w:rsid w:val="00822DDF"/>
    <w:rsid w:val="00822E32"/>
    <w:rsid w:val="00822F0C"/>
    <w:rsid w:val="0082354B"/>
    <w:rsid w:val="00823CC5"/>
    <w:rsid w:val="00824700"/>
    <w:rsid w:val="008248DE"/>
    <w:rsid w:val="00824FB5"/>
    <w:rsid w:val="008250D8"/>
    <w:rsid w:val="008253EF"/>
    <w:rsid w:val="008259B7"/>
    <w:rsid w:val="00825A1B"/>
    <w:rsid w:val="00825F6B"/>
    <w:rsid w:val="0082679F"/>
    <w:rsid w:val="0082687F"/>
    <w:rsid w:val="008268C6"/>
    <w:rsid w:val="00826D89"/>
    <w:rsid w:val="00827082"/>
    <w:rsid w:val="008270F8"/>
    <w:rsid w:val="008275DE"/>
    <w:rsid w:val="00827660"/>
    <w:rsid w:val="008276F3"/>
    <w:rsid w:val="00827A40"/>
    <w:rsid w:val="00827B9A"/>
    <w:rsid w:val="00827DDE"/>
    <w:rsid w:val="00830EAF"/>
    <w:rsid w:val="00831263"/>
    <w:rsid w:val="00831406"/>
    <w:rsid w:val="0083178B"/>
    <w:rsid w:val="00831801"/>
    <w:rsid w:val="008318F8"/>
    <w:rsid w:val="00831BA9"/>
    <w:rsid w:val="00832166"/>
    <w:rsid w:val="008321BF"/>
    <w:rsid w:val="00832225"/>
    <w:rsid w:val="0083261C"/>
    <w:rsid w:val="00832753"/>
    <w:rsid w:val="00832939"/>
    <w:rsid w:val="00832A65"/>
    <w:rsid w:val="00833100"/>
    <w:rsid w:val="00833567"/>
    <w:rsid w:val="00833591"/>
    <w:rsid w:val="0083379D"/>
    <w:rsid w:val="00833861"/>
    <w:rsid w:val="00833D4D"/>
    <w:rsid w:val="00833E04"/>
    <w:rsid w:val="00834138"/>
    <w:rsid w:val="008341EC"/>
    <w:rsid w:val="00834405"/>
    <w:rsid w:val="00834684"/>
    <w:rsid w:val="008348BA"/>
    <w:rsid w:val="00834BA3"/>
    <w:rsid w:val="008355E0"/>
    <w:rsid w:val="00835A7B"/>
    <w:rsid w:val="00836005"/>
    <w:rsid w:val="008360E5"/>
    <w:rsid w:val="00836112"/>
    <w:rsid w:val="008364D6"/>
    <w:rsid w:val="008365EF"/>
    <w:rsid w:val="0083660D"/>
    <w:rsid w:val="008368DA"/>
    <w:rsid w:val="00836FB7"/>
    <w:rsid w:val="008375E1"/>
    <w:rsid w:val="00837847"/>
    <w:rsid w:val="00837D68"/>
    <w:rsid w:val="008400E2"/>
    <w:rsid w:val="0084044B"/>
    <w:rsid w:val="00840E2E"/>
    <w:rsid w:val="00840F66"/>
    <w:rsid w:val="008410BC"/>
    <w:rsid w:val="008410E2"/>
    <w:rsid w:val="00841816"/>
    <w:rsid w:val="0084199B"/>
    <w:rsid w:val="00841A12"/>
    <w:rsid w:val="00841A4B"/>
    <w:rsid w:val="00841A9C"/>
    <w:rsid w:val="00841BB2"/>
    <w:rsid w:val="00841F4E"/>
    <w:rsid w:val="0084216A"/>
    <w:rsid w:val="00842175"/>
    <w:rsid w:val="00842649"/>
    <w:rsid w:val="008426C8"/>
    <w:rsid w:val="0084292E"/>
    <w:rsid w:val="0084297E"/>
    <w:rsid w:val="00842D92"/>
    <w:rsid w:val="00843204"/>
    <w:rsid w:val="00843859"/>
    <w:rsid w:val="00843BA1"/>
    <w:rsid w:val="00843DAD"/>
    <w:rsid w:val="008440FB"/>
    <w:rsid w:val="00844727"/>
    <w:rsid w:val="00844969"/>
    <w:rsid w:val="00844ACF"/>
    <w:rsid w:val="00844C7E"/>
    <w:rsid w:val="008452BC"/>
    <w:rsid w:val="00845895"/>
    <w:rsid w:val="00845A28"/>
    <w:rsid w:val="00845B01"/>
    <w:rsid w:val="00846591"/>
    <w:rsid w:val="008465F8"/>
    <w:rsid w:val="00846F57"/>
    <w:rsid w:val="0084719E"/>
    <w:rsid w:val="00847536"/>
    <w:rsid w:val="0084764B"/>
    <w:rsid w:val="00847CC9"/>
    <w:rsid w:val="00847D14"/>
    <w:rsid w:val="00850131"/>
    <w:rsid w:val="008501C7"/>
    <w:rsid w:val="0085073F"/>
    <w:rsid w:val="00850B0C"/>
    <w:rsid w:val="00850B2B"/>
    <w:rsid w:val="0085143B"/>
    <w:rsid w:val="00851CFD"/>
    <w:rsid w:val="00851D97"/>
    <w:rsid w:val="00851E60"/>
    <w:rsid w:val="00851EA0"/>
    <w:rsid w:val="00851FE5"/>
    <w:rsid w:val="00852097"/>
    <w:rsid w:val="008524AC"/>
    <w:rsid w:val="00852809"/>
    <w:rsid w:val="00852C3F"/>
    <w:rsid w:val="00853664"/>
    <w:rsid w:val="00853946"/>
    <w:rsid w:val="008542CF"/>
    <w:rsid w:val="008545AC"/>
    <w:rsid w:val="00854F85"/>
    <w:rsid w:val="00855139"/>
    <w:rsid w:val="00855237"/>
    <w:rsid w:val="0085543E"/>
    <w:rsid w:val="0085553A"/>
    <w:rsid w:val="00855558"/>
    <w:rsid w:val="008557F6"/>
    <w:rsid w:val="00855C3B"/>
    <w:rsid w:val="008562AA"/>
    <w:rsid w:val="00856395"/>
    <w:rsid w:val="00856871"/>
    <w:rsid w:val="0085687C"/>
    <w:rsid w:val="00856A47"/>
    <w:rsid w:val="00856C6D"/>
    <w:rsid w:val="008572AB"/>
    <w:rsid w:val="0085749D"/>
    <w:rsid w:val="0085758A"/>
    <w:rsid w:val="0085781C"/>
    <w:rsid w:val="00857A9C"/>
    <w:rsid w:val="00857FD7"/>
    <w:rsid w:val="0086006A"/>
    <w:rsid w:val="0086022B"/>
    <w:rsid w:val="00860431"/>
    <w:rsid w:val="00860538"/>
    <w:rsid w:val="00860607"/>
    <w:rsid w:val="008607EC"/>
    <w:rsid w:val="00860846"/>
    <w:rsid w:val="008608E1"/>
    <w:rsid w:val="008608F6"/>
    <w:rsid w:val="00860968"/>
    <w:rsid w:val="008609C0"/>
    <w:rsid w:val="00860FEF"/>
    <w:rsid w:val="00861089"/>
    <w:rsid w:val="00861877"/>
    <w:rsid w:val="00861CF0"/>
    <w:rsid w:val="00862052"/>
    <w:rsid w:val="008620AA"/>
    <w:rsid w:val="008623E2"/>
    <w:rsid w:val="008632D7"/>
    <w:rsid w:val="008634B3"/>
    <w:rsid w:val="00863C9C"/>
    <w:rsid w:val="00863E33"/>
    <w:rsid w:val="00864513"/>
    <w:rsid w:val="0086491C"/>
    <w:rsid w:val="00864937"/>
    <w:rsid w:val="008649B7"/>
    <w:rsid w:val="00864A7C"/>
    <w:rsid w:val="00864AB4"/>
    <w:rsid w:val="00864D24"/>
    <w:rsid w:val="00864E39"/>
    <w:rsid w:val="008653C5"/>
    <w:rsid w:val="00865D01"/>
    <w:rsid w:val="00865DD5"/>
    <w:rsid w:val="00865FB6"/>
    <w:rsid w:val="00866A02"/>
    <w:rsid w:val="00866F4B"/>
    <w:rsid w:val="008673B3"/>
    <w:rsid w:val="00867542"/>
    <w:rsid w:val="00867661"/>
    <w:rsid w:val="00867860"/>
    <w:rsid w:val="00867CA0"/>
    <w:rsid w:val="00867E2C"/>
    <w:rsid w:val="00867EBF"/>
    <w:rsid w:val="00867F4D"/>
    <w:rsid w:val="0087007A"/>
    <w:rsid w:val="008702F6"/>
    <w:rsid w:val="0087053A"/>
    <w:rsid w:val="00870A0F"/>
    <w:rsid w:val="00870C35"/>
    <w:rsid w:val="0087125E"/>
    <w:rsid w:val="00871380"/>
    <w:rsid w:val="008714CD"/>
    <w:rsid w:val="00871698"/>
    <w:rsid w:val="00871B72"/>
    <w:rsid w:val="00871B7E"/>
    <w:rsid w:val="00871BB0"/>
    <w:rsid w:val="00871D7E"/>
    <w:rsid w:val="00871FFE"/>
    <w:rsid w:val="0087207A"/>
    <w:rsid w:val="00872089"/>
    <w:rsid w:val="008726DB"/>
    <w:rsid w:val="008726DE"/>
    <w:rsid w:val="00872715"/>
    <w:rsid w:val="00872A3E"/>
    <w:rsid w:val="00872C26"/>
    <w:rsid w:val="00873207"/>
    <w:rsid w:val="0087344C"/>
    <w:rsid w:val="00873830"/>
    <w:rsid w:val="00873891"/>
    <w:rsid w:val="00873EC2"/>
    <w:rsid w:val="00873F1F"/>
    <w:rsid w:val="00874508"/>
    <w:rsid w:val="00875089"/>
    <w:rsid w:val="008750AF"/>
    <w:rsid w:val="008754CC"/>
    <w:rsid w:val="00875731"/>
    <w:rsid w:val="0087582A"/>
    <w:rsid w:val="00875D0B"/>
    <w:rsid w:val="00876035"/>
    <w:rsid w:val="0087687D"/>
    <w:rsid w:val="00876BEF"/>
    <w:rsid w:val="0087768A"/>
    <w:rsid w:val="0087769D"/>
    <w:rsid w:val="00877917"/>
    <w:rsid w:val="008779A4"/>
    <w:rsid w:val="00880694"/>
    <w:rsid w:val="00880AAB"/>
    <w:rsid w:val="00880AC1"/>
    <w:rsid w:val="00880C28"/>
    <w:rsid w:val="00881386"/>
    <w:rsid w:val="00881771"/>
    <w:rsid w:val="00881C45"/>
    <w:rsid w:val="00881E62"/>
    <w:rsid w:val="008821BD"/>
    <w:rsid w:val="00882577"/>
    <w:rsid w:val="0088282A"/>
    <w:rsid w:val="00883043"/>
    <w:rsid w:val="008830C7"/>
    <w:rsid w:val="008833E3"/>
    <w:rsid w:val="008834A2"/>
    <w:rsid w:val="00883816"/>
    <w:rsid w:val="00883CE8"/>
    <w:rsid w:val="00884014"/>
    <w:rsid w:val="00884266"/>
    <w:rsid w:val="00884684"/>
    <w:rsid w:val="00884B13"/>
    <w:rsid w:val="00884CBA"/>
    <w:rsid w:val="00885089"/>
    <w:rsid w:val="00885383"/>
    <w:rsid w:val="008854A1"/>
    <w:rsid w:val="008855C8"/>
    <w:rsid w:val="00885801"/>
    <w:rsid w:val="008859E6"/>
    <w:rsid w:val="00885B3C"/>
    <w:rsid w:val="00886033"/>
    <w:rsid w:val="0088615A"/>
    <w:rsid w:val="0088726D"/>
    <w:rsid w:val="00887367"/>
    <w:rsid w:val="008875F4"/>
    <w:rsid w:val="00887B31"/>
    <w:rsid w:val="00887B80"/>
    <w:rsid w:val="00887DC2"/>
    <w:rsid w:val="00890283"/>
    <w:rsid w:val="008903EF"/>
    <w:rsid w:val="00890588"/>
    <w:rsid w:val="0089077B"/>
    <w:rsid w:val="0089098E"/>
    <w:rsid w:val="00890A98"/>
    <w:rsid w:val="00890C0C"/>
    <w:rsid w:val="00891111"/>
    <w:rsid w:val="00891254"/>
    <w:rsid w:val="0089171A"/>
    <w:rsid w:val="00891731"/>
    <w:rsid w:val="00891F23"/>
    <w:rsid w:val="008925F1"/>
    <w:rsid w:val="00892700"/>
    <w:rsid w:val="0089278B"/>
    <w:rsid w:val="00892957"/>
    <w:rsid w:val="0089321C"/>
    <w:rsid w:val="008939EF"/>
    <w:rsid w:val="00893CEA"/>
    <w:rsid w:val="00893D3F"/>
    <w:rsid w:val="00894158"/>
    <w:rsid w:val="0089437F"/>
    <w:rsid w:val="00894634"/>
    <w:rsid w:val="0089483B"/>
    <w:rsid w:val="00894A6E"/>
    <w:rsid w:val="00894C02"/>
    <w:rsid w:val="0089521F"/>
    <w:rsid w:val="00895453"/>
    <w:rsid w:val="00895478"/>
    <w:rsid w:val="00895695"/>
    <w:rsid w:val="0089579F"/>
    <w:rsid w:val="00895A4F"/>
    <w:rsid w:val="00895B21"/>
    <w:rsid w:val="00895B7B"/>
    <w:rsid w:val="00895D72"/>
    <w:rsid w:val="00895E57"/>
    <w:rsid w:val="00896523"/>
    <w:rsid w:val="00896B5B"/>
    <w:rsid w:val="00896CDB"/>
    <w:rsid w:val="00897902"/>
    <w:rsid w:val="00897ADB"/>
    <w:rsid w:val="00897B77"/>
    <w:rsid w:val="00897C97"/>
    <w:rsid w:val="00897D6D"/>
    <w:rsid w:val="00897D95"/>
    <w:rsid w:val="008A0420"/>
    <w:rsid w:val="008A068D"/>
    <w:rsid w:val="008A0C5C"/>
    <w:rsid w:val="008A100F"/>
    <w:rsid w:val="008A11F6"/>
    <w:rsid w:val="008A12DA"/>
    <w:rsid w:val="008A1428"/>
    <w:rsid w:val="008A1481"/>
    <w:rsid w:val="008A157B"/>
    <w:rsid w:val="008A1699"/>
    <w:rsid w:val="008A1759"/>
    <w:rsid w:val="008A17F1"/>
    <w:rsid w:val="008A18F1"/>
    <w:rsid w:val="008A194F"/>
    <w:rsid w:val="008A26D4"/>
    <w:rsid w:val="008A2707"/>
    <w:rsid w:val="008A32FC"/>
    <w:rsid w:val="008A359E"/>
    <w:rsid w:val="008A3A02"/>
    <w:rsid w:val="008A3A40"/>
    <w:rsid w:val="008A3AEC"/>
    <w:rsid w:val="008A3F37"/>
    <w:rsid w:val="008A454C"/>
    <w:rsid w:val="008A47E2"/>
    <w:rsid w:val="008A4B1A"/>
    <w:rsid w:val="008A4F3D"/>
    <w:rsid w:val="008A51E4"/>
    <w:rsid w:val="008A53E8"/>
    <w:rsid w:val="008A54B4"/>
    <w:rsid w:val="008A5500"/>
    <w:rsid w:val="008A55D2"/>
    <w:rsid w:val="008A56BC"/>
    <w:rsid w:val="008A5933"/>
    <w:rsid w:val="008A5CE1"/>
    <w:rsid w:val="008A5EAC"/>
    <w:rsid w:val="008A6086"/>
    <w:rsid w:val="008A60AA"/>
    <w:rsid w:val="008A6364"/>
    <w:rsid w:val="008A64EF"/>
    <w:rsid w:val="008A66F3"/>
    <w:rsid w:val="008A6B9B"/>
    <w:rsid w:val="008A6DBA"/>
    <w:rsid w:val="008A7062"/>
    <w:rsid w:val="008A7280"/>
    <w:rsid w:val="008A7339"/>
    <w:rsid w:val="008A7469"/>
    <w:rsid w:val="008A76DB"/>
    <w:rsid w:val="008A7FD1"/>
    <w:rsid w:val="008B0402"/>
    <w:rsid w:val="008B04EC"/>
    <w:rsid w:val="008B0696"/>
    <w:rsid w:val="008B0C16"/>
    <w:rsid w:val="008B0F77"/>
    <w:rsid w:val="008B108B"/>
    <w:rsid w:val="008B16D7"/>
    <w:rsid w:val="008B183F"/>
    <w:rsid w:val="008B1B4C"/>
    <w:rsid w:val="008B1C09"/>
    <w:rsid w:val="008B1C29"/>
    <w:rsid w:val="008B1CB4"/>
    <w:rsid w:val="008B1E06"/>
    <w:rsid w:val="008B1E74"/>
    <w:rsid w:val="008B23FF"/>
    <w:rsid w:val="008B2B43"/>
    <w:rsid w:val="008B3054"/>
    <w:rsid w:val="008B370B"/>
    <w:rsid w:val="008B400B"/>
    <w:rsid w:val="008B4654"/>
    <w:rsid w:val="008B4F2A"/>
    <w:rsid w:val="008B4FD6"/>
    <w:rsid w:val="008B58EF"/>
    <w:rsid w:val="008B5BCD"/>
    <w:rsid w:val="008B60DB"/>
    <w:rsid w:val="008B6195"/>
    <w:rsid w:val="008B6560"/>
    <w:rsid w:val="008B66D5"/>
    <w:rsid w:val="008B697B"/>
    <w:rsid w:val="008B6AEF"/>
    <w:rsid w:val="008B6D25"/>
    <w:rsid w:val="008B7237"/>
    <w:rsid w:val="008B7353"/>
    <w:rsid w:val="008B759A"/>
    <w:rsid w:val="008B788A"/>
    <w:rsid w:val="008B7DFE"/>
    <w:rsid w:val="008B7FAA"/>
    <w:rsid w:val="008C00FC"/>
    <w:rsid w:val="008C0CD4"/>
    <w:rsid w:val="008C0DA1"/>
    <w:rsid w:val="008C12F5"/>
    <w:rsid w:val="008C13DB"/>
    <w:rsid w:val="008C1457"/>
    <w:rsid w:val="008C1C5C"/>
    <w:rsid w:val="008C213C"/>
    <w:rsid w:val="008C2193"/>
    <w:rsid w:val="008C2280"/>
    <w:rsid w:val="008C2331"/>
    <w:rsid w:val="008C24B9"/>
    <w:rsid w:val="008C257B"/>
    <w:rsid w:val="008C2644"/>
    <w:rsid w:val="008C2A5D"/>
    <w:rsid w:val="008C2AC7"/>
    <w:rsid w:val="008C2D72"/>
    <w:rsid w:val="008C2DDD"/>
    <w:rsid w:val="008C3047"/>
    <w:rsid w:val="008C318F"/>
    <w:rsid w:val="008C31F8"/>
    <w:rsid w:val="008C34EA"/>
    <w:rsid w:val="008C3617"/>
    <w:rsid w:val="008C37AE"/>
    <w:rsid w:val="008C39F8"/>
    <w:rsid w:val="008C3C02"/>
    <w:rsid w:val="008C3E2A"/>
    <w:rsid w:val="008C3FC4"/>
    <w:rsid w:val="008C4622"/>
    <w:rsid w:val="008C4804"/>
    <w:rsid w:val="008C4A59"/>
    <w:rsid w:val="008C4A8C"/>
    <w:rsid w:val="008C4DC8"/>
    <w:rsid w:val="008C57F6"/>
    <w:rsid w:val="008C58B6"/>
    <w:rsid w:val="008C5A04"/>
    <w:rsid w:val="008C5D4F"/>
    <w:rsid w:val="008C5D6C"/>
    <w:rsid w:val="008C621C"/>
    <w:rsid w:val="008C63BC"/>
    <w:rsid w:val="008C65A4"/>
    <w:rsid w:val="008C67D8"/>
    <w:rsid w:val="008C6A1B"/>
    <w:rsid w:val="008C6EB8"/>
    <w:rsid w:val="008C7090"/>
    <w:rsid w:val="008C7419"/>
    <w:rsid w:val="008C7925"/>
    <w:rsid w:val="008C7993"/>
    <w:rsid w:val="008D0190"/>
    <w:rsid w:val="008D0426"/>
    <w:rsid w:val="008D06B0"/>
    <w:rsid w:val="008D0E90"/>
    <w:rsid w:val="008D1590"/>
    <w:rsid w:val="008D17F6"/>
    <w:rsid w:val="008D19BE"/>
    <w:rsid w:val="008D1A14"/>
    <w:rsid w:val="008D1C43"/>
    <w:rsid w:val="008D1DF0"/>
    <w:rsid w:val="008D1E07"/>
    <w:rsid w:val="008D2038"/>
    <w:rsid w:val="008D2BC4"/>
    <w:rsid w:val="008D3142"/>
    <w:rsid w:val="008D324B"/>
    <w:rsid w:val="008D337B"/>
    <w:rsid w:val="008D3B72"/>
    <w:rsid w:val="008D3DB1"/>
    <w:rsid w:val="008D3E19"/>
    <w:rsid w:val="008D4191"/>
    <w:rsid w:val="008D421A"/>
    <w:rsid w:val="008D4562"/>
    <w:rsid w:val="008D46E7"/>
    <w:rsid w:val="008D499F"/>
    <w:rsid w:val="008D4E49"/>
    <w:rsid w:val="008D4E63"/>
    <w:rsid w:val="008D64D5"/>
    <w:rsid w:val="008D684D"/>
    <w:rsid w:val="008D6DC7"/>
    <w:rsid w:val="008D71F4"/>
    <w:rsid w:val="008D7349"/>
    <w:rsid w:val="008D7496"/>
    <w:rsid w:val="008D759C"/>
    <w:rsid w:val="008D7659"/>
    <w:rsid w:val="008D773B"/>
    <w:rsid w:val="008D7759"/>
    <w:rsid w:val="008D7CCC"/>
    <w:rsid w:val="008D7F54"/>
    <w:rsid w:val="008E01BE"/>
    <w:rsid w:val="008E031A"/>
    <w:rsid w:val="008E0431"/>
    <w:rsid w:val="008E09E1"/>
    <w:rsid w:val="008E0CE7"/>
    <w:rsid w:val="008E0F22"/>
    <w:rsid w:val="008E0FA5"/>
    <w:rsid w:val="008E1476"/>
    <w:rsid w:val="008E1804"/>
    <w:rsid w:val="008E1BD3"/>
    <w:rsid w:val="008E1F5C"/>
    <w:rsid w:val="008E26F3"/>
    <w:rsid w:val="008E2847"/>
    <w:rsid w:val="008E372D"/>
    <w:rsid w:val="008E3902"/>
    <w:rsid w:val="008E4296"/>
    <w:rsid w:val="008E4384"/>
    <w:rsid w:val="008E4726"/>
    <w:rsid w:val="008E476D"/>
    <w:rsid w:val="008E47DB"/>
    <w:rsid w:val="008E49BC"/>
    <w:rsid w:val="008E4D39"/>
    <w:rsid w:val="008E5126"/>
    <w:rsid w:val="008E53BE"/>
    <w:rsid w:val="008E5526"/>
    <w:rsid w:val="008E5BC7"/>
    <w:rsid w:val="008E5CAF"/>
    <w:rsid w:val="008E5F82"/>
    <w:rsid w:val="008E61A2"/>
    <w:rsid w:val="008E64E4"/>
    <w:rsid w:val="008E657F"/>
    <w:rsid w:val="008E66C6"/>
    <w:rsid w:val="008E69FB"/>
    <w:rsid w:val="008E6DA6"/>
    <w:rsid w:val="008E6DB7"/>
    <w:rsid w:val="008E6F51"/>
    <w:rsid w:val="008E72EE"/>
    <w:rsid w:val="008E7AB7"/>
    <w:rsid w:val="008E7AC2"/>
    <w:rsid w:val="008E7DF6"/>
    <w:rsid w:val="008E7E80"/>
    <w:rsid w:val="008E7FC4"/>
    <w:rsid w:val="008F0018"/>
    <w:rsid w:val="008F0176"/>
    <w:rsid w:val="008F05E6"/>
    <w:rsid w:val="008F097D"/>
    <w:rsid w:val="008F0AEC"/>
    <w:rsid w:val="008F0C0F"/>
    <w:rsid w:val="008F1111"/>
    <w:rsid w:val="008F1170"/>
    <w:rsid w:val="008F1200"/>
    <w:rsid w:val="008F12CE"/>
    <w:rsid w:val="008F1E5E"/>
    <w:rsid w:val="008F258F"/>
    <w:rsid w:val="008F25C9"/>
    <w:rsid w:val="008F2F80"/>
    <w:rsid w:val="008F30B7"/>
    <w:rsid w:val="008F33A9"/>
    <w:rsid w:val="008F3893"/>
    <w:rsid w:val="008F3B86"/>
    <w:rsid w:val="008F49AE"/>
    <w:rsid w:val="008F4DD9"/>
    <w:rsid w:val="008F4F92"/>
    <w:rsid w:val="008F5731"/>
    <w:rsid w:val="008F59C9"/>
    <w:rsid w:val="008F5A93"/>
    <w:rsid w:val="008F5D88"/>
    <w:rsid w:val="008F607E"/>
    <w:rsid w:val="008F6265"/>
    <w:rsid w:val="008F6723"/>
    <w:rsid w:val="008F67C9"/>
    <w:rsid w:val="008F6900"/>
    <w:rsid w:val="008F69A3"/>
    <w:rsid w:val="008F6FC3"/>
    <w:rsid w:val="008F71AE"/>
    <w:rsid w:val="008F7552"/>
    <w:rsid w:val="008F75C0"/>
    <w:rsid w:val="008F77D1"/>
    <w:rsid w:val="008F7915"/>
    <w:rsid w:val="008F7DCC"/>
    <w:rsid w:val="00900949"/>
    <w:rsid w:val="009009E8"/>
    <w:rsid w:val="00900DC3"/>
    <w:rsid w:val="009013FE"/>
    <w:rsid w:val="00901C61"/>
    <w:rsid w:val="0090247D"/>
    <w:rsid w:val="0090268F"/>
    <w:rsid w:val="00902921"/>
    <w:rsid w:val="00902995"/>
    <w:rsid w:val="00902AE1"/>
    <w:rsid w:val="00902D55"/>
    <w:rsid w:val="00903208"/>
    <w:rsid w:val="00903A6A"/>
    <w:rsid w:val="00903C94"/>
    <w:rsid w:val="00903E3A"/>
    <w:rsid w:val="00904C76"/>
    <w:rsid w:val="00904EE0"/>
    <w:rsid w:val="00905691"/>
    <w:rsid w:val="009067C3"/>
    <w:rsid w:val="00906993"/>
    <w:rsid w:val="00906CA9"/>
    <w:rsid w:val="00906E34"/>
    <w:rsid w:val="009078C7"/>
    <w:rsid w:val="00907A77"/>
    <w:rsid w:val="00910242"/>
    <w:rsid w:val="0091041E"/>
    <w:rsid w:val="009104BE"/>
    <w:rsid w:val="0091068E"/>
    <w:rsid w:val="00910A8C"/>
    <w:rsid w:val="00910DC6"/>
    <w:rsid w:val="009114B4"/>
    <w:rsid w:val="00911534"/>
    <w:rsid w:val="00911622"/>
    <w:rsid w:val="00911AB8"/>
    <w:rsid w:val="00911B6B"/>
    <w:rsid w:val="00911C22"/>
    <w:rsid w:val="00911C99"/>
    <w:rsid w:val="00911E41"/>
    <w:rsid w:val="009121E3"/>
    <w:rsid w:val="009125BC"/>
    <w:rsid w:val="0091266A"/>
    <w:rsid w:val="009128D6"/>
    <w:rsid w:val="00912E46"/>
    <w:rsid w:val="00912E53"/>
    <w:rsid w:val="00912EFA"/>
    <w:rsid w:val="00913257"/>
    <w:rsid w:val="00913368"/>
    <w:rsid w:val="0091342C"/>
    <w:rsid w:val="00913555"/>
    <w:rsid w:val="009136C0"/>
    <w:rsid w:val="00913910"/>
    <w:rsid w:val="00913AC0"/>
    <w:rsid w:val="00913B5C"/>
    <w:rsid w:val="009143F1"/>
    <w:rsid w:val="00914537"/>
    <w:rsid w:val="009145F5"/>
    <w:rsid w:val="00914786"/>
    <w:rsid w:val="00914E1E"/>
    <w:rsid w:val="00914E40"/>
    <w:rsid w:val="0091501E"/>
    <w:rsid w:val="009154EB"/>
    <w:rsid w:val="00915594"/>
    <w:rsid w:val="00915629"/>
    <w:rsid w:val="00915739"/>
    <w:rsid w:val="009157D0"/>
    <w:rsid w:val="00915844"/>
    <w:rsid w:val="00915981"/>
    <w:rsid w:val="00915A81"/>
    <w:rsid w:val="00915D38"/>
    <w:rsid w:val="00915EF5"/>
    <w:rsid w:val="0091603D"/>
    <w:rsid w:val="00916096"/>
    <w:rsid w:val="009160A1"/>
    <w:rsid w:val="009163A3"/>
    <w:rsid w:val="00916699"/>
    <w:rsid w:val="0091688E"/>
    <w:rsid w:val="009168ED"/>
    <w:rsid w:val="00917056"/>
    <w:rsid w:val="00917148"/>
    <w:rsid w:val="0091723D"/>
    <w:rsid w:val="00917299"/>
    <w:rsid w:val="0091731C"/>
    <w:rsid w:val="00917592"/>
    <w:rsid w:val="009175C1"/>
    <w:rsid w:val="00917656"/>
    <w:rsid w:val="009178C6"/>
    <w:rsid w:val="00917FF6"/>
    <w:rsid w:val="00920288"/>
    <w:rsid w:val="00920CA9"/>
    <w:rsid w:val="00920D8C"/>
    <w:rsid w:val="00920F05"/>
    <w:rsid w:val="0092124B"/>
    <w:rsid w:val="00921AA0"/>
    <w:rsid w:val="00921D65"/>
    <w:rsid w:val="00922065"/>
    <w:rsid w:val="00922100"/>
    <w:rsid w:val="00922201"/>
    <w:rsid w:val="00922248"/>
    <w:rsid w:val="009226CE"/>
    <w:rsid w:val="00922763"/>
    <w:rsid w:val="00922829"/>
    <w:rsid w:val="0092285E"/>
    <w:rsid w:val="00922967"/>
    <w:rsid w:val="00922DC8"/>
    <w:rsid w:val="00922E8B"/>
    <w:rsid w:val="00922EF4"/>
    <w:rsid w:val="00922FC3"/>
    <w:rsid w:val="00923057"/>
    <w:rsid w:val="009232A4"/>
    <w:rsid w:val="009237BC"/>
    <w:rsid w:val="009239DC"/>
    <w:rsid w:val="009239E5"/>
    <w:rsid w:val="00923B22"/>
    <w:rsid w:val="00923CF6"/>
    <w:rsid w:val="009240E8"/>
    <w:rsid w:val="009241CB"/>
    <w:rsid w:val="009244DF"/>
    <w:rsid w:val="00924607"/>
    <w:rsid w:val="00924674"/>
    <w:rsid w:val="0092473C"/>
    <w:rsid w:val="00924986"/>
    <w:rsid w:val="00924ABF"/>
    <w:rsid w:val="00925090"/>
    <w:rsid w:val="00925109"/>
    <w:rsid w:val="00925692"/>
    <w:rsid w:val="009258B5"/>
    <w:rsid w:val="00925B08"/>
    <w:rsid w:val="009261B7"/>
    <w:rsid w:val="00926208"/>
    <w:rsid w:val="009267D1"/>
    <w:rsid w:val="00926984"/>
    <w:rsid w:val="00926A9C"/>
    <w:rsid w:val="00926E0C"/>
    <w:rsid w:val="009276D2"/>
    <w:rsid w:val="00927706"/>
    <w:rsid w:val="009279AF"/>
    <w:rsid w:val="00927D2B"/>
    <w:rsid w:val="00927DF0"/>
    <w:rsid w:val="0093017A"/>
    <w:rsid w:val="009306FE"/>
    <w:rsid w:val="0093073E"/>
    <w:rsid w:val="00930A9F"/>
    <w:rsid w:val="00930AB1"/>
    <w:rsid w:val="00931095"/>
    <w:rsid w:val="009313EF"/>
    <w:rsid w:val="0093142E"/>
    <w:rsid w:val="0093175F"/>
    <w:rsid w:val="00931BE6"/>
    <w:rsid w:val="009324C4"/>
    <w:rsid w:val="009326F6"/>
    <w:rsid w:val="00932791"/>
    <w:rsid w:val="00932F0D"/>
    <w:rsid w:val="00933080"/>
    <w:rsid w:val="00933238"/>
    <w:rsid w:val="0093326A"/>
    <w:rsid w:val="00933450"/>
    <w:rsid w:val="009335F9"/>
    <w:rsid w:val="00933618"/>
    <w:rsid w:val="009337A9"/>
    <w:rsid w:val="00933D75"/>
    <w:rsid w:val="00934074"/>
    <w:rsid w:val="0093495C"/>
    <w:rsid w:val="009350B0"/>
    <w:rsid w:val="0093539D"/>
    <w:rsid w:val="0093557E"/>
    <w:rsid w:val="0093573F"/>
    <w:rsid w:val="0093577C"/>
    <w:rsid w:val="00935AFA"/>
    <w:rsid w:val="00935B38"/>
    <w:rsid w:val="009363B9"/>
    <w:rsid w:val="00936634"/>
    <w:rsid w:val="009369BD"/>
    <w:rsid w:val="00936BE9"/>
    <w:rsid w:val="00936F6A"/>
    <w:rsid w:val="0093714F"/>
    <w:rsid w:val="00937594"/>
    <w:rsid w:val="009376FD"/>
    <w:rsid w:val="00937ABE"/>
    <w:rsid w:val="00940227"/>
    <w:rsid w:val="009403F5"/>
    <w:rsid w:val="00940547"/>
    <w:rsid w:val="009405E5"/>
    <w:rsid w:val="00940674"/>
    <w:rsid w:val="0094078E"/>
    <w:rsid w:val="00940868"/>
    <w:rsid w:val="00940E88"/>
    <w:rsid w:val="00941656"/>
    <w:rsid w:val="0094194A"/>
    <w:rsid w:val="00941F3F"/>
    <w:rsid w:val="0094277E"/>
    <w:rsid w:val="009428BE"/>
    <w:rsid w:val="009428CC"/>
    <w:rsid w:val="00942D22"/>
    <w:rsid w:val="00942DF3"/>
    <w:rsid w:val="009433D8"/>
    <w:rsid w:val="0094376F"/>
    <w:rsid w:val="00943986"/>
    <w:rsid w:val="00943C24"/>
    <w:rsid w:val="00943C71"/>
    <w:rsid w:val="00944199"/>
    <w:rsid w:val="009441D8"/>
    <w:rsid w:val="009447F5"/>
    <w:rsid w:val="00944A80"/>
    <w:rsid w:val="00944A9C"/>
    <w:rsid w:val="00944E88"/>
    <w:rsid w:val="0094521E"/>
    <w:rsid w:val="0094545B"/>
    <w:rsid w:val="0094553C"/>
    <w:rsid w:val="00945804"/>
    <w:rsid w:val="0094602F"/>
    <w:rsid w:val="009462CC"/>
    <w:rsid w:val="00946424"/>
    <w:rsid w:val="00946B59"/>
    <w:rsid w:val="00946F04"/>
    <w:rsid w:val="00947107"/>
    <w:rsid w:val="00947117"/>
    <w:rsid w:val="0094789C"/>
    <w:rsid w:val="00947A71"/>
    <w:rsid w:val="00947B81"/>
    <w:rsid w:val="00947BA2"/>
    <w:rsid w:val="00947BBA"/>
    <w:rsid w:val="00947F54"/>
    <w:rsid w:val="009507FC"/>
    <w:rsid w:val="00950A87"/>
    <w:rsid w:val="00950AD9"/>
    <w:rsid w:val="00950FC0"/>
    <w:rsid w:val="00951030"/>
    <w:rsid w:val="0095103E"/>
    <w:rsid w:val="009511E0"/>
    <w:rsid w:val="00951231"/>
    <w:rsid w:val="009512F1"/>
    <w:rsid w:val="00951FE0"/>
    <w:rsid w:val="00952166"/>
    <w:rsid w:val="00952254"/>
    <w:rsid w:val="0095265A"/>
    <w:rsid w:val="00952C2E"/>
    <w:rsid w:val="00953241"/>
    <w:rsid w:val="0095328B"/>
    <w:rsid w:val="0095329D"/>
    <w:rsid w:val="0095345D"/>
    <w:rsid w:val="009536C1"/>
    <w:rsid w:val="00953830"/>
    <w:rsid w:val="00953957"/>
    <w:rsid w:val="00953DDD"/>
    <w:rsid w:val="00954198"/>
    <w:rsid w:val="009544B2"/>
    <w:rsid w:val="0095454C"/>
    <w:rsid w:val="00954640"/>
    <w:rsid w:val="009547A7"/>
    <w:rsid w:val="00954D05"/>
    <w:rsid w:val="00954F3D"/>
    <w:rsid w:val="00955190"/>
    <w:rsid w:val="00955659"/>
    <w:rsid w:val="0095609C"/>
    <w:rsid w:val="00956191"/>
    <w:rsid w:val="009561C6"/>
    <w:rsid w:val="009561D1"/>
    <w:rsid w:val="00956541"/>
    <w:rsid w:val="00956B82"/>
    <w:rsid w:val="00956D5E"/>
    <w:rsid w:val="0095777D"/>
    <w:rsid w:val="00957782"/>
    <w:rsid w:val="0095796B"/>
    <w:rsid w:val="00957D1C"/>
    <w:rsid w:val="0096061B"/>
    <w:rsid w:val="0096061F"/>
    <w:rsid w:val="00960AB8"/>
    <w:rsid w:val="00960ADD"/>
    <w:rsid w:val="00960F37"/>
    <w:rsid w:val="00961066"/>
    <w:rsid w:val="0096117A"/>
    <w:rsid w:val="009616F9"/>
    <w:rsid w:val="00961831"/>
    <w:rsid w:val="00961D74"/>
    <w:rsid w:val="00961F1E"/>
    <w:rsid w:val="00961F64"/>
    <w:rsid w:val="00962222"/>
    <w:rsid w:val="009623C4"/>
    <w:rsid w:val="00962B0F"/>
    <w:rsid w:val="00962DF2"/>
    <w:rsid w:val="009631A5"/>
    <w:rsid w:val="009632EF"/>
    <w:rsid w:val="0096333A"/>
    <w:rsid w:val="00963494"/>
    <w:rsid w:val="00963546"/>
    <w:rsid w:val="00963694"/>
    <w:rsid w:val="00963879"/>
    <w:rsid w:val="00963934"/>
    <w:rsid w:val="00963F87"/>
    <w:rsid w:val="00963F91"/>
    <w:rsid w:val="0096434C"/>
    <w:rsid w:val="009645A1"/>
    <w:rsid w:val="00964860"/>
    <w:rsid w:val="00964F1D"/>
    <w:rsid w:val="00964F69"/>
    <w:rsid w:val="009651E4"/>
    <w:rsid w:val="00965208"/>
    <w:rsid w:val="00965426"/>
    <w:rsid w:val="009654F6"/>
    <w:rsid w:val="00965BF6"/>
    <w:rsid w:val="0096601F"/>
    <w:rsid w:val="00966388"/>
    <w:rsid w:val="00967337"/>
    <w:rsid w:val="00967338"/>
    <w:rsid w:val="00967374"/>
    <w:rsid w:val="00967646"/>
    <w:rsid w:val="009676C3"/>
    <w:rsid w:val="009678E0"/>
    <w:rsid w:val="00967BF9"/>
    <w:rsid w:val="00967CA0"/>
    <w:rsid w:val="00967D76"/>
    <w:rsid w:val="00967DF8"/>
    <w:rsid w:val="009702FF"/>
    <w:rsid w:val="0097038E"/>
    <w:rsid w:val="00970445"/>
    <w:rsid w:val="0097128E"/>
    <w:rsid w:val="00971462"/>
    <w:rsid w:val="009714BE"/>
    <w:rsid w:val="00971952"/>
    <w:rsid w:val="00971958"/>
    <w:rsid w:val="009719EC"/>
    <w:rsid w:val="00972A09"/>
    <w:rsid w:val="00973626"/>
    <w:rsid w:val="0097368D"/>
    <w:rsid w:val="009736F5"/>
    <w:rsid w:val="0097376C"/>
    <w:rsid w:val="00973AAF"/>
    <w:rsid w:val="00973AB9"/>
    <w:rsid w:val="0097427A"/>
    <w:rsid w:val="0097434C"/>
    <w:rsid w:val="009747B5"/>
    <w:rsid w:val="009747D6"/>
    <w:rsid w:val="0097534A"/>
    <w:rsid w:val="0097552D"/>
    <w:rsid w:val="00975A41"/>
    <w:rsid w:val="00975A71"/>
    <w:rsid w:val="00975D03"/>
    <w:rsid w:val="00975E5B"/>
    <w:rsid w:val="00976223"/>
    <w:rsid w:val="00976C73"/>
    <w:rsid w:val="00976F66"/>
    <w:rsid w:val="009770B2"/>
    <w:rsid w:val="009777A6"/>
    <w:rsid w:val="00977D17"/>
    <w:rsid w:val="00977E44"/>
    <w:rsid w:val="00980174"/>
    <w:rsid w:val="009807B2"/>
    <w:rsid w:val="00980EFF"/>
    <w:rsid w:val="00981027"/>
    <w:rsid w:val="009813DD"/>
    <w:rsid w:val="009814BE"/>
    <w:rsid w:val="0098188F"/>
    <w:rsid w:val="00981996"/>
    <w:rsid w:val="00981C02"/>
    <w:rsid w:val="00981CE4"/>
    <w:rsid w:val="00981DCF"/>
    <w:rsid w:val="00981FC1"/>
    <w:rsid w:val="009822F1"/>
    <w:rsid w:val="009823E6"/>
    <w:rsid w:val="00982402"/>
    <w:rsid w:val="009824D2"/>
    <w:rsid w:val="00982B42"/>
    <w:rsid w:val="00983527"/>
    <w:rsid w:val="0098385A"/>
    <w:rsid w:val="00983926"/>
    <w:rsid w:val="00983A1D"/>
    <w:rsid w:val="00983A26"/>
    <w:rsid w:val="00983A73"/>
    <w:rsid w:val="00983CDB"/>
    <w:rsid w:val="00983F1F"/>
    <w:rsid w:val="00984174"/>
    <w:rsid w:val="0098469B"/>
    <w:rsid w:val="00984733"/>
    <w:rsid w:val="00984A28"/>
    <w:rsid w:val="00984C99"/>
    <w:rsid w:val="00984E70"/>
    <w:rsid w:val="0098571F"/>
    <w:rsid w:val="00985940"/>
    <w:rsid w:val="0098599F"/>
    <w:rsid w:val="00985D11"/>
    <w:rsid w:val="00985F81"/>
    <w:rsid w:val="009863D2"/>
    <w:rsid w:val="009865D6"/>
    <w:rsid w:val="00986939"/>
    <w:rsid w:val="00986B31"/>
    <w:rsid w:val="009870B6"/>
    <w:rsid w:val="00987103"/>
    <w:rsid w:val="00987214"/>
    <w:rsid w:val="009873F6"/>
    <w:rsid w:val="0098757C"/>
    <w:rsid w:val="00987810"/>
    <w:rsid w:val="0098788F"/>
    <w:rsid w:val="00987A69"/>
    <w:rsid w:val="00987ACF"/>
    <w:rsid w:val="00987C6C"/>
    <w:rsid w:val="00990452"/>
    <w:rsid w:val="009907BB"/>
    <w:rsid w:val="009909AB"/>
    <w:rsid w:val="00990A0D"/>
    <w:rsid w:val="00990ED8"/>
    <w:rsid w:val="00990FBA"/>
    <w:rsid w:val="00991301"/>
    <w:rsid w:val="009914BB"/>
    <w:rsid w:val="00991D5B"/>
    <w:rsid w:val="00991F8D"/>
    <w:rsid w:val="009920D9"/>
    <w:rsid w:val="00992CC8"/>
    <w:rsid w:val="00992FC0"/>
    <w:rsid w:val="009930CE"/>
    <w:rsid w:val="009931B6"/>
    <w:rsid w:val="009937B6"/>
    <w:rsid w:val="0099392A"/>
    <w:rsid w:val="009940A0"/>
    <w:rsid w:val="00995178"/>
    <w:rsid w:val="00995270"/>
    <w:rsid w:val="009953B9"/>
    <w:rsid w:val="009959D6"/>
    <w:rsid w:val="00995B00"/>
    <w:rsid w:val="00995FD5"/>
    <w:rsid w:val="00996543"/>
    <w:rsid w:val="0099667B"/>
    <w:rsid w:val="0099699E"/>
    <w:rsid w:val="00996AD2"/>
    <w:rsid w:val="00997025"/>
    <w:rsid w:val="00997041"/>
    <w:rsid w:val="00997DA6"/>
    <w:rsid w:val="00997DF4"/>
    <w:rsid w:val="009A00F3"/>
    <w:rsid w:val="009A0262"/>
    <w:rsid w:val="009A05A5"/>
    <w:rsid w:val="009A09F9"/>
    <w:rsid w:val="009A0A96"/>
    <w:rsid w:val="009A0EAE"/>
    <w:rsid w:val="009A1B54"/>
    <w:rsid w:val="009A1DEF"/>
    <w:rsid w:val="009A1E7B"/>
    <w:rsid w:val="009A1E9D"/>
    <w:rsid w:val="009A2022"/>
    <w:rsid w:val="009A24AA"/>
    <w:rsid w:val="009A278E"/>
    <w:rsid w:val="009A2E87"/>
    <w:rsid w:val="009A2EB4"/>
    <w:rsid w:val="009A2F66"/>
    <w:rsid w:val="009A30BF"/>
    <w:rsid w:val="009A3678"/>
    <w:rsid w:val="009A39E4"/>
    <w:rsid w:val="009A3BE9"/>
    <w:rsid w:val="009A3E5B"/>
    <w:rsid w:val="009A3F89"/>
    <w:rsid w:val="009A3FEC"/>
    <w:rsid w:val="009A4142"/>
    <w:rsid w:val="009A426F"/>
    <w:rsid w:val="009A42D2"/>
    <w:rsid w:val="009A46B3"/>
    <w:rsid w:val="009A4FA5"/>
    <w:rsid w:val="009A515A"/>
    <w:rsid w:val="009A53FF"/>
    <w:rsid w:val="009A5868"/>
    <w:rsid w:val="009A5A68"/>
    <w:rsid w:val="009A5E42"/>
    <w:rsid w:val="009A6132"/>
    <w:rsid w:val="009A61B0"/>
    <w:rsid w:val="009A637C"/>
    <w:rsid w:val="009A65AA"/>
    <w:rsid w:val="009A664D"/>
    <w:rsid w:val="009A6CEF"/>
    <w:rsid w:val="009A6D1A"/>
    <w:rsid w:val="009A6F8A"/>
    <w:rsid w:val="009A71FC"/>
    <w:rsid w:val="009A739E"/>
    <w:rsid w:val="009A73B1"/>
    <w:rsid w:val="009A73CB"/>
    <w:rsid w:val="009A7994"/>
    <w:rsid w:val="009A7AAE"/>
    <w:rsid w:val="009A7DD4"/>
    <w:rsid w:val="009A7F5A"/>
    <w:rsid w:val="009B024A"/>
    <w:rsid w:val="009B0BA6"/>
    <w:rsid w:val="009B0E4E"/>
    <w:rsid w:val="009B1025"/>
    <w:rsid w:val="009B10F1"/>
    <w:rsid w:val="009B1406"/>
    <w:rsid w:val="009B1504"/>
    <w:rsid w:val="009B1558"/>
    <w:rsid w:val="009B183D"/>
    <w:rsid w:val="009B1A97"/>
    <w:rsid w:val="009B1E06"/>
    <w:rsid w:val="009B2134"/>
    <w:rsid w:val="009B226E"/>
    <w:rsid w:val="009B2277"/>
    <w:rsid w:val="009B2364"/>
    <w:rsid w:val="009B2517"/>
    <w:rsid w:val="009B25AC"/>
    <w:rsid w:val="009B25D6"/>
    <w:rsid w:val="009B276F"/>
    <w:rsid w:val="009B28BB"/>
    <w:rsid w:val="009B2C8C"/>
    <w:rsid w:val="009B2CDA"/>
    <w:rsid w:val="009B3441"/>
    <w:rsid w:val="009B355A"/>
    <w:rsid w:val="009B35B1"/>
    <w:rsid w:val="009B35E7"/>
    <w:rsid w:val="009B38C5"/>
    <w:rsid w:val="009B38CF"/>
    <w:rsid w:val="009B46B7"/>
    <w:rsid w:val="009B4B84"/>
    <w:rsid w:val="009B4C40"/>
    <w:rsid w:val="009B5F4D"/>
    <w:rsid w:val="009B5F72"/>
    <w:rsid w:val="009B5FF3"/>
    <w:rsid w:val="009B6327"/>
    <w:rsid w:val="009B643B"/>
    <w:rsid w:val="009B6661"/>
    <w:rsid w:val="009B684F"/>
    <w:rsid w:val="009B6A72"/>
    <w:rsid w:val="009B6B75"/>
    <w:rsid w:val="009B6B89"/>
    <w:rsid w:val="009B6E95"/>
    <w:rsid w:val="009B6F6B"/>
    <w:rsid w:val="009B6FDF"/>
    <w:rsid w:val="009B7632"/>
    <w:rsid w:val="009B79E9"/>
    <w:rsid w:val="009B7E2F"/>
    <w:rsid w:val="009C02EE"/>
    <w:rsid w:val="009C04E8"/>
    <w:rsid w:val="009C0689"/>
    <w:rsid w:val="009C0BDF"/>
    <w:rsid w:val="009C11C2"/>
    <w:rsid w:val="009C1497"/>
    <w:rsid w:val="009C1979"/>
    <w:rsid w:val="009C20CE"/>
    <w:rsid w:val="009C20F8"/>
    <w:rsid w:val="009C2293"/>
    <w:rsid w:val="009C28BD"/>
    <w:rsid w:val="009C30D0"/>
    <w:rsid w:val="009C3455"/>
    <w:rsid w:val="009C368F"/>
    <w:rsid w:val="009C39BF"/>
    <w:rsid w:val="009C450F"/>
    <w:rsid w:val="009C460A"/>
    <w:rsid w:val="009C464C"/>
    <w:rsid w:val="009C4A15"/>
    <w:rsid w:val="009C4C6A"/>
    <w:rsid w:val="009C538D"/>
    <w:rsid w:val="009C5A3D"/>
    <w:rsid w:val="009C679E"/>
    <w:rsid w:val="009C6A00"/>
    <w:rsid w:val="009C6C64"/>
    <w:rsid w:val="009C6E6C"/>
    <w:rsid w:val="009C7166"/>
    <w:rsid w:val="009C7176"/>
    <w:rsid w:val="009C753B"/>
    <w:rsid w:val="009C7749"/>
    <w:rsid w:val="009C7D19"/>
    <w:rsid w:val="009C7DA0"/>
    <w:rsid w:val="009C7E89"/>
    <w:rsid w:val="009C7E9A"/>
    <w:rsid w:val="009D011E"/>
    <w:rsid w:val="009D02C7"/>
    <w:rsid w:val="009D0524"/>
    <w:rsid w:val="009D0A80"/>
    <w:rsid w:val="009D0CEC"/>
    <w:rsid w:val="009D0DA7"/>
    <w:rsid w:val="009D0F75"/>
    <w:rsid w:val="009D1523"/>
    <w:rsid w:val="009D18B7"/>
    <w:rsid w:val="009D1971"/>
    <w:rsid w:val="009D21A4"/>
    <w:rsid w:val="009D23A8"/>
    <w:rsid w:val="009D25A7"/>
    <w:rsid w:val="009D2B51"/>
    <w:rsid w:val="009D2C79"/>
    <w:rsid w:val="009D2DA0"/>
    <w:rsid w:val="009D31FC"/>
    <w:rsid w:val="009D3C6F"/>
    <w:rsid w:val="009D3CBF"/>
    <w:rsid w:val="009D3FF2"/>
    <w:rsid w:val="009D400E"/>
    <w:rsid w:val="009D40FD"/>
    <w:rsid w:val="009D4498"/>
    <w:rsid w:val="009D48B1"/>
    <w:rsid w:val="009D4B05"/>
    <w:rsid w:val="009D4F62"/>
    <w:rsid w:val="009D5103"/>
    <w:rsid w:val="009D5A84"/>
    <w:rsid w:val="009D5AAB"/>
    <w:rsid w:val="009D5DCC"/>
    <w:rsid w:val="009D5DF6"/>
    <w:rsid w:val="009D63F1"/>
    <w:rsid w:val="009D65E5"/>
    <w:rsid w:val="009D66DE"/>
    <w:rsid w:val="009D6C14"/>
    <w:rsid w:val="009D6D4D"/>
    <w:rsid w:val="009D6EDE"/>
    <w:rsid w:val="009D70CF"/>
    <w:rsid w:val="009D7233"/>
    <w:rsid w:val="009D7598"/>
    <w:rsid w:val="009D75B7"/>
    <w:rsid w:val="009D75CB"/>
    <w:rsid w:val="009D78F2"/>
    <w:rsid w:val="009D7938"/>
    <w:rsid w:val="009D7CE1"/>
    <w:rsid w:val="009E027A"/>
    <w:rsid w:val="009E0A2D"/>
    <w:rsid w:val="009E0AC7"/>
    <w:rsid w:val="009E0CA8"/>
    <w:rsid w:val="009E1106"/>
    <w:rsid w:val="009E128D"/>
    <w:rsid w:val="009E14F7"/>
    <w:rsid w:val="009E162B"/>
    <w:rsid w:val="009E16F5"/>
    <w:rsid w:val="009E1762"/>
    <w:rsid w:val="009E1A31"/>
    <w:rsid w:val="009E1E94"/>
    <w:rsid w:val="009E2222"/>
    <w:rsid w:val="009E22A1"/>
    <w:rsid w:val="009E2664"/>
    <w:rsid w:val="009E2A0B"/>
    <w:rsid w:val="009E2CD4"/>
    <w:rsid w:val="009E2D83"/>
    <w:rsid w:val="009E2EB1"/>
    <w:rsid w:val="009E2F16"/>
    <w:rsid w:val="009E32E7"/>
    <w:rsid w:val="009E3845"/>
    <w:rsid w:val="009E44CB"/>
    <w:rsid w:val="009E49C6"/>
    <w:rsid w:val="009E4A6F"/>
    <w:rsid w:val="009E4C96"/>
    <w:rsid w:val="009E5255"/>
    <w:rsid w:val="009E53BF"/>
    <w:rsid w:val="009E5B99"/>
    <w:rsid w:val="009E5C5B"/>
    <w:rsid w:val="009E5CAD"/>
    <w:rsid w:val="009E658D"/>
    <w:rsid w:val="009E70AC"/>
    <w:rsid w:val="009E74A5"/>
    <w:rsid w:val="009E782B"/>
    <w:rsid w:val="009E7B44"/>
    <w:rsid w:val="009E7D4D"/>
    <w:rsid w:val="009F01E5"/>
    <w:rsid w:val="009F0442"/>
    <w:rsid w:val="009F05F0"/>
    <w:rsid w:val="009F0A5F"/>
    <w:rsid w:val="009F0B04"/>
    <w:rsid w:val="009F0BCC"/>
    <w:rsid w:val="009F1289"/>
    <w:rsid w:val="009F12A1"/>
    <w:rsid w:val="009F144E"/>
    <w:rsid w:val="009F1732"/>
    <w:rsid w:val="009F1766"/>
    <w:rsid w:val="009F18B0"/>
    <w:rsid w:val="009F1A21"/>
    <w:rsid w:val="009F2256"/>
    <w:rsid w:val="009F25BC"/>
    <w:rsid w:val="009F28F4"/>
    <w:rsid w:val="009F2BA0"/>
    <w:rsid w:val="009F3721"/>
    <w:rsid w:val="009F3BC5"/>
    <w:rsid w:val="009F41AC"/>
    <w:rsid w:val="009F4371"/>
    <w:rsid w:val="009F440E"/>
    <w:rsid w:val="009F4439"/>
    <w:rsid w:val="009F472C"/>
    <w:rsid w:val="009F499D"/>
    <w:rsid w:val="009F596E"/>
    <w:rsid w:val="009F5ADF"/>
    <w:rsid w:val="009F5DAC"/>
    <w:rsid w:val="009F6354"/>
    <w:rsid w:val="009F63A2"/>
    <w:rsid w:val="009F63FF"/>
    <w:rsid w:val="009F6637"/>
    <w:rsid w:val="009F6BFC"/>
    <w:rsid w:val="009F6C73"/>
    <w:rsid w:val="009F6E56"/>
    <w:rsid w:val="009F717C"/>
    <w:rsid w:val="009F7399"/>
    <w:rsid w:val="009F75A0"/>
    <w:rsid w:val="009F7776"/>
    <w:rsid w:val="009F7AE4"/>
    <w:rsid w:val="009F7AE7"/>
    <w:rsid w:val="009F7F6D"/>
    <w:rsid w:val="00A00743"/>
    <w:rsid w:val="00A009D0"/>
    <w:rsid w:val="00A00C39"/>
    <w:rsid w:val="00A01109"/>
    <w:rsid w:val="00A012CF"/>
    <w:rsid w:val="00A01520"/>
    <w:rsid w:val="00A015BF"/>
    <w:rsid w:val="00A017E4"/>
    <w:rsid w:val="00A01800"/>
    <w:rsid w:val="00A01C87"/>
    <w:rsid w:val="00A01D39"/>
    <w:rsid w:val="00A0259E"/>
    <w:rsid w:val="00A02C52"/>
    <w:rsid w:val="00A02DA9"/>
    <w:rsid w:val="00A031B4"/>
    <w:rsid w:val="00A032C8"/>
    <w:rsid w:val="00A03EAF"/>
    <w:rsid w:val="00A04022"/>
    <w:rsid w:val="00A04031"/>
    <w:rsid w:val="00A04189"/>
    <w:rsid w:val="00A042DB"/>
    <w:rsid w:val="00A0434A"/>
    <w:rsid w:val="00A0460F"/>
    <w:rsid w:val="00A04A7A"/>
    <w:rsid w:val="00A051B7"/>
    <w:rsid w:val="00A05386"/>
    <w:rsid w:val="00A059AD"/>
    <w:rsid w:val="00A05B54"/>
    <w:rsid w:val="00A062D8"/>
    <w:rsid w:val="00A066AA"/>
    <w:rsid w:val="00A06711"/>
    <w:rsid w:val="00A0677D"/>
    <w:rsid w:val="00A06EC1"/>
    <w:rsid w:val="00A07DDB"/>
    <w:rsid w:val="00A10744"/>
    <w:rsid w:val="00A108F0"/>
    <w:rsid w:val="00A10ADB"/>
    <w:rsid w:val="00A10BD0"/>
    <w:rsid w:val="00A1105F"/>
    <w:rsid w:val="00A111EA"/>
    <w:rsid w:val="00A1121C"/>
    <w:rsid w:val="00A1128A"/>
    <w:rsid w:val="00A114EA"/>
    <w:rsid w:val="00A11E06"/>
    <w:rsid w:val="00A11EB6"/>
    <w:rsid w:val="00A12764"/>
    <w:rsid w:val="00A12840"/>
    <w:rsid w:val="00A128AD"/>
    <w:rsid w:val="00A1298C"/>
    <w:rsid w:val="00A12B83"/>
    <w:rsid w:val="00A12C5A"/>
    <w:rsid w:val="00A1304E"/>
    <w:rsid w:val="00A13C60"/>
    <w:rsid w:val="00A13DED"/>
    <w:rsid w:val="00A14227"/>
    <w:rsid w:val="00A1422F"/>
    <w:rsid w:val="00A147F6"/>
    <w:rsid w:val="00A14821"/>
    <w:rsid w:val="00A14EF3"/>
    <w:rsid w:val="00A1510D"/>
    <w:rsid w:val="00A15A83"/>
    <w:rsid w:val="00A1642C"/>
    <w:rsid w:val="00A16ECB"/>
    <w:rsid w:val="00A17057"/>
    <w:rsid w:val="00A175F6"/>
    <w:rsid w:val="00A177C5"/>
    <w:rsid w:val="00A179E9"/>
    <w:rsid w:val="00A17BA7"/>
    <w:rsid w:val="00A20000"/>
    <w:rsid w:val="00A20136"/>
    <w:rsid w:val="00A2044D"/>
    <w:rsid w:val="00A204FC"/>
    <w:rsid w:val="00A20800"/>
    <w:rsid w:val="00A20D2A"/>
    <w:rsid w:val="00A20E71"/>
    <w:rsid w:val="00A213AE"/>
    <w:rsid w:val="00A216F9"/>
    <w:rsid w:val="00A21871"/>
    <w:rsid w:val="00A218AD"/>
    <w:rsid w:val="00A218B0"/>
    <w:rsid w:val="00A21D36"/>
    <w:rsid w:val="00A21E3C"/>
    <w:rsid w:val="00A22029"/>
    <w:rsid w:val="00A22163"/>
    <w:rsid w:val="00A221DB"/>
    <w:rsid w:val="00A22890"/>
    <w:rsid w:val="00A22A47"/>
    <w:rsid w:val="00A22A60"/>
    <w:rsid w:val="00A22C23"/>
    <w:rsid w:val="00A22CE6"/>
    <w:rsid w:val="00A2339A"/>
    <w:rsid w:val="00A2345B"/>
    <w:rsid w:val="00A23527"/>
    <w:rsid w:val="00A2381E"/>
    <w:rsid w:val="00A23848"/>
    <w:rsid w:val="00A23F45"/>
    <w:rsid w:val="00A24052"/>
    <w:rsid w:val="00A2480B"/>
    <w:rsid w:val="00A25529"/>
    <w:rsid w:val="00A25909"/>
    <w:rsid w:val="00A25D27"/>
    <w:rsid w:val="00A25D61"/>
    <w:rsid w:val="00A25D82"/>
    <w:rsid w:val="00A2644D"/>
    <w:rsid w:val="00A26781"/>
    <w:rsid w:val="00A2690F"/>
    <w:rsid w:val="00A26BD6"/>
    <w:rsid w:val="00A27082"/>
    <w:rsid w:val="00A27A38"/>
    <w:rsid w:val="00A27C2A"/>
    <w:rsid w:val="00A27E76"/>
    <w:rsid w:val="00A300F9"/>
    <w:rsid w:val="00A301AA"/>
    <w:rsid w:val="00A3022A"/>
    <w:rsid w:val="00A306EA"/>
    <w:rsid w:val="00A31918"/>
    <w:rsid w:val="00A31C8F"/>
    <w:rsid w:val="00A32077"/>
    <w:rsid w:val="00A3228B"/>
    <w:rsid w:val="00A323D9"/>
    <w:rsid w:val="00A3254B"/>
    <w:rsid w:val="00A325E6"/>
    <w:rsid w:val="00A32E74"/>
    <w:rsid w:val="00A32EED"/>
    <w:rsid w:val="00A332EB"/>
    <w:rsid w:val="00A33389"/>
    <w:rsid w:val="00A33620"/>
    <w:rsid w:val="00A346AF"/>
    <w:rsid w:val="00A3474D"/>
    <w:rsid w:val="00A34A77"/>
    <w:rsid w:val="00A34C50"/>
    <w:rsid w:val="00A34CFB"/>
    <w:rsid w:val="00A34FFE"/>
    <w:rsid w:val="00A35125"/>
    <w:rsid w:val="00A35312"/>
    <w:rsid w:val="00A3551F"/>
    <w:rsid w:val="00A35875"/>
    <w:rsid w:val="00A35ACF"/>
    <w:rsid w:val="00A35BF7"/>
    <w:rsid w:val="00A35FC8"/>
    <w:rsid w:val="00A36053"/>
    <w:rsid w:val="00A3626E"/>
    <w:rsid w:val="00A36863"/>
    <w:rsid w:val="00A36A2E"/>
    <w:rsid w:val="00A36E9C"/>
    <w:rsid w:val="00A36FAA"/>
    <w:rsid w:val="00A3747B"/>
    <w:rsid w:val="00A37CBB"/>
    <w:rsid w:val="00A37CD2"/>
    <w:rsid w:val="00A37FF9"/>
    <w:rsid w:val="00A40274"/>
    <w:rsid w:val="00A40B69"/>
    <w:rsid w:val="00A40EF6"/>
    <w:rsid w:val="00A40F66"/>
    <w:rsid w:val="00A40F8B"/>
    <w:rsid w:val="00A41089"/>
    <w:rsid w:val="00A41B5E"/>
    <w:rsid w:val="00A41D91"/>
    <w:rsid w:val="00A4204A"/>
    <w:rsid w:val="00A4208F"/>
    <w:rsid w:val="00A42091"/>
    <w:rsid w:val="00A420DB"/>
    <w:rsid w:val="00A428BC"/>
    <w:rsid w:val="00A42906"/>
    <w:rsid w:val="00A43117"/>
    <w:rsid w:val="00A44046"/>
    <w:rsid w:val="00A44192"/>
    <w:rsid w:val="00A44297"/>
    <w:rsid w:val="00A4452C"/>
    <w:rsid w:val="00A447B8"/>
    <w:rsid w:val="00A4496F"/>
    <w:rsid w:val="00A45619"/>
    <w:rsid w:val="00A456F1"/>
    <w:rsid w:val="00A4588D"/>
    <w:rsid w:val="00A45F5C"/>
    <w:rsid w:val="00A46183"/>
    <w:rsid w:val="00A461E5"/>
    <w:rsid w:val="00A465AC"/>
    <w:rsid w:val="00A46726"/>
    <w:rsid w:val="00A46ECB"/>
    <w:rsid w:val="00A4710B"/>
    <w:rsid w:val="00A47465"/>
    <w:rsid w:val="00A475A5"/>
    <w:rsid w:val="00A476A1"/>
    <w:rsid w:val="00A47A42"/>
    <w:rsid w:val="00A47E2C"/>
    <w:rsid w:val="00A47F0B"/>
    <w:rsid w:val="00A504B4"/>
    <w:rsid w:val="00A50653"/>
    <w:rsid w:val="00A507C4"/>
    <w:rsid w:val="00A5092D"/>
    <w:rsid w:val="00A50C94"/>
    <w:rsid w:val="00A50D49"/>
    <w:rsid w:val="00A50DE8"/>
    <w:rsid w:val="00A50EE2"/>
    <w:rsid w:val="00A5105F"/>
    <w:rsid w:val="00A5134C"/>
    <w:rsid w:val="00A516D5"/>
    <w:rsid w:val="00A51767"/>
    <w:rsid w:val="00A51867"/>
    <w:rsid w:val="00A51C8F"/>
    <w:rsid w:val="00A51D6E"/>
    <w:rsid w:val="00A51F2C"/>
    <w:rsid w:val="00A51F50"/>
    <w:rsid w:val="00A521EA"/>
    <w:rsid w:val="00A52BAA"/>
    <w:rsid w:val="00A52D0C"/>
    <w:rsid w:val="00A52D11"/>
    <w:rsid w:val="00A52E8C"/>
    <w:rsid w:val="00A52F2A"/>
    <w:rsid w:val="00A52F83"/>
    <w:rsid w:val="00A5311F"/>
    <w:rsid w:val="00A53419"/>
    <w:rsid w:val="00A5363B"/>
    <w:rsid w:val="00A5387A"/>
    <w:rsid w:val="00A54299"/>
    <w:rsid w:val="00A5434C"/>
    <w:rsid w:val="00A543FA"/>
    <w:rsid w:val="00A5447B"/>
    <w:rsid w:val="00A544CD"/>
    <w:rsid w:val="00A5479C"/>
    <w:rsid w:val="00A54B8E"/>
    <w:rsid w:val="00A54F36"/>
    <w:rsid w:val="00A55924"/>
    <w:rsid w:val="00A55E3C"/>
    <w:rsid w:val="00A56238"/>
    <w:rsid w:val="00A5629F"/>
    <w:rsid w:val="00A562D0"/>
    <w:rsid w:val="00A5635B"/>
    <w:rsid w:val="00A5662E"/>
    <w:rsid w:val="00A56D1C"/>
    <w:rsid w:val="00A56D9F"/>
    <w:rsid w:val="00A57457"/>
    <w:rsid w:val="00A578CD"/>
    <w:rsid w:val="00A57A88"/>
    <w:rsid w:val="00A60506"/>
    <w:rsid w:val="00A60BFB"/>
    <w:rsid w:val="00A60C02"/>
    <w:rsid w:val="00A61080"/>
    <w:rsid w:val="00A61082"/>
    <w:rsid w:val="00A615A9"/>
    <w:rsid w:val="00A623BD"/>
    <w:rsid w:val="00A62CA3"/>
    <w:rsid w:val="00A62D5D"/>
    <w:rsid w:val="00A62D73"/>
    <w:rsid w:val="00A63228"/>
    <w:rsid w:val="00A634C1"/>
    <w:rsid w:val="00A635EA"/>
    <w:rsid w:val="00A636DD"/>
    <w:rsid w:val="00A637A7"/>
    <w:rsid w:val="00A63AFE"/>
    <w:rsid w:val="00A63CB3"/>
    <w:rsid w:val="00A63D2C"/>
    <w:rsid w:val="00A6436D"/>
    <w:rsid w:val="00A64431"/>
    <w:rsid w:val="00A64DE3"/>
    <w:rsid w:val="00A64F6E"/>
    <w:rsid w:val="00A65214"/>
    <w:rsid w:val="00A65283"/>
    <w:rsid w:val="00A652E9"/>
    <w:rsid w:val="00A659A3"/>
    <w:rsid w:val="00A65A81"/>
    <w:rsid w:val="00A65BDE"/>
    <w:rsid w:val="00A65D7C"/>
    <w:rsid w:val="00A65F42"/>
    <w:rsid w:val="00A660E8"/>
    <w:rsid w:val="00A661AA"/>
    <w:rsid w:val="00A661C9"/>
    <w:rsid w:val="00A66428"/>
    <w:rsid w:val="00A668FB"/>
    <w:rsid w:val="00A66E75"/>
    <w:rsid w:val="00A67231"/>
    <w:rsid w:val="00A675E7"/>
    <w:rsid w:val="00A67D21"/>
    <w:rsid w:val="00A70284"/>
    <w:rsid w:val="00A70491"/>
    <w:rsid w:val="00A70754"/>
    <w:rsid w:val="00A708D6"/>
    <w:rsid w:val="00A70A28"/>
    <w:rsid w:val="00A70A6F"/>
    <w:rsid w:val="00A70F6C"/>
    <w:rsid w:val="00A71004"/>
    <w:rsid w:val="00A7154E"/>
    <w:rsid w:val="00A71B92"/>
    <w:rsid w:val="00A71D42"/>
    <w:rsid w:val="00A72165"/>
    <w:rsid w:val="00A72231"/>
    <w:rsid w:val="00A722A2"/>
    <w:rsid w:val="00A72573"/>
    <w:rsid w:val="00A7271F"/>
    <w:rsid w:val="00A72790"/>
    <w:rsid w:val="00A72AC2"/>
    <w:rsid w:val="00A72FAB"/>
    <w:rsid w:val="00A73456"/>
    <w:rsid w:val="00A73774"/>
    <w:rsid w:val="00A73F45"/>
    <w:rsid w:val="00A73F87"/>
    <w:rsid w:val="00A742FF"/>
    <w:rsid w:val="00A7473C"/>
    <w:rsid w:val="00A7484E"/>
    <w:rsid w:val="00A74ED9"/>
    <w:rsid w:val="00A75010"/>
    <w:rsid w:val="00A750B6"/>
    <w:rsid w:val="00A75533"/>
    <w:rsid w:val="00A756C8"/>
    <w:rsid w:val="00A75A91"/>
    <w:rsid w:val="00A75D1E"/>
    <w:rsid w:val="00A75E27"/>
    <w:rsid w:val="00A75F65"/>
    <w:rsid w:val="00A76031"/>
    <w:rsid w:val="00A7629B"/>
    <w:rsid w:val="00A763A1"/>
    <w:rsid w:val="00A763A7"/>
    <w:rsid w:val="00A76AED"/>
    <w:rsid w:val="00A76C42"/>
    <w:rsid w:val="00A76EF4"/>
    <w:rsid w:val="00A775A1"/>
    <w:rsid w:val="00A77BDC"/>
    <w:rsid w:val="00A8042C"/>
    <w:rsid w:val="00A80858"/>
    <w:rsid w:val="00A8130E"/>
    <w:rsid w:val="00A81962"/>
    <w:rsid w:val="00A81C71"/>
    <w:rsid w:val="00A81CAC"/>
    <w:rsid w:val="00A8280F"/>
    <w:rsid w:val="00A82B20"/>
    <w:rsid w:val="00A82ED5"/>
    <w:rsid w:val="00A82F17"/>
    <w:rsid w:val="00A82FB1"/>
    <w:rsid w:val="00A832E9"/>
    <w:rsid w:val="00A83536"/>
    <w:rsid w:val="00A837BC"/>
    <w:rsid w:val="00A83A62"/>
    <w:rsid w:val="00A83E69"/>
    <w:rsid w:val="00A83F3E"/>
    <w:rsid w:val="00A8449F"/>
    <w:rsid w:val="00A844A3"/>
    <w:rsid w:val="00A845A3"/>
    <w:rsid w:val="00A846A9"/>
    <w:rsid w:val="00A84718"/>
    <w:rsid w:val="00A84797"/>
    <w:rsid w:val="00A84A95"/>
    <w:rsid w:val="00A84B4B"/>
    <w:rsid w:val="00A8514A"/>
    <w:rsid w:val="00A862E7"/>
    <w:rsid w:val="00A86390"/>
    <w:rsid w:val="00A863DA"/>
    <w:rsid w:val="00A867E8"/>
    <w:rsid w:val="00A86871"/>
    <w:rsid w:val="00A86937"/>
    <w:rsid w:val="00A86CB8"/>
    <w:rsid w:val="00A86F42"/>
    <w:rsid w:val="00A8748B"/>
    <w:rsid w:val="00A874BA"/>
    <w:rsid w:val="00A87E54"/>
    <w:rsid w:val="00A87FD5"/>
    <w:rsid w:val="00A9044A"/>
    <w:rsid w:val="00A909BF"/>
    <w:rsid w:val="00A90B86"/>
    <w:rsid w:val="00A90BA2"/>
    <w:rsid w:val="00A90D37"/>
    <w:rsid w:val="00A90E16"/>
    <w:rsid w:val="00A90F16"/>
    <w:rsid w:val="00A91460"/>
    <w:rsid w:val="00A917D6"/>
    <w:rsid w:val="00A91BDC"/>
    <w:rsid w:val="00A91D14"/>
    <w:rsid w:val="00A9208F"/>
    <w:rsid w:val="00A92238"/>
    <w:rsid w:val="00A9261F"/>
    <w:rsid w:val="00A9263F"/>
    <w:rsid w:val="00A927AF"/>
    <w:rsid w:val="00A9335A"/>
    <w:rsid w:val="00A93EB8"/>
    <w:rsid w:val="00A94198"/>
    <w:rsid w:val="00A945B5"/>
    <w:rsid w:val="00A946CF"/>
    <w:rsid w:val="00A94B32"/>
    <w:rsid w:val="00A94C14"/>
    <w:rsid w:val="00A95091"/>
    <w:rsid w:val="00A950CE"/>
    <w:rsid w:val="00A95255"/>
    <w:rsid w:val="00A95A19"/>
    <w:rsid w:val="00A95A5D"/>
    <w:rsid w:val="00A95AEA"/>
    <w:rsid w:val="00A95F01"/>
    <w:rsid w:val="00A96280"/>
    <w:rsid w:val="00A965E2"/>
    <w:rsid w:val="00A966E3"/>
    <w:rsid w:val="00A96731"/>
    <w:rsid w:val="00A968A0"/>
    <w:rsid w:val="00A969B8"/>
    <w:rsid w:val="00A96D8C"/>
    <w:rsid w:val="00A970B7"/>
    <w:rsid w:val="00A97238"/>
    <w:rsid w:val="00A973AA"/>
    <w:rsid w:val="00A97404"/>
    <w:rsid w:val="00A97431"/>
    <w:rsid w:val="00A977EF"/>
    <w:rsid w:val="00A97CA0"/>
    <w:rsid w:val="00A97CAC"/>
    <w:rsid w:val="00A97EC2"/>
    <w:rsid w:val="00AA0230"/>
    <w:rsid w:val="00AA038D"/>
    <w:rsid w:val="00AA0464"/>
    <w:rsid w:val="00AA0BB5"/>
    <w:rsid w:val="00AA0CF7"/>
    <w:rsid w:val="00AA1018"/>
    <w:rsid w:val="00AA116A"/>
    <w:rsid w:val="00AA11D6"/>
    <w:rsid w:val="00AA12B7"/>
    <w:rsid w:val="00AA1564"/>
    <w:rsid w:val="00AA1610"/>
    <w:rsid w:val="00AA1625"/>
    <w:rsid w:val="00AA1653"/>
    <w:rsid w:val="00AA1A2A"/>
    <w:rsid w:val="00AA1DBD"/>
    <w:rsid w:val="00AA22CB"/>
    <w:rsid w:val="00AA2534"/>
    <w:rsid w:val="00AA2547"/>
    <w:rsid w:val="00AA2710"/>
    <w:rsid w:val="00AA2824"/>
    <w:rsid w:val="00AA2A09"/>
    <w:rsid w:val="00AA2A82"/>
    <w:rsid w:val="00AA3114"/>
    <w:rsid w:val="00AA3228"/>
    <w:rsid w:val="00AA387D"/>
    <w:rsid w:val="00AA3AA7"/>
    <w:rsid w:val="00AA3E68"/>
    <w:rsid w:val="00AA4302"/>
    <w:rsid w:val="00AA43BF"/>
    <w:rsid w:val="00AA4458"/>
    <w:rsid w:val="00AA4489"/>
    <w:rsid w:val="00AA4872"/>
    <w:rsid w:val="00AA4882"/>
    <w:rsid w:val="00AA4942"/>
    <w:rsid w:val="00AA4E80"/>
    <w:rsid w:val="00AA4F6F"/>
    <w:rsid w:val="00AA56BB"/>
    <w:rsid w:val="00AA5FBC"/>
    <w:rsid w:val="00AA6463"/>
    <w:rsid w:val="00AA6888"/>
    <w:rsid w:val="00AA6E6A"/>
    <w:rsid w:val="00AA6E81"/>
    <w:rsid w:val="00AA7272"/>
    <w:rsid w:val="00AA74E8"/>
    <w:rsid w:val="00AA7974"/>
    <w:rsid w:val="00AA7A52"/>
    <w:rsid w:val="00AA7F9F"/>
    <w:rsid w:val="00AB0077"/>
    <w:rsid w:val="00AB008D"/>
    <w:rsid w:val="00AB0129"/>
    <w:rsid w:val="00AB020C"/>
    <w:rsid w:val="00AB0256"/>
    <w:rsid w:val="00AB08FB"/>
    <w:rsid w:val="00AB0C13"/>
    <w:rsid w:val="00AB0D0B"/>
    <w:rsid w:val="00AB0D46"/>
    <w:rsid w:val="00AB0FD1"/>
    <w:rsid w:val="00AB0FEA"/>
    <w:rsid w:val="00AB10FF"/>
    <w:rsid w:val="00AB1866"/>
    <w:rsid w:val="00AB214B"/>
    <w:rsid w:val="00AB2196"/>
    <w:rsid w:val="00AB31C0"/>
    <w:rsid w:val="00AB3332"/>
    <w:rsid w:val="00AB364C"/>
    <w:rsid w:val="00AB373F"/>
    <w:rsid w:val="00AB37A7"/>
    <w:rsid w:val="00AB39D9"/>
    <w:rsid w:val="00AB39F9"/>
    <w:rsid w:val="00AB3E21"/>
    <w:rsid w:val="00AB3E32"/>
    <w:rsid w:val="00AB3E8A"/>
    <w:rsid w:val="00AB3F0F"/>
    <w:rsid w:val="00AB41C8"/>
    <w:rsid w:val="00AB488D"/>
    <w:rsid w:val="00AB4C03"/>
    <w:rsid w:val="00AB4FB9"/>
    <w:rsid w:val="00AB5226"/>
    <w:rsid w:val="00AB5289"/>
    <w:rsid w:val="00AB5291"/>
    <w:rsid w:val="00AB566E"/>
    <w:rsid w:val="00AB5801"/>
    <w:rsid w:val="00AB5AF7"/>
    <w:rsid w:val="00AB5CC6"/>
    <w:rsid w:val="00AB5ED2"/>
    <w:rsid w:val="00AB61B5"/>
    <w:rsid w:val="00AB62F5"/>
    <w:rsid w:val="00AB695D"/>
    <w:rsid w:val="00AB69A3"/>
    <w:rsid w:val="00AB6BC1"/>
    <w:rsid w:val="00AB7671"/>
    <w:rsid w:val="00AB7773"/>
    <w:rsid w:val="00AB7B54"/>
    <w:rsid w:val="00AB7BEE"/>
    <w:rsid w:val="00AC029A"/>
    <w:rsid w:val="00AC078C"/>
    <w:rsid w:val="00AC081B"/>
    <w:rsid w:val="00AC0CC3"/>
    <w:rsid w:val="00AC1C48"/>
    <w:rsid w:val="00AC1EC6"/>
    <w:rsid w:val="00AC22D1"/>
    <w:rsid w:val="00AC2393"/>
    <w:rsid w:val="00AC267F"/>
    <w:rsid w:val="00AC2953"/>
    <w:rsid w:val="00AC298C"/>
    <w:rsid w:val="00AC2F1D"/>
    <w:rsid w:val="00AC2F63"/>
    <w:rsid w:val="00AC30AD"/>
    <w:rsid w:val="00AC30E6"/>
    <w:rsid w:val="00AC31B6"/>
    <w:rsid w:val="00AC3500"/>
    <w:rsid w:val="00AC3521"/>
    <w:rsid w:val="00AC3774"/>
    <w:rsid w:val="00AC3DE5"/>
    <w:rsid w:val="00AC3E0E"/>
    <w:rsid w:val="00AC443A"/>
    <w:rsid w:val="00AC4914"/>
    <w:rsid w:val="00AC491C"/>
    <w:rsid w:val="00AC4D46"/>
    <w:rsid w:val="00AC4E4D"/>
    <w:rsid w:val="00AC50B3"/>
    <w:rsid w:val="00AC588B"/>
    <w:rsid w:val="00AC5AA1"/>
    <w:rsid w:val="00AC5C16"/>
    <w:rsid w:val="00AC6381"/>
    <w:rsid w:val="00AC679B"/>
    <w:rsid w:val="00AC71BC"/>
    <w:rsid w:val="00AC7360"/>
    <w:rsid w:val="00AC7676"/>
    <w:rsid w:val="00AC7B0B"/>
    <w:rsid w:val="00AC7B16"/>
    <w:rsid w:val="00AC7C9B"/>
    <w:rsid w:val="00AC7D29"/>
    <w:rsid w:val="00AC7F45"/>
    <w:rsid w:val="00AD0120"/>
    <w:rsid w:val="00AD01A0"/>
    <w:rsid w:val="00AD0FBF"/>
    <w:rsid w:val="00AD1026"/>
    <w:rsid w:val="00AD113D"/>
    <w:rsid w:val="00AD16FB"/>
    <w:rsid w:val="00AD170D"/>
    <w:rsid w:val="00AD1A0B"/>
    <w:rsid w:val="00AD1A8A"/>
    <w:rsid w:val="00AD239A"/>
    <w:rsid w:val="00AD2AD5"/>
    <w:rsid w:val="00AD2F56"/>
    <w:rsid w:val="00AD3449"/>
    <w:rsid w:val="00AD35E6"/>
    <w:rsid w:val="00AD37D3"/>
    <w:rsid w:val="00AD3855"/>
    <w:rsid w:val="00AD3B7F"/>
    <w:rsid w:val="00AD475E"/>
    <w:rsid w:val="00AD4A4C"/>
    <w:rsid w:val="00AD4B61"/>
    <w:rsid w:val="00AD4D85"/>
    <w:rsid w:val="00AD4E2E"/>
    <w:rsid w:val="00AD5849"/>
    <w:rsid w:val="00AD58AD"/>
    <w:rsid w:val="00AD5C99"/>
    <w:rsid w:val="00AD5ED2"/>
    <w:rsid w:val="00AD616A"/>
    <w:rsid w:val="00AD66A9"/>
    <w:rsid w:val="00AD6954"/>
    <w:rsid w:val="00AD69B4"/>
    <w:rsid w:val="00AD6A5D"/>
    <w:rsid w:val="00AD6D2D"/>
    <w:rsid w:val="00AD6FB2"/>
    <w:rsid w:val="00AD71DF"/>
    <w:rsid w:val="00AD73B0"/>
    <w:rsid w:val="00AD763C"/>
    <w:rsid w:val="00AD76C6"/>
    <w:rsid w:val="00AD7CBC"/>
    <w:rsid w:val="00AE0242"/>
    <w:rsid w:val="00AE0A3D"/>
    <w:rsid w:val="00AE0C73"/>
    <w:rsid w:val="00AE1092"/>
    <w:rsid w:val="00AE13BA"/>
    <w:rsid w:val="00AE15D6"/>
    <w:rsid w:val="00AE1816"/>
    <w:rsid w:val="00AE1BED"/>
    <w:rsid w:val="00AE1BFA"/>
    <w:rsid w:val="00AE1C97"/>
    <w:rsid w:val="00AE1D02"/>
    <w:rsid w:val="00AE21A3"/>
    <w:rsid w:val="00AE2245"/>
    <w:rsid w:val="00AE24A2"/>
    <w:rsid w:val="00AE2D48"/>
    <w:rsid w:val="00AE30AA"/>
    <w:rsid w:val="00AE31E1"/>
    <w:rsid w:val="00AE3B12"/>
    <w:rsid w:val="00AE451A"/>
    <w:rsid w:val="00AE453C"/>
    <w:rsid w:val="00AE4BF2"/>
    <w:rsid w:val="00AE4D5B"/>
    <w:rsid w:val="00AE4DEB"/>
    <w:rsid w:val="00AE52E5"/>
    <w:rsid w:val="00AE5377"/>
    <w:rsid w:val="00AE5383"/>
    <w:rsid w:val="00AE56B7"/>
    <w:rsid w:val="00AE5784"/>
    <w:rsid w:val="00AE59B2"/>
    <w:rsid w:val="00AE5F64"/>
    <w:rsid w:val="00AE66AD"/>
    <w:rsid w:val="00AE67A2"/>
    <w:rsid w:val="00AE6994"/>
    <w:rsid w:val="00AE6F8E"/>
    <w:rsid w:val="00AE708D"/>
    <w:rsid w:val="00AE7098"/>
    <w:rsid w:val="00AE71D9"/>
    <w:rsid w:val="00AE7340"/>
    <w:rsid w:val="00AE73B1"/>
    <w:rsid w:val="00AE760C"/>
    <w:rsid w:val="00AE774D"/>
    <w:rsid w:val="00AE785D"/>
    <w:rsid w:val="00AE7959"/>
    <w:rsid w:val="00AE7A00"/>
    <w:rsid w:val="00AE7F18"/>
    <w:rsid w:val="00AF0293"/>
    <w:rsid w:val="00AF0658"/>
    <w:rsid w:val="00AF06DE"/>
    <w:rsid w:val="00AF090D"/>
    <w:rsid w:val="00AF0CEF"/>
    <w:rsid w:val="00AF10B8"/>
    <w:rsid w:val="00AF10DD"/>
    <w:rsid w:val="00AF188E"/>
    <w:rsid w:val="00AF1953"/>
    <w:rsid w:val="00AF1D0E"/>
    <w:rsid w:val="00AF20CC"/>
    <w:rsid w:val="00AF2293"/>
    <w:rsid w:val="00AF2849"/>
    <w:rsid w:val="00AF2A09"/>
    <w:rsid w:val="00AF2AE0"/>
    <w:rsid w:val="00AF2DF6"/>
    <w:rsid w:val="00AF2ED5"/>
    <w:rsid w:val="00AF33F2"/>
    <w:rsid w:val="00AF34FF"/>
    <w:rsid w:val="00AF3879"/>
    <w:rsid w:val="00AF42DC"/>
    <w:rsid w:val="00AF44D7"/>
    <w:rsid w:val="00AF470E"/>
    <w:rsid w:val="00AF47EF"/>
    <w:rsid w:val="00AF4A95"/>
    <w:rsid w:val="00AF4D9B"/>
    <w:rsid w:val="00AF4F3F"/>
    <w:rsid w:val="00AF4FAB"/>
    <w:rsid w:val="00AF5350"/>
    <w:rsid w:val="00AF55A3"/>
    <w:rsid w:val="00AF56BB"/>
    <w:rsid w:val="00AF60DA"/>
    <w:rsid w:val="00AF6194"/>
    <w:rsid w:val="00AF627C"/>
    <w:rsid w:val="00AF63A4"/>
    <w:rsid w:val="00AF653E"/>
    <w:rsid w:val="00AF6555"/>
    <w:rsid w:val="00AF7634"/>
    <w:rsid w:val="00AF79D6"/>
    <w:rsid w:val="00AF7A0A"/>
    <w:rsid w:val="00AF7A33"/>
    <w:rsid w:val="00B004ED"/>
    <w:rsid w:val="00B0067E"/>
    <w:rsid w:val="00B008B8"/>
    <w:rsid w:val="00B00971"/>
    <w:rsid w:val="00B010EA"/>
    <w:rsid w:val="00B014A4"/>
    <w:rsid w:val="00B01674"/>
    <w:rsid w:val="00B01745"/>
    <w:rsid w:val="00B01926"/>
    <w:rsid w:val="00B02309"/>
    <w:rsid w:val="00B027AC"/>
    <w:rsid w:val="00B02C53"/>
    <w:rsid w:val="00B02CEA"/>
    <w:rsid w:val="00B02E65"/>
    <w:rsid w:val="00B0328E"/>
    <w:rsid w:val="00B03491"/>
    <w:rsid w:val="00B034AF"/>
    <w:rsid w:val="00B03894"/>
    <w:rsid w:val="00B038FF"/>
    <w:rsid w:val="00B039C2"/>
    <w:rsid w:val="00B03B21"/>
    <w:rsid w:val="00B03C2A"/>
    <w:rsid w:val="00B03E3F"/>
    <w:rsid w:val="00B046E0"/>
    <w:rsid w:val="00B04923"/>
    <w:rsid w:val="00B04A33"/>
    <w:rsid w:val="00B04AD3"/>
    <w:rsid w:val="00B04CB7"/>
    <w:rsid w:val="00B050DB"/>
    <w:rsid w:val="00B053A5"/>
    <w:rsid w:val="00B05CC4"/>
    <w:rsid w:val="00B05EDC"/>
    <w:rsid w:val="00B0608E"/>
    <w:rsid w:val="00B06255"/>
    <w:rsid w:val="00B0649F"/>
    <w:rsid w:val="00B064CF"/>
    <w:rsid w:val="00B065B2"/>
    <w:rsid w:val="00B066E7"/>
    <w:rsid w:val="00B067E8"/>
    <w:rsid w:val="00B06A4D"/>
    <w:rsid w:val="00B06AE3"/>
    <w:rsid w:val="00B06C84"/>
    <w:rsid w:val="00B06FAA"/>
    <w:rsid w:val="00B0704F"/>
    <w:rsid w:val="00B07138"/>
    <w:rsid w:val="00B07709"/>
    <w:rsid w:val="00B07AAB"/>
    <w:rsid w:val="00B07B3B"/>
    <w:rsid w:val="00B07BBC"/>
    <w:rsid w:val="00B07C2D"/>
    <w:rsid w:val="00B07C5A"/>
    <w:rsid w:val="00B07F8B"/>
    <w:rsid w:val="00B100B1"/>
    <w:rsid w:val="00B10331"/>
    <w:rsid w:val="00B1034C"/>
    <w:rsid w:val="00B10628"/>
    <w:rsid w:val="00B10933"/>
    <w:rsid w:val="00B10DB5"/>
    <w:rsid w:val="00B1110A"/>
    <w:rsid w:val="00B11935"/>
    <w:rsid w:val="00B11BC3"/>
    <w:rsid w:val="00B11D5B"/>
    <w:rsid w:val="00B11E94"/>
    <w:rsid w:val="00B12218"/>
    <w:rsid w:val="00B124CA"/>
    <w:rsid w:val="00B12719"/>
    <w:rsid w:val="00B12F68"/>
    <w:rsid w:val="00B12FB7"/>
    <w:rsid w:val="00B131A4"/>
    <w:rsid w:val="00B13357"/>
    <w:rsid w:val="00B13524"/>
    <w:rsid w:val="00B13580"/>
    <w:rsid w:val="00B13850"/>
    <w:rsid w:val="00B141C0"/>
    <w:rsid w:val="00B14217"/>
    <w:rsid w:val="00B14480"/>
    <w:rsid w:val="00B14C68"/>
    <w:rsid w:val="00B14D4D"/>
    <w:rsid w:val="00B15350"/>
    <w:rsid w:val="00B15A5A"/>
    <w:rsid w:val="00B15C5F"/>
    <w:rsid w:val="00B15ECE"/>
    <w:rsid w:val="00B15F2D"/>
    <w:rsid w:val="00B162CC"/>
    <w:rsid w:val="00B1630A"/>
    <w:rsid w:val="00B1665D"/>
    <w:rsid w:val="00B16836"/>
    <w:rsid w:val="00B16A59"/>
    <w:rsid w:val="00B16C29"/>
    <w:rsid w:val="00B16C83"/>
    <w:rsid w:val="00B16F41"/>
    <w:rsid w:val="00B17153"/>
    <w:rsid w:val="00B17654"/>
    <w:rsid w:val="00B176FD"/>
    <w:rsid w:val="00B17D38"/>
    <w:rsid w:val="00B20164"/>
    <w:rsid w:val="00B204B1"/>
    <w:rsid w:val="00B20C7D"/>
    <w:rsid w:val="00B20C83"/>
    <w:rsid w:val="00B2106F"/>
    <w:rsid w:val="00B21161"/>
    <w:rsid w:val="00B21551"/>
    <w:rsid w:val="00B21C3F"/>
    <w:rsid w:val="00B21EF9"/>
    <w:rsid w:val="00B21F08"/>
    <w:rsid w:val="00B22006"/>
    <w:rsid w:val="00B22279"/>
    <w:rsid w:val="00B223DB"/>
    <w:rsid w:val="00B2287B"/>
    <w:rsid w:val="00B22BB5"/>
    <w:rsid w:val="00B22C88"/>
    <w:rsid w:val="00B232C7"/>
    <w:rsid w:val="00B23536"/>
    <w:rsid w:val="00B23CBD"/>
    <w:rsid w:val="00B23E1F"/>
    <w:rsid w:val="00B23F2A"/>
    <w:rsid w:val="00B23FAF"/>
    <w:rsid w:val="00B24099"/>
    <w:rsid w:val="00B241D2"/>
    <w:rsid w:val="00B24203"/>
    <w:rsid w:val="00B2421C"/>
    <w:rsid w:val="00B245AC"/>
    <w:rsid w:val="00B246B5"/>
    <w:rsid w:val="00B24793"/>
    <w:rsid w:val="00B24C6D"/>
    <w:rsid w:val="00B24E8B"/>
    <w:rsid w:val="00B24E99"/>
    <w:rsid w:val="00B252DF"/>
    <w:rsid w:val="00B2545A"/>
    <w:rsid w:val="00B25466"/>
    <w:rsid w:val="00B25983"/>
    <w:rsid w:val="00B26177"/>
    <w:rsid w:val="00B2624B"/>
    <w:rsid w:val="00B26612"/>
    <w:rsid w:val="00B26651"/>
    <w:rsid w:val="00B26765"/>
    <w:rsid w:val="00B2692E"/>
    <w:rsid w:val="00B26BD1"/>
    <w:rsid w:val="00B26D43"/>
    <w:rsid w:val="00B26E1C"/>
    <w:rsid w:val="00B26EB0"/>
    <w:rsid w:val="00B27070"/>
    <w:rsid w:val="00B27E6A"/>
    <w:rsid w:val="00B30029"/>
    <w:rsid w:val="00B300B7"/>
    <w:rsid w:val="00B300F6"/>
    <w:rsid w:val="00B3041E"/>
    <w:rsid w:val="00B30591"/>
    <w:rsid w:val="00B309DB"/>
    <w:rsid w:val="00B30C5A"/>
    <w:rsid w:val="00B30E78"/>
    <w:rsid w:val="00B31000"/>
    <w:rsid w:val="00B310E6"/>
    <w:rsid w:val="00B3125C"/>
    <w:rsid w:val="00B314EE"/>
    <w:rsid w:val="00B31813"/>
    <w:rsid w:val="00B31CF0"/>
    <w:rsid w:val="00B3202A"/>
    <w:rsid w:val="00B320A7"/>
    <w:rsid w:val="00B3225C"/>
    <w:rsid w:val="00B3238D"/>
    <w:rsid w:val="00B3294B"/>
    <w:rsid w:val="00B32978"/>
    <w:rsid w:val="00B32CCC"/>
    <w:rsid w:val="00B3314F"/>
    <w:rsid w:val="00B3355C"/>
    <w:rsid w:val="00B3377F"/>
    <w:rsid w:val="00B33EB6"/>
    <w:rsid w:val="00B33F68"/>
    <w:rsid w:val="00B34522"/>
    <w:rsid w:val="00B346AE"/>
    <w:rsid w:val="00B34759"/>
    <w:rsid w:val="00B34C24"/>
    <w:rsid w:val="00B34C2F"/>
    <w:rsid w:val="00B34ED5"/>
    <w:rsid w:val="00B34EF7"/>
    <w:rsid w:val="00B34F65"/>
    <w:rsid w:val="00B35484"/>
    <w:rsid w:val="00B354FD"/>
    <w:rsid w:val="00B359CC"/>
    <w:rsid w:val="00B35D39"/>
    <w:rsid w:val="00B35D73"/>
    <w:rsid w:val="00B362C1"/>
    <w:rsid w:val="00B36324"/>
    <w:rsid w:val="00B363F7"/>
    <w:rsid w:val="00B36998"/>
    <w:rsid w:val="00B36B5E"/>
    <w:rsid w:val="00B36D1D"/>
    <w:rsid w:val="00B36F1F"/>
    <w:rsid w:val="00B379D7"/>
    <w:rsid w:val="00B37A06"/>
    <w:rsid w:val="00B37B51"/>
    <w:rsid w:val="00B37DAD"/>
    <w:rsid w:val="00B37E02"/>
    <w:rsid w:val="00B37FA2"/>
    <w:rsid w:val="00B402DD"/>
    <w:rsid w:val="00B40445"/>
    <w:rsid w:val="00B40A50"/>
    <w:rsid w:val="00B40B9E"/>
    <w:rsid w:val="00B40BFA"/>
    <w:rsid w:val="00B40D3D"/>
    <w:rsid w:val="00B40E0F"/>
    <w:rsid w:val="00B40FDB"/>
    <w:rsid w:val="00B4195C"/>
    <w:rsid w:val="00B41DD8"/>
    <w:rsid w:val="00B41F3B"/>
    <w:rsid w:val="00B425D1"/>
    <w:rsid w:val="00B4281E"/>
    <w:rsid w:val="00B42854"/>
    <w:rsid w:val="00B428A0"/>
    <w:rsid w:val="00B42963"/>
    <w:rsid w:val="00B4314D"/>
    <w:rsid w:val="00B43282"/>
    <w:rsid w:val="00B43429"/>
    <w:rsid w:val="00B4369A"/>
    <w:rsid w:val="00B4371E"/>
    <w:rsid w:val="00B43AB3"/>
    <w:rsid w:val="00B43AB7"/>
    <w:rsid w:val="00B43DEF"/>
    <w:rsid w:val="00B44475"/>
    <w:rsid w:val="00B44824"/>
    <w:rsid w:val="00B44AEF"/>
    <w:rsid w:val="00B44E5F"/>
    <w:rsid w:val="00B44FC6"/>
    <w:rsid w:val="00B455F7"/>
    <w:rsid w:val="00B459F5"/>
    <w:rsid w:val="00B45CDE"/>
    <w:rsid w:val="00B462B4"/>
    <w:rsid w:val="00B4630C"/>
    <w:rsid w:val="00B4635D"/>
    <w:rsid w:val="00B4671F"/>
    <w:rsid w:val="00B468C9"/>
    <w:rsid w:val="00B46C22"/>
    <w:rsid w:val="00B46C7C"/>
    <w:rsid w:val="00B472A6"/>
    <w:rsid w:val="00B47477"/>
    <w:rsid w:val="00B477F5"/>
    <w:rsid w:val="00B47B23"/>
    <w:rsid w:val="00B47D8D"/>
    <w:rsid w:val="00B47F96"/>
    <w:rsid w:val="00B5007B"/>
    <w:rsid w:val="00B50321"/>
    <w:rsid w:val="00B504F2"/>
    <w:rsid w:val="00B50887"/>
    <w:rsid w:val="00B50BDA"/>
    <w:rsid w:val="00B50C11"/>
    <w:rsid w:val="00B51B32"/>
    <w:rsid w:val="00B51C1B"/>
    <w:rsid w:val="00B523B8"/>
    <w:rsid w:val="00B52738"/>
    <w:rsid w:val="00B52926"/>
    <w:rsid w:val="00B52B61"/>
    <w:rsid w:val="00B52D26"/>
    <w:rsid w:val="00B52ECB"/>
    <w:rsid w:val="00B52F6D"/>
    <w:rsid w:val="00B533CB"/>
    <w:rsid w:val="00B53648"/>
    <w:rsid w:val="00B53E12"/>
    <w:rsid w:val="00B540B9"/>
    <w:rsid w:val="00B54623"/>
    <w:rsid w:val="00B54684"/>
    <w:rsid w:val="00B55899"/>
    <w:rsid w:val="00B55F89"/>
    <w:rsid w:val="00B5673C"/>
    <w:rsid w:val="00B567B3"/>
    <w:rsid w:val="00B56CBE"/>
    <w:rsid w:val="00B56DCE"/>
    <w:rsid w:val="00B5726D"/>
    <w:rsid w:val="00B572A5"/>
    <w:rsid w:val="00B572A9"/>
    <w:rsid w:val="00B572D2"/>
    <w:rsid w:val="00B5743F"/>
    <w:rsid w:val="00B57511"/>
    <w:rsid w:val="00B57590"/>
    <w:rsid w:val="00B577BD"/>
    <w:rsid w:val="00B579DC"/>
    <w:rsid w:val="00B6029D"/>
    <w:rsid w:val="00B603B7"/>
    <w:rsid w:val="00B60418"/>
    <w:rsid w:val="00B609A6"/>
    <w:rsid w:val="00B60D63"/>
    <w:rsid w:val="00B60F5C"/>
    <w:rsid w:val="00B61552"/>
    <w:rsid w:val="00B6173B"/>
    <w:rsid w:val="00B61924"/>
    <w:rsid w:val="00B61DA9"/>
    <w:rsid w:val="00B61E98"/>
    <w:rsid w:val="00B62543"/>
    <w:rsid w:val="00B626E7"/>
    <w:rsid w:val="00B62C9D"/>
    <w:rsid w:val="00B62DB4"/>
    <w:rsid w:val="00B63E27"/>
    <w:rsid w:val="00B63F9E"/>
    <w:rsid w:val="00B64016"/>
    <w:rsid w:val="00B641D6"/>
    <w:rsid w:val="00B64359"/>
    <w:rsid w:val="00B651BF"/>
    <w:rsid w:val="00B65326"/>
    <w:rsid w:val="00B65B94"/>
    <w:rsid w:val="00B66367"/>
    <w:rsid w:val="00B663D2"/>
    <w:rsid w:val="00B6648B"/>
    <w:rsid w:val="00B66514"/>
    <w:rsid w:val="00B6686E"/>
    <w:rsid w:val="00B6746F"/>
    <w:rsid w:val="00B67B40"/>
    <w:rsid w:val="00B7005A"/>
    <w:rsid w:val="00B7017C"/>
    <w:rsid w:val="00B706E7"/>
    <w:rsid w:val="00B70DAB"/>
    <w:rsid w:val="00B7120D"/>
    <w:rsid w:val="00B716A1"/>
    <w:rsid w:val="00B71791"/>
    <w:rsid w:val="00B718D7"/>
    <w:rsid w:val="00B71A9D"/>
    <w:rsid w:val="00B71AF9"/>
    <w:rsid w:val="00B71CE9"/>
    <w:rsid w:val="00B7269B"/>
    <w:rsid w:val="00B726D6"/>
    <w:rsid w:val="00B728A5"/>
    <w:rsid w:val="00B72EB3"/>
    <w:rsid w:val="00B7330B"/>
    <w:rsid w:val="00B73949"/>
    <w:rsid w:val="00B73E79"/>
    <w:rsid w:val="00B7455F"/>
    <w:rsid w:val="00B747BD"/>
    <w:rsid w:val="00B74A99"/>
    <w:rsid w:val="00B74CFC"/>
    <w:rsid w:val="00B75213"/>
    <w:rsid w:val="00B7535F"/>
    <w:rsid w:val="00B759D0"/>
    <w:rsid w:val="00B75F90"/>
    <w:rsid w:val="00B766DD"/>
    <w:rsid w:val="00B7710D"/>
    <w:rsid w:val="00B7718E"/>
    <w:rsid w:val="00B772C5"/>
    <w:rsid w:val="00B773B7"/>
    <w:rsid w:val="00B77579"/>
    <w:rsid w:val="00B776B7"/>
    <w:rsid w:val="00B777AF"/>
    <w:rsid w:val="00B77879"/>
    <w:rsid w:val="00B77DBC"/>
    <w:rsid w:val="00B77F76"/>
    <w:rsid w:val="00B801C6"/>
    <w:rsid w:val="00B801FE"/>
    <w:rsid w:val="00B802C7"/>
    <w:rsid w:val="00B805EC"/>
    <w:rsid w:val="00B8061D"/>
    <w:rsid w:val="00B8082C"/>
    <w:rsid w:val="00B8104D"/>
    <w:rsid w:val="00B81129"/>
    <w:rsid w:val="00B818E6"/>
    <w:rsid w:val="00B81958"/>
    <w:rsid w:val="00B81DC9"/>
    <w:rsid w:val="00B81FDA"/>
    <w:rsid w:val="00B8234C"/>
    <w:rsid w:val="00B823C1"/>
    <w:rsid w:val="00B823C7"/>
    <w:rsid w:val="00B8244D"/>
    <w:rsid w:val="00B8351D"/>
    <w:rsid w:val="00B8373C"/>
    <w:rsid w:val="00B83BB0"/>
    <w:rsid w:val="00B83BF3"/>
    <w:rsid w:val="00B83D19"/>
    <w:rsid w:val="00B84318"/>
    <w:rsid w:val="00B84579"/>
    <w:rsid w:val="00B8471B"/>
    <w:rsid w:val="00B848C4"/>
    <w:rsid w:val="00B849C3"/>
    <w:rsid w:val="00B84CEB"/>
    <w:rsid w:val="00B84F74"/>
    <w:rsid w:val="00B85308"/>
    <w:rsid w:val="00B854B6"/>
    <w:rsid w:val="00B854E6"/>
    <w:rsid w:val="00B856A8"/>
    <w:rsid w:val="00B85B5E"/>
    <w:rsid w:val="00B85DED"/>
    <w:rsid w:val="00B86356"/>
    <w:rsid w:val="00B864CA"/>
    <w:rsid w:val="00B8697C"/>
    <w:rsid w:val="00B869AE"/>
    <w:rsid w:val="00B86B6E"/>
    <w:rsid w:val="00B86CB9"/>
    <w:rsid w:val="00B86EAC"/>
    <w:rsid w:val="00B878E0"/>
    <w:rsid w:val="00B87C59"/>
    <w:rsid w:val="00B87EA4"/>
    <w:rsid w:val="00B903CD"/>
    <w:rsid w:val="00B906B2"/>
    <w:rsid w:val="00B907FC"/>
    <w:rsid w:val="00B90945"/>
    <w:rsid w:val="00B9098B"/>
    <w:rsid w:val="00B90CCD"/>
    <w:rsid w:val="00B91514"/>
    <w:rsid w:val="00B915D8"/>
    <w:rsid w:val="00B91DE8"/>
    <w:rsid w:val="00B92975"/>
    <w:rsid w:val="00B92BB5"/>
    <w:rsid w:val="00B92CF3"/>
    <w:rsid w:val="00B92D52"/>
    <w:rsid w:val="00B935EC"/>
    <w:rsid w:val="00B937E9"/>
    <w:rsid w:val="00B93A81"/>
    <w:rsid w:val="00B93ABE"/>
    <w:rsid w:val="00B93CAB"/>
    <w:rsid w:val="00B93F23"/>
    <w:rsid w:val="00B93F98"/>
    <w:rsid w:val="00B946F0"/>
    <w:rsid w:val="00B9470A"/>
    <w:rsid w:val="00B94898"/>
    <w:rsid w:val="00B9491F"/>
    <w:rsid w:val="00B94C24"/>
    <w:rsid w:val="00B94ED4"/>
    <w:rsid w:val="00B94F3B"/>
    <w:rsid w:val="00B95433"/>
    <w:rsid w:val="00B95612"/>
    <w:rsid w:val="00B957FC"/>
    <w:rsid w:val="00B964C7"/>
    <w:rsid w:val="00B966AD"/>
    <w:rsid w:val="00B96B1B"/>
    <w:rsid w:val="00B972F5"/>
    <w:rsid w:val="00B97542"/>
    <w:rsid w:val="00B9758D"/>
    <w:rsid w:val="00B97D7C"/>
    <w:rsid w:val="00B97E9F"/>
    <w:rsid w:val="00BA0596"/>
    <w:rsid w:val="00BA071C"/>
    <w:rsid w:val="00BA072D"/>
    <w:rsid w:val="00BA074B"/>
    <w:rsid w:val="00BA0821"/>
    <w:rsid w:val="00BA0A6D"/>
    <w:rsid w:val="00BA0DF0"/>
    <w:rsid w:val="00BA0DFE"/>
    <w:rsid w:val="00BA0E74"/>
    <w:rsid w:val="00BA115F"/>
    <w:rsid w:val="00BA143A"/>
    <w:rsid w:val="00BA236B"/>
    <w:rsid w:val="00BA2733"/>
    <w:rsid w:val="00BA2ED9"/>
    <w:rsid w:val="00BA33C9"/>
    <w:rsid w:val="00BA34C2"/>
    <w:rsid w:val="00BA3B8F"/>
    <w:rsid w:val="00BA3C95"/>
    <w:rsid w:val="00BA44ED"/>
    <w:rsid w:val="00BA4563"/>
    <w:rsid w:val="00BA4D20"/>
    <w:rsid w:val="00BA4DA3"/>
    <w:rsid w:val="00BA4F02"/>
    <w:rsid w:val="00BA5138"/>
    <w:rsid w:val="00BA5153"/>
    <w:rsid w:val="00BA548C"/>
    <w:rsid w:val="00BA5541"/>
    <w:rsid w:val="00BA56D3"/>
    <w:rsid w:val="00BA579B"/>
    <w:rsid w:val="00BA5D19"/>
    <w:rsid w:val="00BA61C3"/>
    <w:rsid w:val="00BA62DB"/>
    <w:rsid w:val="00BA6713"/>
    <w:rsid w:val="00BA6C10"/>
    <w:rsid w:val="00BA6C8C"/>
    <w:rsid w:val="00BA6F50"/>
    <w:rsid w:val="00BB059C"/>
    <w:rsid w:val="00BB0C2A"/>
    <w:rsid w:val="00BB11BC"/>
    <w:rsid w:val="00BB1A18"/>
    <w:rsid w:val="00BB1A24"/>
    <w:rsid w:val="00BB1A30"/>
    <w:rsid w:val="00BB1B4B"/>
    <w:rsid w:val="00BB1D3D"/>
    <w:rsid w:val="00BB241B"/>
    <w:rsid w:val="00BB2490"/>
    <w:rsid w:val="00BB252D"/>
    <w:rsid w:val="00BB269C"/>
    <w:rsid w:val="00BB26D5"/>
    <w:rsid w:val="00BB2DD3"/>
    <w:rsid w:val="00BB2DF3"/>
    <w:rsid w:val="00BB34A3"/>
    <w:rsid w:val="00BB34AD"/>
    <w:rsid w:val="00BB34AF"/>
    <w:rsid w:val="00BB35C8"/>
    <w:rsid w:val="00BB3A74"/>
    <w:rsid w:val="00BB3BCF"/>
    <w:rsid w:val="00BB3DD5"/>
    <w:rsid w:val="00BB47DD"/>
    <w:rsid w:val="00BB543D"/>
    <w:rsid w:val="00BB562B"/>
    <w:rsid w:val="00BB5A8A"/>
    <w:rsid w:val="00BB5BCD"/>
    <w:rsid w:val="00BB5DEE"/>
    <w:rsid w:val="00BB5E2B"/>
    <w:rsid w:val="00BB603A"/>
    <w:rsid w:val="00BB6B74"/>
    <w:rsid w:val="00BB6EB6"/>
    <w:rsid w:val="00BB7C26"/>
    <w:rsid w:val="00BC034E"/>
    <w:rsid w:val="00BC09E0"/>
    <w:rsid w:val="00BC0B97"/>
    <w:rsid w:val="00BC124C"/>
    <w:rsid w:val="00BC151F"/>
    <w:rsid w:val="00BC15C5"/>
    <w:rsid w:val="00BC193E"/>
    <w:rsid w:val="00BC1DA9"/>
    <w:rsid w:val="00BC1DF9"/>
    <w:rsid w:val="00BC2721"/>
    <w:rsid w:val="00BC2782"/>
    <w:rsid w:val="00BC27A4"/>
    <w:rsid w:val="00BC28DC"/>
    <w:rsid w:val="00BC299A"/>
    <w:rsid w:val="00BC2B19"/>
    <w:rsid w:val="00BC2E8F"/>
    <w:rsid w:val="00BC2F36"/>
    <w:rsid w:val="00BC3041"/>
    <w:rsid w:val="00BC349B"/>
    <w:rsid w:val="00BC3545"/>
    <w:rsid w:val="00BC3733"/>
    <w:rsid w:val="00BC3F3C"/>
    <w:rsid w:val="00BC4093"/>
    <w:rsid w:val="00BC42A9"/>
    <w:rsid w:val="00BC4877"/>
    <w:rsid w:val="00BC4B10"/>
    <w:rsid w:val="00BC4E55"/>
    <w:rsid w:val="00BC5347"/>
    <w:rsid w:val="00BC5354"/>
    <w:rsid w:val="00BC5361"/>
    <w:rsid w:val="00BC545C"/>
    <w:rsid w:val="00BC55C3"/>
    <w:rsid w:val="00BC59FD"/>
    <w:rsid w:val="00BC6A55"/>
    <w:rsid w:val="00BC6D6A"/>
    <w:rsid w:val="00BC7074"/>
    <w:rsid w:val="00BC787B"/>
    <w:rsid w:val="00BC78DA"/>
    <w:rsid w:val="00BC7E25"/>
    <w:rsid w:val="00BD0287"/>
    <w:rsid w:val="00BD046C"/>
    <w:rsid w:val="00BD04BA"/>
    <w:rsid w:val="00BD0B54"/>
    <w:rsid w:val="00BD0C29"/>
    <w:rsid w:val="00BD0C79"/>
    <w:rsid w:val="00BD12D4"/>
    <w:rsid w:val="00BD13D4"/>
    <w:rsid w:val="00BD145F"/>
    <w:rsid w:val="00BD16ED"/>
    <w:rsid w:val="00BD18D4"/>
    <w:rsid w:val="00BD1B63"/>
    <w:rsid w:val="00BD1D41"/>
    <w:rsid w:val="00BD21D5"/>
    <w:rsid w:val="00BD26A7"/>
    <w:rsid w:val="00BD26E8"/>
    <w:rsid w:val="00BD2709"/>
    <w:rsid w:val="00BD2BFE"/>
    <w:rsid w:val="00BD2F9C"/>
    <w:rsid w:val="00BD335E"/>
    <w:rsid w:val="00BD363C"/>
    <w:rsid w:val="00BD39DB"/>
    <w:rsid w:val="00BD3CED"/>
    <w:rsid w:val="00BD3DAC"/>
    <w:rsid w:val="00BD4476"/>
    <w:rsid w:val="00BD496A"/>
    <w:rsid w:val="00BD4A84"/>
    <w:rsid w:val="00BD514A"/>
    <w:rsid w:val="00BD524E"/>
    <w:rsid w:val="00BD5C4D"/>
    <w:rsid w:val="00BD5C7C"/>
    <w:rsid w:val="00BD64FC"/>
    <w:rsid w:val="00BD6702"/>
    <w:rsid w:val="00BD6BDF"/>
    <w:rsid w:val="00BD6F34"/>
    <w:rsid w:val="00BD712E"/>
    <w:rsid w:val="00BD71BF"/>
    <w:rsid w:val="00BD7709"/>
    <w:rsid w:val="00BD7813"/>
    <w:rsid w:val="00BD7A80"/>
    <w:rsid w:val="00BD7BF6"/>
    <w:rsid w:val="00BD7EAF"/>
    <w:rsid w:val="00BE05A5"/>
    <w:rsid w:val="00BE0843"/>
    <w:rsid w:val="00BE0885"/>
    <w:rsid w:val="00BE0C6E"/>
    <w:rsid w:val="00BE0D82"/>
    <w:rsid w:val="00BE0F68"/>
    <w:rsid w:val="00BE127F"/>
    <w:rsid w:val="00BE177A"/>
    <w:rsid w:val="00BE2145"/>
    <w:rsid w:val="00BE264B"/>
    <w:rsid w:val="00BE2913"/>
    <w:rsid w:val="00BE2F55"/>
    <w:rsid w:val="00BE3734"/>
    <w:rsid w:val="00BE3A48"/>
    <w:rsid w:val="00BE3A97"/>
    <w:rsid w:val="00BE3D3C"/>
    <w:rsid w:val="00BE465E"/>
    <w:rsid w:val="00BE489D"/>
    <w:rsid w:val="00BE4B56"/>
    <w:rsid w:val="00BE4D24"/>
    <w:rsid w:val="00BE4D41"/>
    <w:rsid w:val="00BE4E31"/>
    <w:rsid w:val="00BE4E4A"/>
    <w:rsid w:val="00BE5095"/>
    <w:rsid w:val="00BE56AF"/>
    <w:rsid w:val="00BE56CF"/>
    <w:rsid w:val="00BE57D4"/>
    <w:rsid w:val="00BE59E6"/>
    <w:rsid w:val="00BE5D57"/>
    <w:rsid w:val="00BE5D61"/>
    <w:rsid w:val="00BE5DEC"/>
    <w:rsid w:val="00BE5E45"/>
    <w:rsid w:val="00BE5EEB"/>
    <w:rsid w:val="00BE5F47"/>
    <w:rsid w:val="00BE644F"/>
    <w:rsid w:val="00BE68BE"/>
    <w:rsid w:val="00BE6BB4"/>
    <w:rsid w:val="00BE6C95"/>
    <w:rsid w:val="00BE6F76"/>
    <w:rsid w:val="00BE789D"/>
    <w:rsid w:val="00BE7A8A"/>
    <w:rsid w:val="00BE7D87"/>
    <w:rsid w:val="00BF0014"/>
    <w:rsid w:val="00BF01E7"/>
    <w:rsid w:val="00BF057E"/>
    <w:rsid w:val="00BF09A6"/>
    <w:rsid w:val="00BF0C13"/>
    <w:rsid w:val="00BF0E0C"/>
    <w:rsid w:val="00BF103F"/>
    <w:rsid w:val="00BF14FA"/>
    <w:rsid w:val="00BF16F3"/>
    <w:rsid w:val="00BF1A26"/>
    <w:rsid w:val="00BF1AC8"/>
    <w:rsid w:val="00BF1D09"/>
    <w:rsid w:val="00BF1DFB"/>
    <w:rsid w:val="00BF200C"/>
    <w:rsid w:val="00BF2264"/>
    <w:rsid w:val="00BF2351"/>
    <w:rsid w:val="00BF243B"/>
    <w:rsid w:val="00BF247F"/>
    <w:rsid w:val="00BF2787"/>
    <w:rsid w:val="00BF31EA"/>
    <w:rsid w:val="00BF3BC8"/>
    <w:rsid w:val="00BF3CCB"/>
    <w:rsid w:val="00BF3E2A"/>
    <w:rsid w:val="00BF3F9D"/>
    <w:rsid w:val="00BF404D"/>
    <w:rsid w:val="00BF4069"/>
    <w:rsid w:val="00BF46C1"/>
    <w:rsid w:val="00BF48C9"/>
    <w:rsid w:val="00BF5157"/>
    <w:rsid w:val="00BF52A2"/>
    <w:rsid w:val="00BF56D4"/>
    <w:rsid w:val="00BF57B8"/>
    <w:rsid w:val="00BF599F"/>
    <w:rsid w:val="00BF59E8"/>
    <w:rsid w:val="00BF5A9C"/>
    <w:rsid w:val="00BF5C15"/>
    <w:rsid w:val="00BF5E61"/>
    <w:rsid w:val="00BF5EBF"/>
    <w:rsid w:val="00BF64C7"/>
    <w:rsid w:val="00BF658D"/>
    <w:rsid w:val="00BF70D4"/>
    <w:rsid w:val="00BF759F"/>
    <w:rsid w:val="00BF7B0F"/>
    <w:rsid w:val="00BF7EF9"/>
    <w:rsid w:val="00C002F9"/>
    <w:rsid w:val="00C003A6"/>
    <w:rsid w:val="00C004A4"/>
    <w:rsid w:val="00C005F0"/>
    <w:rsid w:val="00C00BCF"/>
    <w:rsid w:val="00C00FA7"/>
    <w:rsid w:val="00C0115A"/>
    <w:rsid w:val="00C01427"/>
    <w:rsid w:val="00C02666"/>
    <w:rsid w:val="00C02DD3"/>
    <w:rsid w:val="00C04681"/>
    <w:rsid w:val="00C0483D"/>
    <w:rsid w:val="00C04926"/>
    <w:rsid w:val="00C04AEB"/>
    <w:rsid w:val="00C04B8D"/>
    <w:rsid w:val="00C04EE7"/>
    <w:rsid w:val="00C0503B"/>
    <w:rsid w:val="00C050A3"/>
    <w:rsid w:val="00C050FA"/>
    <w:rsid w:val="00C05DBA"/>
    <w:rsid w:val="00C05EA0"/>
    <w:rsid w:val="00C063DC"/>
    <w:rsid w:val="00C065E0"/>
    <w:rsid w:val="00C06941"/>
    <w:rsid w:val="00C06AB0"/>
    <w:rsid w:val="00C06B0D"/>
    <w:rsid w:val="00C06D1B"/>
    <w:rsid w:val="00C06DB3"/>
    <w:rsid w:val="00C06FA1"/>
    <w:rsid w:val="00C06FDD"/>
    <w:rsid w:val="00C07011"/>
    <w:rsid w:val="00C071DA"/>
    <w:rsid w:val="00C072B2"/>
    <w:rsid w:val="00C07311"/>
    <w:rsid w:val="00C074A0"/>
    <w:rsid w:val="00C07AB0"/>
    <w:rsid w:val="00C07BC1"/>
    <w:rsid w:val="00C07D71"/>
    <w:rsid w:val="00C102D8"/>
    <w:rsid w:val="00C102FA"/>
    <w:rsid w:val="00C10313"/>
    <w:rsid w:val="00C1038C"/>
    <w:rsid w:val="00C103C8"/>
    <w:rsid w:val="00C10400"/>
    <w:rsid w:val="00C104F5"/>
    <w:rsid w:val="00C1097B"/>
    <w:rsid w:val="00C10BF1"/>
    <w:rsid w:val="00C10C8C"/>
    <w:rsid w:val="00C10CAC"/>
    <w:rsid w:val="00C10CE4"/>
    <w:rsid w:val="00C10EC4"/>
    <w:rsid w:val="00C11B12"/>
    <w:rsid w:val="00C11E0A"/>
    <w:rsid w:val="00C11F33"/>
    <w:rsid w:val="00C121D1"/>
    <w:rsid w:val="00C12D3F"/>
    <w:rsid w:val="00C131B4"/>
    <w:rsid w:val="00C13225"/>
    <w:rsid w:val="00C13600"/>
    <w:rsid w:val="00C13646"/>
    <w:rsid w:val="00C13A47"/>
    <w:rsid w:val="00C1434C"/>
    <w:rsid w:val="00C14727"/>
    <w:rsid w:val="00C14735"/>
    <w:rsid w:val="00C14CA5"/>
    <w:rsid w:val="00C14D22"/>
    <w:rsid w:val="00C15360"/>
    <w:rsid w:val="00C154EA"/>
    <w:rsid w:val="00C156D0"/>
    <w:rsid w:val="00C15B40"/>
    <w:rsid w:val="00C15BAB"/>
    <w:rsid w:val="00C15D3C"/>
    <w:rsid w:val="00C15F8D"/>
    <w:rsid w:val="00C160FE"/>
    <w:rsid w:val="00C164BC"/>
    <w:rsid w:val="00C1653B"/>
    <w:rsid w:val="00C165D4"/>
    <w:rsid w:val="00C169BE"/>
    <w:rsid w:val="00C16BB0"/>
    <w:rsid w:val="00C16E99"/>
    <w:rsid w:val="00C16FE8"/>
    <w:rsid w:val="00C17B64"/>
    <w:rsid w:val="00C203B8"/>
    <w:rsid w:val="00C2052D"/>
    <w:rsid w:val="00C20569"/>
    <w:rsid w:val="00C21037"/>
    <w:rsid w:val="00C21211"/>
    <w:rsid w:val="00C2139B"/>
    <w:rsid w:val="00C217A5"/>
    <w:rsid w:val="00C218D4"/>
    <w:rsid w:val="00C219D8"/>
    <w:rsid w:val="00C21C76"/>
    <w:rsid w:val="00C21D3B"/>
    <w:rsid w:val="00C21E2F"/>
    <w:rsid w:val="00C21EDB"/>
    <w:rsid w:val="00C221D9"/>
    <w:rsid w:val="00C222F2"/>
    <w:rsid w:val="00C225BD"/>
    <w:rsid w:val="00C22977"/>
    <w:rsid w:val="00C22AC1"/>
    <w:rsid w:val="00C247DA"/>
    <w:rsid w:val="00C24D8D"/>
    <w:rsid w:val="00C24E5F"/>
    <w:rsid w:val="00C24EC9"/>
    <w:rsid w:val="00C2535B"/>
    <w:rsid w:val="00C26066"/>
    <w:rsid w:val="00C260A6"/>
    <w:rsid w:val="00C26324"/>
    <w:rsid w:val="00C2660B"/>
    <w:rsid w:val="00C26819"/>
    <w:rsid w:val="00C268BF"/>
    <w:rsid w:val="00C269A4"/>
    <w:rsid w:val="00C26DA1"/>
    <w:rsid w:val="00C26E13"/>
    <w:rsid w:val="00C2701F"/>
    <w:rsid w:val="00C2742E"/>
    <w:rsid w:val="00C2751E"/>
    <w:rsid w:val="00C2768B"/>
    <w:rsid w:val="00C2778C"/>
    <w:rsid w:val="00C27919"/>
    <w:rsid w:val="00C27920"/>
    <w:rsid w:val="00C27EAF"/>
    <w:rsid w:val="00C30024"/>
    <w:rsid w:val="00C3009B"/>
    <w:rsid w:val="00C302CA"/>
    <w:rsid w:val="00C302F4"/>
    <w:rsid w:val="00C3044D"/>
    <w:rsid w:val="00C3058C"/>
    <w:rsid w:val="00C30653"/>
    <w:rsid w:val="00C306ED"/>
    <w:rsid w:val="00C30B7F"/>
    <w:rsid w:val="00C30FD2"/>
    <w:rsid w:val="00C3116C"/>
    <w:rsid w:val="00C3118B"/>
    <w:rsid w:val="00C31345"/>
    <w:rsid w:val="00C31D07"/>
    <w:rsid w:val="00C32482"/>
    <w:rsid w:val="00C328C0"/>
    <w:rsid w:val="00C332F0"/>
    <w:rsid w:val="00C3365B"/>
    <w:rsid w:val="00C33D6F"/>
    <w:rsid w:val="00C33E39"/>
    <w:rsid w:val="00C3468D"/>
    <w:rsid w:val="00C34AFE"/>
    <w:rsid w:val="00C34B7C"/>
    <w:rsid w:val="00C34D08"/>
    <w:rsid w:val="00C34D45"/>
    <w:rsid w:val="00C34E03"/>
    <w:rsid w:val="00C34EB8"/>
    <w:rsid w:val="00C35152"/>
    <w:rsid w:val="00C3538C"/>
    <w:rsid w:val="00C35A69"/>
    <w:rsid w:val="00C35A9D"/>
    <w:rsid w:val="00C35CE6"/>
    <w:rsid w:val="00C35D19"/>
    <w:rsid w:val="00C362B3"/>
    <w:rsid w:val="00C3636A"/>
    <w:rsid w:val="00C36576"/>
    <w:rsid w:val="00C3681E"/>
    <w:rsid w:val="00C368D8"/>
    <w:rsid w:val="00C369C2"/>
    <w:rsid w:val="00C36AAA"/>
    <w:rsid w:val="00C36BA7"/>
    <w:rsid w:val="00C370CC"/>
    <w:rsid w:val="00C37211"/>
    <w:rsid w:val="00C37266"/>
    <w:rsid w:val="00C37A63"/>
    <w:rsid w:val="00C37AE4"/>
    <w:rsid w:val="00C37D3F"/>
    <w:rsid w:val="00C37F4C"/>
    <w:rsid w:val="00C403C3"/>
    <w:rsid w:val="00C405E6"/>
    <w:rsid w:val="00C40D98"/>
    <w:rsid w:val="00C40DD7"/>
    <w:rsid w:val="00C41440"/>
    <w:rsid w:val="00C41A8E"/>
    <w:rsid w:val="00C41B83"/>
    <w:rsid w:val="00C41CBD"/>
    <w:rsid w:val="00C42720"/>
    <w:rsid w:val="00C42893"/>
    <w:rsid w:val="00C42AEF"/>
    <w:rsid w:val="00C42C25"/>
    <w:rsid w:val="00C431EA"/>
    <w:rsid w:val="00C43206"/>
    <w:rsid w:val="00C43407"/>
    <w:rsid w:val="00C434A3"/>
    <w:rsid w:val="00C437A8"/>
    <w:rsid w:val="00C43944"/>
    <w:rsid w:val="00C43B71"/>
    <w:rsid w:val="00C43CFC"/>
    <w:rsid w:val="00C4413E"/>
    <w:rsid w:val="00C448B8"/>
    <w:rsid w:val="00C44A58"/>
    <w:rsid w:val="00C44AC1"/>
    <w:rsid w:val="00C44AF8"/>
    <w:rsid w:val="00C44F88"/>
    <w:rsid w:val="00C4519D"/>
    <w:rsid w:val="00C453C3"/>
    <w:rsid w:val="00C458A5"/>
    <w:rsid w:val="00C45D50"/>
    <w:rsid w:val="00C45EC8"/>
    <w:rsid w:val="00C46803"/>
    <w:rsid w:val="00C46F6A"/>
    <w:rsid w:val="00C471DC"/>
    <w:rsid w:val="00C47408"/>
    <w:rsid w:val="00C47436"/>
    <w:rsid w:val="00C478C3"/>
    <w:rsid w:val="00C47A85"/>
    <w:rsid w:val="00C47EE9"/>
    <w:rsid w:val="00C47F05"/>
    <w:rsid w:val="00C50512"/>
    <w:rsid w:val="00C50644"/>
    <w:rsid w:val="00C50695"/>
    <w:rsid w:val="00C5088D"/>
    <w:rsid w:val="00C50A36"/>
    <w:rsid w:val="00C51430"/>
    <w:rsid w:val="00C51983"/>
    <w:rsid w:val="00C51AE2"/>
    <w:rsid w:val="00C51B36"/>
    <w:rsid w:val="00C51B7D"/>
    <w:rsid w:val="00C51C06"/>
    <w:rsid w:val="00C51C29"/>
    <w:rsid w:val="00C51D1C"/>
    <w:rsid w:val="00C51F6F"/>
    <w:rsid w:val="00C522AC"/>
    <w:rsid w:val="00C52311"/>
    <w:rsid w:val="00C5249C"/>
    <w:rsid w:val="00C52513"/>
    <w:rsid w:val="00C52B50"/>
    <w:rsid w:val="00C52C2A"/>
    <w:rsid w:val="00C53190"/>
    <w:rsid w:val="00C5319A"/>
    <w:rsid w:val="00C532C9"/>
    <w:rsid w:val="00C532D2"/>
    <w:rsid w:val="00C53821"/>
    <w:rsid w:val="00C538DF"/>
    <w:rsid w:val="00C53966"/>
    <w:rsid w:val="00C53F6A"/>
    <w:rsid w:val="00C53FEB"/>
    <w:rsid w:val="00C5411E"/>
    <w:rsid w:val="00C542D9"/>
    <w:rsid w:val="00C542DA"/>
    <w:rsid w:val="00C5455B"/>
    <w:rsid w:val="00C54560"/>
    <w:rsid w:val="00C547ED"/>
    <w:rsid w:val="00C54A38"/>
    <w:rsid w:val="00C54B16"/>
    <w:rsid w:val="00C54E42"/>
    <w:rsid w:val="00C54F86"/>
    <w:rsid w:val="00C55203"/>
    <w:rsid w:val="00C55269"/>
    <w:rsid w:val="00C55385"/>
    <w:rsid w:val="00C55733"/>
    <w:rsid w:val="00C569A5"/>
    <w:rsid w:val="00C56B6C"/>
    <w:rsid w:val="00C56F7E"/>
    <w:rsid w:val="00C57450"/>
    <w:rsid w:val="00C5749A"/>
    <w:rsid w:val="00C57594"/>
    <w:rsid w:val="00C57686"/>
    <w:rsid w:val="00C576B7"/>
    <w:rsid w:val="00C57EE7"/>
    <w:rsid w:val="00C60140"/>
    <w:rsid w:val="00C603B6"/>
    <w:rsid w:val="00C60763"/>
    <w:rsid w:val="00C6084F"/>
    <w:rsid w:val="00C61066"/>
    <w:rsid w:val="00C610F0"/>
    <w:rsid w:val="00C618A3"/>
    <w:rsid w:val="00C61959"/>
    <w:rsid w:val="00C61C05"/>
    <w:rsid w:val="00C61D23"/>
    <w:rsid w:val="00C61E73"/>
    <w:rsid w:val="00C61F83"/>
    <w:rsid w:val="00C62066"/>
    <w:rsid w:val="00C62208"/>
    <w:rsid w:val="00C62837"/>
    <w:rsid w:val="00C6289B"/>
    <w:rsid w:val="00C62C3B"/>
    <w:rsid w:val="00C62DC1"/>
    <w:rsid w:val="00C62F33"/>
    <w:rsid w:val="00C6319A"/>
    <w:rsid w:val="00C6321A"/>
    <w:rsid w:val="00C63517"/>
    <w:rsid w:val="00C63CD1"/>
    <w:rsid w:val="00C6475F"/>
    <w:rsid w:val="00C647A1"/>
    <w:rsid w:val="00C64A28"/>
    <w:rsid w:val="00C64EEB"/>
    <w:rsid w:val="00C65574"/>
    <w:rsid w:val="00C65575"/>
    <w:rsid w:val="00C6566D"/>
    <w:rsid w:val="00C65F33"/>
    <w:rsid w:val="00C6609C"/>
    <w:rsid w:val="00C66472"/>
    <w:rsid w:val="00C66DA0"/>
    <w:rsid w:val="00C66E2D"/>
    <w:rsid w:val="00C66E55"/>
    <w:rsid w:val="00C66E60"/>
    <w:rsid w:val="00C6723D"/>
    <w:rsid w:val="00C672E3"/>
    <w:rsid w:val="00C678A9"/>
    <w:rsid w:val="00C678BB"/>
    <w:rsid w:val="00C67A13"/>
    <w:rsid w:val="00C67B69"/>
    <w:rsid w:val="00C67D78"/>
    <w:rsid w:val="00C67E53"/>
    <w:rsid w:val="00C67EA8"/>
    <w:rsid w:val="00C703E9"/>
    <w:rsid w:val="00C7066D"/>
    <w:rsid w:val="00C70718"/>
    <w:rsid w:val="00C7085F"/>
    <w:rsid w:val="00C708F4"/>
    <w:rsid w:val="00C70C78"/>
    <w:rsid w:val="00C70FC2"/>
    <w:rsid w:val="00C7100A"/>
    <w:rsid w:val="00C71052"/>
    <w:rsid w:val="00C716E4"/>
    <w:rsid w:val="00C71789"/>
    <w:rsid w:val="00C719E0"/>
    <w:rsid w:val="00C71A28"/>
    <w:rsid w:val="00C71EC6"/>
    <w:rsid w:val="00C720E0"/>
    <w:rsid w:val="00C722FF"/>
    <w:rsid w:val="00C7244B"/>
    <w:rsid w:val="00C724C4"/>
    <w:rsid w:val="00C72CF1"/>
    <w:rsid w:val="00C72F41"/>
    <w:rsid w:val="00C73113"/>
    <w:rsid w:val="00C731F8"/>
    <w:rsid w:val="00C73398"/>
    <w:rsid w:val="00C733B0"/>
    <w:rsid w:val="00C73D68"/>
    <w:rsid w:val="00C74018"/>
    <w:rsid w:val="00C7402A"/>
    <w:rsid w:val="00C74232"/>
    <w:rsid w:val="00C74246"/>
    <w:rsid w:val="00C7453F"/>
    <w:rsid w:val="00C746C4"/>
    <w:rsid w:val="00C748F8"/>
    <w:rsid w:val="00C74B39"/>
    <w:rsid w:val="00C74B46"/>
    <w:rsid w:val="00C74BDC"/>
    <w:rsid w:val="00C7533A"/>
    <w:rsid w:val="00C754AE"/>
    <w:rsid w:val="00C754E8"/>
    <w:rsid w:val="00C75944"/>
    <w:rsid w:val="00C75A08"/>
    <w:rsid w:val="00C75B5E"/>
    <w:rsid w:val="00C75BC8"/>
    <w:rsid w:val="00C75DD0"/>
    <w:rsid w:val="00C75ED7"/>
    <w:rsid w:val="00C75F32"/>
    <w:rsid w:val="00C760D7"/>
    <w:rsid w:val="00C76117"/>
    <w:rsid w:val="00C764BB"/>
    <w:rsid w:val="00C76D5A"/>
    <w:rsid w:val="00C7709A"/>
    <w:rsid w:val="00C770C9"/>
    <w:rsid w:val="00C7765D"/>
    <w:rsid w:val="00C77A11"/>
    <w:rsid w:val="00C77E6A"/>
    <w:rsid w:val="00C77F85"/>
    <w:rsid w:val="00C8007E"/>
    <w:rsid w:val="00C80A79"/>
    <w:rsid w:val="00C80CD7"/>
    <w:rsid w:val="00C8113F"/>
    <w:rsid w:val="00C8148C"/>
    <w:rsid w:val="00C815C0"/>
    <w:rsid w:val="00C81AC5"/>
    <w:rsid w:val="00C81C1A"/>
    <w:rsid w:val="00C81C98"/>
    <w:rsid w:val="00C81E67"/>
    <w:rsid w:val="00C82100"/>
    <w:rsid w:val="00C82689"/>
    <w:rsid w:val="00C82989"/>
    <w:rsid w:val="00C82C92"/>
    <w:rsid w:val="00C83344"/>
    <w:rsid w:val="00C835E0"/>
    <w:rsid w:val="00C8378B"/>
    <w:rsid w:val="00C83C9C"/>
    <w:rsid w:val="00C83CEF"/>
    <w:rsid w:val="00C83FE5"/>
    <w:rsid w:val="00C8453A"/>
    <w:rsid w:val="00C84561"/>
    <w:rsid w:val="00C8478E"/>
    <w:rsid w:val="00C84908"/>
    <w:rsid w:val="00C84D62"/>
    <w:rsid w:val="00C85117"/>
    <w:rsid w:val="00C85A29"/>
    <w:rsid w:val="00C85A40"/>
    <w:rsid w:val="00C85D71"/>
    <w:rsid w:val="00C860C9"/>
    <w:rsid w:val="00C86166"/>
    <w:rsid w:val="00C86B13"/>
    <w:rsid w:val="00C86E28"/>
    <w:rsid w:val="00C86EF6"/>
    <w:rsid w:val="00C86F3B"/>
    <w:rsid w:val="00C874E1"/>
    <w:rsid w:val="00C87838"/>
    <w:rsid w:val="00C87B42"/>
    <w:rsid w:val="00C901B0"/>
    <w:rsid w:val="00C9058C"/>
    <w:rsid w:val="00C905AE"/>
    <w:rsid w:val="00C908C4"/>
    <w:rsid w:val="00C90934"/>
    <w:rsid w:val="00C90A08"/>
    <w:rsid w:val="00C90BA4"/>
    <w:rsid w:val="00C91351"/>
    <w:rsid w:val="00C91356"/>
    <w:rsid w:val="00C91478"/>
    <w:rsid w:val="00C91758"/>
    <w:rsid w:val="00C91B20"/>
    <w:rsid w:val="00C91D9E"/>
    <w:rsid w:val="00C9229D"/>
    <w:rsid w:val="00C924EA"/>
    <w:rsid w:val="00C925A5"/>
    <w:rsid w:val="00C92963"/>
    <w:rsid w:val="00C92E7E"/>
    <w:rsid w:val="00C93A60"/>
    <w:rsid w:val="00C93D4F"/>
    <w:rsid w:val="00C93F23"/>
    <w:rsid w:val="00C94211"/>
    <w:rsid w:val="00C94660"/>
    <w:rsid w:val="00C947B4"/>
    <w:rsid w:val="00C9489D"/>
    <w:rsid w:val="00C9495E"/>
    <w:rsid w:val="00C949C7"/>
    <w:rsid w:val="00C94D86"/>
    <w:rsid w:val="00C953A6"/>
    <w:rsid w:val="00C95951"/>
    <w:rsid w:val="00C95BCE"/>
    <w:rsid w:val="00C95D2D"/>
    <w:rsid w:val="00C95F85"/>
    <w:rsid w:val="00C96C64"/>
    <w:rsid w:val="00C96F21"/>
    <w:rsid w:val="00C97216"/>
    <w:rsid w:val="00C9725E"/>
    <w:rsid w:val="00C97661"/>
    <w:rsid w:val="00C97AC5"/>
    <w:rsid w:val="00C97D92"/>
    <w:rsid w:val="00C97DDA"/>
    <w:rsid w:val="00CA0238"/>
    <w:rsid w:val="00CA10E5"/>
    <w:rsid w:val="00CA10E7"/>
    <w:rsid w:val="00CA11E6"/>
    <w:rsid w:val="00CA1607"/>
    <w:rsid w:val="00CA24D2"/>
    <w:rsid w:val="00CA25EE"/>
    <w:rsid w:val="00CA28A5"/>
    <w:rsid w:val="00CA2B4E"/>
    <w:rsid w:val="00CA2E02"/>
    <w:rsid w:val="00CA2E19"/>
    <w:rsid w:val="00CA331F"/>
    <w:rsid w:val="00CA372E"/>
    <w:rsid w:val="00CA377A"/>
    <w:rsid w:val="00CA3C15"/>
    <w:rsid w:val="00CA3DF4"/>
    <w:rsid w:val="00CA4AD6"/>
    <w:rsid w:val="00CA576F"/>
    <w:rsid w:val="00CA57AC"/>
    <w:rsid w:val="00CA5A3D"/>
    <w:rsid w:val="00CA5B91"/>
    <w:rsid w:val="00CA5FF4"/>
    <w:rsid w:val="00CA6286"/>
    <w:rsid w:val="00CA6871"/>
    <w:rsid w:val="00CA68FE"/>
    <w:rsid w:val="00CA70CC"/>
    <w:rsid w:val="00CA7170"/>
    <w:rsid w:val="00CA7524"/>
    <w:rsid w:val="00CA755D"/>
    <w:rsid w:val="00CA7659"/>
    <w:rsid w:val="00CA7E61"/>
    <w:rsid w:val="00CA7E99"/>
    <w:rsid w:val="00CA7EC3"/>
    <w:rsid w:val="00CB00AB"/>
    <w:rsid w:val="00CB0277"/>
    <w:rsid w:val="00CB0409"/>
    <w:rsid w:val="00CB0556"/>
    <w:rsid w:val="00CB0AEF"/>
    <w:rsid w:val="00CB0B1F"/>
    <w:rsid w:val="00CB0C45"/>
    <w:rsid w:val="00CB0DBC"/>
    <w:rsid w:val="00CB0E4B"/>
    <w:rsid w:val="00CB0F89"/>
    <w:rsid w:val="00CB1284"/>
    <w:rsid w:val="00CB1DA7"/>
    <w:rsid w:val="00CB1FDB"/>
    <w:rsid w:val="00CB1FEE"/>
    <w:rsid w:val="00CB2037"/>
    <w:rsid w:val="00CB206B"/>
    <w:rsid w:val="00CB217B"/>
    <w:rsid w:val="00CB276E"/>
    <w:rsid w:val="00CB2813"/>
    <w:rsid w:val="00CB29A8"/>
    <w:rsid w:val="00CB29AE"/>
    <w:rsid w:val="00CB33CE"/>
    <w:rsid w:val="00CB3450"/>
    <w:rsid w:val="00CB3779"/>
    <w:rsid w:val="00CB38B2"/>
    <w:rsid w:val="00CB46B4"/>
    <w:rsid w:val="00CB499B"/>
    <w:rsid w:val="00CB4D59"/>
    <w:rsid w:val="00CB53D9"/>
    <w:rsid w:val="00CB5600"/>
    <w:rsid w:val="00CB5C51"/>
    <w:rsid w:val="00CB6405"/>
    <w:rsid w:val="00CB7133"/>
    <w:rsid w:val="00CC0050"/>
    <w:rsid w:val="00CC0627"/>
    <w:rsid w:val="00CC097C"/>
    <w:rsid w:val="00CC1B5C"/>
    <w:rsid w:val="00CC21E6"/>
    <w:rsid w:val="00CC232E"/>
    <w:rsid w:val="00CC2445"/>
    <w:rsid w:val="00CC2925"/>
    <w:rsid w:val="00CC293F"/>
    <w:rsid w:val="00CC2BA7"/>
    <w:rsid w:val="00CC304F"/>
    <w:rsid w:val="00CC35D2"/>
    <w:rsid w:val="00CC3805"/>
    <w:rsid w:val="00CC3B02"/>
    <w:rsid w:val="00CC3CF9"/>
    <w:rsid w:val="00CC4686"/>
    <w:rsid w:val="00CC4E4B"/>
    <w:rsid w:val="00CC52A2"/>
    <w:rsid w:val="00CC538B"/>
    <w:rsid w:val="00CC5401"/>
    <w:rsid w:val="00CC5615"/>
    <w:rsid w:val="00CC58B6"/>
    <w:rsid w:val="00CC599E"/>
    <w:rsid w:val="00CC5C3A"/>
    <w:rsid w:val="00CC6303"/>
    <w:rsid w:val="00CC649B"/>
    <w:rsid w:val="00CC702A"/>
    <w:rsid w:val="00CC71F7"/>
    <w:rsid w:val="00CC74CE"/>
    <w:rsid w:val="00CC7533"/>
    <w:rsid w:val="00CC78D5"/>
    <w:rsid w:val="00CC7AC6"/>
    <w:rsid w:val="00CD037F"/>
    <w:rsid w:val="00CD13F5"/>
    <w:rsid w:val="00CD1466"/>
    <w:rsid w:val="00CD14FF"/>
    <w:rsid w:val="00CD15C1"/>
    <w:rsid w:val="00CD1935"/>
    <w:rsid w:val="00CD282B"/>
    <w:rsid w:val="00CD2ABB"/>
    <w:rsid w:val="00CD2AC0"/>
    <w:rsid w:val="00CD2DAD"/>
    <w:rsid w:val="00CD2E65"/>
    <w:rsid w:val="00CD3DFA"/>
    <w:rsid w:val="00CD3F3C"/>
    <w:rsid w:val="00CD42A6"/>
    <w:rsid w:val="00CD48B0"/>
    <w:rsid w:val="00CD4BC2"/>
    <w:rsid w:val="00CD51B9"/>
    <w:rsid w:val="00CD522C"/>
    <w:rsid w:val="00CD527C"/>
    <w:rsid w:val="00CD550B"/>
    <w:rsid w:val="00CD5830"/>
    <w:rsid w:val="00CD5E61"/>
    <w:rsid w:val="00CD609E"/>
    <w:rsid w:val="00CD61C3"/>
    <w:rsid w:val="00CD6201"/>
    <w:rsid w:val="00CD6379"/>
    <w:rsid w:val="00CD660A"/>
    <w:rsid w:val="00CD6B37"/>
    <w:rsid w:val="00CD722D"/>
    <w:rsid w:val="00CD748D"/>
    <w:rsid w:val="00CD764E"/>
    <w:rsid w:val="00CD792E"/>
    <w:rsid w:val="00CD7941"/>
    <w:rsid w:val="00CD7BD8"/>
    <w:rsid w:val="00CD7C94"/>
    <w:rsid w:val="00CD7EFE"/>
    <w:rsid w:val="00CD7F15"/>
    <w:rsid w:val="00CE0569"/>
    <w:rsid w:val="00CE080A"/>
    <w:rsid w:val="00CE130B"/>
    <w:rsid w:val="00CE16FF"/>
    <w:rsid w:val="00CE1BFC"/>
    <w:rsid w:val="00CE2048"/>
    <w:rsid w:val="00CE2105"/>
    <w:rsid w:val="00CE22D1"/>
    <w:rsid w:val="00CE2990"/>
    <w:rsid w:val="00CE2BA0"/>
    <w:rsid w:val="00CE2DFF"/>
    <w:rsid w:val="00CE32C0"/>
    <w:rsid w:val="00CE35E0"/>
    <w:rsid w:val="00CE3617"/>
    <w:rsid w:val="00CE3D37"/>
    <w:rsid w:val="00CE45C2"/>
    <w:rsid w:val="00CE474D"/>
    <w:rsid w:val="00CE4A71"/>
    <w:rsid w:val="00CE4AFA"/>
    <w:rsid w:val="00CE4B9E"/>
    <w:rsid w:val="00CE4F74"/>
    <w:rsid w:val="00CE528F"/>
    <w:rsid w:val="00CE52C0"/>
    <w:rsid w:val="00CE57E4"/>
    <w:rsid w:val="00CE58FC"/>
    <w:rsid w:val="00CE5F72"/>
    <w:rsid w:val="00CE6121"/>
    <w:rsid w:val="00CE6331"/>
    <w:rsid w:val="00CE650E"/>
    <w:rsid w:val="00CE67CC"/>
    <w:rsid w:val="00CE6A1A"/>
    <w:rsid w:val="00CE6BA6"/>
    <w:rsid w:val="00CE6BBA"/>
    <w:rsid w:val="00CE7040"/>
    <w:rsid w:val="00CE711F"/>
    <w:rsid w:val="00CE75B6"/>
    <w:rsid w:val="00CE762F"/>
    <w:rsid w:val="00CE76D4"/>
    <w:rsid w:val="00CE7836"/>
    <w:rsid w:val="00CE7993"/>
    <w:rsid w:val="00CE7A28"/>
    <w:rsid w:val="00CE7C0E"/>
    <w:rsid w:val="00CE7F4F"/>
    <w:rsid w:val="00CF06BE"/>
    <w:rsid w:val="00CF0CFA"/>
    <w:rsid w:val="00CF11C2"/>
    <w:rsid w:val="00CF120D"/>
    <w:rsid w:val="00CF1F0D"/>
    <w:rsid w:val="00CF29C0"/>
    <w:rsid w:val="00CF3262"/>
    <w:rsid w:val="00CF34F2"/>
    <w:rsid w:val="00CF38BA"/>
    <w:rsid w:val="00CF3A3E"/>
    <w:rsid w:val="00CF3A4D"/>
    <w:rsid w:val="00CF3ACA"/>
    <w:rsid w:val="00CF3D7A"/>
    <w:rsid w:val="00CF3DEE"/>
    <w:rsid w:val="00CF4B4E"/>
    <w:rsid w:val="00CF4CD9"/>
    <w:rsid w:val="00CF4F54"/>
    <w:rsid w:val="00CF50D0"/>
    <w:rsid w:val="00CF544D"/>
    <w:rsid w:val="00CF549C"/>
    <w:rsid w:val="00CF54EE"/>
    <w:rsid w:val="00CF5662"/>
    <w:rsid w:val="00CF5AD2"/>
    <w:rsid w:val="00CF5F80"/>
    <w:rsid w:val="00CF6125"/>
    <w:rsid w:val="00CF613F"/>
    <w:rsid w:val="00CF651D"/>
    <w:rsid w:val="00CF6ADF"/>
    <w:rsid w:val="00CF6B63"/>
    <w:rsid w:val="00CF6C5B"/>
    <w:rsid w:val="00CF6ED4"/>
    <w:rsid w:val="00CF6FF7"/>
    <w:rsid w:val="00CF716A"/>
    <w:rsid w:val="00CF750E"/>
    <w:rsid w:val="00CF75EB"/>
    <w:rsid w:val="00CF7622"/>
    <w:rsid w:val="00CF7BB8"/>
    <w:rsid w:val="00CF7C84"/>
    <w:rsid w:val="00CF7EFF"/>
    <w:rsid w:val="00D00792"/>
    <w:rsid w:val="00D007B1"/>
    <w:rsid w:val="00D007CD"/>
    <w:rsid w:val="00D00B18"/>
    <w:rsid w:val="00D010B1"/>
    <w:rsid w:val="00D013CA"/>
    <w:rsid w:val="00D0153D"/>
    <w:rsid w:val="00D01F2A"/>
    <w:rsid w:val="00D025F5"/>
    <w:rsid w:val="00D02A13"/>
    <w:rsid w:val="00D02EE7"/>
    <w:rsid w:val="00D03063"/>
    <w:rsid w:val="00D03273"/>
    <w:rsid w:val="00D0334C"/>
    <w:rsid w:val="00D03613"/>
    <w:rsid w:val="00D03836"/>
    <w:rsid w:val="00D03A92"/>
    <w:rsid w:val="00D03D4B"/>
    <w:rsid w:val="00D03E97"/>
    <w:rsid w:val="00D04C51"/>
    <w:rsid w:val="00D04D56"/>
    <w:rsid w:val="00D04FC5"/>
    <w:rsid w:val="00D04FEC"/>
    <w:rsid w:val="00D05289"/>
    <w:rsid w:val="00D05939"/>
    <w:rsid w:val="00D05E10"/>
    <w:rsid w:val="00D0618F"/>
    <w:rsid w:val="00D06355"/>
    <w:rsid w:val="00D06C30"/>
    <w:rsid w:val="00D06D1D"/>
    <w:rsid w:val="00D06D3C"/>
    <w:rsid w:val="00D0717D"/>
    <w:rsid w:val="00D0719F"/>
    <w:rsid w:val="00D076ED"/>
    <w:rsid w:val="00D07994"/>
    <w:rsid w:val="00D079C3"/>
    <w:rsid w:val="00D10004"/>
    <w:rsid w:val="00D101B5"/>
    <w:rsid w:val="00D10563"/>
    <w:rsid w:val="00D10950"/>
    <w:rsid w:val="00D10AC1"/>
    <w:rsid w:val="00D10D5F"/>
    <w:rsid w:val="00D11069"/>
    <w:rsid w:val="00D111EF"/>
    <w:rsid w:val="00D11243"/>
    <w:rsid w:val="00D118A7"/>
    <w:rsid w:val="00D12334"/>
    <w:rsid w:val="00D12472"/>
    <w:rsid w:val="00D127D0"/>
    <w:rsid w:val="00D127FD"/>
    <w:rsid w:val="00D12D13"/>
    <w:rsid w:val="00D12F83"/>
    <w:rsid w:val="00D132CD"/>
    <w:rsid w:val="00D13561"/>
    <w:rsid w:val="00D138B0"/>
    <w:rsid w:val="00D13B9F"/>
    <w:rsid w:val="00D13F91"/>
    <w:rsid w:val="00D13FB0"/>
    <w:rsid w:val="00D14272"/>
    <w:rsid w:val="00D143D5"/>
    <w:rsid w:val="00D14A36"/>
    <w:rsid w:val="00D14BBC"/>
    <w:rsid w:val="00D14C44"/>
    <w:rsid w:val="00D14E55"/>
    <w:rsid w:val="00D14ED8"/>
    <w:rsid w:val="00D15059"/>
    <w:rsid w:val="00D150DC"/>
    <w:rsid w:val="00D1560D"/>
    <w:rsid w:val="00D15A2C"/>
    <w:rsid w:val="00D15AD7"/>
    <w:rsid w:val="00D15E97"/>
    <w:rsid w:val="00D16235"/>
    <w:rsid w:val="00D1650B"/>
    <w:rsid w:val="00D168BF"/>
    <w:rsid w:val="00D16B3D"/>
    <w:rsid w:val="00D16F88"/>
    <w:rsid w:val="00D1718B"/>
    <w:rsid w:val="00D175C5"/>
    <w:rsid w:val="00D176F5"/>
    <w:rsid w:val="00D17A6C"/>
    <w:rsid w:val="00D17BDF"/>
    <w:rsid w:val="00D17C1D"/>
    <w:rsid w:val="00D17D21"/>
    <w:rsid w:val="00D17D98"/>
    <w:rsid w:val="00D17F2D"/>
    <w:rsid w:val="00D17F41"/>
    <w:rsid w:val="00D2035D"/>
    <w:rsid w:val="00D204D1"/>
    <w:rsid w:val="00D208FF"/>
    <w:rsid w:val="00D20A10"/>
    <w:rsid w:val="00D20DAE"/>
    <w:rsid w:val="00D21222"/>
    <w:rsid w:val="00D21270"/>
    <w:rsid w:val="00D212B7"/>
    <w:rsid w:val="00D21B7E"/>
    <w:rsid w:val="00D21BD2"/>
    <w:rsid w:val="00D21C0E"/>
    <w:rsid w:val="00D22150"/>
    <w:rsid w:val="00D22519"/>
    <w:rsid w:val="00D22899"/>
    <w:rsid w:val="00D22A8C"/>
    <w:rsid w:val="00D22CF1"/>
    <w:rsid w:val="00D23055"/>
    <w:rsid w:val="00D2340F"/>
    <w:rsid w:val="00D24794"/>
    <w:rsid w:val="00D24953"/>
    <w:rsid w:val="00D24C5E"/>
    <w:rsid w:val="00D25020"/>
    <w:rsid w:val="00D252D5"/>
    <w:rsid w:val="00D255AC"/>
    <w:rsid w:val="00D25AC2"/>
    <w:rsid w:val="00D267FB"/>
    <w:rsid w:val="00D26B2E"/>
    <w:rsid w:val="00D26C7F"/>
    <w:rsid w:val="00D2711C"/>
    <w:rsid w:val="00D27515"/>
    <w:rsid w:val="00D302C7"/>
    <w:rsid w:val="00D3047C"/>
    <w:rsid w:val="00D30817"/>
    <w:rsid w:val="00D30A5C"/>
    <w:rsid w:val="00D30E08"/>
    <w:rsid w:val="00D30ECE"/>
    <w:rsid w:val="00D30F04"/>
    <w:rsid w:val="00D30F9B"/>
    <w:rsid w:val="00D313AD"/>
    <w:rsid w:val="00D31421"/>
    <w:rsid w:val="00D314B6"/>
    <w:rsid w:val="00D3156D"/>
    <w:rsid w:val="00D31666"/>
    <w:rsid w:val="00D31F11"/>
    <w:rsid w:val="00D31F75"/>
    <w:rsid w:val="00D3201A"/>
    <w:rsid w:val="00D324ED"/>
    <w:rsid w:val="00D32644"/>
    <w:rsid w:val="00D33081"/>
    <w:rsid w:val="00D33158"/>
    <w:rsid w:val="00D3339B"/>
    <w:rsid w:val="00D333B1"/>
    <w:rsid w:val="00D33523"/>
    <w:rsid w:val="00D3376B"/>
    <w:rsid w:val="00D33D7B"/>
    <w:rsid w:val="00D33E21"/>
    <w:rsid w:val="00D3441F"/>
    <w:rsid w:val="00D348C9"/>
    <w:rsid w:val="00D34AD4"/>
    <w:rsid w:val="00D34FA8"/>
    <w:rsid w:val="00D35043"/>
    <w:rsid w:val="00D35115"/>
    <w:rsid w:val="00D354A8"/>
    <w:rsid w:val="00D35A51"/>
    <w:rsid w:val="00D35C5F"/>
    <w:rsid w:val="00D365B8"/>
    <w:rsid w:val="00D36908"/>
    <w:rsid w:val="00D370C2"/>
    <w:rsid w:val="00D37229"/>
    <w:rsid w:val="00D37275"/>
    <w:rsid w:val="00D3740F"/>
    <w:rsid w:val="00D378D6"/>
    <w:rsid w:val="00D3797B"/>
    <w:rsid w:val="00D37D53"/>
    <w:rsid w:val="00D37F0F"/>
    <w:rsid w:val="00D40124"/>
    <w:rsid w:val="00D4132F"/>
    <w:rsid w:val="00D414C2"/>
    <w:rsid w:val="00D417CA"/>
    <w:rsid w:val="00D417DF"/>
    <w:rsid w:val="00D417EF"/>
    <w:rsid w:val="00D41DBA"/>
    <w:rsid w:val="00D41ECD"/>
    <w:rsid w:val="00D41F99"/>
    <w:rsid w:val="00D42015"/>
    <w:rsid w:val="00D4201B"/>
    <w:rsid w:val="00D42678"/>
    <w:rsid w:val="00D429F3"/>
    <w:rsid w:val="00D42EAF"/>
    <w:rsid w:val="00D43456"/>
    <w:rsid w:val="00D4392B"/>
    <w:rsid w:val="00D440BB"/>
    <w:rsid w:val="00D44792"/>
    <w:rsid w:val="00D44A34"/>
    <w:rsid w:val="00D44B9E"/>
    <w:rsid w:val="00D44C27"/>
    <w:rsid w:val="00D44D40"/>
    <w:rsid w:val="00D44DBC"/>
    <w:rsid w:val="00D44E34"/>
    <w:rsid w:val="00D44EC5"/>
    <w:rsid w:val="00D45426"/>
    <w:rsid w:val="00D45579"/>
    <w:rsid w:val="00D45700"/>
    <w:rsid w:val="00D45C18"/>
    <w:rsid w:val="00D46142"/>
    <w:rsid w:val="00D4680B"/>
    <w:rsid w:val="00D47524"/>
    <w:rsid w:val="00D47FEA"/>
    <w:rsid w:val="00D501AD"/>
    <w:rsid w:val="00D503B5"/>
    <w:rsid w:val="00D50D0A"/>
    <w:rsid w:val="00D5132F"/>
    <w:rsid w:val="00D517B7"/>
    <w:rsid w:val="00D51858"/>
    <w:rsid w:val="00D51A0E"/>
    <w:rsid w:val="00D51C25"/>
    <w:rsid w:val="00D51D63"/>
    <w:rsid w:val="00D5215F"/>
    <w:rsid w:val="00D5220A"/>
    <w:rsid w:val="00D52512"/>
    <w:rsid w:val="00D529C8"/>
    <w:rsid w:val="00D52BB0"/>
    <w:rsid w:val="00D52CF8"/>
    <w:rsid w:val="00D52D59"/>
    <w:rsid w:val="00D530E9"/>
    <w:rsid w:val="00D53788"/>
    <w:rsid w:val="00D53855"/>
    <w:rsid w:val="00D54A7E"/>
    <w:rsid w:val="00D54B8D"/>
    <w:rsid w:val="00D54C80"/>
    <w:rsid w:val="00D550D4"/>
    <w:rsid w:val="00D5524B"/>
    <w:rsid w:val="00D556E8"/>
    <w:rsid w:val="00D55D13"/>
    <w:rsid w:val="00D55E58"/>
    <w:rsid w:val="00D5640F"/>
    <w:rsid w:val="00D56584"/>
    <w:rsid w:val="00D5671B"/>
    <w:rsid w:val="00D56A26"/>
    <w:rsid w:val="00D57724"/>
    <w:rsid w:val="00D600DE"/>
    <w:rsid w:val="00D60152"/>
    <w:rsid w:val="00D6056E"/>
    <w:rsid w:val="00D60A96"/>
    <w:rsid w:val="00D60D6F"/>
    <w:rsid w:val="00D613D6"/>
    <w:rsid w:val="00D615C0"/>
    <w:rsid w:val="00D615C4"/>
    <w:rsid w:val="00D617B0"/>
    <w:rsid w:val="00D61B33"/>
    <w:rsid w:val="00D61E73"/>
    <w:rsid w:val="00D62DB3"/>
    <w:rsid w:val="00D62E1E"/>
    <w:rsid w:val="00D62FC5"/>
    <w:rsid w:val="00D63415"/>
    <w:rsid w:val="00D635BD"/>
    <w:rsid w:val="00D6370B"/>
    <w:rsid w:val="00D637F6"/>
    <w:rsid w:val="00D63B5E"/>
    <w:rsid w:val="00D63BB0"/>
    <w:rsid w:val="00D63EE8"/>
    <w:rsid w:val="00D64D70"/>
    <w:rsid w:val="00D64F12"/>
    <w:rsid w:val="00D6505B"/>
    <w:rsid w:val="00D6561B"/>
    <w:rsid w:val="00D65738"/>
    <w:rsid w:val="00D66351"/>
    <w:rsid w:val="00D66875"/>
    <w:rsid w:val="00D66DC0"/>
    <w:rsid w:val="00D66E39"/>
    <w:rsid w:val="00D66F58"/>
    <w:rsid w:val="00D67060"/>
    <w:rsid w:val="00D67598"/>
    <w:rsid w:val="00D675FB"/>
    <w:rsid w:val="00D67F87"/>
    <w:rsid w:val="00D702A5"/>
    <w:rsid w:val="00D702F8"/>
    <w:rsid w:val="00D7040F"/>
    <w:rsid w:val="00D70463"/>
    <w:rsid w:val="00D70A6E"/>
    <w:rsid w:val="00D70E31"/>
    <w:rsid w:val="00D70EA1"/>
    <w:rsid w:val="00D71001"/>
    <w:rsid w:val="00D71533"/>
    <w:rsid w:val="00D71A90"/>
    <w:rsid w:val="00D7223D"/>
    <w:rsid w:val="00D72301"/>
    <w:rsid w:val="00D7241A"/>
    <w:rsid w:val="00D7246F"/>
    <w:rsid w:val="00D7292B"/>
    <w:rsid w:val="00D72C5F"/>
    <w:rsid w:val="00D72EF1"/>
    <w:rsid w:val="00D72FFC"/>
    <w:rsid w:val="00D73405"/>
    <w:rsid w:val="00D73522"/>
    <w:rsid w:val="00D73830"/>
    <w:rsid w:val="00D74528"/>
    <w:rsid w:val="00D74900"/>
    <w:rsid w:val="00D74953"/>
    <w:rsid w:val="00D74AC9"/>
    <w:rsid w:val="00D74B93"/>
    <w:rsid w:val="00D74CBC"/>
    <w:rsid w:val="00D753BF"/>
    <w:rsid w:val="00D754DE"/>
    <w:rsid w:val="00D760AA"/>
    <w:rsid w:val="00D7668B"/>
    <w:rsid w:val="00D76A45"/>
    <w:rsid w:val="00D76B16"/>
    <w:rsid w:val="00D76BEB"/>
    <w:rsid w:val="00D76C73"/>
    <w:rsid w:val="00D77218"/>
    <w:rsid w:val="00D777E6"/>
    <w:rsid w:val="00D77B21"/>
    <w:rsid w:val="00D77C5B"/>
    <w:rsid w:val="00D801B5"/>
    <w:rsid w:val="00D801FE"/>
    <w:rsid w:val="00D80455"/>
    <w:rsid w:val="00D8111A"/>
    <w:rsid w:val="00D81723"/>
    <w:rsid w:val="00D81BE1"/>
    <w:rsid w:val="00D81FDF"/>
    <w:rsid w:val="00D82218"/>
    <w:rsid w:val="00D831C8"/>
    <w:rsid w:val="00D8329E"/>
    <w:rsid w:val="00D832CE"/>
    <w:rsid w:val="00D832D2"/>
    <w:rsid w:val="00D837EC"/>
    <w:rsid w:val="00D83A03"/>
    <w:rsid w:val="00D83B10"/>
    <w:rsid w:val="00D841EC"/>
    <w:rsid w:val="00D84329"/>
    <w:rsid w:val="00D84495"/>
    <w:rsid w:val="00D847E3"/>
    <w:rsid w:val="00D84C6A"/>
    <w:rsid w:val="00D84E9C"/>
    <w:rsid w:val="00D858B4"/>
    <w:rsid w:val="00D859F4"/>
    <w:rsid w:val="00D85DC2"/>
    <w:rsid w:val="00D85E7B"/>
    <w:rsid w:val="00D86359"/>
    <w:rsid w:val="00D86633"/>
    <w:rsid w:val="00D86846"/>
    <w:rsid w:val="00D869DB"/>
    <w:rsid w:val="00D86FA3"/>
    <w:rsid w:val="00D86FA6"/>
    <w:rsid w:val="00D87544"/>
    <w:rsid w:val="00D877D1"/>
    <w:rsid w:val="00D87BFB"/>
    <w:rsid w:val="00D90082"/>
    <w:rsid w:val="00D90320"/>
    <w:rsid w:val="00D9034B"/>
    <w:rsid w:val="00D90390"/>
    <w:rsid w:val="00D903B7"/>
    <w:rsid w:val="00D905DC"/>
    <w:rsid w:val="00D90C98"/>
    <w:rsid w:val="00D90E33"/>
    <w:rsid w:val="00D9135A"/>
    <w:rsid w:val="00D91743"/>
    <w:rsid w:val="00D917F7"/>
    <w:rsid w:val="00D9180E"/>
    <w:rsid w:val="00D91AE3"/>
    <w:rsid w:val="00D91DDC"/>
    <w:rsid w:val="00D91EFD"/>
    <w:rsid w:val="00D91F00"/>
    <w:rsid w:val="00D91FE0"/>
    <w:rsid w:val="00D92641"/>
    <w:rsid w:val="00D92830"/>
    <w:rsid w:val="00D92AB3"/>
    <w:rsid w:val="00D92B6C"/>
    <w:rsid w:val="00D92ECA"/>
    <w:rsid w:val="00D93A63"/>
    <w:rsid w:val="00D93B19"/>
    <w:rsid w:val="00D946F1"/>
    <w:rsid w:val="00D948D3"/>
    <w:rsid w:val="00D94909"/>
    <w:rsid w:val="00D94B76"/>
    <w:rsid w:val="00D94C23"/>
    <w:rsid w:val="00D950D6"/>
    <w:rsid w:val="00D95440"/>
    <w:rsid w:val="00D9588A"/>
    <w:rsid w:val="00D959FE"/>
    <w:rsid w:val="00D95A2D"/>
    <w:rsid w:val="00D963A0"/>
    <w:rsid w:val="00D96B0A"/>
    <w:rsid w:val="00D96BF2"/>
    <w:rsid w:val="00D96C41"/>
    <w:rsid w:val="00D974EC"/>
    <w:rsid w:val="00DA0222"/>
    <w:rsid w:val="00DA0315"/>
    <w:rsid w:val="00DA0895"/>
    <w:rsid w:val="00DA0C02"/>
    <w:rsid w:val="00DA0C24"/>
    <w:rsid w:val="00DA0DAB"/>
    <w:rsid w:val="00DA0F6D"/>
    <w:rsid w:val="00DA135A"/>
    <w:rsid w:val="00DA1363"/>
    <w:rsid w:val="00DA181B"/>
    <w:rsid w:val="00DA19A4"/>
    <w:rsid w:val="00DA1C25"/>
    <w:rsid w:val="00DA1F87"/>
    <w:rsid w:val="00DA2281"/>
    <w:rsid w:val="00DA25B8"/>
    <w:rsid w:val="00DA2603"/>
    <w:rsid w:val="00DA27EF"/>
    <w:rsid w:val="00DA2B16"/>
    <w:rsid w:val="00DA2F5F"/>
    <w:rsid w:val="00DA2FBA"/>
    <w:rsid w:val="00DA31AD"/>
    <w:rsid w:val="00DA36F0"/>
    <w:rsid w:val="00DA3A5A"/>
    <w:rsid w:val="00DA3B7E"/>
    <w:rsid w:val="00DA3BC4"/>
    <w:rsid w:val="00DA3C44"/>
    <w:rsid w:val="00DA406D"/>
    <w:rsid w:val="00DA4154"/>
    <w:rsid w:val="00DA457E"/>
    <w:rsid w:val="00DA46FD"/>
    <w:rsid w:val="00DA4A42"/>
    <w:rsid w:val="00DA553E"/>
    <w:rsid w:val="00DA578B"/>
    <w:rsid w:val="00DA57D3"/>
    <w:rsid w:val="00DA5852"/>
    <w:rsid w:val="00DA5CB7"/>
    <w:rsid w:val="00DA6448"/>
    <w:rsid w:val="00DA6731"/>
    <w:rsid w:val="00DA6B85"/>
    <w:rsid w:val="00DA76B3"/>
    <w:rsid w:val="00DA795A"/>
    <w:rsid w:val="00DA7B40"/>
    <w:rsid w:val="00DB0577"/>
    <w:rsid w:val="00DB0856"/>
    <w:rsid w:val="00DB0896"/>
    <w:rsid w:val="00DB09E5"/>
    <w:rsid w:val="00DB09E7"/>
    <w:rsid w:val="00DB0D43"/>
    <w:rsid w:val="00DB0D4E"/>
    <w:rsid w:val="00DB108F"/>
    <w:rsid w:val="00DB10F8"/>
    <w:rsid w:val="00DB1273"/>
    <w:rsid w:val="00DB17B3"/>
    <w:rsid w:val="00DB1E44"/>
    <w:rsid w:val="00DB204F"/>
    <w:rsid w:val="00DB2234"/>
    <w:rsid w:val="00DB229B"/>
    <w:rsid w:val="00DB26BE"/>
    <w:rsid w:val="00DB294D"/>
    <w:rsid w:val="00DB2A3C"/>
    <w:rsid w:val="00DB3007"/>
    <w:rsid w:val="00DB30E1"/>
    <w:rsid w:val="00DB35E9"/>
    <w:rsid w:val="00DB40B5"/>
    <w:rsid w:val="00DB40E7"/>
    <w:rsid w:val="00DB42BD"/>
    <w:rsid w:val="00DB4457"/>
    <w:rsid w:val="00DB4B16"/>
    <w:rsid w:val="00DB4CD1"/>
    <w:rsid w:val="00DB560A"/>
    <w:rsid w:val="00DB5868"/>
    <w:rsid w:val="00DB5869"/>
    <w:rsid w:val="00DB5CF3"/>
    <w:rsid w:val="00DB5E2F"/>
    <w:rsid w:val="00DB5E31"/>
    <w:rsid w:val="00DB6324"/>
    <w:rsid w:val="00DB6740"/>
    <w:rsid w:val="00DB6DB8"/>
    <w:rsid w:val="00DB7989"/>
    <w:rsid w:val="00DB7D50"/>
    <w:rsid w:val="00DC03A3"/>
    <w:rsid w:val="00DC0429"/>
    <w:rsid w:val="00DC043E"/>
    <w:rsid w:val="00DC0620"/>
    <w:rsid w:val="00DC0AE4"/>
    <w:rsid w:val="00DC0CB1"/>
    <w:rsid w:val="00DC0FDF"/>
    <w:rsid w:val="00DC1110"/>
    <w:rsid w:val="00DC171B"/>
    <w:rsid w:val="00DC1796"/>
    <w:rsid w:val="00DC1A1A"/>
    <w:rsid w:val="00DC1AE0"/>
    <w:rsid w:val="00DC1CD1"/>
    <w:rsid w:val="00DC23A1"/>
    <w:rsid w:val="00DC24F7"/>
    <w:rsid w:val="00DC26E9"/>
    <w:rsid w:val="00DC2851"/>
    <w:rsid w:val="00DC2CC9"/>
    <w:rsid w:val="00DC2CE7"/>
    <w:rsid w:val="00DC3131"/>
    <w:rsid w:val="00DC36FE"/>
    <w:rsid w:val="00DC3914"/>
    <w:rsid w:val="00DC3B36"/>
    <w:rsid w:val="00DC3FB4"/>
    <w:rsid w:val="00DC48AF"/>
    <w:rsid w:val="00DC4909"/>
    <w:rsid w:val="00DC4C20"/>
    <w:rsid w:val="00DC4EB8"/>
    <w:rsid w:val="00DC4F19"/>
    <w:rsid w:val="00DC5111"/>
    <w:rsid w:val="00DC520C"/>
    <w:rsid w:val="00DC5793"/>
    <w:rsid w:val="00DC5A66"/>
    <w:rsid w:val="00DC5B49"/>
    <w:rsid w:val="00DC5CF8"/>
    <w:rsid w:val="00DC5E21"/>
    <w:rsid w:val="00DC6157"/>
    <w:rsid w:val="00DC6238"/>
    <w:rsid w:val="00DC653F"/>
    <w:rsid w:val="00DC65A5"/>
    <w:rsid w:val="00DC6945"/>
    <w:rsid w:val="00DC6F59"/>
    <w:rsid w:val="00DC703C"/>
    <w:rsid w:val="00DC70C6"/>
    <w:rsid w:val="00DC763A"/>
    <w:rsid w:val="00DC7A58"/>
    <w:rsid w:val="00DC7AE1"/>
    <w:rsid w:val="00DC7BB4"/>
    <w:rsid w:val="00DC7BB9"/>
    <w:rsid w:val="00DC7D3C"/>
    <w:rsid w:val="00DC7D7A"/>
    <w:rsid w:val="00DC7F7E"/>
    <w:rsid w:val="00DD02E0"/>
    <w:rsid w:val="00DD03F0"/>
    <w:rsid w:val="00DD050C"/>
    <w:rsid w:val="00DD0880"/>
    <w:rsid w:val="00DD0924"/>
    <w:rsid w:val="00DD0D6D"/>
    <w:rsid w:val="00DD10DA"/>
    <w:rsid w:val="00DD1AB3"/>
    <w:rsid w:val="00DD1E10"/>
    <w:rsid w:val="00DD2119"/>
    <w:rsid w:val="00DD250D"/>
    <w:rsid w:val="00DD2A4C"/>
    <w:rsid w:val="00DD2C5C"/>
    <w:rsid w:val="00DD2DC6"/>
    <w:rsid w:val="00DD3236"/>
    <w:rsid w:val="00DD33E1"/>
    <w:rsid w:val="00DD396C"/>
    <w:rsid w:val="00DD3A55"/>
    <w:rsid w:val="00DD3B2A"/>
    <w:rsid w:val="00DD4398"/>
    <w:rsid w:val="00DD4633"/>
    <w:rsid w:val="00DD4750"/>
    <w:rsid w:val="00DD4C0C"/>
    <w:rsid w:val="00DD4D2F"/>
    <w:rsid w:val="00DD4FE0"/>
    <w:rsid w:val="00DD5636"/>
    <w:rsid w:val="00DD5E57"/>
    <w:rsid w:val="00DD5EE4"/>
    <w:rsid w:val="00DD611C"/>
    <w:rsid w:val="00DD620B"/>
    <w:rsid w:val="00DD6301"/>
    <w:rsid w:val="00DD65BB"/>
    <w:rsid w:val="00DD6A1C"/>
    <w:rsid w:val="00DD6B22"/>
    <w:rsid w:val="00DD6FBA"/>
    <w:rsid w:val="00DD7141"/>
    <w:rsid w:val="00DD716A"/>
    <w:rsid w:val="00DD755D"/>
    <w:rsid w:val="00DD75BF"/>
    <w:rsid w:val="00DD75C6"/>
    <w:rsid w:val="00DD799B"/>
    <w:rsid w:val="00DD7A64"/>
    <w:rsid w:val="00DE0632"/>
    <w:rsid w:val="00DE07D6"/>
    <w:rsid w:val="00DE0A67"/>
    <w:rsid w:val="00DE0BBF"/>
    <w:rsid w:val="00DE0CED"/>
    <w:rsid w:val="00DE0F49"/>
    <w:rsid w:val="00DE0FAF"/>
    <w:rsid w:val="00DE0FBF"/>
    <w:rsid w:val="00DE1299"/>
    <w:rsid w:val="00DE16F0"/>
    <w:rsid w:val="00DE1B15"/>
    <w:rsid w:val="00DE2074"/>
    <w:rsid w:val="00DE24CE"/>
    <w:rsid w:val="00DE29D2"/>
    <w:rsid w:val="00DE2A68"/>
    <w:rsid w:val="00DE2A76"/>
    <w:rsid w:val="00DE2A96"/>
    <w:rsid w:val="00DE30B8"/>
    <w:rsid w:val="00DE3199"/>
    <w:rsid w:val="00DE31EE"/>
    <w:rsid w:val="00DE346A"/>
    <w:rsid w:val="00DE3980"/>
    <w:rsid w:val="00DE3F19"/>
    <w:rsid w:val="00DE414D"/>
    <w:rsid w:val="00DE4624"/>
    <w:rsid w:val="00DE4857"/>
    <w:rsid w:val="00DE4A48"/>
    <w:rsid w:val="00DE4AE3"/>
    <w:rsid w:val="00DE4AE5"/>
    <w:rsid w:val="00DE4BA2"/>
    <w:rsid w:val="00DE571C"/>
    <w:rsid w:val="00DE57B3"/>
    <w:rsid w:val="00DE57EB"/>
    <w:rsid w:val="00DE5BBC"/>
    <w:rsid w:val="00DE6448"/>
    <w:rsid w:val="00DE6689"/>
    <w:rsid w:val="00DE6AC0"/>
    <w:rsid w:val="00DE6BF9"/>
    <w:rsid w:val="00DE71CB"/>
    <w:rsid w:val="00DE738C"/>
    <w:rsid w:val="00DE774B"/>
    <w:rsid w:val="00DE789D"/>
    <w:rsid w:val="00DE78DD"/>
    <w:rsid w:val="00DF03C9"/>
    <w:rsid w:val="00DF03E3"/>
    <w:rsid w:val="00DF06E2"/>
    <w:rsid w:val="00DF06EC"/>
    <w:rsid w:val="00DF0814"/>
    <w:rsid w:val="00DF0845"/>
    <w:rsid w:val="00DF09EE"/>
    <w:rsid w:val="00DF0D02"/>
    <w:rsid w:val="00DF0D0C"/>
    <w:rsid w:val="00DF10B8"/>
    <w:rsid w:val="00DF15CA"/>
    <w:rsid w:val="00DF1692"/>
    <w:rsid w:val="00DF1875"/>
    <w:rsid w:val="00DF1B2E"/>
    <w:rsid w:val="00DF1C29"/>
    <w:rsid w:val="00DF1DA8"/>
    <w:rsid w:val="00DF1E0A"/>
    <w:rsid w:val="00DF1F43"/>
    <w:rsid w:val="00DF23B7"/>
    <w:rsid w:val="00DF26EC"/>
    <w:rsid w:val="00DF26F7"/>
    <w:rsid w:val="00DF27C2"/>
    <w:rsid w:val="00DF28D4"/>
    <w:rsid w:val="00DF2A45"/>
    <w:rsid w:val="00DF2B32"/>
    <w:rsid w:val="00DF3059"/>
    <w:rsid w:val="00DF31CA"/>
    <w:rsid w:val="00DF33CC"/>
    <w:rsid w:val="00DF3A5C"/>
    <w:rsid w:val="00DF3C1C"/>
    <w:rsid w:val="00DF3C61"/>
    <w:rsid w:val="00DF45A1"/>
    <w:rsid w:val="00DF4A51"/>
    <w:rsid w:val="00DF4E9B"/>
    <w:rsid w:val="00DF4F6F"/>
    <w:rsid w:val="00DF565E"/>
    <w:rsid w:val="00DF5F4D"/>
    <w:rsid w:val="00DF64AD"/>
    <w:rsid w:val="00DF650D"/>
    <w:rsid w:val="00DF660C"/>
    <w:rsid w:val="00DF6983"/>
    <w:rsid w:val="00DF698F"/>
    <w:rsid w:val="00DF6E26"/>
    <w:rsid w:val="00DF6F2C"/>
    <w:rsid w:val="00DF7023"/>
    <w:rsid w:val="00DF7025"/>
    <w:rsid w:val="00DF71AA"/>
    <w:rsid w:val="00DF7663"/>
    <w:rsid w:val="00DF7BA1"/>
    <w:rsid w:val="00DF7EB1"/>
    <w:rsid w:val="00DF7F71"/>
    <w:rsid w:val="00DF7FA9"/>
    <w:rsid w:val="00E0061C"/>
    <w:rsid w:val="00E0063D"/>
    <w:rsid w:val="00E006C9"/>
    <w:rsid w:val="00E007F5"/>
    <w:rsid w:val="00E00A51"/>
    <w:rsid w:val="00E01098"/>
    <w:rsid w:val="00E01918"/>
    <w:rsid w:val="00E01A69"/>
    <w:rsid w:val="00E01B61"/>
    <w:rsid w:val="00E01E39"/>
    <w:rsid w:val="00E01EB5"/>
    <w:rsid w:val="00E01EB8"/>
    <w:rsid w:val="00E031EC"/>
    <w:rsid w:val="00E03654"/>
    <w:rsid w:val="00E036B5"/>
    <w:rsid w:val="00E0374C"/>
    <w:rsid w:val="00E03885"/>
    <w:rsid w:val="00E03AC5"/>
    <w:rsid w:val="00E03BCD"/>
    <w:rsid w:val="00E043C3"/>
    <w:rsid w:val="00E046FB"/>
    <w:rsid w:val="00E0470B"/>
    <w:rsid w:val="00E047BC"/>
    <w:rsid w:val="00E048A9"/>
    <w:rsid w:val="00E04911"/>
    <w:rsid w:val="00E0495E"/>
    <w:rsid w:val="00E04C42"/>
    <w:rsid w:val="00E04D1C"/>
    <w:rsid w:val="00E04EB0"/>
    <w:rsid w:val="00E05172"/>
    <w:rsid w:val="00E0519E"/>
    <w:rsid w:val="00E05362"/>
    <w:rsid w:val="00E05438"/>
    <w:rsid w:val="00E054C3"/>
    <w:rsid w:val="00E05500"/>
    <w:rsid w:val="00E057D2"/>
    <w:rsid w:val="00E059B8"/>
    <w:rsid w:val="00E05C5A"/>
    <w:rsid w:val="00E0652D"/>
    <w:rsid w:val="00E06532"/>
    <w:rsid w:val="00E06A05"/>
    <w:rsid w:val="00E06FDE"/>
    <w:rsid w:val="00E07A86"/>
    <w:rsid w:val="00E07BB5"/>
    <w:rsid w:val="00E07C3A"/>
    <w:rsid w:val="00E07FAB"/>
    <w:rsid w:val="00E1079B"/>
    <w:rsid w:val="00E10956"/>
    <w:rsid w:val="00E10FA2"/>
    <w:rsid w:val="00E114BC"/>
    <w:rsid w:val="00E1180A"/>
    <w:rsid w:val="00E11925"/>
    <w:rsid w:val="00E120FD"/>
    <w:rsid w:val="00E1225C"/>
    <w:rsid w:val="00E12468"/>
    <w:rsid w:val="00E124C2"/>
    <w:rsid w:val="00E12608"/>
    <w:rsid w:val="00E126AB"/>
    <w:rsid w:val="00E12BAB"/>
    <w:rsid w:val="00E140D5"/>
    <w:rsid w:val="00E1451E"/>
    <w:rsid w:val="00E14B1C"/>
    <w:rsid w:val="00E157E9"/>
    <w:rsid w:val="00E15997"/>
    <w:rsid w:val="00E15EF2"/>
    <w:rsid w:val="00E160E8"/>
    <w:rsid w:val="00E16414"/>
    <w:rsid w:val="00E16FDF"/>
    <w:rsid w:val="00E16FEB"/>
    <w:rsid w:val="00E1731F"/>
    <w:rsid w:val="00E17456"/>
    <w:rsid w:val="00E20183"/>
    <w:rsid w:val="00E202CA"/>
    <w:rsid w:val="00E2088E"/>
    <w:rsid w:val="00E210DA"/>
    <w:rsid w:val="00E21217"/>
    <w:rsid w:val="00E21830"/>
    <w:rsid w:val="00E21969"/>
    <w:rsid w:val="00E219B3"/>
    <w:rsid w:val="00E220ED"/>
    <w:rsid w:val="00E22248"/>
    <w:rsid w:val="00E22D84"/>
    <w:rsid w:val="00E22EBF"/>
    <w:rsid w:val="00E23153"/>
    <w:rsid w:val="00E236B3"/>
    <w:rsid w:val="00E237E8"/>
    <w:rsid w:val="00E23C67"/>
    <w:rsid w:val="00E23DA4"/>
    <w:rsid w:val="00E24078"/>
    <w:rsid w:val="00E24220"/>
    <w:rsid w:val="00E24A5B"/>
    <w:rsid w:val="00E24EFD"/>
    <w:rsid w:val="00E251BB"/>
    <w:rsid w:val="00E252E0"/>
    <w:rsid w:val="00E2539C"/>
    <w:rsid w:val="00E2563D"/>
    <w:rsid w:val="00E25B5E"/>
    <w:rsid w:val="00E25CE3"/>
    <w:rsid w:val="00E25DBC"/>
    <w:rsid w:val="00E25F42"/>
    <w:rsid w:val="00E2603C"/>
    <w:rsid w:val="00E260BD"/>
    <w:rsid w:val="00E2619D"/>
    <w:rsid w:val="00E2643D"/>
    <w:rsid w:val="00E26529"/>
    <w:rsid w:val="00E26FE1"/>
    <w:rsid w:val="00E271C4"/>
    <w:rsid w:val="00E273A1"/>
    <w:rsid w:val="00E302DB"/>
    <w:rsid w:val="00E30702"/>
    <w:rsid w:val="00E30811"/>
    <w:rsid w:val="00E314FC"/>
    <w:rsid w:val="00E31593"/>
    <w:rsid w:val="00E31CD9"/>
    <w:rsid w:val="00E31DB1"/>
    <w:rsid w:val="00E31E43"/>
    <w:rsid w:val="00E32157"/>
    <w:rsid w:val="00E3216B"/>
    <w:rsid w:val="00E3219F"/>
    <w:rsid w:val="00E3243C"/>
    <w:rsid w:val="00E32495"/>
    <w:rsid w:val="00E32530"/>
    <w:rsid w:val="00E32E3B"/>
    <w:rsid w:val="00E33087"/>
    <w:rsid w:val="00E331DD"/>
    <w:rsid w:val="00E3328D"/>
    <w:rsid w:val="00E339D0"/>
    <w:rsid w:val="00E33FC7"/>
    <w:rsid w:val="00E3430B"/>
    <w:rsid w:val="00E34409"/>
    <w:rsid w:val="00E34992"/>
    <w:rsid w:val="00E349C3"/>
    <w:rsid w:val="00E34A21"/>
    <w:rsid w:val="00E34E55"/>
    <w:rsid w:val="00E35C01"/>
    <w:rsid w:val="00E35DA9"/>
    <w:rsid w:val="00E35FBF"/>
    <w:rsid w:val="00E3631F"/>
    <w:rsid w:val="00E3638C"/>
    <w:rsid w:val="00E367BF"/>
    <w:rsid w:val="00E368EA"/>
    <w:rsid w:val="00E369AE"/>
    <w:rsid w:val="00E36B34"/>
    <w:rsid w:val="00E36EC0"/>
    <w:rsid w:val="00E370FD"/>
    <w:rsid w:val="00E37134"/>
    <w:rsid w:val="00E3749F"/>
    <w:rsid w:val="00E37703"/>
    <w:rsid w:val="00E4021C"/>
    <w:rsid w:val="00E40393"/>
    <w:rsid w:val="00E403D6"/>
    <w:rsid w:val="00E40442"/>
    <w:rsid w:val="00E40555"/>
    <w:rsid w:val="00E407DA"/>
    <w:rsid w:val="00E40B0B"/>
    <w:rsid w:val="00E4145C"/>
    <w:rsid w:val="00E41975"/>
    <w:rsid w:val="00E41986"/>
    <w:rsid w:val="00E41A00"/>
    <w:rsid w:val="00E41CB9"/>
    <w:rsid w:val="00E41CC3"/>
    <w:rsid w:val="00E41E10"/>
    <w:rsid w:val="00E41F67"/>
    <w:rsid w:val="00E4247D"/>
    <w:rsid w:val="00E42F5D"/>
    <w:rsid w:val="00E43345"/>
    <w:rsid w:val="00E438CE"/>
    <w:rsid w:val="00E43922"/>
    <w:rsid w:val="00E43B65"/>
    <w:rsid w:val="00E43CB6"/>
    <w:rsid w:val="00E43E21"/>
    <w:rsid w:val="00E443BE"/>
    <w:rsid w:val="00E44657"/>
    <w:rsid w:val="00E44829"/>
    <w:rsid w:val="00E4498A"/>
    <w:rsid w:val="00E44BC1"/>
    <w:rsid w:val="00E44D25"/>
    <w:rsid w:val="00E44D36"/>
    <w:rsid w:val="00E45900"/>
    <w:rsid w:val="00E45B33"/>
    <w:rsid w:val="00E45BB8"/>
    <w:rsid w:val="00E45D8A"/>
    <w:rsid w:val="00E46001"/>
    <w:rsid w:val="00E46113"/>
    <w:rsid w:val="00E47768"/>
    <w:rsid w:val="00E478F0"/>
    <w:rsid w:val="00E47AAD"/>
    <w:rsid w:val="00E50110"/>
    <w:rsid w:val="00E502F1"/>
    <w:rsid w:val="00E50CD8"/>
    <w:rsid w:val="00E50E48"/>
    <w:rsid w:val="00E50F34"/>
    <w:rsid w:val="00E50F5B"/>
    <w:rsid w:val="00E51255"/>
    <w:rsid w:val="00E514C5"/>
    <w:rsid w:val="00E51811"/>
    <w:rsid w:val="00E51F37"/>
    <w:rsid w:val="00E52196"/>
    <w:rsid w:val="00E524AA"/>
    <w:rsid w:val="00E5252E"/>
    <w:rsid w:val="00E52C2F"/>
    <w:rsid w:val="00E52CDB"/>
    <w:rsid w:val="00E52F4C"/>
    <w:rsid w:val="00E52F5C"/>
    <w:rsid w:val="00E52F8D"/>
    <w:rsid w:val="00E534C9"/>
    <w:rsid w:val="00E53E83"/>
    <w:rsid w:val="00E53ECF"/>
    <w:rsid w:val="00E543E0"/>
    <w:rsid w:val="00E5469D"/>
    <w:rsid w:val="00E54B09"/>
    <w:rsid w:val="00E552F3"/>
    <w:rsid w:val="00E55614"/>
    <w:rsid w:val="00E558CB"/>
    <w:rsid w:val="00E55903"/>
    <w:rsid w:val="00E560EC"/>
    <w:rsid w:val="00E5659F"/>
    <w:rsid w:val="00E567BB"/>
    <w:rsid w:val="00E56BAB"/>
    <w:rsid w:val="00E56C39"/>
    <w:rsid w:val="00E56D02"/>
    <w:rsid w:val="00E57411"/>
    <w:rsid w:val="00E577E2"/>
    <w:rsid w:val="00E57B46"/>
    <w:rsid w:val="00E57C43"/>
    <w:rsid w:val="00E57E3F"/>
    <w:rsid w:val="00E600DC"/>
    <w:rsid w:val="00E600E7"/>
    <w:rsid w:val="00E601E7"/>
    <w:rsid w:val="00E604BB"/>
    <w:rsid w:val="00E60720"/>
    <w:rsid w:val="00E60745"/>
    <w:rsid w:val="00E60874"/>
    <w:rsid w:val="00E608CD"/>
    <w:rsid w:val="00E6092C"/>
    <w:rsid w:val="00E60979"/>
    <w:rsid w:val="00E60B7A"/>
    <w:rsid w:val="00E60BF7"/>
    <w:rsid w:val="00E60D3D"/>
    <w:rsid w:val="00E60D9A"/>
    <w:rsid w:val="00E60E61"/>
    <w:rsid w:val="00E61433"/>
    <w:rsid w:val="00E61B7F"/>
    <w:rsid w:val="00E61D2A"/>
    <w:rsid w:val="00E61DB4"/>
    <w:rsid w:val="00E623EE"/>
    <w:rsid w:val="00E628E6"/>
    <w:rsid w:val="00E62954"/>
    <w:rsid w:val="00E629F5"/>
    <w:rsid w:val="00E62B39"/>
    <w:rsid w:val="00E62F15"/>
    <w:rsid w:val="00E63251"/>
    <w:rsid w:val="00E635C2"/>
    <w:rsid w:val="00E63858"/>
    <w:rsid w:val="00E6399A"/>
    <w:rsid w:val="00E63A76"/>
    <w:rsid w:val="00E63D4F"/>
    <w:rsid w:val="00E6444F"/>
    <w:rsid w:val="00E644BF"/>
    <w:rsid w:val="00E64801"/>
    <w:rsid w:val="00E64E75"/>
    <w:rsid w:val="00E64ED2"/>
    <w:rsid w:val="00E65324"/>
    <w:rsid w:val="00E65528"/>
    <w:rsid w:val="00E655FA"/>
    <w:rsid w:val="00E65C5F"/>
    <w:rsid w:val="00E6633D"/>
    <w:rsid w:val="00E66550"/>
    <w:rsid w:val="00E66B08"/>
    <w:rsid w:val="00E66F30"/>
    <w:rsid w:val="00E6749D"/>
    <w:rsid w:val="00E674BA"/>
    <w:rsid w:val="00E6756C"/>
    <w:rsid w:val="00E67808"/>
    <w:rsid w:val="00E67A27"/>
    <w:rsid w:val="00E67C50"/>
    <w:rsid w:val="00E67D4F"/>
    <w:rsid w:val="00E67E4B"/>
    <w:rsid w:val="00E67EBD"/>
    <w:rsid w:val="00E700F3"/>
    <w:rsid w:val="00E7020E"/>
    <w:rsid w:val="00E7040C"/>
    <w:rsid w:val="00E70D9C"/>
    <w:rsid w:val="00E70DE5"/>
    <w:rsid w:val="00E7104E"/>
    <w:rsid w:val="00E711F6"/>
    <w:rsid w:val="00E71664"/>
    <w:rsid w:val="00E718E0"/>
    <w:rsid w:val="00E71B57"/>
    <w:rsid w:val="00E71B68"/>
    <w:rsid w:val="00E71D39"/>
    <w:rsid w:val="00E71F16"/>
    <w:rsid w:val="00E723FE"/>
    <w:rsid w:val="00E725A1"/>
    <w:rsid w:val="00E725D4"/>
    <w:rsid w:val="00E7265F"/>
    <w:rsid w:val="00E72BC7"/>
    <w:rsid w:val="00E7314E"/>
    <w:rsid w:val="00E7361F"/>
    <w:rsid w:val="00E7378A"/>
    <w:rsid w:val="00E73A62"/>
    <w:rsid w:val="00E74246"/>
    <w:rsid w:val="00E74AAF"/>
    <w:rsid w:val="00E74F3F"/>
    <w:rsid w:val="00E7509E"/>
    <w:rsid w:val="00E755D2"/>
    <w:rsid w:val="00E75D7F"/>
    <w:rsid w:val="00E763A4"/>
    <w:rsid w:val="00E7650A"/>
    <w:rsid w:val="00E76627"/>
    <w:rsid w:val="00E769C8"/>
    <w:rsid w:val="00E76A0B"/>
    <w:rsid w:val="00E77204"/>
    <w:rsid w:val="00E7726D"/>
    <w:rsid w:val="00E77453"/>
    <w:rsid w:val="00E7753C"/>
    <w:rsid w:val="00E7790C"/>
    <w:rsid w:val="00E77E16"/>
    <w:rsid w:val="00E80061"/>
    <w:rsid w:val="00E80A5E"/>
    <w:rsid w:val="00E80BE9"/>
    <w:rsid w:val="00E80C18"/>
    <w:rsid w:val="00E80E9A"/>
    <w:rsid w:val="00E8144C"/>
    <w:rsid w:val="00E816B4"/>
    <w:rsid w:val="00E818E8"/>
    <w:rsid w:val="00E81AB7"/>
    <w:rsid w:val="00E81AC0"/>
    <w:rsid w:val="00E820A1"/>
    <w:rsid w:val="00E82214"/>
    <w:rsid w:val="00E827FE"/>
    <w:rsid w:val="00E82A09"/>
    <w:rsid w:val="00E82B7C"/>
    <w:rsid w:val="00E82C9B"/>
    <w:rsid w:val="00E82FB9"/>
    <w:rsid w:val="00E834BA"/>
    <w:rsid w:val="00E83973"/>
    <w:rsid w:val="00E83FBF"/>
    <w:rsid w:val="00E841A6"/>
    <w:rsid w:val="00E841FF"/>
    <w:rsid w:val="00E84581"/>
    <w:rsid w:val="00E84DA0"/>
    <w:rsid w:val="00E84DB7"/>
    <w:rsid w:val="00E8564C"/>
    <w:rsid w:val="00E85B46"/>
    <w:rsid w:val="00E85C18"/>
    <w:rsid w:val="00E85E6F"/>
    <w:rsid w:val="00E85EE9"/>
    <w:rsid w:val="00E86310"/>
    <w:rsid w:val="00E86839"/>
    <w:rsid w:val="00E87392"/>
    <w:rsid w:val="00E8748E"/>
    <w:rsid w:val="00E876D1"/>
    <w:rsid w:val="00E8774E"/>
    <w:rsid w:val="00E87D26"/>
    <w:rsid w:val="00E87F9B"/>
    <w:rsid w:val="00E901AD"/>
    <w:rsid w:val="00E904D3"/>
    <w:rsid w:val="00E90533"/>
    <w:rsid w:val="00E907C2"/>
    <w:rsid w:val="00E90A84"/>
    <w:rsid w:val="00E913D8"/>
    <w:rsid w:val="00E91492"/>
    <w:rsid w:val="00E91524"/>
    <w:rsid w:val="00E91A50"/>
    <w:rsid w:val="00E91E4B"/>
    <w:rsid w:val="00E927FE"/>
    <w:rsid w:val="00E92860"/>
    <w:rsid w:val="00E92AF2"/>
    <w:rsid w:val="00E92C95"/>
    <w:rsid w:val="00E92CDD"/>
    <w:rsid w:val="00E9312B"/>
    <w:rsid w:val="00E932DE"/>
    <w:rsid w:val="00E9375B"/>
    <w:rsid w:val="00E9381F"/>
    <w:rsid w:val="00E93B47"/>
    <w:rsid w:val="00E93DDD"/>
    <w:rsid w:val="00E945BE"/>
    <w:rsid w:val="00E94A6D"/>
    <w:rsid w:val="00E94C42"/>
    <w:rsid w:val="00E951A4"/>
    <w:rsid w:val="00E95323"/>
    <w:rsid w:val="00E95373"/>
    <w:rsid w:val="00E957F1"/>
    <w:rsid w:val="00E95D9F"/>
    <w:rsid w:val="00E96142"/>
    <w:rsid w:val="00E964AB"/>
    <w:rsid w:val="00E965FD"/>
    <w:rsid w:val="00E96B4E"/>
    <w:rsid w:val="00E96DB9"/>
    <w:rsid w:val="00E97081"/>
    <w:rsid w:val="00E97806"/>
    <w:rsid w:val="00E9787B"/>
    <w:rsid w:val="00E979AF"/>
    <w:rsid w:val="00E97DAF"/>
    <w:rsid w:val="00EA00A7"/>
    <w:rsid w:val="00EA0245"/>
    <w:rsid w:val="00EA03D6"/>
    <w:rsid w:val="00EA046C"/>
    <w:rsid w:val="00EA07C3"/>
    <w:rsid w:val="00EA0E03"/>
    <w:rsid w:val="00EA0E0A"/>
    <w:rsid w:val="00EA0EED"/>
    <w:rsid w:val="00EA0FA2"/>
    <w:rsid w:val="00EA1008"/>
    <w:rsid w:val="00EA12AB"/>
    <w:rsid w:val="00EA1599"/>
    <w:rsid w:val="00EA15D5"/>
    <w:rsid w:val="00EA1905"/>
    <w:rsid w:val="00EA1EF1"/>
    <w:rsid w:val="00EA22E0"/>
    <w:rsid w:val="00EA2338"/>
    <w:rsid w:val="00EA23F0"/>
    <w:rsid w:val="00EA2543"/>
    <w:rsid w:val="00EA2632"/>
    <w:rsid w:val="00EA3693"/>
    <w:rsid w:val="00EA3B45"/>
    <w:rsid w:val="00EA4157"/>
    <w:rsid w:val="00EA462A"/>
    <w:rsid w:val="00EA4689"/>
    <w:rsid w:val="00EA4696"/>
    <w:rsid w:val="00EA46C1"/>
    <w:rsid w:val="00EA5123"/>
    <w:rsid w:val="00EA58FD"/>
    <w:rsid w:val="00EA5BA5"/>
    <w:rsid w:val="00EA5E94"/>
    <w:rsid w:val="00EA6598"/>
    <w:rsid w:val="00EA670D"/>
    <w:rsid w:val="00EA685A"/>
    <w:rsid w:val="00EA6AF5"/>
    <w:rsid w:val="00EA6E57"/>
    <w:rsid w:val="00EA7659"/>
    <w:rsid w:val="00EA76A3"/>
    <w:rsid w:val="00EA774D"/>
    <w:rsid w:val="00EA7B04"/>
    <w:rsid w:val="00EA7B0C"/>
    <w:rsid w:val="00EA7E22"/>
    <w:rsid w:val="00EA7E6F"/>
    <w:rsid w:val="00EA7FCC"/>
    <w:rsid w:val="00EB006B"/>
    <w:rsid w:val="00EB01C3"/>
    <w:rsid w:val="00EB0248"/>
    <w:rsid w:val="00EB0513"/>
    <w:rsid w:val="00EB0766"/>
    <w:rsid w:val="00EB0B15"/>
    <w:rsid w:val="00EB0BC4"/>
    <w:rsid w:val="00EB0CA7"/>
    <w:rsid w:val="00EB1ABD"/>
    <w:rsid w:val="00EB1DDA"/>
    <w:rsid w:val="00EB1F45"/>
    <w:rsid w:val="00EB2B2E"/>
    <w:rsid w:val="00EB2DBC"/>
    <w:rsid w:val="00EB366D"/>
    <w:rsid w:val="00EB36FB"/>
    <w:rsid w:val="00EB3A1A"/>
    <w:rsid w:val="00EB3AAC"/>
    <w:rsid w:val="00EB3D77"/>
    <w:rsid w:val="00EB3F37"/>
    <w:rsid w:val="00EB45FE"/>
    <w:rsid w:val="00EB4843"/>
    <w:rsid w:val="00EB48F5"/>
    <w:rsid w:val="00EB4D55"/>
    <w:rsid w:val="00EB4F97"/>
    <w:rsid w:val="00EB53E9"/>
    <w:rsid w:val="00EB5884"/>
    <w:rsid w:val="00EB5E70"/>
    <w:rsid w:val="00EB62AC"/>
    <w:rsid w:val="00EB630B"/>
    <w:rsid w:val="00EB6BB2"/>
    <w:rsid w:val="00EB7405"/>
    <w:rsid w:val="00EB7462"/>
    <w:rsid w:val="00EB769F"/>
    <w:rsid w:val="00EB77C5"/>
    <w:rsid w:val="00EC0526"/>
    <w:rsid w:val="00EC0D3B"/>
    <w:rsid w:val="00EC0EEC"/>
    <w:rsid w:val="00EC12F8"/>
    <w:rsid w:val="00EC1427"/>
    <w:rsid w:val="00EC144C"/>
    <w:rsid w:val="00EC154F"/>
    <w:rsid w:val="00EC1860"/>
    <w:rsid w:val="00EC1931"/>
    <w:rsid w:val="00EC1B94"/>
    <w:rsid w:val="00EC1C0D"/>
    <w:rsid w:val="00EC20E1"/>
    <w:rsid w:val="00EC2261"/>
    <w:rsid w:val="00EC24AC"/>
    <w:rsid w:val="00EC257F"/>
    <w:rsid w:val="00EC30AB"/>
    <w:rsid w:val="00EC356F"/>
    <w:rsid w:val="00EC39C3"/>
    <w:rsid w:val="00EC39E4"/>
    <w:rsid w:val="00EC3BA0"/>
    <w:rsid w:val="00EC4225"/>
    <w:rsid w:val="00EC42ED"/>
    <w:rsid w:val="00EC4352"/>
    <w:rsid w:val="00EC46D6"/>
    <w:rsid w:val="00EC49F5"/>
    <w:rsid w:val="00EC4A43"/>
    <w:rsid w:val="00EC4C53"/>
    <w:rsid w:val="00EC4CB9"/>
    <w:rsid w:val="00EC58D5"/>
    <w:rsid w:val="00EC5DEF"/>
    <w:rsid w:val="00EC6668"/>
    <w:rsid w:val="00EC6883"/>
    <w:rsid w:val="00EC6D20"/>
    <w:rsid w:val="00EC70ED"/>
    <w:rsid w:val="00EC72A6"/>
    <w:rsid w:val="00EC730E"/>
    <w:rsid w:val="00EC7A51"/>
    <w:rsid w:val="00EC7D29"/>
    <w:rsid w:val="00EC7F79"/>
    <w:rsid w:val="00ED0317"/>
    <w:rsid w:val="00ED0523"/>
    <w:rsid w:val="00ED0721"/>
    <w:rsid w:val="00ED0979"/>
    <w:rsid w:val="00ED0A35"/>
    <w:rsid w:val="00ED1041"/>
    <w:rsid w:val="00ED106F"/>
    <w:rsid w:val="00ED1559"/>
    <w:rsid w:val="00ED1734"/>
    <w:rsid w:val="00ED1853"/>
    <w:rsid w:val="00ED2348"/>
    <w:rsid w:val="00ED2524"/>
    <w:rsid w:val="00ED2D76"/>
    <w:rsid w:val="00ED30C1"/>
    <w:rsid w:val="00ED3A7F"/>
    <w:rsid w:val="00ED4074"/>
    <w:rsid w:val="00ED4181"/>
    <w:rsid w:val="00ED4438"/>
    <w:rsid w:val="00ED47BD"/>
    <w:rsid w:val="00ED4BB4"/>
    <w:rsid w:val="00ED4C8D"/>
    <w:rsid w:val="00ED4D3C"/>
    <w:rsid w:val="00ED4E79"/>
    <w:rsid w:val="00ED5077"/>
    <w:rsid w:val="00ED530D"/>
    <w:rsid w:val="00ED5484"/>
    <w:rsid w:val="00ED551E"/>
    <w:rsid w:val="00ED572E"/>
    <w:rsid w:val="00ED5897"/>
    <w:rsid w:val="00ED589C"/>
    <w:rsid w:val="00ED58FE"/>
    <w:rsid w:val="00ED5AFA"/>
    <w:rsid w:val="00ED6327"/>
    <w:rsid w:val="00ED6766"/>
    <w:rsid w:val="00ED67C8"/>
    <w:rsid w:val="00ED6DFB"/>
    <w:rsid w:val="00ED7294"/>
    <w:rsid w:val="00ED760E"/>
    <w:rsid w:val="00ED7612"/>
    <w:rsid w:val="00ED76EA"/>
    <w:rsid w:val="00ED782F"/>
    <w:rsid w:val="00ED7993"/>
    <w:rsid w:val="00EE00CF"/>
    <w:rsid w:val="00EE03FB"/>
    <w:rsid w:val="00EE0770"/>
    <w:rsid w:val="00EE0BC4"/>
    <w:rsid w:val="00EE0F01"/>
    <w:rsid w:val="00EE1662"/>
    <w:rsid w:val="00EE1837"/>
    <w:rsid w:val="00EE18A6"/>
    <w:rsid w:val="00EE2100"/>
    <w:rsid w:val="00EE2218"/>
    <w:rsid w:val="00EE2533"/>
    <w:rsid w:val="00EE2936"/>
    <w:rsid w:val="00EE2A54"/>
    <w:rsid w:val="00EE2AF0"/>
    <w:rsid w:val="00EE2DD5"/>
    <w:rsid w:val="00EE2F9C"/>
    <w:rsid w:val="00EE308C"/>
    <w:rsid w:val="00EE35DF"/>
    <w:rsid w:val="00EE36F3"/>
    <w:rsid w:val="00EE3AF3"/>
    <w:rsid w:val="00EE3B6C"/>
    <w:rsid w:val="00EE3BF0"/>
    <w:rsid w:val="00EE4323"/>
    <w:rsid w:val="00EE4733"/>
    <w:rsid w:val="00EE47CE"/>
    <w:rsid w:val="00EE47CF"/>
    <w:rsid w:val="00EE4C73"/>
    <w:rsid w:val="00EE50D6"/>
    <w:rsid w:val="00EE5282"/>
    <w:rsid w:val="00EE5405"/>
    <w:rsid w:val="00EE623D"/>
    <w:rsid w:val="00EE6573"/>
    <w:rsid w:val="00EE674A"/>
    <w:rsid w:val="00EE67A5"/>
    <w:rsid w:val="00EE68F4"/>
    <w:rsid w:val="00EE6D35"/>
    <w:rsid w:val="00EE6FBD"/>
    <w:rsid w:val="00EE7025"/>
    <w:rsid w:val="00EE7486"/>
    <w:rsid w:val="00EE7834"/>
    <w:rsid w:val="00EE79D0"/>
    <w:rsid w:val="00EE7A5E"/>
    <w:rsid w:val="00EE7B4A"/>
    <w:rsid w:val="00EF065A"/>
    <w:rsid w:val="00EF0BB1"/>
    <w:rsid w:val="00EF0BE7"/>
    <w:rsid w:val="00EF0CBE"/>
    <w:rsid w:val="00EF0CEE"/>
    <w:rsid w:val="00EF0D89"/>
    <w:rsid w:val="00EF1045"/>
    <w:rsid w:val="00EF17B3"/>
    <w:rsid w:val="00EF1ED3"/>
    <w:rsid w:val="00EF2621"/>
    <w:rsid w:val="00EF28EE"/>
    <w:rsid w:val="00EF298C"/>
    <w:rsid w:val="00EF2E9A"/>
    <w:rsid w:val="00EF3331"/>
    <w:rsid w:val="00EF3A15"/>
    <w:rsid w:val="00EF3AA7"/>
    <w:rsid w:val="00EF3B09"/>
    <w:rsid w:val="00EF3C89"/>
    <w:rsid w:val="00EF421E"/>
    <w:rsid w:val="00EF43E5"/>
    <w:rsid w:val="00EF496D"/>
    <w:rsid w:val="00EF4FF3"/>
    <w:rsid w:val="00EF5039"/>
    <w:rsid w:val="00EF54DB"/>
    <w:rsid w:val="00EF57CD"/>
    <w:rsid w:val="00EF5818"/>
    <w:rsid w:val="00EF5868"/>
    <w:rsid w:val="00EF58B9"/>
    <w:rsid w:val="00EF59B7"/>
    <w:rsid w:val="00EF5A30"/>
    <w:rsid w:val="00EF5FD4"/>
    <w:rsid w:val="00EF6095"/>
    <w:rsid w:val="00EF6357"/>
    <w:rsid w:val="00EF63E1"/>
    <w:rsid w:val="00EF6458"/>
    <w:rsid w:val="00EF66F1"/>
    <w:rsid w:val="00EF6728"/>
    <w:rsid w:val="00EF68F1"/>
    <w:rsid w:val="00EF6ACC"/>
    <w:rsid w:val="00EF6E6C"/>
    <w:rsid w:val="00EF6EED"/>
    <w:rsid w:val="00EF725C"/>
    <w:rsid w:val="00EF73E2"/>
    <w:rsid w:val="00EF762E"/>
    <w:rsid w:val="00EF7A7A"/>
    <w:rsid w:val="00F001A7"/>
    <w:rsid w:val="00F00862"/>
    <w:rsid w:val="00F008AF"/>
    <w:rsid w:val="00F00D42"/>
    <w:rsid w:val="00F01251"/>
    <w:rsid w:val="00F012B0"/>
    <w:rsid w:val="00F012D9"/>
    <w:rsid w:val="00F015BA"/>
    <w:rsid w:val="00F01934"/>
    <w:rsid w:val="00F0255A"/>
    <w:rsid w:val="00F0311E"/>
    <w:rsid w:val="00F037BB"/>
    <w:rsid w:val="00F037CA"/>
    <w:rsid w:val="00F03ACC"/>
    <w:rsid w:val="00F03B0E"/>
    <w:rsid w:val="00F03BE4"/>
    <w:rsid w:val="00F04A46"/>
    <w:rsid w:val="00F04D37"/>
    <w:rsid w:val="00F04F05"/>
    <w:rsid w:val="00F04F61"/>
    <w:rsid w:val="00F0508F"/>
    <w:rsid w:val="00F050BE"/>
    <w:rsid w:val="00F05E30"/>
    <w:rsid w:val="00F05F8C"/>
    <w:rsid w:val="00F05FBF"/>
    <w:rsid w:val="00F06989"/>
    <w:rsid w:val="00F06ACD"/>
    <w:rsid w:val="00F06F7A"/>
    <w:rsid w:val="00F06F93"/>
    <w:rsid w:val="00F06FDF"/>
    <w:rsid w:val="00F06FE2"/>
    <w:rsid w:val="00F0725A"/>
    <w:rsid w:val="00F07507"/>
    <w:rsid w:val="00F07E62"/>
    <w:rsid w:val="00F10179"/>
    <w:rsid w:val="00F1044E"/>
    <w:rsid w:val="00F107B2"/>
    <w:rsid w:val="00F108AB"/>
    <w:rsid w:val="00F10BD4"/>
    <w:rsid w:val="00F10F8F"/>
    <w:rsid w:val="00F10FE8"/>
    <w:rsid w:val="00F1107E"/>
    <w:rsid w:val="00F11313"/>
    <w:rsid w:val="00F118E7"/>
    <w:rsid w:val="00F11921"/>
    <w:rsid w:val="00F11965"/>
    <w:rsid w:val="00F11B76"/>
    <w:rsid w:val="00F11FA6"/>
    <w:rsid w:val="00F1219F"/>
    <w:rsid w:val="00F12397"/>
    <w:rsid w:val="00F123B0"/>
    <w:rsid w:val="00F125F8"/>
    <w:rsid w:val="00F12600"/>
    <w:rsid w:val="00F1276A"/>
    <w:rsid w:val="00F12A41"/>
    <w:rsid w:val="00F13033"/>
    <w:rsid w:val="00F1345B"/>
    <w:rsid w:val="00F13503"/>
    <w:rsid w:val="00F1362F"/>
    <w:rsid w:val="00F1366A"/>
    <w:rsid w:val="00F13927"/>
    <w:rsid w:val="00F13A02"/>
    <w:rsid w:val="00F13BB6"/>
    <w:rsid w:val="00F14328"/>
    <w:rsid w:val="00F14373"/>
    <w:rsid w:val="00F147E1"/>
    <w:rsid w:val="00F14B7F"/>
    <w:rsid w:val="00F14CFF"/>
    <w:rsid w:val="00F14D09"/>
    <w:rsid w:val="00F14D48"/>
    <w:rsid w:val="00F15012"/>
    <w:rsid w:val="00F150E5"/>
    <w:rsid w:val="00F1540A"/>
    <w:rsid w:val="00F15A55"/>
    <w:rsid w:val="00F15B55"/>
    <w:rsid w:val="00F16A3B"/>
    <w:rsid w:val="00F16C4B"/>
    <w:rsid w:val="00F17095"/>
    <w:rsid w:val="00F170BA"/>
    <w:rsid w:val="00F1733E"/>
    <w:rsid w:val="00F175D1"/>
    <w:rsid w:val="00F1798C"/>
    <w:rsid w:val="00F17D58"/>
    <w:rsid w:val="00F2031E"/>
    <w:rsid w:val="00F204B0"/>
    <w:rsid w:val="00F204D2"/>
    <w:rsid w:val="00F206CC"/>
    <w:rsid w:val="00F209D8"/>
    <w:rsid w:val="00F20CF6"/>
    <w:rsid w:val="00F20F5B"/>
    <w:rsid w:val="00F2191C"/>
    <w:rsid w:val="00F226D9"/>
    <w:rsid w:val="00F22ADF"/>
    <w:rsid w:val="00F22DD5"/>
    <w:rsid w:val="00F22E5B"/>
    <w:rsid w:val="00F22F52"/>
    <w:rsid w:val="00F22FA2"/>
    <w:rsid w:val="00F2382C"/>
    <w:rsid w:val="00F23959"/>
    <w:rsid w:val="00F23B48"/>
    <w:rsid w:val="00F23D9B"/>
    <w:rsid w:val="00F23EA8"/>
    <w:rsid w:val="00F24045"/>
    <w:rsid w:val="00F24378"/>
    <w:rsid w:val="00F244DE"/>
    <w:rsid w:val="00F248CD"/>
    <w:rsid w:val="00F24F00"/>
    <w:rsid w:val="00F25118"/>
    <w:rsid w:val="00F257BD"/>
    <w:rsid w:val="00F25904"/>
    <w:rsid w:val="00F25F30"/>
    <w:rsid w:val="00F2612F"/>
    <w:rsid w:val="00F26443"/>
    <w:rsid w:val="00F26981"/>
    <w:rsid w:val="00F26CF2"/>
    <w:rsid w:val="00F26D8B"/>
    <w:rsid w:val="00F26DA1"/>
    <w:rsid w:val="00F276B0"/>
    <w:rsid w:val="00F27775"/>
    <w:rsid w:val="00F2793D"/>
    <w:rsid w:val="00F27A2E"/>
    <w:rsid w:val="00F27B8D"/>
    <w:rsid w:val="00F306C5"/>
    <w:rsid w:val="00F307AE"/>
    <w:rsid w:val="00F307B6"/>
    <w:rsid w:val="00F30A51"/>
    <w:rsid w:val="00F30EE9"/>
    <w:rsid w:val="00F31595"/>
    <w:rsid w:val="00F316E8"/>
    <w:rsid w:val="00F317AD"/>
    <w:rsid w:val="00F31954"/>
    <w:rsid w:val="00F31C11"/>
    <w:rsid w:val="00F324E4"/>
    <w:rsid w:val="00F3255B"/>
    <w:rsid w:val="00F3273F"/>
    <w:rsid w:val="00F3276D"/>
    <w:rsid w:val="00F327B4"/>
    <w:rsid w:val="00F32A4E"/>
    <w:rsid w:val="00F32FDF"/>
    <w:rsid w:val="00F330AC"/>
    <w:rsid w:val="00F33484"/>
    <w:rsid w:val="00F334E9"/>
    <w:rsid w:val="00F33608"/>
    <w:rsid w:val="00F336D8"/>
    <w:rsid w:val="00F33AA6"/>
    <w:rsid w:val="00F33BF8"/>
    <w:rsid w:val="00F33EE0"/>
    <w:rsid w:val="00F33F88"/>
    <w:rsid w:val="00F34344"/>
    <w:rsid w:val="00F34370"/>
    <w:rsid w:val="00F343FB"/>
    <w:rsid w:val="00F3472D"/>
    <w:rsid w:val="00F34C69"/>
    <w:rsid w:val="00F34D68"/>
    <w:rsid w:val="00F34F7D"/>
    <w:rsid w:val="00F3549D"/>
    <w:rsid w:val="00F35620"/>
    <w:rsid w:val="00F35D2D"/>
    <w:rsid w:val="00F35DA4"/>
    <w:rsid w:val="00F3612C"/>
    <w:rsid w:val="00F3655C"/>
    <w:rsid w:val="00F3655D"/>
    <w:rsid w:val="00F3676F"/>
    <w:rsid w:val="00F36E24"/>
    <w:rsid w:val="00F3739B"/>
    <w:rsid w:val="00F37498"/>
    <w:rsid w:val="00F374E2"/>
    <w:rsid w:val="00F37F17"/>
    <w:rsid w:val="00F40108"/>
    <w:rsid w:val="00F404BC"/>
    <w:rsid w:val="00F407CF"/>
    <w:rsid w:val="00F40CD0"/>
    <w:rsid w:val="00F40D28"/>
    <w:rsid w:val="00F41500"/>
    <w:rsid w:val="00F41783"/>
    <w:rsid w:val="00F41B7F"/>
    <w:rsid w:val="00F41EDE"/>
    <w:rsid w:val="00F42161"/>
    <w:rsid w:val="00F421AB"/>
    <w:rsid w:val="00F424EA"/>
    <w:rsid w:val="00F426FB"/>
    <w:rsid w:val="00F4282C"/>
    <w:rsid w:val="00F4285D"/>
    <w:rsid w:val="00F42D10"/>
    <w:rsid w:val="00F42E5E"/>
    <w:rsid w:val="00F42F9B"/>
    <w:rsid w:val="00F43149"/>
    <w:rsid w:val="00F43579"/>
    <w:rsid w:val="00F43952"/>
    <w:rsid w:val="00F43979"/>
    <w:rsid w:val="00F43B19"/>
    <w:rsid w:val="00F43B6E"/>
    <w:rsid w:val="00F43D49"/>
    <w:rsid w:val="00F43E00"/>
    <w:rsid w:val="00F43E64"/>
    <w:rsid w:val="00F4416F"/>
    <w:rsid w:val="00F445DC"/>
    <w:rsid w:val="00F44847"/>
    <w:rsid w:val="00F448C3"/>
    <w:rsid w:val="00F44D5B"/>
    <w:rsid w:val="00F44EB6"/>
    <w:rsid w:val="00F450D9"/>
    <w:rsid w:val="00F453B3"/>
    <w:rsid w:val="00F45933"/>
    <w:rsid w:val="00F45A12"/>
    <w:rsid w:val="00F45F46"/>
    <w:rsid w:val="00F46206"/>
    <w:rsid w:val="00F46315"/>
    <w:rsid w:val="00F46563"/>
    <w:rsid w:val="00F466B5"/>
    <w:rsid w:val="00F4689D"/>
    <w:rsid w:val="00F46972"/>
    <w:rsid w:val="00F469D7"/>
    <w:rsid w:val="00F46DC1"/>
    <w:rsid w:val="00F473F9"/>
    <w:rsid w:val="00F4741D"/>
    <w:rsid w:val="00F47D05"/>
    <w:rsid w:val="00F47FDC"/>
    <w:rsid w:val="00F5038E"/>
    <w:rsid w:val="00F5084C"/>
    <w:rsid w:val="00F50862"/>
    <w:rsid w:val="00F50CBB"/>
    <w:rsid w:val="00F50D0D"/>
    <w:rsid w:val="00F51370"/>
    <w:rsid w:val="00F5178A"/>
    <w:rsid w:val="00F51B4D"/>
    <w:rsid w:val="00F51E15"/>
    <w:rsid w:val="00F51E57"/>
    <w:rsid w:val="00F51E70"/>
    <w:rsid w:val="00F520EE"/>
    <w:rsid w:val="00F524B2"/>
    <w:rsid w:val="00F52604"/>
    <w:rsid w:val="00F52728"/>
    <w:rsid w:val="00F52952"/>
    <w:rsid w:val="00F529E3"/>
    <w:rsid w:val="00F52CAE"/>
    <w:rsid w:val="00F52D9D"/>
    <w:rsid w:val="00F5305B"/>
    <w:rsid w:val="00F53179"/>
    <w:rsid w:val="00F5345A"/>
    <w:rsid w:val="00F534E5"/>
    <w:rsid w:val="00F53604"/>
    <w:rsid w:val="00F53625"/>
    <w:rsid w:val="00F53647"/>
    <w:rsid w:val="00F53739"/>
    <w:rsid w:val="00F5393C"/>
    <w:rsid w:val="00F53C70"/>
    <w:rsid w:val="00F53FF9"/>
    <w:rsid w:val="00F5427E"/>
    <w:rsid w:val="00F54419"/>
    <w:rsid w:val="00F544F0"/>
    <w:rsid w:val="00F5459C"/>
    <w:rsid w:val="00F54897"/>
    <w:rsid w:val="00F548FB"/>
    <w:rsid w:val="00F55035"/>
    <w:rsid w:val="00F552C1"/>
    <w:rsid w:val="00F556C7"/>
    <w:rsid w:val="00F55725"/>
    <w:rsid w:val="00F55B77"/>
    <w:rsid w:val="00F55EB2"/>
    <w:rsid w:val="00F56835"/>
    <w:rsid w:val="00F56C1A"/>
    <w:rsid w:val="00F56C63"/>
    <w:rsid w:val="00F56CE4"/>
    <w:rsid w:val="00F57104"/>
    <w:rsid w:val="00F57558"/>
    <w:rsid w:val="00F57952"/>
    <w:rsid w:val="00F57BAE"/>
    <w:rsid w:val="00F57C9F"/>
    <w:rsid w:val="00F57D81"/>
    <w:rsid w:val="00F60680"/>
    <w:rsid w:val="00F606F3"/>
    <w:rsid w:val="00F6071D"/>
    <w:rsid w:val="00F60F6B"/>
    <w:rsid w:val="00F60FB5"/>
    <w:rsid w:val="00F60FBF"/>
    <w:rsid w:val="00F613E7"/>
    <w:rsid w:val="00F6159E"/>
    <w:rsid w:val="00F61874"/>
    <w:rsid w:val="00F6197F"/>
    <w:rsid w:val="00F61A67"/>
    <w:rsid w:val="00F6211E"/>
    <w:rsid w:val="00F628C9"/>
    <w:rsid w:val="00F628D0"/>
    <w:rsid w:val="00F62A7D"/>
    <w:rsid w:val="00F62D1E"/>
    <w:rsid w:val="00F63184"/>
    <w:rsid w:val="00F631F7"/>
    <w:rsid w:val="00F63247"/>
    <w:rsid w:val="00F6342E"/>
    <w:rsid w:val="00F63499"/>
    <w:rsid w:val="00F63A3C"/>
    <w:rsid w:val="00F63AF7"/>
    <w:rsid w:val="00F64418"/>
    <w:rsid w:val="00F64437"/>
    <w:rsid w:val="00F64B98"/>
    <w:rsid w:val="00F64BBC"/>
    <w:rsid w:val="00F65359"/>
    <w:rsid w:val="00F6553D"/>
    <w:rsid w:val="00F655C3"/>
    <w:rsid w:val="00F655DC"/>
    <w:rsid w:val="00F655EE"/>
    <w:rsid w:val="00F65796"/>
    <w:rsid w:val="00F657D3"/>
    <w:rsid w:val="00F658D9"/>
    <w:rsid w:val="00F65974"/>
    <w:rsid w:val="00F659DE"/>
    <w:rsid w:val="00F65B53"/>
    <w:rsid w:val="00F65E50"/>
    <w:rsid w:val="00F66545"/>
    <w:rsid w:val="00F66958"/>
    <w:rsid w:val="00F6705B"/>
    <w:rsid w:val="00F6742A"/>
    <w:rsid w:val="00F6752D"/>
    <w:rsid w:val="00F678AD"/>
    <w:rsid w:val="00F67BBD"/>
    <w:rsid w:val="00F70545"/>
    <w:rsid w:val="00F70665"/>
    <w:rsid w:val="00F7071E"/>
    <w:rsid w:val="00F70D12"/>
    <w:rsid w:val="00F713EA"/>
    <w:rsid w:val="00F71709"/>
    <w:rsid w:val="00F71887"/>
    <w:rsid w:val="00F71926"/>
    <w:rsid w:val="00F71B4E"/>
    <w:rsid w:val="00F71D6E"/>
    <w:rsid w:val="00F721C2"/>
    <w:rsid w:val="00F7239F"/>
    <w:rsid w:val="00F72846"/>
    <w:rsid w:val="00F72C0A"/>
    <w:rsid w:val="00F735EF"/>
    <w:rsid w:val="00F73684"/>
    <w:rsid w:val="00F73CF3"/>
    <w:rsid w:val="00F73E00"/>
    <w:rsid w:val="00F73E6B"/>
    <w:rsid w:val="00F756A5"/>
    <w:rsid w:val="00F75718"/>
    <w:rsid w:val="00F75813"/>
    <w:rsid w:val="00F75DDA"/>
    <w:rsid w:val="00F76428"/>
    <w:rsid w:val="00F76914"/>
    <w:rsid w:val="00F769C0"/>
    <w:rsid w:val="00F76CD4"/>
    <w:rsid w:val="00F76CE3"/>
    <w:rsid w:val="00F76DDE"/>
    <w:rsid w:val="00F76F56"/>
    <w:rsid w:val="00F770B0"/>
    <w:rsid w:val="00F773E4"/>
    <w:rsid w:val="00F77463"/>
    <w:rsid w:val="00F77855"/>
    <w:rsid w:val="00F77B8F"/>
    <w:rsid w:val="00F77D0E"/>
    <w:rsid w:val="00F77E04"/>
    <w:rsid w:val="00F77FB9"/>
    <w:rsid w:val="00F801E1"/>
    <w:rsid w:val="00F801E6"/>
    <w:rsid w:val="00F80C65"/>
    <w:rsid w:val="00F814AB"/>
    <w:rsid w:val="00F81771"/>
    <w:rsid w:val="00F81852"/>
    <w:rsid w:val="00F81936"/>
    <w:rsid w:val="00F82078"/>
    <w:rsid w:val="00F82BDC"/>
    <w:rsid w:val="00F82FE4"/>
    <w:rsid w:val="00F83086"/>
    <w:rsid w:val="00F8311D"/>
    <w:rsid w:val="00F83581"/>
    <w:rsid w:val="00F8368E"/>
    <w:rsid w:val="00F83724"/>
    <w:rsid w:val="00F83CDF"/>
    <w:rsid w:val="00F83CE7"/>
    <w:rsid w:val="00F84153"/>
    <w:rsid w:val="00F84569"/>
    <w:rsid w:val="00F84670"/>
    <w:rsid w:val="00F8486F"/>
    <w:rsid w:val="00F84899"/>
    <w:rsid w:val="00F84BFF"/>
    <w:rsid w:val="00F84FB0"/>
    <w:rsid w:val="00F850E1"/>
    <w:rsid w:val="00F85155"/>
    <w:rsid w:val="00F856B9"/>
    <w:rsid w:val="00F860B4"/>
    <w:rsid w:val="00F860F4"/>
    <w:rsid w:val="00F862BF"/>
    <w:rsid w:val="00F8636E"/>
    <w:rsid w:val="00F864D6"/>
    <w:rsid w:val="00F867B0"/>
    <w:rsid w:val="00F86B85"/>
    <w:rsid w:val="00F86CA8"/>
    <w:rsid w:val="00F8748A"/>
    <w:rsid w:val="00F87877"/>
    <w:rsid w:val="00F878B9"/>
    <w:rsid w:val="00F87F47"/>
    <w:rsid w:val="00F9028C"/>
    <w:rsid w:val="00F904C7"/>
    <w:rsid w:val="00F908B4"/>
    <w:rsid w:val="00F9098D"/>
    <w:rsid w:val="00F90B7B"/>
    <w:rsid w:val="00F90BB8"/>
    <w:rsid w:val="00F90F35"/>
    <w:rsid w:val="00F9187E"/>
    <w:rsid w:val="00F91BB3"/>
    <w:rsid w:val="00F91CF2"/>
    <w:rsid w:val="00F91E7C"/>
    <w:rsid w:val="00F92630"/>
    <w:rsid w:val="00F92A8B"/>
    <w:rsid w:val="00F92B04"/>
    <w:rsid w:val="00F92B5D"/>
    <w:rsid w:val="00F92E29"/>
    <w:rsid w:val="00F92FC0"/>
    <w:rsid w:val="00F93093"/>
    <w:rsid w:val="00F931D1"/>
    <w:rsid w:val="00F93445"/>
    <w:rsid w:val="00F939E6"/>
    <w:rsid w:val="00F93B9A"/>
    <w:rsid w:val="00F93D39"/>
    <w:rsid w:val="00F94033"/>
    <w:rsid w:val="00F940F0"/>
    <w:rsid w:val="00F94245"/>
    <w:rsid w:val="00F94679"/>
    <w:rsid w:val="00F94C76"/>
    <w:rsid w:val="00F95789"/>
    <w:rsid w:val="00F95BA4"/>
    <w:rsid w:val="00F95C66"/>
    <w:rsid w:val="00F95D82"/>
    <w:rsid w:val="00F95F14"/>
    <w:rsid w:val="00F96109"/>
    <w:rsid w:val="00F96245"/>
    <w:rsid w:val="00F965B9"/>
    <w:rsid w:val="00F96713"/>
    <w:rsid w:val="00F967E9"/>
    <w:rsid w:val="00F96939"/>
    <w:rsid w:val="00F9704B"/>
    <w:rsid w:val="00F97235"/>
    <w:rsid w:val="00F97613"/>
    <w:rsid w:val="00FA03CA"/>
    <w:rsid w:val="00FA042D"/>
    <w:rsid w:val="00FA061D"/>
    <w:rsid w:val="00FA08BF"/>
    <w:rsid w:val="00FA0C62"/>
    <w:rsid w:val="00FA18FE"/>
    <w:rsid w:val="00FA1E7B"/>
    <w:rsid w:val="00FA1ECB"/>
    <w:rsid w:val="00FA2120"/>
    <w:rsid w:val="00FA21D7"/>
    <w:rsid w:val="00FA2732"/>
    <w:rsid w:val="00FA30C1"/>
    <w:rsid w:val="00FA3160"/>
    <w:rsid w:val="00FA3164"/>
    <w:rsid w:val="00FA39A4"/>
    <w:rsid w:val="00FA39AF"/>
    <w:rsid w:val="00FA3E20"/>
    <w:rsid w:val="00FA4368"/>
    <w:rsid w:val="00FA4BEF"/>
    <w:rsid w:val="00FA4D22"/>
    <w:rsid w:val="00FA4E91"/>
    <w:rsid w:val="00FA5103"/>
    <w:rsid w:val="00FA538A"/>
    <w:rsid w:val="00FA539B"/>
    <w:rsid w:val="00FA5A6C"/>
    <w:rsid w:val="00FA5B20"/>
    <w:rsid w:val="00FA5D31"/>
    <w:rsid w:val="00FA6697"/>
    <w:rsid w:val="00FA67AC"/>
    <w:rsid w:val="00FA67F7"/>
    <w:rsid w:val="00FA6B34"/>
    <w:rsid w:val="00FA6E91"/>
    <w:rsid w:val="00FA7080"/>
    <w:rsid w:val="00FA7AB9"/>
    <w:rsid w:val="00FA7D3B"/>
    <w:rsid w:val="00FA7F9E"/>
    <w:rsid w:val="00FB0137"/>
    <w:rsid w:val="00FB01D7"/>
    <w:rsid w:val="00FB03E8"/>
    <w:rsid w:val="00FB041C"/>
    <w:rsid w:val="00FB05C6"/>
    <w:rsid w:val="00FB0BDC"/>
    <w:rsid w:val="00FB0F3C"/>
    <w:rsid w:val="00FB10BB"/>
    <w:rsid w:val="00FB10F2"/>
    <w:rsid w:val="00FB1402"/>
    <w:rsid w:val="00FB1890"/>
    <w:rsid w:val="00FB2B8C"/>
    <w:rsid w:val="00FB2D9E"/>
    <w:rsid w:val="00FB338D"/>
    <w:rsid w:val="00FB34A8"/>
    <w:rsid w:val="00FB362B"/>
    <w:rsid w:val="00FB3A44"/>
    <w:rsid w:val="00FB4186"/>
    <w:rsid w:val="00FB41C9"/>
    <w:rsid w:val="00FB422C"/>
    <w:rsid w:val="00FB4338"/>
    <w:rsid w:val="00FB4800"/>
    <w:rsid w:val="00FB4C5F"/>
    <w:rsid w:val="00FB4FCD"/>
    <w:rsid w:val="00FB52F8"/>
    <w:rsid w:val="00FB5374"/>
    <w:rsid w:val="00FB551E"/>
    <w:rsid w:val="00FB5667"/>
    <w:rsid w:val="00FB59A9"/>
    <w:rsid w:val="00FB5C63"/>
    <w:rsid w:val="00FB6B54"/>
    <w:rsid w:val="00FB7566"/>
    <w:rsid w:val="00FB772E"/>
    <w:rsid w:val="00FB7B82"/>
    <w:rsid w:val="00FB7C7B"/>
    <w:rsid w:val="00FB7FB0"/>
    <w:rsid w:val="00FB7FC9"/>
    <w:rsid w:val="00FC05BA"/>
    <w:rsid w:val="00FC0932"/>
    <w:rsid w:val="00FC096E"/>
    <w:rsid w:val="00FC1B9C"/>
    <w:rsid w:val="00FC1BD2"/>
    <w:rsid w:val="00FC2198"/>
    <w:rsid w:val="00FC2686"/>
    <w:rsid w:val="00FC26C9"/>
    <w:rsid w:val="00FC2A9A"/>
    <w:rsid w:val="00FC2D52"/>
    <w:rsid w:val="00FC2E63"/>
    <w:rsid w:val="00FC31E9"/>
    <w:rsid w:val="00FC34A0"/>
    <w:rsid w:val="00FC3652"/>
    <w:rsid w:val="00FC3A6D"/>
    <w:rsid w:val="00FC3AA2"/>
    <w:rsid w:val="00FC3D05"/>
    <w:rsid w:val="00FC4209"/>
    <w:rsid w:val="00FC4397"/>
    <w:rsid w:val="00FC441E"/>
    <w:rsid w:val="00FC4C79"/>
    <w:rsid w:val="00FC54D4"/>
    <w:rsid w:val="00FC577F"/>
    <w:rsid w:val="00FC5E20"/>
    <w:rsid w:val="00FC5FCF"/>
    <w:rsid w:val="00FC605F"/>
    <w:rsid w:val="00FC653D"/>
    <w:rsid w:val="00FC65E5"/>
    <w:rsid w:val="00FC6798"/>
    <w:rsid w:val="00FC67F0"/>
    <w:rsid w:val="00FC6A8C"/>
    <w:rsid w:val="00FC6F92"/>
    <w:rsid w:val="00FC7081"/>
    <w:rsid w:val="00FC7273"/>
    <w:rsid w:val="00FC72C5"/>
    <w:rsid w:val="00FC7345"/>
    <w:rsid w:val="00FC7771"/>
    <w:rsid w:val="00FC7867"/>
    <w:rsid w:val="00FC7C66"/>
    <w:rsid w:val="00FD002E"/>
    <w:rsid w:val="00FD066C"/>
    <w:rsid w:val="00FD066F"/>
    <w:rsid w:val="00FD068C"/>
    <w:rsid w:val="00FD069F"/>
    <w:rsid w:val="00FD0BD3"/>
    <w:rsid w:val="00FD1279"/>
    <w:rsid w:val="00FD13C2"/>
    <w:rsid w:val="00FD18AB"/>
    <w:rsid w:val="00FD1972"/>
    <w:rsid w:val="00FD1A8B"/>
    <w:rsid w:val="00FD1CD0"/>
    <w:rsid w:val="00FD1E4C"/>
    <w:rsid w:val="00FD23FF"/>
    <w:rsid w:val="00FD25D9"/>
    <w:rsid w:val="00FD2619"/>
    <w:rsid w:val="00FD27A1"/>
    <w:rsid w:val="00FD2D3A"/>
    <w:rsid w:val="00FD2E65"/>
    <w:rsid w:val="00FD2EE8"/>
    <w:rsid w:val="00FD318C"/>
    <w:rsid w:val="00FD36C7"/>
    <w:rsid w:val="00FD4011"/>
    <w:rsid w:val="00FD4141"/>
    <w:rsid w:val="00FD418D"/>
    <w:rsid w:val="00FD4563"/>
    <w:rsid w:val="00FD4647"/>
    <w:rsid w:val="00FD4663"/>
    <w:rsid w:val="00FD46FA"/>
    <w:rsid w:val="00FD4825"/>
    <w:rsid w:val="00FD4B1A"/>
    <w:rsid w:val="00FD4DF7"/>
    <w:rsid w:val="00FD51D2"/>
    <w:rsid w:val="00FD5281"/>
    <w:rsid w:val="00FD5296"/>
    <w:rsid w:val="00FD5427"/>
    <w:rsid w:val="00FD57FF"/>
    <w:rsid w:val="00FD5B07"/>
    <w:rsid w:val="00FD5B38"/>
    <w:rsid w:val="00FD5ED1"/>
    <w:rsid w:val="00FD5F93"/>
    <w:rsid w:val="00FD6EA6"/>
    <w:rsid w:val="00FD724B"/>
    <w:rsid w:val="00FD7708"/>
    <w:rsid w:val="00FD770B"/>
    <w:rsid w:val="00FD7C3A"/>
    <w:rsid w:val="00FD7F7A"/>
    <w:rsid w:val="00FE0281"/>
    <w:rsid w:val="00FE02A2"/>
    <w:rsid w:val="00FE042D"/>
    <w:rsid w:val="00FE042E"/>
    <w:rsid w:val="00FE04D1"/>
    <w:rsid w:val="00FE0707"/>
    <w:rsid w:val="00FE0766"/>
    <w:rsid w:val="00FE08ED"/>
    <w:rsid w:val="00FE0E40"/>
    <w:rsid w:val="00FE1572"/>
    <w:rsid w:val="00FE1B5D"/>
    <w:rsid w:val="00FE1BB1"/>
    <w:rsid w:val="00FE2817"/>
    <w:rsid w:val="00FE29A5"/>
    <w:rsid w:val="00FE2A84"/>
    <w:rsid w:val="00FE2BD6"/>
    <w:rsid w:val="00FE3655"/>
    <w:rsid w:val="00FE4336"/>
    <w:rsid w:val="00FE43B8"/>
    <w:rsid w:val="00FE4531"/>
    <w:rsid w:val="00FE467B"/>
    <w:rsid w:val="00FE4B40"/>
    <w:rsid w:val="00FE4DC9"/>
    <w:rsid w:val="00FE4EBD"/>
    <w:rsid w:val="00FE5042"/>
    <w:rsid w:val="00FE50AD"/>
    <w:rsid w:val="00FE5169"/>
    <w:rsid w:val="00FE563A"/>
    <w:rsid w:val="00FE5871"/>
    <w:rsid w:val="00FE5BD5"/>
    <w:rsid w:val="00FE5C12"/>
    <w:rsid w:val="00FE5FE7"/>
    <w:rsid w:val="00FE6055"/>
    <w:rsid w:val="00FE74DF"/>
    <w:rsid w:val="00FE7677"/>
    <w:rsid w:val="00FE7BCE"/>
    <w:rsid w:val="00FE7D58"/>
    <w:rsid w:val="00FE7EF4"/>
    <w:rsid w:val="00FF01C7"/>
    <w:rsid w:val="00FF0453"/>
    <w:rsid w:val="00FF072E"/>
    <w:rsid w:val="00FF0C56"/>
    <w:rsid w:val="00FF0C71"/>
    <w:rsid w:val="00FF0CA5"/>
    <w:rsid w:val="00FF148A"/>
    <w:rsid w:val="00FF20BE"/>
    <w:rsid w:val="00FF2573"/>
    <w:rsid w:val="00FF2611"/>
    <w:rsid w:val="00FF26F0"/>
    <w:rsid w:val="00FF36B8"/>
    <w:rsid w:val="00FF3CF4"/>
    <w:rsid w:val="00FF4095"/>
    <w:rsid w:val="00FF40A9"/>
    <w:rsid w:val="00FF4100"/>
    <w:rsid w:val="00FF42C1"/>
    <w:rsid w:val="00FF4A84"/>
    <w:rsid w:val="00FF4C73"/>
    <w:rsid w:val="00FF5AEB"/>
    <w:rsid w:val="00FF5C60"/>
    <w:rsid w:val="00FF5E1C"/>
    <w:rsid w:val="00FF69BE"/>
    <w:rsid w:val="00FF6C48"/>
    <w:rsid w:val="00FF6D1C"/>
    <w:rsid w:val="00FF6D79"/>
    <w:rsid w:val="00FF6DBF"/>
    <w:rsid w:val="00FF756C"/>
    <w:rsid w:val="00FF7A06"/>
    <w:rsid w:val="00FF7C23"/>
    <w:rsid w:val="00FF7D38"/>
    <w:rsid w:val="00FF7EDD"/>
    <w:rsid w:val="00FF7FD7"/>
    <w:rsid w:val="01320B37"/>
    <w:rsid w:val="0152CA9F"/>
    <w:rsid w:val="01615EB7"/>
    <w:rsid w:val="018BA7E2"/>
    <w:rsid w:val="01912ED3"/>
    <w:rsid w:val="022FC57E"/>
    <w:rsid w:val="0240B2E3"/>
    <w:rsid w:val="0240B2E3"/>
    <w:rsid w:val="02456367"/>
    <w:rsid w:val="02C42B82"/>
    <w:rsid w:val="03263C23"/>
    <w:rsid w:val="037B565E"/>
    <w:rsid w:val="03AE0534"/>
    <w:rsid w:val="03B5EE00"/>
    <w:rsid w:val="03B5EE00"/>
    <w:rsid w:val="03B9FAB8"/>
    <w:rsid w:val="041315C1"/>
    <w:rsid w:val="041B7A22"/>
    <w:rsid w:val="04453486"/>
    <w:rsid w:val="04BC2099"/>
    <w:rsid w:val="05185873"/>
    <w:rsid w:val="05CD9BA5"/>
    <w:rsid w:val="0603B47E"/>
    <w:rsid w:val="06092BD9"/>
    <w:rsid w:val="063A3648"/>
    <w:rsid w:val="0655CD14"/>
    <w:rsid w:val="066E97CB"/>
    <w:rsid w:val="06BFC01B"/>
    <w:rsid w:val="06FADD21"/>
    <w:rsid w:val="07094973"/>
    <w:rsid w:val="071966CB"/>
    <w:rsid w:val="0751EC1E"/>
    <w:rsid w:val="07D155C7"/>
    <w:rsid w:val="07E8AEB7"/>
    <w:rsid w:val="08377DFE"/>
    <w:rsid w:val="08B881F1"/>
    <w:rsid w:val="092B43D7"/>
    <w:rsid w:val="092F1C48"/>
    <w:rsid w:val="093A46B1"/>
    <w:rsid w:val="099CD7CA"/>
    <w:rsid w:val="09A89125"/>
    <w:rsid w:val="0AA69BFE"/>
    <w:rsid w:val="0AD23238"/>
    <w:rsid w:val="0AD23238"/>
    <w:rsid w:val="0AECA34B"/>
    <w:rsid w:val="0AFCF3AB"/>
    <w:rsid w:val="0B02B521"/>
    <w:rsid w:val="0B02D13A"/>
    <w:rsid w:val="0B6BD5D0"/>
    <w:rsid w:val="0B6E3211"/>
    <w:rsid w:val="0B95A75C"/>
    <w:rsid w:val="0B9BEBF8"/>
    <w:rsid w:val="0BBA488A"/>
    <w:rsid w:val="0BD2890B"/>
    <w:rsid w:val="0BE28393"/>
    <w:rsid w:val="0C311991"/>
    <w:rsid w:val="0CFEED19"/>
    <w:rsid w:val="0D4A24E8"/>
    <w:rsid w:val="0D4DA962"/>
    <w:rsid w:val="0D5216DE"/>
    <w:rsid w:val="0DED115C"/>
    <w:rsid w:val="0E601CC6"/>
    <w:rsid w:val="0E601CC6"/>
    <w:rsid w:val="0E6E34B4"/>
    <w:rsid w:val="0EDB7D26"/>
    <w:rsid w:val="0F51B8AA"/>
    <w:rsid w:val="0F6D8078"/>
    <w:rsid w:val="0FC7A337"/>
    <w:rsid w:val="0FD11B4E"/>
    <w:rsid w:val="104DD07D"/>
    <w:rsid w:val="1056DC64"/>
    <w:rsid w:val="1056DC64"/>
    <w:rsid w:val="10A32CC4"/>
    <w:rsid w:val="11021DDC"/>
    <w:rsid w:val="1118CF4E"/>
    <w:rsid w:val="11F48104"/>
    <w:rsid w:val="122CF9A4"/>
    <w:rsid w:val="1279AB25"/>
    <w:rsid w:val="127A33BE"/>
    <w:rsid w:val="12BB1545"/>
    <w:rsid w:val="12F1716E"/>
    <w:rsid w:val="131CF491"/>
    <w:rsid w:val="1352820D"/>
    <w:rsid w:val="135D3849"/>
    <w:rsid w:val="135D3849"/>
    <w:rsid w:val="13668F29"/>
    <w:rsid w:val="13825693"/>
    <w:rsid w:val="13A5CFD3"/>
    <w:rsid w:val="13BE3DDF"/>
    <w:rsid w:val="13D4FF9D"/>
    <w:rsid w:val="13EF17A1"/>
    <w:rsid w:val="142BE028"/>
    <w:rsid w:val="1457A981"/>
    <w:rsid w:val="146DB64A"/>
    <w:rsid w:val="148D13C2"/>
    <w:rsid w:val="14F33AA1"/>
    <w:rsid w:val="151E7B4A"/>
    <w:rsid w:val="15316930"/>
    <w:rsid w:val="15475751"/>
    <w:rsid w:val="1599A5E8"/>
    <w:rsid w:val="15B1F148"/>
    <w:rsid w:val="15D76C4B"/>
    <w:rsid w:val="15DDCAFF"/>
    <w:rsid w:val="16004340"/>
    <w:rsid w:val="1697CC84"/>
    <w:rsid w:val="16EA33D6"/>
    <w:rsid w:val="171AAC9D"/>
    <w:rsid w:val="174F5D0B"/>
    <w:rsid w:val="1781CDE5"/>
    <w:rsid w:val="17AF3165"/>
    <w:rsid w:val="180B5837"/>
    <w:rsid w:val="1893DF25"/>
    <w:rsid w:val="18AB9C74"/>
    <w:rsid w:val="1913AA1D"/>
    <w:rsid w:val="19322270"/>
    <w:rsid w:val="1934B08B"/>
    <w:rsid w:val="19385B44"/>
    <w:rsid w:val="1A2FD06A"/>
    <w:rsid w:val="1A47B5C3"/>
    <w:rsid w:val="1A7107AE"/>
    <w:rsid w:val="1A8D94AD"/>
    <w:rsid w:val="1A99239F"/>
    <w:rsid w:val="1A9B3085"/>
    <w:rsid w:val="1AF2F40C"/>
    <w:rsid w:val="1B5886EB"/>
    <w:rsid w:val="1B678C11"/>
    <w:rsid w:val="1BBB974A"/>
    <w:rsid w:val="1C2AAE64"/>
    <w:rsid w:val="1CA4D120"/>
    <w:rsid w:val="1CBC7BF7"/>
    <w:rsid w:val="1D561DA2"/>
    <w:rsid w:val="1D645E97"/>
    <w:rsid w:val="1DA7E25C"/>
    <w:rsid w:val="1DEAFC24"/>
    <w:rsid w:val="1DF566F9"/>
    <w:rsid w:val="1F3986D1"/>
    <w:rsid w:val="1FAFA237"/>
    <w:rsid w:val="1FAFA237"/>
    <w:rsid w:val="1FEC8E15"/>
    <w:rsid w:val="1FFBA011"/>
    <w:rsid w:val="20826CD7"/>
    <w:rsid w:val="209A9D66"/>
    <w:rsid w:val="21090B1F"/>
    <w:rsid w:val="2132169E"/>
    <w:rsid w:val="21667B20"/>
    <w:rsid w:val="21965D6A"/>
    <w:rsid w:val="225E729A"/>
    <w:rsid w:val="22C253C2"/>
    <w:rsid w:val="22F9A8AC"/>
    <w:rsid w:val="23327D7A"/>
    <w:rsid w:val="234CDFD2"/>
    <w:rsid w:val="239C43F9"/>
    <w:rsid w:val="2412A48C"/>
    <w:rsid w:val="2416C7C6"/>
    <w:rsid w:val="243F11FD"/>
    <w:rsid w:val="24462EC4"/>
    <w:rsid w:val="24F021D4"/>
    <w:rsid w:val="24F15FDB"/>
    <w:rsid w:val="25700026"/>
    <w:rsid w:val="2595BCE0"/>
    <w:rsid w:val="259C65F5"/>
    <w:rsid w:val="25DF1F9E"/>
    <w:rsid w:val="25E48A1E"/>
    <w:rsid w:val="26B09699"/>
    <w:rsid w:val="26DCDDC3"/>
    <w:rsid w:val="26F9844F"/>
    <w:rsid w:val="271EB37F"/>
    <w:rsid w:val="27750F1A"/>
    <w:rsid w:val="278C3E7C"/>
    <w:rsid w:val="27BE7E0B"/>
    <w:rsid w:val="27D69FEC"/>
    <w:rsid w:val="2830B5F4"/>
    <w:rsid w:val="28F67A08"/>
    <w:rsid w:val="28FB813A"/>
    <w:rsid w:val="2975902B"/>
    <w:rsid w:val="297980F3"/>
    <w:rsid w:val="297BD419"/>
    <w:rsid w:val="299FDD78"/>
    <w:rsid w:val="29AB50C5"/>
    <w:rsid w:val="29B0ED21"/>
    <w:rsid w:val="29B21BE2"/>
    <w:rsid w:val="2B2043CA"/>
    <w:rsid w:val="2B4A3F2B"/>
    <w:rsid w:val="2B4A3F2B"/>
    <w:rsid w:val="2B4A4304"/>
    <w:rsid w:val="2B4B4716"/>
    <w:rsid w:val="2C185124"/>
    <w:rsid w:val="2C185124"/>
    <w:rsid w:val="2C355159"/>
    <w:rsid w:val="2C554BF1"/>
    <w:rsid w:val="2C8040D1"/>
    <w:rsid w:val="2C849FCC"/>
    <w:rsid w:val="2C8D74CA"/>
    <w:rsid w:val="2CC5E43B"/>
    <w:rsid w:val="2CDCB852"/>
    <w:rsid w:val="2D254529"/>
    <w:rsid w:val="2D7CE6D0"/>
    <w:rsid w:val="2D93C938"/>
    <w:rsid w:val="2DC8DE6C"/>
    <w:rsid w:val="2E777987"/>
    <w:rsid w:val="2EAA375F"/>
    <w:rsid w:val="2EBA2571"/>
    <w:rsid w:val="2ED212FA"/>
    <w:rsid w:val="2EDC64F6"/>
    <w:rsid w:val="2F035813"/>
    <w:rsid w:val="2F075734"/>
    <w:rsid w:val="2F0F38D7"/>
    <w:rsid w:val="2F440582"/>
    <w:rsid w:val="2F4D9843"/>
    <w:rsid w:val="2F5C9DBA"/>
    <w:rsid w:val="2F896401"/>
    <w:rsid w:val="2F9EF7F9"/>
    <w:rsid w:val="2FABC225"/>
    <w:rsid w:val="2FC7DB1F"/>
    <w:rsid w:val="2FF2A36F"/>
    <w:rsid w:val="30343AA1"/>
    <w:rsid w:val="30343AA1"/>
    <w:rsid w:val="30B0C1DF"/>
    <w:rsid w:val="30B2F499"/>
    <w:rsid w:val="31086E39"/>
    <w:rsid w:val="312732A8"/>
    <w:rsid w:val="3161D780"/>
    <w:rsid w:val="31DA8D00"/>
    <w:rsid w:val="32064465"/>
    <w:rsid w:val="3230585E"/>
    <w:rsid w:val="324DFCEE"/>
    <w:rsid w:val="32A8B7AB"/>
    <w:rsid w:val="32CA2A66"/>
    <w:rsid w:val="32FBFB8A"/>
    <w:rsid w:val="3308A0BC"/>
    <w:rsid w:val="33B037AE"/>
    <w:rsid w:val="34277D10"/>
    <w:rsid w:val="34EFAF9A"/>
    <w:rsid w:val="361978E4"/>
    <w:rsid w:val="368C735D"/>
    <w:rsid w:val="36B8A89B"/>
    <w:rsid w:val="3721C8ED"/>
    <w:rsid w:val="37F538DA"/>
    <w:rsid w:val="388A585C"/>
    <w:rsid w:val="389EE1CE"/>
    <w:rsid w:val="38CD4627"/>
    <w:rsid w:val="3918723D"/>
    <w:rsid w:val="39489480"/>
    <w:rsid w:val="3969F866"/>
    <w:rsid w:val="3A19015A"/>
    <w:rsid w:val="3A241E4C"/>
    <w:rsid w:val="3A452A7D"/>
    <w:rsid w:val="3AABC7D7"/>
    <w:rsid w:val="3AE68B4F"/>
    <w:rsid w:val="3B2FF751"/>
    <w:rsid w:val="3B3189FB"/>
    <w:rsid w:val="3B3791D6"/>
    <w:rsid w:val="3B4D916A"/>
    <w:rsid w:val="3B4DF8B6"/>
    <w:rsid w:val="3BB60F63"/>
    <w:rsid w:val="3BDB421E"/>
    <w:rsid w:val="3C49C225"/>
    <w:rsid w:val="3C731AE2"/>
    <w:rsid w:val="3C8D140B"/>
    <w:rsid w:val="3C99D35D"/>
    <w:rsid w:val="3D2F6DC0"/>
    <w:rsid w:val="3D6593C9"/>
    <w:rsid w:val="3D7D559C"/>
    <w:rsid w:val="3D9FCF3C"/>
    <w:rsid w:val="3E9FE2C5"/>
    <w:rsid w:val="3EFBA330"/>
    <w:rsid w:val="3F3D5322"/>
    <w:rsid w:val="3F58A2A8"/>
    <w:rsid w:val="3FDA7A20"/>
    <w:rsid w:val="4039521F"/>
    <w:rsid w:val="4042E99A"/>
    <w:rsid w:val="405CB460"/>
    <w:rsid w:val="40F79F2E"/>
    <w:rsid w:val="40FEDB5F"/>
    <w:rsid w:val="4109E3EC"/>
    <w:rsid w:val="41B9FBEC"/>
    <w:rsid w:val="41DCFDD7"/>
    <w:rsid w:val="420618AB"/>
    <w:rsid w:val="420618AB"/>
    <w:rsid w:val="42687FEA"/>
    <w:rsid w:val="42842ADC"/>
    <w:rsid w:val="42F22B47"/>
    <w:rsid w:val="432BC61B"/>
    <w:rsid w:val="4344BA49"/>
    <w:rsid w:val="43603A0D"/>
    <w:rsid w:val="4389DC7F"/>
    <w:rsid w:val="43910FF4"/>
    <w:rsid w:val="43DC9CB7"/>
    <w:rsid w:val="43F8D261"/>
    <w:rsid w:val="43F8D261"/>
    <w:rsid w:val="44428484"/>
    <w:rsid w:val="44527CC9"/>
    <w:rsid w:val="4467BC4F"/>
    <w:rsid w:val="4573707E"/>
    <w:rsid w:val="457CC22F"/>
    <w:rsid w:val="45C1CBF6"/>
    <w:rsid w:val="4656BC16"/>
    <w:rsid w:val="46629D03"/>
    <w:rsid w:val="466B9C8C"/>
    <w:rsid w:val="46807076"/>
    <w:rsid w:val="46C2ABDF"/>
    <w:rsid w:val="46C2C01F"/>
    <w:rsid w:val="4709B360"/>
    <w:rsid w:val="48004508"/>
    <w:rsid w:val="4806D81E"/>
    <w:rsid w:val="484844C6"/>
    <w:rsid w:val="4863D8EA"/>
    <w:rsid w:val="4881D3C3"/>
    <w:rsid w:val="48C53967"/>
    <w:rsid w:val="4917D532"/>
    <w:rsid w:val="49A604A2"/>
    <w:rsid w:val="49BC9400"/>
    <w:rsid w:val="49E0B375"/>
    <w:rsid w:val="49E90A0A"/>
    <w:rsid w:val="49FA7D3D"/>
    <w:rsid w:val="4A2F412D"/>
    <w:rsid w:val="4A74AB9C"/>
    <w:rsid w:val="4A9BA51E"/>
    <w:rsid w:val="4ABB1FA4"/>
    <w:rsid w:val="4B42EC94"/>
    <w:rsid w:val="4B4BD1C4"/>
    <w:rsid w:val="4B4D1467"/>
    <w:rsid w:val="4BA09C87"/>
    <w:rsid w:val="4C4B389D"/>
    <w:rsid w:val="4D0C6C1E"/>
    <w:rsid w:val="4D17BB34"/>
    <w:rsid w:val="4DD68790"/>
    <w:rsid w:val="4E0E615F"/>
    <w:rsid w:val="4E0E615F"/>
    <w:rsid w:val="4E5F39D2"/>
    <w:rsid w:val="4EAC077D"/>
    <w:rsid w:val="4EC52718"/>
    <w:rsid w:val="4EC5FD7D"/>
    <w:rsid w:val="4EC8E4A1"/>
    <w:rsid w:val="4EF19DD8"/>
    <w:rsid w:val="4F19BD3F"/>
    <w:rsid w:val="4F508271"/>
    <w:rsid w:val="4F6C7778"/>
    <w:rsid w:val="4F8DA9BB"/>
    <w:rsid w:val="4FC07EE3"/>
    <w:rsid w:val="5010D9F9"/>
    <w:rsid w:val="503136A0"/>
    <w:rsid w:val="50BF5820"/>
    <w:rsid w:val="50C209CB"/>
    <w:rsid w:val="50D0999B"/>
    <w:rsid w:val="51129259"/>
    <w:rsid w:val="5135EFEC"/>
    <w:rsid w:val="515C5F5C"/>
    <w:rsid w:val="5170126A"/>
    <w:rsid w:val="51937BD6"/>
    <w:rsid w:val="519CBB53"/>
    <w:rsid w:val="51F3D410"/>
    <w:rsid w:val="5247684C"/>
    <w:rsid w:val="5247684C"/>
    <w:rsid w:val="52AECDBF"/>
    <w:rsid w:val="52CB52EF"/>
    <w:rsid w:val="52DD35D4"/>
    <w:rsid w:val="52DEC10A"/>
    <w:rsid w:val="531F066E"/>
    <w:rsid w:val="53314463"/>
    <w:rsid w:val="53492EA1"/>
    <w:rsid w:val="53F1F2FB"/>
    <w:rsid w:val="53FD74E7"/>
    <w:rsid w:val="543F4593"/>
    <w:rsid w:val="550ACBCC"/>
    <w:rsid w:val="55E84056"/>
    <w:rsid w:val="56033333"/>
    <w:rsid w:val="5610F6E2"/>
    <w:rsid w:val="5670017A"/>
    <w:rsid w:val="567E4DD5"/>
    <w:rsid w:val="56CE6258"/>
    <w:rsid w:val="56E55A0F"/>
    <w:rsid w:val="57384B80"/>
    <w:rsid w:val="57656218"/>
    <w:rsid w:val="57702441"/>
    <w:rsid w:val="57CD49C5"/>
    <w:rsid w:val="581DFD40"/>
    <w:rsid w:val="581E8245"/>
    <w:rsid w:val="587AB440"/>
    <w:rsid w:val="58A6E386"/>
    <w:rsid w:val="59365C7C"/>
    <w:rsid w:val="5949E83A"/>
    <w:rsid w:val="59AC4653"/>
    <w:rsid w:val="5A4E1851"/>
    <w:rsid w:val="5A99AD43"/>
    <w:rsid w:val="5AAF75FA"/>
    <w:rsid w:val="5B03847F"/>
    <w:rsid w:val="5BAD683A"/>
    <w:rsid w:val="5C360B32"/>
    <w:rsid w:val="5CD8609D"/>
    <w:rsid w:val="5DB58B32"/>
    <w:rsid w:val="5DB58B32"/>
    <w:rsid w:val="5DD21F17"/>
    <w:rsid w:val="5E238F90"/>
    <w:rsid w:val="5E311139"/>
    <w:rsid w:val="5E56173B"/>
    <w:rsid w:val="5E64FC13"/>
    <w:rsid w:val="5E989C64"/>
    <w:rsid w:val="5F0A3C9F"/>
    <w:rsid w:val="5F725047"/>
    <w:rsid w:val="603F6F4A"/>
    <w:rsid w:val="61126E0D"/>
    <w:rsid w:val="61175F19"/>
    <w:rsid w:val="61175F19"/>
    <w:rsid w:val="61915CFC"/>
    <w:rsid w:val="62749ED4"/>
    <w:rsid w:val="62A38973"/>
    <w:rsid w:val="62BFD6EC"/>
    <w:rsid w:val="62DC15D1"/>
    <w:rsid w:val="63B6B1D0"/>
    <w:rsid w:val="63CC89A1"/>
    <w:rsid w:val="64F43DA2"/>
    <w:rsid w:val="6508FCFD"/>
    <w:rsid w:val="652EDC38"/>
    <w:rsid w:val="653D15A4"/>
    <w:rsid w:val="657A5610"/>
    <w:rsid w:val="659BAC33"/>
    <w:rsid w:val="65BA37B7"/>
    <w:rsid w:val="65DCFCAA"/>
    <w:rsid w:val="6610005A"/>
    <w:rsid w:val="66705D4A"/>
    <w:rsid w:val="66AB2D7D"/>
    <w:rsid w:val="66BF094C"/>
    <w:rsid w:val="66F48C22"/>
    <w:rsid w:val="67E8A949"/>
    <w:rsid w:val="67F05B35"/>
    <w:rsid w:val="6829C561"/>
    <w:rsid w:val="6842067D"/>
    <w:rsid w:val="6863FC7E"/>
    <w:rsid w:val="686B7BDC"/>
    <w:rsid w:val="69220EE8"/>
    <w:rsid w:val="69220EE8"/>
    <w:rsid w:val="69B8F1BC"/>
    <w:rsid w:val="69C5D822"/>
    <w:rsid w:val="69DF6037"/>
    <w:rsid w:val="6A405304"/>
    <w:rsid w:val="6A44D5DE"/>
    <w:rsid w:val="6A4AF3BF"/>
    <w:rsid w:val="6A8DE723"/>
    <w:rsid w:val="6ABB41EB"/>
    <w:rsid w:val="6ABB41EB"/>
    <w:rsid w:val="6B4EB318"/>
    <w:rsid w:val="6B99FA06"/>
    <w:rsid w:val="6B9B025C"/>
    <w:rsid w:val="6BA87C35"/>
    <w:rsid w:val="6BD16271"/>
    <w:rsid w:val="6C1CEEEA"/>
    <w:rsid w:val="6C2B0681"/>
    <w:rsid w:val="6C369985"/>
    <w:rsid w:val="6C8015C7"/>
    <w:rsid w:val="6CE4AC2A"/>
    <w:rsid w:val="6D45FE8D"/>
    <w:rsid w:val="6D79CED7"/>
    <w:rsid w:val="6D9F3A7D"/>
    <w:rsid w:val="6E366EAC"/>
    <w:rsid w:val="6E45F726"/>
    <w:rsid w:val="6F64895E"/>
    <w:rsid w:val="6F8326EE"/>
    <w:rsid w:val="7016F584"/>
    <w:rsid w:val="702D634F"/>
    <w:rsid w:val="702D634F"/>
    <w:rsid w:val="703A8EBE"/>
    <w:rsid w:val="70E94B38"/>
    <w:rsid w:val="71476036"/>
    <w:rsid w:val="714E847E"/>
    <w:rsid w:val="715E2746"/>
    <w:rsid w:val="72666EF5"/>
    <w:rsid w:val="72E0917C"/>
    <w:rsid w:val="7332E2B5"/>
    <w:rsid w:val="73470A19"/>
    <w:rsid w:val="73B98A2B"/>
    <w:rsid w:val="73BDFFD8"/>
    <w:rsid w:val="73EEC05E"/>
    <w:rsid w:val="74041045"/>
    <w:rsid w:val="744D117E"/>
    <w:rsid w:val="74886D56"/>
    <w:rsid w:val="748946F7"/>
    <w:rsid w:val="74E99174"/>
    <w:rsid w:val="75D80C19"/>
    <w:rsid w:val="761CF205"/>
    <w:rsid w:val="76B9AFA9"/>
    <w:rsid w:val="76B9D72D"/>
    <w:rsid w:val="76B9D72D"/>
    <w:rsid w:val="76D49927"/>
    <w:rsid w:val="778B7DAD"/>
    <w:rsid w:val="77A555A4"/>
    <w:rsid w:val="77B30106"/>
    <w:rsid w:val="77C860DF"/>
    <w:rsid w:val="780EE9CB"/>
    <w:rsid w:val="784D56C8"/>
    <w:rsid w:val="787B6F8C"/>
    <w:rsid w:val="78CFC296"/>
    <w:rsid w:val="78E2E27B"/>
    <w:rsid w:val="7900AAAA"/>
    <w:rsid w:val="793D759F"/>
    <w:rsid w:val="7955A3CD"/>
    <w:rsid w:val="796362BA"/>
    <w:rsid w:val="79698635"/>
    <w:rsid w:val="799564D9"/>
    <w:rsid w:val="79B19631"/>
    <w:rsid w:val="7A098666"/>
    <w:rsid w:val="7A23C053"/>
    <w:rsid w:val="7A6874B2"/>
    <w:rsid w:val="7A87DDC4"/>
    <w:rsid w:val="7AF36DE3"/>
    <w:rsid w:val="7B825112"/>
    <w:rsid w:val="7B9C93F5"/>
    <w:rsid w:val="7BD72FFA"/>
    <w:rsid w:val="7BF13F6E"/>
    <w:rsid w:val="7C2F8688"/>
    <w:rsid w:val="7C5A07FA"/>
    <w:rsid w:val="7CA6299C"/>
    <w:rsid w:val="7D349966"/>
    <w:rsid w:val="7D4EF971"/>
    <w:rsid w:val="7D59D59C"/>
    <w:rsid w:val="7DB26D30"/>
    <w:rsid w:val="7DDB305F"/>
    <w:rsid w:val="7E1F16CA"/>
    <w:rsid w:val="7E8985CE"/>
    <w:rsid w:val="7E92D22B"/>
    <w:rsid w:val="7E9C90CF"/>
    <w:rsid w:val="7F0A2554"/>
    <w:rsid w:val="7F15B1A4"/>
    <w:rsid w:val="7FA471C3"/>
    <w:rsid w:val="7FA47A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C8D9E7"/>
  <w15:docId w15:val="{0C216B64-E791-4499-B397-B378B9F29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B409C"/>
    <w:pPr>
      <w:spacing w:before="120" w:after="120" w:line="360" w:lineRule="auto"/>
      <w:jc w:val="both"/>
    </w:pPr>
    <w:rPr>
      <w:lang w:val="en-GB"/>
    </w:rPr>
  </w:style>
  <w:style w:type="paragraph" w:styleId="Heading1">
    <w:name w:val="heading 1"/>
    <w:basedOn w:val="Normal"/>
    <w:next w:val="Normal"/>
    <w:link w:val="Heading1Char"/>
    <w:uiPriority w:val="9"/>
    <w:qFormat/>
    <w:rsid w:val="00DC26E9"/>
    <w:pPr>
      <w:keepNext/>
      <w:keepLines/>
      <w:spacing w:before="240" w:after="0"/>
      <w:jc w:val="center"/>
      <w:outlineLvl w:val="0"/>
    </w:pPr>
    <w:rPr>
      <w:rFonts w:eastAsiaTheme="majorEastAsia" w:cstheme="majorBidi"/>
      <w:b/>
      <w:sz w:val="44"/>
      <w:szCs w:val="32"/>
    </w:rPr>
  </w:style>
  <w:style w:type="paragraph" w:styleId="Heading2">
    <w:name w:val="heading 2"/>
    <w:basedOn w:val="Normal"/>
    <w:next w:val="Normal"/>
    <w:link w:val="Heading2Char"/>
    <w:uiPriority w:val="9"/>
    <w:unhideWhenUsed/>
    <w:qFormat/>
    <w:rsid w:val="000C52E1"/>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5474E5"/>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52C52"/>
    <w:pPr>
      <w:keepNext/>
      <w:keepLines/>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3CCB"/>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0EEF"/>
    <w:pPr>
      <w:keepNext/>
      <w:keepLines/>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F01251"/>
    <w:pPr>
      <w:keepNext/>
      <w:keepLines/>
      <w:spacing w:before="40" w:after="0"/>
      <w:outlineLvl w:val="6"/>
    </w:pPr>
    <w:rPr>
      <w:rFonts w:asciiTheme="majorHAnsi" w:hAnsiTheme="majorHAnsi" w:eastAsiaTheme="majorEastAsia" w:cstheme="majorBidi"/>
      <w:i/>
      <w:iCs/>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C26E9"/>
    <w:rPr>
      <w:rFonts w:eastAsiaTheme="majorEastAsia" w:cstheme="majorBidi"/>
      <w:b/>
      <w:sz w:val="44"/>
      <w:szCs w:val="32"/>
      <w:lang w:val="en-GB"/>
    </w:rPr>
  </w:style>
  <w:style w:type="character" w:styleId="Heading2Char" w:customStyle="1">
    <w:name w:val="Heading 2 Char"/>
    <w:basedOn w:val="DefaultParagraphFont"/>
    <w:link w:val="Heading2"/>
    <w:uiPriority w:val="9"/>
    <w:rsid w:val="000C52E1"/>
    <w:rPr>
      <w:rFonts w:eastAsiaTheme="majorEastAsia" w:cstheme="majorBidi"/>
      <w:b/>
      <w:sz w:val="32"/>
      <w:szCs w:val="26"/>
      <w:lang w:val="en-GB"/>
    </w:rPr>
  </w:style>
  <w:style w:type="table" w:styleId="TableGrid">
    <w:name w:val="Table Grid"/>
    <w:basedOn w:val="TableNormal"/>
    <w:rsid w:val="00E82C9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E82C9B"/>
    <w:pPr>
      <w:spacing w:before="0" w:after="200" w:line="240" w:lineRule="auto"/>
    </w:pPr>
    <w:rPr>
      <w:i/>
      <w:iCs/>
      <w:color w:val="44546A" w:themeColor="text2"/>
      <w:sz w:val="18"/>
      <w:szCs w:val="18"/>
    </w:rPr>
  </w:style>
  <w:style w:type="paragraph" w:styleId="ListParagraph">
    <w:name w:val="List Paragraph"/>
    <w:basedOn w:val="Normal"/>
    <w:uiPriority w:val="34"/>
    <w:qFormat/>
    <w:rsid w:val="00E82C9B"/>
    <w:pPr>
      <w:ind w:left="720"/>
      <w:contextualSpacing/>
    </w:pPr>
  </w:style>
  <w:style w:type="paragraph" w:styleId="Footer">
    <w:name w:val="footer"/>
    <w:basedOn w:val="Normal"/>
    <w:link w:val="FooterChar"/>
    <w:uiPriority w:val="99"/>
    <w:unhideWhenUsed/>
    <w:rsid w:val="00E82C9B"/>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E82C9B"/>
    <w:rPr>
      <w:rFonts w:ascii="Arial" w:hAnsi="Arial"/>
    </w:rPr>
  </w:style>
  <w:style w:type="paragraph" w:styleId="Bibliography">
    <w:name w:val="Bibliography"/>
    <w:basedOn w:val="Normal"/>
    <w:next w:val="Normal"/>
    <w:uiPriority w:val="37"/>
    <w:unhideWhenUsed/>
    <w:rsid w:val="00E82C9B"/>
  </w:style>
  <w:style w:type="paragraph" w:styleId="TOCHeading">
    <w:name w:val="TOC Heading"/>
    <w:basedOn w:val="Heading1"/>
    <w:next w:val="Normal"/>
    <w:uiPriority w:val="39"/>
    <w:unhideWhenUsed/>
    <w:qFormat/>
    <w:rsid w:val="00E82C9B"/>
    <w:pPr>
      <w:jc w:val="left"/>
      <w:outlineLvl w:val="9"/>
    </w:pPr>
    <w:rPr>
      <w:rFonts w:asciiTheme="majorHAnsi" w:hAnsiTheme="majorHAnsi"/>
      <w:b w:val="0"/>
    </w:rPr>
  </w:style>
  <w:style w:type="paragraph" w:styleId="TOC1">
    <w:name w:val="toc 1"/>
    <w:basedOn w:val="Normal"/>
    <w:next w:val="Normal"/>
    <w:autoRedefine/>
    <w:uiPriority w:val="39"/>
    <w:unhideWhenUsed/>
    <w:rsid w:val="00E82C9B"/>
    <w:pPr>
      <w:spacing w:after="100"/>
    </w:pPr>
  </w:style>
  <w:style w:type="paragraph" w:styleId="TOC2">
    <w:name w:val="toc 2"/>
    <w:basedOn w:val="Normal"/>
    <w:next w:val="Normal"/>
    <w:autoRedefine/>
    <w:uiPriority w:val="39"/>
    <w:unhideWhenUsed/>
    <w:rsid w:val="00E82C9B"/>
    <w:pPr>
      <w:spacing w:after="100"/>
      <w:ind w:left="240"/>
    </w:pPr>
  </w:style>
  <w:style w:type="character" w:styleId="Hyperlink">
    <w:name w:val="Hyperlink"/>
    <w:basedOn w:val="DefaultParagraphFont"/>
    <w:uiPriority w:val="99"/>
    <w:unhideWhenUsed/>
    <w:rsid w:val="00E82C9B"/>
    <w:rPr>
      <w:color w:val="0563C1" w:themeColor="hyperlink"/>
      <w:u w:val="single"/>
    </w:rPr>
  </w:style>
  <w:style w:type="paragraph" w:styleId="NormalWeb">
    <w:name w:val="Normal (Web)"/>
    <w:basedOn w:val="Normal"/>
    <w:uiPriority w:val="99"/>
    <w:unhideWhenUsed/>
    <w:rsid w:val="005F4AC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D74B3"/>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1D74B3"/>
    <w:rPr>
      <w:rFonts w:ascii="Arial" w:hAnsi="Arial"/>
    </w:rPr>
  </w:style>
  <w:style w:type="character" w:styleId="Heading3Char" w:customStyle="1">
    <w:name w:val="Heading 3 Char"/>
    <w:basedOn w:val="DefaultParagraphFont"/>
    <w:link w:val="Heading3"/>
    <w:uiPriority w:val="9"/>
    <w:rsid w:val="005474E5"/>
    <w:rPr>
      <w:rFonts w:ascii="Arial" w:hAnsi="Arial" w:eastAsiaTheme="majorEastAsia" w:cstheme="majorBidi"/>
      <w:b/>
      <w:sz w:val="22"/>
      <w:szCs w:val="24"/>
      <w:lang w:val="en-GB"/>
    </w:rPr>
  </w:style>
  <w:style w:type="paragraph" w:styleId="TOC3">
    <w:name w:val="toc 3"/>
    <w:basedOn w:val="Normal"/>
    <w:next w:val="Normal"/>
    <w:autoRedefine/>
    <w:uiPriority w:val="39"/>
    <w:unhideWhenUsed/>
    <w:rsid w:val="00967646"/>
    <w:pPr>
      <w:spacing w:after="100"/>
      <w:ind w:left="480"/>
    </w:pPr>
  </w:style>
  <w:style w:type="character" w:styleId="Heading4Char" w:customStyle="1">
    <w:name w:val="Heading 4 Char"/>
    <w:basedOn w:val="DefaultParagraphFont"/>
    <w:link w:val="Heading4"/>
    <w:uiPriority w:val="9"/>
    <w:semiHidden/>
    <w:rsid w:val="00452C52"/>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523CCB"/>
    <w:rPr>
      <w:rFonts w:asciiTheme="majorHAnsi" w:hAnsiTheme="majorHAnsi" w:eastAsiaTheme="majorEastAsia" w:cstheme="majorBidi"/>
      <w:color w:val="2F5496" w:themeColor="accent1" w:themeShade="BF"/>
    </w:rPr>
  </w:style>
  <w:style w:type="table" w:styleId="TableGrid1" w:customStyle="1">
    <w:name w:val="Table Grid1"/>
    <w:basedOn w:val="TableNormal"/>
    <w:next w:val="TableGrid"/>
    <w:uiPriority w:val="59"/>
    <w:rsid w:val="00A25909"/>
    <w:pPr>
      <w:spacing w:after="0" w:line="240" w:lineRule="auto"/>
    </w:pPr>
    <w:rPr>
      <w:rFonts w:asciiTheme="minorHAnsi" w:hAnsiTheme="minorHAnsi"/>
      <w:sz w:val="22"/>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qFormat/>
    <w:rsid w:val="002502DC"/>
    <w:rPr>
      <w:b/>
      <w:bCs/>
    </w:rPr>
  </w:style>
  <w:style w:type="paragraph" w:styleId="BodyText">
    <w:name w:val="Body Text"/>
    <w:basedOn w:val="Normal"/>
    <w:link w:val="BodyTextChar"/>
    <w:uiPriority w:val="99"/>
    <w:semiHidden/>
    <w:unhideWhenUsed/>
    <w:rsid w:val="00353A8B"/>
  </w:style>
  <w:style w:type="character" w:styleId="BodyTextChar" w:customStyle="1">
    <w:name w:val="Body Text Char"/>
    <w:basedOn w:val="DefaultParagraphFont"/>
    <w:link w:val="BodyText"/>
    <w:uiPriority w:val="99"/>
    <w:semiHidden/>
    <w:rsid w:val="00353A8B"/>
    <w:rPr>
      <w:rFonts w:ascii="Arial" w:hAnsi="Arial"/>
    </w:rPr>
  </w:style>
  <w:style w:type="paragraph" w:styleId="TableParagraph" w:customStyle="1">
    <w:name w:val="Table Paragraph"/>
    <w:basedOn w:val="Normal"/>
    <w:uiPriority w:val="1"/>
    <w:rsid w:val="003B4AC0"/>
    <w:pPr>
      <w:widowControl w:val="0"/>
      <w:autoSpaceDE w:val="0"/>
      <w:autoSpaceDN w:val="0"/>
      <w:spacing w:before="0" w:after="0" w:line="240" w:lineRule="auto"/>
      <w:ind w:left="107"/>
      <w:jc w:val="left"/>
    </w:pPr>
    <w:rPr>
      <w:rFonts w:eastAsia="Times New Roman" w:cs="Times New Roman"/>
      <w:lang w:bidi="en-US"/>
    </w:rPr>
  </w:style>
  <w:style w:type="paragraph" w:styleId="Default" w:customStyle="1">
    <w:name w:val="Default"/>
    <w:rsid w:val="006A105B"/>
    <w:pPr>
      <w:autoSpaceDE w:val="0"/>
      <w:autoSpaceDN w:val="0"/>
      <w:adjustRightInd w:val="0"/>
      <w:spacing w:after="0" w:line="240" w:lineRule="auto"/>
    </w:pPr>
    <w:rPr>
      <w:rFonts w:cs="Times New Roman"/>
      <w:color w:val="000000"/>
      <w:szCs w:val="24"/>
      <w:lang w:val="en-GB"/>
    </w:rPr>
  </w:style>
  <w:style w:type="character" w:styleId="UnresolvedMention1" w:customStyle="1">
    <w:name w:val="Unresolved Mention1"/>
    <w:basedOn w:val="DefaultParagraphFont"/>
    <w:uiPriority w:val="99"/>
    <w:semiHidden/>
    <w:unhideWhenUsed/>
    <w:rsid w:val="001F7C28"/>
    <w:rPr>
      <w:color w:val="605E5C"/>
      <w:shd w:val="clear" w:color="auto" w:fill="E1DFDD"/>
    </w:rPr>
  </w:style>
  <w:style w:type="table" w:styleId="GridTable5Dark-Accent2">
    <w:name w:val="Grid Table 5 Dark Accent 2"/>
    <w:basedOn w:val="TableNormal"/>
    <w:uiPriority w:val="50"/>
    <w:rsid w:val="00C34D45"/>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BE4D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D7D31"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D7D31"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D7D31"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612932"/>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F2CC"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C00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C00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C00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TableGrid2" w:customStyle="1">
    <w:name w:val="Table Grid2"/>
    <w:basedOn w:val="TableNormal"/>
    <w:next w:val="TableGrid"/>
    <w:uiPriority w:val="39"/>
    <w:rsid w:val="00891F23"/>
    <w:pPr>
      <w:spacing w:after="0" w:line="240" w:lineRule="auto"/>
    </w:pPr>
    <w:rPr>
      <w:rFonts w:eastAsia="Calibri" w:cs="Arial"/>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A40F66"/>
    <w:rPr>
      <w:color w:val="808080"/>
    </w:rPr>
  </w:style>
  <w:style w:type="character" w:styleId="wknlkopnr" w:customStyle="1">
    <w:name w:val="wknl_kopnr"/>
    <w:basedOn w:val="DefaultParagraphFont"/>
    <w:rsid w:val="00584988"/>
  </w:style>
  <w:style w:type="character" w:styleId="Emphasis">
    <w:name w:val="Emphasis"/>
    <w:basedOn w:val="DefaultParagraphFont"/>
    <w:uiPriority w:val="20"/>
    <w:qFormat/>
    <w:rsid w:val="00127446"/>
    <w:rPr>
      <w:i/>
      <w:iCs/>
    </w:rPr>
  </w:style>
  <w:style w:type="paragraph" w:styleId="hl" w:customStyle="1">
    <w:name w:val="hl"/>
    <w:basedOn w:val="Normal"/>
    <w:rsid w:val="001C0158"/>
    <w:pPr>
      <w:spacing w:before="100" w:beforeAutospacing="1" w:after="100" w:afterAutospacing="1" w:line="240" w:lineRule="auto"/>
      <w:jc w:val="left"/>
    </w:pPr>
    <w:rPr>
      <w:rFonts w:eastAsia="Times New Roman" w:cs="Times New Roman"/>
      <w:szCs w:val="24"/>
      <w:lang w:val="en-US"/>
    </w:rPr>
  </w:style>
  <w:style w:type="paragraph" w:styleId="comp" w:customStyle="1">
    <w:name w:val="comp"/>
    <w:basedOn w:val="Normal"/>
    <w:rsid w:val="002D3976"/>
    <w:pPr>
      <w:spacing w:before="100" w:beforeAutospacing="1" w:after="100" w:afterAutospacing="1" w:line="240" w:lineRule="auto"/>
      <w:jc w:val="left"/>
    </w:pPr>
    <w:rPr>
      <w:rFonts w:eastAsia="Times New Roman" w:cs="Times New Roman"/>
      <w:szCs w:val="24"/>
      <w:lang w:val="en-US"/>
    </w:rPr>
  </w:style>
  <w:style w:type="character" w:styleId="mntl-inline-citation" w:customStyle="1">
    <w:name w:val="mntl-inline-citation"/>
    <w:basedOn w:val="DefaultParagraphFont"/>
    <w:rsid w:val="002D3976"/>
  </w:style>
  <w:style w:type="paragraph" w:styleId="trt0xe" w:customStyle="1">
    <w:name w:val="trt0xe"/>
    <w:basedOn w:val="Normal"/>
    <w:rsid w:val="00F71709"/>
    <w:pPr>
      <w:spacing w:before="100" w:beforeAutospacing="1" w:after="100" w:afterAutospacing="1" w:line="240" w:lineRule="auto"/>
      <w:jc w:val="left"/>
    </w:pPr>
    <w:rPr>
      <w:rFonts w:eastAsia="Times New Roman" w:cs="Times New Roman"/>
      <w:szCs w:val="24"/>
      <w:lang w:val="en-US"/>
    </w:rPr>
  </w:style>
  <w:style w:type="paragraph" w:styleId="styles-module--contentsection--qwyk" w:customStyle="1">
    <w:name w:val="styles-module--contentsection--_qwyk"/>
    <w:basedOn w:val="Normal"/>
    <w:rsid w:val="0028505A"/>
    <w:pPr>
      <w:spacing w:before="100" w:beforeAutospacing="1" w:after="100" w:afterAutospacing="1" w:line="240" w:lineRule="auto"/>
      <w:jc w:val="left"/>
    </w:pPr>
    <w:rPr>
      <w:rFonts w:eastAsia="Times New Roman" w:cs="Times New Roman"/>
      <w:szCs w:val="24"/>
      <w:lang w:val="en-US"/>
    </w:rPr>
  </w:style>
  <w:style w:type="table" w:styleId="GridTable4-Accent6">
    <w:name w:val="Grid Table 4 Accent 6"/>
    <w:basedOn w:val="TableNormal"/>
    <w:uiPriority w:val="49"/>
    <w:rsid w:val="000700EC"/>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hrv-styled-list-item" w:customStyle="1">
    <w:name w:val="thrv-styled-list-item"/>
    <w:basedOn w:val="Normal"/>
    <w:rsid w:val="0021553D"/>
    <w:pPr>
      <w:spacing w:before="100" w:beforeAutospacing="1" w:after="100" w:afterAutospacing="1" w:line="240" w:lineRule="auto"/>
      <w:jc w:val="left"/>
    </w:pPr>
    <w:rPr>
      <w:rFonts w:eastAsia="Times New Roman" w:cs="Times New Roman"/>
      <w:szCs w:val="24"/>
      <w:lang w:val="en-US"/>
    </w:rPr>
  </w:style>
  <w:style w:type="character" w:styleId="thrv-advanced-inline-text" w:customStyle="1">
    <w:name w:val="thrv-advanced-inline-text"/>
    <w:basedOn w:val="DefaultParagraphFont"/>
    <w:rsid w:val="0021553D"/>
  </w:style>
  <w:style w:type="paragraph" w:styleId="iu" w:customStyle="1">
    <w:name w:val="iu"/>
    <w:basedOn w:val="Normal"/>
    <w:rsid w:val="00846591"/>
    <w:pPr>
      <w:spacing w:before="100" w:beforeAutospacing="1" w:after="100" w:afterAutospacing="1" w:line="240" w:lineRule="auto"/>
      <w:jc w:val="left"/>
    </w:pPr>
    <w:rPr>
      <w:rFonts w:eastAsia="Times New Roman" w:cs="Times New Roman"/>
      <w:szCs w:val="24"/>
      <w:lang w:val="en-US"/>
    </w:rPr>
  </w:style>
  <w:style w:type="character" w:styleId="quote-style" w:customStyle="1">
    <w:name w:val="quote-style"/>
    <w:basedOn w:val="DefaultParagraphFont"/>
    <w:rsid w:val="00CD1466"/>
  </w:style>
  <w:style w:type="character" w:styleId="Heading7Char" w:customStyle="1">
    <w:name w:val="Heading 7 Char"/>
    <w:basedOn w:val="DefaultParagraphFont"/>
    <w:link w:val="Heading7"/>
    <w:uiPriority w:val="9"/>
    <w:semiHidden/>
    <w:rsid w:val="00F01251"/>
    <w:rPr>
      <w:rFonts w:asciiTheme="majorHAnsi" w:hAnsiTheme="majorHAnsi" w:eastAsiaTheme="majorEastAsia" w:cstheme="majorBidi"/>
      <w:i/>
      <w:iCs/>
      <w:color w:val="1F3763" w:themeColor="accent1" w:themeShade="7F"/>
      <w:lang w:val="en-GB"/>
    </w:rPr>
  </w:style>
  <w:style w:type="character" w:styleId="websearch-marked" w:customStyle="1">
    <w:name w:val="web_search-marked"/>
    <w:basedOn w:val="DefaultParagraphFont"/>
    <w:rsid w:val="00CB276E"/>
  </w:style>
  <w:style w:type="paragraph" w:styleId="phrase" w:customStyle="1">
    <w:name w:val="phrase"/>
    <w:basedOn w:val="Normal"/>
    <w:rsid w:val="0063442E"/>
    <w:pPr>
      <w:spacing w:before="100" w:beforeAutospacing="1" w:after="100" w:afterAutospacing="1" w:line="240" w:lineRule="auto"/>
      <w:jc w:val="left"/>
    </w:pPr>
    <w:rPr>
      <w:rFonts w:eastAsia="Times New Roman" w:cs="Times New Roman"/>
      <w:szCs w:val="24"/>
      <w:lang w:val="en-US"/>
    </w:rPr>
  </w:style>
  <w:style w:type="paragraph" w:styleId="p1" w:customStyle="1">
    <w:name w:val="p1"/>
    <w:basedOn w:val="Normal"/>
    <w:rsid w:val="00F54897"/>
    <w:pPr>
      <w:spacing w:before="100" w:beforeAutospacing="1" w:after="100" w:afterAutospacing="1" w:line="240" w:lineRule="auto"/>
      <w:jc w:val="left"/>
    </w:pPr>
    <w:rPr>
      <w:rFonts w:eastAsia="Times New Roman" w:cs="Times New Roman"/>
      <w:szCs w:val="24"/>
      <w:lang w:val="en-US"/>
    </w:rPr>
  </w:style>
  <w:style w:type="character" w:styleId="s1" w:customStyle="1">
    <w:name w:val="s1"/>
    <w:basedOn w:val="DefaultParagraphFont"/>
    <w:rsid w:val="00F54897"/>
  </w:style>
  <w:style w:type="character" w:styleId="blast" w:customStyle="1">
    <w:name w:val="blast"/>
    <w:basedOn w:val="DefaultParagraphFont"/>
    <w:rsid w:val="00C5455B"/>
  </w:style>
  <w:style w:type="paragraph" w:styleId="mmthere" w:customStyle="1">
    <w:name w:val="mmthere"/>
    <w:basedOn w:val="Normal"/>
    <w:rsid w:val="00233F08"/>
    <w:pPr>
      <w:spacing w:before="100" w:beforeAutospacing="1" w:after="100" w:afterAutospacing="1" w:line="240" w:lineRule="auto"/>
      <w:jc w:val="left"/>
    </w:pPr>
    <w:rPr>
      <w:rFonts w:eastAsia="Times New Roman" w:cs="Times New Roman"/>
      <w:szCs w:val="24"/>
      <w:lang w:val="en-US"/>
    </w:rPr>
  </w:style>
  <w:style w:type="table" w:styleId="TableGrid3" w:customStyle="1">
    <w:name w:val="Table Grid3"/>
    <w:basedOn w:val="TableNormal"/>
    <w:next w:val="TableGrid"/>
    <w:uiPriority w:val="39"/>
    <w:rsid w:val="006536AA"/>
    <w:pPr>
      <w:spacing w:after="0" w:line="240" w:lineRule="auto"/>
    </w:pPr>
    <w:rPr>
      <w:rFonts w:asciiTheme="minorHAnsi" w:hAnsiTheme="minorHAnsi"/>
      <w:sz w:val="22"/>
      <w:lang w:val="en-Z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4" w:customStyle="1">
    <w:name w:val="Table Grid4"/>
    <w:basedOn w:val="TableNormal"/>
    <w:next w:val="TableGrid"/>
    <w:uiPriority w:val="39"/>
    <w:rsid w:val="006536AA"/>
    <w:pPr>
      <w:spacing w:after="0" w:line="240" w:lineRule="auto"/>
    </w:pPr>
    <w:rPr>
      <w:rFonts w:asciiTheme="minorHAnsi" w:hAnsiTheme="minorHAnsi"/>
      <w:sz w:val="22"/>
      <w:lang w:val="en-Z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5" w:customStyle="1">
    <w:name w:val="Table Grid5"/>
    <w:basedOn w:val="TableNormal"/>
    <w:next w:val="TableGrid"/>
    <w:uiPriority w:val="39"/>
    <w:rsid w:val="007164ED"/>
    <w:pPr>
      <w:spacing w:after="0" w:line="240" w:lineRule="auto"/>
    </w:pPr>
    <w:rPr>
      <w:rFonts w:asciiTheme="minorHAnsi" w:hAnsiTheme="minorHAnsi"/>
      <w:sz w:val="22"/>
      <w:lang w:val="en-Z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ofFigures">
    <w:name w:val="table of figures"/>
    <w:basedOn w:val="Normal"/>
    <w:next w:val="Normal"/>
    <w:uiPriority w:val="99"/>
    <w:unhideWhenUsed/>
    <w:rsid w:val="00810D99"/>
    <w:pPr>
      <w:spacing w:after="0"/>
    </w:pPr>
  </w:style>
  <w:style w:type="paragraph" w:styleId="dcr-1wj398p" w:customStyle="1">
    <w:name w:val="dcr-1wj398p"/>
    <w:basedOn w:val="Normal"/>
    <w:rsid w:val="00755CA4"/>
    <w:pPr>
      <w:spacing w:before="100" w:beforeAutospacing="1" w:after="100" w:afterAutospacing="1" w:line="240" w:lineRule="auto"/>
      <w:jc w:val="left"/>
    </w:pPr>
    <w:rPr>
      <w:rFonts w:eastAsia="Times New Roman" w:cs="Times New Roman"/>
      <w:szCs w:val="24"/>
      <w:lang w:val="en-US"/>
    </w:rPr>
  </w:style>
  <w:style w:type="character" w:styleId="hgkelc" w:customStyle="1">
    <w:name w:val="hgkelc"/>
    <w:basedOn w:val="DefaultParagraphFont"/>
    <w:rsid w:val="00EE35DF"/>
  </w:style>
  <w:style w:type="character" w:styleId="w8qarf" w:customStyle="1">
    <w:name w:val="w8qarf"/>
    <w:basedOn w:val="DefaultParagraphFont"/>
    <w:rsid w:val="00EE35DF"/>
  </w:style>
  <w:style w:type="character" w:styleId="lrzxr" w:customStyle="1">
    <w:name w:val="lrzxr"/>
    <w:basedOn w:val="DefaultParagraphFont"/>
    <w:rsid w:val="00EE35DF"/>
  </w:style>
  <w:style w:type="character" w:styleId="hs-cta-node" w:customStyle="1">
    <w:name w:val="hs-cta-node"/>
    <w:basedOn w:val="DefaultParagraphFont"/>
    <w:rsid w:val="00547CAC"/>
  </w:style>
  <w:style w:type="character" w:styleId="Heading6Char" w:customStyle="1">
    <w:name w:val="Heading 6 Char"/>
    <w:basedOn w:val="DefaultParagraphFont"/>
    <w:link w:val="Heading6"/>
    <w:uiPriority w:val="9"/>
    <w:semiHidden/>
    <w:rsid w:val="00490EEF"/>
    <w:rPr>
      <w:rFonts w:asciiTheme="majorHAnsi" w:hAnsiTheme="majorHAnsi" w:eastAsiaTheme="majorEastAsia" w:cstheme="majorBidi"/>
      <w:color w:val="1F3763" w:themeColor="accent1" w:themeShade="7F"/>
      <w:lang w:val="en-GB"/>
    </w:rPr>
  </w:style>
  <w:style w:type="character" w:styleId="author" w:customStyle="1">
    <w:name w:val="author"/>
    <w:basedOn w:val="DefaultParagraphFont"/>
    <w:rsid w:val="00490EEF"/>
  </w:style>
  <w:style w:type="character" w:styleId="hentry-date" w:customStyle="1">
    <w:name w:val="hentry-date"/>
    <w:basedOn w:val="DefaultParagraphFont"/>
    <w:rsid w:val="00490EEF"/>
  </w:style>
  <w:style w:type="paragraph" w:styleId="twitter" w:customStyle="1">
    <w:name w:val="twitter&quot;"/>
    <w:basedOn w:val="Normal"/>
    <w:rsid w:val="00490EEF"/>
    <w:pPr>
      <w:spacing w:before="100" w:beforeAutospacing="1" w:after="100" w:afterAutospacing="1" w:line="240" w:lineRule="auto"/>
      <w:jc w:val="left"/>
    </w:pPr>
    <w:rPr>
      <w:rFonts w:eastAsia="Times New Roman" w:cs="Times New Roman"/>
      <w:szCs w:val="24"/>
      <w:lang w:val="en-US"/>
    </w:rPr>
  </w:style>
  <w:style w:type="paragraph" w:styleId="facebook" w:customStyle="1">
    <w:name w:val="facebook"/>
    <w:basedOn w:val="Normal"/>
    <w:rsid w:val="00490EEF"/>
    <w:pPr>
      <w:spacing w:before="100" w:beforeAutospacing="1" w:after="100" w:afterAutospacing="1" w:line="240" w:lineRule="auto"/>
      <w:jc w:val="left"/>
    </w:pPr>
    <w:rPr>
      <w:rFonts w:eastAsia="Times New Roman" w:cs="Times New Roman"/>
      <w:szCs w:val="24"/>
      <w:lang w:val="en-US"/>
    </w:rPr>
  </w:style>
  <w:style w:type="paragraph" w:styleId="linkedin" w:customStyle="1">
    <w:name w:val="linkedin"/>
    <w:basedOn w:val="Normal"/>
    <w:rsid w:val="00490EEF"/>
    <w:pPr>
      <w:spacing w:before="100" w:beforeAutospacing="1" w:after="100" w:afterAutospacing="1" w:line="240" w:lineRule="auto"/>
      <w:jc w:val="left"/>
    </w:pPr>
    <w:rPr>
      <w:rFonts w:eastAsia="Times New Roman" w:cs="Times New Roman"/>
      <w:szCs w:val="24"/>
      <w:lang w:val="en-US"/>
    </w:rPr>
  </w:style>
  <w:style w:type="paragraph" w:styleId="pw-post-body-paragraph" w:customStyle="1">
    <w:name w:val="pw-post-body-paragraph"/>
    <w:basedOn w:val="Normal"/>
    <w:rsid w:val="00DD3A55"/>
    <w:pPr>
      <w:spacing w:before="100" w:beforeAutospacing="1" w:after="100" w:afterAutospacing="1" w:line="240" w:lineRule="auto"/>
      <w:jc w:val="left"/>
    </w:pPr>
    <w:rPr>
      <w:rFonts w:eastAsia="Times New Roman" w:cs="Times New Roman"/>
      <w:szCs w:val="24"/>
      <w:lang w:val="en-US"/>
    </w:rPr>
  </w:style>
  <w:style w:type="paragraph" w:styleId="zwsc-cleaned" w:customStyle="1">
    <w:name w:val="zwsc-cleaned"/>
    <w:basedOn w:val="Normal"/>
    <w:rsid w:val="00423506"/>
    <w:pPr>
      <w:spacing w:before="100" w:beforeAutospacing="1" w:after="100" w:afterAutospacing="1" w:line="240" w:lineRule="auto"/>
      <w:jc w:val="left"/>
    </w:pPr>
    <w:rPr>
      <w:rFonts w:eastAsia="Times New Roman" w:cs="Times New Roman"/>
      <w:szCs w:val="24"/>
      <w:lang w:val="en-US"/>
    </w:rPr>
  </w:style>
  <w:style w:type="paragraph" w:styleId="shrm-widearticle-element-p" w:customStyle="1">
    <w:name w:val="shrm-widearticle-element-p"/>
    <w:basedOn w:val="Normal"/>
    <w:rsid w:val="00423506"/>
    <w:pPr>
      <w:spacing w:before="100" w:beforeAutospacing="1" w:after="100" w:afterAutospacing="1" w:line="240" w:lineRule="auto"/>
      <w:jc w:val="left"/>
    </w:pPr>
    <w:rPr>
      <w:rFonts w:eastAsia="Times New Roman" w:cs="Times New Roman"/>
      <w:szCs w:val="24"/>
      <w:lang w:val="en-US"/>
    </w:rPr>
  </w:style>
  <w:style w:type="character" w:styleId="ezoic-ad" w:customStyle="1">
    <w:name w:val="ezoic-ad"/>
    <w:basedOn w:val="DefaultParagraphFont"/>
    <w:rsid w:val="00F83CDF"/>
  </w:style>
  <w:style w:type="character" w:styleId="label" w:customStyle="1">
    <w:name w:val="label"/>
    <w:basedOn w:val="DefaultParagraphFont"/>
    <w:rsid w:val="00F83CDF"/>
  </w:style>
  <w:style w:type="character" w:styleId="ez-video-ez-stuck-title" w:customStyle="1">
    <w:name w:val="ez-video-ez-stuck-title"/>
    <w:basedOn w:val="DefaultParagraphFont"/>
    <w:rsid w:val="00F83CDF"/>
  </w:style>
  <w:style w:type="character" w:styleId="ez-video-ez-stuck-close" w:customStyle="1">
    <w:name w:val="ez-video-ez-stuck-close"/>
    <w:basedOn w:val="DefaultParagraphFont"/>
    <w:rsid w:val="00F83CDF"/>
  </w:style>
  <w:style w:type="character" w:styleId="vjs-control-text" w:customStyle="1">
    <w:name w:val="vjs-control-text"/>
    <w:basedOn w:val="DefaultParagraphFont"/>
    <w:rsid w:val="00F83CDF"/>
  </w:style>
  <w:style w:type="character" w:styleId="vjs-control-text-loaded-percentage" w:customStyle="1">
    <w:name w:val="vjs-control-text-loaded-percentage"/>
    <w:basedOn w:val="DefaultParagraphFont"/>
    <w:rsid w:val="00F83CDF"/>
  </w:style>
  <w:style w:type="character" w:styleId="vjs-remaining-time-display" w:customStyle="1">
    <w:name w:val="vjs-remaining-time-display"/>
    <w:basedOn w:val="DefaultParagraphFont"/>
    <w:rsid w:val="00F83CDF"/>
  </w:style>
  <w:style w:type="character" w:styleId="UnresolvedMention">
    <w:name w:val="Unresolved Mention"/>
    <w:basedOn w:val="DefaultParagraphFont"/>
    <w:uiPriority w:val="99"/>
    <w:semiHidden/>
    <w:unhideWhenUsed/>
    <w:rsid w:val="00CE32C0"/>
    <w:rPr>
      <w:color w:val="605E5C"/>
      <w:shd w:val="clear" w:color="auto" w:fill="E1DFDD"/>
    </w:rPr>
  </w:style>
  <w:style w:type="table" w:styleId="GridTable1Light">
    <w:name w:val="Grid Table 1 Light"/>
    <w:basedOn w:val="TableNormal"/>
    <w:uiPriority w:val="46"/>
    <w:rsid w:val="004E52CC"/>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TableGrid6" w:customStyle="1">
    <w:name w:val="Table Grid6"/>
    <w:basedOn w:val="TableNormal"/>
    <w:next w:val="TableGrid"/>
    <w:uiPriority w:val="59"/>
    <w:rsid w:val="002E6419"/>
    <w:pPr>
      <w:spacing w:after="0" w:line="240" w:lineRule="auto"/>
    </w:pPr>
    <w:rPr>
      <w:rFonts w:ascii="Calibri" w:hAnsi="Calibri"/>
      <w:sz w:val="22"/>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s-1" w:customStyle="1">
    <w:name w:val="ms-1"/>
    <w:basedOn w:val="DefaultParagraphFont"/>
    <w:rsid w:val="007F585F"/>
  </w:style>
  <w:style w:type="character" w:styleId="max-w-15ch" w:customStyle="1">
    <w:name w:val="max-w-[15ch]"/>
    <w:basedOn w:val="DefaultParagraphFont"/>
    <w:rsid w:val="007F585F"/>
  </w:style>
  <w:style w:type="table" w:styleId="GridTable5Dark-Accent5">
    <w:name w:val="Grid Table 5 Dark Accent 5"/>
    <w:basedOn w:val="TableNormal"/>
    <w:uiPriority w:val="50"/>
    <w:rsid w:val="00327CD2"/>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me-1" w:customStyle="1">
    <w:name w:val="-me-1"/>
    <w:basedOn w:val="DefaultParagraphFont"/>
    <w:rsid w:val="00EB366D"/>
  </w:style>
  <w:style w:type="table" w:styleId="GridTable4-Accent3">
    <w:name w:val="Grid Table 4 Accent 3"/>
    <w:basedOn w:val="TableNormal"/>
    <w:uiPriority w:val="49"/>
    <w:rsid w:val="00776AE7"/>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1">
    <w:name w:val="Grid Table 5 Dark Accent 1"/>
    <w:basedOn w:val="TableNormal"/>
    <w:uiPriority w:val="50"/>
    <w:rsid w:val="0043559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E2F3"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6">
    <w:name w:val="Grid Table 5 Dark Accent 6"/>
    <w:basedOn w:val="TableNormal"/>
    <w:uiPriority w:val="50"/>
    <w:rsid w:val="00981C02"/>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
    <w:name w:val="Grid Table 4"/>
    <w:basedOn w:val="TableNormal"/>
    <w:uiPriority w:val="49"/>
    <w:rsid w:val="008F0AEC"/>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z-TopofForm">
    <w:name w:val="HTML Top of Form"/>
    <w:basedOn w:val="Normal"/>
    <w:next w:val="Normal"/>
    <w:link w:val="z-TopofFormChar"/>
    <w:hidden/>
    <w:uiPriority w:val="99"/>
    <w:semiHidden/>
    <w:unhideWhenUsed/>
    <w:rsid w:val="00E932DE"/>
    <w:pPr>
      <w:pBdr>
        <w:bottom w:val="single" w:color="auto" w:sz="6" w:space="1"/>
      </w:pBdr>
      <w:spacing w:before="0" w:after="0" w:line="240" w:lineRule="auto"/>
      <w:jc w:val="center"/>
    </w:pPr>
    <w:rPr>
      <w:rFonts w:ascii="Arial" w:hAnsi="Arial" w:eastAsia="Times New Roman" w:cs="Arial"/>
      <w:vanish/>
      <w:sz w:val="16"/>
      <w:szCs w:val="16"/>
      <w:lang w:val="en-US"/>
    </w:rPr>
  </w:style>
  <w:style w:type="character" w:styleId="z-TopofFormChar" w:customStyle="1">
    <w:name w:val="z-Top of Form Char"/>
    <w:basedOn w:val="DefaultParagraphFont"/>
    <w:link w:val="z-TopofForm"/>
    <w:uiPriority w:val="99"/>
    <w:semiHidden/>
    <w:rsid w:val="00E932DE"/>
    <w:rPr>
      <w:rFonts w:ascii="Arial" w:hAnsi="Arial" w:eastAsia="Times New Roman" w:cs="Arial"/>
      <w:vanish/>
      <w:sz w:val="16"/>
      <w:szCs w:val="16"/>
    </w:rPr>
  </w:style>
  <w:style w:type="paragraph" w:styleId="placeholder" w:customStyle="1">
    <w:name w:val="placeholder"/>
    <w:basedOn w:val="Normal"/>
    <w:rsid w:val="00E932DE"/>
    <w:pPr>
      <w:spacing w:before="100" w:beforeAutospacing="1" w:after="100" w:afterAutospacing="1" w:line="240" w:lineRule="auto"/>
      <w:jc w:val="left"/>
    </w:pPr>
    <w:rPr>
      <w:rFonts w:eastAsia="Times New Roman" w:cs="Times New Roman"/>
      <w:szCs w:val="24"/>
      <w:lang w:val="en-US"/>
    </w:rPr>
  </w:style>
  <w:style w:type="paragraph" w:styleId="z-BottomofForm">
    <w:name w:val="HTML Bottom of Form"/>
    <w:basedOn w:val="Normal"/>
    <w:next w:val="Normal"/>
    <w:link w:val="z-BottomofFormChar"/>
    <w:hidden/>
    <w:uiPriority w:val="99"/>
    <w:semiHidden/>
    <w:unhideWhenUsed/>
    <w:rsid w:val="00E932DE"/>
    <w:pPr>
      <w:pBdr>
        <w:top w:val="single" w:color="auto" w:sz="6" w:space="1"/>
      </w:pBdr>
      <w:spacing w:before="0" w:after="0" w:line="240" w:lineRule="auto"/>
      <w:jc w:val="center"/>
    </w:pPr>
    <w:rPr>
      <w:rFonts w:ascii="Arial" w:hAnsi="Arial" w:eastAsia="Times New Roman" w:cs="Arial"/>
      <w:vanish/>
      <w:sz w:val="16"/>
      <w:szCs w:val="16"/>
      <w:lang w:val="en-US"/>
    </w:rPr>
  </w:style>
  <w:style w:type="character" w:styleId="z-BottomofFormChar" w:customStyle="1">
    <w:name w:val="z-Bottom of Form Char"/>
    <w:basedOn w:val="DefaultParagraphFont"/>
    <w:link w:val="z-BottomofForm"/>
    <w:uiPriority w:val="99"/>
    <w:semiHidden/>
    <w:rsid w:val="00E932DE"/>
    <w:rPr>
      <w:rFonts w:ascii="Arial" w:hAnsi="Arial" w:eastAsia="Times New Roman" w:cs="Arial"/>
      <w:vanish/>
      <w:sz w:val="16"/>
      <w:szCs w:val="16"/>
    </w:rPr>
  </w:style>
  <w:style w:type="paragraph" w:styleId="NoSpacing">
    <w:uiPriority w:val="1"/>
    <w:name w:val="No Spacing"/>
    <w:qFormat/>
    <w:rsid w:val="4B42EC9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5664">
      <w:bodyDiv w:val="1"/>
      <w:marLeft w:val="0"/>
      <w:marRight w:val="0"/>
      <w:marTop w:val="0"/>
      <w:marBottom w:val="0"/>
      <w:divBdr>
        <w:top w:val="none" w:sz="0" w:space="0" w:color="auto"/>
        <w:left w:val="none" w:sz="0" w:space="0" w:color="auto"/>
        <w:bottom w:val="none" w:sz="0" w:space="0" w:color="auto"/>
        <w:right w:val="none" w:sz="0" w:space="0" w:color="auto"/>
      </w:divBdr>
    </w:div>
    <w:div w:id="2780360">
      <w:bodyDiv w:val="1"/>
      <w:marLeft w:val="0"/>
      <w:marRight w:val="0"/>
      <w:marTop w:val="0"/>
      <w:marBottom w:val="0"/>
      <w:divBdr>
        <w:top w:val="none" w:sz="0" w:space="0" w:color="auto"/>
        <w:left w:val="none" w:sz="0" w:space="0" w:color="auto"/>
        <w:bottom w:val="none" w:sz="0" w:space="0" w:color="auto"/>
        <w:right w:val="none" w:sz="0" w:space="0" w:color="auto"/>
      </w:divBdr>
    </w:div>
    <w:div w:id="6906447">
      <w:bodyDiv w:val="1"/>
      <w:marLeft w:val="0"/>
      <w:marRight w:val="0"/>
      <w:marTop w:val="0"/>
      <w:marBottom w:val="0"/>
      <w:divBdr>
        <w:top w:val="none" w:sz="0" w:space="0" w:color="auto"/>
        <w:left w:val="none" w:sz="0" w:space="0" w:color="auto"/>
        <w:bottom w:val="none" w:sz="0" w:space="0" w:color="auto"/>
        <w:right w:val="none" w:sz="0" w:space="0" w:color="auto"/>
      </w:divBdr>
    </w:div>
    <w:div w:id="14238887">
      <w:bodyDiv w:val="1"/>
      <w:marLeft w:val="0"/>
      <w:marRight w:val="0"/>
      <w:marTop w:val="0"/>
      <w:marBottom w:val="0"/>
      <w:divBdr>
        <w:top w:val="none" w:sz="0" w:space="0" w:color="auto"/>
        <w:left w:val="none" w:sz="0" w:space="0" w:color="auto"/>
        <w:bottom w:val="none" w:sz="0" w:space="0" w:color="auto"/>
        <w:right w:val="none" w:sz="0" w:space="0" w:color="auto"/>
      </w:divBdr>
    </w:div>
    <w:div w:id="23755310">
      <w:bodyDiv w:val="1"/>
      <w:marLeft w:val="0"/>
      <w:marRight w:val="0"/>
      <w:marTop w:val="0"/>
      <w:marBottom w:val="0"/>
      <w:divBdr>
        <w:top w:val="none" w:sz="0" w:space="0" w:color="auto"/>
        <w:left w:val="none" w:sz="0" w:space="0" w:color="auto"/>
        <w:bottom w:val="none" w:sz="0" w:space="0" w:color="auto"/>
        <w:right w:val="none" w:sz="0" w:space="0" w:color="auto"/>
      </w:divBdr>
    </w:div>
    <w:div w:id="29114198">
      <w:bodyDiv w:val="1"/>
      <w:marLeft w:val="0"/>
      <w:marRight w:val="0"/>
      <w:marTop w:val="0"/>
      <w:marBottom w:val="0"/>
      <w:divBdr>
        <w:top w:val="none" w:sz="0" w:space="0" w:color="auto"/>
        <w:left w:val="none" w:sz="0" w:space="0" w:color="auto"/>
        <w:bottom w:val="none" w:sz="0" w:space="0" w:color="auto"/>
        <w:right w:val="none" w:sz="0" w:space="0" w:color="auto"/>
      </w:divBdr>
    </w:div>
    <w:div w:id="29572454">
      <w:bodyDiv w:val="1"/>
      <w:marLeft w:val="0"/>
      <w:marRight w:val="0"/>
      <w:marTop w:val="0"/>
      <w:marBottom w:val="0"/>
      <w:divBdr>
        <w:top w:val="none" w:sz="0" w:space="0" w:color="auto"/>
        <w:left w:val="none" w:sz="0" w:space="0" w:color="auto"/>
        <w:bottom w:val="none" w:sz="0" w:space="0" w:color="auto"/>
        <w:right w:val="none" w:sz="0" w:space="0" w:color="auto"/>
      </w:divBdr>
    </w:div>
    <w:div w:id="30081951">
      <w:bodyDiv w:val="1"/>
      <w:marLeft w:val="0"/>
      <w:marRight w:val="0"/>
      <w:marTop w:val="0"/>
      <w:marBottom w:val="0"/>
      <w:divBdr>
        <w:top w:val="none" w:sz="0" w:space="0" w:color="auto"/>
        <w:left w:val="none" w:sz="0" w:space="0" w:color="auto"/>
        <w:bottom w:val="none" w:sz="0" w:space="0" w:color="auto"/>
        <w:right w:val="none" w:sz="0" w:space="0" w:color="auto"/>
      </w:divBdr>
    </w:div>
    <w:div w:id="30888388">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1082653">
      <w:bodyDiv w:val="1"/>
      <w:marLeft w:val="0"/>
      <w:marRight w:val="0"/>
      <w:marTop w:val="0"/>
      <w:marBottom w:val="0"/>
      <w:divBdr>
        <w:top w:val="none" w:sz="0" w:space="0" w:color="auto"/>
        <w:left w:val="none" w:sz="0" w:space="0" w:color="auto"/>
        <w:bottom w:val="none" w:sz="0" w:space="0" w:color="auto"/>
        <w:right w:val="none" w:sz="0" w:space="0" w:color="auto"/>
      </w:divBdr>
    </w:div>
    <w:div w:id="33626848">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0325548">
      <w:bodyDiv w:val="1"/>
      <w:marLeft w:val="0"/>
      <w:marRight w:val="0"/>
      <w:marTop w:val="0"/>
      <w:marBottom w:val="0"/>
      <w:divBdr>
        <w:top w:val="none" w:sz="0" w:space="0" w:color="auto"/>
        <w:left w:val="none" w:sz="0" w:space="0" w:color="auto"/>
        <w:bottom w:val="none" w:sz="0" w:space="0" w:color="auto"/>
        <w:right w:val="none" w:sz="0" w:space="0" w:color="auto"/>
      </w:divBdr>
    </w:div>
    <w:div w:id="41566282">
      <w:bodyDiv w:val="1"/>
      <w:marLeft w:val="0"/>
      <w:marRight w:val="0"/>
      <w:marTop w:val="0"/>
      <w:marBottom w:val="0"/>
      <w:divBdr>
        <w:top w:val="none" w:sz="0" w:space="0" w:color="auto"/>
        <w:left w:val="none" w:sz="0" w:space="0" w:color="auto"/>
        <w:bottom w:val="none" w:sz="0" w:space="0" w:color="auto"/>
        <w:right w:val="none" w:sz="0" w:space="0" w:color="auto"/>
      </w:divBdr>
    </w:div>
    <w:div w:id="48039520">
      <w:bodyDiv w:val="1"/>
      <w:marLeft w:val="0"/>
      <w:marRight w:val="0"/>
      <w:marTop w:val="0"/>
      <w:marBottom w:val="0"/>
      <w:divBdr>
        <w:top w:val="none" w:sz="0" w:space="0" w:color="auto"/>
        <w:left w:val="none" w:sz="0" w:space="0" w:color="auto"/>
        <w:bottom w:val="none" w:sz="0" w:space="0" w:color="auto"/>
        <w:right w:val="none" w:sz="0" w:space="0" w:color="auto"/>
      </w:divBdr>
    </w:div>
    <w:div w:id="50420380">
      <w:bodyDiv w:val="1"/>
      <w:marLeft w:val="0"/>
      <w:marRight w:val="0"/>
      <w:marTop w:val="0"/>
      <w:marBottom w:val="0"/>
      <w:divBdr>
        <w:top w:val="none" w:sz="0" w:space="0" w:color="auto"/>
        <w:left w:val="none" w:sz="0" w:space="0" w:color="auto"/>
        <w:bottom w:val="none" w:sz="0" w:space="0" w:color="auto"/>
        <w:right w:val="none" w:sz="0" w:space="0" w:color="auto"/>
      </w:divBdr>
    </w:div>
    <w:div w:id="51582516">
      <w:bodyDiv w:val="1"/>
      <w:marLeft w:val="0"/>
      <w:marRight w:val="0"/>
      <w:marTop w:val="0"/>
      <w:marBottom w:val="0"/>
      <w:divBdr>
        <w:top w:val="none" w:sz="0" w:space="0" w:color="auto"/>
        <w:left w:val="none" w:sz="0" w:space="0" w:color="auto"/>
        <w:bottom w:val="none" w:sz="0" w:space="0" w:color="auto"/>
        <w:right w:val="none" w:sz="0" w:space="0" w:color="auto"/>
      </w:divBdr>
    </w:div>
    <w:div w:id="52508620">
      <w:bodyDiv w:val="1"/>
      <w:marLeft w:val="0"/>
      <w:marRight w:val="0"/>
      <w:marTop w:val="0"/>
      <w:marBottom w:val="0"/>
      <w:divBdr>
        <w:top w:val="none" w:sz="0" w:space="0" w:color="auto"/>
        <w:left w:val="none" w:sz="0" w:space="0" w:color="auto"/>
        <w:bottom w:val="none" w:sz="0" w:space="0" w:color="auto"/>
        <w:right w:val="none" w:sz="0" w:space="0" w:color="auto"/>
      </w:divBdr>
    </w:div>
    <w:div w:id="53084564">
      <w:bodyDiv w:val="1"/>
      <w:marLeft w:val="0"/>
      <w:marRight w:val="0"/>
      <w:marTop w:val="0"/>
      <w:marBottom w:val="0"/>
      <w:divBdr>
        <w:top w:val="none" w:sz="0" w:space="0" w:color="auto"/>
        <w:left w:val="none" w:sz="0" w:space="0" w:color="auto"/>
        <w:bottom w:val="none" w:sz="0" w:space="0" w:color="auto"/>
        <w:right w:val="none" w:sz="0" w:space="0" w:color="auto"/>
      </w:divBdr>
    </w:div>
    <w:div w:id="58134626">
      <w:bodyDiv w:val="1"/>
      <w:marLeft w:val="0"/>
      <w:marRight w:val="0"/>
      <w:marTop w:val="0"/>
      <w:marBottom w:val="0"/>
      <w:divBdr>
        <w:top w:val="none" w:sz="0" w:space="0" w:color="auto"/>
        <w:left w:val="none" w:sz="0" w:space="0" w:color="auto"/>
        <w:bottom w:val="none" w:sz="0" w:space="0" w:color="auto"/>
        <w:right w:val="none" w:sz="0" w:space="0" w:color="auto"/>
      </w:divBdr>
    </w:div>
    <w:div w:id="59596762">
      <w:bodyDiv w:val="1"/>
      <w:marLeft w:val="0"/>
      <w:marRight w:val="0"/>
      <w:marTop w:val="0"/>
      <w:marBottom w:val="0"/>
      <w:divBdr>
        <w:top w:val="none" w:sz="0" w:space="0" w:color="auto"/>
        <w:left w:val="none" w:sz="0" w:space="0" w:color="auto"/>
        <w:bottom w:val="none" w:sz="0" w:space="0" w:color="auto"/>
        <w:right w:val="none" w:sz="0" w:space="0" w:color="auto"/>
      </w:divBdr>
    </w:div>
    <w:div w:id="59640334">
      <w:bodyDiv w:val="1"/>
      <w:marLeft w:val="0"/>
      <w:marRight w:val="0"/>
      <w:marTop w:val="0"/>
      <w:marBottom w:val="0"/>
      <w:divBdr>
        <w:top w:val="none" w:sz="0" w:space="0" w:color="auto"/>
        <w:left w:val="none" w:sz="0" w:space="0" w:color="auto"/>
        <w:bottom w:val="none" w:sz="0" w:space="0" w:color="auto"/>
        <w:right w:val="none" w:sz="0" w:space="0" w:color="auto"/>
      </w:divBdr>
    </w:div>
    <w:div w:id="62487127">
      <w:bodyDiv w:val="1"/>
      <w:marLeft w:val="0"/>
      <w:marRight w:val="0"/>
      <w:marTop w:val="0"/>
      <w:marBottom w:val="0"/>
      <w:divBdr>
        <w:top w:val="none" w:sz="0" w:space="0" w:color="auto"/>
        <w:left w:val="none" w:sz="0" w:space="0" w:color="auto"/>
        <w:bottom w:val="none" w:sz="0" w:space="0" w:color="auto"/>
        <w:right w:val="none" w:sz="0" w:space="0" w:color="auto"/>
      </w:divBdr>
    </w:div>
    <w:div w:id="62875719">
      <w:bodyDiv w:val="1"/>
      <w:marLeft w:val="0"/>
      <w:marRight w:val="0"/>
      <w:marTop w:val="0"/>
      <w:marBottom w:val="0"/>
      <w:divBdr>
        <w:top w:val="none" w:sz="0" w:space="0" w:color="auto"/>
        <w:left w:val="none" w:sz="0" w:space="0" w:color="auto"/>
        <w:bottom w:val="none" w:sz="0" w:space="0" w:color="auto"/>
        <w:right w:val="none" w:sz="0" w:space="0" w:color="auto"/>
      </w:divBdr>
    </w:div>
    <w:div w:id="65152409">
      <w:bodyDiv w:val="1"/>
      <w:marLeft w:val="0"/>
      <w:marRight w:val="0"/>
      <w:marTop w:val="0"/>
      <w:marBottom w:val="0"/>
      <w:divBdr>
        <w:top w:val="none" w:sz="0" w:space="0" w:color="auto"/>
        <w:left w:val="none" w:sz="0" w:space="0" w:color="auto"/>
        <w:bottom w:val="none" w:sz="0" w:space="0" w:color="auto"/>
        <w:right w:val="none" w:sz="0" w:space="0" w:color="auto"/>
      </w:divBdr>
    </w:div>
    <w:div w:id="66734642">
      <w:bodyDiv w:val="1"/>
      <w:marLeft w:val="0"/>
      <w:marRight w:val="0"/>
      <w:marTop w:val="0"/>
      <w:marBottom w:val="0"/>
      <w:divBdr>
        <w:top w:val="none" w:sz="0" w:space="0" w:color="auto"/>
        <w:left w:val="none" w:sz="0" w:space="0" w:color="auto"/>
        <w:bottom w:val="none" w:sz="0" w:space="0" w:color="auto"/>
        <w:right w:val="none" w:sz="0" w:space="0" w:color="auto"/>
      </w:divBdr>
    </w:div>
    <w:div w:id="68844839">
      <w:bodyDiv w:val="1"/>
      <w:marLeft w:val="0"/>
      <w:marRight w:val="0"/>
      <w:marTop w:val="0"/>
      <w:marBottom w:val="0"/>
      <w:divBdr>
        <w:top w:val="none" w:sz="0" w:space="0" w:color="auto"/>
        <w:left w:val="none" w:sz="0" w:space="0" w:color="auto"/>
        <w:bottom w:val="none" w:sz="0" w:space="0" w:color="auto"/>
        <w:right w:val="none" w:sz="0" w:space="0" w:color="auto"/>
      </w:divBdr>
    </w:div>
    <w:div w:id="69155422">
      <w:bodyDiv w:val="1"/>
      <w:marLeft w:val="0"/>
      <w:marRight w:val="0"/>
      <w:marTop w:val="0"/>
      <w:marBottom w:val="0"/>
      <w:divBdr>
        <w:top w:val="none" w:sz="0" w:space="0" w:color="auto"/>
        <w:left w:val="none" w:sz="0" w:space="0" w:color="auto"/>
        <w:bottom w:val="none" w:sz="0" w:space="0" w:color="auto"/>
        <w:right w:val="none" w:sz="0" w:space="0" w:color="auto"/>
      </w:divBdr>
      <w:divsChild>
        <w:div w:id="494106899">
          <w:marLeft w:val="0"/>
          <w:marRight w:val="0"/>
          <w:marTop w:val="0"/>
          <w:marBottom w:val="0"/>
          <w:divBdr>
            <w:top w:val="none" w:sz="0" w:space="0" w:color="auto"/>
            <w:left w:val="none" w:sz="0" w:space="0" w:color="auto"/>
            <w:bottom w:val="none" w:sz="0" w:space="0" w:color="auto"/>
            <w:right w:val="none" w:sz="0" w:space="0" w:color="auto"/>
          </w:divBdr>
        </w:div>
      </w:divsChild>
    </w:div>
    <w:div w:id="69353855">
      <w:bodyDiv w:val="1"/>
      <w:marLeft w:val="0"/>
      <w:marRight w:val="0"/>
      <w:marTop w:val="0"/>
      <w:marBottom w:val="0"/>
      <w:divBdr>
        <w:top w:val="none" w:sz="0" w:space="0" w:color="auto"/>
        <w:left w:val="none" w:sz="0" w:space="0" w:color="auto"/>
        <w:bottom w:val="none" w:sz="0" w:space="0" w:color="auto"/>
        <w:right w:val="none" w:sz="0" w:space="0" w:color="auto"/>
      </w:divBdr>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73361954">
      <w:bodyDiv w:val="1"/>
      <w:marLeft w:val="0"/>
      <w:marRight w:val="0"/>
      <w:marTop w:val="0"/>
      <w:marBottom w:val="0"/>
      <w:divBdr>
        <w:top w:val="none" w:sz="0" w:space="0" w:color="auto"/>
        <w:left w:val="none" w:sz="0" w:space="0" w:color="auto"/>
        <w:bottom w:val="none" w:sz="0" w:space="0" w:color="auto"/>
        <w:right w:val="none" w:sz="0" w:space="0" w:color="auto"/>
      </w:divBdr>
    </w:div>
    <w:div w:id="76291602">
      <w:bodyDiv w:val="1"/>
      <w:marLeft w:val="0"/>
      <w:marRight w:val="0"/>
      <w:marTop w:val="0"/>
      <w:marBottom w:val="0"/>
      <w:divBdr>
        <w:top w:val="none" w:sz="0" w:space="0" w:color="auto"/>
        <w:left w:val="none" w:sz="0" w:space="0" w:color="auto"/>
        <w:bottom w:val="none" w:sz="0" w:space="0" w:color="auto"/>
        <w:right w:val="none" w:sz="0" w:space="0" w:color="auto"/>
      </w:divBdr>
    </w:div>
    <w:div w:id="78983731">
      <w:bodyDiv w:val="1"/>
      <w:marLeft w:val="0"/>
      <w:marRight w:val="0"/>
      <w:marTop w:val="0"/>
      <w:marBottom w:val="0"/>
      <w:divBdr>
        <w:top w:val="none" w:sz="0" w:space="0" w:color="auto"/>
        <w:left w:val="none" w:sz="0" w:space="0" w:color="auto"/>
        <w:bottom w:val="none" w:sz="0" w:space="0" w:color="auto"/>
        <w:right w:val="none" w:sz="0" w:space="0" w:color="auto"/>
      </w:divBdr>
    </w:div>
    <w:div w:id="79645449">
      <w:bodyDiv w:val="1"/>
      <w:marLeft w:val="0"/>
      <w:marRight w:val="0"/>
      <w:marTop w:val="0"/>
      <w:marBottom w:val="0"/>
      <w:divBdr>
        <w:top w:val="none" w:sz="0" w:space="0" w:color="auto"/>
        <w:left w:val="none" w:sz="0" w:space="0" w:color="auto"/>
        <w:bottom w:val="none" w:sz="0" w:space="0" w:color="auto"/>
        <w:right w:val="none" w:sz="0" w:space="0" w:color="auto"/>
      </w:divBdr>
    </w:div>
    <w:div w:id="92677404">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95756663">
      <w:bodyDiv w:val="1"/>
      <w:marLeft w:val="0"/>
      <w:marRight w:val="0"/>
      <w:marTop w:val="0"/>
      <w:marBottom w:val="0"/>
      <w:divBdr>
        <w:top w:val="none" w:sz="0" w:space="0" w:color="auto"/>
        <w:left w:val="none" w:sz="0" w:space="0" w:color="auto"/>
        <w:bottom w:val="none" w:sz="0" w:space="0" w:color="auto"/>
        <w:right w:val="none" w:sz="0" w:space="0" w:color="auto"/>
      </w:divBdr>
    </w:div>
    <w:div w:id="99763634">
      <w:bodyDiv w:val="1"/>
      <w:marLeft w:val="0"/>
      <w:marRight w:val="0"/>
      <w:marTop w:val="0"/>
      <w:marBottom w:val="0"/>
      <w:divBdr>
        <w:top w:val="none" w:sz="0" w:space="0" w:color="auto"/>
        <w:left w:val="none" w:sz="0" w:space="0" w:color="auto"/>
        <w:bottom w:val="none" w:sz="0" w:space="0" w:color="auto"/>
        <w:right w:val="none" w:sz="0" w:space="0" w:color="auto"/>
      </w:divBdr>
    </w:div>
    <w:div w:id="102001820">
      <w:bodyDiv w:val="1"/>
      <w:marLeft w:val="0"/>
      <w:marRight w:val="0"/>
      <w:marTop w:val="0"/>
      <w:marBottom w:val="0"/>
      <w:divBdr>
        <w:top w:val="none" w:sz="0" w:space="0" w:color="auto"/>
        <w:left w:val="none" w:sz="0" w:space="0" w:color="auto"/>
        <w:bottom w:val="none" w:sz="0" w:space="0" w:color="auto"/>
        <w:right w:val="none" w:sz="0" w:space="0" w:color="auto"/>
      </w:divBdr>
    </w:div>
    <w:div w:id="108205135">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13868192">
      <w:bodyDiv w:val="1"/>
      <w:marLeft w:val="0"/>
      <w:marRight w:val="0"/>
      <w:marTop w:val="0"/>
      <w:marBottom w:val="0"/>
      <w:divBdr>
        <w:top w:val="none" w:sz="0" w:space="0" w:color="auto"/>
        <w:left w:val="none" w:sz="0" w:space="0" w:color="auto"/>
        <w:bottom w:val="none" w:sz="0" w:space="0" w:color="auto"/>
        <w:right w:val="none" w:sz="0" w:space="0" w:color="auto"/>
      </w:divBdr>
    </w:div>
    <w:div w:id="116484937">
      <w:bodyDiv w:val="1"/>
      <w:marLeft w:val="0"/>
      <w:marRight w:val="0"/>
      <w:marTop w:val="0"/>
      <w:marBottom w:val="0"/>
      <w:divBdr>
        <w:top w:val="none" w:sz="0" w:space="0" w:color="auto"/>
        <w:left w:val="none" w:sz="0" w:space="0" w:color="auto"/>
        <w:bottom w:val="none" w:sz="0" w:space="0" w:color="auto"/>
        <w:right w:val="none" w:sz="0" w:space="0" w:color="auto"/>
      </w:divBdr>
    </w:div>
    <w:div w:id="116723453">
      <w:bodyDiv w:val="1"/>
      <w:marLeft w:val="0"/>
      <w:marRight w:val="0"/>
      <w:marTop w:val="0"/>
      <w:marBottom w:val="0"/>
      <w:divBdr>
        <w:top w:val="none" w:sz="0" w:space="0" w:color="auto"/>
        <w:left w:val="none" w:sz="0" w:space="0" w:color="auto"/>
        <w:bottom w:val="none" w:sz="0" w:space="0" w:color="auto"/>
        <w:right w:val="none" w:sz="0" w:space="0" w:color="auto"/>
      </w:divBdr>
    </w:div>
    <w:div w:id="116917720">
      <w:bodyDiv w:val="1"/>
      <w:marLeft w:val="0"/>
      <w:marRight w:val="0"/>
      <w:marTop w:val="0"/>
      <w:marBottom w:val="0"/>
      <w:divBdr>
        <w:top w:val="none" w:sz="0" w:space="0" w:color="auto"/>
        <w:left w:val="none" w:sz="0" w:space="0" w:color="auto"/>
        <w:bottom w:val="none" w:sz="0" w:space="0" w:color="auto"/>
        <w:right w:val="none" w:sz="0" w:space="0" w:color="auto"/>
      </w:divBdr>
    </w:div>
    <w:div w:id="121852250">
      <w:bodyDiv w:val="1"/>
      <w:marLeft w:val="0"/>
      <w:marRight w:val="0"/>
      <w:marTop w:val="0"/>
      <w:marBottom w:val="0"/>
      <w:divBdr>
        <w:top w:val="none" w:sz="0" w:space="0" w:color="auto"/>
        <w:left w:val="none" w:sz="0" w:space="0" w:color="auto"/>
        <w:bottom w:val="none" w:sz="0" w:space="0" w:color="auto"/>
        <w:right w:val="none" w:sz="0" w:space="0" w:color="auto"/>
      </w:divBdr>
    </w:div>
    <w:div w:id="122239181">
      <w:bodyDiv w:val="1"/>
      <w:marLeft w:val="0"/>
      <w:marRight w:val="0"/>
      <w:marTop w:val="0"/>
      <w:marBottom w:val="0"/>
      <w:divBdr>
        <w:top w:val="none" w:sz="0" w:space="0" w:color="auto"/>
        <w:left w:val="none" w:sz="0" w:space="0" w:color="auto"/>
        <w:bottom w:val="none" w:sz="0" w:space="0" w:color="auto"/>
        <w:right w:val="none" w:sz="0" w:space="0" w:color="auto"/>
      </w:divBdr>
    </w:div>
    <w:div w:id="132916996">
      <w:bodyDiv w:val="1"/>
      <w:marLeft w:val="0"/>
      <w:marRight w:val="0"/>
      <w:marTop w:val="0"/>
      <w:marBottom w:val="0"/>
      <w:divBdr>
        <w:top w:val="none" w:sz="0" w:space="0" w:color="auto"/>
        <w:left w:val="none" w:sz="0" w:space="0" w:color="auto"/>
        <w:bottom w:val="none" w:sz="0" w:space="0" w:color="auto"/>
        <w:right w:val="none" w:sz="0" w:space="0" w:color="auto"/>
      </w:divBdr>
    </w:div>
    <w:div w:id="134417971">
      <w:bodyDiv w:val="1"/>
      <w:marLeft w:val="0"/>
      <w:marRight w:val="0"/>
      <w:marTop w:val="0"/>
      <w:marBottom w:val="0"/>
      <w:divBdr>
        <w:top w:val="none" w:sz="0" w:space="0" w:color="auto"/>
        <w:left w:val="none" w:sz="0" w:space="0" w:color="auto"/>
        <w:bottom w:val="none" w:sz="0" w:space="0" w:color="auto"/>
        <w:right w:val="none" w:sz="0" w:space="0" w:color="auto"/>
      </w:divBdr>
    </w:div>
    <w:div w:id="139731590">
      <w:bodyDiv w:val="1"/>
      <w:marLeft w:val="0"/>
      <w:marRight w:val="0"/>
      <w:marTop w:val="0"/>
      <w:marBottom w:val="0"/>
      <w:divBdr>
        <w:top w:val="none" w:sz="0" w:space="0" w:color="auto"/>
        <w:left w:val="none" w:sz="0" w:space="0" w:color="auto"/>
        <w:bottom w:val="none" w:sz="0" w:space="0" w:color="auto"/>
        <w:right w:val="none" w:sz="0" w:space="0" w:color="auto"/>
      </w:divBdr>
    </w:div>
    <w:div w:id="140580827">
      <w:bodyDiv w:val="1"/>
      <w:marLeft w:val="0"/>
      <w:marRight w:val="0"/>
      <w:marTop w:val="0"/>
      <w:marBottom w:val="0"/>
      <w:divBdr>
        <w:top w:val="none" w:sz="0" w:space="0" w:color="auto"/>
        <w:left w:val="none" w:sz="0" w:space="0" w:color="auto"/>
        <w:bottom w:val="none" w:sz="0" w:space="0" w:color="auto"/>
        <w:right w:val="none" w:sz="0" w:space="0" w:color="auto"/>
      </w:divBdr>
      <w:divsChild>
        <w:div w:id="1645744409">
          <w:marLeft w:val="0"/>
          <w:marRight w:val="0"/>
          <w:marTop w:val="0"/>
          <w:marBottom w:val="0"/>
          <w:divBdr>
            <w:top w:val="none" w:sz="0" w:space="0" w:color="auto"/>
            <w:left w:val="none" w:sz="0" w:space="0" w:color="auto"/>
            <w:bottom w:val="none" w:sz="0" w:space="0" w:color="auto"/>
            <w:right w:val="none" w:sz="0" w:space="0" w:color="auto"/>
          </w:divBdr>
        </w:div>
      </w:divsChild>
    </w:div>
    <w:div w:id="141235507">
      <w:bodyDiv w:val="1"/>
      <w:marLeft w:val="0"/>
      <w:marRight w:val="0"/>
      <w:marTop w:val="0"/>
      <w:marBottom w:val="0"/>
      <w:divBdr>
        <w:top w:val="none" w:sz="0" w:space="0" w:color="auto"/>
        <w:left w:val="none" w:sz="0" w:space="0" w:color="auto"/>
        <w:bottom w:val="none" w:sz="0" w:space="0" w:color="auto"/>
        <w:right w:val="none" w:sz="0" w:space="0" w:color="auto"/>
      </w:divBdr>
    </w:div>
    <w:div w:id="141965648">
      <w:bodyDiv w:val="1"/>
      <w:marLeft w:val="0"/>
      <w:marRight w:val="0"/>
      <w:marTop w:val="0"/>
      <w:marBottom w:val="0"/>
      <w:divBdr>
        <w:top w:val="none" w:sz="0" w:space="0" w:color="auto"/>
        <w:left w:val="none" w:sz="0" w:space="0" w:color="auto"/>
        <w:bottom w:val="none" w:sz="0" w:space="0" w:color="auto"/>
        <w:right w:val="none" w:sz="0" w:space="0" w:color="auto"/>
      </w:divBdr>
      <w:divsChild>
        <w:div w:id="855995317">
          <w:marLeft w:val="0"/>
          <w:marRight w:val="0"/>
          <w:marTop w:val="0"/>
          <w:marBottom w:val="0"/>
          <w:divBdr>
            <w:top w:val="none" w:sz="0" w:space="0" w:color="auto"/>
            <w:left w:val="none" w:sz="0" w:space="0" w:color="auto"/>
            <w:bottom w:val="none" w:sz="0" w:space="0" w:color="auto"/>
            <w:right w:val="none" w:sz="0" w:space="0" w:color="auto"/>
          </w:divBdr>
        </w:div>
      </w:divsChild>
    </w:div>
    <w:div w:id="150677296">
      <w:bodyDiv w:val="1"/>
      <w:marLeft w:val="0"/>
      <w:marRight w:val="0"/>
      <w:marTop w:val="0"/>
      <w:marBottom w:val="0"/>
      <w:divBdr>
        <w:top w:val="none" w:sz="0" w:space="0" w:color="auto"/>
        <w:left w:val="none" w:sz="0" w:space="0" w:color="auto"/>
        <w:bottom w:val="none" w:sz="0" w:space="0" w:color="auto"/>
        <w:right w:val="none" w:sz="0" w:space="0" w:color="auto"/>
      </w:divBdr>
    </w:div>
    <w:div w:id="160433141">
      <w:bodyDiv w:val="1"/>
      <w:marLeft w:val="0"/>
      <w:marRight w:val="0"/>
      <w:marTop w:val="0"/>
      <w:marBottom w:val="0"/>
      <w:divBdr>
        <w:top w:val="none" w:sz="0" w:space="0" w:color="auto"/>
        <w:left w:val="none" w:sz="0" w:space="0" w:color="auto"/>
        <w:bottom w:val="none" w:sz="0" w:space="0" w:color="auto"/>
        <w:right w:val="none" w:sz="0" w:space="0" w:color="auto"/>
      </w:divBdr>
    </w:div>
    <w:div w:id="160507189">
      <w:bodyDiv w:val="1"/>
      <w:marLeft w:val="0"/>
      <w:marRight w:val="0"/>
      <w:marTop w:val="0"/>
      <w:marBottom w:val="0"/>
      <w:divBdr>
        <w:top w:val="none" w:sz="0" w:space="0" w:color="auto"/>
        <w:left w:val="none" w:sz="0" w:space="0" w:color="auto"/>
        <w:bottom w:val="none" w:sz="0" w:space="0" w:color="auto"/>
        <w:right w:val="none" w:sz="0" w:space="0" w:color="auto"/>
      </w:divBdr>
      <w:divsChild>
        <w:div w:id="1182747578">
          <w:marLeft w:val="0"/>
          <w:marRight w:val="0"/>
          <w:marTop w:val="0"/>
          <w:marBottom w:val="300"/>
          <w:divBdr>
            <w:top w:val="single" w:sz="6" w:space="18" w:color="E3E3E3"/>
            <w:left w:val="single" w:sz="6" w:space="18" w:color="E3E3E3"/>
            <w:bottom w:val="single" w:sz="6" w:space="18" w:color="E3E3E3"/>
            <w:right w:val="single" w:sz="6" w:space="18" w:color="E3E3E3"/>
          </w:divBdr>
        </w:div>
        <w:div w:id="1955675026">
          <w:marLeft w:val="0"/>
          <w:marRight w:val="0"/>
          <w:marTop w:val="0"/>
          <w:marBottom w:val="0"/>
          <w:divBdr>
            <w:top w:val="none" w:sz="0" w:space="0" w:color="auto"/>
            <w:left w:val="none" w:sz="0" w:space="0" w:color="auto"/>
            <w:bottom w:val="none" w:sz="0" w:space="0" w:color="auto"/>
            <w:right w:val="none" w:sz="0" w:space="0" w:color="auto"/>
          </w:divBdr>
          <w:divsChild>
            <w:div w:id="1000962667">
              <w:marLeft w:val="0"/>
              <w:marRight w:val="0"/>
              <w:marTop w:val="0"/>
              <w:marBottom w:val="0"/>
              <w:divBdr>
                <w:top w:val="none" w:sz="0" w:space="0" w:color="auto"/>
                <w:left w:val="none" w:sz="0" w:space="0" w:color="auto"/>
                <w:bottom w:val="none" w:sz="0" w:space="0" w:color="auto"/>
                <w:right w:val="none" w:sz="0" w:space="0" w:color="auto"/>
              </w:divBdr>
            </w:div>
          </w:divsChild>
        </w:div>
        <w:div w:id="1761825526">
          <w:blockQuote w:val="1"/>
          <w:marLeft w:val="0"/>
          <w:marRight w:val="0"/>
          <w:marTop w:val="0"/>
          <w:marBottom w:val="330"/>
          <w:divBdr>
            <w:top w:val="none" w:sz="0" w:space="0" w:color="auto"/>
            <w:left w:val="single" w:sz="36" w:space="17" w:color="EEEEEE"/>
            <w:bottom w:val="none" w:sz="0" w:space="0" w:color="auto"/>
            <w:right w:val="none" w:sz="0" w:space="0" w:color="auto"/>
          </w:divBdr>
        </w:div>
        <w:div w:id="1378554611">
          <w:blockQuote w:val="1"/>
          <w:marLeft w:val="0"/>
          <w:marRight w:val="0"/>
          <w:marTop w:val="0"/>
          <w:marBottom w:val="330"/>
          <w:divBdr>
            <w:top w:val="none" w:sz="0" w:space="0" w:color="auto"/>
            <w:left w:val="single" w:sz="36" w:space="17" w:color="EEEEEE"/>
            <w:bottom w:val="none" w:sz="0" w:space="0" w:color="auto"/>
            <w:right w:val="none" w:sz="0" w:space="0" w:color="auto"/>
          </w:divBdr>
        </w:div>
        <w:div w:id="473573092">
          <w:marLeft w:val="0"/>
          <w:marRight w:val="0"/>
          <w:marTop w:val="0"/>
          <w:marBottom w:val="0"/>
          <w:divBdr>
            <w:top w:val="none" w:sz="0" w:space="0" w:color="auto"/>
            <w:left w:val="none" w:sz="0" w:space="0" w:color="auto"/>
            <w:bottom w:val="none" w:sz="0" w:space="0" w:color="auto"/>
            <w:right w:val="none" w:sz="0" w:space="0" w:color="auto"/>
          </w:divBdr>
          <w:divsChild>
            <w:div w:id="2042852357">
              <w:marLeft w:val="0"/>
              <w:marRight w:val="0"/>
              <w:marTop w:val="0"/>
              <w:marBottom w:val="0"/>
              <w:divBdr>
                <w:top w:val="none" w:sz="0" w:space="0" w:color="auto"/>
                <w:left w:val="none" w:sz="0" w:space="0" w:color="auto"/>
                <w:bottom w:val="none" w:sz="0" w:space="0" w:color="auto"/>
                <w:right w:val="none" w:sz="0" w:space="0" w:color="auto"/>
              </w:divBdr>
            </w:div>
            <w:div w:id="1125074766">
              <w:marLeft w:val="0"/>
              <w:marRight w:val="0"/>
              <w:marTop w:val="0"/>
              <w:marBottom w:val="0"/>
              <w:divBdr>
                <w:top w:val="none" w:sz="0" w:space="0" w:color="auto"/>
                <w:left w:val="none" w:sz="0" w:space="0" w:color="auto"/>
                <w:bottom w:val="none" w:sz="0" w:space="0" w:color="auto"/>
                <w:right w:val="none" w:sz="0" w:space="0" w:color="auto"/>
              </w:divBdr>
              <w:divsChild>
                <w:div w:id="583491459">
                  <w:marLeft w:val="0"/>
                  <w:marRight w:val="0"/>
                  <w:marTop w:val="0"/>
                  <w:marBottom w:val="0"/>
                  <w:divBdr>
                    <w:top w:val="none" w:sz="0" w:space="0" w:color="auto"/>
                    <w:left w:val="none" w:sz="0" w:space="0" w:color="auto"/>
                    <w:bottom w:val="none" w:sz="0" w:space="0" w:color="auto"/>
                    <w:right w:val="none" w:sz="0" w:space="0" w:color="auto"/>
                  </w:divBdr>
                  <w:divsChild>
                    <w:div w:id="1830095777">
                      <w:marLeft w:val="68"/>
                      <w:marRight w:val="68"/>
                      <w:marTop w:val="68"/>
                      <w:marBottom w:val="68"/>
                      <w:divBdr>
                        <w:top w:val="none" w:sz="0" w:space="0" w:color="auto"/>
                        <w:left w:val="none" w:sz="0" w:space="0" w:color="auto"/>
                        <w:bottom w:val="none" w:sz="0" w:space="0" w:color="auto"/>
                        <w:right w:val="none" w:sz="0" w:space="0" w:color="auto"/>
                      </w:divBdr>
                      <w:divsChild>
                        <w:div w:id="23366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656724">
                  <w:marLeft w:val="0"/>
                  <w:marRight w:val="0"/>
                  <w:marTop w:val="0"/>
                  <w:marBottom w:val="0"/>
                  <w:divBdr>
                    <w:top w:val="none" w:sz="0" w:space="0" w:color="auto"/>
                    <w:left w:val="none" w:sz="0" w:space="0" w:color="auto"/>
                    <w:bottom w:val="none" w:sz="0" w:space="0" w:color="auto"/>
                    <w:right w:val="none" w:sz="0" w:space="0" w:color="auto"/>
                  </w:divBdr>
                  <w:divsChild>
                    <w:div w:id="1505634658">
                      <w:marLeft w:val="150"/>
                      <w:marRight w:val="150"/>
                      <w:marTop w:val="0"/>
                      <w:marBottom w:val="0"/>
                      <w:divBdr>
                        <w:top w:val="none" w:sz="0" w:space="0" w:color="auto"/>
                        <w:left w:val="none" w:sz="0" w:space="0" w:color="auto"/>
                        <w:bottom w:val="none" w:sz="0" w:space="0" w:color="auto"/>
                        <w:right w:val="none" w:sz="0" w:space="0" w:color="auto"/>
                      </w:divBdr>
                      <w:divsChild>
                        <w:div w:id="139265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72055">
          <w:blockQuote w:val="1"/>
          <w:marLeft w:val="0"/>
          <w:marRight w:val="0"/>
          <w:marTop w:val="0"/>
          <w:marBottom w:val="330"/>
          <w:divBdr>
            <w:top w:val="none" w:sz="0" w:space="0" w:color="auto"/>
            <w:left w:val="single" w:sz="36" w:space="17" w:color="EEEEEE"/>
            <w:bottom w:val="none" w:sz="0" w:space="0" w:color="auto"/>
            <w:right w:val="none" w:sz="0" w:space="0" w:color="auto"/>
          </w:divBdr>
        </w:div>
        <w:div w:id="1335110122">
          <w:blockQuote w:val="1"/>
          <w:marLeft w:val="0"/>
          <w:marRight w:val="0"/>
          <w:marTop w:val="0"/>
          <w:marBottom w:val="330"/>
          <w:divBdr>
            <w:top w:val="none" w:sz="0" w:space="0" w:color="auto"/>
            <w:left w:val="single" w:sz="36" w:space="17" w:color="EEEEEE"/>
            <w:bottom w:val="none" w:sz="0" w:space="0" w:color="auto"/>
            <w:right w:val="none" w:sz="0" w:space="0" w:color="auto"/>
          </w:divBdr>
        </w:div>
        <w:div w:id="346638760">
          <w:blockQuote w:val="1"/>
          <w:marLeft w:val="0"/>
          <w:marRight w:val="0"/>
          <w:marTop w:val="0"/>
          <w:marBottom w:val="330"/>
          <w:divBdr>
            <w:top w:val="none" w:sz="0" w:space="0" w:color="auto"/>
            <w:left w:val="single" w:sz="36" w:space="17" w:color="EEEEEE"/>
            <w:bottom w:val="none" w:sz="0" w:space="0" w:color="auto"/>
            <w:right w:val="none" w:sz="0" w:space="0" w:color="auto"/>
          </w:divBdr>
        </w:div>
        <w:div w:id="1261569683">
          <w:blockQuote w:val="1"/>
          <w:marLeft w:val="0"/>
          <w:marRight w:val="0"/>
          <w:marTop w:val="0"/>
          <w:marBottom w:val="330"/>
          <w:divBdr>
            <w:top w:val="none" w:sz="0" w:space="0" w:color="auto"/>
            <w:left w:val="single" w:sz="36" w:space="17" w:color="EEEEEE"/>
            <w:bottom w:val="none" w:sz="0" w:space="0" w:color="auto"/>
            <w:right w:val="none" w:sz="0" w:space="0" w:color="auto"/>
          </w:divBdr>
        </w:div>
        <w:div w:id="1145662607">
          <w:blockQuote w:val="1"/>
          <w:marLeft w:val="0"/>
          <w:marRight w:val="0"/>
          <w:marTop w:val="0"/>
          <w:marBottom w:val="330"/>
          <w:divBdr>
            <w:top w:val="none" w:sz="0" w:space="0" w:color="auto"/>
            <w:left w:val="single" w:sz="36" w:space="17" w:color="EEEEEE"/>
            <w:bottom w:val="none" w:sz="0" w:space="0" w:color="auto"/>
            <w:right w:val="none" w:sz="0" w:space="0" w:color="auto"/>
          </w:divBdr>
        </w:div>
        <w:div w:id="1359811584">
          <w:blockQuote w:val="1"/>
          <w:marLeft w:val="0"/>
          <w:marRight w:val="0"/>
          <w:marTop w:val="0"/>
          <w:marBottom w:val="330"/>
          <w:divBdr>
            <w:top w:val="none" w:sz="0" w:space="0" w:color="auto"/>
            <w:left w:val="single" w:sz="36" w:space="17" w:color="EEEEEE"/>
            <w:bottom w:val="none" w:sz="0" w:space="0" w:color="auto"/>
            <w:right w:val="none" w:sz="0" w:space="0" w:color="auto"/>
          </w:divBdr>
        </w:div>
        <w:div w:id="145478602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66213885">
      <w:bodyDiv w:val="1"/>
      <w:marLeft w:val="0"/>
      <w:marRight w:val="0"/>
      <w:marTop w:val="0"/>
      <w:marBottom w:val="0"/>
      <w:divBdr>
        <w:top w:val="none" w:sz="0" w:space="0" w:color="auto"/>
        <w:left w:val="none" w:sz="0" w:space="0" w:color="auto"/>
        <w:bottom w:val="none" w:sz="0" w:space="0" w:color="auto"/>
        <w:right w:val="none" w:sz="0" w:space="0" w:color="auto"/>
      </w:divBdr>
    </w:div>
    <w:div w:id="166672181">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174421051">
      <w:bodyDiv w:val="1"/>
      <w:marLeft w:val="0"/>
      <w:marRight w:val="0"/>
      <w:marTop w:val="0"/>
      <w:marBottom w:val="0"/>
      <w:divBdr>
        <w:top w:val="none" w:sz="0" w:space="0" w:color="auto"/>
        <w:left w:val="none" w:sz="0" w:space="0" w:color="auto"/>
        <w:bottom w:val="none" w:sz="0" w:space="0" w:color="auto"/>
        <w:right w:val="none" w:sz="0" w:space="0" w:color="auto"/>
      </w:divBdr>
    </w:div>
    <w:div w:id="175004077">
      <w:bodyDiv w:val="1"/>
      <w:marLeft w:val="0"/>
      <w:marRight w:val="0"/>
      <w:marTop w:val="0"/>
      <w:marBottom w:val="0"/>
      <w:divBdr>
        <w:top w:val="none" w:sz="0" w:space="0" w:color="auto"/>
        <w:left w:val="none" w:sz="0" w:space="0" w:color="auto"/>
        <w:bottom w:val="none" w:sz="0" w:space="0" w:color="auto"/>
        <w:right w:val="none" w:sz="0" w:space="0" w:color="auto"/>
      </w:divBdr>
    </w:div>
    <w:div w:id="176699783">
      <w:bodyDiv w:val="1"/>
      <w:marLeft w:val="0"/>
      <w:marRight w:val="0"/>
      <w:marTop w:val="0"/>
      <w:marBottom w:val="0"/>
      <w:divBdr>
        <w:top w:val="none" w:sz="0" w:space="0" w:color="auto"/>
        <w:left w:val="none" w:sz="0" w:space="0" w:color="auto"/>
        <w:bottom w:val="none" w:sz="0" w:space="0" w:color="auto"/>
        <w:right w:val="none" w:sz="0" w:space="0" w:color="auto"/>
      </w:divBdr>
    </w:div>
    <w:div w:id="179660174">
      <w:bodyDiv w:val="1"/>
      <w:marLeft w:val="0"/>
      <w:marRight w:val="0"/>
      <w:marTop w:val="0"/>
      <w:marBottom w:val="0"/>
      <w:divBdr>
        <w:top w:val="none" w:sz="0" w:space="0" w:color="auto"/>
        <w:left w:val="none" w:sz="0" w:space="0" w:color="auto"/>
        <w:bottom w:val="none" w:sz="0" w:space="0" w:color="auto"/>
        <w:right w:val="none" w:sz="0" w:space="0" w:color="auto"/>
      </w:divBdr>
    </w:div>
    <w:div w:id="187184944">
      <w:bodyDiv w:val="1"/>
      <w:marLeft w:val="0"/>
      <w:marRight w:val="0"/>
      <w:marTop w:val="0"/>
      <w:marBottom w:val="0"/>
      <w:divBdr>
        <w:top w:val="none" w:sz="0" w:space="0" w:color="auto"/>
        <w:left w:val="none" w:sz="0" w:space="0" w:color="auto"/>
        <w:bottom w:val="none" w:sz="0" w:space="0" w:color="auto"/>
        <w:right w:val="none" w:sz="0" w:space="0" w:color="auto"/>
      </w:divBdr>
    </w:div>
    <w:div w:id="190338934">
      <w:bodyDiv w:val="1"/>
      <w:marLeft w:val="0"/>
      <w:marRight w:val="0"/>
      <w:marTop w:val="0"/>
      <w:marBottom w:val="0"/>
      <w:divBdr>
        <w:top w:val="none" w:sz="0" w:space="0" w:color="auto"/>
        <w:left w:val="none" w:sz="0" w:space="0" w:color="auto"/>
        <w:bottom w:val="none" w:sz="0" w:space="0" w:color="auto"/>
        <w:right w:val="none" w:sz="0" w:space="0" w:color="auto"/>
      </w:divBdr>
    </w:div>
    <w:div w:id="198052464">
      <w:bodyDiv w:val="1"/>
      <w:marLeft w:val="0"/>
      <w:marRight w:val="0"/>
      <w:marTop w:val="0"/>
      <w:marBottom w:val="0"/>
      <w:divBdr>
        <w:top w:val="none" w:sz="0" w:space="0" w:color="auto"/>
        <w:left w:val="none" w:sz="0" w:space="0" w:color="auto"/>
        <w:bottom w:val="none" w:sz="0" w:space="0" w:color="auto"/>
        <w:right w:val="none" w:sz="0" w:space="0" w:color="auto"/>
      </w:divBdr>
      <w:divsChild>
        <w:div w:id="1442334081">
          <w:marLeft w:val="0"/>
          <w:marRight w:val="0"/>
          <w:marTop w:val="0"/>
          <w:marBottom w:val="75"/>
          <w:divBdr>
            <w:top w:val="none" w:sz="0" w:space="0" w:color="auto"/>
            <w:left w:val="none" w:sz="0" w:space="0" w:color="auto"/>
            <w:bottom w:val="none" w:sz="0" w:space="0" w:color="auto"/>
            <w:right w:val="none" w:sz="0" w:space="0" w:color="auto"/>
          </w:divBdr>
        </w:div>
      </w:divsChild>
    </w:div>
    <w:div w:id="202594508">
      <w:bodyDiv w:val="1"/>
      <w:marLeft w:val="0"/>
      <w:marRight w:val="0"/>
      <w:marTop w:val="0"/>
      <w:marBottom w:val="0"/>
      <w:divBdr>
        <w:top w:val="none" w:sz="0" w:space="0" w:color="auto"/>
        <w:left w:val="none" w:sz="0" w:space="0" w:color="auto"/>
        <w:bottom w:val="none" w:sz="0" w:space="0" w:color="auto"/>
        <w:right w:val="none" w:sz="0" w:space="0" w:color="auto"/>
      </w:divBdr>
    </w:div>
    <w:div w:id="204369692">
      <w:bodyDiv w:val="1"/>
      <w:marLeft w:val="0"/>
      <w:marRight w:val="0"/>
      <w:marTop w:val="0"/>
      <w:marBottom w:val="0"/>
      <w:divBdr>
        <w:top w:val="none" w:sz="0" w:space="0" w:color="auto"/>
        <w:left w:val="none" w:sz="0" w:space="0" w:color="auto"/>
        <w:bottom w:val="none" w:sz="0" w:space="0" w:color="auto"/>
        <w:right w:val="none" w:sz="0" w:space="0" w:color="auto"/>
      </w:divBdr>
    </w:div>
    <w:div w:id="205340630">
      <w:bodyDiv w:val="1"/>
      <w:marLeft w:val="0"/>
      <w:marRight w:val="0"/>
      <w:marTop w:val="0"/>
      <w:marBottom w:val="0"/>
      <w:divBdr>
        <w:top w:val="none" w:sz="0" w:space="0" w:color="auto"/>
        <w:left w:val="none" w:sz="0" w:space="0" w:color="auto"/>
        <w:bottom w:val="none" w:sz="0" w:space="0" w:color="auto"/>
        <w:right w:val="none" w:sz="0" w:space="0" w:color="auto"/>
      </w:divBdr>
      <w:divsChild>
        <w:div w:id="295990532">
          <w:marLeft w:val="0"/>
          <w:marRight w:val="0"/>
          <w:marTop w:val="0"/>
          <w:marBottom w:val="0"/>
          <w:divBdr>
            <w:top w:val="none" w:sz="0" w:space="0" w:color="auto"/>
            <w:left w:val="none" w:sz="0" w:space="0" w:color="auto"/>
            <w:bottom w:val="none" w:sz="0" w:space="0" w:color="auto"/>
            <w:right w:val="none" w:sz="0" w:space="0" w:color="auto"/>
          </w:divBdr>
          <w:divsChild>
            <w:div w:id="1868910147">
              <w:marLeft w:val="0"/>
              <w:marRight w:val="0"/>
              <w:marTop w:val="0"/>
              <w:marBottom w:val="0"/>
              <w:divBdr>
                <w:top w:val="none" w:sz="0" w:space="0" w:color="auto"/>
                <w:left w:val="none" w:sz="0" w:space="0" w:color="auto"/>
                <w:bottom w:val="none" w:sz="0" w:space="0" w:color="auto"/>
                <w:right w:val="none" w:sz="0" w:space="0" w:color="auto"/>
              </w:divBdr>
            </w:div>
          </w:divsChild>
        </w:div>
        <w:div w:id="598759231">
          <w:marLeft w:val="0"/>
          <w:marRight w:val="0"/>
          <w:marTop w:val="0"/>
          <w:marBottom w:val="0"/>
          <w:divBdr>
            <w:top w:val="none" w:sz="0" w:space="0" w:color="auto"/>
            <w:left w:val="none" w:sz="0" w:space="0" w:color="auto"/>
            <w:bottom w:val="none" w:sz="0" w:space="0" w:color="auto"/>
            <w:right w:val="none" w:sz="0" w:space="0" w:color="auto"/>
          </w:divBdr>
          <w:divsChild>
            <w:div w:id="1188064468">
              <w:marLeft w:val="0"/>
              <w:marRight w:val="0"/>
              <w:marTop w:val="0"/>
              <w:marBottom w:val="0"/>
              <w:divBdr>
                <w:top w:val="none" w:sz="0" w:space="0" w:color="auto"/>
                <w:left w:val="none" w:sz="0" w:space="0" w:color="auto"/>
                <w:bottom w:val="none" w:sz="0" w:space="0" w:color="auto"/>
                <w:right w:val="none" w:sz="0" w:space="0" w:color="auto"/>
              </w:divBdr>
            </w:div>
          </w:divsChild>
        </w:div>
        <w:div w:id="473714467">
          <w:marLeft w:val="0"/>
          <w:marRight w:val="0"/>
          <w:marTop w:val="0"/>
          <w:marBottom w:val="0"/>
          <w:divBdr>
            <w:top w:val="none" w:sz="0" w:space="0" w:color="auto"/>
            <w:left w:val="none" w:sz="0" w:space="0" w:color="auto"/>
            <w:bottom w:val="none" w:sz="0" w:space="0" w:color="auto"/>
            <w:right w:val="none" w:sz="0" w:space="0" w:color="auto"/>
          </w:divBdr>
          <w:divsChild>
            <w:div w:id="106849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3268">
      <w:bodyDiv w:val="1"/>
      <w:marLeft w:val="0"/>
      <w:marRight w:val="0"/>
      <w:marTop w:val="0"/>
      <w:marBottom w:val="0"/>
      <w:divBdr>
        <w:top w:val="none" w:sz="0" w:space="0" w:color="auto"/>
        <w:left w:val="none" w:sz="0" w:space="0" w:color="auto"/>
        <w:bottom w:val="none" w:sz="0" w:space="0" w:color="auto"/>
        <w:right w:val="none" w:sz="0" w:space="0" w:color="auto"/>
      </w:divBdr>
      <w:divsChild>
        <w:div w:id="568728438">
          <w:marLeft w:val="0"/>
          <w:marRight w:val="0"/>
          <w:marTop w:val="0"/>
          <w:marBottom w:val="0"/>
          <w:divBdr>
            <w:top w:val="none" w:sz="0" w:space="0" w:color="auto"/>
            <w:left w:val="none" w:sz="0" w:space="0" w:color="auto"/>
            <w:bottom w:val="none" w:sz="0" w:space="0" w:color="auto"/>
            <w:right w:val="none" w:sz="0" w:space="0" w:color="auto"/>
          </w:divBdr>
        </w:div>
      </w:divsChild>
    </w:div>
    <w:div w:id="212080884">
      <w:bodyDiv w:val="1"/>
      <w:marLeft w:val="0"/>
      <w:marRight w:val="0"/>
      <w:marTop w:val="0"/>
      <w:marBottom w:val="0"/>
      <w:divBdr>
        <w:top w:val="none" w:sz="0" w:space="0" w:color="auto"/>
        <w:left w:val="none" w:sz="0" w:space="0" w:color="auto"/>
        <w:bottom w:val="none" w:sz="0" w:space="0" w:color="auto"/>
        <w:right w:val="none" w:sz="0" w:space="0" w:color="auto"/>
      </w:divBdr>
      <w:divsChild>
        <w:div w:id="530807253">
          <w:marLeft w:val="0"/>
          <w:marRight w:val="0"/>
          <w:marTop w:val="0"/>
          <w:marBottom w:val="0"/>
          <w:divBdr>
            <w:top w:val="none" w:sz="0" w:space="0" w:color="auto"/>
            <w:left w:val="none" w:sz="0" w:space="0" w:color="auto"/>
            <w:bottom w:val="none" w:sz="0" w:space="0" w:color="auto"/>
            <w:right w:val="none" w:sz="0" w:space="0" w:color="auto"/>
          </w:divBdr>
        </w:div>
      </w:divsChild>
    </w:div>
    <w:div w:id="213155120">
      <w:bodyDiv w:val="1"/>
      <w:marLeft w:val="0"/>
      <w:marRight w:val="0"/>
      <w:marTop w:val="0"/>
      <w:marBottom w:val="0"/>
      <w:divBdr>
        <w:top w:val="none" w:sz="0" w:space="0" w:color="auto"/>
        <w:left w:val="none" w:sz="0" w:space="0" w:color="auto"/>
        <w:bottom w:val="none" w:sz="0" w:space="0" w:color="auto"/>
        <w:right w:val="none" w:sz="0" w:space="0" w:color="auto"/>
      </w:divBdr>
    </w:div>
    <w:div w:id="219705611">
      <w:bodyDiv w:val="1"/>
      <w:marLeft w:val="0"/>
      <w:marRight w:val="0"/>
      <w:marTop w:val="0"/>
      <w:marBottom w:val="0"/>
      <w:divBdr>
        <w:top w:val="none" w:sz="0" w:space="0" w:color="auto"/>
        <w:left w:val="none" w:sz="0" w:space="0" w:color="auto"/>
        <w:bottom w:val="none" w:sz="0" w:space="0" w:color="auto"/>
        <w:right w:val="none" w:sz="0" w:space="0" w:color="auto"/>
      </w:divBdr>
    </w:div>
    <w:div w:id="220484796">
      <w:bodyDiv w:val="1"/>
      <w:marLeft w:val="0"/>
      <w:marRight w:val="0"/>
      <w:marTop w:val="0"/>
      <w:marBottom w:val="0"/>
      <w:divBdr>
        <w:top w:val="none" w:sz="0" w:space="0" w:color="auto"/>
        <w:left w:val="none" w:sz="0" w:space="0" w:color="auto"/>
        <w:bottom w:val="none" w:sz="0" w:space="0" w:color="auto"/>
        <w:right w:val="none" w:sz="0" w:space="0" w:color="auto"/>
      </w:divBdr>
    </w:div>
    <w:div w:id="221059307">
      <w:bodyDiv w:val="1"/>
      <w:marLeft w:val="0"/>
      <w:marRight w:val="0"/>
      <w:marTop w:val="0"/>
      <w:marBottom w:val="0"/>
      <w:divBdr>
        <w:top w:val="none" w:sz="0" w:space="0" w:color="auto"/>
        <w:left w:val="none" w:sz="0" w:space="0" w:color="auto"/>
        <w:bottom w:val="none" w:sz="0" w:space="0" w:color="auto"/>
        <w:right w:val="none" w:sz="0" w:space="0" w:color="auto"/>
      </w:divBdr>
    </w:div>
    <w:div w:id="221907333">
      <w:bodyDiv w:val="1"/>
      <w:marLeft w:val="0"/>
      <w:marRight w:val="0"/>
      <w:marTop w:val="0"/>
      <w:marBottom w:val="0"/>
      <w:divBdr>
        <w:top w:val="none" w:sz="0" w:space="0" w:color="auto"/>
        <w:left w:val="none" w:sz="0" w:space="0" w:color="auto"/>
        <w:bottom w:val="none" w:sz="0" w:space="0" w:color="auto"/>
        <w:right w:val="none" w:sz="0" w:space="0" w:color="auto"/>
      </w:divBdr>
    </w:div>
    <w:div w:id="224144858">
      <w:bodyDiv w:val="1"/>
      <w:marLeft w:val="0"/>
      <w:marRight w:val="0"/>
      <w:marTop w:val="0"/>
      <w:marBottom w:val="0"/>
      <w:divBdr>
        <w:top w:val="none" w:sz="0" w:space="0" w:color="auto"/>
        <w:left w:val="none" w:sz="0" w:space="0" w:color="auto"/>
        <w:bottom w:val="none" w:sz="0" w:space="0" w:color="auto"/>
        <w:right w:val="none" w:sz="0" w:space="0" w:color="auto"/>
      </w:divBdr>
    </w:div>
    <w:div w:id="226300884">
      <w:bodyDiv w:val="1"/>
      <w:marLeft w:val="0"/>
      <w:marRight w:val="0"/>
      <w:marTop w:val="0"/>
      <w:marBottom w:val="0"/>
      <w:divBdr>
        <w:top w:val="none" w:sz="0" w:space="0" w:color="auto"/>
        <w:left w:val="none" w:sz="0" w:space="0" w:color="auto"/>
        <w:bottom w:val="none" w:sz="0" w:space="0" w:color="auto"/>
        <w:right w:val="none" w:sz="0" w:space="0" w:color="auto"/>
      </w:divBdr>
      <w:divsChild>
        <w:div w:id="1914924760">
          <w:marLeft w:val="0"/>
          <w:marRight w:val="0"/>
          <w:marTop w:val="0"/>
          <w:marBottom w:val="0"/>
          <w:divBdr>
            <w:top w:val="none" w:sz="0" w:space="0" w:color="auto"/>
            <w:left w:val="none" w:sz="0" w:space="0" w:color="auto"/>
            <w:bottom w:val="none" w:sz="0" w:space="0" w:color="auto"/>
            <w:right w:val="none" w:sz="0" w:space="0" w:color="auto"/>
          </w:divBdr>
        </w:div>
      </w:divsChild>
    </w:div>
    <w:div w:id="231935298">
      <w:bodyDiv w:val="1"/>
      <w:marLeft w:val="0"/>
      <w:marRight w:val="0"/>
      <w:marTop w:val="0"/>
      <w:marBottom w:val="0"/>
      <w:divBdr>
        <w:top w:val="none" w:sz="0" w:space="0" w:color="auto"/>
        <w:left w:val="none" w:sz="0" w:space="0" w:color="auto"/>
        <w:bottom w:val="none" w:sz="0" w:space="0" w:color="auto"/>
        <w:right w:val="none" w:sz="0" w:space="0" w:color="auto"/>
      </w:divBdr>
    </w:div>
    <w:div w:id="237058908">
      <w:bodyDiv w:val="1"/>
      <w:marLeft w:val="0"/>
      <w:marRight w:val="0"/>
      <w:marTop w:val="0"/>
      <w:marBottom w:val="0"/>
      <w:divBdr>
        <w:top w:val="none" w:sz="0" w:space="0" w:color="auto"/>
        <w:left w:val="none" w:sz="0" w:space="0" w:color="auto"/>
        <w:bottom w:val="none" w:sz="0" w:space="0" w:color="auto"/>
        <w:right w:val="none" w:sz="0" w:space="0" w:color="auto"/>
      </w:divBdr>
    </w:div>
    <w:div w:id="238366681">
      <w:bodyDiv w:val="1"/>
      <w:marLeft w:val="0"/>
      <w:marRight w:val="0"/>
      <w:marTop w:val="0"/>
      <w:marBottom w:val="0"/>
      <w:divBdr>
        <w:top w:val="none" w:sz="0" w:space="0" w:color="auto"/>
        <w:left w:val="none" w:sz="0" w:space="0" w:color="auto"/>
        <w:bottom w:val="none" w:sz="0" w:space="0" w:color="auto"/>
        <w:right w:val="none" w:sz="0" w:space="0" w:color="auto"/>
      </w:divBdr>
      <w:divsChild>
        <w:div w:id="1733499416">
          <w:marLeft w:val="0"/>
          <w:marRight w:val="0"/>
          <w:marTop w:val="0"/>
          <w:marBottom w:val="0"/>
          <w:divBdr>
            <w:top w:val="none" w:sz="0" w:space="0" w:color="auto"/>
            <w:left w:val="none" w:sz="0" w:space="0" w:color="auto"/>
            <w:bottom w:val="none" w:sz="0" w:space="0" w:color="auto"/>
            <w:right w:val="none" w:sz="0" w:space="0" w:color="auto"/>
          </w:divBdr>
          <w:divsChild>
            <w:div w:id="1875388548">
              <w:marLeft w:val="0"/>
              <w:marRight w:val="0"/>
              <w:marTop w:val="0"/>
              <w:marBottom w:val="0"/>
              <w:divBdr>
                <w:top w:val="none" w:sz="0" w:space="0" w:color="auto"/>
                <w:left w:val="none" w:sz="0" w:space="0" w:color="auto"/>
                <w:bottom w:val="none" w:sz="0" w:space="0" w:color="auto"/>
                <w:right w:val="none" w:sz="0" w:space="0" w:color="auto"/>
              </w:divBdr>
              <w:divsChild>
                <w:div w:id="118650054">
                  <w:marLeft w:val="0"/>
                  <w:marRight w:val="0"/>
                  <w:marTop w:val="0"/>
                  <w:marBottom w:val="0"/>
                  <w:divBdr>
                    <w:top w:val="none" w:sz="0" w:space="0" w:color="auto"/>
                    <w:left w:val="none" w:sz="0" w:space="0" w:color="auto"/>
                    <w:bottom w:val="none" w:sz="0" w:space="0" w:color="auto"/>
                    <w:right w:val="none" w:sz="0" w:space="0" w:color="auto"/>
                  </w:divBdr>
                  <w:divsChild>
                    <w:div w:id="862476655">
                      <w:marLeft w:val="0"/>
                      <w:marRight w:val="0"/>
                      <w:marTop w:val="0"/>
                      <w:marBottom w:val="0"/>
                      <w:divBdr>
                        <w:top w:val="none" w:sz="0" w:space="0" w:color="auto"/>
                        <w:left w:val="none" w:sz="0" w:space="0" w:color="auto"/>
                        <w:bottom w:val="none" w:sz="0" w:space="0" w:color="auto"/>
                        <w:right w:val="none" w:sz="0" w:space="0" w:color="auto"/>
                      </w:divBdr>
                      <w:divsChild>
                        <w:div w:id="1950505645">
                          <w:marLeft w:val="0"/>
                          <w:marRight w:val="0"/>
                          <w:marTop w:val="0"/>
                          <w:marBottom w:val="0"/>
                          <w:divBdr>
                            <w:top w:val="none" w:sz="0" w:space="0" w:color="auto"/>
                            <w:left w:val="none" w:sz="0" w:space="0" w:color="auto"/>
                            <w:bottom w:val="none" w:sz="0" w:space="0" w:color="auto"/>
                            <w:right w:val="none" w:sz="0" w:space="0" w:color="auto"/>
                          </w:divBdr>
                          <w:divsChild>
                            <w:div w:id="126901895">
                              <w:marLeft w:val="0"/>
                              <w:marRight w:val="0"/>
                              <w:marTop w:val="0"/>
                              <w:marBottom w:val="0"/>
                              <w:divBdr>
                                <w:top w:val="none" w:sz="0" w:space="0" w:color="auto"/>
                                <w:left w:val="none" w:sz="0" w:space="0" w:color="auto"/>
                                <w:bottom w:val="none" w:sz="0" w:space="0" w:color="auto"/>
                                <w:right w:val="none" w:sz="0" w:space="0" w:color="auto"/>
                              </w:divBdr>
                              <w:divsChild>
                                <w:div w:id="1094981877">
                                  <w:marLeft w:val="0"/>
                                  <w:marRight w:val="0"/>
                                  <w:marTop w:val="0"/>
                                  <w:marBottom w:val="0"/>
                                  <w:divBdr>
                                    <w:top w:val="none" w:sz="0" w:space="0" w:color="auto"/>
                                    <w:left w:val="none" w:sz="0" w:space="0" w:color="auto"/>
                                    <w:bottom w:val="none" w:sz="0" w:space="0" w:color="auto"/>
                                    <w:right w:val="none" w:sz="0" w:space="0" w:color="auto"/>
                                  </w:divBdr>
                                  <w:divsChild>
                                    <w:div w:id="916012330">
                                      <w:marLeft w:val="0"/>
                                      <w:marRight w:val="0"/>
                                      <w:marTop w:val="0"/>
                                      <w:marBottom w:val="0"/>
                                      <w:divBdr>
                                        <w:top w:val="none" w:sz="0" w:space="0" w:color="auto"/>
                                        <w:left w:val="none" w:sz="0" w:space="0" w:color="auto"/>
                                        <w:bottom w:val="none" w:sz="0" w:space="0" w:color="auto"/>
                                        <w:right w:val="none" w:sz="0" w:space="0" w:color="auto"/>
                                      </w:divBdr>
                                      <w:divsChild>
                                        <w:div w:id="2060469671">
                                          <w:marLeft w:val="0"/>
                                          <w:marRight w:val="0"/>
                                          <w:marTop w:val="0"/>
                                          <w:marBottom w:val="0"/>
                                          <w:divBdr>
                                            <w:top w:val="none" w:sz="0" w:space="0" w:color="auto"/>
                                            <w:left w:val="none" w:sz="0" w:space="0" w:color="auto"/>
                                            <w:bottom w:val="none" w:sz="0" w:space="0" w:color="auto"/>
                                            <w:right w:val="none" w:sz="0" w:space="0" w:color="auto"/>
                                          </w:divBdr>
                                          <w:divsChild>
                                            <w:div w:id="575090251">
                                              <w:marLeft w:val="0"/>
                                              <w:marRight w:val="0"/>
                                              <w:marTop w:val="0"/>
                                              <w:marBottom w:val="0"/>
                                              <w:divBdr>
                                                <w:top w:val="none" w:sz="0" w:space="0" w:color="auto"/>
                                                <w:left w:val="none" w:sz="0" w:space="0" w:color="auto"/>
                                                <w:bottom w:val="none" w:sz="0" w:space="0" w:color="auto"/>
                                                <w:right w:val="none" w:sz="0" w:space="0" w:color="auto"/>
                                              </w:divBdr>
                                              <w:divsChild>
                                                <w:div w:id="2140804575">
                                                  <w:marLeft w:val="0"/>
                                                  <w:marRight w:val="0"/>
                                                  <w:marTop w:val="0"/>
                                                  <w:marBottom w:val="0"/>
                                                  <w:divBdr>
                                                    <w:top w:val="none" w:sz="0" w:space="0" w:color="auto"/>
                                                    <w:left w:val="none" w:sz="0" w:space="0" w:color="auto"/>
                                                    <w:bottom w:val="none" w:sz="0" w:space="0" w:color="auto"/>
                                                    <w:right w:val="none" w:sz="0" w:space="0" w:color="auto"/>
                                                  </w:divBdr>
                                                  <w:divsChild>
                                                    <w:div w:id="1426463435">
                                                      <w:marLeft w:val="0"/>
                                                      <w:marRight w:val="0"/>
                                                      <w:marTop w:val="0"/>
                                                      <w:marBottom w:val="0"/>
                                                      <w:divBdr>
                                                        <w:top w:val="none" w:sz="0" w:space="0" w:color="auto"/>
                                                        <w:left w:val="none" w:sz="0" w:space="0" w:color="auto"/>
                                                        <w:bottom w:val="none" w:sz="0" w:space="0" w:color="auto"/>
                                                        <w:right w:val="none" w:sz="0" w:space="0" w:color="auto"/>
                                                      </w:divBdr>
                                                      <w:divsChild>
                                                        <w:div w:id="1780485323">
                                                          <w:marLeft w:val="0"/>
                                                          <w:marRight w:val="0"/>
                                                          <w:marTop w:val="0"/>
                                                          <w:marBottom w:val="0"/>
                                                          <w:divBdr>
                                                            <w:top w:val="none" w:sz="0" w:space="0" w:color="auto"/>
                                                            <w:left w:val="none" w:sz="0" w:space="0" w:color="auto"/>
                                                            <w:bottom w:val="none" w:sz="0" w:space="0" w:color="auto"/>
                                                            <w:right w:val="none" w:sz="0" w:space="0" w:color="auto"/>
                                                          </w:divBdr>
                                                          <w:divsChild>
                                                            <w:div w:id="1107820833">
                                                              <w:marLeft w:val="0"/>
                                                              <w:marRight w:val="0"/>
                                                              <w:marTop w:val="0"/>
                                                              <w:marBottom w:val="0"/>
                                                              <w:divBdr>
                                                                <w:top w:val="none" w:sz="0" w:space="0" w:color="auto"/>
                                                                <w:left w:val="none" w:sz="0" w:space="0" w:color="auto"/>
                                                                <w:bottom w:val="none" w:sz="0" w:space="0" w:color="auto"/>
                                                                <w:right w:val="none" w:sz="0" w:space="0" w:color="auto"/>
                                                              </w:divBdr>
                                                              <w:divsChild>
                                                                <w:div w:id="78696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5534584">
                                      <w:marLeft w:val="0"/>
                                      <w:marRight w:val="0"/>
                                      <w:marTop w:val="0"/>
                                      <w:marBottom w:val="0"/>
                                      <w:divBdr>
                                        <w:top w:val="none" w:sz="0" w:space="0" w:color="auto"/>
                                        <w:left w:val="none" w:sz="0" w:space="0" w:color="auto"/>
                                        <w:bottom w:val="none" w:sz="0" w:space="0" w:color="auto"/>
                                        <w:right w:val="none" w:sz="0" w:space="0" w:color="auto"/>
                                      </w:divBdr>
                                      <w:divsChild>
                                        <w:div w:id="173305321">
                                          <w:marLeft w:val="0"/>
                                          <w:marRight w:val="0"/>
                                          <w:marTop w:val="0"/>
                                          <w:marBottom w:val="0"/>
                                          <w:divBdr>
                                            <w:top w:val="none" w:sz="0" w:space="0" w:color="auto"/>
                                            <w:left w:val="none" w:sz="0" w:space="0" w:color="auto"/>
                                            <w:bottom w:val="none" w:sz="0" w:space="0" w:color="auto"/>
                                            <w:right w:val="none" w:sz="0" w:space="0" w:color="auto"/>
                                          </w:divBdr>
                                          <w:divsChild>
                                            <w:div w:id="1402752366">
                                              <w:marLeft w:val="0"/>
                                              <w:marRight w:val="0"/>
                                              <w:marTop w:val="0"/>
                                              <w:marBottom w:val="0"/>
                                              <w:divBdr>
                                                <w:top w:val="none" w:sz="0" w:space="0" w:color="auto"/>
                                                <w:left w:val="none" w:sz="0" w:space="0" w:color="auto"/>
                                                <w:bottom w:val="none" w:sz="0" w:space="0" w:color="auto"/>
                                                <w:right w:val="none" w:sz="0" w:space="0" w:color="auto"/>
                                              </w:divBdr>
                                              <w:divsChild>
                                                <w:div w:id="52043173">
                                                  <w:marLeft w:val="0"/>
                                                  <w:marRight w:val="0"/>
                                                  <w:marTop w:val="0"/>
                                                  <w:marBottom w:val="0"/>
                                                  <w:divBdr>
                                                    <w:top w:val="none" w:sz="0" w:space="0" w:color="auto"/>
                                                    <w:left w:val="none" w:sz="0" w:space="0" w:color="auto"/>
                                                    <w:bottom w:val="none" w:sz="0" w:space="0" w:color="auto"/>
                                                    <w:right w:val="none" w:sz="0" w:space="0" w:color="auto"/>
                                                  </w:divBdr>
                                                  <w:divsChild>
                                                    <w:div w:id="1556231622">
                                                      <w:marLeft w:val="0"/>
                                                      <w:marRight w:val="0"/>
                                                      <w:marTop w:val="0"/>
                                                      <w:marBottom w:val="0"/>
                                                      <w:divBdr>
                                                        <w:top w:val="none" w:sz="0" w:space="0" w:color="auto"/>
                                                        <w:left w:val="none" w:sz="0" w:space="0" w:color="auto"/>
                                                        <w:bottom w:val="none" w:sz="0" w:space="0" w:color="auto"/>
                                                        <w:right w:val="none" w:sz="0" w:space="0" w:color="auto"/>
                                                      </w:divBdr>
                                                      <w:divsChild>
                                                        <w:div w:id="912005775">
                                                          <w:marLeft w:val="0"/>
                                                          <w:marRight w:val="0"/>
                                                          <w:marTop w:val="0"/>
                                                          <w:marBottom w:val="0"/>
                                                          <w:divBdr>
                                                            <w:top w:val="none" w:sz="0" w:space="0" w:color="auto"/>
                                                            <w:left w:val="none" w:sz="0" w:space="0" w:color="auto"/>
                                                            <w:bottom w:val="none" w:sz="0" w:space="0" w:color="auto"/>
                                                            <w:right w:val="none" w:sz="0" w:space="0" w:color="auto"/>
                                                          </w:divBdr>
                                                          <w:divsChild>
                                                            <w:div w:id="1376663190">
                                                              <w:marLeft w:val="0"/>
                                                              <w:marRight w:val="0"/>
                                                              <w:marTop w:val="0"/>
                                                              <w:marBottom w:val="0"/>
                                                              <w:divBdr>
                                                                <w:top w:val="none" w:sz="0" w:space="0" w:color="auto"/>
                                                                <w:left w:val="none" w:sz="0" w:space="0" w:color="auto"/>
                                                                <w:bottom w:val="none" w:sz="0" w:space="0" w:color="auto"/>
                                                                <w:right w:val="none" w:sz="0" w:space="0" w:color="auto"/>
                                                              </w:divBdr>
                                                              <w:divsChild>
                                                                <w:div w:id="164327491">
                                                                  <w:marLeft w:val="0"/>
                                                                  <w:marRight w:val="0"/>
                                                                  <w:marTop w:val="0"/>
                                                                  <w:marBottom w:val="0"/>
                                                                  <w:divBdr>
                                                                    <w:top w:val="none" w:sz="0" w:space="0" w:color="auto"/>
                                                                    <w:left w:val="none" w:sz="0" w:space="0" w:color="auto"/>
                                                                    <w:bottom w:val="none" w:sz="0" w:space="0" w:color="auto"/>
                                                                    <w:right w:val="none" w:sz="0" w:space="0" w:color="auto"/>
                                                                  </w:divBdr>
                                                                  <w:divsChild>
                                                                    <w:div w:id="1962757599">
                                                                      <w:marLeft w:val="0"/>
                                                                      <w:marRight w:val="0"/>
                                                                      <w:marTop w:val="0"/>
                                                                      <w:marBottom w:val="0"/>
                                                                      <w:divBdr>
                                                                        <w:top w:val="none" w:sz="0" w:space="0" w:color="auto"/>
                                                                        <w:left w:val="none" w:sz="0" w:space="0" w:color="auto"/>
                                                                        <w:bottom w:val="none" w:sz="0" w:space="0" w:color="auto"/>
                                                                        <w:right w:val="none" w:sz="0" w:space="0" w:color="auto"/>
                                                                      </w:divBdr>
                                                                      <w:divsChild>
                                                                        <w:div w:id="5466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8441609">
      <w:bodyDiv w:val="1"/>
      <w:marLeft w:val="0"/>
      <w:marRight w:val="0"/>
      <w:marTop w:val="0"/>
      <w:marBottom w:val="0"/>
      <w:divBdr>
        <w:top w:val="none" w:sz="0" w:space="0" w:color="auto"/>
        <w:left w:val="none" w:sz="0" w:space="0" w:color="auto"/>
        <w:bottom w:val="none" w:sz="0" w:space="0" w:color="auto"/>
        <w:right w:val="none" w:sz="0" w:space="0" w:color="auto"/>
      </w:divBdr>
      <w:divsChild>
        <w:div w:id="843782623">
          <w:marLeft w:val="0"/>
          <w:marRight w:val="0"/>
          <w:marTop w:val="0"/>
          <w:marBottom w:val="0"/>
          <w:divBdr>
            <w:top w:val="none" w:sz="0" w:space="0" w:color="auto"/>
            <w:left w:val="none" w:sz="0" w:space="0" w:color="auto"/>
            <w:bottom w:val="none" w:sz="0" w:space="0" w:color="auto"/>
            <w:right w:val="none" w:sz="0" w:space="0" w:color="auto"/>
          </w:divBdr>
        </w:div>
      </w:divsChild>
    </w:div>
    <w:div w:id="239096562">
      <w:bodyDiv w:val="1"/>
      <w:marLeft w:val="0"/>
      <w:marRight w:val="0"/>
      <w:marTop w:val="0"/>
      <w:marBottom w:val="0"/>
      <w:divBdr>
        <w:top w:val="none" w:sz="0" w:space="0" w:color="auto"/>
        <w:left w:val="none" w:sz="0" w:space="0" w:color="auto"/>
        <w:bottom w:val="none" w:sz="0" w:space="0" w:color="auto"/>
        <w:right w:val="none" w:sz="0" w:space="0" w:color="auto"/>
      </w:divBdr>
    </w:div>
    <w:div w:id="240648563">
      <w:bodyDiv w:val="1"/>
      <w:marLeft w:val="0"/>
      <w:marRight w:val="0"/>
      <w:marTop w:val="0"/>
      <w:marBottom w:val="0"/>
      <w:divBdr>
        <w:top w:val="none" w:sz="0" w:space="0" w:color="auto"/>
        <w:left w:val="none" w:sz="0" w:space="0" w:color="auto"/>
        <w:bottom w:val="none" w:sz="0" w:space="0" w:color="auto"/>
        <w:right w:val="none" w:sz="0" w:space="0" w:color="auto"/>
      </w:divBdr>
    </w:div>
    <w:div w:id="251474517">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59726135">
      <w:bodyDiv w:val="1"/>
      <w:marLeft w:val="0"/>
      <w:marRight w:val="0"/>
      <w:marTop w:val="0"/>
      <w:marBottom w:val="0"/>
      <w:divBdr>
        <w:top w:val="none" w:sz="0" w:space="0" w:color="auto"/>
        <w:left w:val="none" w:sz="0" w:space="0" w:color="auto"/>
        <w:bottom w:val="none" w:sz="0" w:space="0" w:color="auto"/>
        <w:right w:val="none" w:sz="0" w:space="0" w:color="auto"/>
      </w:divBdr>
    </w:div>
    <w:div w:id="264654233">
      <w:bodyDiv w:val="1"/>
      <w:marLeft w:val="0"/>
      <w:marRight w:val="0"/>
      <w:marTop w:val="0"/>
      <w:marBottom w:val="0"/>
      <w:divBdr>
        <w:top w:val="none" w:sz="0" w:space="0" w:color="auto"/>
        <w:left w:val="none" w:sz="0" w:space="0" w:color="auto"/>
        <w:bottom w:val="none" w:sz="0" w:space="0" w:color="auto"/>
        <w:right w:val="none" w:sz="0" w:space="0" w:color="auto"/>
      </w:divBdr>
    </w:div>
    <w:div w:id="264726298">
      <w:bodyDiv w:val="1"/>
      <w:marLeft w:val="0"/>
      <w:marRight w:val="0"/>
      <w:marTop w:val="0"/>
      <w:marBottom w:val="0"/>
      <w:divBdr>
        <w:top w:val="none" w:sz="0" w:space="0" w:color="auto"/>
        <w:left w:val="none" w:sz="0" w:space="0" w:color="auto"/>
        <w:bottom w:val="none" w:sz="0" w:space="0" w:color="auto"/>
        <w:right w:val="none" w:sz="0" w:space="0" w:color="auto"/>
      </w:divBdr>
    </w:div>
    <w:div w:id="271940468">
      <w:bodyDiv w:val="1"/>
      <w:marLeft w:val="0"/>
      <w:marRight w:val="0"/>
      <w:marTop w:val="0"/>
      <w:marBottom w:val="0"/>
      <w:divBdr>
        <w:top w:val="none" w:sz="0" w:space="0" w:color="auto"/>
        <w:left w:val="none" w:sz="0" w:space="0" w:color="auto"/>
        <w:bottom w:val="none" w:sz="0" w:space="0" w:color="auto"/>
        <w:right w:val="none" w:sz="0" w:space="0" w:color="auto"/>
      </w:divBdr>
    </w:div>
    <w:div w:id="275715798">
      <w:bodyDiv w:val="1"/>
      <w:marLeft w:val="0"/>
      <w:marRight w:val="0"/>
      <w:marTop w:val="0"/>
      <w:marBottom w:val="0"/>
      <w:divBdr>
        <w:top w:val="none" w:sz="0" w:space="0" w:color="auto"/>
        <w:left w:val="none" w:sz="0" w:space="0" w:color="auto"/>
        <w:bottom w:val="none" w:sz="0" w:space="0" w:color="auto"/>
        <w:right w:val="none" w:sz="0" w:space="0" w:color="auto"/>
      </w:divBdr>
    </w:div>
    <w:div w:id="276178553">
      <w:bodyDiv w:val="1"/>
      <w:marLeft w:val="0"/>
      <w:marRight w:val="0"/>
      <w:marTop w:val="0"/>
      <w:marBottom w:val="0"/>
      <w:divBdr>
        <w:top w:val="none" w:sz="0" w:space="0" w:color="auto"/>
        <w:left w:val="none" w:sz="0" w:space="0" w:color="auto"/>
        <w:bottom w:val="none" w:sz="0" w:space="0" w:color="auto"/>
        <w:right w:val="none" w:sz="0" w:space="0" w:color="auto"/>
      </w:divBdr>
    </w:div>
    <w:div w:id="277759169">
      <w:bodyDiv w:val="1"/>
      <w:marLeft w:val="0"/>
      <w:marRight w:val="0"/>
      <w:marTop w:val="0"/>
      <w:marBottom w:val="0"/>
      <w:divBdr>
        <w:top w:val="none" w:sz="0" w:space="0" w:color="auto"/>
        <w:left w:val="none" w:sz="0" w:space="0" w:color="auto"/>
        <w:bottom w:val="none" w:sz="0" w:space="0" w:color="auto"/>
        <w:right w:val="none" w:sz="0" w:space="0" w:color="auto"/>
      </w:divBdr>
    </w:div>
    <w:div w:id="279655901">
      <w:bodyDiv w:val="1"/>
      <w:marLeft w:val="0"/>
      <w:marRight w:val="0"/>
      <w:marTop w:val="0"/>
      <w:marBottom w:val="0"/>
      <w:divBdr>
        <w:top w:val="none" w:sz="0" w:space="0" w:color="auto"/>
        <w:left w:val="none" w:sz="0" w:space="0" w:color="auto"/>
        <w:bottom w:val="none" w:sz="0" w:space="0" w:color="auto"/>
        <w:right w:val="none" w:sz="0" w:space="0" w:color="auto"/>
      </w:divBdr>
    </w:div>
    <w:div w:id="280695389">
      <w:bodyDiv w:val="1"/>
      <w:marLeft w:val="0"/>
      <w:marRight w:val="0"/>
      <w:marTop w:val="0"/>
      <w:marBottom w:val="0"/>
      <w:divBdr>
        <w:top w:val="none" w:sz="0" w:space="0" w:color="auto"/>
        <w:left w:val="none" w:sz="0" w:space="0" w:color="auto"/>
        <w:bottom w:val="none" w:sz="0" w:space="0" w:color="auto"/>
        <w:right w:val="none" w:sz="0" w:space="0" w:color="auto"/>
      </w:divBdr>
      <w:divsChild>
        <w:div w:id="224414756">
          <w:marLeft w:val="0"/>
          <w:marRight w:val="0"/>
          <w:marTop w:val="0"/>
          <w:marBottom w:val="0"/>
          <w:divBdr>
            <w:top w:val="none" w:sz="0" w:space="0" w:color="auto"/>
            <w:left w:val="none" w:sz="0" w:space="0" w:color="auto"/>
            <w:bottom w:val="none" w:sz="0" w:space="0" w:color="auto"/>
            <w:right w:val="none" w:sz="0" w:space="0" w:color="auto"/>
          </w:divBdr>
        </w:div>
      </w:divsChild>
    </w:div>
    <w:div w:id="281765078">
      <w:bodyDiv w:val="1"/>
      <w:marLeft w:val="0"/>
      <w:marRight w:val="0"/>
      <w:marTop w:val="0"/>
      <w:marBottom w:val="0"/>
      <w:divBdr>
        <w:top w:val="none" w:sz="0" w:space="0" w:color="auto"/>
        <w:left w:val="none" w:sz="0" w:space="0" w:color="auto"/>
        <w:bottom w:val="none" w:sz="0" w:space="0" w:color="auto"/>
        <w:right w:val="none" w:sz="0" w:space="0" w:color="auto"/>
      </w:divBdr>
    </w:div>
    <w:div w:id="283999881">
      <w:bodyDiv w:val="1"/>
      <w:marLeft w:val="0"/>
      <w:marRight w:val="0"/>
      <w:marTop w:val="0"/>
      <w:marBottom w:val="0"/>
      <w:divBdr>
        <w:top w:val="none" w:sz="0" w:space="0" w:color="auto"/>
        <w:left w:val="none" w:sz="0" w:space="0" w:color="auto"/>
        <w:bottom w:val="none" w:sz="0" w:space="0" w:color="auto"/>
        <w:right w:val="none" w:sz="0" w:space="0" w:color="auto"/>
      </w:divBdr>
    </w:div>
    <w:div w:id="286203283">
      <w:bodyDiv w:val="1"/>
      <w:marLeft w:val="0"/>
      <w:marRight w:val="0"/>
      <w:marTop w:val="0"/>
      <w:marBottom w:val="0"/>
      <w:divBdr>
        <w:top w:val="none" w:sz="0" w:space="0" w:color="auto"/>
        <w:left w:val="none" w:sz="0" w:space="0" w:color="auto"/>
        <w:bottom w:val="none" w:sz="0" w:space="0" w:color="auto"/>
        <w:right w:val="none" w:sz="0" w:space="0" w:color="auto"/>
      </w:divBdr>
    </w:div>
    <w:div w:id="286468260">
      <w:bodyDiv w:val="1"/>
      <w:marLeft w:val="0"/>
      <w:marRight w:val="0"/>
      <w:marTop w:val="0"/>
      <w:marBottom w:val="0"/>
      <w:divBdr>
        <w:top w:val="none" w:sz="0" w:space="0" w:color="auto"/>
        <w:left w:val="none" w:sz="0" w:space="0" w:color="auto"/>
        <w:bottom w:val="none" w:sz="0" w:space="0" w:color="auto"/>
        <w:right w:val="none" w:sz="0" w:space="0" w:color="auto"/>
      </w:divBdr>
      <w:divsChild>
        <w:div w:id="491915349">
          <w:marLeft w:val="0"/>
          <w:marRight w:val="0"/>
          <w:marTop w:val="0"/>
          <w:marBottom w:val="300"/>
          <w:divBdr>
            <w:top w:val="none" w:sz="0" w:space="0" w:color="auto"/>
            <w:left w:val="none" w:sz="0" w:space="0" w:color="auto"/>
            <w:bottom w:val="none" w:sz="0" w:space="0" w:color="auto"/>
            <w:right w:val="none" w:sz="0" w:space="0" w:color="auto"/>
          </w:divBdr>
        </w:div>
        <w:div w:id="725564646">
          <w:marLeft w:val="0"/>
          <w:marRight w:val="0"/>
          <w:marTop w:val="0"/>
          <w:marBottom w:val="0"/>
          <w:divBdr>
            <w:top w:val="none" w:sz="0" w:space="0" w:color="auto"/>
            <w:left w:val="none" w:sz="0" w:space="0" w:color="auto"/>
            <w:bottom w:val="none" w:sz="0" w:space="0" w:color="auto"/>
            <w:right w:val="none" w:sz="0" w:space="0" w:color="auto"/>
          </w:divBdr>
        </w:div>
        <w:div w:id="1776485403">
          <w:marLeft w:val="0"/>
          <w:marRight w:val="0"/>
          <w:marTop w:val="0"/>
          <w:marBottom w:val="300"/>
          <w:divBdr>
            <w:top w:val="none" w:sz="0" w:space="0" w:color="auto"/>
            <w:left w:val="none" w:sz="0" w:space="0" w:color="auto"/>
            <w:bottom w:val="none" w:sz="0" w:space="0" w:color="auto"/>
            <w:right w:val="none" w:sz="0" w:space="0" w:color="auto"/>
          </w:divBdr>
        </w:div>
        <w:div w:id="2004237058">
          <w:marLeft w:val="0"/>
          <w:marRight w:val="0"/>
          <w:marTop w:val="0"/>
          <w:marBottom w:val="0"/>
          <w:divBdr>
            <w:top w:val="none" w:sz="0" w:space="0" w:color="auto"/>
            <w:left w:val="none" w:sz="0" w:space="0" w:color="auto"/>
            <w:bottom w:val="none" w:sz="0" w:space="0" w:color="auto"/>
            <w:right w:val="none" w:sz="0" w:space="0" w:color="auto"/>
          </w:divBdr>
        </w:div>
      </w:divsChild>
    </w:div>
    <w:div w:id="291446643">
      <w:bodyDiv w:val="1"/>
      <w:marLeft w:val="0"/>
      <w:marRight w:val="0"/>
      <w:marTop w:val="0"/>
      <w:marBottom w:val="0"/>
      <w:divBdr>
        <w:top w:val="none" w:sz="0" w:space="0" w:color="auto"/>
        <w:left w:val="none" w:sz="0" w:space="0" w:color="auto"/>
        <w:bottom w:val="none" w:sz="0" w:space="0" w:color="auto"/>
        <w:right w:val="none" w:sz="0" w:space="0" w:color="auto"/>
      </w:divBdr>
    </w:div>
    <w:div w:id="292903663">
      <w:bodyDiv w:val="1"/>
      <w:marLeft w:val="0"/>
      <w:marRight w:val="0"/>
      <w:marTop w:val="0"/>
      <w:marBottom w:val="0"/>
      <w:divBdr>
        <w:top w:val="none" w:sz="0" w:space="0" w:color="auto"/>
        <w:left w:val="none" w:sz="0" w:space="0" w:color="auto"/>
        <w:bottom w:val="none" w:sz="0" w:space="0" w:color="auto"/>
        <w:right w:val="none" w:sz="0" w:space="0" w:color="auto"/>
      </w:divBdr>
    </w:div>
    <w:div w:id="293869465">
      <w:bodyDiv w:val="1"/>
      <w:marLeft w:val="0"/>
      <w:marRight w:val="0"/>
      <w:marTop w:val="0"/>
      <w:marBottom w:val="0"/>
      <w:divBdr>
        <w:top w:val="none" w:sz="0" w:space="0" w:color="auto"/>
        <w:left w:val="none" w:sz="0" w:space="0" w:color="auto"/>
        <w:bottom w:val="none" w:sz="0" w:space="0" w:color="auto"/>
        <w:right w:val="none" w:sz="0" w:space="0" w:color="auto"/>
      </w:divBdr>
      <w:divsChild>
        <w:div w:id="1518930024">
          <w:marLeft w:val="0"/>
          <w:marRight w:val="0"/>
          <w:marTop w:val="0"/>
          <w:marBottom w:val="0"/>
          <w:divBdr>
            <w:top w:val="none" w:sz="0" w:space="0" w:color="auto"/>
            <w:left w:val="none" w:sz="0" w:space="0" w:color="auto"/>
            <w:bottom w:val="none" w:sz="0" w:space="0" w:color="auto"/>
            <w:right w:val="none" w:sz="0" w:space="0" w:color="auto"/>
          </w:divBdr>
        </w:div>
      </w:divsChild>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297884341">
      <w:bodyDiv w:val="1"/>
      <w:marLeft w:val="0"/>
      <w:marRight w:val="0"/>
      <w:marTop w:val="0"/>
      <w:marBottom w:val="0"/>
      <w:divBdr>
        <w:top w:val="none" w:sz="0" w:space="0" w:color="auto"/>
        <w:left w:val="none" w:sz="0" w:space="0" w:color="auto"/>
        <w:bottom w:val="none" w:sz="0" w:space="0" w:color="auto"/>
        <w:right w:val="none" w:sz="0" w:space="0" w:color="auto"/>
      </w:divBdr>
      <w:divsChild>
        <w:div w:id="1774546568">
          <w:marLeft w:val="0"/>
          <w:marRight w:val="0"/>
          <w:marTop w:val="0"/>
          <w:marBottom w:val="0"/>
          <w:divBdr>
            <w:top w:val="none" w:sz="0" w:space="0" w:color="auto"/>
            <w:left w:val="none" w:sz="0" w:space="0" w:color="auto"/>
            <w:bottom w:val="none" w:sz="0" w:space="0" w:color="auto"/>
            <w:right w:val="none" w:sz="0" w:space="0" w:color="auto"/>
          </w:divBdr>
        </w:div>
      </w:divsChild>
    </w:div>
    <w:div w:id="301227740">
      <w:bodyDiv w:val="1"/>
      <w:marLeft w:val="0"/>
      <w:marRight w:val="0"/>
      <w:marTop w:val="0"/>
      <w:marBottom w:val="0"/>
      <w:divBdr>
        <w:top w:val="none" w:sz="0" w:space="0" w:color="auto"/>
        <w:left w:val="none" w:sz="0" w:space="0" w:color="auto"/>
        <w:bottom w:val="none" w:sz="0" w:space="0" w:color="auto"/>
        <w:right w:val="none" w:sz="0" w:space="0" w:color="auto"/>
      </w:divBdr>
    </w:div>
    <w:div w:id="303506070">
      <w:bodyDiv w:val="1"/>
      <w:marLeft w:val="0"/>
      <w:marRight w:val="0"/>
      <w:marTop w:val="0"/>
      <w:marBottom w:val="0"/>
      <w:divBdr>
        <w:top w:val="none" w:sz="0" w:space="0" w:color="auto"/>
        <w:left w:val="none" w:sz="0" w:space="0" w:color="auto"/>
        <w:bottom w:val="none" w:sz="0" w:space="0" w:color="auto"/>
        <w:right w:val="none" w:sz="0" w:space="0" w:color="auto"/>
      </w:divBdr>
    </w:div>
    <w:div w:id="305090368">
      <w:bodyDiv w:val="1"/>
      <w:marLeft w:val="0"/>
      <w:marRight w:val="0"/>
      <w:marTop w:val="0"/>
      <w:marBottom w:val="0"/>
      <w:divBdr>
        <w:top w:val="none" w:sz="0" w:space="0" w:color="auto"/>
        <w:left w:val="none" w:sz="0" w:space="0" w:color="auto"/>
        <w:bottom w:val="none" w:sz="0" w:space="0" w:color="auto"/>
        <w:right w:val="none" w:sz="0" w:space="0" w:color="auto"/>
      </w:divBdr>
      <w:divsChild>
        <w:div w:id="648441888">
          <w:marLeft w:val="0"/>
          <w:marRight w:val="0"/>
          <w:marTop w:val="0"/>
          <w:marBottom w:val="0"/>
          <w:divBdr>
            <w:top w:val="none" w:sz="0" w:space="0" w:color="auto"/>
            <w:left w:val="none" w:sz="0" w:space="0" w:color="auto"/>
            <w:bottom w:val="none" w:sz="0" w:space="0" w:color="auto"/>
            <w:right w:val="none" w:sz="0" w:space="0" w:color="auto"/>
          </w:divBdr>
        </w:div>
      </w:divsChild>
    </w:div>
    <w:div w:id="308633107">
      <w:bodyDiv w:val="1"/>
      <w:marLeft w:val="0"/>
      <w:marRight w:val="0"/>
      <w:marTop w:val="0"/>
      <w:marBottom w:val="0"/>
      <w:divBdr>
        <w:top w:val="none" w:sz="0" w:space="0" w:color="auto"/>
        <w:left w:val="none" w:sz="0" w:space="0" w:color="auto"/>
        <w:bottom w:val="none" w:sz="0" w:space="0" w:color="auto"/>
        <w:right w:val="none" w:sz="0" w:space="0" w:color="auto"/>
      </w:divBdr>
    </w:div>
    <w:div w:id="310644820">
      <w:bodyDiv w:val="1"/>
      <w:marLeft w:val="0"/>
      <w:marRight w:val="0"/>
      <w:marTop w:val="0"/>
      <w:marBottom w:val="0"/>
      <w:divBdr>
        <w:top w:val="none" w:sz="0" w:space="0" w:color="auto"/>
        <w:left w:val="none" w:sz="0" w:space="0" w:color="auto"/>
        <w:bottom w:val="none" w:sz="0" w:space="0" w:color="auto"/>
        <w:right w:val="none" w:sz="0" w:space="0" w:color="auto"/>
      </w:divBdr>
    </w:div>
    <w:div w:id="311178265">
      <w:bodyDiv w:val="1"/>
      <w:marLeft w:val="0"/>
      <w:marRight w:val="0"/>
      <w:marTop w:val="0"/>
      <w:marBottom w:val="0"/>
      <w:divBdr>
        <w:top w:val="none" w:sz="0" w:space="0" w:color="auto"/>
        <w:left w:val="none" w:sz="0" w:space="0" w:color="auto"/>
        <w:bottom w:val="none" w:sz="0" w:space="0" w:color="auto"/>
        <w:right w:val="none" w:sz="0" w:space="0" w:color="auto"/>
      </w:divBdr>
    </w:div>
    <w:div w:id="314381980">
      <w:bodyDiv w:val="1"/>
      <w:marLeft w:val="0"/>
      <w:marRight w:val="0"/>
      <w:marTop w:val="0"/>
      <w:marBottom w:val="0"/>
      <w:divBdr>
        <w:top w:val="none" w:sz="0" w:space="0" w:color="auto"/>
        <w:left w:val="none" w:sz="0" w:space="0" w:color="auto"/>
        <w:bottom w:val="none" w:sz="0" w:space="0" w:color="auto"/>
        <w:right w:val="none" w:sz="0" w:space="0" w:color="auto"/>
      </w:divBdr>
      <w:divsChild>
        <w:div w:id="140847921">
          <w:marLeft w:val="0"/>
          <w:marRight w:val="0"/>
          <w:marTop w:val="0"/>
          <w:marBottom w:val="0"/>
          <w:divBdr>
            <w:top w:val="none" w:sz="0" w:space="0" w:color="auto"/>
            <w:left w:val="none" w:sz="0" w:space="0" w:color="auto"/>
            <w:bottom w:val="none" w:sz="0" w:space="0" w:color="auto"/>
            <w:right w:val="none" w:sz="0" w:space="0" w:color="auto"/>
          </w:divBdr>
          <w:divsChild>
            <w:div w:id="655885996">
              <w:marLeft w:val="0"/>
              <w:marRight w:val="0"/>
              <w:marTop w:val="0"/>
              <w:marBottom w:val="0"/>
              <w:divBdr>
                <w:top w:val="none" w:sz="0" w:space="0" w:color="auto"/>
                <w:left w:val="none" w:sz="0" w:space="0" w:color="auto"/>
                <w:bottom w:val="none" w:sz="0" w:space="0" w:color="auto"/>
                <w:right w:val="none" w:sz="0" w:space="0" w:color="auto"/>
              </w:divBdr>
              <w:divsChild>
                <w:div w:id="1397167473">
                  <w:marLeft w:val="0"/>
                  <w:marRight w:val="0"/>
                  <w:marTop w:val="0"/>
                  <w:marBottom w:val="0"/>
                  <w:divBdr>
                    <w:top w:val="none" w:sz="0" w:space="0" w:color="auto"/>
                    <w:left w:val="none" w:sz="0" w:space="0" w:color="auto"/>
                    <w:bottom w:val="none" w:sz="0" w:space="0" w:color="auto"/>
                    <w:right w:val="none" w:sz="0" w:space="0" w:color="auto"/>
                  </w:divBdr>
                  <w:divsChild>
                    <w:div w:id="1333921211">
                      <w:marLeft w:val="0"/>
                      <w:marRight w:val="0"/>
                      <w:marTop w:val="0"/>
                      <w:marBottom w:val="0"/>
                      <w:divBdr>
                        <w:top w:val="none" w:sz="0" w:space="0" w:color="auto"/>
                        <w:left w:val="none" w:sz="0" w:space="0" w:color="auto"/>
                        <w:bottom w:val="none" w:sz="0" w:space="0" w:color="auto"/>
                        <w:right w:val="none" w:sz="0" w:space="0" w:color="auto"/>
                      </w:divBdr>
                      <w:divsChild>
                        <w:div w:id="592318627">
                          <w:marLeft w:val="0"/>
                          <w:marRight w:val="0"/>
                          <w:marTop w:val="0"/>
                          <w:marBottom w:val="0"/>
                          <w:divBdr>
                            <w:top w:val="none" w:sz="0" w:space="0" w:color="auto"/>
                            <w:left w:val="none" w:sz="0" w:space="0" w:color="auto"/>
                            <w:bottom w:val="none" w:sz="0" w:space="0" w:color="auto"/>
                            <w:right w:val="none" w:sz="0" w:space="0" w:color="auto"/>
                          </w:divBdr>
                          <w:divsChild>
                            <w:div w:id="42704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906443">
          <w:marLeft w:val="0"/>
          <w:marRight w:val="0"/>
          <w:marTop w:val="0"/>
          <w:marBottom w:val="0"/>
          <w:divBdr>
            <w:top w:val="none" w:sz="0" w:space="0" w:color="auto"/>
            <w:left w:val="none" w:sz="0" w:space="0" w:color="auto"/>
            <w:bottom w:val="none" w:sz="0" w:space="0" w:color="auto"/>
            <w:right w:val="none" w:sz="0" w:space="0" w:color="auto"/>
          </w:divBdr>
          <w:divsChild>
            <w:div w:id="290282935">
              <w:marLeft w:val="0"/>
              <w:marRight w:val="0"/>
              <w:marTop w:val="0"/>
              <w:marBottom w:val="0"/>
              <w:divBdr>
                <w:top w:val="none" w:sz="0" w:space="0" w:color="auto"/>
                <w:left w:val="none" w:sz="0" w:space="0" w:color="auto"/>
                <w:bottom w:val="none" w:sz="0" w:space="0" w:color="auto"/>
                <w:right w:val="none" w:sz="0" w:space="0" w:color="auto"/>
              </w:divBdr>
              <w:divsChild>
                <w:div w:id="514152361">
                  <w:marLeft w:val="0"/>
                  <w:marRight w:val="0"/>
                  <w:marTop w:val="0"/>
                  <w:marBottom w:val="0"/>
                  <w:divBdr>
                    <w:top w:val="none" w:sz="0" w:space="0" w:color="auto"/>
                    <w:left w:val="none" w:sz="0" w:space="0" w:color="auto"/>
                    <w:bottom w:val="none" w:sz="0" w:space="0" w:color="auto"/>
                    <w:right w:val="none" w:sz="0" w:space="0" w:color="auto"/>
                  </w:divBdr>
                  <w:divsChild>
                    <w:div w:id="2119060396">
                      <w:marLeft w:val="0"/>
                      <w:marRight w:val="0"/>
                      <w:marTop w:val="0"/>
                      <w:marBottom w:val="0"/>
                      <w:divBdr>
                        <w:top w:val="none" w:sz="0" w:space="0" w:color="auto"/>
                        <w:left w:val="none" w:sz="0" w:space="0" w:color="auto"/>
                        <w:bottom w:val="none" w:sz="0" w:space="0" w:color="auto"/>
                        <w:right w:val="none" w:sz="0" w:space="0" w:color="auto"/>
                      </w:divBdr>
                      <w:divsChild>
                        <w:div w:id="1567229889">
                          <w:marLeft w:val="0"/>
                          <w:marRight w:val="0"/>
                          <w:marTop w:val="0"/>
                          <w:marBottom w:val="0"/>
                          <w:divBdr>
                            <w:top w:val="none" w:sz="0" w:space="0" w:color="auto"/>
                            <w:left w:val="none" w:sz="0" w:space="0" w:color="auto"/>
                            <w:bottom w:val="none" w:sz="0" w:space="0" w:color="auto"/>
                            <w:right w:val="none" w:sz="0" w:space="0" w:color="auto"/>
                          </w:divBdr>
                          <w:divsChild>
                            <w:div w:id="203649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878749">
          <w:marLeft w:val="0"/>
          <w:marRight w:val="0"/>
          <w:marTop w:val="0"/>
          <w:marBottom w:val="0"/>
          <w:divBdr>
            <w:top w:val="none" w:sz="0" w:space="0" w:color="auto"/>
            <w:left w:val="none" w:sz="0" w:space="0" w:color="auto"/>
            <w:bottom w:val="none" w:sz="0" w:space="0" w:color="auto"/>
            <w:right w:val="none" w:sz="0" w:space="0" w:color="auto"/>
          </w:divBdr>
          <w:divsChild>
            <w:div w:id="2112045427">
              <w:marLeft w:val="0"/>
              <w:marRight w:val="0"/>
              <w:marTop w:val="0"/>
              <w:marBottom w:val="0"/>
              <w:divBdr>
                <w:top w:val="none" w:sz="0" w:space="0" w:color="auto"/>
                <w:left w:val="none" w:sz="0" w:space="0" w:color="auto"/>
                <w:bottom w:val="none" w:sz="0" w:space="0" w:color="auto"/>
                <w:right w:val="none" w:sz="0" w:space="0" w:color="auto"/>
              </w:divBdr>
              <w:divsChild>
                <w:div w:id="2014067122">
                  <w:marLeft w:val="0"/>
                  <w:marRight w:val="0"/>
                  <w:marTop w:val="0"/>
                  <w:marBottom w:val="0"/>
                  <w:divBdr>
                    <w:top w:val="none" w:sz="0" w:space="0" w:color="auto"/>
                    <w:left w:val="none" w:sz="0" w:space="0" w:color="auto"/>
                    <w:bottom w:val="none" w:sz="0" w:space="0" w:color="auto"/>
                    <w:right w:val="none" w:sz="0" w:space="0" w:color="auto"/>
                  </w:divBdr>
                  <w:divsChild>
                    <w:div w:id="362825606">
                      <w:marLeft w:val="0"/>
                      <w:marRight w:val="0"/>
                      <w:marTop w:val="0"/>
                      <w:marBottom w:val="0"/>
                      <w:divBdr>
                        <w:top w:val="none" w:sz="0" w:space="0" w:color="auto"/>
                        <w:left w:val="none" w:sz="0" w:space="0" w:color="auto"/>
                        <w:bottom w:val="none" w:sz="0" w:space="0" w:color="auto"/>
                        <w:right w:val="none" w:sz="0" w:space="0" w:color="auto"/>
                      </w:divBdr>
                      <w:divsChild>
                        <w:div w:id="1320615973">
                          <w:marLeft w:val="0"/>
                          <w:marRight w:val="0"/>
                          <w:marTop w:val="0"/>
                          <w:marBottom w:val="0"/>
                          <w:divBdr>
                            <w:top w:val="none" w:sz="0" w:space="0" w:color="auto"/>
                            <w:left w:val="none" w:sz="0" w:space="0" w:color="auto"/>
                            <w:bottom w:val="none" w:sz="0" w:space="0" w:color="auto"/>
                            <w:right w:val="none" w:sz="0" w:space="0" w:color="auto"/>
                          </w:divBdr>
                          <w:divsChild>
                            <w:div w:id="67766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616400">
          <w:marLeft w:val="0"/>
          <w:marRight w:val="0"/>
          <w:marTop w:val="0"/>
          <w:marBottom w:val="0"/>
          <w:divBdr>
            <w:top w:val="none" w:sz="0" w:space="0" w:color="auto"/>
            <w:left w:val="none" w:sz="0" w:space="0" w:color="auto"/>
            <w:bottom w:val="none" w:sz="0" w:space="0" w:color="auto"/>
            <w:right w:val="none" w:sz="0" w:space="0" w:color="auto"/>
          </w:divBdr>
          <w:divsChild>
            <w:div w:id="181821183">
              <w:marLeft w:val="0"/>
              <w:marRight w:val="0"/>
              <w:marTop w:val="0"/>
              <w:marBottom w:val="0"/>
              <w:divBdr>
                <w:top w:val="none" w:sz="0" w:space="0" w:color="auto"/>
                <w:left w:val="none" w:sz="0" w:space="0" w:color="auto"/>
                <w:bottom w:val="none" w:sz="0" w:space="0" w:color="auto"/>
                <w:right w:val="none" w:sz="0" w:space="0" w:color="auto"/>
              </w:divBdr>
              <w:divsChild>
                <w:div w:id="434639997">
                  <w:marLeft w:val="0"/>
                  <w:marRight w:val="0"/>
                  <w:marTop w:val="0"/>
                  <w:marBottom w:val="0"/>
                  <w:divBdr>
                    <w:top w:val="none" w:sz="0" w:space="0" w:color="auto"/>
                    <w:left w:val="none" w:sz="0" w:space="0" w:color="auto"/>
                    <w:bottom w:val="none" w:sz="0" w:space="0" w:color="auto"/>
                    <w:right w:val="none" w:sz="0" w:space="0" w:color="auto"/>
                  </w:divBdr>
                  <w:divsChild>
                    <w:div w:id="1075323757">
                      <w:marLeft w:val="0"/>
                      <w:marRight w:val="0"/>
                      <w:marTop w:val="0"/>
                      <w:marBottom w:val="0"/>
                      <w:divBdr>
                        <w:top w:val="none" w:sz="0" w:space="0" w:color="auto"/>
                        <w:left w:val="none" w:sz="0" w:space="0" w:color="auto"/>
                        <w:bottom w:val="none" w:sz="0" w:space="0" w:color="auto"/>
                        <w:right w:val="none" w:sz="0" w:space="0" w:color="auto"/>
                      </w:divBdr>
                      <w:divsChild>
                        <w:div w:id="55858090">
                          <w:marLeft w:val="0"/>
                          <w:marRight w:val="0"/>
                          <w:marTop w:val="0"/>
                          <w:marBottom w:val="0"/>
                          <w:divBdr>
                            <w:top w:val="none" w:sz="0" w:space="0" w:color="auto"/>
                            <w:left w:val="none" w:sz="0" w:space="0" w:color="auto"/>
                            <w:bottom w:val="none" w:sz="0" w:space="0" w:color="auto"/>
                            <w:right w:val="none" w:sz="0" w:space="0" w:color="auto"/>
                          </w:divBdr>
                          <w:divsChild>
                            <w:div w:id="75290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021156">
          <w:marLeft w:val="0"/>
          <w:marRight w:val="0"/>
          <w:marTop w:val="0"/>
          <w:marBottom w:val="0"/>
          <w:divBdr>
            <w:top w:val="none" w:sz="0" w:space="0" w:color="auto"/>
            <w:left w:val="none" w:sz="0" w:space="0" w:color="auto"/>
            <w:bottom w:val="none" w:sz="0" w:space="0" w:color="auto"/>
            <w:right w:val="none" w:sz="0" w:space="0" w:color="auto"/>
          </w:divBdr>
          <w:divsChild>
            <w:div w:id="1915237407">
              <w:marLeft w:val="0"/>
              <w:marRight w:val="0"/>
              <w:marTop w:val="0"/>
              <w:marBottom w:val="0"/>
              <w:divBdr>
                <w:top w:val="none" w:sz="0" w:space="0" w:color="auto"/>
                <w:left w:val="none" w:sz="0" w:space="0" w:color="auto"/>
                <w:bottom w:val="none" w:sz="0" w:space="0" w:color="auto"/>
                <w:right w:val="none" w:sz="0" w:space="0" w:color="auto"/>
              </w:divBdr>
              <w:divsChild>
                <w:div w:id="273369486">
                  <w:marLeft w:val="0"/>
                  <w:marRight w:val="0"/>
                  <w:marTop w:val="0"/>
                  <w:marBottom w:val="0"/>
                  <w:divBdr>
                    <w:top w:val="none" w:sz="0" w:space="0" w:color="auto"/>
                    <w:left w:val="none" w:sz="0" w:space="0" w:color="auto"/>
                    <w:bottom w:val="none" w:sz="0" w:space="0" w:color="auto"/>
                    <w:right w:val="none" w:sz="0" w:space="0" w:color="auto"/>
                  </w:divBdr>
                  <w:divsChild>
                    <w:div w:id="1182159958">
                      <w:marLeft w:val="0"/>
                      <w:marRight w:val="0"/>
                      <w:marTop w:val="0"/>
                      <w:marBottom w:val="0"/>
                      <w:divBdr>
                        <w:top w:val="none" w:sz="0" w:space="0" w:color="auto"/>
                        <w:left w:val="none" w:sz="0" w:space="0" w:color="auto"/>
                        <w:bottom w:val="none" w:sz="0" w:space="0" w:color="auto"/>
                        <w:right w:val="none" w:sz="0" w:space="0" w:color="auto"/>
                      </w:divBdr>
                      <w:divsChild>
                        <w:div w:id="645092440">
                          <w:marLeft w:val="0"/>
                          <w:marRight w:val="0"/>
                          <w:marTop w:val="0"/>
                          <w:marBottom w:val="0"/>
                          <w:divBdr>
                            <w:top w:val="none" w:sz="0" w:space="0" w:color="auto"/>
                            <w:left w:val="none" w:sz="0" w:space="0" w:color="auto"/>
                            <w:bottom w:val="none" w:sz="0" w:space="0" w:color="auto"/>
                            <w:right w:val="none" w:sz="0" w:space="0" w:color="auto"/>
                          </w:divBdr>
                          <w:divsChild>
                            <w:div w:id="19913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569038">
      <w:bodyDiv w:val="1"/>
      <w:marLeft w:val="0"/>
      <w:marRight w:val="0"/>
      <w:marTop w:val="0"/>
      <w:marBottom w:val="0"/>
      <w:divBdr>
        <w:top w:val="none" w:sz="0" w:space="0" w:color="auto"/>
        <w:left w:val="none" w:sz="0" w:space="0" w:color="auto"/>
        <w:bottom w:val="none" w:sz="0" w:space="0" w:color="auto"/>
        <w:right w:val="none" w:sz="0" w:space="0" w:color="auto"/>
      </w:divBdr>
    </w:div>
    <w:div w:id="315574012">
      <w:bodyDiv w:val="1"/>
      <w:marLeft w:val="0"/>
      <w:marRight w:val="0"/>
      <w:marTop w:val="0"/>
      <w:marBottom w:val="0"/>
      <w:divBdr>
        <w:top w:val="none" w:sz="0" w:space="0" w:color="auto"/>
        <w:left w:val="none" w:sz="0" w:space="0" w:color="auto"/>
        <w:bottom w:val="none" w:sz="0" w:space="0" w:color="auto"/>
        <w:right w:val="none" w:sz="0" w:space="0" w:color="auto"/>
      </w:divBdr>
    </w:div>
    <w:div w:id="316038134">
      <w:bodyDiv w:val="1"/>
      <w:marLeft w:val="0"/>
      <w:marRight w:val="0"/>
      <w:marTop w:val="0"/>
      <w:marBottom w:val="0"/>
      <w:divBdr>
        <w:top w:val="none" w:sz="0" w:space="0" w:color="auto"/>
        <w:left w:val="none" w:sz="0" w:space="0" w:color="auto"/>
        <w:bottom w:val="none" w:sz="0" w:space="0" w:color="auto"/>
        <w:right w:val="none" w:sz="0" w:space="0" w:color="auto"/>
      </w:divBdr>
    </w:div>
    <w:div w:id="318003431">
      <w:bodyDiv w:val="1"/>
      <w:marLeft w:val="0"/>
      <w:marRight w:val="0"/>
      <w:marTop w:val="0"/>
      <w:marBottom w:val="0"/>
      <w:divBdr>
        <w:top w:val="none" w:sz="0" w:space="0" w:color="auto"/>
        <w:left w:val="none" w:sz="0" w:space="0" w:color="auto"/>
        <w:bottom w:val="none" w:sz="0" w:space="0" w:color="auto"/>
        <w:right w:val="none" w:sz="0" w:space="0" w:color="auto"/>
      </w:divBdr>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22972917">
      <w:bodyDiv w:val="1"/>
      <w:marLeft w:val="0"/>
      <w:marRight w:val="0"/>
      <w:marTop w:val="0"/>
      <w:marBottom w:val="0"/>
      <w:divBdr>
        <w:top w:val="none" w:sz="0" w:space="0" w:color="auto"/>
        <w:left w:val="none" w:sz="0" w:space="0" w:color="auto"/>
        <w:bottom w:val="none" w:sz="0" w:space="0" w:color="auto"/>
        <w:right w:val="none" w:sz="0" w:space="0" w:color="auto"/>
      </w:divBdr>
    </w:div>
    <w:div w:id="332532838">
      <w:bodyDiv w:val="1"/>
      <w:marLeft w:val="0"/>
      <w:marRight w:val="0"/>
      <w:marTop w:val="0"/>
      <w:marBottom w:val="0"/>
      <w:divBdr>
        <w:top w:val="none" w:sz="0" w:space="0" w:color="auto"/>
        <w:left w:val="none" w:sz="0" w:space="0" w:color="auto"/>
        <w:bottom w:val="none" w:sz="0" w:space="0" w:color="auto"/>
        <w:right w:val="none" w:sz="0" w:space="0" w:color="auto"/>
      </w:divBdr>
    </w:div>
    <w:div w:id="332606477">
      <w:bodyDiv w:val="1"/>
      <w:marLeft w:val="0"/>
      <w:marRight w:val="0"/>
      <w:marTop w:val="0"/>
      <w:marBottom w:val="0"/>
      <w:divBdr>
        <w:top w:val="none" w:sz="0" w:space="0" w:color="auto"/>
        <w:left w:val="none" w:sz="0" w:space="0" w:color="auto"/>
        <w:bottom w:val="none" w:sz="0" w:space="0" w:color="auto"/>
        <w:right w:val="none" w:sz="0" w:space="0" w:color="auto"/>
      </w:divBdr>
    </w:div>
    <w:div w:id="333460752">
      <w:bodyDiv w:val="1"/>
      <w:marLeft w:val="0"/>
      <w:marRight w:val="0"/>
      <w:marTop w:val="0"/>
      <w:marBottom w:val="0"/>
      <w:divBdr>
        <w:top w:val="none" w:sz="0" w:space="0" w:color="auto"/>
        <w:left w:val="none" w:sz="0" w:space="0" w:color="auto"/>
        <w:bottom w:val="none" w:sz="0" w:space="0" w:color="auto"/>
        <w:right w:val="none" w:sz="0" w:space="0" w:color="auto"/>
      </w:divBdr>
    </w:div>
    <w:div w:id="335693125">
      <w:bodyDiv w:val="1"/>
      <w:marLeft w:val="0"/>
      <w:marRight w:val="0"/>
      <w:marTop w:val="0"/>
      <w:marBottom w:val="0"/>
      <w:divBdr>
        <w:top w:val="none" w:sz="0" w:space="0" w:color="auto"/>
        <w:left w:val="none" w:sz="0" w:space="0" w:color="auto"/>
        <w:bottom w:val="none" w:sz="0" w:space="0" w:color="auto"/>
        <w:right w:val="none" w:sz="0" w:space="0" w:color="auto"/>
      </w:divBdr>
    </w:div>
    <w:div w:id="336345183">
      <w:bodyDiv w:val="1"/>
      <w:marLeft w:val="0"/>
      <w:marRight w:val="0"/>
      <w:marTop w:val="0"/>
      <w:marBottom w:val="0"/>
      <w:divBdr>
        <w:top w:val="none" w:sz="0" w:space="0" w:color="auto"/>
        <w:left w:val="none" w:sz="0" w:space="0" w:color="auto"/>
        <w:bottom w:val="none" w:sz="0" w:space="0" w:color="auto"/>
        <w:right w:val="none" w:sz="0" w:space="0" w:color="auto"/>
      </w:divBdr>
    </w:div>
    <w:div w:id="344747094">
      <w:bodyDiv w:val="1"/>
      <w:marLeft w:val="0"/>
      <w:marRight w:val="0"/>
      <w:marTop w:val="0"/>
      <w:marBottom w:val="0"/>
      <w:divBdr>
        <w:top w:val="none" w:sz="0" w:space="0" w:color="auto"/>
        <w:left w:val="none" w:sz="0" w:space="0" w:color="auto"/>
        <w:bottom w:val="none" w:sz="0" w:space="0" w:color="auto"/>
        <w:right w:val="none" w:sz="0" w:space="0" w:color="auto"/>
      </w:divBdr>
    </w:div>
    <w:div w:id="358626020">
      <w:bodyDiv w:val="1"/>
      <w:marLeft w:val="0"/>
      <w:marRight w:val="0"/>
      <w:marTop w:val="0"/>
      <w:marBottom w:val="0"/>
      <w:divBdr>
        <w:top w:val="none" w:sz="0" w:space="0" w:color="auto"/>
        <w:left w:val="none" w:sz="0" w:space="0" w:color="auto"/>
        <w:bottom w:val="none" w:sz="0" w:space="0" w:color="auto"/>
        <w:right w:val="none" w:sz="0" w:space="0" w:color="auto"/>
      </w:divBdr>
      <w:divsChild>
        <w:div w:id="63382958">
          <w:marLeft w:val="0"/>
          <w:marRight w:val="0"/>
          <w:marTop w:val="0"/>
          <w:marBottom w:val="0"/>
          <w:divBdr>
            <w:top w:val="none" w:sz="0" w:space="0" w:color="auto"/>
            <w:left w:val="none" w:sz="0" w:space="0" w:color="auto"/>
            <w:bottom w:val="none" w:sz="0" w:space="0" w:color="auto"/>
            <w:right w:val="none" w:sz="0" w:space="0" w:color="auto"/>
          </w:divBdr>
        </w:div>
        <w:div w:id="144008486">
          <w:marLeft w:val="0"/>
          <w:marRight w:val="0"/>
          <w:marTop w:val="0"/>
          <w:marBottom w:val="0"/>
          <w:divBdr>
            <w:top w:val="none" w:sz="0" w:space="0" w:color="auto"/>
            <w:left w:val="none" w:sz="0" w:space="0" w:color="auto"/>
            <w:bottom w:val="none" w:sz="0" w:space="0" w:color="auto"/>
            <w:right w:val="none" w:sz="0" w:space="0" w:color="auto"/>
          </w:divBdr>
        </w:div>
      </w:divsChild>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79329333">
      <w:bodyDiv w:val="1"/>
      <w:marLeft w:val="0"/>
      <w:marRight w:val="0"/>
      <w:marTop w:val="0"/>
      <w:marBottom w:val="0"/>
      <w:divBdr>
        <w:top w:val="none" w:sz="0" w:space="0" w:color="auto"/>
        <w:left w:val="none" w:sz="0" w:space="0" w:color="auto"/>
        <w:bottom w:val="none" w:sz="0" w:space="0" w:color="auto"/>
        <w:right w:val="none" w:sz="0" w:space="0" w:color="auto"/>
      </w:divBdr>
    </w:div>
    <w:div w:id="379784752">
      <w:bodyDiv w:val="1"/>
      <w:marLeft w:val="0"/>
      <w:marRight w:val="0"/>
      <w:marTop w:val="0"/>
      <w:marBottom w:val="0"/>
      <w:divBdr>
        <w:top w:val="none" w:sz="0" w:space="0" w:color="auto"/>
        <w:left w:val="none" w:sz="0" w:space="0" w:color="auto"/>
        <w:bottom w:val="none" w:sz="0" w:space="0" w:color="auto"/>
        <w:right w:val="none" w:sz="0" w:space="0" w:color="auto"/>
      </w:divBdr>
    </w:div>
    <w:div w:id="384451011">
      <w:bodyDiv w:val="1"/>
      <w:marLeft w:val="0"/>
      <w:marRight w:val="0"/>
      <w:marTop w:val="0"/>
      <w:marBottom w:val="0"/>
      <w:divBdr>
        <w:top w:val="none" w:sz="0" w:space="0" w:color="auto"/>
        <w:left w:val="none" w:sz="0" w:space="0" w:color="auto"/>
        <w:bottom w:val="none" w:sz="0" w:space="0" w:color="auto"/>
        <w:right w:val="none" w:sz="0" w:space="0" w:color="auto"/>
      </w:divBdr>
    </w:div>
    <w:div w:id="385882624">
      <w:bodyDiv w:val="1"/>
      <w:marLeft w:val="0"/>
      <w:marRight w:val="0"/>
      <w:marTop w:val="0"/>
      <w:marBottom w:val="0"/>
      <w:divBdr>
        <w:top w:val="none" w:sz="0" w:space="0" w:color="auto"/>
        <w:left w:val="none" w:sz="0" w:space="0" w:color="auto"/>
        <w:bottom w:val="none" w:sz="0" w:space="0" w:color="auto"/>
        <w:right w:val="none" w:sz="0" w:space="0" w:color="auto"/>
      </w:divBdr>
    </w:div>
    <w:div w:id="387800934">
      <w:bodyDiv w:val="1"/>
      <w:marLeft w:val="0"/>
      <w:marRight w:val="0"/>
      <w:marTop w:val="0"/>
      <w:marBottom w:val="0"/>
      <w:divBdr>
        <w:top w:val="none" w:sz="0" w:space="0" w:color="auto"/>
        <w:left w:val="none" w:sz="0" w:space="0" w:color="auto"/>
        <w:bottom w:val="none" w:sz="0" w:space="0" w:color="auto"/>
        <w:right w:val="none" w:sz="0" w:space="0" w:color="auto"/>
      </w:divBdr>
    </w:div>
    <w:div w:id="387843542">
      <w:bodyDiv w:val="1"/>
      <w:marLeft w:val="0"/>
      <w:marRight w:val="0"/>
      <w:marTop w:val="0"/>
      <w:marBottom w:val="0"/>
      <w:divBdr>
        <w:top w:val="none" w:sz="0" w:space="0" w:color="auto"/>
        <w:left w:val="none" w:sz="0" w:space="0" w:color="auto"/>
        <w:bottom w:val="none" w:sz="0" w:space="0" w:color="auto"/>
        <w:right w:val="none" w:sz="0" w:space="0" w:color="auto"/>
      </w:divBdr>
      <w:divsChild>
        <w:div w:id="1562473314">
          <w:marLeft w:val="0"/>
          <w:marRight w:val="0"/>
          <w:marTop w:val="0"/>
          <w:marBottom w:val="0"/>
          <w:divBdr>
            <w:top w:val="none" w:sz="0" w:space="0" w:color="auto"/>
            <w:left w:val="none" w:sz="0" w:space="0" w:color="auto"/>
            <w:bottom w:val="none" w:sz="0" w:space="0" w:color="auto"/>
            <w:right w:val="none" w:sz="0" w:space="0" w:color="auto"/>
          </w:divBdr>
        </w:div>
      </w:divsChild>
    </w:div>
    <w:div w:id="391196458">
      <w:bodyDiv w:val="1"/>
      <w:marLeft w:val="0"/>
      <w:marRight w:val="0"/>
      <w:marTop w:val="0"/>
      <w:marBottom w:val="0"/>
      <w:divBdr>
        <w:top w:val="none" w:sz="0" w:space="0" w:color="auto"/>
        <w:left w:val="none" w:sz="0" w:space="0" w:color="auto"/>
        <w:bottom w:val="none" w:sz="0" w:space="0" w:color="auto"/>
        <w:right w:val="none" w:sz="0" w:space="0" w:color="auto"/>
      </w:divBdr>
    </w:div>
    <w:div w:id="396365598">
      <w:bodyDiv w:val="1"/>
      <w:marLeft w:val="0"/>
      <w:marRight w:val="0"/>
      <w:marTop w:val="0"/>
      <w:marBottom w:val="0"/>
      <w:divBdr>
        <w:top w:val="none" w:sz="0" w:space="0" w:color="auto"/>
        <w:left w:val="none" w:sz="0" w:space="0" w:color="auto"/>
        <w:bottom w:val="none" w:sz="0" w:space="0" w:color="auto"/>
        <w:right w:val="none" w:sz="0" w:space="0" w:color="auto"/>
      </w:divBdr>
    </w:div>
    <w:div w:id="397366637">
      <w:bodyDiv w:val="1"/>
      <w:marLeft w:val="0"/>
      <w:marRight w:val="0"/>
      <w:marTop w:val="0"/>
      <w:marBottom w:val="0"/>
      <w:divBdr>
        <w:top w:val="none" w:sz="0" w:space="0" w:color="auto"/>
        <w:left w:val="none" w:sz="0" w:space="0" w:color="auto"/>
        <w:bottom w:val="none" w:sz="0" w:space="0" w:color="auto"/>
        <w:right w:val="none" w:sz="0" w:space="0" w:color="auto"/>
      </w:divBdr>
      <w:divsChild>
        <w:div w:id="81147278">
          <w:marLeft w:val="0"/>
          <w:marRight w:val="0"/>
          <w:marTop w:val="0"/>
          <w:marBottom w:val="0"/>
          <w:divBdr>
            <w:top w:val="none" w:sz="0" w:space="0" w:color="auto"/>
            <w:left w:val="none" w:sz="0" w:space="0" w:color="auto"/>
            <w:bottom w:val="none" w:sz="0" w:space="0" w:color="auto"/>
            <w:right w:val="none" w:sz="0" w:space="0" w:color="auto"/>
          </w:divBdr>
        </w:div>
      </w:divsChild>
    </w:div>
    <w:div w:id="398791334">
      <w:bodyDiv w:val="1"/>
      <w:marLeft w:val="0"/>
      <w:marRight w:val="0"/>
      <w:marTop w:val="0"/>
      <w:marBottom w:val="0"/>
      <w:divBdr>
        <w:top w:val="none" w:sz="0" w:space="0" w:color="auto"/>
        <w:left w:val="none" w:sz="0" w:space="0" w:color="auto"/>
        <w:bottom w:val="none" w:sz="0" w:space="0" w:color="auto"/>
        <w:right w:val="none" w:sz="0" w:space="0" w:color="auto"/>
      </w:divBdr>
    </w:div>
    <w:div w:id="409933746">
      <w:bodyDiv w:val="1"/>
      <w:marLeft w:val="0"/>
      <w:marRight w:val="0"/>
      <w:marTop w:val="0"/>
      <w:marBottom w:val="0"/>
      <w:divBdr>
        <w:top w:val="none" w:sz="0" w:space="0" w:color="auto"/>
        <w:left w:val="none" w:sz="0" w:space="0" w:color="auto"/>
        <w:bottom w:val="none" w:sz="0" w:space="0" w:color="auto"/>
        <w:right w:val="none" w:sz="0" w:space="0" w:color="auto"/>
      </w:divBdr>
    </w:div>
    <w:div w:id="410389795">
      <w:bodyDiv w:val="1"/>
      <w:marLeft w:val="0"/>
      <w:marRight w:val="0"/>
      <w:marTop w:val="0"/>
      <w:marBottom w:val="0"/>
      <w:divBdr>
        <w:top w:val="none" w:sz="0" w:space="0" w:color="auto"/>
        <w:left w:val="none" w:sz="0" w:space="0" w:color="auto"/>
        <w:bottom w:val="none" w:sz="0" w:space="0" w:color="auto"/>
        <w:right w:val="none" w:sz="0" w:space="0" w:color="auto"/>
      </w:divBdr>
    </w:div>
    <w:div w:id="420372975">
      <w:bodyDiv w:val="1"/>
      <w:marLeft w:val="0"/>
      <w:marRight w:val="0"/>
      <w:marTop w:val="0"/>
      <w:marBottom w:val="0"/>
      <w:divBdr>
        <w:top w:val="none" w:sz="0" w:space="0" w:color="auto"/>
        <w:left w:val="none" w:sz="0" w:space="0" w:color="auto"/>
        <w:bottom w:val="none" w:sz="0" w:space="0" w:color="auto"/>
        <w:right w:val="none" w:sz="0" w:space="0" w:color="auto"/>
      </w:divBdr>
    </w:div>
    <w:div w:id="420873682">
      <w:bodyDiv w:val="1"/>
      <w:marLeft w:val="0"/>
      <w:marRight w:val="0"/>
      <w:marTop w:val="0"/>
      <w:marBottom w:val="0"/>
      <w:divBdr>
        <w:top w:val="none" w:sz="0" w:space="0" w:color="auto"/>
        <w:left w:val="none" w:sz="0" w:space="0" w:color="auto"/>
        <w:bottom w:val="none" w:sz="0" w:space="0" w:color="auto"/>
        <w:right w:val="none" w:sz="0" w:space="0" w:color="auto"/>
      </w:divBdr>
    </w:div>
    <w:div w:id="425729356">
      <w:bodyDiv w:val="1"/>
      <w:marLeft w:val="0"/>
      <w:marRight w:val="0"/>
      <w:marTop w:val="0"/>
      <w:marBottom w:val="0"/>
      <w:divBdr>
        <w:top w:val="none" w:sz="0" w:space="0" w:color="auto"/>
        <w:left w:val="none" w:sz="0" w:space="0" w:color="auto"/>
        <w:bottom w:val="none" w:sz="0" w:space="0" w:color="auto"/>
        <w:right w:val="none" w:sz="0" w:space="0" w:color="auto"/>
      </w:divBdr>
    </w:div>
    <w:div w:id="428045906">
      <w:bodyDiv w:val="1"/>
      <w:marLeft w:val="0"/>
      <w:marRight w:val="0"/>
      <w:marTop w:val="0"/>
      <w:marBottom w:val="0"/>
      <w:divBdr>
        <w:top w:val="none" w:sz="0" w:space="0" w:color="auto"/>
        <w:left w:val="none" w:sz="0" w:space="0" w:color="auto"/>
        <w:bottom w:val="none" w:sz="0" w:space="0" w:color="auto"/>
        <w:right w:val="none" w:sz="0" w:space="0" w:color="auto"/>
      </w:divBdr>
    </w:div>
    <w:div w:id="433137694">
      <w:bodyDiv w:val="1"/>
      <w:marLeft w:val="0"/>
      <w:marRight w:val="0"/>
      <w:marTop w:val="0"/>
      <w:marBottom w:val="0"/>
      <w:divBdr>
        <w:top w:val="none" w:sz="0" w:space="0" w:color="auto"/>
        <w:left w:val="none" w:sz="0" w:space="0" w:color="auto"/>
        <w:bottom w:val="none" w:sz="0" w:space="0" w:color="auto"/>
        <w:right w:val="none" w:sz="0" w:space="0" w:color="auto"/>
      </w:divBdr>
    </w:div>
    <w:div w:id="438454799">
      <w:bodyDiv w:val="1"/>
      <w:marLeft w:val="0"/>
      <w:marRight w:val="0"/>
      <w:marTop w:val="0"/>
      <w:marBottom w:val="0"/>
      <w:divBdr>
        <w:top w:val="none" w:sz="0" w:space="0" w:color="auto"/>
        <w:left w:val="none" w:sz="0" w:space="0" w:color="auto"/>
        <w:bottom w:val="none" w:sz="0" w:space="0" w:color="auto"/>
        <w:right w:val="none" w:sz="0" w:space="0" w:color="auto"/>
      </w:divBdr>
    </w:div>
    <w:div w:id="440106392">
      <w:bodyDiv w:val="1"/>
      <w:marLeft w:val="0"/>
      <w:marRight w:val="0"/>
      <w:marTop w:val="0"/>
      <w:marBottom w:val="0"/>
      <w:divBdr>
        <w:top w:val="none" w:sz="0" w:space="0" w:color="auto"/>
        <w:left w:val="none" w:sz="0" w:space="0" w:color="auto"/>
        <w:bottom w:val="none" w:sz="0" w:space="0" w:color="auto"/>
        <w:right w:val="none" w:sz="0" w:space="0" w:color="auto"/>
      </w:divBdr>
    </w:div>
    <w:div w:id="441800895">
      <w:bodyDiv w:val="1"/>
      <w:marLeft w:val="0"/>
      <w:marRight w:val="0"/>
      <w:marTop w:val="0"/>
      <w:marBottom w:val="0"/>
      <w:divBdr>
        <w:top w:val="none" w:sz="0" w:space="0" w:color="auto"/>
        <w:left w:val="none" w:sz="0" w:space="0" w:color="auto"/>
        <w:bottom w:val="none" w:sz="0" w:space="0" w:color="auto"/>
        <w:right w:val="none" w:sz="0" w:space="0" w:color="auto"/>
      </w:divBdr>
    </w:div>
    <w:div w:id="446193154">
      <w:bodyDiv w:val="1"/>
      <w:marLeft w:val="0"/>
      <w:marRight w:val="0"/>
      <w:marTop w:val="0"/>
      <w:marBottom w:val="0"/>
      <w:divBdr>
        <w:top w:val="none" w:sz="0" w:space="0" w:color="auto"/>
        <w:left w:val="none" w:sz="0" w:space="0" w:color="auto"/>
        <w:bottom w:val="none" w:sz="0" w:space="0" w:color="auto"/>
        <w:right w:val="none" w:sz="0" w:space="0" w:color="auto"/>
      </w:divBdr>
    </w:div>
    <w:div w:id="450169356">
      <w:bodyDiv w:val="1"/>
      <w:marLeft w:val="0"/>
      <w:marRight w:val="0"/>
      <w:marTop w:val="0"/>
      <w:marBottom w:val="0"/>
      <w:divBdr>
        <w:top w:val="none" w:sz="0" w:space="0" w:color="auto"/>
        <w:left w:val="none" w:sz="0" w:space="0" w:color="auto"/>
        <w:bottom w:val="none" w:sz="0" w:space="0" w:color="auto"/>
        <w:right w:val="none" w:sz="0" w:space="0" w:color="auto"/>
      </w:divBdr>
    </w:div>
    <w:div w:id="454758818">
      <w:bodyDiv w:val="1"/>
      <w:marLeft w:val="0"/>
      <w:marRight w:val="0"/>
      <w:marTop w:val="0"/>
      <w:marBottom w:val="0"/>
      <w:divBdr>
        <w:top w:val="none" w:sz="0" w:space="0" w:color="auto"/>
        <w:left w:val="none" w:sz="0" w:space="0" w:color="auto"/>
        <w:bottom w:val="none" w:sz="0" w:space="0" w:color="auto"/>
        <w:right w:val="none" w:sz="0" w:space="0" w:color="auto"/>
      </w:divBdr>
    </w:div>
    <w:div w:id="459956507">
      <w:bodyDiv w:val="1"/>
      <w:marLeft w:val="0"/>
      <w:marRight w:val="0"/>
      <w:marTop w:val="0"/>
      <w:marBottom w:val="0"/>
      <w:divBdr>
        <w:top w:val="none" w:sz="0" w:space="0" w:color="auto"/>
        <w:left w:val="none" w:sz="0" w:space="0" w:color="auto"/>
        <w:bottom w:val="none" w:sz="0" w:space="0" w:color="auto"/>
        <w:right w:val="none" w:sz="0" w:space="0" w:color="auto"/>
      </w:divBdr>
    </w:div>
    <w:div w:id="460150004">
      <w:bodyDiv w:val="1"/>
      <w:marLeft w:val="0"/>
      <w:marRight w:val="0"/>
      <w:marTop w:val="0"/>
      <w:marBottom w:val="0"/>
      <w:divBdr>
        <w:top w:val="none" w:sz="0" w:space="0" w:color="auto"/>
        <w:left w:val="none" w:sz="0" w:space="0" w:color="auto"/>
        <w:bottom w:val="none" w:sz="0" w:space="0" w:color="auto"/>
        <w:right w:val="none" w:sz="0" w:space="0" w:color="auto"/>
      </w:divBdr>
      <w:divsChild>
        <w:div w:id="291255019">
          <w:marLeft w:val="0"/>
          <w:marRight w:val="0"/>
          <w:marTop w:val="0"/>
          <w:marBottom w:val="0"/>
          <w:divBdr>
            <w:top w:val="none" w:sz="0" w:space="0" w:color="auto"/>
            <w:left w:val="none" w:sz="0" w:space="0" w:color="auto"/>
            <w:bottom w:val="none" w:sz="0" w:space="0" w:color="auto"/>
            <w:right w:val="none" w:sz="0" w:space="0" w:color="auto"/>
          </w:divBdr>
        </w:div>
        <w:div w:id="354967326">
          <w:marLeft w:val="0"/>
          <w:marRight w:val="0"/>
          <w:marTop w:val="0"/>
          <w:marBottom w:val="0"/>
          <w:divBdr>
            <w:top w:val="none" w:sz="0" w:space="0" w:color="auto"/>
            <w:left w:val="none" w:sz="0" w:space="0" w:color="auto"/>
            <w:bottom w:val="none" w:sz="0" w:space="0" w:color="auto"/>
            <w:right w:val="none" w:sz="0" w:space="0" w:color="auto"/>
          </w:divBdr>
          <w:divsChild>
            <w:div w:id="2101566020">
              <w:marLeft w:val="0"/>
              <w:marRight w:val="0"/>
              <w:marTop w:val="150"/>
              <w:marBottom w:val="150"/>
              <w:divBdr>
                <w:top w:val="none" w:sz="0" w:space="0" w:color="auto"/>
                <w:left w:val="none" w:sz="0" w:space="0" w:color="auto"/>
                <w:bottom w:val="none" w:sz="0" w:space="0" w:color="auto"/>
                <w:right w:val="none" w:sz="0" w:space="0" w:color="auto"/>
              </w:divBdr>
            </w:div>
          </w:divsChild>
        </w:div>
        <w:div w:id="1295020066">
          <w:marLeft w:val="0"/>
          <w:marRight w:val="0"/>
          <w:marTop w:val="0"/>
          <w:marBottom w:val="0"/>
          <w:divBdr>
            <w:top w:val="none" w:sz="0" w:space="0" w:color="auto"/>
            <w:left w:val="none" w:sz="0" w:space="0" w:color="auto"/>
            <w:bottom w:val="none" w:sz="0" w:space="0" w:color="auto"/>
            <w:right w:val="none" w:sz="0" w:space="0" w:color="auto"/>
          </w:divBdr>
        </w:div>
        <w:div w:id="626397846">
          <w:marLeft w:val="0"/>
          <w:marRight w:val="0"/>
          <w:marTop w:val="0"/>
          <w:marBottom w:val="0"/>
          <w:divBdr>
            <w:top w:val="none" w:sz="0" w:space="0" w:color="auto"/>
            <w:left w:val="none" w:sz="0" w:space="0" w:color="auto"/>
            <w:bottom w:val="none" w:sz="0" w:space="0" w:color="auto"/>
            <w:right w:val="none" w:sz="0" w:space="0" w:color="auto"/>
          </w:divBdr>
          <w:divsChild>
            <w:div w:id="13919188">
              <w:blockQuote w:val="1"/>
              <w:marLeft w:val="720"/>
              <w:marRight w:val="720"/>
              <w:marTop w:val="100"/>
              <w:marBottom w:val="100"/>
              <w:divBdr>
                <w:top w:val="none" w:sz="0" w:space="0" w:color="auto"/>
                <w:left w:val="none" w:sz="0" w:space="0" w:color="auto"/>
                <w:bottom w:val="none" w:sz="0" w:space="0" w:color="auto"/>
                <w:right w:val="none" w:sz="0" w:space="0" w:color="auto"/>
              </w:divBdr>
            </w:div>
            <w:div w:id="18766956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464197751">
      <w:bodyDiv w:val="1"/>
      <w:marLeft w:val="0"/>
      <w:marRight w:val="0"/>
      <w:marTop w:val="0"/>
      <w:marBottom w:val="0"/>
      <w:divBdr>
        <w:top w:val="none" w:sz="0" w:space="0" w:color="auto"/>
        <w:left w:val="none" w:sz="0" w:space="0" w:color="auto"/>
        <w:bottom w:val="none" w:sz="0" w:space="0" w:color="auto"/>
        <w:right w:val="none" w:sz="0" w:space="0" w:color="auto"/>
      </w:divBdr>
    </w:div>
    <w:div w:id="465437977">
      <w:bodyDiv w:val="1"/>
      <w:marLeft w:val="0"/>
      <w:marRight w:val="0"/>
      <w:marTop w:val="0"/>
      <w:marBottom w:val="0"/>
      <w:divBdr>
        <w:top w:val="none" w:sz="0" w:space="0" w:color="auto"/>
        <w:left w:val="none" w:sz="0" w:space="0" w:color="auto"/>
        <w:bottom w:val="none" w:sz="0" w:space="0" w:color="auto"/>
        <w:right w:val="none" w:sz="0" w:space="0" w:color="auto"/>
      </w:divBdr>
    </w:div>
    <w:div w:id="467866350">
      <w:bodyDiv w:val="1"/>
      <w:marLeft w:val="0"/>
      <w:marRight w:val="0"/>
      <w:marTop w:val="0"/>
      <w:marBottom w:val="0"/>
      <w:divBdr>
        <w:top w:val="none" w:sz="0" w:space="0" w:color="auto"/>
        <w:left w:val="none" w:sz="0" w:space="0" w:color="auto"/>
        <w:bottom w:val="none" w:sz="0" w:space="0" w:color="auto"/>
        <w:right w:val="none" w:sz="0" w:space="0" w:color="auto"/>
      </w:divBdr>
    </w:div>
    <w:div w:id="469324780">
      <w:bodyDiv w:val="1"/>
      <w:marLeft w:val="0"/>
      <w:marRight w:val="0"/>
      <w:marTop w:val="0"/>
      <w:marBottom w:val="0"/>
      <w:divBdr>
        <w:top w:val="none" w:sz="0" w:space="0" w:color="auto"/>
        <w:left w:val="none" w:sz="0" w:space="0" w:color="auto"/>
        <w:bottom w:val="none" w:sz="0" w:space="0" w:color="auto"/>
        <w:right w:val="none" w:sz="0" w:space="0" w:color="auto"/>
      </w:divBdr>
    </w:div>
    <w:div w:id="473909237">
      <w:bodyDiv w:val="1"/>
      <w:marLeft w:val="0"/>
      <w:marRight w:val="0"/>
      <w:marTop w:val="0"/>
      <w:marBottom w:val="0"/>
      <w:divBdr>
        <w:top w:val="none" w:sz="0" w:space="0" w:color="auto"/>
        <w:left w:val="none" w:sz="0" w:space="0" w:color="auto"/>
        <w:bottom w:val="none" w:sz="0" w:space="0" w:color="auto"/>
        <w:right w:val="none" w:sz="0" w:space="0" w:color="auto"/>
      </w:divBdr>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76721994">
      <w:bodyDiv w:val="1"/>
      <w:marLeft w:val="0"/>
      <w:marRight w:val="0"/>
      <w:marTop w:val="0"/>
      <w:marBottom w:val="0"/>
      <w:divBdr>
        <w:top w:val="none" w:sz="0" w:space="0" w:color="auto"/>
        <w:left w:val="none" w:sz="0" w:space="0" w:color="auto"/>
        <w:bottom w:val="none" w:sz="0" w:space="0" w:color="auto"/>
        <w:right w:val="none" w:sz="0" w:space="0" w:color="auto"/>
      </w:divBdr>
      <w:divsChild>
        <w:div w:id="1371224185">
          <w:blockQuote w:val="1"/>
          <w:marLeft w:val="-750"/>
          <w:marRight w:val="0"/>
          <w:marTop w:val="720"/>
          <w:marBottom w:val="870"/>
          <w:divBdr>
            <w:top w:val="single" w:sz="6" w:space="30" w:color="1276DC"/>
            <w:left w:val="none" w:sz="0" w:space="31" w:color="auto"/>
            <w:bottom w:val="none" w:sz="0" w:space="30" w:color="auto"/>
            <w:right w:val="none" w:sz="0" w:space="31" w:color="auto"/>
          </w:divBdr>
        </w:div>
      </w:divsChild>
    </w:div>
    <w:div w:id="477498940">
      <w:bodyDiv w:val="1"/>
      <w:marLeft w:val="0"/>
      <w:marRight w:val="0"/>
      <w:marTop w:val="0"/>
      <w:marBottom w:val="0"/>
      <w:divBdr>
        <w:top w:val="none" w:sz="0" w:space="0" w:color="auto"/>
        <w:left w:val="none" w:sz="0" w:space="0" w:color="auto"/>
        <w:bottom w:val="none" w:sz="0" w:space="0" w:color="auto"/>
        <w:right w:val="none" w:sz="0" w:space="0" w:color="auto"/>
      </w:divBdr>
    </w:div>
    <w:div w:id="481312550">
      <w:bodyDiv w:val="1"/>
      <w:marLeft w:val="0"/>
      <w:marRight w:val="0"/>
      <w:marTop w:val="0"/>
      <w:marBottom w:val="0"/>
      <w:divBdr>
        <w:top w:val="none" w:sz="0" w:space="0" w:color="auto"/>
        <w:left w:val="none" w:sz="0" w:space="0" w:color="auto"/>
        <w:bottom w:val="none" w:sz="0" w:space="0" w:color="auto"/>
        <w:right w:val="none" w:sz="0" w:space="0" w:color="auto"/>
      </w:divBdr>
    </w:div>
    <w:div w:id="482694934">
      <w:bodyDiv w:val="1"/>
      <w:marLeft w:val="0"/>
      <w:marRight w:val="0"/>
      <w:marTop w:val="0"/>
      <w:marBottom w:val="0"/>
      <w:divBdr>
        <w:top w:val="none" w:sz="0" w:space="0" w:color="auto"/>
        <w:left w:val="none" w:sz="0" w:space="0" w:color="auto"/>
        <w:bottom w:val="none" w:sz="0" w:space="0" w:color="auto"/>
        <w:right w:val="none" w:sz="0" w:space="0" w:color="auto"/>
      </w:divBdr>
    </w:div>
    <w:div w:id="483350217">
      <w:bodyDiv w:val="1"/>
      <w:marLeft w:val="0"/>
      <w:marRight w:val="0"/>
      <w:marTop w:val="0"/>
      <w:marBottom w:val="0"/>
      <w:divBdr>
        <w:top w:val="none" w:sz="0" w:space="0" w:color="auto"/>
        <w:left w:val="none" w:sz="0" w:space="0" w:color="auto"/>
        <w:bottom w:val="none" w:sz="0" w:space="0" w:color="auto"/>
        <w:right w:val="none" w:sz="0" w:space="0" w:color="auto"/>
      </w:divBdr>
    </w:div>
    <w:div w:id="484276678">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484931094">
      <w:bodyDiv w:val="1"/>
      <w:marLeft w:val="0"/>
      <w:marRight w:val="0"/>
      <w:marTop w:val="0"/>
      <w:marBottom w:val="0"/>
      <w:divBdr>
        <w:top w:val="none" w:sz="0" w:space="0" w:color="auto"/>
        <w:left w:val="none" w:sz="0" w:space="0" w:color="auto"/>
        <w:bottom w:val="none" w:sz="0" w:space="0" w:color="auto"/>
        <w:right w:val="none" w:sz="0" w:space="0" w:color="auto"/>
      </w:divBdr>
    </w:div>
    <w:div w:id="488713421">
      <w:bodyDiv w:val="1"/>
      <w:marLeft w:val="0"/>
      <w:marRight w:val="0"/>
      <w:marTop w:val="0"/>
      <w:marBottom w:val="0"/>
      <w:divBdr>
        <w:top w:val="none" w:sz="0" w:space="0" w:color="auto"/>
        <w:left w:val="none" w:sz="0" w:space="0" w:color="auto"/>
        <w:bottom w:val="none" w:sz="0" w:space="0" w:color="auto"/>
        <w:right w:val="none" w:sz="0" w:space="0" w:color="auto"/>
      </w:divBdr>
    </w:div>
    <w:div w:id="494152398">
      <w:bodyDiv w:val="1"/>
      <w:marLeft w:val="0"/>
      <w:marRight w:val="0"/>
      <w:marTop w:val="0"/>
      <w:marBottom w:val="0"/>
      <w:divBdr>
        <w:top w:val="none" w:sz="0" w:space="0" w:color="auto"/>
        <w:left w:val="none" w:sz="0" w:space="0" w:color="auto"/>
        <w:bottom w:val="none" w:sz="0" w:space="0" w:color="auto"/>
        <w:right w:val="none" w:sz="0" w:space="0" w:color="auto"/>
      </w:divBdr>
    </w:div>
    <w:div w:id="496769724">
      <w:bodyDiv w:val="1"/>
      <w:marLeft w:val="0"/>
      <w:marRight w:val="0"/>
      <w:marTop w:val="0"/>
      <w:marBottom w:val="0"/>
      <w:divBdr>
        <w:top w:val="none" w:sz="0" w:space="0" w:color="auto"/>
        <w:left w:val="none" w:sz="0" w:space="0" w:color="auto"/>
        <w:bottom w:val="none" w:sz="0" w:space="0" w:color="auto"/>
        <w:right w:val="none" w:sz="0" w:space="0" w:color="auto"/>
      </w:divBdr>
    </w:div>
    <w:div w:id="500268790">
      <w:bodyDiv w:val="1"/>
      <w:marLeft w:val="0"/>
      <w:marRight w:val="0"/>
      <w:marTop w:val="0"/>
      <w:marBottom w:val="0"/>
      <w:divBdr>
        <w:top w:val="none" w:sz="0" w:space="0" w:color="auto"/>
        <w:left w:val="none" w:sz="0" w:space="0" w:color="auto"/>
        <w:bottom w:val="none" w:sz="0" w:space="0" w:color="auto"/>
        <w:right w:val="none" w:sz="0" w:space="0" w:color="auto"/>
      </w:divBdr>
    </w:div>
    <w:div w:id="500853609">
      <w:bodyDiv w:val="1"/>
      <w:marLeft w:val="0"/>
      <w:marRight w:val="0"/>
      <w:marTop w:val="0"/>
      <w:marBottom w:val="0"/>
      <w:divBdr>
        <w:top w:val="none" w:sz="0" w:space="0" w:color="auto"/>
        <w:left w:val="none" w:sz="0" w:space="0" w:color="auto"/>
        <w:bottom w:val="none" w:sz="0" w:space="0" w:color="auto"/>
        <w:right w:val="none" w:sz="0" w:space="0" w:color="auto"/>
      </w:divBdr>
    </w:div>
    <w:div w:id="502862858">
      <w:bodyDiv w:val="1"/>
      <w:marLeft w:val="0"/>
      <w:marRight w:val="0"/>
      <w:marTop w:val="0"/>
      <w:marBottom w:val="0"/>
      <w:divBdr>
        <w:top w:val="none" w:sz="0" w:space="0" w:color="auto"/>
        <w:left w:val="none" w:sz="0" w:space="0" w:color="auto"/>
        <w:bottom w:val="none" w:sz="0" w:space="0" w:color="auto"/>
        <w:right w:val="none" w:sz="0" w:space="0" w:color="auto"/>
      </w:divBdr>
    </w:div>
    <w:div w:id="511067942">
      <w:bodyDiv w:val="1"/>
      <w:marLeft w:val="0"/>
      <w:marRight w:val="0"/>
      <w:marTop w:val="0"/>
      <w:marBottom w:val="0"/>
      <w:divBdr>
        <w:top w:val="none" w:sz="0" w:space="0" w:color="auto"/>
        <w:left w:val="none" w:sz="0" w:space="0" w:color="auto"/>
        <w:bottom w:val="none" w:sz="0" w:space="0" w:color="auto"/>
        <w:right w:val="none" w:sz="0" w:space="0" w:color="auto"/>
      </w:divBdr>
    </w:div>
    <w:div w:id="516121065">
      <w:bodyDiv w:val="1"/>
      <w:marLeft w:val="0"/>
      <w:marRight w:val="0"/>
      <w:marTop w:val="0"/>
      <w:marBottom w:val="0"/>
      <w:divBdr>
        <w:top w:val="none" w:sz="0" w:space="0" w:color="auto"/>
        <w:left w:val="none" w:sz="0" w:space="0" w:color="auto"/>
        <w:bottom w:val="none" w:sz="0" w:space="0" w:color="auto"/>
        <w:right w:val="none" w:sz="0" w:space="0" w:color="auto"/>
      </w:divBdr>
    </w:div>
    <w:div w:id="519122767">
      <w:bodyDiv w:val="1"/>
      <w:marLeft w:val="0"/>
      <w:marRight w:val="0"/>
      <w:marTop w:val="0"/>
      <w:marBottom w:val="0"/>
      <w:divBdr>
        <w:top w:val="none" w:sz="0" w:space="0" w:color="auto"/>
        <w:left w:val="none" w:sz="0" w:space="0" w:color="auto"/>
        <w:bottom w:val="none" w:sz="0" w:space="0" w:color="auto"/>
        <w:right w:val="none" w:sz="0" w:space="0" w:color="auto"/>
      </w:divBdr>
    </w:div>
    <w:div w:id="530725208">
      <w:bodyDiv w:val="1"/>
      <w:marLeft w:val="0"/>
      <w:marRight w:val="0"/>
      <w:marTop w:val="0"/>
      <w:marBottom w:val="0"/>
      <w:divBdr>
        <w:top w:val="none" w:sz="0" w:space="0" w:color="auto"/>
        <w:left w:val="none" w:sz="0" w:space="0" w:color="auto"/>
        <w:bottom w:val="none" w:sz="0" w:space="0" w:color="auto"/>
        <w:right w:val="none" w:sz="0" w:space="0" w:color="auto"/>
      </w:divBdr>
    </w:div>
    <w:div w:id="532812322">
      <w:bodyDiv w:val="1"/>
      <w:marLeft w:val="0"/>
      <w:marRight w:val="0"/>
      <w:marTop w:val="0"/>
      <w:marBottom w:val="0"/>
      <w:divBdr>
        <w:top w:val="none" w:sz="0" w:space="0" w:color="auto"/>
        <w:left w:val="none" w:sz="0" w:space="0" w:color="auto"/>
        <w:bottom w:val="none" w:sz="0" w:space="0" w:color="auto"/>
        <w:right w:val="none" w:sz="0" w:space="0" w:color="auto"/>
      </w:divBdr>
    </w:div>
    <w:div w:id="537622429">
      <w:bodyDiv w:val="1"/>
      <w:marLeft w:val="0"/>
      <w:marRight w:val="0"/>
      <w:marTop w:val="0"/>
      <w:marBottom w:val="0"/>
      <w:divBdr>
        <w:top w:val="none" w:sz="0" w:space="0" w:color="auto"/>
        <w:left w:val="none" w:sz="0" w:space="0" w:color="auto"/>
        <w:bottom w:val="none" w:sz="0" w:space="0" w:color="auto"/>
        <w:right w:val="none" w:sz="0" w:space="0" w:color="auto"/>
      </w:divBdr>
    </w:div>
    <w:div w:id="541669606">
      <w:bodyDiv w:val="1"/>
      <w:marLeft w:val="0"/>
      <w:marRight w:val="0"/>
      <w:marTop w:val="0"/>
      <w:marBottom w:val="0"/>
      <w:divBdr>
        <w:top w:val="none" w:sz="0" w:space="0" w:color="auto"/>
        <w:left w:val="none" w:sz="0" w:space="0" w:color="auto"/>
        <w:bottom w:val="none" w:sz="0" w:space="0" w:color="auto"/>
        <w:right w:val="none" w:sz="0" w:space="0" w:color="auto"/>
      </w:divBdr>
    </w:div>
    <w:div w:id="542791889">
      <w:bodyDiv w:val="1"/>
      <w:marLeft w:val="0"/>
      <w:marRight w:val="0"/>
      <w:marTop w:val="0"/>
      <w:marBottom w:val="0"/>
      <w:divBdr>
        <w:top w:val="none" w:sz="0" w:space="0" w:color="auto"/>
        <w:left w:val="none" w:sz="0" w:space="0" w:color="auto"/>
        <w:bottom w:val="none" w:sz="0" w:space="0" w:color="auto"/>
        <w:right w:val="none" w:sz="0" w:space="0" w:color="auto"/>
      </w:divBdr>
    </w:div>
    <w:div w:id="545484189">
      <w:bodyDiv w:val="1"/>
      <w:marLeft w:val="0"/>
      <w:marRight w:val="0"/>
      <w:marTop w:val="0"/>
      <w:marBottom w:val="0"/>
      <w:divBdr>
        <w:top w:val="none" w:sz="0" w:space="0" w:color="auto"/>
        <w:left w:val="none" w:sz="0" w:space="0" w:color="auto"/>
        <w:bottom w:val="none" w:sz="0" w:space="0" w:color="auto"/>
        <w:right w:val="none" w:sz="0" w:space="0" w:color="auto"/>
      </w:divBdr>
    </w:div>
    <w:div w:id="545876220">
      <w:bodyDiv w:val="1"/>
      <w:marLeft w:val="0"/>
      <w:marRight w:val="0"/>
      <w:marTop w:val="0"/>
      <w:marBottom w:val="0"/>
      <w:divBdr>
        <w:top w:val="none" w:sz="0" w:space="0" w:color="auto"/>
        <w:left w:val="none" w:sz="0" w:space="0" w:color="auto"/>
        <w:bottom w:val="none" w:sz="0" w:space="0" w:color="auto"/>
        <w:right w:val="none" w:sz="0" w:space="0" w:color="auto"/>
      </w:divBdr>
    </w:div>
    <w:div w:id="552959016">
      <w:bodyDiv w:val="1"/>
      <w:marLeft w:val="0"/>
      <w:marRight w:val="0"/>
      <w:marTop w:val="0"/>
      <w:marBottom w:val="0"/>
      <w:divBdr>
        <w:top w:val="none" w:sz="0" w:space="0" w:color="auto"/>
        <w:left w:val="none" w:sz="0" w:space="0" w:color="auto"/>
        <w:bottom w:val="none" w:sz="0" w:space="0" w:color="auto"/>
        <w:right w:val="none" w:sz="0" w:space="0" w:color="auto"/>
      </w:divBdr>
    </w:div>
    <w:div w:id="553275303">
      <w:bodyDiv w:val="1"/>
      <w:marLeft w:val="0"/>
      <w:marRight w:val="0"/>
      <w:marTop w:val="0"/>
      <w:marBottom w:val="0"/>
      <w:divBdr>
        <w:top w:val="none" w:sz="0" w:space="0" w:color="auto"/>
        <w:left w:val="none" w:sz="0" w:space="0" w:color="auto"/>
        <w:bottom w:val="none" w:sz="0" w:space="0" w:color="auto"/>
        <w:right w:val="none" w:sz="0" w:space="0" w:color="auto"/>
      </w:divBdr>
      <w:divsChild>
        <w:div w:id="1539901351">
          <w:marLeft w:val="0"/>
          <w:marRight w:val="0"/>
          <w:marTop w:val="0"/>
          <w:marBottom w:val="0"/>
          <w:divBdr>
            <w:top w:val="none" w:sz="0" w:space="0" w:color="auto"/>
            <w:left w:val="none" w:sz="0" w:space="0" w:color="auto"/>
            <w:bottom w:val="none" w:sz="0" w:space="0" w:color="auto"/>
            <w:right w:val="none" w:sz="0" w:space="0" w:color="auto"/>
          </w:divBdr>
        </w:div>
      </w:divsChild>
    </w:div>
    <w:div w:id="560211201">
      <w:bodyDiv w:val="1"/>
      <w:marLeft w:val="0"/>
      <w:marRight w:val="0"/>
      <w:marTop w:val="0"/>
      <w:marBottom w:val="0"/>
      <w:divBdr>
        <w:top w:val="none" w:sz="0" w:space="0" w:color="auto"/>
        <w:left w:val="none" w:sz="0" w:space="0" w:color="auto"/>
        <w:bottom w:val="none" w:sz="0" w:space="0" w:color="auto"/>
        <w:right w:val="none" w:sz="0" w:space="0" w:color="auto"/>
      </w:divBdr>
    </w:div>
    <w:div w:id="561209417">
      <w:bodyDiv w:val="1"/>
      <w:marLeft w:val="0"/>
      <w:marRight w:val="0"/>
      <w:marTop w:val="0"/>
      <w:marBottom w:val="0"/>
      <w:divBdr>
        <w:top w:val="none" w:sz="0" w:space="0" w:color="auto"/>
        <w:left w:val="none" w:sz="0" w:space="0" w:color="auto"/>
        <w:bottom w:val="none" w:sz="0" w:space="0" w:color="auto"/>
        <w:right w:val="none" w:sz="0" w:space="0" w:color="auto"/>
      </w:divBdr>
      <w:divsChild>
        <w:div w:id="850989293">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569199408">
      <w:bodyDiv w:val="1"/>
      <w:marLeft w:val="0"/>
      <w:marRight w:val="0"/>
      <w:marTop w:val="0"/>
      <w:marBottom w:val="0"/>
      <w:divBdr>
        <w:top w:val="none" w:sz="0" w:space="0" w:color="auto"/>
        <w:left w:val="none" w:sz="0" w:space="0" w:color="auto"/>
        <w:bottom w:val="none" w:sz="0" w:space="0" w:color="auto"/>
        <w:right w:val="none" w:sz="0" w:space="0" w:color="auto"/>
      </w:divBdr>
    </w:div>
    <w:div w:id="570122605">
      <w:bodyDiv w:val="1"/>
      <w:marLeft w:val="0"/>
      <w:marRight w:val="0"/>
      <w:marTop w:val="0"/>
      <w:marBottom w:val="0"/>
      <w:divBdr>
        <w:top w:val="none" w:sz="0" w:space="0" w:color="auto"/>
        <w:left w:val="none" w:sz="0" w:space="0" w:color="auto"/>
        <w:bottom w:val="none" w:sz="0" w:space="0" w:color="auto"/>
        <w:right w:val="none" w:sz="0" w:space="0" w:color="auto"/>
      </w:divBdr>
    </w:div>
    <w:div w:id="571355276">
      <w:bodyDiv w:val="1"/>
      <w:marLeft w:val="0"/>
      <w:marRight w:val="0"/>
      <w:marTop w:val="0"/>
      <w:marBottom w:val="0"/>
      <w:divBdr>
        <w:top w:val="none" w:sz="0" w:space="0" w:color="auto"/>
        <w:left w:val="none" w:sz="0" w:space="0" w:color="auto"/>
        <w:bottom w:val="none" w:sz="0" w:space="0" w:color="auto"/>
        <w:right w:val="none" w:sz="0" w:space="0" w:color="auto"/>
      </w:divBdr>
    </w:div>
    <w:div w:id="574782214">
      <w:bodyDiv w:val="1"/>
      <w:marLeft w:val="0"/>
      <w:marRight w:val="0"/>
      <w:marTop w:val="0"/>
      <w:marBottom w:val="0"/>
      <w:divBdr>
        <w:top w:val="none" w:sz="0" w:space="0" w:color="auto"/>
        <w:left w:val="none" w:sz="0" w:space="0" w:color="auto"/>
        <w:bottom w:val="none" w:sz="0" w:space="0" w:color="auto"/>
        <w:right w:val="none" w:sz="0" w:space="0" w:color="auto"/>
      </w:divBdr>
    </w:div>
    <w:div w:id="576523608">
      <w:bodyDiv w:val="1"/>
      <w:marLeft w:val="0"/>
      <w:marRight w:val="0"/>
      <w:marTop w:val="0"/>
      <w:marBottom w:val="0"/>
      <w:divBdr>
        <w:top w:val="none" w:sz="0" w:space="0" w:color="auto"/>
        <w:left w:val="none" w:sz="0" w:space="0" w:color="auto"/>
        <w:bottom w:val="none" w:sz="0" w:space="0" w:color="auto"/>
        <w:right w:val="none" w:sz="0" w:space="0" w:color="auto"/>
      </w:divBdr>
    </w:div>
    <w:div w:id="581331197">
      <w:bodyDiv w:val="1"/>
      <w:marLeft w:val="0"/>
      <w:marRight w:val="0"/>
      <w:marTop w:val="0"/>
      <w:marBottom w:val="0"/>
      <w:divBdr>
        <w:top w:val="none" w:sz="0" w:space="0" w:color="auto"/>
        <w:left w:val="none" w:sz="0" w:space="0" w:color="auto"/>
        <w:bottom w:val="none" w:sz="0" w:space="0" w:color="auto"/>
        <w:right w:val="none" w:sz="0" w:space="0" w:color="auto"/>
      </w:divBdr>
      <w:divsChild>
        <w:div w:id="27268801">
          <w:marLeft w:val="0"/>
          <w:marRight w:val="0"/>
          <w:marTop w:val="0"/>
          <w:marBottom w:val="600"/>
          <w:divBdr>
            <w:top w:val="none" w:sz="0" w:space="0" w:color="auto"/>
            <w:left w:val="none" w:sz="0" w:space="0" w:color="auto"/>
            <w:bottom w:val="none" w:sz="0" w:space="0" w:color="auto"/>
            <w:right w:val="none" w:sz="0" w:space="0" w:color="auto"/>
          </w:divBdr>
        </w:div>
        <w:div w:id="56436783">
          <w:marLeft w:val="0"/>
          <w:marRight w:val="0"/>
          <w:marTop w:val="0"/>
          <w:marBottom w:val="600"/>
          <w:divBdr>
            <w:top w:val="none" w:sz="0" w:space="0" w:color="auto"/>
            <w:left w:val="none" w:sz="0" w:space="0" w:color="auto"/>
            <w:bottom w:val="none" w:sz="0" w:space="0" w:color="auto"/>
            <w:right w:val="none" w:sz="0" w:space="0" w:color="auto"/>
          </w:divBdr>
        </w:div>
        <w:div w:id="250284895">
          <w:marLeft w:val="0"/>
          <w:marRight w:val="0"/>
          <w:marTop w:val="0"/>
          <w:marBottom w:val="600"/>
          <w:divBdr>
            <w:top w:val="none" w:sz="0" w:space="0" w:color="auto"/>
            <w:left w:val="none" w:sz="0" w:space="0" w:color="auto"/>
            <w:bottom w:val="none" w:sz="0" w:space="0" w:color="auto"/>
            <w:right w:val="none" w:sz="0" w:space="0" w:color="auto"/>
          </w:divBdr>
        </w:div>
        <w:div w:id="1440753830">
          <w:marLeft w:val="0"/>
          <w:marRight w:val="0"/>
          <w:marTop w:val="0"/>
          <w:marBottom w:val="600"/>
          <w:divBdr>
            <w:top w:val="none" w:sz="0" w:space="0" w:color="auto"/>
            <w:left w:val="none" w:sz="0" w:space="0" w:color="auto"/>
            <w:bottom w:val="none" w:sz="0" w:space="0" w:color="auto"/>
            <w:right w:val="none" w:sz="0" w:space="0" w:color="auto"/>
          </w:divBdr>
        </w:div>
        <w:div w:id="2052728066">
          <w:marLeft w:val="0"/>
          <w:marRight w:val="0"/>
          <w:marTop w:val="0"/>
          <w:marBottom w:val="600"/>
          <w:divBdr>
            <w:top w:val="none" w:sz="0" w:space="0" w:color="auto"/>
            <w:left w:val="none" w:sz="0" w:space="0" w:color="auto"/>
            <w:bottom w:val="none" w:sz="0" w:space="0" w:color="auto"/>
            <w:right w:val="none" w:sz="0" w:space="0" w:color="auto"/>
          </w:divBdr>
        </w:div>
      </w:divsChild>
    </w:div>
    <w:div w:id="582645962">
      <w:bodyDiv w:val="1"/>
      <w:marLeft w:val="0"/>
      <w:marRight w:val="0"/>
      <w:marTop w:val="0"/>
      <w:marBottom w:val="0"/>
      <w:divBdr>
        <w:top w:val="none" w:sz="0" w:space="0" w:color="auto"/>
        <w:left w:val="none" w:sz="0" w:space="0" w:color="auto"/>
        <w:bottom w:val="none" w:sz="0" w:space="0" w:color="auto"/>
        <w:right w:val="none" w:sz="0" w:space="0" w:color="auto"/>
      </w:divBdr>
    </w:div>
    <w:div w:id="592711031">
      <w:bodyDiv w:val="1"/>
      <w:marLeft w:val="0"/>
      <w:marRight w:val="0"/>
      <w:marTop w:val="0"/>
      <w:marBottom w:val="0"/>
      <w:divBdr>
        <w:top w:val="none" w:sz="0" w:space="0" w:color="auto"/>
        <w:left w:val="none" w:sz="0" w:space="0" w:color="auto"/>
        <w:bottom w:val="none" w:sz="0" w:space="0" w:color="auto"/>
        <w:right w:val="none" w:sz="0" w:space="0" w:color="auto"/>
      </w:divBdr>
    </w:div>
    <w:div w:id="595793463">
      <w:bodyDiv w:val="1"/>
      <w:marLeft w:val="0"/>
      <w:marRight w:val="0"/>
      <w:marTop w:val="0"/>
      <w:marBottom w:val="0"/>
      <w:divBdr>
        <w:top w:val="none" w:sz="0" w:space="0" w:color="auto"/>
        <w:left w:val="none" w:sz="0" w:space="0" w:color="auto"/>
        <w:bottom w:val="none" w:sz="0" w:space="0" w:color="auto"/>
        <w:right w:val="none" w:sz="0" w:space="0" w:color="auto"/>
      </w:divBdr>
    </w:div>
    <w:div w:id="604967070">
      <w:bodyDiv w:val="1"/>
      <w:marLeft w:val="0"/>
      <w:marRight w:val="0"/>
      <w:marTop w:val="0"/>
      <w:marBottom w:val="0"/>
      <w:divBdr>
        <w:top w:val="none" w:sz="0" w:space="0" w:color="auto"/>
        <w:left w:val="none" w:sz="0" w:space="0" w:color="auto"/>
        <w:bottom w:val="none" w:sz="0" w:space="0" w:color="auto"/>
        <w:right w:val="none" w:sz="0" w:space="0" w:color="auto"/>
      </w:divBdr>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1131401">
      <w:bodyDiv w:val="1"/>
      <w:marLeft w:val="0"/>
      <w:marRight w:val="0"/>
      <w:marTop w:val="0"/>
      <w:marBottom w:val="0"/>
      <w:divBdr>
        <w:top w:val="none" w:sz="0" w:space="0" w:color="auto"/>
        <w:left w:val="none" w:sz="0" w:space="0" w:color="auto"/>
        <w:bottom w:val="none" w:sz="0" w:space="0" w:color="auto"/>
        <w:right w:val="none" w:sz="0" w:space="0" w:color="auto"/>
      </w:divBdr>
    </w:div>
    <w:div w:id="616911123">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19805654">
      <w:bodyDiv w:val="1"/>
      <w:marLeft w:val="0"/>
      <w:marRight w:val="0"/>
      <w:marTop w:val="0"/>
      <w:marBottom w:val="0"/>
      <w:divBdr>
        <w:top w:val="none" w:sz="0" w:space="0" w:color="auto"/>
        <w:left w:val="none" w:sz="0" w:space="0" w:color="auto"/>
        <w:bottom w:val="none" w:sz="0" w:space="0" w:color="auto"/>
        <w:right w:val="none" w:sz="0" w:space="0" w:color="auto"/>
      </w:divBdr>
    </w:div>
    <w:div w:id="619805896">
      <w:bodyDiv w:val="1"/>
      <w:marLeft w:val="0"/>
      <w:marRight w:val="0"/>
      <w:marTop w:val="0"/>
      <w:marBottom w:val="0"/>
      <w:divBdr>
        <w:top w:val="none" w:sz="0" w:space="0" w:color="auto"/>
        <w:left w:val="none" w:sz="0" w:space="0" w:color="auto"/>
        <w:bottom w:val="none" w:sz="0" w:space="0" w:color="auto"/>
        <w:right w:val="none" w:sz="0" w:space="0" w:color="auto"/>
      </w:divBdr>
    </w:div>
    <w:div w:id="623006625">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32977404">
      <w:bodyDiv w:val="1"/>
      <w:marLeft w:val="0"/>
      <w:marRight w:val="0"/>
      <w:marTop w:val="0"/>
      <w:marBottom w:val="0"/>
      <w:divBdr>
        <w:top w:val="none" w:sz="0" w:space="0" w:color="auto"/>
        <w:left w:val="none" w:sz="0" w:space="0" w:color="auto"/>
        <w:bottom w:val="none" w:sz="0" w:space="0" w:color="auto"/>
        <w:right w:val="none" w:sz="0" w:space="0" w:color="auto"/>
      </w:divBdr>
    </w:div>
    <w:div w:id="634719205">
      <w:bodyDiv w:val="1"/>
      <w:marLeft w:val="0"/>
      <w:marRight w:val="0"/>
      <w:marTop w:val="0"/>
      <w:marBottom w:val="0"/>
      <w:divBdr>
        <w:top w:val="none" w:sz="0" w:space="0" w:color="auto"/>
        <w:left w:val="none" w:sz="0" w:space="0" w:color="auto"/>
        <w:bottom w:val="none" w:sz="0" w:space="0" w:color="auto"/>
        <w:right w:val="none" w:sz="0" w:space="0" w:color="auto"/>
      </w:divBdr>
      <w:divsChild>
        <w:div w:id="174226932">
          <w:marLeft w:val="0"/>
          <w:marRight w:val="0"/>
          <w:marTop w:val="0"/>
          <w:marBottom w:val="0"/>
          <w:divBdr>
            <w:top w:val="none" w:sz="0" w:space="0" w:color="auto"/>
            <w:left w:val="none" w:sz="0" w:space="0" w:color="auto"/>
            <w:bottom w:val="none" w:sz="0" w:space="0" w:color="auto"/>
            <w:right w:val="none" w:sz="0" w:space="0" w:color="auto"/>
          </w:divBdr>
        </w:div>
      </w:divsChild>
    </w:div>
    <w:div w:id="636254447">
      <w:bodyDiv w:val="1"/>
      <w:marLeft w:val="0"/>
      <w:marRight w:val="0"/>
      <w:marTop w:val="0"/>
      <w:marBottom w:val="0"/>
      <w:divBdr>
        <w:top w:val="none" w:sz="0" w:space="0" w:color="auto"/>
        <w:left w:val="none" w:sz="0" w:space="0" w:color="auto"/>
        <w:bottom w:val="none" w:sz="0" w:space="0" w:color="auto"/>
        <w:right w:val="none" w:sz="0" w:space="0" w:color="auto"/>
      </w:divBdr>
    </w:div>
    <w:div w:id="638386593">
      <w:bodyDiv w:val="1"/>
      <w:marLeft w:val="0"/>
      <w:marRight w:val="0"/>
      <w:marTop w:val="0"/>
      <w:marBottom w:val="0"/>
      <w:divBdr>
        <w:top w:val="none" w:sz="0" w:space="0" w:color="auto"/>
        <w:left w:val="none" w:sz="0" w:space="0" w:color="auto"/>
        <w:bottom w:val="none" w:sz="0" w:space="0" w:color="auto"/>
        <w:right w:val="none" w:sz="0" w:space="0" w:color="auto"/>
      </w:divBdr>
    </w:div>
    <w:div w:id="638533740">
      <w:bodyDiv w:val="1"/>
      <w:marLeft w:val="0"/>
      <w:marRight w:val="0"/>
      <w:marTop w:val="0"/>
      <w:marBottom w:val="0"/>
      <w:divBdr>
        <w:top w:val="none" w:sz="0" w:space="0" w:color="auto"/>
        <w:left w:val="none" w:sz="0" w:space="0" w:color="auto"/>
        <w:bottom w:val="none" w:sz="0" w:space="0" w:color="auto"/>
        <w:right w:val="none" w:sz="0" w:space="0" w:color="auto"/>
      </w:divBdr>
    </w:div>
    <w:div w:id="641540635">
      <w:bodyDiv w:val="1"/>
      <w:marLeft w:val="0"/>
      <w:marRight w:val="0"/>
      <w:marTop w:val="0"/>
      <w:marBottom w:val="0"/>
      <w:divBdr>
        <w:top w:val="none" w:sz="0" w:space="0" w:color="auto"/>
        <w:left w:val="none" w:sz="0" w:space="0" w:color="auto"/>
        <w:bottom w:val="none" w:sz="0" w:space="0" w:color="auto"/>
        <w:right w:val="none" w:sz="0" w:space="0" w:color="auto"/>
      </w:divBdr>
    </w:div>
    <w:div w:id="642349625">
      <w:bodyDiv w:val="1"/>
      <w:marLeft w:val="0"/>
      <w:marRight w:val="0"/>
      <w:marTop w:val="0"/>
      <w:marBottom w:val="0"/>
      <w:divBdr>
        <w:top w:val="none" w:sz="0" w:space="0" w:color="auto"/>
        <w:left w:val="none" w:sz="0" w:space="0" w:color="auto"/>
        <w:bottom w:val="none" w:sz="0" w:space="0" w:color="auto"/>
        <w:right w:val="none" w:sz="0" w:space="0" w:color="auto"/>
      </w:divBdr>
    </w:div>
    <w:div w:id="655887371">
      <w:bodyDiv w:val="1"/>
      <w:marLeft w:val="0"/>
      <w:marRight w:val="0"/>
      <w:marTop w:val="0"/>
      <w:marBottom w:val="0"/>
      <w:divBdr>
        <w:top w:val="none" w:sz="0" w:space="0" w:color="auto"/>
        <w:left w:val="none" w:sz="0" w:space="0" w:color="auto"/>
        <w:bottom w:val="none" w:sz="0" w:space="0" w:color="auto"/>
        <w:right w:val="none" w:sz="0" w:space="0" w:color="auto"/>
      </w:divBdr>
    </w:div>
    <w:div w:id="657001048">
      <w:bodyDiv w:val="1"/>
      <w:marLeft w:val="0"/>
      <w:marRight w:val="0"/>
      <w:marTop w:val="0"/>
      <w:marBottom w:val="0"/>
      <w:divBdr>
        <w:top w:val="none" w:sz="0" w:space="0" w:color="auto"/>
        <w:left w:val="none" w:sz="0" w:space="0" w:color="auto"/>
        <w:bottom w:val="none" w:sz="0" w:space="0" w:color="auto"/>
        <w:right w:val="none" w:sz="0" w:space="0" w:color="auto"/>
      </w:divBdr>
    </w:div>
    <w:div w:id="658078029">
      <w:bodyDiv w:val="1"/>
      <w:marLeft w:val="0"/>
      <w:marRight w:val="0"/>
      <w:marTop w:val="0"/>
      <w:marBottom w:val="0"/>
      <w:divBdr>
        <w:top w:val="none" w:sz="0" w:space="0" w:color="auto"/>
        <w:left w:val="none" w:sz="0" w:space="0" w:color="auto"/>
        <w:bottom w:val="none" w:sz="0" w:space="0" w:color="auto"/>
        <w:right w:val="none" w:sz="0" w:space="0" w:color="auto"/>
      </w:divBdr>
    </w:div>
    <w:div w:id="661662284">
      <w:bodyDiv w:val="1"/>
      <w:marLeft w:val="0"/>
      <w:marRight w:val="0"/>
      <w:marTop w:val="0"/>
      <w:marBottom w:val="0"/>
      <w:divBdr>
        <w:top w:val="none" w:sz="0" w:space="0" w:color="auto"/>
        <w:left w:val="none" w:sz="0" w:space="0" w:color="auto"/>
        <w:bottom w:val="none" w:sz="0" w:space="0" w:color="auto"/>
        <w:right w:val="none" w:sz="0" w:space="0" w:color="auto"/>
      </w:divBdr>
    </w:div>
    <w:div w:id="667752804">
      <w:bodyDiv w:val="1"/>
      <w:marLeft w:val="0"/>
      <w:marRight w:val="0"/>
      <w:marTop w:val="0"/>
      <w:marBottom w:val="0"/>
      <w:divBdr>
        <w:top w:val="none" w:sz="0" w:space="0" w:color="auto"/>
        <w:left w:val="none" w:sz="0" w:space="0" w:color="auto"/>
        <w:bottom w:val="none" w:sz="0" w:space="0" w:color="auto"/>
        <w:right w:val="none" w:sz="0" w:space="0" w:color="auto"/>
      </w:divBdr>
    </w:div>
    <w:div w:id="669910693">
      <w:bodyDiv w:val="1"/>
      <w:marLeft w:val="0"/>
      <w:marRight w:val="0"/>
      <w:marTop w:val="0"/>
      <w:marBottom w:val="0"/>
      <w:divBdr>
        <w:top w:val="none" w:sz="0" w:space="0" w:color="auto"/>
        <w:left w:val="none" w:sz="0" w:space="0" w:color="auto"/>
        <w:bottom w:val="none" w:sz="0" w:space="0" w:color="auto"/>
        <w:right w:val="none" w:sz="0" w:space="0" w:color="auto"/>
      </w:divBdr>
    </w:div>
    <w:div w:id="670184545">
      <w:bodyDiv w:val="1"/>
      <w:marLeft w:val="0"/>
      <w:marRight w:val="0"/>
      <w:marTop w:val="0"/>
      <w:marBottom w:val="0"/>
      <w:divBdr>
        <w:top w:val="none" w:sz="0" w:space="0" w:color="auto"/>
        <w:left w:val="none" w:sz="0" w:space="0" w:color="auto"/>
        <w:bottom w:val="none" w:sz="0" w:space="0" w:color="auto"/>
        <w:right w:val="none" w:sz="0" w:space="0" w:color="auto"/>
      </w:divBdr>
      <w:divsChild>
        <w:div w:id="1490974673">
          <w:marLeft w:val="0"/>
          <w:marRight w:val="0"/>
          <w:marTop w:val="0"/>
          <w:marBottom w:val="240"/>
          <w:divBdr>
            <w:top w:val="none" w:sz="0" w:space="0" w:color="auto"/>
            <w:left w:val="none" w:sz="0" w:space="0" w:color="auto"/>
            <w:bottom w:val="none" w:sz="0" w:space="0" w:color="auto"/>
            <w:right w:val="none" w:sz="0" w:space="0" w:color="auto"/>
          </w:divBdr>
          <w:divsChild>
            <w:div w:id="67338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912635">
      <w:bodyDiv w:val="1"/>
      <w:marLeft w:val="0"/>
      <w:marRight w:val="0"/>
      <w:marTop w:val="0"/>
      <w:marBottom w:val="0"/>
      <w:divBdr>
        <w:top w:val="none" w:sz="0" w:space="0" w:color="auto"/>
        <w:left w:val="none" w:sz="0" w:space="0" w:color="auto"/>
        <w:bottom w:val="none" w:sz="0" w:space="0" w:color="auto"/>
        <w:right w:val="none" w:sz="0" w:space="0" w:color="auto"/>
      </w:divBdr>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74964281">
      <w:bodyDiv w:val="1"/>
      <w:marLeft w:val="0"/>
      <w:marRight w:val="0"/>
      <w:marTop w:val="0"/>
      <w:marBottom w:val="0"/>
      <w:divBdr>
        <w:top w:val="none" w:sz="0" w:space="0" w:color="auto"/>
        <w:left w:val="none" w:sz="0" w:space="0" w:color="auto"/>
        <w:bottom w:val="none" w:sz="0" w:space="0" w:color="auto"/>
        <w:right w:val="none" w:sz="0" w:space="0" w:color="auto"/>
      </w:divBdr>
    </w:div>
    <w:div w:id="686450297">
      <w:bodyDiv w:val="1"/>
      <w:marLeft w:val="0"/>
      <w:marRight w:val="0"/>
      <w:marTop w:val="0"/>
      <w:marBottom w:val="0"/>
      <w:divBdr>
        <w:top w:val="none" w:sz="0" w:space="0" w:color="auto"/>
        <w:left w:val="none" w:sz="0" w:space="0" w:color="auto"/>
        <w:bottom w:val="none" w:sz="0" w:space="0" w:color="auto"/>
        <w:right w:val="none" w:sz="0" w:space="0" w:color="auto"/>
      </w:divBdr>
    </w:div>
    <w:div w:id="691342566">
      <w:bodyDiv w:val="1"/>
      <w:marLeft w:val="0"/>
      <w:marRight w:val="0"/>
      <w:marTop w:val="0"/>
      <w:marBottom w:val="0"/>
      <w:divBdr>
        <w:top w:val="none" w:sz="0" w:space="0" w:color="auto"/>
        <w:left w:val="none" w:sz="0" w:space="0" w:color="auto"/>
        <w:bottom w:val="none" w:sz="0" w:space="0" w:color="auto"/>
        <w:right w:val="none" w:sz="0" w:space="0" w:color="auto"/>
      </w:divBdr>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691801276">
      <w:bodyDiv w:val="1"/>
      <w:marLeft w:val="0"/>
      <w:marRight w:val="0"/>
      <w:marTop w:val="0"/>
      <w:marBottom w:val="0"/>
      <w:divBdr>
        <w:top w:val="none" w:sz="0" w:space="0" w:color="auto"/>
        <w:left w:val="none" w:sz="0" w:space="0" w:color="auto"/>
        <w:bottom w:val="none" w:sz="0" w:space="0" w:color="auto"/>
        <w:right w:val="none" w:sz="0" w:space="0" w:color="auto"/>
      </w:divBdr>
    </w:div>
    <w:div w:id="695928827">
      <w:bodyDiv w:val="1"/>
      <w:marLeft w:val="0"/>
      <w:marRight w:val="0"/>
      <w:marTop w:val="0"/>
      <w:marBottom w:val="0"/>
      <w:divBdr>
        <w:top w:val="none" w:sz="0" w:space="0" w:color="auto"/>
        <w:left w:val="none" w:sz="0" w:space="0" w:color="auto"/>
        <w:bottom w:val="none" w:sz="0" w:space="0" w:color="auto"/>
        <w:right w:val="none" w:sz="0" w:space="0" w:color="auto"/>
      </w:divBdr>
    </w:div>
    <w:div w:id="703480039">
      <w:bodyDiv w:val="1"/>
      <w:marLeft w:val="0"/>
      <w:marRight w:val="0"/>
      <w:marTop w:val="0"/>
      <w:marBottom w:val="0"/>
      <w:divBdr>
        <w:top w:val="none" w:sz="0" w:space="0" w:color="auto"/>
        <w:left w:val="none" w:sz="0" w:space="0" w:color="auto"/>
        <w:bottom w:val="none" w:sz="0" w:space="0" w:color="auto"/>
        <w:right w:val="none" w:sz="0" w:space="0" w:color="auto"/>
      </w:divBdr>
    </w:div>
    <w:div w:id="706610821">
      <w:bodyDiv w:val="1"/>
      <w:marLeft w:val="0"/>
      <w:marRight w:val="0"/>
      <w:marTop w:val="0"/>
      <w:marBottom w:val="0"/>
      <w:divBdr>
        <w:top w:val="none" w:sz="0" w:space="0" w:color="auto"/>
        <w:left w:val="none" w:sz="0" w:space="0" w:color="auto"/>
        <w:bottom w:val="none" w:sz="0" w:space="0" w:color="auto"/>
        <w:right w:val="none" w:sz="0" w:space="0" w:color="auto"/>
      </w:divBdr>
      <w:divsChild>
        <w:div w:id="640503071">
          <w:marLeft w:val="0"/>
          <w:marRight w:val="0"/>
          <w:marTop w:val="0"/>
          <w:marBottom w:val="0"/>
          <w:divBdr>
            <w:top w:val="none" w:sz="0" w:space="0" w:color="auto"/>
            <w:left w:val="none" w:sz="0" w:space="0" w:color="auto"/>
            <w:bottom w:val="none" w:sz="0" w:space="0" w:color="auto"/>
            <w:right w:val="none" w:sz="0" w:space="0" w:color="auto"/>
          </w:divBdr>
        </w:div>
      </w:divsChild>
    </w:div>
    <w:div w:id="715814219">
      <w:bodyDiv w:val="1"/>
      <w:marLeft w:val="0"/>
      <w:marRight w:val="0"/>
      <w:marTop w:val="0"/>
      <w:marBottom w:val="0"/>
      <w:divBdr>
        <w:top w:val="none" w:sz="0" w:space="0" w:color="auto"/>
        <w:left w:val="none" w:sz="0" w:space="0" w:color="auto"/>
        <w:bottom w:val="none" w:sz="0" w:space="0" w:color="auto"/>
        <w:right w:val="none" w:sz="0" w:space="0" w:color="auto"/>
      </w:divBdr>
      <w:divsChild>
        <w:div w:id="1990284402">
          <w:marLeft w:val="0"/>
          <w:marRight w:val="0"/>
          <w:marTop w:val="0"/>
          <w:marBottom w:val="0"/>
          <w:divBdr>
            <w:top w:val="none" w:sz="0" w:space="0" w:color="auto"/>
            <w:left w:val="none" w:sz="0" w:space="0" w:color="auto"/>
            <w:bottom w:val="none" w:sz="0" w:space="0" w:color="auto"/>
            <w:right w:val="none" w:sz="0" w:space="0" w:color="auto"/>
          </w:divBdr>
        </w:div>
      </w:divsChild>
    </w:div>
    <w:div w:id="717241768">
      <w:bodyDiv w:val="1"/>
      <w:marLeft w:val="0"/>
      <w:marRight w:val="0"/>
      <w:marTop w:val="0"/>
      <w:marBottom w:val="0"/>
      <w:divBdr>
        <w:top w:val="none" w:sz="0" w:space="0" w:color="auto"/>
        <w:left w:val="none" w:sz="0" w:space="0" w:color="auto"/>
        <w:bottom w:val="none" w:sz="0" w:space="0" w:color="auto"/>
        <w:right w:val="none" w:sz="0" w:space="0" w:color="auto"/>
      </w:divBdr>
      <w:divsChild>
        <w:div w:id="553006311">
          <w:marLeft w:val="0"/>
          <w:marRight w:val="0"/>
          <w:marTop w:val="0"/>
          <w:marBottom w:val="0"/>
          <w:divBdr>
            <w:top w:val="none" w:sz="0" w:space="0" w:color="auto"/>
            <w:left w:val="none" w:sz="0" w:space="0" w:color="auto"/>
            <w:bottom w:val="none" w:sz="0" w:space="0" w:color="auto"/>
            <w:right w:val="none" w:sz="0" w:space="0" w:color="auto"/>
          </w:divBdr>
        </w:div>
      </w:divsChild>
    </w:div>
    <w:div w:id="717703050">
      <w:bodyDiv w:val="1"/>
      <w:marLeft w:val="0"/>
      <w:marRight w:val="0"/>
      <w:marTop w:val="0"/>
      <w:marBottom w:val="0"/>
      <w:divBdr>
        <w:top w:val="none" w:sz="0" w:space="0" w:color="auto"/>
        <w:left w:val="none" w:sz="0" w:space="0" w:color="auto"/>
        <w:bottom w:val="none" w:sz="0" w:space="0" w:color="auto"/>
        <w:right w:val="none" w:sz="0" w:space="0" w:color="auto"/>
      </w:divBdr>
      <w:divsChild>
        <w:div w:id="636762475">
          <w:marLeft w:val="0"/>
          <w:marRight w:val="0"/>
          <w:marTop w:val="120"/>
          <w:marBottom w:val="120"/>
          <w:divBdr>
            <w:top w:val="none" w:sz="0" w:space="0" w:color="auto"/>
            <w:left w:val="none" w:sz="0" w:space="0" w:color="auto"/>
            <w:bottom w:val="none" w:sz="0" w:space="0" w:color="auto"/>
            <w:right w:val="none" w:sz="0" w:space="0" w:color="auto"/>
          </w:divBdr>
        </w:div>
        <w:div w:id="1240411394">
          <w:marLeft w:val="0"/>
          <w:marRight w:val="0"/>
          <w:marTop w:val="120"/>
          <w:marBottom w:val="120"/>
          <w:divBdr>
            <w:top w:val="none" w:sz="0" w:space="0" w:color="auto"/>
            <w:left w:val="none" w:sz="0" w:space="0" w:color="auto"/>
            <w:bottom w:val="none" w:sz="0" w:space="0" w:color="auto"/>
            <w:right w:val="none" w:sz="0" w:space="0" w:color="auto"/>
          </w:divBdr>
        </w:div>
      </w:divsChild>
    </w:div>
    <w:div w:id="719133518">
      <w:bodyDiv w:val="1"/>
      <w:marLeft w:val="0"/>
      <w:marRight w:val="0"/>
      <w:marTop w:val="0"/>
      <w:marBottom w:val="0"/>
      <w:divBdr>
        <w:top w:val="none" w:sz="0" w:space="0" w:color="auto"/>
        <w:left w:val="none" w:sz="0" w:space="0" w:color="auto"/>
        <w:bottom w:val="none" w:sz="0" w:space="0" w:color="auto"/>
        <w:right w:val="none" w:sz="0" w:space="0" w:color="auto"/>
      </w:divBdr>
    </w:div>
    <w:div w:id="719136785">
      <w:bodyDiv w:val="1"/>
      <w:marLeft w:val="0"/>
      <w:marRight w:val="0"/>
      <w:marTop w:val="0"/>
      <w:marBottom w:val="0"/>
      <w:divBdr>
        <w:top w:val="none" w:sz="0" w:space="0" w:color="auto"/>
        <w:left w:val="none" w:sz="0" w:space="0" w:color="auto"/>
        <w:bottom w:val="none" w:sz="0" w:space="0" w:color="auto"/>
        <w:right w:val="none" w:sz="0" w:space="0" w:color="auto"/>
      </w:divBdr>
    </w:div>
    <w:div w:id="720909079">
      <w:bodyDiv w:val="1"/>
      <w:marLeft w:val="0"/>
      <w:marRight w:val="0"/>
      <w:marTop w:val="0"/>
      <w:marBottom w:val="0"/>
      <w:divBdr>
        <w:top w:val="none" w:sz="0" w:space="0" w:color="auto"/>
        <w:left w:val="none" w:sz="0" w:space="0" w:color="auto"/>
        <w:bottom w:val="none" w:sz="0" w:space="0" w:color="auto"/>
        <w:right w:val="none" w:sz="0" w:space="0" w:color="auto"/>
      </w:divBdr>
    </w:div>
    <w:div w:id="732966316">
      <w:bodyDiv w:val="1"/>
      <w:marLeft w:val="0"/>
      <w:marRight w:val="0"/>
      <w:marTop w:val="0"/>
      <w:marBottom w:val="0"/>
      <w:divBdr>
        <w:top w:val="none" w:sz="0" w:space="0" w:color="auto"/>
        <w:left w:val="none" w:sz="0" w:space="0" w:color="auto"/>
        <w:bottom w:val="none" w:sz="0" w:space="0" w:color="auto"/>
        <w:right w:val="none" w:sz="0" w:space="0" w:color="auto"/>
      </w:divBdr>
    </w:div>
    <w:div w:id="735007564">
      <w:bodyDiv w:val="1"/>
      <w:marLeft w:val="0"/>
      <w:marRight w:val="0"/>
      <w:marTop w:val="0"/>
      <w:marBottom w:val="0"/>
      <w:divBdr>
        <w:top w:val="none" w:sz="0" w:space="0" w:color="auto"/>
        <w:left w:val="none" w:sz="0" w:space="0" w:color="auto"/>
        <w:bottom w:val="none" w:sz="0" w:space="0" w:color="auto"/>
        <w:right w:val="none" w:sz="0" w:space="0" w:color="auto"/>
      </w:divBdr>
    </w:div>
    <w:div w:id="741299008">
      <w:bodyDiv w:val="1"/>
      <w:marLeft w:val="0"/>
      <w:marRight w:val="0"/>
      <w:marTop w:val="0"/>
      <w:marBottom w:val="0"/>
      <w:divBdr>
        <w:top w:val="none" w:sz="0" w:space="0" w:color="auto"/>
        <w:left w:val="none" w:sz="0" w:space="0" w:color="auto"/>
        <w:bottom w:val="none" w:sz="0" w:space="0" w:color="auto"/>
        <w:right w:val="none" w:sz="0" w:space="0" w:color="auto"/>
      </w:divBdr>
    </w:div>
    <w:div w:id="744113624">
      <w:bodyDiv w:val="1"/>
      <w:marLeft w:val="0"/>
      <w:marRight w:val="0"/>
      <w:marTop w:val="0"/>
      <w:marBottom w:val="0"/>
      <w:divBdr>
        <w:top w:val="none" w:sz="0" w:space="0" w:color="auto"/>
        <w:left w:val="none" w:sz="0" w:space="0" w:color="auto"/>
        <w:bottom w:val="none" w:sz="0" w:space="0" w:color="auto"/>
        <w:right w:val="none" w:sz="0" w:space="0" w:color="auto"/>
      </w:divBdr>
    </w:div>
    <w:div w:id="745152263">
      <w:bodyDiv w:val="1"/>
      <w:marLeft w:val="0"/>
      <w:marRight w:val="0"/>
      <w:marTop w:val="0"/>
      <w:marBottom w:val="0"/>
      <w:divBdr>
        <w:top w:val="none" w:sz="0" w:space="0" w:color="auto"/>
        <w:left w:val="none" w:sz="0" w:space="0" w:color="auto"/>
        <w:bottom w:val="none" w:sz="0" w:space="0" w:color="auto"/>
        <w:right w:val="none" w:sz="0" w:space="0" w:color="auto"/>
      </w:divBdr>
      <w:divsChild>
        <w:div w:id="1599632477">
          <w:marLeft w:val="0"/>
          <w:marRight w:val="0"/>
          <w:marTop w:val="0"/>
          <w:marBottom w:val="0"/>
          <w:divBdr>
            <w:top w:val="none" w:sz="0" w:space="0" w:color="auto"/>
            <w:left w:val="none" w:sz="0" w:space="0" w:color="auto"/>
            <w:bottom w:val="none" w:sz="0" w:space="0" w:color="auto"/>
            <w:right w:val="none" w:sz="0" w:space="0" w:color="auto"/>
          </w:divBdr>
        </w:div>
      </w:divsChild>
    </w:div>
    <w:div w:id="749355818">
      <w:bodyDiv w:val="1"/>
      <w:marLeft w:val="0"/>
      <w:marRight w:val="0"/>
      <w:marTop w:val="0"/>
      <w:marBottom w:val="0"/>
      <w:divBdr>
        <w:top w:val="none" w:sz="0" w:space="0" w:color="auto"/>
        <w:left w:val="none" w:sz="0" w:space="0" w:color="auto"/>
        <w:bottom w:val="none" w:sz="0" w:space="0" w:color="auto"/>
        <w:right w:val="none" w:sz="0" w:space="0" w:color="auto"/>
      </w:divBdr>
    </w:div>
    <w:div w:id="751589617">
      <w:bodyDiv w:val="1"/>
      <w:marLeft w:val="0"/>
      <w:marRight w:val="0"/>
      <w:marTop w:val="0"/>
      <w:marBottom w:val="0"/>
      <w:divBdr>
        <w:top w:val="none" w:sz="0" w:space="0" w:color="auto"/>
        <w:left w:val="none" w:sz="0" w:space="0" w:color="auto"/>
        <w:bottom w:val="none" w:sz="0" w:space="0" w:color="auto"/>
        <w:right w:val="none" w:sz="0" w:space="0" w:color="auto"/>
      </w:divBdr>
    </w:div>
    <w:div w:id="754474329">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66730044">
      <w:bodyDiv w:val="1"/>
      <w:marLeft w:val="0"/>
      <w:marRight w:val="0"/>
      <w:marTop w:val="0"/>
      <w:marBottom w:val="0"/>
      <w:divBdr>
        <w:top w:val="none" w:sz="0" w:space="0" w:color="auto"/>
        <w:left w:val="none" w:sz="0" w:space="0" w:color="auto"/>
        <w:bottom w:val="none" w:sz="0" w:space="0" w:color="auto"/>
        <w:right w:val="none" w:sz="0" w:space="0" w:color="auto"/>
      </w:divBdr>
    </w:div>
    <w:div w:id="767386379">
      <w:bodyDiv w:val="1"/>
      <w:marLeft w:val="0"/>
      <w:marRight w:val="0"/>
      <w:marTop w:val="0"/>
      <w:marBottom w:val="0"/>
      <w:divBdr>
        <w:top w:val="none" w:sz="0" w:space="0" w:color="auto"/>
        <w:left w:val="none" w:sz="0" w:space="0" w:color="auto"/>
        <w:bottom w:val="none" w:sz="0" w:space="0" w:color="auto"/>
        <w:right w:val="none" w:sz="0" w:space="0" w:color="auto"/>
      </w:divBdr>
    </w:div>
    <w:div w:id="768507795">
      <w:bodyDiv w:val="1"/>
      <w:marLeft w:val="0"/>
      <w:marRight w:val="0"/>
      <w:marTop w:val="0"/>
      <w:marBottom w:val="0"/>
      <w:divBdr>
        <w:top w:val="none" w:sz="0" w:space="0" w:color="auto"/>
        <w:left w:val="none" w:sz="0" w:space="0" w:color="auto"/>
        <w:bottom w:val="none" w:sz="0" w:space="0" w:color="auto"/>
        <w:right w:val="none" w:sz="0" w:space="0" w:color="auto"/>
      </w:divBdr>
    </w:div>
    <w:div w:id="773212360">
      <w:bodyDiv w:val="1"/>
      <w:marLeft w:val="0"/>
      <w:marRight w:val="0"/>
      <w:marTop w:val="0"/>
      <w:marBottom w:val="0"/>
      <w:divBdr>
        <w:top w:val="none" w:sz="0" w:space="0" w:color="auto"/>
        <w:left w:val="none" w:sz="0" w:space="0" w:color="auto"/>
        <w:bottom w:val="none" w:sz="0" w:space="0" w:color="auto"/>
        <w:right w:val="none" w:sz="0" w:space="0" w:color="auto"/>
      </w:divBdr>
      <w:divsChild>
        <w:div w:id="603346839">
          <w:marLeft w:val="504"/>
          <w:marRight w:val="0"/>
          <w:marTop w:val="186"/>
          <w:marBottom w:val="0"/>
          <w:divBdr>
            <w:top w:val="none" w:sz="0" w:space="0" w:color="auto"/>
            <w:left w:val="none" w:sz="0" w:space="0" w:color="auto"/>
            <w:bottom w:val="none" w:sz="0" w:space="0" w:color="auto"/>
            <w:right w:val="none" w:sz="0" w:space="0" w:color="auto"/>
          </w:divBdr>
        </w:div>
        <w:div w:id="1499998330">
          <w:marLeft w:val="504"/>
          <w:marRight w:val="0"/>
          <w:marTop w:val="186"/>
          <w:marBottom w:val="0"/>
          <w:divBdr>
            <w:top w:val="none" w:sz="0" w:space="0" w:color="auto"/>
            <w:left w:val="none" w:sz="0" w:space="0" w:color="auto"/>
            <w:bottom w:val="none" w:sz="0" w:space="0" w:color="auto"/>
            <w:right w:val="none" w:sz="0" w:space="0" w:color="auto"/>
          </w:divBdr>
        </w:div>
        <w:div w:id="1588340994">
          <w:marLeft w:val="504"/>
          <w:marRight w:val="0"/>
          <w:marTop w:val="186"/>
          <w:marBottom w:val="0"/>
          <w:divBdr>
            <w:top w:val="none" w:sz="0" w:space="0" w:color="auto"/>
            <w:left w:val="none" w:sz="0" w:space="0" w:color="auto"/>
            <w:bottom w:val="none" w:sz="0" w:space="0" w:color="auto"/>
            <w:right w:val="none" w:sz="0" w:space="0" w:color="auto"/>
          </w:divBdr>
        </w:div>
        <w:div w:id="1940025413">
          <w:marLeft w:val="504"/>
          <w:marRight w:val="0"/>
          <w:marTop w:val="186"/>
          <w:marBottom w:val="0"/>
          <w:divBdr>
            <w:top w:val="none" w:sz="0" w:space="0" w:color="auto"/>
            <w:left w:val="none" w:sz="0" w:space="0" w:color="auto"/>
            <w:bottom w:val="none" w:sz="0" w:space="0" w:color="auto"/>
            <w:right w:val="none" w:sz="0" w:space="0" w:color="auto"/>
          </w:divBdr>
        </w:div>
        <w:div w:id="2049909807">
          <w:marLeft w:val="504"/>
          <w:marRight w:val="0"/>
          <w:marTop w:val="186"/>
          <w:marBottom w:val="0"/>
          <w:divBdr>
            <w:top w:val="none" w:sz="0" w:space="0" w:color="auto"/>
            <w:left w:val="none" w:sz="0" w:space="0" w:color="auto"/>
            <w:bottom w:val="none" w:sz="0" w:space="0" w:color="auto"/>
            <w:right w:val="none" w:sz="0" w:space="0" w:color="auto"/>
          </w:divBdr>
        </w:div>
      </w:divsChild>
    </w:div>
    <w:div w:id="777718214">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88090386">
      <w:bodyDiv w:val="1"/>
      <w:marLeft w:val="0"/>
      <w:marRight w:val="0"/>
      <w:marTop w:val="0"/>
      <w:marBottom w:val="0"/>
      <w:divBdr>
        <w:top w:val="none" w:sz="0" w:space="0" w:color="auto"/>
        <w:left w:val="none" w:sz="0" w:space="0" w:color="auto"/>
        <w:bottom w:val="none" w:sz="0" w:space="0" w:color="auto"/>
        <w:right w:val="none" w:sz="0" w:space="0" w:color="auto"/>
      </w:divBdr>
    </w:div>
    <w:div w:id="794760087">
      <w:bodyDiv w:val="1"/>
      <w:marLeft w:val="0"/>
      <w:marRight w:val="0"/>
      <w:marTop w:val="0"/>
      <w:marBottom w:val="0"/>
      <w:divBdr>
        <w:top w:val="none" w:sz="0" w:space="0" w:color="auto"/>
        <w:left w:val="none" w:sz="0" w:space="0" w:color="auto"/>
        <w:bottom w:val="none" w:sz="0" w:space="0" w:color="auto"/>
        <w:right w:val="none" w:sz="0" w:space="0" w:color="auto"/>
      </w:divBdr>
    </w:div>
    <w:div w:id="796022472">
      <w:bodyDiv w:val="1"/>
      <w:marLeft w:val="0"/>
      <w:marRight w:val="0"/>
      <w:marTop w:val="0"/>
      <w:marBottom w:val="0"/>
      <w:divBdr>
        <w:top w:val="none" w:sz="0" w:space="0" w:color="auto"/>
        <w:left w:val="none" w:sz="0" w:space="0" w:color="auto"/>
        <w:bottom w:val="none" w:sz="0" w:space="0" w:color="auto"/>
        <w:right w:val="none" w:sz="0" w:space="0" w:color="auto"/>
      </w:divBdr>
    </w:div>
    <w:div w:id="798912397">
      <w:bodyDiv w:val="1"/>
      <w:marLeft w:val="0"/>
      <w:marRight w:val="0"/>
      <w:marTop w:val="0"/>
      <w:marBottom w:val="0"/>
      <w:divBdr>
        <w:top w:val="none" w:sz="0" w:space="0" w:color="auto"/>
        <w:left w:val="none" w:sz="0" w:space="0" w:color="auto"/>
        <w:bottom w:val="none" w:sz="0" w:space="0" w:color="auto"/>
        <w:right w:val="none" w:sz="0" w:space="0" w:color="auto"/>
      </w:divBdr>
      <w:divsChild>
        <w:div w:id="1392922681">
          <w:marLeft w:val="0"/>
          <w:marRight w:val="0"/>
          <w:marTop w:val="0"/>
          <w:marBottom w:val="0"/>
          <w:divBdr>
            <w:top w:val="none" w:sz="0" w:space="0" w:color="auto"/>
            <w:left w:val="none" w:sz="0" w:space="0" w:color="auto"/>
            <w:bottom w:val="none" w:sz="0" w:space="0" w:color="auto"/>
            <w:right w:val="none" w:sz="0" w:space="0" w:color="auto"/>
          </w:divBdr>
        </w:div>
      </w:divsChild>
    </w:div>
    <w:div w:id="806245246">
      <w:bodyDiv w:val="1"/>
      <w:marLeft w:val="0"/>
      <w:marRight w:val="0"/>
      <w:marTop w:val="0"/>
      <w:marBottom w:val="0"/>
      <w:divBdr>
        <w:top w:val="none" w:sz="0" w:space="0" w:color="auto"/>
        <w:left w:val="none" w:sz="0" w:space="0" w:color="auto"/>
        <w:bottom w:val="none" w:sz="0" w:space="0" w:color="auto"/>
        <w:right w:val="none" w:sz="0" w:space="0" w:color="auto"/>
      </w:divBdr>
    </w:div>
    <w:div w:id="807018808">
      <w:bodyDiv w:val="1"/>
      <w:marLeft w:val="0"/>
      <w:marRight w:val="0"/>
      <w:marTop w:val="0"/>
      <w:marBottom w:val="0"/>
      <w:divBdr>
        <w:top w:val="none" w:sz="0" w:space="0" w:color="auto"/>
        <w:left w:val="none" w:sz="0" w:space="0" w:color="auto"/>
        <w:bottom w:val="none" w:sz="0" w:space="0" w:color="auto"/>
        <w:right w:val="none" w:sz="0" w:space="0" w:color="auto"/>
      </w:divBdr>
      <w:divsChild>
        <w:div w:id="1691447115">
          <w:marLeft w:val="0"/>
          <w:marRight w:val="0"/>
          <w:marTop w:val="0"/>
          <w:marBottom w:val="0"/>
          <w:divBdr>
            <w:top w:val="none" w:sz="0" w:space="0" w:color="auto"/>
            <w:left w:val="none" w:sz="0" w:space="0" w:color="auto"/>
            <w:bottom w:val="none" w:sz="0" w:space="0" w:color="auto"/>
            <w:right w:val="none" w:sz="0" w:space="0" w:color="auto"/>
          </w:divBdr>
        </w:div>
      </w:divsChild>
    </w:div>
    <w:div w:id="809900359">
      <w:bodyDiv w:val="1"/>
      <w:marLeft w:val="0"/>
      <w:marRight w:val="0"/>
      <w:marTop w:val="0"/>
      <w:marBottom w:val="0"/>
      <w:divBdr>
        <w:top w:val="none" w:sz="0" w:space="0" w:color="auto"/>
        <w:left w:val="none" w:sz="0" w:space="0" w:color="auto"/>
        <w:bottom w:val="none" w:sz="0" w:space="0" w:color="auto"/>
        <w:right w:val="none" w:sz="0" w:space="0" w:color="auto"/>
      </w:divBdr>
    </w:div>
    <w:div w:id="816457436">
      <w:bodyDiv w:val="1"/>
      <w:marLeft w:val="0"/>
      <w:marRight w:val="0"/>
      <w:marTop w:val="0"/>
      <w:marBottom w:val="0"/>
      <w:divBdr>
        <w:top w:val="none" w:sz="0" w:space="0" w:color="auto"/>
        <w:left w:val="none" w:sz="0" w:space="0" w:color="auto"/>
        <w:bottom w:val="none" w:sz="0" w:space="0" w:color="auto"/>
        <w:right w:val="none" w:sz="0" w:space="0" w:color="auto"/>
      </w:divBdr>
    </w:div>
    <w:div w:id="820773303">
      <w:bodyDiv w:val="1"/>
      <w:marLeft w:val="0"/>
      <w:marRight w:val="0"/>
      <w:marTop w:val="0"/>
      <w:marBottom w:val="0"/>
      <w:divBdr>
        <w:top w:val="none" w:sz="0" w:space="0" w:color="auto"/>
        <w:left w:val="none" w:sz="0" w:space="0" w:color="auto"/>
        <w:bottom w:val="none" w:sz="0" w:space="0" w:color="auto"/>
        <w:right w:val="none" w:sz="0" w:space="0" w:color="auto"/>
      </w:divBdr>
    </w:div>
    <w:div w:id="821117713">
      <w:bodyDiv w:val="1"/>
      <w:marLeft w:val="0"/>
      <w:marRight w:val="0"/>
      <w:marTop w:val="0"/>
      <w:marBottom w:val="0"/>
      <w:divBdr>
        <w:top w:val="none" w:sz="0" w:space="0" w:color="auto"/>
        <w:left w:val="none" w:sz="0" w:space="0" w:color="auto"/>
        <w:bottom w:val="none" w:sz="0" w:space="0" w:color="auto"/>
        <w:right w:val="none" w:sz="0" w:space="0" w:color="auto"/>
      </w:divBdr>
    </w:div>
    <w:div w:id="826869910">
      <w:bodyDiv w:val="1"/>
      <w:marLeft w:val="0"/>
      <w:marRight w:val="0"/>
      <w:marTop w:val="0"/>
      <w:marBottom w:val="0"/>
      <w:divBdr>
        <w:top w:val="none" w:sz="0" w:space="0" w:color="auto"/>
        <w:left w:val="none" w:sz="0" w:space="0" w:color="auto"/>
        <w:bottom w:val="none" w:sz="0" w:space="0" w:color="auto"/>
        <w:right w:val="none" w:sz="0" w:space="0" w:color="auto"/>
      </w:divBdr>
      <w:divsChild>
        <w:div w:id="1949965212">
          <w:marLeft w:val="0"/>
          <w:marRight w:val="0"/>
          <w:marTop w:val="0"/>
          <w:marBottom w:val="0"/>
          <w:divBdr>
            <w:top w:val="none" w:sz="0" w:space="0" w:color="auto"/>
            <w:left w:val="none" w:sz="0" w:space="0" w:color="auto"/>
            <w:bottom w:val="none" w:sz="0" w:space="0" w:color="auto"/>
            <w:right w:val="none" w:sz="0" w:space="0" w:color="auto"/>
          </w:divBdr>
        </w:div>
      </w:divsChild>
    </w:div>
    <w:div w:id="830869703">
      <w:bodyDiv w:val="1"/>
      <w:marLeft w:val="0"/>
      <w:marRight w:val="0"/>
      <w:marTop w:val="0"/>
      <w:marBottom w:val="0"/>
      <w:divBdr>
        <w:top w:val="none" w:sz="0" w:space="0" w:color="auto"/>
        <w:left w:val="none" w:sz="0" w:space="0" w:color="auto"/>
        <w:bottom w:val="none" w:sz="0" w:space="0" w:color="auto"/>
        <w:right w:val="none" w:sz="0" w:space="0" w:color="auto"/>
      </w:divBdr>
    </w:div>
    <w:div w:id="838422107">
      <w:bodyDiv w:val="1"/>
      <w:marLeft w:val="0"/>
      <w:marRight w:val="0"/>
      <w:marTop w:val="0"/>
      <w:marBottom w:val="0"/>
      <w:divBdr>
        <w:top w:val="none" w:sz="0" w:space="0" w:color="auto"/>
        <w:left w:val="none" w:sz="0" w:space="0" w:color="auto"/>
        <w:bottom w:val="none" w:sz="0" w:space="0" w:color="auto"/>
        <w:right w:val="none" w:sz="0" w:space="0" w:color="auto"/>
      </w:divBdr>
    </w:div>
    <w:div w:id="840504493">
      <w:bodyDiv w:val="1"/>
      <w:marLeft w:val="0"/>
      <w:marRight w:val="0"/>
      <w:marTop w:val="0"/>
      <w:marBottom w:val="0"/>
      <w:divBdr>
        <w:top w:val="none" w:sz="0" w:space="0" w:color="auto"/>
        <w:left w:val="none" w:sz="0" w:space="0" w:color="auto"/>
        <w:bottom w:val="none" w:sz="0" w:space="0" w:color="auto"/>
        <w:right w:val="none" w:sz="0" w:space="0" w:color="auto"/>
      </w:divBdr>
    </w:div>
    <w:div w:id="849641091">
      <w:bodyDiv w:val="1"/>
      <w:marLeft w:val="0"/>
      <w:marRight w:val="0"/>
      <w:marTop w:val="0"/>
      <w:marBottom w:val="0"/>
      <w:divBdr>
        <w:top w:val="none" w:sz="0" w:space="0" w:color="auto"/>
        <w:left w:val="none" w:sz="0" w:space="0" w:color="auto"/>
        <w:bottom w:val="none" w:sz="0" w:space="0" w:color="auto"/>
        <w:right w:val="none" w:sz="0" w:space="0" w:color="auto"/>
      </w:divBdr>
    </w:div>
    <w:div w:id="850409707">
      <w:bodyDiv w:val="1"/>
      <w:marLeft w:val="0"/>
      <w:marRight w:val="0"/>
      <w:marTop w:val="0"/>
      <w:marBottom w:val="0"/>
      <w:divBdr>
        <w:top w:val="none" w:sz="0" w:space="0" w:color="auto"/>
        <w:left w:val="none" w:sz="0" w:space="0" w:color="auto"/>
        <w:bottom w:val="none" w:sz="0" w:space="0" w:color="auto"/>
        <w:right w:val="none" w:sz="0" w:space="0" w:color="auto"/>
      </w:divBdr>
    </w:div>
    <w:div w:id="856696727">
      <w:bodyDiv w:val="1"/>
      <w:marLeft w:val="0"/>
      <w:marRight w:val="0"/>
      <w:marTop w:val="0"/>
      <w:marBottom w:val="0"/>
      <w:divBdr>
        <w:top w:val="none" w:sz="0" w:space="0" w:color="auto"/>
        <w:left w:val="none" w:sz="0" w:space="0" w:color="auto"/>
        <w:bottom w:val="none" w:sz="0" w:space="0" w:color="auto"/>
        <w:right w:val="none" w:sz="0" w:space="0" w:color="auto"/>
      </w:divBdr>
    </w:div>
    <w:div w:id="862784817">
      <w:bodyDiv w:val="1"/>
      <w:marLeft w:val="0"/>
      <w:marRight w:val="0"/>
      <w:marTop w:val="0"/>
      <w:marBottom w:val="0"/>
      <w:divBdr>
        <w:top w:val="none" w:sz="0" w:space="0" w:color="auto"/>
        <w:left w:val="none" w:sz="0" w:space="0" w:color="auto"/>
        <w:bottom w:val="none" w:sz="0" w:space="0" w:color="auto"/>
        <w:right w:val="none" w:sz="0" w:space="0" w:color="auto"/>
      </w:divBdr>
    </w:div>
    <w:div w:id="865600105">
      <w:bodyDiv w:val="1"/>
      <w:marLeft w:val="0"/>
      <w:marRight w:val="0"/>
      <w:marTop w:val="0"/>
      <w:marBottom w:val="0"/>
      <w:divBdr>
        <w:top w:val="none" w:sz="0" w:space="0" w:color="auto"/>
        <w:left w:val="none" w:sz="0" w:space="0" w:color="auto"/>
        <w:bottom w:val="none" w:sz="0" w:space="0" w:color="auto"/>
        <w:right w:val="none" w:sz="0" w:space="0" w:color="auto"/>
      </w:divBdr>
      <w:divsChild>
        <w:div w:id="746272801">
          <w:marLeft w:val="0"/>
          <w:marRight w:val="0"/>
          <w:marTop w:val="0"/>
          <w:marBottom w:val="0"/>
          <w:divBdr>
            <w:top w:val="none" w:sz="0" w:space="0" w:color="auto"/>
            <w:left w:val="none" w:sz="0" w:space="0" w:color="auto"/>
            <w:bottom w:val="none" w:sz="0" w:space="0" w:color="auto"/>
            <w:right w:val="none" w:sz="0" w:space="0" w:color="auto"/>
          </w:divBdr>
        </w:div>
        <w:div w:id="1600989773">
          <w:marLeft w:val="0"/>
          <w:marRight w:val="0"/>
          <w:marTop w:val="0"/>
          <w:marBottom w:val="0"/>
          <w:divBdr>
            <w:top w:val="none" w:sz="0" w:space="0" w:color="auto"/>
            <w:left w:val="none" w:sz="0" w:space="0" w:color="auto"/>
            <w:bottom w:val="none" w:sz="0" w:space="0" w:color="auto"/>
            <w:right w:val="none" w:sz="0" w:space="0" w:color="auto"/>
          </w:divBdr>
        </w:div>
        <w:div w:id="1830901860">
          <w:marLeft w:val="0"/>
          <w:marRight w:val="0"/>
          <w:marTop w:val="0"/>
          <w:marBottom w:val="0"/>
          <w:divBdr>
            <w:top w:val="none" w:sz="0" w:space="0" w:color="auto"/>
            <w:left w:val="none" w:sz="0" w:space="0" w:color="auto"/>
            <w:bottom w:val="none" w:sz="0" w:space="0" w:color="auto"/>
            <w:right w:val="none" w:sz="0" w:space="0" w:color="auto"/>
          </w:divBdr>
        </w:div>
        <w:div w:id="333187972">
          <w:marLeft w:val="0"/>
          <w:marRight w:val="0"/>
          <w:marTop w:val="0"/>
          <w:marBottom w:val="0"/>
          <w:divBdr>
            <w:top w:val="none" w:sz="0" w:space="0" w:color="auto"/>
            <w:left w:val="none" w:sz="0" w:space="0" w:color="auto"/>
            <w:bottom w:val="none" w:sz="0" w:space="0" w:color="auto"/>
            <w:right w:val="none" w:sz="0" w:space="0" w:color="auto"/>
          </w:divBdr>
        </w:div>
        <w:div w:id="1069502621">
          <w:marLeft w:val="0"/>
          <w:marRight w:val="0"/>
          <w:marTop w:val="0"/>
          <w:marBottom w:val="0"/>
          <w:divBdr>
            <w:top w:val="none" w:sz="0" w:space="0" w:color="auto"/>
            <w:left w:val="none" w:sz="0" w:space="0" w:color="auto"/>
            <w:bottom w:val="none" w:sz="0" w:space="0" w:color="auto"/>
            <w:right w:val="none" w:sz="0" w:space="0" w:color="auto"/>
          </w:divBdr>
        </w:div>
      </w:divsChild>
    </w:div>
    <w:div w:id="868492335">
      <w:bodyDiv w:val="1"/>
      <w:marLeft w:val="0"/>
      <w:marRight w:val="0"/>
      <w:marTop w:val="0"/>
      <w:marBottom w:val="0"/>
      <w:divBdr>
        <w:top w:val="none" w:sz="0" w:space="0" w:color="auto"/>
        <w:left w:val="none" w:sz="0" w:space="0" w:color="auto"/>
        <w:bottom w:val="none" w:sz="0" w:space="0" w:color="auto"/>
        <w:right w:val="none" w:sz="0" w:space="0" w:color="auto"/>
      </w:divBdr>
    </w:div>
    <w:div w:id="869608081">
      <w:bodyDiv w:val="1"/>
      <w:marLeft w:val="0"/>
      <w:marRight w:val="0"/>
      <w:marTop w:val="0"/>
      <w:marBottom w:val="0"/>
      <w:divBdr>
        <w:top w:val="none" w:sz="0" w:space="0" w:color="auto"/>
        <w:left w:val="none" w:sz="0" w:space="0" w:color="auto"/>
        <w:bottom w:val="none" w:sz="0" w:space="0" w:color="auto"/>
        <w:right w:val="none" w:sz="0" w:space="0" w:color="auto"/>
      </w:divBdr>
    </w:div>
    <w:div w:id="871111642">
      <w:bodyDiv w:val="1"/>
      <w:marLeft w:val="0"/>
      <w:marRight w:val="0"/>
      <w:marTop w:val="0"/>
      <w:marBottom w:val="0"/>
      <w:divBdr>
        <w:top w:val="none" w:sz="0" w:space="0" w:color="auto"/>
        <w:left w:val="none" w:sz="0" w:space="0" w:color="auto"/>
        <w:bottom w:val="none" w:sz="0" w:space="0" w:color="auto"/>
        <w:right w:val="none" w:sz="0" w:space="0" w:color="auto"/>
      </w:divBdr>
    </w:div>
    <w:div w:id="871698092">
      <w:bodyDiv w:val="1"/>
      <w:marLeft w:val="0"/>
      <w:marRight w:val="0"/>
      <w:marTop w:val="0"/>
      <w:marBottom w:val="0"/>
      <w:divBdr>
        <w:top w:val="none" w:sz="0" w:space="0" w:color="auto"/>
        <w:left w:val="none" w:sz="0" w:space="0" w:color="auto"/>
        <w:bottom w:val="none" w:sz="0" w:space="0" w:color="auto"/>
        <w:right w:val="none" w:sz="0" w:space="0" w:color="auto"/>
      </w:divBdr>
    </w:div>
    <w:div w:id="872886442">
      <w:bodyDiv w:val="1"/>
      <w:marLeft w:val="0"/>
      <w:marRight w:val="0"/>
      <w:marTop w:val="0"/>
      <w:marBottom w:val="0"/>
      <w:divBdr>
        <w:top w:val="none" w:sz="0" w:space="0" w:color="auto"/>
        <w:left w:val="none" w:sz="0" w:space="0" w:color="auto"/>
        <w:bottom w:val="none" w:sz="0" w:space="0" w:color="auto"/>
        <w:right w:val="none" w:sz="0" w:space="0" w:color="auto"/>
      </w:divBdr>
      <w:divsChild>
        <w:div w:id="289895845">
          <w:marLeft w:val="0"/>
          <w:marRight w:val="0"/>
          <w:marTop w:val="0"/>
          <w:marBottom w:val="0"/>
          <w:divBdr>
            <w:top w:val="none" w:sz="0" w:space="0" w:color="auto"/>
            <w:left w:val="none" w:sz="0" w:space="0" w:color="auto"/>
            <w:bottom w:val="none" w:sz="0" w:space="0" w:color="auto"/>
            <w:right w:val="none" w:sz="0" w:space="0" w:color="auto"/>
          </w:divBdr>
        </w:div>
        <w:div w:id="448473749">
          <w:marLeft w:val="0"/>
          <w:marRight w:val="0"/>
          <w:marTop w:val="0"/>
          <w:marBottom w:val="0"/>
          <w:divBdr>
            <w:top w:val="none" w:sz="0" w:space="0" w:color="auto"/>
            <w:left w:val="none" w:sz="0" w:space="0" w:color="auto"/>
            <w:bottom w:val="none" w:sz="0" w:space="0" w:color="auto"/>
            <w:right w:val="none" w:sz="0" w:space="0" w:color="auto"/>
          </w:divBdr>
        </w:div>
        <w:div w:id="715474276">
          <w:marLeft w:val="0"/>
          <w:marRight w:val="0"/>
          <w:marTop w:val="0"/>
          <w:marBottom w:val="300"/>
          <w:divBdr>
            <w:top w:val="none" w:sz="0" w:space="0" w:color="auto"/>
            <w:left w:val="none" w:sz="0" w:space="0" w:color="auto"/>
            <w:bottom w:val="none" w:sz="0" w:space="0" w:color="auto"/>
            <w:right w:val="none" w:sz="0" w:space="0" w:color="auto"/>
          </w:divBdr>
        </w:div>
        <w:div w:id="1502353357">
          <w:marLeft w:val="0"/>
          <w:marRight w:val="0"/>
          <w:marTop w:val="0"/>
          <w:marBottom w:val="300"/>
          <w:divBdr>
            <w:top w:val="none" w:sz="0" w:space="0" w:color="auto"/>
            <w:left w:val="none" w:sz="0" w:space="0" w:color="auto"/>
            <w:bottom w:val="none" w:sz="0" w:space="0" w:color="auto"/>
            <w:right w:val="none" w:sz="0" w:space="0" w:color="auto"/>
          </w:divBdr>
        </w:div>
      </w:divsChild>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83568153">
      <w:bodyDiv w:val="1"/>
      <w:marLeft w:val="0"/>
      <w:marRight w:val="0"/>
      <w:marTop w:val="0"/>
      <w:marBottom w:val="0"/>
      <w:divBdr>
        <w:top w:val="none" w:sz="0" w:space="0" w:color="auto"/>
        <w:left w:val="none" w:sz="0" w:space="0" w:color="auto"/>
        <w:bottom w:val="none" w:sz="0" w:space="0" w:color="auto"/>
        <w:right w:val="none" w:sz="0" w:space="0" w:color="auto"/>
      </w:divBdr>
    </w:div>
    <w:div w:id="883829630">
      <w:bodyDiv w:val="1"/>
      <w:marLeft w:val="0"/>
      <w:marRight w:val="0"/>
      <w:marTop w:val="0"/>
      <w:marBottom w:val="0"/>
      <w:divBdr>
        <w:top w:val="none" w:sz="0" w:space="0" w:color="auto"/>
        <w:left w:val="none" w:sz="0" w:space="0" w:color="auto"/>
        <w:bottom w:val="none" w:sz="0" w:space="0" w:color="auto"/>
        <w:right w:val="none" w:sz="0" w:space="0" w:color="auto"/>
      </w:divBdr>
    </w:div>
    <w:div w:id="884826627">
      <w:bodyDiv w:val="1"/>
      <w:marLeft w:val="0"/>
      <w:marRight w:val="0"/>
      <w:marTop w:val="0"/>
      <w:marBottom w:val="0"/>
      <w:divBdr>
        <w:top w:val="none" w:sz="0" w:space="0" w:color="auto"/>
        <w:left w:val="none" w:sz="0" w:space="0" w:color="auto"/>
        <w:bottom w:val="none" w:sz="0" w:space="0" w:color="auto"/>
        <w:right w:val="none" w:sz="0" w:space="0" w:color="auto"/>
      </w:divBdr>
      <w:divsChild>
        <w:div w:id="1170565389">
          <w:marLeft w:val="0"/>
          <w:marRight w:val="0"/>
          <w:marTop w:val="0"/>
          <w:marBottom w:val="0"/>
          <w:divBdr>
            <w:top w:val="none" w:sz="0" w:space="0" w:color="auto"/>
            <w:left w:val="none" w:sz="0" w:space="0" w:color="auto"/>
            <w:bottom w:val="none" w:sz="0" w:space="0" w:color="auto"/>
            <w:right w:val="none" w:sz="0" w:space="0" w:color="auto"/>
          </w:divBdr>
        </w:div>
      </w:divsChild>
    </w:div>
    <w:div w:id="895093848">
      <w:bodyDiv w:val="1"/>
      <w:marLeft w:val="0"/>
      <w:marRight w:val="0"/>
      <w:marTop w:val="0"/>
      <w:marBottom w:val="0"/>
      <w:divBdr>
        <w:top w:val="none" w:sz="0" w:space="0" w:color="auto"/>
        <w:left w:val="none" w:sz="0" w:space="0" w:color="auto"/>
        <w:bottom w:val="none" w:sz="0" w:space="0" w:color="auto"/>
        <w:right w:val="none" w:sz="0" w:space="0" w:color="auto"/>
      </w:divBdr>
    </w:div>
    <w:div w:id="895312106">
      <w:bodyDiv w:val="1"/>
      <w:marLeft w:val="0"/>
      <w:marRight w:val="0"/>
      <w:marTop w:val="0"/>
      <w:marBottom w:val="0"/>
      <w:divBdr>
        <w:top w:val="none" w:sz="0" w:space="0" w:color="auto"/>
        <w:left w:val="none" w:sz="0" w:space="0" w:color="auto"/>
        <w:bottom w:val="none" w:sz="0" w:space="0" w:color="auto"/>
        <w:right w:val="none" w:sz="0" w:space="0" w:color="auto"/>
      </w:divBdr>
    </w:div>
    <w:div w:id="899749484">
      <w:bodyDiv w:val="1"/>
      <w:marLeft w:val="0"/>
      <w:marRight w:val="0"/>
      <w:marTop w:val="0"/>
      <w:marBottom w:val="0"/>
      <w:divBdr>
        <w:top w:val="none" w:sz="0" w:space="0" w:color="auto"/>
        <w:left w:val="none" w:sz="0" w:space="0" w:color="auto"/>
        <w:bottom w:val="none" w:sz="0" w:space="0" w:color="auto"/>
        <w:right w:val="none" w:sz="0" w:space="0" w:color="auto"/>
      </w:divBdr>
    </w:div>
    <w:div w:id="908492438">
      <w:bodyDiv w:val="1"/>
      <w:marLeft w:val="0"/>
      <w:marRight w:val="0"/>
      <w:marTop w:val="0"/>
      <w:marBottom w:val="0"/>
      <w:divBdr>
        <w:top w:val="none" w:sz="0" w:space="0" w:color="auto"/>
        <w:left w:val="none" w:sz="0" w:space="0" w:color="auto"/>
        <w:bottom w:val="none" w:sz="0" w:space="0" w:color="auto"/>
        <w:right w:val="none" w:sz="0" w:space="0" w:color="auto"/>
      </w:divBdr>
    </w:div>
    <w:div w:id="926503445">
      <w:bodyDiv w:val="1"/>
      <w:marLeft w:val="0"/>
      <w:marRight w:val="0"/>
      <w:marTop w:val="0"/>
      <w:marBottom w:val="0"/>
      <w:divBdr>
        <w:top w:val="none" w:sz="0" w:space="0" w:color="auto"/>
        <w:left w:val="none" w:sz="0" w:space="0" w:color="auto"/>
        <w:bottom w:val="none" w:sz="0" w:space="0" w:color="auto"/>
        <w:right w:val="none" w:sz="0" w:space="0" w:color="auto"/>
      </w:divBdr>
    </w:div>
    <w:div w:id="926961943">
      <w:bodyDiv w:val="1"/>
      <w:marLeft w:val="0"/>
      <w:marRight w:val="0"/>
      <w:marTop w:val="0"/>
      <w:marBottom w:val="0"/>
      <w:divBdr>
        <w:top w:val="none" w:sz="0" w:space="0" w:color="auto"/>
        <w:left w:val="none" w:sz="0" w:space="0" w:color="auto"/>
        <w:bottom w:val="none" w:sz="0" w:space="0" w:color="auto"/>
        <w:right w:val="none" w:sz="0" w:space="0" w:color="auto"/>
      </w:divBdr>
    </w:div>
    <w:div w:id="931619843">
      <w:bodyDiv w:val="1"/>
      <w:marLeft w:val="0"/>
      <w:marRight w:val="0"/>
      <w:marTop w:val="0"/>
      <w:marBottom w:val="0"/>
      <w:divBdr>
        <w:top w:val="none" w:sz="0" w:space="0" w:color="auto"/>
        <w:left w:val="none" w:sz="0" w:space="0" w:color="auto"/>
        <w:bottom w:val="none" w:sz="0" w:space="0" w:color="auto"/>
        <w:right w:val="none" w:sz="0" w:space="0" w:color="auto"/>
      </w:divBdr>
    </w:div>
    <w:div w:id="932709448">
      <w:bodyDiv w:val="1"/>
      <w:marLeft w:val="0"/>
      <w:marRight w:val="0"/>
      <w:marTop w:val="0"/>
      <w:marBottom w:val="0"/>
      <w:divBdr>
        <w:top w:val="none" w:sz="0" w:space="0" w:color="auto"/>
        <w:left w:val="none" w:sz="0" w:space="0" w:color="auto"/>
        <w:bottom w:val="none" w:sz="0" w:space="0" w:color="auto"/>
        <w:right w:val="none" w:sz="0" w:space="0" w:color="auto"/>
      </w:divBdr>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34947296">
      <w:bodyDiv w:val="1"/>
      <w:marLeft w:val="0"/>
      <w:marRight w:val="0"/>
      <w:marTop w:val="0"/>
      <w:marBottom w:val="0"/>
      <w:divBdr>
        <w:top w:val="none" w:sz="0" w:space="0" w:color="auto"/>
        <w:left w:val="none" w:sz="0" w:space="0" w:color="auto"/>
        <w:bottom w:val="none" w:sz="0" w:space="0" w:color="auto"/>
        <w:right w:val="none" w:sz="0" w:space="0" w:color="auto"/>
      </w:divBdr>
    </w:div>
    <w:div w:id="936907959">
      <w:bodyDiv w:val="1"/>
      <w:marLeft w:val="0"/>
      <w:marRight w:val="0"/>
      <w:marTop w:val="0"/>
      <w:marBottom w:val="0"/>
      <w:divBdr>
        <w:top w:val="none" w:sz="0" w:space="0" w:color="auto"/>
        <w:left w:val="none" w:sz="0" w:space="0" w:color="auto"/>
        <w:bottom w:val="none" w:sz="0" w:space="0" w:color="auto"/>
        <w:right w:val="none" w:sz="0" w:space="0" w:color="auto"/>
      </w:divBdr>
    </w:div>
    <w:div w:id="937367710">
      <w:bodyDiv w:val="1"/>
      <w:marLeft w:val="0"/>
      <w:marRight w:val="0"/>
      <w:marTop w:val="0"/>
      <w:marBottom w:val="0"/>
      <w:divBdr>
        <w:top w:val="none" w:sz="0" w:space="0" w:color="auto"/>
        <w:left w:val="none" w:sz="0" w:space="0" w:color="auto"/>
        <w:bottom w:val="none" w:sz="0" w:space="0" w:color="auto"/>
        <w:right w:val="none" w:sz="0" w:space="0" w:color="auto"/>
      </w:divBdr>
    </w:div>
    <w:div w:id="937521432">
      <w:bodyDiv w:val="1"/>
      <w:marLeft w:val="0"/>
      <w:marRight w:val="0"/>
      <w:marTop w:val="0"/>
      <w:marBottom w:val="0"/>
      <w:divBdr>
        <w:top w:val="none" w:sz="0" w:space="0" w:color="auto"/>
        <w:left w:val="none" w:sz="0" w:space="0" w:color="auto"/>
        <w:bottom w:val="none" w:sz="0" w:space="0" w:color="auto"/>
        <w:right w:val="none" w:sz="0" w:space="0" w:color="auto"/>
      </w:divBdr>
    </w:div>
    <w:div w:id="939096180">
      <w:bodyDiv w:val="1"/>
      <w:marLeft w:val="0"/>
      <w:marRight w:val="0"/>
      <w:marTop w:val="0"/>
      <w:marBottom w:val="0"/>
      <w:divBdr>
        <w:top w:val="none" w:sz="0" w:space="0" w:color="auto"/>
        <w:left w:val="none" w:sz="0" w:space="0" w:color="auto"/>
        <w:bottom w:val="none" w:sz="0" w:space="0" w:color="auto"/>
        <w:right w:val="none" w:sz="0" w:space="0" w:color="auto"/>
      </w:divBdr>
    </w:div>
    <w:div w:id="939290154">
      <w:bodyDiv w:val="1"/>
      <w:marLeft w:val="0"/>
      <w:marRight w:val="0"/>
      <w:marTop w:val="0"/>
      <w:marBottom w:val="0"/>
      <w:divBdr>
        <w:top w:val="none" w:sz="0" w:space="0" w:color="auto"/>
        <w:left w:val="none" w:sz="0" w:space="0" w:color="auto"/>
        <w:bottom w:val="none" w:sz="0" w:space="0" w:color="auto"/>
        <w:right w:val="none" w:sz="0" w:space="0" w:color="auto"/>
      </w:divBdr>
    </w:div>
    <w:div w:id="939727814">
      <w:bodyDiv w:val="1"/>
      <w:marLeft w:val="0"/>
      <w:marRight w:val="0"/>
      <w:marTop w:val="0"/>
      <w:marBottom w:val="0"/>
      <w:divBdr>
        <w:top w:val="none" w:sz="0" w:space="0" w:color="auto"/>
        <w:left w:val="none" w:sz="0" w:space="0" w:color="auto"/>
        <w:bottom w:val="none" w:sz="0" w:space="0" w:color="auto"/>
        <w:right w:val="none" w:sz="0" w:space="0" w:color="auto"/>
      </w:divBdr>
      <w:divsChild>
        <w:div w:id="338119350">
          <w:marLeft w:val="0"/>
          <w:marRight w:val="0"/>
          <w:marTop w:val="0"/>
          <w:marBottom w:val="0"/>
          <w:divBdr>
            <w:top w:val="none" w:sz="0" w:space="0" w:color="auto"/>
            <w:left w:val="none" w:sz="0" w:space="0" w:color="auto"/>
            <w:bottom w:val="none" w:sz="0" w:space="0" w:color="auto"/>
            <w:right w:val="none" w:sz="0" w:space="0" w:color="auto"/>
          </w:divBdr>
        </w:div>
      </w:divsChild>
    </w:div>
    <w:div w:id="942149099">
      <w:bodyDiv w:val="1"/>
      <w:marLeft w:val="0"/>
      <w:marRight w:val="0"/>
      <w:marTop w:val="0"/>
      <w:marBottom w:val="0"/>
      <w:divBdr>
        <w:top w:val="none" w:sz="0" w:space="0" w:color="auto"/>
        <w:left w:val="none" w:sz="0" w:space="0" w:color="auto"/>
        <w:bottom w:val="none" w:sz="0" w:space="0" w:color="auto"/>
        <w:right w:val="none" w:sz="0" w:space="0" w:color="auto"/>
      </w:divBdr>
    </w:div>
    <w:div w:id="951134030">
      <w:bodyDiv w:val="1"/>
      <w:marLeft w:val="0"/>
      <w:marRight w:val="0"/>
      <w:marTop w:val="0"/>
      <w:marBottom w:val="0"/>
      <w:divBdr>
        <w:top w:val="none" w:sz="0" w:space="0" w:color="auto"/>
        <w:left w:val="none" w:sz="0" w:space="0" w:color="auto"/>
        <w:bottom w:val="none" w:sz="0" w:space="0" w:color="auto"/>
        <w:right w:val="none" w:sz="0" w:space="0" w:color="auto"/>
      </w:divBdr>
    </w:div>
    <w:div w:id="951591468">
      <w:bodyDiv w:val="1"/>
      <w:marLeft w:val="0"/>
      <w:marRight w:val="0"/>
      <w:marTop w:val="0"/>
      <w:marBottom w:val="0"/>
      <w:divBdr>
        <w:top w:val="none" w:sz="0" w:space="0" w:color="auto"/>
        <w:left w:val="none" w:sz="0" w:space="0" w:color="auto"/>
        <w:bottom w:val="none" w:sz="0" w:space="0" w:color="auto"/>
        <w:right w:val="none" w:sz="0" w:space="0" w:color="auto"/>
      </w:divBdr>
    </w:div>
    <w:div w:id="954825915">
      <w:bodyDiv w:val="1"/>
      <w:marLeft w:val="0"/>
      <w:marRight w:val="0"/>
      <w:marTop w:val="0"/>
      <w:marBottom w:val="0"/>
      <w:divBdr>
        <w:top w:val="none" w:sz="0" w:space="0" w:color="auto"/>
        <w:left w:val="none" w:sz="0" w:space="0" w:color="auto"/>
        <w:bottom w:val="none" w:sz="0" w:space="0" w:color="auto"/>
        <w:right w:val="none" w:sz="0" w:space="0" w:color="auto"/>
      </w:divBdr>
    </w:div>
    <w:div w:id="954946122">
      <w:bodyDiv w:val="1"/>
      <w:marLeft w:val="0"/>
      <w:marRight w:val="0"/>
      <w:marTop w:val="0"/>
      <w:marBottom w:val="0"/>
      <w:divBdr>
        <w:top w:val="none" w:sz="0" w:space="0" w:color="auto"/>
        <w:left w:val="none" w:sz="0" w:space="0" w:color="auto"/>
        <w:bottom w:val="none" w:sz="0" w:space="0" w:color="auto"/>
        <w:right w:val="none" w:sz="0" w:space="0" w:color="auto"/>
      </w:divBdr>
    </w:div>
    <w:div w:id="956981524">
      <w:bodyDiv w:val="1"/>
      <w:marLeft w:val="0"/>
      <w:marRight w:val="0"/>
      <w:marTop w:val="0"/>
      <w:marBottom w:val="0"/>
      <w:divBdr>
        <w:top w:val="none" w:sz="0" w:space="0" w:color="auto"/>
        <w:left w:val="none" w:sz="0" w:space="0" w:color="auto"/>
        <w:bottom w:val="none" w:sz="0" w:space="0" w:color="auto"/>
        <w:right w:val="none" w:sz="0" w:space="0" w:color="auto"/>
      </w:divBdr>
    </w:div>
    <w:div w:id="958342887">
      <w:bodyDiv w:val="1"/>
      <w:marLeft w:val="0"/>
      <w:marRight w:val="0"/>
      <w:marTop w:val="0"/>
      <w:marBottom w:val="0"/>
      <w:divBdr>
        <w:top w:val="none" w:sz="0" w:space="0" w:color="auto"/>
        <w:left w:val="none" w:sz="0" w:space="0" w:color="auto"/>
        <w:bottom w:val="none" w:sz="0" w:space="0" w:color="auto"/>
        <w:right w:val="none" w:sz="0" w:space="0" w:color="auto"/>
      </w:divBdr>
    </w:div>
    <w:div w:id="962464973">
      <w:bodyDiv w:val="1"/>
      <w:marLeft w:val="0"/>
      <w:marRight w:val="0"/>
      <w:marTop w:val="0"/>
      <w:marBottom w:val="0"/>
      <w:divBdr>
        <w:top w:val="none" w:sz="0" w:space="0" w:color="auto"/>
        <w:left w:val="none" w:sz="0" w:space="0" w:color="auto"/>
        <w:bottom w:val="none" w:sz="0" w:space="0" w:color="auto"/>
        <w:right w:val="none" w:sz="0" w:space="0" w:color="auto"/>
      </w:divBdr>
    </w:div>
    <w:div w:id="967316574">
      <w:bodyDiv w:val="1"/>
      <w:marLeft w:val="0"/>
      <w:marRight w:val="0"/>
      <w:marTop w:val="0"/>
      <w:marBottom w:val="0"/>
      <w:divBdr>
        <w:top w:val="none" w:sz="0" w:space="0" w:color="auto"/>
        <w:left w:val="none" w:sz="0" w:space="0" w:color="auto"/>
        <w:bottom w:val="none" w:sz="0" w:space="0" w:color="auto"/>
        <w:right w:val="none" w:sz="0" w:space="0" w:color="auto"/>
      </w:divBdr>
    </w:div>
    <w:div w:id="967780805">
      <w:bodyDiv w:val="1"/>
      <w:marLeft w:val="0"/>
      <w:marRight w:val="0"/>
      <w:marTop w:val="0"/>
      <w:marBottom w:val="0"/>
      <w:divBdr>
        <w:top w:val="none" w:sz="0" w:space="0" w:color="auto"/>
        <w:left w:val="none" w:sz="0" w:space="0" w:color="auto"/>
        <w:bottom w:val="none" w:sz="0" w:space="0" w:color="auto"/>
        <w:right w:val="none" w:sz="0" w:space="0" w:color="auto"/>
      </w:divBdr>
    </w:div>
    <w:div w:id="974067434">
      <w:bodyDiv w:val="1"/>
      <w:marLeft w:val="0"/>
      <w:marRight w:val="0"/>
      <w:marTop w:val="0"/>
      <w:marBottom w:val="0"/>
      <w:divBdr>
        <w:top w:val="none" w:sz="0" w:space="0" w:color="auto"/>
        <w:left w:val="none" w:sz="0" w:space="0" w:color="auto"/>
        <w:bottom w:val="none" w:sz="0" w:space="0" w:color="auto"/>
        <w:right w:val="none" w:sz="0" w:space="0" w:color="auto"/>
      </w:divBdr>
    </w:div>
    <w:div w:id="975111448">
      <w:bodyDiv w:val="1"/>
      <w:marLeft w:val="0"/>
      <w:marRight w:val="0"/>
      <w:marTop w:val="0"/>
      <w:marBottom w:val="0"/>
      <w:divBdr>
        <w:top w:val="none" w:sz="0" w:space="0" w:color="auto"/>
        <w:left w:val="none" w:sz="0" w:space="0" w:color="auto"/>
        <w:bottom w:val="none" w:sz="0" w:space="0" w:color="auto"/>
        <w:right w:val="none" w:sz="0" w:space="0" w:color="auto"/>
      </w:divBdr>
      <w:divsChild>
        <w:div w:id="170999023">
          <w:marLeft w:val="0"/>
          <w:marRight w:val="0"/>
          <w:marTop w:val="0"/>
          <w:marBottom w:val="0"/>
          <w:divBdr>
            <w:top w:val="none" w:sz="0" w:space="0" w:color="auto"/>
            <w:left w:val="none" w:sz="0" w:space="0" w:color="auto"/>
            <w:bottom w:val="none" w:sz="0" w:space="0" w:color="auto"/>
            <w:right w:val="none" w:sz="0" w:space="0" w:color="auto"/>
          </w:divBdr>
        </w:div>
      </w:divsChild>
    </w:div>
    <w:div w:id="978651114">
      <w:bodyDiv w:val="1"/>
      <w:marLeft w:val="0"/>
      <w:marRight w:val="0"/>
      <w:marTop w:val="0"/>
      <w:marBottom w:val="0"/>
      <w:divBdr>
        <w:top w:val="none" w:sz="0" w:space="0" w:color="auto"/>
        <w:left w:val="none" w:sz="0" w:space="0" w:color="auto"/>
        <w:bottom w:val="none" w:sz="0" w:space="0" w:color="auto"/>
        <w:right w:val="none" w:sz="0" w:space="0" w:color="auto"/>
      </w:divBdr>
      <w:divsChild>
        <w:div w:id="2126995894">
          <w:marLeft w:val="0"/>
          <w:marRight w:val="0"/>
          <w:marTop w:val="0"/>
          <w:marBottom w:val="0"/>
          <w:divBdr>
            <w:top w:val="none" w:sz="0" w:space="0" w:color="auto"/>
            <w:left w:val="none" w:sz="0" w:space="0" w:color="auto"/>
            <w:bottom w:val="none" w:sz="0" w:space="0" w:color="auto"/>
            <w:right w:val="none" w:sz="0" w:space="0" w:color="auto"/>
          </w:divBdr>
        </w:div>
      </w:divsChild>
    </w:div>
    <w:div w:id="979532499">
      <w:bodyDiv w:val="1"/>
      <w:marLeft w:val="0"/>
      <w:marRight w:val="0"/>
      <w:marTop w:val="0"/>
      <w:marBottom w:val="0"/>
      <w:divBdr>
        <w:top w:val="none" w:sz="0" w:space="0" w:color="auto"/>
        <w:left w:val="none" w:sz="0" w:space="0" w:color="auto"/>
        <w:bottom w:val="none" w:sz="0" w:space="0" w:color="auto"/>
        <w:right w:val="none" w:sz="0" w:space="0" w:color="auto"/>
      </w:divBdr>
    </w:div>
    <w:div w:id="980772057">
      <w:bodyDiv w:val="1"/>
      <w:marLeft w:val="0"/>
      <w:marRight w:val="0"/>
      <w:marTop w:val="0"/>
      <w:marBottom w:val="0"/>
      <w:divBdr>
        <w:top w:val="none" w:sz="0" w:space="0" w:color="auto"/>
        <w:left w:val="none" w:sz="0" w:space="0" w:color="auto"/>
        <w:bottom w:val="none" w:sz="0" w:space="0" w:color="auto"/>
        <w:right w:val="none" w:sz="0" w:space="0" w:color="auto"/>
      </w:divBdr>
    </w:div>
    <w:div w:id="981302440">
      <w:bodyDiv w:val="1"/>
      <w:marLeft w:val="0"/>
      <w:marRight w:val="0"/>
      <w:marTop w:val="0"/>
      <w:marBottom w:val="0"/>
      <w:divBdr>
        <w:top w:val="none" w:sz="0" w:space="0" w:color="auto"/>
        <w:left w:val="none" w:sz="0" w:space="0" w:color="auto"/>
        <w:bottom w:val="none" w:sz="0" w:space="0" w:color="auto"/>
        <w:right w:val="none" w:sz="0" w:space="0" w:color="auto"/>
      </w:divBdr>
    </w:div>
    <w:div w:id="982738468">
      <w:bodyDiv w:val="1"/>
      <w:marLeft w:val="0"/>
      <w:marRight w:val="0"/>
      <w:marTop w:val="0"/>
      <w:marBottom w:val="0"/>
      <w:divBdr>
        <w:top w:val="none" w:sz="0" w:space="0" w:color="auto"/>
        <w:left w:val="none" w:sz="0" w:space="0" w:color="auto"/>
        <w:bottom w:val="none" w:sz="0" w:space="0" w:color="auto"/>
        <w:right w:val="none" w:sz="0" w:space="0" w:color="auto"/>
      </w:divBdr>
    </w:div>
    <w:div w:id="987787574">
      <w:bodyDiv w:val="1"/>
      <w:marLeft w:val="0"/>
      <w:marRight w:val="0"/>
      <w:marTop w:val="0"/>
      <w:marBottom w:val="0"/>
      <w:divBdr>
        <w:top w:val="none" w:sz="0" w:space="0" w:color="auto"/>
        <w:left w:val="none" w:sz="0" w:space="0" w:color="auto"/>
        <w:bottom w:val="none" w:sz="0" w:space="0" w:color="auto"/>
        <w:right w:val="none" w:sz="0" w:space="0" w:color="auto"/>
      </w:divBdr>
    </w:div>
    <w:div w:id="990792491">
      <w:bodyDiv w:val="1"/>
      <w:marLeft w:val="0"/>
      <w:marRight w:val="0"/>
      <w:marTop w:val="0"/>
      <w:marBottom w:val="0"/>
      <w:divBdr>
        <w:top w:val="none" w:sz="0" w:space="0" w:color="auto"/>
        <w:left w:val="none" w:sz="0" w:space="0" w:color="auto"/>
        <w:bottom w:val="none" w:sz="0" w:space="0" w:color="auto"/>
        <w:right w:val="none" w:sz="0" w:space="0" w:color="auto"/>
      </w:divBdr>
      <w:divsChild>
        <w:div w:id="21712786">
          <w:marLeft w:val="504"/>
          <w:marRight w:val="0"/>
          <w:marTop w:val="186"/>
          <w:marBottom w:val="0"/>
          <w:divBdr>
            <w:top w:val="none" w:sz="0" w:space="0" w:color="auto"/>
            <w:left w:val="none" w:sz="0" w:space="0" w:color="auto"/>
            <w:bottom w:val="none" w:sz="0" w:space="0" w:color="auto"/>
            <w:right w:val="none" w:sz="0" w:space="0" w:color="auto"/>
          </w:divBdr>
        </w:div>
        <w:div w:id="43797116">
          <w:marLeft w:val="504"/>
          <w:marRight w:val="0"/>
          <w:marTop w:val="186"/>
          <w:marBottom w:val="0"/>
          <w:divBdr>
            <w:top w:val="none" w:sz="0" w:space="0" w:color="auto"/>
            <w:left w:val="none" w:sz="0" w:space="0" w:color="auto"/>
            <w:bottom w:val="none" w:sz="0" w:space="0" w:color="auto"/>
            <w:right w:val="none" w:sz="0" w:space="0" w:color="auto"/>
          </w:divBdr>
        </w:div>
        <w:div w:id="841433764">
          <w:marLeft w:val="504"/>
          <w:marRight w:val="0"/>
          <w:marTop w:val="186"/>
          <w:marBottom w:val="0"/>
          <w:divBdr>
            <w:top w:val="none" w:sz="0" w:space="0" w:color="auto"/>
            <w:left w:val="none" w:sz="0" w:space="0" w:color="auto"/>
            <w:bottom w:val="none" w:sz="0" w:space="0" w:color="auto"/>
            <w:right w:val="none" w:sz="0" w:space="0" w:color="auto"/>
          </w:divBdr>
        </w:div>
        <w:div w:id="1003236918">
          <w:marLeft w:val="504"/>
          <w:marRight w:val="0"/>
          <w:marTop w:val="186"/>
          <w:marBottom w:val="0"/>
          <w:divBdr>
            <w:top w:val="none" w:sz="0" w:space="0" w:color="auto"/>
            <w:left w:val="none" w:sz="0" w:space="0" w:color="auto"/>
            <w:bottom w:val="none" w:sz="0" w:space="0" w:color="auto"/>
            <w:right w:val="none" w:sz="0" w:space="0" w:color="auto"/>
          </w:divBdr>
        </w:div>
        <w:div w:id="1457022005">
          <w:marLeft w:val="504"/>
          <w:marRight w:val="0"/>
          <w:marTop w:val="186"/>
          <w:marBottom w:val="0"/>
          <w:divBdr>
            <w:top w:val="none" w:sz="0" w:space="0" w:color="auto"/>
            <w:left w:val="none" w:sz="0" w:space="0" w:color="auto"/>
            <w:bottom w:val="none" w:sz="0" w:space="0" w:color="auto"/>
            <w:right w:val="none" w:sz="0" w:space="0" w:color="auto"/>
          </w:divBdr>
        </w:div>
      </w:divsChild>
    </w:div>
    <w:div w:id="993997173">
      <w:bodyDiv w:val="1"/>
      <w:marLeft w:val="0"/>
      <w:marRight w:val="0"/>
      <w:marTop w:val="0"/>
      <w:marBottom w:val="0"/>
      <w:divBdr>
        <w:top w:val="none" w:sz="0" w:space="0" w:color="auto"/>
        <w:left w:val="none" w:sz="0" w:space="0" w:color="auto"/>
        <w:bottom w:val="none" w:sz="0" w:space="0" w:color="auto"/>
        <w:right w:val="none" w:sz="0" w:space="0" w:color="auto"/>
      </w:divBdr>
    </w:div>
    <w:div w:id="1000229935">
      <w:bodyDiv w:val="1"/>
      <w:marLeft w:val="0"/>
      <w:marRight w:val="0"/>
      <w:marTop w:val="0"/>
      <w:marBottom w:val="0"/>
      <w:divBdr>
        <w:top w:val="none" w:sz="0" w:space="0" w:color="auto"/>
        <w:left w:val="none" w:sz="0" w:space="0" w:color="auto"/>
        <w:bottom w:val="none" w:sz="0" w:space="0" w:color="auto"/>
        <w:right w:val="none" w:sz="0" w:space="0" w:color="auto"/>
      </w:divBdr>
      <w:divsChild>
        <w:div w:id="1580169946">
          <w:marLeft w:val="0"/>
          <w:marRight w:val="0"/>
          <w:marTop w:val="0"/>
          <w:marBottom w:val="0"/>
          <w:divBdr>
            <w:top w:val="none" w:sz="0" w:space="0" w:color="auto"/>
            <w:left w:val="none" w:sz="0" w:space="0" w:color="auto"/>
            <w:bottom w:val="none" w:sz="0" w:space="0" w:color="auto"/>
            <w:right w:val="none" w:sz="0" w:space="0" w:color="auto"/>
          </w:divBdr>
        </w:div>
      </w:divsChild>
    </w:div>
    <w:div w:id="1001735156">
      <w:bodyDiv w:val="1"/>
      <w:marLeft w:val="0"/>
      <w:marRight w:val="0"/>
      <w:marTop w:val="0"/>
      <w:marBottom w:val="0"/>
      <w:divBdr>
        <w:top w:val="none" w:sz="0" w:space="0" w:color="auto"/>
        <w:left w:val="none" w:sz="0" w:space="0" w:color="auto"/>
        <w:bottom w:val="none" w:sz="0" w:space="0" w:color="auto"/>
        <w:right w:val="none" w:sz="0" w:space="0" w:color="auto"/>
      </w:divBdr>
    </w:div>
    <w:div w:id="1004358153">
      <w:bodyDiv w:val="1"/>
      <w:marLeft w:val="0"/>
      <w:marRight w:val="0"/>
      <w:marTop w:val="0"/>
      <w:marBottom w:val="0"/>
      <w:divBdr>
        <w:top w:val="none" w:sz="0" w:space="0" w:color="auto"/>
        <w:left w:val="none" w:sz="0" w:space="0" w:color="auto"/>
        <w:bottom w:val="none" w:sz="0" w:space="0" w:color="auto"/>
        <w:right w:val="none" w:sz="0" w:space="0" w:color="auto"/>
      </w:divBdr>
    </w:div>
    <w:div w:id="1005594514">
      <w:bodyDiv w:val="1"/>
      <w:marLeft w:val="0"/>
      <w:marRight w:val="0"/>
      <w:marTop w:val="0"/>
      <w:marBottom w:val="0"/>
      <w:divBdr>
        <w:top w:val="none" w:sz="0" w:space="0" w:color="auto"/>
        <w:left w:val="none" w:sz="0" w:space="0" w:color="auto"/>
        <w:bottom w:val="none" w:sz="0" w:space="0" w:color="auto"/>
        <w:right w:val="none" w:sz="0" w:space="0" w:color="auto"/>
      </w:divBdr>
    </w:div>
    <w:div w:id="1015612718">
      <w:bodyDiv w:val="1"/>
      <w:marLeft w:val="0"/>
      <w:marRight w:val="0"/>
      <w:marTop w:val="0"/>
      <w:marBottom w:val="0"/>
      <w:divBdr>
        <w:top w:val="none" w:sz="0" w:space="0" w:color="auto"/>
        <w:left w:val="none" w:sz="0" w:space="0" w:color="auto"/>
        <w:bottom w:val="none" w:sz="0" w:space="0" w:color="auto"/>
        <w:right w:val="none" w:sz="0" w:space="0" w:color="auto"/>
      </w:divBdr>
    </w:div>
    <w:div w:id="1015887474">
      <w:bodyDiv w:val="1"/>
      <w:marLeft w:val="0"/>
      <w:marRight w:val="0"/>
      <w:marTop w:val="0"/>
      <w:marBottom w:val="0"/>
      <w:divBdr>
        <w:top w:val="none" w:sz="0" w:space="0" w:color="auto"/>
        <w:left w:val="none" w:sz="0" w:space="0" w:color="auto"/>
        <w:bottom w:val="none" w:sz="0" w:space="0" w:color="auto"/>
        <w:right w:val="none" w:sz="0" w:space="0" w:color="auto"/>
      </w:divBdr>
    </w:div>
    <w:div w:id="1016615025">
      <w:bodyDiv w:val="1"/>
      <w:marLeft w:val="0"/>
      <w:marRight w:val="0"/>
      <w:marTop w:val="0"/>
      <w:marBottom w:val="0"/>
      <w:divBdr>
        <w:top w:val="none" w:sz="0" w:space="0" w:color="auto"/>
        <w:left w:val="none" w:sz="0" w:space="0" w:color="auto"/>
        <w:bottom w:val="none" w:sz="0" w:space="0" w:color="auto"/>
        <w:right w:val="none" w:sz="0" w:space="0" w:color="auto"/>
      </w:divBdr>
    </w:div>
    <w:div w:id="1016618280">
      <w:bodyDiv w:val="1"/>
      <w:marLeft w:val="0"/>
      <w:marRight w:val="0"/>
      <w:marTop w:val="0"/>
      <w:marBottom w:val="0"/>
      <w:divBdr>
        <w:top w:val="none" w:sz="0" w:space="0" w:color="auto"/>
        <w:left w:val="none" w:sz="0" w:space="0" w:color="auto"/>
        <w:bottom w:val="none" w:sz="0" w:space="0" w:color="auto"/>
        <w:right w:val="none" w:sz="0" w:space="0" w:color="auto"/>
      </w:divBdr>
    </w:div>
    <w:div w:id="1017586831">
      <w:bodyDiv w:val="1"/>
      <w:marLeft w:val="0"/>
      <w:marRight w:val="0"/>
      <w:marTop w:val="0"/>
      <w:marBottom w:val="0"/>
      <w:divBdr>
        <w:top w:val="none" w:sz="0" w:space="0" w:color="auto"/>
        <w:left w:val="none" w:sz="0" w:space="0" w:color="auto"/>
        <w:bottom w:val="none" w:sz="0" w:space="0" w:color="auto"/>
        <w:right w:val="none" w:sz="0" w:space="0" w:color="auto"/>
      </w:divBdr>
    </w:div>
    <w:div w:id="1026181002">
      <w:bodyDiv w:val="1"/>
      <w:marLeft w:val="0"/>
      <w:marRight w:val="0"/>
      <w:marTop w:val="0"/>
      <w:marBottom w:val="0"/>
      <w:divBdr>
        <w:top w:val="none" w:sz="0" w:space="0" w:color="auto"/>
        <w:left w:val="none" w:sz="0" w:space="0" w:color="auto"/>
        <w:bottom w:val="none" w:sz="0" w:space="0" w:color="auto"/>
        <w:right w:val="none" w:sz="0" w:space="0" w:color="auto"/>
      </w:divBdr>
      <w:divsChild>
        <w:div w:id="712387704">
          <w:marLeft w:val="0"/>
          <w:marRight w:val="0"/>
          <w:marTop w:val="0"/>
          <w:marBottom w:val="0"/>
          <w:divBdr>
            <w:top w:val="none" w:sz="0" w:space="0" w:color="auto"/>
            <w:left w:val="none" w:sz="0" w:space="0" w:color="auto"/>
            <w:bottom w:val="none" w:sz="0" w:space="0" w:color="auto"/>
            <w:right w:val="none" w:sz="0" w:space="0" w:color="auto"/>
          </w:divBdr>
        </w:div>
        <w:div w:id="2075859409">
          <w:marLeft w:val="0"/>
          <w:marRight w:val="0"/>
          <w:marTop w:val="0"/>
          <w:marBottom w:val="0"/>
          <w:divBdr>
            <w:top w:val="none" w:sz="0" w:space="0" w:color="auto"/>
            <w:left w:val="none" w:sz="0" w:space="0" w:color="auto"/>
            <w:bottom w:val="none" w:sz="0" w:space="0" w:color="auto"/>
            <w:right w:val="none" w:sz="0" w:space="0" w:color="auto"/>
          </w:divBdr>
        </w:div>
        <w:div w:id="1926181099">
          <w:marLeft w:val="0"/>
          <w:marRight w:val="0"/>
          <w:marTop w:val="0"/>
          <w:marBottom w:val="0"/>
          <w:divBdr>
            <w:top w:val="none" w:sz="0" w:space="0" w:color="auto"/>
            <w:left w:val="none" w:sz="0" w:space="0" w:color="auto"/>
            <w:bottom w:val="none" w:sz="0" w:space="0" w:color="auto"/>
            <w:right w:val="none" w:sz="0" w:space="0" w:color="auto"/>
          </w:divBdr>
        </w:div>
        <w:div w:id="1219239871">
          <w:marLeft w:val="0"/>
          <w:marRight w:val="0"/>
          <w:marTop w:val="0"/>
          <w:marBottom w:val="0"/>
          <w:divBdr>
            <w:top w:val="none" w:sz="0" w:space="0" w:color="auto"/>
            <w:left w:val="none" w:sz="0" w:space="0" w:color="auto"/>
            <w:bottom w:val="none" w:sz="0" w:space="0" w:color="auto"/>
            <w:right w:val="none" w:sz="0" w:space="0" w:color="auto"/>
          </w:divBdr>
        </w:div>
        <w:div w:id="2118015311">
          <w:marLeft w:val="0"/>
          <w:marRight w:val="0"/>
          <w:marTop w:val="0"/>
          <w:marBottom w:val="0"/>
          <w:divBdr>
            <w:top w:val="none" w:sz="0" w:space="0" w:color="auto"/>
            <w:left w:val="none" w:sz="0" w:space="0" w:color="auto"/>
            <w:bottom w:val="none" w:sz="0" w:space="0" w:color="auto"/>
            <w:right w:val="none" w:sz="0" w:space="0" w:color="auto"/>
          </w:divBdr>
        </w:div>
      </w:divsChild>
    </w:div>
    <w:div w:id="1036544973">
      <w:bodyDiv w:val="1"/>
      <w:marLeft w:val="0"/>
      <w:marRight w:val="0"/>
      <w:marTop w:val="0"/>
      <w:marBottom w:val="0"/>
      <w:divBdr>
        <w:top w:val="none" w:sz="0" w:space="0" w:color="auto"/>
        <w:left w:val="none" w:sz="0" w:space="0" w:color="auto"/>
        <w:bottom w:val="none" w:sz="0" w:space="0" w:color="auto"/>
        <w:right w:val="none" w:sz="0" w:space="0" w:color="auto"/>
      </w:divBdr>
    </w:div>
    <w:div w:id="1040517487">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52079621">
      <w:bodyDiv w:val="1"/>
      <w:marLeft w:val="0"/>
      <w:marRight w:val="0"/>
      <w:marTop w:val="0"/>
      <w:marBottom w:val="0"/>
      <w:divBdr>
        <w:top w:val="none" w:sz="0" w:space="0" w:color="auto"/>
        <w:left w:val="none" w:sz="0" w:space="0" w:color="auto"/>
        <w:bottom w:val="none" w:sz="0" w:space="0" w:color="auto"/>
        <w:right w:val="none" w:sz="0" w:space="0" w:color="auto"/>
      </w:divBdr>
    </w:div>
    <w:div w:id="1055276178">
      <w:bodyDiv w:val="1"/>
      <w:marLeft w:val="0"/>
      <w:marRight w:val="0"/>
      <w:marTop w:val="0"/>
      <w:marBottom w:val="0"/>
      <w:divBdr>
        <w:top w:val="none" w:sz="0" w:space="0" w:color="auto"/>
        <w:left w:val="none" w:sz="0" w:space="0" w:color="auto"/>
        <w:bottom w:val="none" w:sz="0" w:space="0" w:color="auto"/>
        <w:right w:val="none" w:sz="0" w:space="0" w:color="auto"/>
      </w:divBdr>
    </w:div>
    <w:div w:id="1058433649">
      <w:bodyDiv w:val="1"/>
      <w:marLeft w:val="0"/>
      <w:marRight w:val="0"/>
      <w:marTop w:val="0"/>
      <w:marBottom w:val="0"/>
      <w:divBdr>
        <w:top w:val="none" w:sz="0" w:space="0" w:color="auto"/>
        <w:left w:val="none" w:sz="0" w:space="0" w:color="auto"/>
        <w:bottom w:val="none" w:sz="0" w:space="0" w:color="auto"/>
        <w:right w:val="none" w:sz="0" w:space="0" w:color="auto"/>
      </w:divBdr>
    </w:div>
    <w:div w:id="1061557641">
      <w:bodyDiv w:val="1"/>
      <w:marLeft w:val="0"/>
      <w:marRight w:val="0"/>
      <w:marTop w:val="0"/>
      <w:marBottom w:val="0"/>
      <w:divBdr>
        <w:top w:val="none" w:sz="0" w:space="0" w:color="auto"/>
        <w:left w:val="none" w:sz="0" w:space="0" w:color="auto"/>
        <w:bottom w:val="none" w:sz="0" w:space="0" w:color="auto"/>
        <w:right w:val="none" w:sz="0" w:space="0" w:color="auto"/>
      </w:divBdr>
      <w:divsChild>
        <w:div w:id="1368989403">
          <w:marLeft w:val="0"/>
          <w:marRight w:val="0"/>
          <w:marTop w:val="0"/>
          <w:marBottom w:val="0"/>
          <w:divBdr>
            <w:top w:val="none" w:sz="0" w:space="0" w:color="auto"/>
            <w:left w:val="none" w:sz="0" w:space="0" w:color="auto"/>
            <w:bottom w:val="none" w:sz="0" w:space="0" w:color="auto"/>
            <w:right w:val="none" w:sz="0" w:space="0" w:color="auto"/>
          </w:divBdr>
        </w:div>
      </w:divsChild>
    </w:div>
    <w:div w:id="1063409677">
      <w:bodyDiv w:val="1"/>
      <w:marLeft w:val="0"/>
      <w:marRight w:val="0"/>
      <w:marTop w:val="0"/>
      <w:marBottom w:val="0"/>
      <w:divBdr>
        <w:top w:val="none" w:sz="0" w:space="0" w:color="auto"/>
        <w:left w:val="none" w:sz="0" w:space="0" w:color="auto"/>
        <w:bottom w:val="none" w:sz="0" w:space="0" w:color="auto"/>
        <w:right w:val="none" w:sz="0" w:space="0" w:color="auto"/>
      </w:divBdr>
    </w:div>
    <w:div w:id="1066681719">
      <w:bodyDiv w:val="1"/>
      <w:marLeft w:val="0"/>
      <w:marRight w:val="0"/>
      <w:marTop w:val="0"/>
      <w:marBottom w:val="0"/>
      <w:divBdr>
        <w:top w:val="none" w:sz="0" w:space="0" w:color="auto"/>
        <w:left w:val="none" w:sz="0" w:space="0" w:color="auto"/>
        <w:bottom w:val="none" w:sz="0" w:space="0" w:color="auto"/>
        <w:right w:val="none" w:sz="0" w:space="0" w:color="auto"/>
      </w:divBdr>
    </w:div>
    <w:div w:id="1066950749">
      <w:bodyDiv w:val="1"/>
      <w:marLeft w:val="0"/>
      <w:marRight w:val="0"/>
      <w:marTop w:val="0"/>
      <w:marBottom w:val="0"/>
      <w:divBdr>
        <w:top w:val="none" w:sz="0" w:space="0" w:color="auto"/>
        <w:left w:val="none" w:sz="0" w:space="0" w:color="auto"/>
        <w:bottom w:val="none" w:sz="0" w:space="0" w:color="auto"/>
        <w:right w:val="none" w:sz="0" w:space="0" w:color="auto"/>
      </w:divBdr>
    </w:div>
    <w:div w:id="1070812879">
      <w:bodyDiv w:val="1"/>
      <w:marLeft w:val="0"/>
      <w:marRight w:val="0"/>
      <w:marTop w:val="0"/>
      <w:marBottom w:val="0"/>
      <w:divBdr>
        <w:top w:val="none" w:sz="0" w:space="0" w:color="auto"/>
        <w:left w:val="none" w:sz="0" w:space="0" w:color="auto"/>
        <w:bottom w:val="none" w:sz="0" w:space="0" w:color="auto"/>
        <w:right w:val="none" w:sz="0" w:space="0" w:color="auto"/>
      </w:divBdr>
    </w:div>
    <w:div w:id="1074281819">
      <w:bodyDiv w:val="1"/>
      <w:marLeft w:val="0"/>
      <w:marRight w:val="0"/>
      <w:marTop w:val="0"/>
      <w:marBottom w:val="0"/>
      <w:divBdr>
        <w:top w:val="none" w:sz="0" w:space="0" w:color="auto"/>
        <w:left w:val="none" w:sz="0" w:space="0" w:color="auto"/>
        <w:bottom w:val="none" w:sz="0" w:space="0" w:color="auto"/>
        <w:right w:val="none" w:sz="0" w:space="0" w:color="auto"/>
      </w:divBdr>
      <w:divsChild>
        <w:div w:id="450974114">
          <w:marLeft w:val="504"/>
          <w:marRight w:val="0"/>
          <w:marTop w:val="186"/>
          <w:marBottom w:val="0"/>
          <w:divBdr>
            <w:top w:val="none" w:sz="0" w:space="0" w:color="auto"/>
            <w:left w:val="none" w:sz="0" w:space="0" w:color="auto"/>
            <w:bottom w:val="none" w:sz="0" w:space="0" w:color="auto"/>
            <w:right w:val="none" w:sz="0" w:space="0" w:color="auto"/>
          </w:divBdr>
        </w:div>
        <w:div w:id="709577221">
          <w:marLeft w:val="504"/>
          <w:marRight w:val="0"/>
          <w:marTop w:val="186"/>
          <w:marBottom w:val="0"/>
          <w:divBdr>
            <w:top w:val="none" w:sz="0" w:space="0" w:color="auto"/>
            <w:left w:val="none" w:sz="0" w:space="0" w:color="auto"/>
            <w:bottom w:val="none" w:sz="0" w:space="0" w:color="auto"/>
            <w:right w:val="none" w:sz="0" w:space="0" w:color="auto"/>
          </w:divBdr>
        </w:div>
        <w:div w:id="1578785000">
          <w:marLeft w:val="504"/>
          <w:marRight w:val="0"/>
          <w:marTop w:val="186"/>
          <w:marBottom w:val="0"/>
          <w:divBdr>
            <w:top w:val="none" w:sz="0" w:space="0" w:color="auto"/>
            <w:left w:val="none" w:sz="0" w:space="0" w:color="auto"/>
            <w:bottom w:val="none" w:sz="0" w:space="0" w:color="auto"/>
            <w:right w:val="none" w:sz="0" w:space="0" w:color="auto"/>
          </w:divBdr>
        </w:div>
        <w:div w:id="1834905961">
          <w:marLeft w:val="504"/>
          <w:marRight w:val="0"/>
          <w:marTop w:val="186"/>
          <w:marBottom w:val="0"/>
          <w:divBdr>
            <w:top w:val="none" w:sz="0" w:space="0" w:color="auto"/>
            <w:left w:val="none" w:sz="0" w:space="0" w:color="auto"/>
            <w:bottom w:val="none" w:sz="0" w:space="0" w:color="auto"/>
            <w:right w:val="none" w:sz="0" w:space="0" w:color="auto"/>
          </w:divBdr>
        </w:div>
        <w:div w:id="1934510500">
          <w:marLeft w:val="504"/>
          <w:marRight w:val="0"/>
          <w:marTop w:val="186"/>
          <w:marBottom w:val="0"/>
          <w:divBdr>
            <w:top w:val="none" w:sz="0" w:space="0" w:color="auto"/>
            <w:left w:val="none" w:sz="0" w:space="0" w:color="auto"/>
            <w:bottom w:val="none" w:sz="0" w:space="0" w:color="auto"/>
            <w:right w:val="none" w:sz="0" w:space="0" w:color="auto"/>
          </w:divBdr>
        </w:div>
      </w:divsChild>
    </w:div>
    <w:div w:id="1078863323">
      <w:bodyDiv w:val="1"/>
      <w:marLeft w:val="0"/>
      <w:marRight w:val="0"/>
      <w:marTop w:val="0"/>
      <w:marBottom w:val="0"/>
      <w:divBdr>
        <w:top w:val="none" w:sz="0" w:space="0" w:color="auto"/>
        <w:left w:val="none" w:sz="0" w:space="0" w:color="auto"/>
        <w:bottom w:val="none" w:sz="0" w:space="0" w:color="auto"/>
        <w:right w:val="none" w:sz="0" w:space="0" w:color="auto"/>
      </w:divBdr>
    </w:div>
    <w:div w:id="1081950068">
      <w:bodyDiv w:val="1"/>
      <w:marLeft w:val="0"/>
      <w:marRight w:val="0"/>
      <w:marTop w:val="0"/>
      <w:marBottom w:val="0"/>
      <w:divBdr>
        <w:top w:val="none" w:sz="0" w:space="0" w:color="auto"/>
        <w:left w:val="none" w:sz="0" w:space="0" w:color="auto"/>
        <w:bottom w:val="none" w:sz="0" w:space="0" w:color="auto"/>
        <w:right w:val="none" w:sz="0" w:space="0" w:color="auto"/>
      </w:divBdr>
    </w:div>
    <w:div w:id="1082525094">
      <w:bodyDiv w:val="1"/>
      <w:marLeft w:val="0"/>
      <w:marRight w:val="0"/>
      <w:marTop w:val="0"/>
      <w:marBottom w:val="0"/>
      <w:divBdr>
        <w:top w:val="none" w:sz="0" w:space="0" w:color="auto"/>
        <w:left w:val="none" w:sz="0" w:space="0" w:color="auto"/>
        <w:bottom w:val="none" w:sz="0" w:space="0" w:color="auto"/>
        <w:right w:val="none" w:sz="0" w:space="0" w:color="auto"/>
      </w:divBdr>
    </w:div>
    <w:div w:id="1084961248">
      <w:bodyDiv w:val="1"/>
      <w:marLeft w:val="0"/>
      <w:marRight w:val="0"/>
      <w:marTop w:val="0"/>
      <w:marBottom w:val="0"/>
      <w:divBdr>
        <w:top w:val="none" w:sz="0" w:space="0" w:color="auto"/>
        <w:left w:val="none" w:sz="0" w:space="0" w:color="auto"/>
        <w:bottom w:val="none" w:sz="0" w:space="0" w:color="auto"/>
        <w:right w:val="none" w:sz="0" w:space="0" w:color="auto"/>
      </w:divBdr>
    </w:div>
    <w:div w:id="1085111755">
      <w:bodyDiv w:val="1"/>
      <w:marLeft w:val="0"/>
      <w:marRight w:val="0"/>
      <w:marTop w:val="0"/>
      <w:marBottom w:val="0"/>
      <w:divBdr>
        <w:top w:val="none" w:sz="0" w:space="0" w:color="auto"/>
        <w:left w:val="none" w:sz="0" w:space="0" w:color="auto"/>
        <w:bottom w:val="none" w:sz="0" w:space="0" w:color="auto"/>
        <w:right w:val="none" w:sz="0" w:space="0" w:color="auto"/>
      </w:divBdr>
    </w:div>
    <w:div w:id="1095437620">
      <w:bodyDiv w:val="1"/>
      <w:marLeft w:val="0"/>
      <w:marRight w:val="0"/>
      <w:marTop w:val="0"/>
      <w:marBottom w:val="0"/>
      <w:divBdr>
        <w:top w:val="none" w:sz="0" w:space="0" w:color="auto"/>
        <w:left w:val="none" w:sz="0" w:space="0" w:color="auto"/>
        <w:bottom w:val="none" w:sz="0" w:space="0" w:color="auto"/>
        <w:right w:val="none" w:sz="0" w:space="0" w:color="auto"/>
      </w:divBdr>
    </w:div>
    <w:div w:id="1101415226">
      <w:bodyDiv w:val="1"/>
      <w:marLeft w:val="0"/>
      <w:marRight w:val="0"/>
      <w:marTop w:val="0"/>
      <w:marBottom w:val="0"/>
      <w:divBdr>
        <w:top w:val="none" w:sz="0" w:space="0" w:color="auto"/>
        <w:left w:val="none" w:sz="0" w:space="0" w:color="auto"/>
        <w:bottom w:val="none" w:sz="0" w:space="0" w:color="auto"/>
        <w:right w:val="none" w:sz="0" w:space="0" w:color="auto"/>
      </w:divBdr>
    </w:div>
    <w:div w:id="1104955334">
      <w:bodyDiv w:val="1"/>
      <w:marLeft w:val="0"/>
      <w:marRight w:val="0"/>
      <w:marTop w:val="0"/>
      <w:marBottom w:val="0"/>
      <w:divBdr>
        <w:top w:val="none" w:sz="0" w:space="0" w:color="auto"/>
        <w:left w:val="none" w:sz="0" w:space="0" w:color="auto"/>
        <w:bottom w:val="none" w:sz="0" w:space="0" w:color="auto"/>
        <w:right w:val="none" w:sz="0" w:space="0" w:color="auto"/>
      </w:divBdr>
    </w:div>
    <w:div w:id="1105493572">
      <w:bodyDiv w:val="1"/>
      <w:marLeft w:val="0"/>
      <w:marRight w:val="0"/>
      <w:marTop w:val="0"/>
      <w:marBottom w:val="0"/>
      <w:divBdr>
        <w:top w:val="none" w:sz="0" w:space="0" w:color="auto"/>
        <w:left w:val="none" w:sz="0" w:space="0" w:color="auto"/>
        <w:bottom w:val="none" w:sz="0" w:space="0" w:color="auto"/>
        <w:right w:val="none" w:sz="0" w:space="0" w:color="auto"/>
      </w:divBdr>
    </w:div>
    <w:div w:id="1107314505">
      <w:bodyDiv w:val="1"/>
      <w:marLeft w:val="0"/>
      <w:marRight w:val="0"/>
      <w:marTop w:val="0"/>
      <w:marBottom w:val="0"/>
      <w:divBdr>
        <w:top w:val="none" w:sz="0" w:space="0" w:color="auto"/>
        <w:left w:val="none" w:sz="0" w:space="0" w:color="auto"/>
        <w:bottom w:val="none" w:sz="0" w:space="0" w:color="auto"/>
        <w:right w:val="none" w:sz="0" w:space="0" w:color="auto"/>
      </w:divBdr>
    </w:div>
    <w:div w:id="1109862140">
      <w:bodyDiv w:val="1"/>
      <w:marLeft w:val="0"/>
      <w:marRight w:val="0"/>
      <w:marTop w:val="0"/>
      <w:marBottom w:val="0"/>
      <w:divBdr>
        <w:top w:val="none" w:sz="0" w:space="0" w:color="auto"/>
        <w:left w:val="none" w:sz="0" w:space="0" w:color="auto"/>
        <w:bottom w:val="none" w:sz="0" w:space="0" w:color="auto"/>
        <w:right w:val="none" w:sz="0" w:space="0" w:color="auto"/>
      </w:divBdr>
    </w:div>
    <w:div w:id="1114440026">
      <w:bodyDiv w:val="1"/>
      <w:marLeft w:val="0"/>
      <w:marRight w:val="0"/>
      <w:marTop w:val="0"/>
      <w:marBottom w:val="0"/>
      <w:divBdr>
        <w:top w:val="none" w:sz="0" w:space="0" w:color="auto"/>
        <w:left w:val="none" w:sz="0" w:space="0" w:color="auto"/>
        <w:bottom w:val="none" w:sz="0" w:space="0" w:color="auto"/>
        <w:right w:val="none" w:sz="0" w:space="0" w:color="auto"/>
      </w:divBdr>
    </w:div>
    <w:div w:id="1116948767">
      <w:bodyDiv w:val="1"/>
      <w:marLeft w:val="0"/>
      <w:marRight w:val="0"/>
      <w:marTop w:val="0"/>
      <w:marBottom w:val="0"/>
      <w:divBdr>
        <w:top w:val="none" w:sz="0" w:space="0" w:color="auto"/>
        <w:left w:val="none" w:sz="0" w:space="0" w:color="auto"/>
        <w:bottom w:val="none" w:sz="0" w:space="0" w:color="auto"/>
        <w:right w:val="none" w:sz="0" w:space="0" w:color="auto"/>
      </w:divBdr>
    </w:div>
    <w:div w:id="1117799294">
      <w:bodyDiv w:val="1"/>
      <w:marLeft w:val="0"/>
      <w:marRight w:val="0"/>
      <w:marTop w:val="0"/>
      <w:marBottom w:val="0"/>
      <w:divBdr>
        <w:top w:val="none" w:sz="0" w:space="0" w:color="auto"/>
        <w:left w:val="none" w:sz="0" w:space="0" w:color="auto"/>
        <w:bottom w:val="none" w:sz="0" w:space="0" w:color="auto"/>
        <w:right w:val="none" w:sz="0" w:space="0" w:color="auto"/>
      </w:divBdr>
    </w:div>
    <w:div w:id="1119378613">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24546162">
      <w:bodyDiv w:val="1"/>
      <w:marLeft w:val="0"/>
      <w:marRight w:val="0"/>
      <w:marTop w:val="0"/>
      <w:marBottom w:val="0"/>
      <w:divBdr>
        <w:top w:val="none" w:sz="0" w:space="0" w:color="auto"/>
        <w:left w:val="none" w:sz="0" w:space="0" w:color="auto"/>
        <w:bottom w:val="none" w:sz="0" w:space="0" w:color="auto"/>
        <w:right w:val="none" w:sz="0" w:space="0" w:color="auto"/>
      </w:divBdr>
    </w:div>
    <w:div w:id="1125730721">
      <w:bodyDiv w:val="1"/>
      <w:marLeft w:val="0"/>
      <w:marRight w:val="0"/>
      <w:marTop w:val="0"/>
      <w:marBottom w:val="0"/>
      <w:divBdr>
        <w:top w:val="none" w:sz="0" w:space="0" w:color="auto"/>
        <w:left w:val="none" w:sz="0" w:space="0" w:color="auto"/>
        <w:bottom w:val="none" w:sz="0" w:space="0" w:color="auto"/>
        <w:right w:val="none" w:sz="0" w:space="0" w:color="auto"/>
      </w:divBdr>
    </w:div>
    <w:div w:id="1125930454">
      <w:bodyDiv w:val="1"/>
      <w:marLeft w:val="0"/>
      <w:marRight w:val="0"/>
      <w:marTop w:val="0"/>
      <w:marBottom w:val="0"/>
      <w:divBdr>
        <w:top w:val="none" w:sz="0" w:space="0" w:color="auto"/>
        <w:left w:val="none" w:sz="0" w:space="0" w:color="auto"/>
        <w:bottom w:val="none" w:sz="0" w:space="0" w:color="auto"/>
        <w:right w:val="none" w:sz="0" w:space="0" w:color="auto"/>
      </w:divBdr>
    </w:div>
    <w:div w:id="1130781343">
      <w:bodyDiv w:val="1"/>
      <w:marLeft w:val="0"/>
      <w:marRight w:val="0"/>
      <w:marTop w:val="0"/>
      <w:marBottom w:val="0"/>
      <w:divBdr>
        <w:top w:val="none" w:sz="0" w:space="0" w:color="auto"/>
        <w:left w:val="none" w:sz="0" w:space="0" w:color="auto"/>
        <w:bottom w:val="none" w:sz="0" w:space="0" w:color="auto"/>
        <w:right w:val="none" w:sz="0" w:space="0" w:color="auto"/>
      </w:divBdr>
    </w:div>
    <w:div w:id="1136678300">
      <w:bodyDiv w:val="1"/>
      <w:marLeft w:val="0"/>
      <w:marRight w:val="0"/>
      <w:marTop w:val="0"/>
      <w:marBottom w:val="0"/>
      <w:divBdr>
        <w:top w:val="none" w:sz="0" w:space="0" w:color="auto"/>
        <w:left w:val="none" w:sz="0" w:space="0" w:color="auto"/>
        <w:bottom w:val="none" w:sz="0" w:space="0" w:color="auto"/>
        <w:right w:val="none" w:sz="0" w:space="0" w:color="auto"/>
      </w:divBdr>
    </w:div>
    <w:div w:id="1137070847">
      <w:bodyDiv w:val="1"/>
      <w:marLeft w:val="0"/>
      <w:marRight w:val="0"/>
      <w:marTop w:val="0"/>
      <w:marBottom w:val="0"/>
      <w:divBdr>
        <w:top w:val="none" w:sz="0" w:space="0" w:color="auto"/>
        <w:left w:val="none" w:sz="0" w:space="0" w:color="auto"/>
        <w:bottom w:val="none" w:sz="0" w:space="0" w:color="auto"/>
        <w:right w:val="none" w:sz="0" w:space="0" w:color="auto"/>
      </w:divBdr>
    </w:div>
    <w:div w:id="1137794822">
      <w:bodyDiv w:val="1"/>
      <w:marLeft w:val="0"/>
      <w:marRight w:val="0"/>
      <w:marTop w:val="0"/>
      <w:marBottom w:val="0"/>
      <w:divBdr>
        <w:top w:val="none" w:sz="0" w:space="0" w:color="auto"/>
        <w:left w:val="none" w:sz="0" w:space="0" w:color="auto"/>
        <w:bottom w:val="none" w:sz="0" w:space="0" w:color="auto"/>
        <w:right w:val="none" w:sz="0" w:space="0" w:color="auto"/>
      </w:divBdr>
    </w:div>
    <w:div w:id="1144389642">
      <w:bodyDiv w:val="1"/>
      <w:marLeft w:val="0"/>
      <w:marRight w:val="0"/>
      <w:marTop w:val="0"/>
      <w:marBottom w:val="0"/>
      <w:divBdr>
        <w:top w:val="none" w:sz="0" w:space="0" w:color="auto"/>
        <w:left w:val="none" w:sz="0" w:space="0" w:color="auto"/>
        <w:bottom w:val="none" w:sz="0" w:space="0" w:color="auto"/>
        <w:right w:val="none" w:sz="0" w:space="0" w:color="auto"/>
      </w:divBdr>
    </w:div>
    <w:div w:id="1148134958">
      <w:bodyDiv w:val="1"/>
      <w:marLeft w:val="0"/>
      <w:marRight w:val="0"/>
      <w:marTop w:val="0"/>
      <w:marBottom w:val="0"/>
      <w:divBdr>
        <w:top w:val="none" w:sz="0" w:space="0" w:color="auto"/>
        <w:left w:val="none" w:sz="0" w:space="0" w:color="auto"/>
        <w:bottom w:val="none" w:sz="0" w:space="0" w:color="auto"/>
        <w:right w:val="none" w:sz="0" w:space="0" w:color="auto"/>
      </w:divBdr>
    </w:div>
    <w:div w:id="1148402415">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52451891">
      <w:bodyDiv w:val="1"/>
      <w:marLeft w:val="0"/>
      <w:marRight w:val="0"/>
      <w:marTop w:val="0"/>
      <w:marBottom w:val="0"/>
      <w:divBdr>
        <w:top w:val="none" w:sz="0" w:space="0" w:color="auto"/>
        <w:left w:val="none" w:sz="0" w:space="0" w:color="auto"/>
        <w:bottom w:val="none" w:sz="0" w:space="0" w:color="auto"/>
        <w:right w:val="none" w:sz="0" w:space="0" w:color="auto"/>
      </w:divBdr>
    </w:div>
    <w:div w:id="1155103813">
      <w:bodyDiv w:val="1"/>
      <w:marLeft w:val="0"/>
      <w:marRight w:val="0"/>
      <w:marTop w:val="0"/>
      <w:marBottom w:val="0"/>
      <w:divBdr>
        <w:top w:val="none" w:sz="0" w:space="0" w:color="auto"/>
        <w:left w:val="none" w:sz="0" w:space="0" w:color="auto"/>
        <w:bottom w:val="none" w:sz="0" w:space="0" w:color="auto"/>
        <w:right w:val="none" w:sz="0" w:space="0" w:color="auto"/>
      </w:divBdr>
    </w:div>
    <w:div w:id="1156724215">
      <w:bodyDiv w:val="1"/>
      <w:marLeft w:val="0"/>
      <w:marRight w:val="0"/>
      <w:marTop w:val="0"/>
      <w:marBottom w:val="0"/>
      <w:divBdr>
        <w:top w:val="none" w:sz="0" w:space="0" w:color="auto"/>
        <w:left w:val="none" w:sz="0" w:space="0" w:color="auto"/>
        <w:bottom w:val="none" w:sz="0" w:space="0" w:color="auto"/>
        <w:right w:val="none" w:sz="0" w:space="0" w:color="auto"/>
      </w:divBdr>
    </w:div>
    <w:div w:id="1160730848">
      <w:bodyDiv w:val="1"/>
      <w:marLeft w:val="0"/>
      <w:marRight w:val="0"/>
      <w:marTop w:val="0"/>
      <w:marBottom w:val="0"/>
      <w:divBdr>
        <w:top w:val="none" w:sz="0" w:space="0" w:color="auto"/>
        <w:left w:val="none" w:sz="0" w:space="0" w:color="auto"/>
        <w:bottom w:val="none" w:sz="0" w:space="0" w:color="auto"/>
        <w:right w:val="none" w:sz="0" w:space="0" w:color="auto"/>
      </w:divBdr>
    </w:div>
    <w:div w:id="1164012615">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69948742">
      <w:bodyDiv w:val="1"/>
      <w:marLeft w:val="0"/>
      <w:marRight w:val="0"/>
      <w:marTop w:val="0"/>
      <w:marBottom w:val="0"/>
      <w:divBdr>
        <w:top w:val="none" w:sz="0" w:space="0" w:color="auto"/>
        <w:left w:val="none" w:sz="0" w:space="0" w:color="auto"/>
        <w:bottom w:val="none" w:sz="0" w:space="0" w:color="auto"/>
        <w:right w:val="none" w:sz="0" w:space="0" w:color="auto"/>
      </w:divBdr>
      <w:divsChild>
        <w:div w:id="728840064">
          <w:marLeft w:val="0"/>
          <w:marRight w:val="0"/>
          <w:marTop w:val="0"/>
          <w:marBottom w:val="0"/>
          <w:divBdr>
            <w:top w:val="none" w:sz="0" w:space="0" w:color="auto"/>
            <w:left w:val="none" w:sz="0" w:space="0" w:color="auto"/>
            <w:bottom w:val="none" w:sz="0" w:space="0" w:color="auto"/>
            <w:right w:val="none" w:sz="0" w:space="0" w:color="auto"/>
          </w:divBdr>
        </w:div>
      </w:divsChild>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74995638">
      <w:bodyDiv w:val="1"/>
      <w:marLeft w:val="0"/>
      <w:marRight w:val="0"/>
      <w:marTop w:val="0"/>
      <w:marBottom w:val="0"/>
      <w:divBdr>
        <w:top w:val="none" w:sz="0" w:space="0" w:color="auto"/>
        <w:left w:val="none" w:sz="0" w:space="0" w:color="auto"/>
        <w:bottom w:val="none" w:sz="0" w:space="0" w:color="auto"/>
        <w:right w:val="none" w:sz="0" w:space="0" w:color="auto"/>
      </w:divBdr>
    </w:div>
    <w:div w:id="1177886170">
      <w:bodyDiv w:val="1"/>
      <w:marLeft w:val="0"/>
      <w:marRight w:val="0"/>
      <w:marTop w:val="0"/>
      <w:marBottom w:val="0"/>
      <w:divBdr>
        <w:top w:val="none" w:sz="0" w:space="0" w:color="auto"/>
        <w:left w:val="none" w:sz="0" w:space="0" w:color="auto"/>
        <w:bottom w:val="none" w:sz="0" w:space="0" w:color="auto"/>
        <w:right w:val="none" w:sz="0" w:space="0" w:color="auto"/>
      </w:divBdr>
    </w:div>
    <w:div w:id="1188058270">
      <w:bodyDiv w:val="1"/>
      <w:marLeft w:val="0"/>
      <w:marRight w:val="0"/>
      <w:marTop w:val="0"/>
      <w:marBottom w:val="0"/>
      <w:divBdr>
        <w:top w:val="none" w:sz="0" w:space="0" w:color="auto"/>
        <w:left w:val="none" w:sz="0" w:space="0" w:color="auto"/>
        <w:bottom w:val="none" w:sz="0" w:space="0" w:color="auto"/>
        <w:right w:val="none" w:sz="0" w:space="0" w:color="auto"/>
      </w:divBdr>
    </w:div>
    <w:div w:id="1191453052">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200975749">
      <w:bodyDiv w:val="1"/>
      <w:marLeft w:val="0"/>
      <w:marRight w:val="0"/>
      <w:marTop w:val="0"/>
      <w:marBottom w:val="0"/>
      <w:divBdr>
        <w:top w:val="none" w:sz="0" w:space="0" w:color="auto"/>
        <w:left w:val="none" w:sz="0" w:space="0" w:color="auto"/>
        <w:bottom w:val="none" w:sz="0" w:space="0" w:color="auto"/>
        <w:right w:val="none" w:sz="0" w:space="0" w:color="auto"/>
      </w:divBdr>
    </w:div>
    <w:div w:id="1207990746">
      <w:bodyDiv w:val="1"/>
      <w:marLeft w:val="0"/>
      <w:marRight w:val="0"/>
      <w:marTop w:val="0"/>
      <w:marBottom w:val="0"/>
      <w:divBdr>
        <w:top w:val="none" w:sz="0" w:space="0" w:color="auto"/>
        <w:left w:val="none" w:sz="0" w:space="0" w:color="auto"/>
        <w:bottom w:val="none" w:sz="0" w:space="0" w:color="auto"/>
        <w:right w:val="none" w:sz="0" w:space="0" w:color="auto"/>
      </w:divBdr>
    </w:div>
    <w:div w:id="1212186406">
      <w:bodyDiv w:val="1"/>
      <w:marLeft w:val="0"/>
      <w:marRight w:val="0"/>
      <w:marTop w:val="0"/>
      <w:marBottom w:val="0"/>
      <w:divBdr>
        <w:top w:val="none" w:sz="0" w:space="0" w:color="auto"/>
        <w:left w:val="none" w:sz="0" w:space="0" w:color="auto"/>
        <w:bottom w:val="none" w:sz="0" w:space="0" w:color="auto"/>
        <w:right w:val="none" w:sz="0" w:space="0" w:color="auto"/>
      </w:divBdr>
    </w:div>
    <w:div w:id="1212885491">
      <w:bodyDiv w:val="1"/>
      <w:marLeft w:val="0"/>
      <w:marRight w:val="0"/>
      <w:marTop w:val="0"/>
      <w:marBottom w:val="0"/>
      <w:divBdr>
        <w:top w:val="none" w:sz="0" w:space="0" w:color="auto"/>
        <w:left w:val="none" w:sz="0" w:space="0" w:color="auto"/>
        <w:bottom w:val="none" w:sz="0" w:space="0" w:color="auto"/>
        <w:right w:val="none" w:sz="0" w:space="0" w:color="auto"/>
      </w:divBdr>
    </w:div>
    <w:div w:id="1216815330">
      <w:bodyDiv w:val="1"/>
      <w:marLeft w:val="0"/>
      <w:marRight w:val="0"/>
      <w:marTop w:val="0"/>
      <w:marBottom w:val="0"/>
      <w:divBdr>
        <w:top w:val="none" w:sz="0" w:space="0" w:color="auto"/>
        <w:left w:val="none" w:sz="0" w:space="0" w:color="auto"/>
        <w:bottom w:val="none" w:sz="0" w:space="0" w:color="auto"/>
        <w:right w:val="none" w:sz="0" w:space="0" w:color="auto"/>
      </w:divBdr>
      <w:divsChild>
        <w:div w:id="1477647510">
          <w:marLeft w:val="0"/>
          <w:marRight w:val="0"/>
          <w:marTop w:val="0"/>
          <w:marBottom w:val="0"/>
          <w:divBdr>
            <w:top w:val="none" w:sz="0" w:space="0" w:color="auto"/>
            <w:left w:val="none" w:sz="0" w:space="0" w:color="auto"/>
            <w:bottom w:val="none" w:sz="0" w:space="0" w:color="auto"/>
            <w:right w:val="none" w:sz="0" w:space="0" w:color="auto"/>
          </w:divBdr>
        </w:div>
      </w:divsChild>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20938924">
      <w:bodyDiv w:val="1"/>
      <w:marLeft w:val="0"/>
      <w:marRight w:val="0"/>
      <w:marTop w:val="0"/>
      <w:marBottom w:val="0"/>
      <w:divBdr>
        <w:top w:val="none" w:sz="0" w:space="0" w:color="auto"/>
        <w:left w:val="none" w:sz="0" w:space="0" w:color="auto"/>
        <w:bottom w:val="none" w:sz="0" w:space="0" w:color="auto"/>
        <w:right w:val="none" w:sz="0" w:space="0" w:color="auto"/>
      </w:divBdr>
    </w:div>
    <w:div w:id="1227303638">
      <w:bodyDiv w:val="1"/>
      <w:marLeft w:val="0"/>
      <w:marRight w:val="0"/>
      <w:marTop w:val="0"/>
      <w:marBottom w:val="0"/>
      <w:divBdr>
        <w:top w:val="none" w:sz="0" w:space="0" w:color="auto"/>
        <w:left w:val="none" w:sz="0" w:space="0" w:color="auto"/>
        <w:bottom w:val="none" w:sz="0" w:space="0" w:color="auto"/>
        <w:right w:val="none" w:sz="0" w:space="0" w:color="auto"/>
      </w:divBdr>
    </w:div>
    <w:div w:id="1235164052">
      <w:bodyDiv w:val="1"/>
      <w:marLeft w:val="0"/>
      <w:marRight w:val="0"/>
      <w:marTop w:val="0"/>
      <w:marBottom w:val="0"/>
      <w:divBdr>
        <w:top w:val="none" w:sz="0" w:space="0" w:color="auto"/>
        <w:left w:val="none" w:sz="0" w:space="0" w:color="auto"/>
        <w:bottom w:val="none" w:sz="0" w:space="0" w:color="auto"/>
        <w:right w:val="none" w:sz="0" w:space="0" w:color="auto"/>
      </w:divBdr>
    </w:div>
    <w:div w:id="1239251364">
      <w:bodyDiv w:val="1"/>
      <w:marLeft w:val="0"/>
      <w:marRight w:val="0"/>
      <w:marTop w:val="0"/>
      <w:marBottom w:val="0"/>
      <w:divBdr>
        <w:top w:val="none" w:sz="0" w:space="0" w:color="auto"/>
        <w:left w:val="none" w:sz="0" w:space="0" w:color="auto"/>
        <w:bottom w:val="none" w:sz="0" w:space="0" w:color="auto"/>
        <w:right w:val="none" w:sz="0" w:space="0" w:color="auto"/>
      </w:divBdr>
    </w:div>
    <w:div w:id="1250459587">
      <w:bodyDiv w:val="1"/>
      <w:marLeft w:val="0"/>
      <w:marRight w:val="0"/>
      <w:marTop w:val="0"/>
      <w:marBottom w:val="0"/>
      <w:divBdr>
        <w:top w:val="none" w:sz="0" w:space="0" w:color="auto"/>
        <w:left w:val="none" w:sz="0" w:space="0" w:color="auto"/>
        <w:bottom w:val="none" w:sz="0" w:space="0" w:color="auto"/>
        <w:right w:val="none" w:sz="0" w:space="0" w:color="auto"/>
      </w:divBdr>
    </w:div>
    <w:div w:id="1253661854">
      <w:bodyDiv w:val="1"/>
      <w:marLeft w:val="0"/>
      <w:marRight w:val="0"/>
      <w:marTop w:val="0"/>
      <w:marBottom w:val="0"/>
      <w:divBdr>
        <w:top w:val="none" w:sz="0" w:space="0" w:color="auto"/>
        <w:left w:val="none" w:sz="0" w:space="0" w:color="auto"/>
        <w:bottom w:val="none" w:sz="0" w:space="0" w:color="auto"/>
        <w:right w:val="none" w:sz="0" w:space="0" w:color="auto"/>
      </w:divBdr>
    </w:div>
    <w:div w:id="1254973806">
      <w:bodyDiv w:val="1"/>
      <w:marLeft w:val="0"/>
      <w:marRight w:val="0"/>
      <w:marTop w:val="0"/>
      <w:marBottom w:val="0"/>
      <w:divBdr>
        <w:top w:val="none" w:sz="0" w:space="0" w:color="auto"/>
        <w:left w:val="none" w:sz="0" w:space="0" w:color="auto"/>
        <w:bottom w:val="none" w:sz="0" w:space="0" w:color="auto"/>
        <w:right w:val="none" w:sz="0" w:space="0" w:color="auto"/>
      </w:divBdr>
    </w:div>
    <w:div w:id="1255895265">
      <w:bodyDiv w:val="1"/>
      <w:marLeft w:val="0"/>
      <w:marRight w:val="0"/>
      <w:marTop w:val="0"/>
      <w:marBottom w:val="0"/>
      <w:divBdr>
        <w:top w:val="none" w:sz="0" w:space="0" w:color="auto"/>
        <w:left w:val="none" w:sz="0" w:space="0" w:color="auto"/>
        <w:bottom w:val="none" w:sz="0" w:space="0" w:color="auto"/>
        <w:right w:val="none" w:sz="0" w:space="0" w:color="auto"/>
      </w:divBdr>
    </w:div>
    <w:div w:id="1256330121">
      <w:bodyDiv w:val="1"/>
      <w:marLeft w:val="0"/>
      <w:marRight w:val="0"/>
      <w:marTop w:val="0"/>
      <w:marBottom w:val="0"/>
      <w:divBdr>
        <w:top w:val="none" w:sz="0" w:space="0" w:color="auto"/>
        <w:left w:val="none" w:sz="0" w:space="0" w:color="auto"/>
        <w:bottom w:val="none" w:sz="0" w:space="0" w:color="auto"/>
        <w:right w:val="none" w:sz="0" w:space="0" w:color="auto"/>
      </w:divBdr>
    </w:div>
    <w:div w:id="1263146309">
      <w:bodyDiv w:val="1"/>
      <w:marLeft w:val="0"/>
      <w:marRight w:val="0"/>
      <w:marTop w:val="0"/>
      <w:marBottom w:val="0"/>
      <w:divBdr>
        <w:top w:val="none" w:sz="0" w:space="0" w:color="auto"/>
        <w:left w:val="none" w:sz="0" w:space="0" w:color="auto"/>
        <w:bottom w:val="none" w:sz="0" w:space="0" w:color="auto"/>
        <w:right w:val="none" w:sz="0" w:space="0" w:color="auto"/>
      </w:divBdr>
      <w:divsChild>
        <w:div w:id="1328902861">
          <w:marLeft w:val="0"/>
          <w:marRight w:val="0"/>
          <w:marTop w:val="0"/>
          <w:marBottom w:val="0"/>
          <w:divBdr>
            <w:top w:val="none" w:sz="0" w:space="0" w:color="auto"/>
            <w:left w:val="none" w:sz="0" w:space="0" w:color="auto"/>
            <w:bottom w:val="none" w:sz="0" w:space="0" w:color="auto"/>
            <w:right w:val="none" w:sz="0" w:space="0" w:color="auto"/>
          </w:divBdr>
          <w:divsChild>
            <w:div w:id="1602831066">
              <w:marLeft w:val="0"/>
              <w:marRight w:val="0"/>
              <w:marTop w:val="0"/>
              <w:marBottom w:val="0"/>
              <w:divBdr>
                <w:top w:val="none" w:sz="0" w:space="0" w:color="auto"/>
                <w:left w:val="none" w:sz="0" w:space="0" w:color="auto"/>
                <w:bottom w:val="none" w:sz="0" w:space="0" w:color="auto"/>
                <w:right w:val="none" w:sz="0" w:space="0" w:color="auto"/>
              </w:divBdr>
              <w:divsChild>
                <w:div w:id="43595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026719">
          <w:marLeft w:val="0"/>
          <w:marRight w:val="0"/>
          <w:marTop w:val="0"/>
          <w:marBottom w:val="0"/>
          <w:divBdr>
            <w:top w:val="none" w:sz="0" w:space="0" w:color="auto"/>
            <w:left w:val="none" w:sz="0" w:space="0" w:color="auto"/>
            <w:bottom w:val="none" w:sz="0" w:space="0" w:color="auto"/>
            <w:right w:val="none" w:sz="0" w:space="0" w:color="auto"/>
          </w:divBdr>
          <w:divsChild>
            <w:div w:id="784421098">
              <w:marLeft w:val="0"/>
              <w:marRight w:val="0"/>
              <w:marTop w:val="0"/>
              <w:marBottom w:val="0"/>
              <w:divBdr>
                <w:top w:val="none" w:sz="0" w:space="0" w:color="auto"/>
                <w:left w:val="none" w:sz="0" w:space="0" w:color="auto"/>
                <w:bottom w:val="none" w:sz="0" w:space="0" w:color="auto"/>
                <w:right w:val="none" w:sz="0" w:space="0" w:color="auto"/>
              </w:divBdr>
              <w:divsChild>
                <w:div w:id="14543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416121">
      <w:bodyDiv w:val="1"/>
      <w:marLeft w:val="0"/>
      <w:marRight w:val="0"/>
      <w:marTop w:val="0"/>
      <w:marBottom w:val="0"/>
      <w:divBdr>
        <w:top w:val="none" w:sz="0" w:space="0" w:color="auto"/>
        <w:left w:val="none" w:sz="0" w:space="0" w:color="auto"/>
        <w:bottom w:val="none" w:sz="0" w:space="0" w:color="auto"/>
        <w:right w:val="none" w:sz="0" w:space="0" w:color="auto"/>
      </w:divBdr>
    </w:div>
    <w:div w:id="1266696351">
      <w:bodyDiv w:val="1"/>
      <w:marLeft w:val="0"/>
      <w:marRight w:val="0"/>
      <w:marTop w:val="0"/>
      <w:marBottom w:val="0"/>
      <w:divBdr>
        <w:top w:val="none" w:sz="0" w:space="0" w:color="auto"/>
        <w:left w:val="none" w:sz="0" w:space="0" w:color="auto"/>
        <w:bottom w:val="none" w:sz="0" w:space="0" w:color="auto"/>
        <w:right w:val="none" w:sz="0" w:space="0" w:color="auto"/>
      </w:divBdr>
      <w:divsChild>
        <w:div w:id="1710647168">
          <w:marLeft w:val="0"/>
          <w:marRight w:val="0"/>
          <w:marTop w:val="0"/>
          <w:marBottom w:val="0"/>
          <w:divBdr>
            <w:top w:val="none" w:sz="0" w:space="0" w:color="auto"/>
            <w:left w:val="none" w:sz="0" w:space="0" w:color="auto"/>
            <w:bottom w:val="none" w:sz="0" w:space="0" w:color="auto"/>
            <w:right w:val="none" w:sz="0" w:space="0" w:color="auto"/>
          </w:divBdr>
        </w:div>
      </w:divsChild>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70771990">
      <w:bodyDiv w:val="1"/>
      <w:marLeft w:val="0"/>
      <w:marRight w:val="0"/>
      <w:marTop w:val="0"/>
      <w:marBottom w:val="0"/>
      <w:divBdr>
        <w:top w:val="none" w:sz="0" w:space="0" w:color="auto"/>
        <w:left w:val="none" w:sz="0" w:space="0" w:color="auto"/>
        <w:bottom w:val="none" w:sz="0" w:space="0" w:color="auto"/>
        <w:right w:val="none" w:sz="0" w:space="0" w:color="auto"/>
      </w:divBdr>
    </w:div>
    <w:div w:id="1278829714">
      <w:bodyDiv w:val="1"/>
      <w:marLeft w:val="0"/>
      <w:marRight w:val="0"/>
      <w:marTop w:val="0"/>
      <w:marBottom w:val="0"/>
      <w:divBdr>
        <w:top w:val="none" w:sz="0" w:space="0" w:color="auto"/>
        <w:left w:val="none" w:sz="0" w:space="0" w:color="auto"/>
        <w:bottom w:val="none" w:sz="0" w:space="0" w:color="auto"/>
        <w:right w:val="none" w:sz="0" w:space="0" w:color="auto"/>
      </w:divBdr>
    </w:div>
    <w:div w:id="1281103904">
      <w:bodyDiv w:val="1"/>
      <w:marLeft w:val="0"/>
      <w:marRight w:val="0"/>
      <w:marTop w:val="0"/>
      <w:marBottom w:val="0"/>
      <w:divBdr>
        <w:top w:val="none" w:sz="0" w:space="0" w:color="auto"/>
        <w:left w:val="none" w:sz="0" w:space="0" w:color="auto"/>
        <w:bottom w:val="none" w:sz="0" w:space="0" w:color="auto"/>
        <w:right w:val="none" w:sz="0" w:space="0" w:color="auto"/>
      </w:divBdr>
    </w:div>
    <w:div w:id="1295869991">
      <w:bodyDiv w:val="1"/>
      <w:marLeft w:val="0"/>
      <w:marRight w:val="0"/>
      <w:marTop w:val="0"/>
      <w:marBottom w:val="0"/>
      <w:divBdr>
        <w:top w:val="none" w:sz="0" w:space="0" w:color="auto"/>
        <w:left w:val="none" w:sz="0" w:space="0" w:color="auto"/>
        <w:bottom w:val="none" w:sz="0" w:space="0" w:color="auto"/>
        <w:right w:val="none" w:sz="0" w:space="0" w:color="auto"/>
      </w:divBdr>
    </w:div>
    <w:div w:id="1296788324">
      <w:bodyDiv w:val="1"/>
      <w:marLeft w:val="0"/>
      <w:marRight w:val="0"/>
      <w:marTop w:val="0"/>
      <w:marBottom w:val="0"/>
      <w:divBdr>
        <w:top w:val="none" w:sz="0" w:space="0" w:color="auto"/>
        <w:left w:val="none" w:sz="0" w:space="0" w:color="auto"/>
        <w:bottom w:val="none" w:sz="0" w:space="0" w:color="auto"/>
        <w:right w:val="none" w:sz="0" w:space="0" w:color="auto"/>
      </w:divBdr>
      <w:divsChild>
        <w:div w:id="5335681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305351424">
      <w:bodyDiv w:val="1"/>
      <w:marLeft w:val="0"/>
      <w:marRight w:val="0"/>
      <w:marTop w:val="0"/>
      <w:marBottom w:val="0"/>
      <w:divBdr>
        <w:top w:val="none" w:sz="0" w:space="0" w:color="auto"/>
        <w:left w:val="none" w:sz="0" w:space="0" w:color="auto"/>
        <w:bottom w:val="none" w:sz="0" w:space="0" w:color="auto"/>
        <w:right w:val="none" w:sz="0" w:space="0" w:color="auto"/>
      </w:divBdr>
    </w:div>
    <w:div w:id="1306274281">
      <w:bodyDiv w:val="1"/>
      <w:marLeft w:val="0"/>
      <w:marRight w:val="0"/>
      <w:marTop w:val="0"/>
      <w:marBottom w:val="0"/>
      <w:divBdr>
        <w:top w:val="none" w:sz="0" w:space="0" w:color="auto"/>
        <w:left w:val="none" w:sz="0" w:space="0" w:color="auto"/>
        <w:bottom w:val="none" w:sz="0" w:space="0" w:color="auto"/>
        <w:right w:val="none" w:sz="0" w:space="0" w:color="auto"/>
      </w:divBdr>
    </w:div>
    <w:div w:id="1310861505">
      <w:bodyDiv w:val="1"/>
      <w:marLeft w:val="0"/>
      <w:marRight w:val="0"/>
      <w:marTop w:val="0"/>
      <w:marBottom w:val="0"/>
      <w:divBdr>
        <w:top w:val="none" w:sz="0" w:space="0" w:color="auto"/>
        <w:left w:val="none" w:sz="0" w:space="0" w:color="auto"/>
        <w:bottom w:val="none" w:sz="0" w:space="0" w:color="auto"/>
        <w:right w:val="none" w:sz="0" w:space="0" w:color="auto"/>
      </w:divBdr>
    </w:div>
    <w:div w:id="1312253737">
      <w:bodyDiv w:val="1"/>
      <w:marLeft w:val="0"/>
      <w:marRight w:val="0"/>
      <w:marTop w:val="0"/>
      <w:marBottom w:val="0"/>
      <w:divBdr>
        <w:top w:val="none" w:sz="0" w:space="0" w:color="auto"/>
        <w:left w:val="none" w:sz="0" w:space="0" w:color="auto"/>
        <w:bottom w:val="none" w:sz="0" w:space="0" w:color="auto"/>
        <w:right w:val="none" w:sz="0" w:space="0" w:color="auto"/>
      </w:divBdr>
    </w:div>
    <w:div w:id="1313408274">
      <w:bodyDiv w:val="1"/>
      <w:marLeft w:val="0"/>
      <w:marRight w:val="0"/>
      <w:marTop w:val="0"/>
      <w:marBottom w:val="0"/>
      <w:divBdr>
        <w:top w:val="none" w:sz="0" w:space="0" w:color="auto"/>
        <w:left w:val="none" w:sz="0" w:space="0" w:color="auto"/>
        <w:bottom w:val="none" w:sz="0" w:space="0" w:color="auto"/>
        <w:right w:val="none" w:sz="0" w:space="0" w:color="auto"/>
      </w:divBdr>
    </w:div>
    <w:div w:id="1313947606">
      <w:bodyDiv w:val="1"/>
      <w:marLeft w:val="0"/>
      <w:marRight w:val="0"/>
      <w:marTop w:val="0"/>
      <w:marBottom w:val="0"/>
      <w:divBdr>
        <w:top w:val="none" w:sz="0" w:space="0" w:color="auto"/>
        <w:left w:val="none" w:sz="0" w:space="0" w:color="auto"/>
        <w:bottom w:val="none" w:sz="0" w:space="0" w:color="auto"/>
        <w:right w:val="none" w:sz="0" w:space="0" w:color="auto"/>
      </w:divBdr>
    </w:div>
    <w:div w:id="1314600722">
      <w:bodyDiv w:val="1"/>
      <w:marLeft w:val="0"/>
      <w:marRight w:val="0"/>
      <w:marTop w:val="0"/>
      <w:marBottom w:val="0"/>
      <w:divBdr>
        <w:top w:val="none" w:sz="0" w:space="0" w:color="auto"/>
        <w:left w:val="none" w:sz="0" w:space="0" w:color="auto"/>
        <w:bottom w:val="none" w:sz="0" w:space="0" w:color="auto"/>
        <w:right w:val="none" w:sz="0" w:space="0" w:color="auto"/>
      </w:divBdr>
    </w:div>
    <w:div w:id="1323973639">
      <w:bodyDiv w:val="1"/>
      <w:marLeft w:val="0"/>
      <w:marRight w:val="0"/>
      <w:marTop w:val="0"/>
      <w:marBottom w:val="0"/>
      <w:divBdr>
        <w:top w:val="none" w:sz="0" w:space="0" w:color="auto"/>
        <w:left w:val="none" w:sz="0" w:space="0" w:color="auto"/>
        <w:bottom w:val="none" w:sz="0" w:space="0" w:color="auto"/>
        <w:right w:val="none" w:sz="0" w:space="0" w:color="auto"/>
      </w:divBdr>
    </w:div>
    <w:div w:id="1329136051">
      <w:bodyDiv w:val="1"/>
      <w:marLeft w:val="0"/>
      <w:marRight w:val="0"/>
      <w:marTop w:val="0"/>
      <w:marBottom w:val="0"/>
      <w:divBdr>
        <w:top w:val="none" w:sz="0" w:space="0" w:color="auto"/>
        <w:left w:val="none" w:sz="0" w:space="0" w:color="auto"/>
        <w:bottom w:val="none" w:sz="0" w:space="0" w:color="auto"/>
        <w:right w:val="none" w:sz="0" w:space="0" w:color="auto"/>
      </w:divBdr>
    </w:div>
    <w:div w:id="1329211360">
      <w:bodyDiv w:val="1"/>
      <w:marLeft w:val="0"/>
      <w:marRight w:val="0"/>
      <w:marTop w:val="0"/>
      <w:marBottom w:val="0"/>
      <w:divBdr>
        <w:top w:val="none" w:sz="0" w:space="0" w:color="auto"/>
        <w:left w:val="none" w:sz="0" w:space="0" w:color="auto"/>
        <w:bottom w:val="none" w:sz="0" w:space="0" w:color="auto"/>
        <w:right w:val="none" w:sz="0" w:space="0" w:color="auto"/>
      </w:divBdr>
    </w:div>
    <w:div w:id="1329866676">
      <w:bodyDiv w:val="1"/>
      <w:marLeft w:val="0"/>
      <w:marRight w:val="0"/>
      <w:marTop w:val="0"/>
      <w:marBottom w:val="0"/>
      <w:divBdr>
        <w:top w:val="none" w:sz="0" w:space="0" w:color="auto"/>
        <w:left w:val="none" w:sz="0" w:space="0" w:color="auto"/>
        <w:bottom w:val="none" w:sz="0" w:space="0" w:color="auto"/>
        <w:right w:val="none" w:sz="0" w:space="0" w:color="auto"/>
      </w:divBdr>
      <w:divsChild>
        <w:div w:id="895162245">
          <w:marLeft w:val="0"/>
          <w:marRight w:val="0"/>
          <w:marTop w:val="0"/>
          <w:marBottom w:val="0"/>
          <w:divBdr>
            <w:top w:val="none" w:sz="0" w:space="0" w:color="auto"/>
            <w:left w:val="none" w:sz="0" w:space="0" w:color="auto"/>
            <w:bottom w:val="none" w:sz="0" w:space="0" w:color="auto"/>
            <w:right w:val="none" w:sz="0" w:space="0" w:color="auto"/>
          </w:divBdr>
        </w:div>
      </w:divsChild>
    </w:div>
    <w:div w:id="1331255611">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45089384">
      <w:bodyDiv w:val="1"/>
      <w:marLeft w:val="0"/>
      <w:marRight w:val="0"/>
      <w:marTop w:val="0"/>
      <w:marBottom w:val="0"/>
      <w:divBdr>
        <w:top w:val="none" w:sz="0" w:space="0" w:color="auto"/>
        <w:left w:val="none" w:sz="0" w:space="0" w:color="auto"/>
        <w:bottom w:val="none" w:sz="0" w:space="0" w:color="auto"/>
        <w:right w:val="none" w:sz="0" w:space="0" w:color="auto"/>
      </w:divBdr>
    </w:div>
    <w:div w:id="1358655572">
      <w:bodyDiv w:val="1"/>
      <w:marLeft w:val="0"/>
      <w:marRight w:val="0"/>
      <w:marTop w:val="0"/>
      <w:marBottom w:val="0"/>
      <w:divBdr>
        <w:top w:val="none" w:sz="0" w:space="0" w:color="auto"/>
        <w:left w:val="none" w:sz="0" w:space="0" w:color="auto"/>
        <w:bottom w:val="none" w:sz="0" w:space="0" w:color="auto"/>
        <w:right w:val="none" w:sz="0" w:space="0" w:color="auto"/>
      </w:divBdr>
    </w:div>
    <w:div w:id="1359047863">
      <w:bodyDiv w:val="1"/>
      <w:marLeft w:val="0"/>
      <w:marRight w:val="0"/>
      <w:marTop w:val="0"/>
      <w:marBottom w:val="0"/>
      <w:divBdr>
        <w:top w:val="none" w:sz="0" w:space="0" w:color="auto"/>
        <w:left w:val="none" w:sz="0" w:space="0" w:color="auto"/>
        <w:bottom w:val="none" w:sz="0" w:space="0" w:color="auto"/>
        <w:right w:val="none" w:sz="0" w:space="0" w:color="auto"/>
      </w:divBdr>
      <w:divsChild>
        <w:div w:id="237326917">
          <w:marLeft w:val="0"/>
          <w:marRight w:val="0"/>
          <w:marTop w:val="0"/>
          <w:marBottom w:val="0"/>
          <w:divBdr>
            <w:top w:val="none" w:sz="0" w:space="0" w:color="auto"/>
            <w:left w:val="none" w:sz="0" w:space="0" w:color="auto"/>
            <w:bottom w:val="none" w:sz="0" w:space="0" w:color="auto"/>
            <w:right w:val="none" w:sz="0" w:space="0" w:color="auto"/>
          </w:divBdr>
          <w:divsChild>
            <w:div w:id="632752499">
              <w:marLeft w:val="75"/>
              <w:marRight w:val="0"/>
              <w:marTop w:val="0"/>
              <w:marBottom w:val="0"/>
              <w:divBdr>
                <w:top w:val="none" w:sz="0" w:space="0" w:color="auto"/>
                <w:left w:val="none" w:sz="0" w:space="0" w:color="auto"/>
                <w:bottom w:val="none" w:sz="0" w:space="0" w:color="auto"/>
                <w:right w:val="none" w:sz="0" w:space="0" w:color="auto"/>
              </w:divBdr>
              <w:divsChild>
                <w:div w:id="525293058">
                  <w:marLeft w:val="0"/>
                  <w:marRight w:val="0"/>
                  <w:marTop w:val="150"/>
                  <w:marBottom w:val="150"/>
                  <w:divBdr>
                    <w:top w:val="none" w:sz="0" w:space="0" w:color="auto"/>
                    <w:left w:val="none" w:sz="0" w:space="0" w:color="auto"/>
                    <w:bottom w:val="none" w:sz="0" w:space="0" w:color="auto"/>
                    <w:right w:val="none" w:sz="0" w:space="0" w:color="auto"/>
                  </w:divBdr>
                </w:div>
                <w:div w:id="70956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33124">
          <w:marLeft w:val="0"/>
          <w:marRight w:val="0"/>
          <w:marTop w:val="0"/>
          <w:marBottom w:val="0"/>
          <w:divBdr>
            <w:top w:val="none" w:sz="0" w:space="0" w:color="auto"/>
            <w:left w:val="none" w:sz="0" w:space="0" w:color="auto"/>
            <w:bottom w:val="none" w:sz="0" w:space="0" w:color="auto"/>
            <w:right w:val="none" w:sz="0" w:space="0" w:color="auto"/>
          </w:divBdr>
          <w:divsChild>
            <w:div w:id="162086373">
              <w:marLeft w:val="0"/>
              <w:marRight w:val="0"/>
              <w:marTop w:val="0"/>
              <w:marBottom w:val="0"/>
              <w:divBdr>
                <w:top w:val="none" w:sz="0" w:space="0" w:color="auto"/>
                <w:left w:val="none" w:sz="0" w:space="0" w:color="auto"/>
                <w:bottom w:val="none" w:sz="0" w:space="0" w:color="auto"/>
                <w:right w:val="none" w:sz="0" w:space="0" w:color="auto"/>
              </w:divBdr>
              <w:divsChild>
                <w:div w:id="2040743294">
                  <w:marLeft w:val="0"/>
                  <w:marRight w:val="0"/>
                  <w:marTop w:val="0"/>
                  <w:marBottom w:val="0"/>
                  <w:divBdr>
                    <w:top w:val="none" w:sz="0" w:space="0" w:color="auto"/>
                    <w:left w:val="none" w:sz="0" w:space="0" w:color="auto"/>
                    <w:bottom w:val="none" w:sz="0" w:space="0" w:color="auto"/>
                    <w:right w:val="none" w:sz="0" w:space="0" w:color="auto"/>
                  </w:divBdr>
                  <w:divsChild>
                    <w:div w:id="1808353675">
                      <w:marLeft w:val="0"/>
                      <w:marRight w:val="0"/>
                      <w:marTop w:val="0"/>
                      <w:marBottom w:val="0"/>
                      <w:divBdr>
                        <w:top w:val="none" w:sz="0" w:space="0" w:color="auto"/>
                        <w:left w:val="none" w:sz="0" w:space="0" w:color="auto"/>
                        <w:bottom w:val="none" w:sz="0" w:space="0" w:color="auto"/>
                        <w:right w:val="none" w:sz="0" w:space="0" w:color="auto"/>
                      </w:divBdr>
                      <w:divsChild>
                        <w:div w:id="2079667213">
                          <w:marLeft w:val="0"/>
                          <w:marRight w:val="0"/>
                          <w:marTop w:val="0"/>
                          <w:marBottom w:val="0"/>
                          <w:divBdr>
                            <w:top w:val="none" w:sz="0" w:space="0" w:color="auto"/>
                            <w:left w:val="none" w:sz="0" w:space="0" w:color="auto"/>
                            <w:bottom w:val="none" w:sz="0" w:space="0" w:color="auto"/>
                            <w:right w:val="none" w:sz="0" w:space="0" w:color="auto"/>
                          </w:divBdr>
                          <w:divsChild>
                            <w:div w:id="1412897390">
                              <w:marLeft w:val="0"/>
                              <w:marRight w:val="0"/>
                              <w:marTop w:val="0"/>
                              <w:marBottom w:val="0"/>
                              <w:divBdr>
                                <w:top w:val="none" w:sz="0" w:space="0" w:color="auto"/>
                                <w:left w:val="none" w:sz="0" w:space="0" w:color="auto"/>
                                <w:bottom w:val="none" w:sz="0" w:space="0" w:color="auto"/>
                                <w:right w:val="none" w:sz="0" w:space="0" w:color="auto"/>
                              </w:divBdr>
                              <w:divsChild>
                                <w:div w:id="551229944">
                                  <w:marLeft w:val="-360"/>
                                  <w:marRight w:val="-360"/>
                                  <w:marTop w:val="0"/>
                                  <w:marBottom w:val="0"/>
                                  <w:divBdr>
                                    <w:top w:val="none" w:sz="0" w:space="0" w:color="auto"/>
                                    <w:left w:val="none" w:sz="0" w:space="0" w:color="auto"/>
                                    <w:bottom w:val="none" w:sz="0" w:space="0" w:color="auto"/>
                                    <w:right w:val="none" w:sz="0" w:space="0" w:color="auto"/>
                                  </w:divBdr>
                                  <w:divsChild>
                                    <w:div w:id="2021615193">
                                      <w:marLeft w:val="0"/>
                                      <w:marRight w:val="0"/>
                                      <w:marTop w:val="0"/>
                                      <w:marBottom w:val="0"/>
                                      <w:divBdr>
                                        <w:top w:val="none" w:sz="0" w:space="0" w:color="auto"/>
                                        <w:left w:val="none" w:sz="0" w:space="0" w:color="auto"/>
                                        <w:bottom w:val="none" w:sz="0" w:space="0" w:color="auto"/>
                                        <w:right w:val="none" w:sz="0" w:space="0" w:color="auto"/>
                                      </w:divBdr>
                                      <w:divsChild>
                                        <w:div w:id="981233531">
                                          <w:marLeft w:val="0"/>
                                          <w:marRight w:val="0"/>
                                          <w:marTop w:val="0"/>
                                          <w:marBottom w:val="0"/>
                                          <w:divBdr>
                                            <w:top w:val="none" w:sz="0" w:space="0" w:color="auto"/>
                                            <w:left w:val="none" w:sz="0" w:space="0" w:color="auto"/>
                                            <w:bottom w:val="none" w:sz="0" w:space="0" w:color="auto"/>
                                            <w:right w:val="none" w:sz="0" w:space="0" w:color="auto"/>
                                          </w:divBdr>
                                          <w:divsChild>
                                            <w:div w:id="152572893">
                                              <w:marLeft w:val="-360"/>
                                              <w:marRight w:val="-360"/>
                                              <w:marTop w:val="0"/>
                                              <w:marBottom w:val="0"/>
                                              <w:divBdr>
                                                <w:top w:val="none" w:sz="0" w:space="0" w:color="auto"/>
                                                <w:left w:val="none" w:sz="0" w:space="0" w:color="auto"/>
                                                <w:bottom w:val="none" w:sz="0" w:space="0" w:color="auto"/>
                                                <w:right w:val="none" w:sz="0" w:space="0" w:color="auto"/>
                                              </w:divBdr>
                                              <w:divsChild>
                                                <w:div w:id="839808542">
                                                  <w:marLeft w:val="0"/>
                                                  <w:marRight w:val="0"/>
                                                  <w:marTop w:val="0"/>
                                                  <w:marBottom w:val="0"/>
                                                  <w:divBdr>
                                                    <w:top w:val="none" w:sz="0" w:space="0" w:color="auto"/>
                                                    <w:left w:val="none" w:sz="0" w:space="0" w:color="auto"/>
                                                    <w:bottom w:val="none" w:sz="0" w:space="0" w:color="auto"/>
                                                    <w:right w:val="none" w:sz="0" w:space="0" w:color="auto"/>
                                                  </w:divBdr>
                                                  <w:divsChild>
                                                    <w:div w:id="15272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938931">
                                              <w:marLeft w:val="0"/>
                                              <w:marRight w:val="0"/>
                                              <w:marTop w:val="0"/>
                                              <w:marBottom w:val="420"/>
                                              <w:divBdr>
                                                <w:top w:val="none" w:sz="0" w:space="0" w:color="auto"/>
                                                <w:left w:val="none" w:sz="0" w:space="0" w:color="auto"/>
                                                <w:bottom w:val="none" w:sz="0" w:space="0" w:color="auto"/>
                                                <w:right w:val="none" w:sz="0" w:space="0" w:color="auto"/>
                                              </w:divBdr>
                                              <w:divsChild>
                                                <w:div w:id="1291325534">
                                                  <w:marLeft w:val="-300"/>
                                                  <w:marRight w:val="-300"/>
                                                  <w:marTop w:val="0"/>
                                                  <w:marBottom w:val="0"/>
                                                  <w:divBdr>
                                                    <w:top w:val="none" w:sz="0" w:space="0" w:color="auto"/>
                                                    <w:left w:val="none" w:sz="0" w:space="0" w:color="auto"/>
                                                    <w:bottom w:val="none" w:sz="0" w:space="0" w:color="auto"/>
                                                    <w:right w:val="none" w:sz="0" w:space="0" w:color="auto"/>
                                                  </w:divBdr>
                                                  <w:divsChild>
                                                    <w:div w:id="689643444">
                                                      <w:marLeft w:val="0"/>
                                                      <w:marRight w:val="0"/>
                                                      <w:marTop w:val="0"/>
                                                      <w:marBottom w:val="195"/>
                                                      <w:divBdr>
                                                        <w:top w:val="none" w:sz="0" w:space="0" w:color="auto"/>
                                                        <w:left w:val="none" w:sz="0" w:space="0" w:color="auto"/>
                                                        <w:bottom w:val="none" w:sz="0" w:space="0" w:color="auto"/>
                                                        <w:right w:val="none" w:sz="0" w:space="0" w:color="auto"/>
                                                      </w:divBdr>
                                                      <w:divsChild>
                                                        <w:div w:id="1851413738">
                                                          <w:marLeft w:val="0"/>
                                                          <w:marRight w:val="0"/>
                                                          <w:marTop w:val="0"/>
                                                          <w:marBottom w:val="0"/>
                                                          <w:divBdr>
                                                            <w:top w:val="none" w:sz="0" w:space="0" w:color="EAEAEA"/>
                                                            <w:left w:val="none" w:sz="0" w:space="0" w:color="EAEAEA"/>
                                                            <w:bottom w:val="none" w:sz="0" w:space="0" w:color="EAEAEA"/>
                                                            <w:right w:val="none" w:sz="0" w:space="0" w:color="EAEAEA"/>
                                                          </w:divBdr>
                                                          <w:divsChild>
                                                            <w:div w:id="207451761">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1462069961">
                                                      <w:marLeft w:val="0"/>
                                                      <w:marRight w:val="0"/>
                                                      <w:marTop w:val="0"/>
                                                      <w:marBottom w:val="0"/>
                                                      <w:divBdr>
                                                        <w:top w:val="none" w:sz="0" w:space="0" w:color="auto"/>
                                                        <w:left w:val="none" w:sz="0" w:space="0" w:color="auto"/>
                                                        <w:bottom w:val="none" w:sz="0" w:space="0" w:color="auto"/>
                                                        <w:right w:val="none" w:sz="0" w:space="0" w:color="auto"/>
                                                      </w:divBdr>
                                                      <w:divsChild>
                                                        <w:div w:id="827861474">
                                                          <w:marLeft w:val="0"/>
                                                          <w:marRight w:val="0"/>
                                                          <w:marTop w:val="0"/>
                                                          <w:marBottom w:val="0"/>
                                                          <w:divBdr>
                                                            <w:top w:val="none" w:sz="0" w:space="0" w:color="EAEAEA"/>
                                                            <w:left w:val="none" w:sz="0" w:space="0" w:color="EAEAEA"/>
                                                            <w:bottom w:val="none" w:sz="0" w:space="0" w:color="EAEAEA"/>
                                                            <w:right w:val="none" w:sz="0" w:space="0" w:color="EAEAEA"/>
                                                          </w:divBdr>
                                                          <w:divsChild>
                                                            <w:div w:id="1461651761">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2141805992">
                                                      <w:marLeft w:val="0"/>
                                                      <w:marRight w:val="0"/>
                                                      <w:marTop w:val="0"/>
                                                      <w:marBottom w:val="195"/>
                                                      <w:divBdr>
                                                        <w:top w:val="none" w:sz="0" w:space="0" w:color="auto"/>
                                                        <w:left w:val="none" w:sz="0" w:space="0" w:color="auto"/>
                                                        <w:bottom w:val="none" w:sz="0" w:space="0" w:color="auto"/>
                                                        <w:right w:val="none" w:sz="0" w:space="0" w:color="auto"/>
                                                      </w:divBdr>
                                                      <w:divsChild>
                                                        <w:div w:id="1282952638">
                                                          <w:marLeft w:val="0"/>
                                                          <w:marRight w:val="0"/>
                                                          <w:marTop w:val="0"/>
                                                          <w:marBottom w:val="0"/>
                                                          <w:divBdr>
                                                            <w:top w:val="none" w:sz="0" w:space="0" w:color="EAEAEA"/>
                                                            <w:left w:val="none" w:sz="0" w:space="0" w:color="EAEAEA"/>
                                                            <w:bottom w:val="none" w:sz="0" w:space="0" w:color="EAEAEA"/>
                                                            <w:right w:val="none" w:sz="0" w:space="0" w:color="EAEAEA"/>
                                                          </w:divBdr>
                                                          <w:divsChild>
                                                            <w:div w:id="140584614">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sChild>
                                                </w:div>
                                              </w:divsChild>
                                            </w:div>
                                          </w:divsChild>
                                        </w:div>
                                      </w:divsChild>
                                    </w:div>
                                    <w:div w:id="2039119641">
                                      <w:marLeft w:val="0"/>
                                      <w:marRight w:val="0"/>
                                      <w:marTop w:val="0"/>
                                      <w:marBottom w:val="0"/>
                                      <w:divBdr>
                                        <w:top w:val="none" w:sz="0" w:space="0" w:color="auto"/>
                                        <w:left w:val="none" w:sz="0" w:space="0" w:color="auto"/>
                                        <w:bottom w:val="none" w:sz="0" w:space="0" w:color="auto"/>
                                        <w:right w:val="none" w:sz="0" w:space="0" w:color="auto"/>
                                      </w:divBdr>
                                      <w:divsChild>
                                        <w:div w:id="803350023">
                                          <w:marLeft w:val="0"/>
                                          <w:marRight w:val="0"/>
                                          <w:marTop w:val="0"/>
                                          <w:marBottom w:val="0"/>
                                          <w:divBdr>
                                            <w:top w:val="none" w:sz="0" w:space="0" w:color="auto"/>
                                            <w:left w:val="none" w:sz="0" w:space="0" w:color="auto"/>
                                            <w:bottom w:val="none" w:sz="0" w:space="0" w:color="auto"/>
                                            <w:right w:val="none" w:sz="0" w:space="0" w:color="auto"/>
                                          </w:divBdr>
                                          <w:divsChild>
                                            <w:div w:id="175194785">
                                              <w:marLeft w:val="0"/>
                                              <w:marRight w:val="0"/>
                                              <w:marTop w:val="315"/>
                                              <w:marBottom w:val="0"/>
                                              <w:divBdr>
                                                <w:top w:val="none" w:sz="0" w:space="0" w:color="auto"/>
                                                <w:left w:val="none" w:sz="0" w:space="0" w:color="auto"/>
                                                <w:bottom w:val="none" w:sz="0" w:space="0" w:color="auto"/>
                                                <w:right w:val="none" w:sz="0" w:space="0" w:color="auto"/>
                                              </w:divBdr>
                                            </w:div>
                                            <w:div w:id="786385523">
                                              <w:marLeft w:val="-360"/>
                                              <w:marRight w:val="-360"/>
                                              <w:marTop w:val="0"/>
                                              <w:marBottom w:val="0"/>
                                              <w:divBdr>
                                                <w:top w:val="none" w:sz="0" w:space="0" w:color="auto"/>
                                                <w:left w:val="none" w:sz="0" w:space="0" w:color="auto"/>
                                                <w:bottom w:val="none" w:sz="0" w:space="0" w:color="auto"/>
                                                <w:right w:val="none" w:sz="0" w:space="0" w:color="auto"/>
                                              </w:divBdr>
                                              <w:divsChild>
                                                <w:div w:id="1683127286">
                                                  <w:marLeft w:val="0"/>
                                                  <w:marRight w:val="0"/>
                                                  <w:marTop w:val="0"/>
                                                  <w:marBottom w:val="0"/>
                                                  <w:divBdr>
                                                    <w:top w:val="none" w:sz="0" w:space="0" w:color="auto"/>
                                                    <w:left w:val="none" w:sz="0" w:space="0" w:color="auto"/>
                                                    <w:bottom w:val="none" w:sz="0" w:space="0" w:color="auto"/>
                                                    <w:right w:val="none" w:sz="0" w:space="0" w:color="auto"/>
                                                  </w:divBdr>
                                                  <w:divsChild>
                                                    <w:div w:id="1969630103">
                                                      <w:marLeft w:val="0"/>
                                                      <w:marRight w:val="0"/>
                                                      <w:marTop w:val="0"/>
                                                      <w:marBottom w:val="0"/>
                                                      <w:divBdr>
                                                        <w:top w:val="none" w:sz="0" w:space="0" w:color="auto"/>
                                                        <w:left w:val="none" w:sz="0" w:space="0" w:color="auto"/>
                                                        <w:bottom w:val="none" w:sz="0" w:space="0" w:color="auto"/>
                                                        <w:right w:val="none" w:sz="0" w:space="0" w:color="auto"/>
                                                      </w:divBdr>
                                                      <w:divsChild>
                                                        <w:div w:id="414908833">
                                                          <w:marLeft w:val="0"/>
                                                          <w:marRight w:val="0"/>
                                                          <w:marTop w:val="0"/>
                                                          <w:marBottom w:val="0"/>
                                                          <w:divBdr>
                                                            <w:top w:val="none" w:sz="0" w:space="0" w:color="auto"/>
                                                            <w:left w:val="none" w:sz="0" w:space="0" w:color="auto"/>
                                                            <w:bottom w:val="none" w:sz="0" w:space="0" w:color="auto"/>
                                                            <w:right w:val="none" w:sz="0" w:space="0" w:color="auto"/>
                                                          </w:divBdr>
                                                          <w:divsChild>
                                                            <w:div w:id="1911428248">
                                                              <w:marLeft w:val="0"/>
                                                              <w:marRight w:val="0"/>
                                                              <w:marTop w:val="0"/>
                                                              <w:marBottom w:val="705"/>
                                                              <w:divBdr>
                                                                <w:top w:val="none" w:sz="0" w:space="0" w:color="auto"/>
                                                                <w:left w:val="none" w:sz="0" w:space="0" w:color="auto"/>
                                                                <w:bottom w:val="none" w:sz="0" w:space="0" w:color="auto"/>
                                                                <w:right w:val="none" w:sz="0" w:space="0" w:color="auto"/>
                                                              </w:divBdr>
                                                              <w:divsChild>
                                                                <w:div w:id="719867262">
                                                                  <w:marLeft w:val="0"/>
                                                                  <w:marRight w:val="0"/>
                                                                  <w:marTop w:val="0"/>
                                                                  <w:marBottom w:val="0"/>
                                                                  <w:divBdr>
                                                                    <w:top w:val="none" w:sz="0" w:space="0" w:color="auto"/>
                                                                    <w:left w:val="none" w:sz="0" w:space="0" w:color="auto"/>
                                                                    <w:bottom w:val="none" w:sz="0" w:space="0" w:color="auto"/>
                                                                    <w:right w:val="none" w:sz="0" w:space="0" w:color="auto"/>
                                                                  </w:divBdr>
                                                                </w:div>
                                                                <w:div w:id="1118328574">
                                                                  <w:marLeft w:val="0"/>
                                                                  <w:marRight w:val="0"/>
                                                                  <w:marTop w:val="0"/>
                                                                  <w:marBottom w:val="0"/>
                                                                  <w:divBdr>
                                                                    <w:top w:val="none" w:sz="0" w:space="0" w:color="auto"/>
                                                                    <w:left w:val="none" w:sz="0" w:space="0" w:color="auto"/>
                                                                    <w:bottom w:val="none" w:sz="0" w:space="0" w:color="auto"/>
                                                                    <w:right w:val="none" w:sz="0" w:space="0" w:color="auto"/>
                                                                  </w:divBdr>
                                                                  <w:divsChild>
                                                                    <w:div w:id="1144615385">
                                                                      <w:marLeft w:val="0"/>
                                                                      <w:marRight w:val="0"/>
                                                                      <w:marTop w:val="0"/>
                                                                      <w:marBottom w:val="0"/>
                                                                      <w:divBdr>
                                                                        <w:top w:val="none" w:sz="0" w:space="0" w:color="auto"/>
                                                                        <w:left w:val="none" w:sz="0" w:space="0" w:color="auto"/>
                                                                        <w:bottom w:val="none" w:sz="0" w:space="0" w:color="auto"/>
                                                                        <w:right w:val="none" w:sz="0" w:space="0" w:color="auto"/>
                                                                      </w:divBdr>
                                                                      <w:divsChild>
                                                                        <w:div w:id="18385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46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939190">
                                      <w:marLeft w:val="0"/>
                                      <w:marRight w:val="0"/>
                                      <w:marTop w:val="0"/>
                                      <w:marBottom w:val="0"/>
                                      <w:divBdr>
                                        <w:top w:val="none" w:sz="0" w:space="0" w:color="auto"/>
                                        <w:left w:val="none" w:sz="0" w:space="0" w:color="auto"/>
                                        <w:bottom w:val="none" w:sz="0" w:space="0" w:color="auto"/>
                                        <w:right w:val="none" w:sz="0" w:space="0" w:color="auto"/>
                                      </w:divBdr>
                                      <w:divsChild>
                                        <w:div w:id="2107578446">
                                          <w:marLeft w:val="0"/>
                                          <w:marRight w:val="0"/>
                                          <w:marTop w:val="0"/>
                                          <w:marBottom w:val="0"/>
                                          <w:divBdr>
                                            <w:top w:val="none" w:sz="0" w:space="0" w:color="auto"/>
                                            <w:left w:val="none" w:sz="0" w:space="0" w:color="auto"/>
                                            <w:bottom w:val="none" w:sz="0" w:space="0" w:color="auto"/>
                                            <w:right w:val="none" w:sz="0" w:space="0" w:color="auto"/>
                                          </w:divBdr>
                                          <w:divsChild>
                                            <w:div w:id="752122655">
                                              <w:marLeft w:val="0"/>
                                              <w:marRight w:val="0"/>
                                              <w:marTop w:val="0"/>
                                              <w:marBottom w:val="420"/>
                                              <w:divBdr>
                                                <w:top w:val="none" w:sz="0" w:space="0" w:color="auto"/>
                                                <w:left w:val="none" w:sz="0" w:space="0" w:color="auto"/>
                                                <w:bottom w:val="none" w:sz="0" w:space="0" w:color="auto"/>
                                                <w:right w:val="none" w:sz="0" w:space="0" w:color="auto"/>
                                              </w:divBdr>
                                              <w:divsChild>
                                                <w:div w:id="1384327542">
                                                  <w:marLeft w:val="-300"/>
                                                  <w:marRight w:val="-300"/>
                                                  <w:marTop w:val="0"/>
                                                  <w:marBottom w:val="0"/>
                                                  <w:divBdr>
                                                    <w:top w:val="none" w:sz="0" w:space="0" w:color="auto"/>
                                                    <w:left w:val="none" w:sz="0" w:space="0" w:color="auto"/>
                                                    <w:bottom w:val="none" w:sz="0" w:space="0" w:color="auto"/>
                                                    <w:right w:val="none" w:sz="0" w:space="0" w:color="auto"/>
                                                  </w:divBdr>
                                                  <w:divsChild>
                                                    <w:div w:id="325792835">
                                                      <w:marLeft w:val="0"/>
                                                      <w:marRight w:val="0"/>
                                                      <w:marTop w:val="0"/>
                                                      <w:marBottom w:val="195"/>
                                                      <w:divBdr>
                                                        <w:top w:val="none" w:sz="0" w:space="0" w:color="auto"/>
                                                        <w:left w:val="none" w:sz="0" w:space="0" w:color="auto"/>
                                                        <w:bottom w:val="none" w:sz="0" w:space="0" w:color="auto"/>
                                                        <w:right w:val="none" w:sz="0" w:space="0" w:color="auto"/>
                                                      </w:divBdr>
                                                      <w:divsChild>
                                                        <w:div w:id="718476380">
                                                          <w:marLeft w:val="0"/>
                                                          <w:marRight w:val="0"/>
                                                          <w:marTop w:val="0"/>
                                                          <w:marBottom w:val="0"/>
                                                          <w:divBdr>
                                                            <w:top w:val="none" w:sz="0" w:space="0" w:color="EAEAEA"/>
                                                            <w:left w:val="none" w:sz="0" w:space="0" w:color="EAEAEA"/>
                                                            <w:bottom w:val="none" w:sz="0" w:space="0" w:color="EAEAEA"/>
                                                            <w:right w:val="none" w:sz="0" w:space="0" w:color="EAEAEA"/>
                                                          </w:divBdr>
                                                          <w:divsChild>
                                                            <w:div w:id="1700164597">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474109428">
                                                      <w:marLeft w:val="0"/>
                                                      <w:marRight w:val="0"/>
                                                      <w:marTop w:val="0"/>
                                                      <w:marBottom w:val="195"/>
                                                      <w:divBdr>
                                                        <w:top w:val="none" w:sz="0" w:space="0" w:color="auto"/>
                                                        <w:left w:val="none" w:sz="0" w:space="0" w:color="auto"/>
                                                        <w:bottom w:val="none" w:sz="0" w:space="0" w:color="auto"/>
                                                        <w:right w:val="none" w:sz="0" w:space="0" w:color="auto"/>
                                                      </w:divBdr>
                                                      <w:divsChild>
                                                        <w:div w:id="1433281973">
                                                          <w:marLeft w:val="0"/>
                                                          <w:marRight w:val="0"/>
                                                          <w:marTop w:val="0"/>
                                                          <w:marBottom w:val="0"/>
                                                          <w:divBdr>
                                                            <w:top w:val="none" w:sz="0" w:space="0" w:color="EAEAEA"/>
                                                            <w:left w:val="none" w:sz="0" w:space="0" w:color="EAEAEA"/>
                                                            <w:bottom w:val="none" w:sz="0" w:space="0" w:color="EAEAEA"/>
                                                            <w:right w:val="none" w:sz="0" w:space="0" w:color="EAEAEA"/>
                                                          </w:divBdr>
                                                          <w:divsChild>
                                                            <w:div w:id="1978560005">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897201955">
                                                      <w:marLeft w:val="0"/>
                                                      <w:marRight w:val="0"/>
                                                      <w:marTop w:val="0"/>
                                                      <w:marBottom w:val="0"/>
                                                      <w:divBdr>
                                                        <w:top w:val="none" w:sz="0" w:space="0" w:color="auto"/>
                                                        <w:left w:val="none" w:sz="0" w:space="0" w:color="auto"/>
                                                        <w:bottom w:val="none" w:sz="0" w:space="0" w:color="auto"/>
                                                        <w:right w:val="none" w:sz="0" w:space="0" w:color="auto"/>
                                                      </w:divBdr>
                                                      <w:divsChild>
                                                        <w:div w:id="2014724469">
                                                          <w:marLeft w:val="0"/>
                                                          <w:marRight w:val="0"/>
                                                          <w:marTop w:val="0"/>
                                                          <w:marBottom w:val="0"/>
                                                          <w:divBdr>
                                                            <w:top w:val="none" w:sz="0" w:space="0" w:color="EAEAEA"/>
                                                            <w:left w:val="none" w:sz="0" w:space="0" w:color="EAEAEA"/>
                                                            <w:bottom w:val="none" w:sz="0" w:space="0" w:color="EAEAEA"/>
                                                            <w:right w:val="none" w:sz="0" w:space="0" w:color="EAEAEA"/>
                                                          </w:divBdr>
                                                          <w:divsChild>
                                                            <w:div w:id="385373169">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sChild>
                                                </w:div>
                                              </w:divsChild>
                                            </w:div>
                                            <w:div w:id="1492598891">
                                              <w:marLeft w:val="-360"/>
                                              <w:marRight w:val="-360"/>
                                              <w:marTop w:val="0"/>
                                              <w:marBottom w:val="0"/>
                                              <w:divBdr>
                                                <w:top w:val="none" w:sz="0" w:space="0" w:color="auto"/>
                                                <w:left w:val="none" w:sz="0" w:space="0" w:color="auto"/>
                                                <w:bottom w:val="none" w:sz="0" w:space="0" w:color="auto"/>
                                                <w:right w:val="none" w:sz="0" w:space="0" w:color="auto"/>
                                              </w:divBdr>
                                              <w:divsChild>
                                                <w:div w:id="1972514818">
                                                  <w:marLeft w:val="0"/>
                                                  <w:marRight w:val="0"/>
                                                  <w:marTop w:val="0"/>
                                                  <w:marBottom w:val="0"/>
                                                  <w:divBdr>
                                                    <w:top w:val="none" w:sz="0" w:space="0" w:color="auto"/>
                                                    <w:left w:val="none" w:sz="0" w:space="0" w:color="auto"/>
                                                    <w:bottom w:val="none" w:sz="0" w:space="0" w:color="auto"/>
                                                    <w:right w:val="none" w:sz="0" w:space="0" w:color="auto"/>
                                                  </w:divBdr>
                                                  <w:divsChild>
                                                    <w:div w:id="32597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066004">
                              <w:marLeft w:val="0"/>
                              <w:marRight w:val="0"/>
                              <w:marTop w:val="0"/>
                              <w:marBottom w:val="0"/>
                              <w:divBdr>
                                <w:top w:val="none" w:sz="0" w:space="0" w:color="auto"/>
                                <w:left w:val="none" w:sz="0" w:space="0" w:color="auto"/>
                                <w:bottom w:val="none" w:sz="0" w:space="0" w:color="auto"/>
                                <w:right w:val="none" w:sz="0" w:space="0" w:color="auto"/>
                              </w:divBdr>
                              <w:divsChild>
                                <w:div w:id="23141911">
                                  <w:marLeft w:val="-360"/>
                                  <w:marRight w:val="-360"/>
                                  <w:marTop w:val="0"/>
                                  <w:marBottom w:val="0"/>
                                  <w:divBdr>
                                    <w:top w:val="none" w:sz="0" w:space="0" w:color="auto"/>
                                    <w:left w:val="none" w:sz="0" w:space="0" w:color="auto"/>
                                    <w:bottom w:val="none" w:sz="0" w:space="0" w:color="auto"/>
                                    <w:right w:val="none" w:sz="0" w:space="0" w:color="auto"/>
                                  </w:divBdr>
                                  <w:divsChild>
                                    <w:div w:id="75252967">
                                      <w:marLeft w:val="0"/>
                                      <w:marRight w:val="0"/>
                                      <w:marTop w:val="0"/>
                                      <w:marBottom w:val="0"/>
                                      <w:divBdr>
                                        <w:top w:val="none" w:sz="0" w:space="0" w:color="auto"/>
                                        <w:left w:val="none" w:sz="0" w:space="0" w:color="auto"/>
                                        <w:bottom w:val="none" w:sz="0" w:space="0" w:color="auto"/>
                                        <w:right w:val="none" w:sz="0" w:space="0" w:color="auto"/>
                                      </w:divBdr>
                                      <w:divsChild>
                                        <w:div w:id="839582323">
                                          <w:marLeft w:val="0"/>
                                          <w:marRight w:val="0"/>
                                          <w:marTop w:val="15"/>
                                          <w:marBottom w:val="0"/>
                                          <w:divBdr>
                                            <w:top w:val="none" w:sz="0" w:space="0" w:color="auto"/>
                                            <w:left w:val="none" w:sz="0" w:space="0" w:color="auto"/>
                                            <w:bottom w:val="none" w:sz="0" w:space="0" w:color="auto"/>
                                            <w:right w:val="none" w:sz="0" w:space="0" w:color="auto"/>
                                          </w:divBdr>
                                        </w:div>
                                      </w:divsChild>
                                    </w:div>
                                    <w:div w:id="536355810">
                                      <w:marLeft w:val="0"/>
                                      <w:marRight w:val="0"/>
                                      <w:marTop w:val="0"/>
                                      <w:marBottom w:val="0"/>
                                      <w:divBdr>
                                        <w:top w:val="none" w:sz="0" w:space="0" w:color="auto"/>
                                        <w:left w:val="none" w:sz="0" w:space="0" w:color="auto"/>
                                        <w:bottom w:val="none" w:sz="0" w:space="0" w:color="auto"/>
                                        <w:right w:val="none" w:sz="0" w:space="0" w:color="auto"/>
                                      </w:divBdr>
                                      <w:divsChild>
                                        <w:div w:id="845899127">
                                          <w:marLeft w:val="0"/>
                                          <w:marRight w:val="0"/>
                                          <w:marTop w:val="0"/>
                                          <w:marBottom w:val="0"/>
                                          <w:divBdr>
                                            <w:top w:val="none" w:sz="0" w:space="0" w:color="auto"/>
                                            <w:left w:val="none" w:sz="0" w:space="0" w:color="auto"/>
                                            <w:bottom w:val="none" w:sz="0" w:space="0" w:color="auto"/>
                                            <w:right w:val="none" w:sz="0" w:space="0" w:color="auto"/>
                                          </w:divBdr>
                                          <w:divsChild>
                                            <w:div w:id="2080709562">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2367856">
              <w:marLeft w:val="0"/>
              <w:marRight w:val="0"/>
              <w:marTop w:val="0"/>
              <w:marBottom w:val="0"/>
              <w:divBdr>
                <w:top w:val="none" w:sz="0" w:space="0" w:color="auto"/>
                <w:left w:val="none" w:sz="0" w:space="0" w:color="auto"/>
                <w:bottom w:val="none" w:sz="0" w:space="0" w:color="auto"/>
                <w:right w:val="none" w:sz="0" w:space="0" w:color="auto"/>
              </w:divBdr>
              <w:divsChild>
                <w:div w:id="1953004259">
                  <w:marLeft w:val="0"/>
                  <w:marRight w:val="0"/>
                  <w:marTop w:val="0"/>
                  <w:marBottom w:val="0"/>
                  <w:divBdr>
                    <w:top w:val="none" w:sz="0" w:space="0" w:color="auto"/>
                    <w:left w:val="none" w:sz="0" w:space="0" w:color="auto"/>
                    <w:bottom w:val="none" w:sz="0" w:space="0" w:color="auto"/>
                    <w:right w:val="none" w:sz="0" w:space="0" w:color="auto"/>
                  </w:divBdr>
                  <w:divsChild>
                    <w:div w:id="1797873170">
                      <w:marLeft w:val="-360"/>
                      <w:marRight w:val="-360"/>
                      <w:marTop w:val="0"/>
                      <w:marBottom w:val="0"/>
                      <w:divBdr>
                        <w:top w:val="none" w:sz="0" w:space="0" w:color="auto"/>
                        <w:left w:val="none" w:sz="0" w:space="0" w:color="auto"/>
                        <w:bottom w:val="none" w:sz="0" w:space="0" w:color="auto"/>
                        <w:right w:val="none" w:sz="0" w:space="0" w:color="auto"/>
                      </w:divBdr>
                      <w:divsChild>
                        <w:div w:id="294218178">
                          <w:marLeft w:val="0"/>
                          <w:marRight w:val="0"/>
                          <w:marTop w:val="0"/>
                          <w:marBottom w:val="0"/>
                          <w:divBdr>
                            <w:top w:val="none" w:sz="0" w:space="0" w:color="auto"/>
                            <w:left w:val="none" w:sz="0" w:space="0" w:color="auto"/>
                            <w:bottom w:val="none" w:sz="0" w:space="0" w:color="auto"/>
                            <w:right w:val="none" w:sz="0" w:space="0" w:color="auto"/>
                          </w:divBdr>
                          <w:divsChild>
                            <w:div w:id="35200212">
                              <w:marLeft w:val="0"/>
                              <w:marRight w:val="0"/>
                              <w:marTop w:val="0"/>
                              <w:marBottom w:val="0"/>
                              <w:divBdr>
                                <w:top w:val="none" w:sz="0" w:space="0" w:color="auto"/>
                                <w:left w:val="none" w:sz="0" w:space="0" w:color="auto"/>
                                <w:bottom w:val="none" w:sz="0" w:space="0" w:color="auto"/>
                                <w:right w:val="none" w:sz="0" w:space="0" w:color="auto"/>
                              </w:divBdr>
                              <w:divsChild>
                                <w:div w:id="73287788">
                                  <w:marLeft w:val="0"/>
                                  <w:marRight w:val="0"/>
                                  <w:marTop w:val="0"/>
                                  <w:marBottom w:val="0"/>
                                  <w:divBdr>
                                    <w:top w:val="none" w:sz="0" w:space="0" w:color="auto"/>
                                    <w:left w:val="none" w:sz="0" w:space="0" w:color="auto"/>
                                    <w:bottom w:val="none" w:sz="0" w:space="0" w:color="auto"/>
                                    <w:right w:val="none" w:sz="0" w:space="0" w:color="auto"/>
                                  </w:divBdr>
                                  <w:divsChild>
                                    <w:div w:id="665475125">
                                      <w:marLeft w:val="0"/>
                                      <w:marRight w:val="0"/>
                                      <w:marTop w:val="0"/>
                                      <w:marBottom w:val="720"/>
                                      <w:divBdr>
                                        <w:top w:val="single" w:sz="6" w:space="16" w:color="EDEDED"/>
                                        <w:left w:val="single" w:sz="6" w:space="16" w:color="EDEDED"/>
                                        <w:bottom w:val="single" w:sz="6" w:space="16" w:color="EDEDED"/>
                                        <w:right w:val="single" w:sz="6" w:space="16" w:color="EDEDED"/>
                                      </w:divBdr>
                                      <w:divsChild>
                                        <w:div w:id="2036609909">
                                          <w:marLeft w:val="1755"/>
                                          <w:marRight w:val="0"/>
                                          <w:marTop w:val="0"/>
                                          <w:marBottom w:val="0"/>
                                          <w:divBdr>
                                            <w:top w:val="none" w:sz="0" w:space="0" w:color="auto"/>
                                            <w:left w:val="none" w:sz="0" w:space="0" w:color="auto"/>
                                            <w:bottom w:val="none" w:sz="0" w:space="0" w:color="auto"/>
                                            <w:right w:val="none" w:sz="0" w:space="0" w:color="auto"/>
                                          </w:divBdr>
                                          <w:divsChild>
                                            <w:div w:id="633877210">
                                              <w:marLeft w:val="0"/>
                                              <w:marRight w:val="0"/>
                                              <w:marTop w:val="0"/>
                                              <w:marBottom w:val="90"/>
                                              <w:divBdr>
                                                <w:top w:val="none" w:sz="0" w:space="0" w:color="auto"/>
                                                <w:left w:val="none" w:sz="0" w:space="0" w:color="auto"/>
                                                <w:bottom w:val="none" w:sz="0" w:space="0" w:color="auto"/>
                                                <w:right w:val="none" w:sz="0" w:space="0" w:color="auto"/>
                                              </w:divBdr>
                                            </w:div>
                                            <w:div w:id="881668324">
                                              <w:marLeft w:val="0"/>
                                              <w:marRight w:val="0"/>
                                              <w:marTop w:val="105"/>
                                              <w:marBottom w:val="120"/>
                                              <w:divBdr>
                                                <w:top w:val="none" w:sz="0" w:space="0" w:color="auto"/>
                                                <w:left w:val="none" w:sz="0" w:space="0" w:color="auto"/>
                                                <w:bottom w:val="none" w:sz="0" w:space="0" w:color="auto"/>
                                                <w:right w:val="none" w:sz="0" w:space="0" w:color="auto"/>
                                              </w:divBdr>
                                            </w:div>
                                          </w:divsChild>
                                        </w:div>
                                      </w:divsChild>
                                    </w:div>
                                    <w:div w:id="1220871136">
                                      <w:marLeft w:val="-360"/>
                                      <w:marRight w:val="-360"/>
                                      <w:marTop w:val="0"/>
                                      <w:marBottom w:val="0"/>
                                      <w:divBdr>
                                        <w:top w:val="none" w:sz="0" w:space="0" w:color="auto"/>
                                        <w:left w:val="none" w:sz="0" w:space="0" w:color="auto"/>
                                        <w:bottom w:val="none" w:sz="0" w:space="0" w:color="auto"/>
                                        <w:right w:val="none" w:sz="0" w:space="0" w:color="auto"/>
                                      </w:divBdr>
                                      <w:divsChild>
                                        <w:div w:id="491028133">
                                          <w:marLeft w:val="0"/>
                                          <w:marRight w:val="0"/>
                                          <w:marTop w:val="0"/>
                                          <w:marBottom w:val="0"/>
                                          <w:divBdr>
                                            <w:top w:val="none" w:sz="0" w:space="0" w:color="auto"/>
                                            <w:left w:val="none" w:sz="0" w:space="0" w:color="auto"/>
                                            <w:bottom w:val="none" w:sz="0" w:space="0" w:color="auto"/>
                                            <w:right w:val="none" w:sz="0" w:space="0" w:color="auto"/>
                                          </w:divBdr>
                                          <w:divsChild>
                                            <w:div w:id="582375467">
                                              <w:marLeft w:val="0"/>
                                              <w:marRight w:val="0"/>
                                              <w:marTop w:val="0"/>
                                              <w:marBottom w:val="0"/>
                                              <w:divBdr>
                                                <w:top w:val="none" w:sz="0" w:space="0" w:color="auto"/>
                                                <w:left w:val="none" w:sz="0" w:space="0" w:color="auto"/>
                                                <w:bottom w:val="none" w:sz="0" w:space="0" w:color="auto"/>
                                                <w:right w:val="none" w:sz="0" w:space="0" w:color="auto"/>
                                              </w:divBdr>
                                            </w:div>
                                          </w:divsChild>
                                        </w:div>
                                        <w:div w:id="685594125">
                                          <w:marLeft w:val="0"/>
                                          <w:marRight w:val="0"/>
                                          <w:marTop w:val="0"/>
                                          <w:marBottom w:val="0"/>
                                          <w:divBdr>
                                            <w:top w:val="none" w:sz="0" w:space="0" w:color="auto"/>
                                            <w:left w:val="none" w:sz="0" w:space="0" w:color="auto"/>
                                            <w:bottom w:val="none" w:sz="0" w:space="0" w:color="auto"/>
                                            <w:right w:val="none" w:sz="0" w:space="0" w:color="auto"/>
                                          </w:divBdr>
                                        </w:div>
                                      </w:divsChild>
                                    </w:div>
                                    <w:div w:id="1938826754">
                                      <w:marLeft w:val="0"/>
                                      <w:marRight w:val="0"/>
                                      <w:marTop w:val="315"/>
                                      <w:marBottom w:val="0"/>
                                      <w:divBdr>
                                        <w:top w:val="none" w:sz="0" w:space="0" w:color="auto"/>
                                        <w:left w:val="none" w:sz="0" w:space="0" w:color="auto"/>
                                        <w:bottom w:val="none" w:sz="0" w:space="0" w:color="auto"/>
                                        <w:right w:val="none" w:sz="0" w:space="0" w:color="auto"/>
                                      </w:divBdr>
                                      <w:divsChild>
                                        <w:div w:id="90511121">
                                          <w:marLeft w:val="0"/>
                                          <w:marRight w:val="0"/>
                                          <w:marTop w:val="0"/>
                                          <w:marBottom w:val="0"/>
                                          <w:divBdr>
                                            <w:top w:val="none" w:sz="0" w:space="0" w:color="auto"/>
                                            <w:left w:val="none" w:sz="0" w:space="0" w:color="auto"/>
                                            <w:bottom w:val="none" w:sz="0" w:space="0" w:color="auto"/>
                                            <w:right w:val="none" w:sz="0" w:space="0" w:color="auto"/>
                                          </w:divBdr>
                                        </w:div>
                                        <w:div w:id="179854348">
                                          <w:marLeft w:val="0"/>
                                          <w:marRight w:val="0"/>
                                          <w:marTop w:val="0"/>
                                          <w:marBottom w:val="0"/>
                                          <w:divBdr>
                                            <w:top w:val="none" w:sz="0" w:space="0" w:color="auto"/>
                                            <w:left w:val="none" w:sz="0" w:space="0" w:color="auto"/>
                                            <w:bottom w:val="none" w:sz="0" w:space="0" w:color="auto"/>
                                            <w:right w:val="none" w:sz="0" w:space="0" w:color="auto"/>
                                          </w:divBdr>
                                        </w:div>
                                        <w:div w:id="203182045">
                                          <w:marLeft w:val="0"/>
                                          <w:marRight w:val="0"/>
                                          <w:marTop w:val="0"/>
                                          <w:marBottom w:val="0"/>
                                          <w:divBdr>
                                            <w:top w:val="none" w:sz="0" w:space="0" w:color="auto"/>
                                            <w:left w:val="none" w:sz="0" w:space="0" w:color="auto"/>
                                            <w:bottom w:val="none" w:sz="0" w:space="0" w:color="auto"/>
                                            <w:right w:val="none" w:sz="0" w:space="0" w:color="auto"/>
                                          </w:divBdr>
                                          <w:divsChild>
                                            <w:div w:id="1820227661">
                                              <w:marLeft w:val="0"/>
                                              <w:marRight w:val="0"/>
                                              <w:marTop w:val="300"/>
                                              <w:marBottom w:val="0"/>
                                              <w:divBdr>
                                                <w:top w:val="none" w:sz="0" w:space="0" w:color="auto"/>
                                                <w:left w:val="none" w:sz="0" w:space="0" w:color="auto"/>
                                                <w:bottom w:val="none" w:sz="0" w:space="0" w:color="auto"/>
                                                <w:right w:val="none" w:sz="0" w:space="0" w:color="auto"/>
                                              </w:divBdr>
                                            </w:div>
                                          </w:divsChild>
                                        </w:div>
                                        <w:div w:id="238029410">
                                          <w:marLeft w:val="0"/>
                                          <w:marRight w:val="0"/>
                                          <w:marTop w:val="0"/>
                                          <w:marBottom w:val="0"/>
                                          <w:divBdr>
                                            <w:top w:val="none" w:sz="0" w:space="0" w:color="auto"/>
                                            <w:left w:val="none" w:sz="0" w:space="0" w:color="auto"/>
                                            <w:bottom w:val="none" w:sz="0" w:space="0" w:color="auto"/>
                                            <w:right w:val="none" w:sz="0" w:space="0" w:color="auto"/>
                                          </w:divBdr>
                                          <w:divsChild>
                                            <w:div w:id="2022271221">
                                              <w:marLeft w:val="0"/>
                                              <w:marRight w:val="0"/>
                                              <w:marTop w:val="300"/>
                                              <w:marBottom w:val="0"/>
                                              <w:divBdr>
                                                <w:top w:val="none" w:sz="0" w:space="0" w:color="auto"/>
                                                <w:left w:val="none" w:sz="0" w:space="0" w:color="auto"/>
                                                <w:bottom w:val="none" w:sz="0" w:space="0" w:color="auto"/>
                                                <w:right w:val="none" w:sz="0" w:space="0" w:color="auto"/>
                                              </w:divBdr>
                                            </w:div>
                                          </w:divsChild>
                                        </w:div>
                                        <w:div w:id="1004937346">
                                          <w:marLeft w:val="0"/>
                                          <w:marRight w:val="0"/>
                                          <w:marTop w:val="0"/>
                                          <w:marBottom w:val="0"/>
                                          <w:divBdr>
                                            <w:top w:val="none" w:sz="0" w:space="0" w:color="auto"/>
                                            <w:left w:val="none" w:sz="0" w:space="0" w:color="auto"/>
                                            <w:bottom w:val="none" w:sz="0" w:space="0" w:color="auto"/>
                                            <w:right w:val="none" w:sz="0" w:space="0" w:color="auto"/>
                                          </w:divBdr>
                                          <w:divsChild>
                                            <w:div w:id="1755399468">
                                              <w:marLeft w:val="0"/>
                                              <w:marRight w:val="0"/>
                                              <w:marTop w:val="0"/>
                                              <w:marBottom w:val="0"/>
                                              <w:divBdr>
                                                <w:top w:val="none" w:sz="0" w:space="0" w:color="auto"/>
                                                <w:left w:val="none" w:sz="0" w:space="0" w:color="auto"/>
                                                <w:bottom w:val="none" w:sz="0" w:space="0" w:color="auto"/>
                                                <w:right w:val="none" w:sz="0" w:space="0" w:color="auto"/>
                                              </w:divBdr>
                                            </w:div>
                                          </w:divsChild>
                                        </w:div>
                                        <w:div w:id="1638801841">
                                          <w:marLeft w:val="0"/>
                                          <w:marRight w:val="0"/>
                                          <w:marTop w:val="0"/>
                                          <w:marBottom w:val="0"/>
                                          <w:divBdr>
                                            <w:top w:val="none" w:sz="0" w:space="0" w:color="auto"/>
                                            <w:left w:val="none" w:sz="0" w:space="0" w:color="auto"/>
                                            <w:bottom w:val="none" w:sz="0" w:space="0" w:color="auto"/>
                                            <w:right w:val="none" w:sz="0" w:space="0" w:color="auto"/>
                                          </w:divBdr>
                                          <w:divsChild>
                                            <w:div w:id="122279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9818371">
      <w:bodyDiv w:val="1"/>
      <w:marLeft w:val="0"/>
      <w:marRight w:val="0"/>
      <w:marTop w:val="0"/>
      <w:marBottom w:val="0"/>
      <w:divBdr>
        <w:top w:val="none" w:sz="0" w:space="0" w:color="auto"/>
        <w:left w:val="none" w:sz="0" w:space="0" w:color="auto"/>
        <w:bottom w:val="none" w:sz="0" w:space="0" w:color="auto"/>
        <w:right w:val="none" w:sz="0" w:space="0" w:color="auto"/>
      </w:divBdr>
    </w:div>
    <w:div w:id="1360005379">
      <w:bodyDiv w:val="1"/>
      <w:marLeft w:val="0"/>
      <w:marRight w:val="0"/>
      <w:marTop w:val="0"/>
      <w:marBottom w:val="0"/>
      <w:divBdr>
        <w:top w:val="none" w:sz="0" w:space="0" w:color="auto"/>
        <w:left w:val="none" w:sz="0" w:space="0" w:color="auto"/>
        <w:bottom w:val="none" w:sz="0" w:space="0" w:color="auto"/>
        <w:right w:val="none" w:sz="0" w:space="0" w:color="auto"/>
      </w:divBdr>
      <w:divsChild>
        <w:div w:id="741412953">
          <w:marLeft w:val="0"/>
          <w:marRight w:val="0"/>
          <w:marTop w:val="0"/>
          <w:marBottom w:val="0"/>
          <w:divBdr>
            <w:top w:val="none" w:sz="0" w:space="0" w:color="auto"/>
            <w:left w:val="none" w:sz="0" w:space="0" w:color="auto"/>
            <w:bottom w:val="none" w:sz="0" w:space="0" w:color="auto"/>
            <w:right w:val="none" w:sz="0" w:space="0" w:color="auto"/>
          </w:divBdr>
        </w:div>
        <w:div w:id="984774306">
          <w:marLeft w:val="0"/>
          <w:marRight w:val="0"/>
          <w:marTop w:val="0"/>
          <w:marBottom w:val="0"/>
          <w:divBdr>
            <w:top w:val="none" w:sz="0" w:space="0" w:color="auto"/>
            <w:left w:val="none" w:sz="0" w:space="0" w:color="auto"/>
            <w:bottom w:val="none" w:sz="0" w:space="0" w:color="auto"/>
            <w:right w:val="none" w:sz="0" w:space="0" w:color="auto"/>
          </w:divBdr>
        </w:div>
        <w:div w:id="1130513580">
          <w:marLeft w:val="0"/>
          <w:marRight w:val="0"/>
          <w:marTop w:val="0"/>
          <w:marBottom w:val="0"/>
          <w:divBdr>
            <w:top w:val="none" w:sz="0" w:space="0" w:color="auto"/>
            <w:left w:val="none" w:sz="0" w:space="0" w:color="auto"/>
            <w:bottom w:val="none" w:sz="0" w:space="0" w:color="auto"/>
            <w:right w:val="none" w:sz="0" w:space="0" w:color="auto"/>
          </w:divBdr>
        </w:div>
        <w:div w:id="233247951">
          <w:marLeft w:val="0"/>
          <w:marRight w:val="0"/>
          <w:marTop w:val="0"/>
          <w:marBottom w:val="0"/>
          <w:divBdr>
            <w:top w:val="none" w:sz="0" w:space="0" w:color="auto"/>
            <w:left w:val="none" w:sz="0" w:space="0" w:color="auto"/>
            <w:bottom w:val="none" w:sz="0" w:space="0" w:color="auto"/>
            <w:right w:val="none" w:sz="0" w:space="0" w:color="auto"/>
          </w:divBdr>
        </w:div>
        <w:div w:id="1530797921">
          <w:marLeft w:val="0"/>
          <w:marRight w:val="0"/>
          <w:marTop w:val="0"/>
          <w:marBottom w:val="0"/>
          <w:divBdr>
            <w:top w:val="none" w:sz="0" w:space="0" w:color="auto"/>
            <w:left w:val="none" w:sz="0" w:space="0" w:color="auto"/>
            <w:bottom w:val="none" w:sz="0" w:space="0" w:color="auto"/>
            <w:right w:val="none" w:sz="0" w:space="0" w:color="auto"/>
          </w:divBdr>
        </w:div>
        <w:div w:id="1544445919">
          <w:marLeft w:val="0"/>
          <w:marRight w:val="0"/>
          <w:marTop w:val="0"/>
          <w:marBottom w:val="0"/>
          <w:divBdr>
            <w:top w:val="none" w:sz="0" w:space="0" w:color="auto"/>
            <w:left w:val="none" w:sz="0" w:space="0" w:color="auto"/>
            <w:bottom w:val="none" w:sz="0" w:space="0" w:color="auto"/>
            <w:right w:val="none" w:sz="0" w:space="0" w:color="auto"/>
          </w:divBdr>
        </w:div>
        <w:div w:id="366295205">
          <w:marLeft w:val="0"/>
          <w:marRight w:val="0"/>
          <w:marTop w:val="0"/>
          <w:marBottom w:val="0"/>
          <w:divBdr>
            <w:top w:val="none" w:sz="0" w:space="0" w:color="auto"/>
            <w:left w:val="none" w:sz="0" w:space="0" w:color="auto"/>
            <w:bottom w:val="none" w:sz="0" w:space="0" w:color="auto"/>
            <w:right w:val="none" w:sz="0" w:space="0" w:color="auto"/>
          </w:divBdr>
        </w:div>
        <w:div w:id="712773483">
          <w:marLeft w:val="0"/>
          <w:marRight w:val="0"/>
          <w:marTop w:val="0"/>
          <w:marBottom w:val="0"/>
          <w:divBdr>
            <w:top w:val="none" w:sz="0" w:space="0" w:color="auto"/>
            <w:left w:val="none" w:sz="0" w:space="0" w:color="auto"/>
            <w:bottom w:val="none" w:sz="0" w:space="0" w:color="auto"/>
            <w:right w:val="none" w:sz="0" w:space="0" w:color="auto"/>
          </w:divBdr>
        </w:div>
        <w:div w:id="67771829">
          <w:marLeft w:val="0"/>
          <w:marRight w:val="0"/>
          <w:marTop w:val="0"/>
          <w:marBottom w:val="0"/>
          <w:divBdr>
            <w:top w:val="none" w:sz="0" w:space="0" w:color="auto"/>
            <w:left w:val="none" w:sz="0" w:space="0" w:color="auto"/>
            <w:bottom w:val="none" w:sz="0" w:space="0" w:color="auto"/>
            <w:right w:val="none" w:sz="0" w:space="0" w:color="auto"/>
          </w:divBdr>
        </w:div>
        <w:div w:id="669911793">
          <w:marLeft w:val="0"/>
          <w:marRight w:val="0"/>
          <w:marTop w:val="0"/>
          <w:marBottom w:val="0"/>
          <w:divBdr>
            <w:top w:val="none" w:sz="0" w:space="0" w:color="auto"/>
            <w:left w:val="none" w:sz="0" w:space="0" w:color="auto"/>
            <w:bottom w:val="none" w:sz="0" w:space="0" w:color="auto"/>
            <w:right w:val="none" w:sz="0" w:space="0" w:color="auto"/>
          </w:divBdr>
        </w:div>
      </w:divsChild>
    </w:div>
    <w:div w:id="1362441336">
      <w:bodyDiv w:val="1"/>
      <w:marLeft w:val="0"/>
      <w:marRight w:val="0"/>
      <w:marTop w:val="0"/>
      <w:marBottom w:val="0"/>
      <w:divBdr>
        <w:top w:val="none" w:sz="0" w:space="0" w:color="auto"/>
        <w:left w:val="none" w:sz="0" w:space="0" w:color="auto"/>
        <w:bottom w:val="none" w:sz="0" w:space="0" w:color="auto"/>
        <w:right w:val="none" w:sz="0" w:space="0" w:color="auto"/>
      </w:divBdr>
    </w:div>
    <w:div w:id="1370102631">
      <w:bodyDiv w:val="1"/>
      <w:marLeft w:val="0"/>
      <w:marRight w:val="0"/>
      <w:marTop w:val="0"/>
      <w:marBottom w:val="0"/>
      <w:divBdr>
        <w:top w:val="none" w:sz="0" w:space="0" w:color="auto"/>
        <w:left w:val="none" w:sz="0" w:space="0" w:color="auto"/>
        <w:bottom w:val="none" w:sz="0" w:space="0" w:color="auto"/>
        <w:right w:val="none" w:sz="0" w:space="0" w:color="auto"/>
      </w:divBdr>
    </w:div>
    <w:div w:id="1371807359">
      <w:bodyDiv w:val="1"/>
      <w:marLeft w:val="0"/>
      <w:marRight w:val="0"/>
      <w:marTop w:val="0"/>
      <w:marBottom w:val="0"/>
      <w:divBdr>
        <w:top w:val="none" w:sz="0" w:space="0" w:color="auto"/>
        <w:left w:val="none" w:sz="0" w:space="0" w:color="auto"/>
        <w:bottom w:val="none" w:sz="0" w:space="0" w:color="auto"/>
        <w:right w:val="none" w:sz="0" w:space="0" w:color="auto"/>
      </w:divBdr>
    </w:div>
    <w:div w:id="1372999647">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383401351">
      <w:bodyDiv w:val="1"/>
      <w:marLeft w:val="0"/>
      <w:marRight w:val="0"/>
      <w:marTop w:val="0"/>
      <w:marBottom w:val="0"/>
      <w:divBdr>
        <w:top w:val="none" w:sz="0" w:space="0" w:color="auto"/>
        <w:left w:val="none" w:sz="0" w:space="0" w:color="auto"/>
        <w:bottom w:val="none" w:sz="0" w:space="0" w:color="auto"/>
        <w:right w:val="none" w:sz="0" w:space="0" w:color="auto"/>
      </w:divBdr>
    </w:div>
    <w:div w:id="1383866823">
      <w:bodyDiv w:val="1"/>
      <w:marLeft w:val="0"/>
      <w:marRight w:val="0"/>
      <w:marTop w:val="0"/>
      <w:marBottom w:val="0"/>
      <w:divBdr>
        <w:top w:val="none" w:sz="0" w:space="0" w:color="auto"/>
        <w:left w:val="none" w:sz="0" w:space="0" w:color="auto"/>
        <w:bottom w:val="none" w:sz="0" w:space="0" w:color="auto"/>
        <w:right w:val="none" w:sz="0" w:space="0" w:color="auto"/>
      </w:divBdr>
    </w:div>
    <w:div w:id="1391879947">
      <w:bodyDiv w:val="1"/>
      <w:marLeft w:val="0"/>
      <w:marRight w:val="0"/>
      <w:marTop w:val="0"/>
      <w:marBottom w:val="0"/>
      <w:divBdr>
        <w:top w:val="none" w:sz="0" w:space="0" w:color="auto"/>
        <w:left w:val="none" w:sz="0" w:space="0" w:color="auto"/>
        <w:bottom w:val="none" w:sz="0" w:space="0" w:color="auto"/>
        <w:right w:val="none" w:sz="0" w:space="0" w:color="auto"/>
      </w:divBdr>
    </w:div>
    <w:div w:id="1394620291">
      <w:bodyDiv w:val="1"/>
      <w:marLeft w:val="0"/>
      <w:marRight w:val="0"/>
      <w:marTop w:val="0"/>
      <w:marBottom w:val="0"/>
      <w:divBdr>
        <w:top w:val="none" w:sz="0" w:space="0" w:color="auto"/>
        <w:left w:val="none" w:sz="0" w:space="0" w:color="auto"/>
        <w:bottom w:val="none" w:sz="0" w:space="0" w:color="auto"/>
        <w:right w:val="none" w:sz="0" w:space="0" w:color="auto"/>
      </w:divBdr>
    </w:div>
    <w:div w:id="1401826755">
      <w:bodyDiv w:val="1"/>
      <w:marLeft w:val="0"/>
      <w:marRight w:val="0"/>
      <w:marTop w:val="0"/>
      <w:marBottom w:val="0"/>
      <w:divBdr>
        <w:top w:val="none" w:sz="0" w:space="0" w:color="auto"/>
        <w:left w:val="none" w:sz="0" w:space="0" w:color="auto"/>
        <w:bottom w:val="none" w:sz="0" w:space="0" w:color="auto"/>
        <w:right w:val="none" w:sz="0" w:space="0" w:color="auto"/>
      </w:divBdr>
    </w:div>
    <w:div w:id="1403603580">
      <w:bodyDiv w:val="1"/>
      <w:marLeft w:val="0"/>
      <w:marRight w:val="0"/>
      <w:marTop w:val="0"/>
      <w:marBottom w:val="0"/>
      <w:divBdr>
        <w:top w:val="none" w:sz="0" w:space="0" w:color="auto"/>
        <w:left w:val="none" w:sz="0" w:space="0" w:color="auto"/>
        <w:bottom w:val="none" w:sz="0" w:space="0" w:color="auto"/>
        <w:right w:val="none" w:sz="0" w:space="0" w:color="auto"/>
      </w:divBdr>
    </w:div>
    <w:div w:id="1416396684">
      <w:bodyDiv w:val="1"/>
      <w:marLeft w:val="0"/>
      <w:marRight w:val="0"/>
      <w:marTop w:val="0"/>
      <w:marBottom w:val="0"/>
      <w:divBdr>
        <w:top w:val="none" w:sz="0" w:space="0" w:color="auto"/>
        <w:left w:val="none" w:sz="0" w:space="0" w:color="auto"/>
        <w:bottom w:val="none" w:sz="0" w:space="0" w:color="auto"/>
        <w:right w:val="none" w:sz="0" w:space="0" w:color="auto"/>
      </w:divBdr>
    </w:div>
    <w:div w:id="1421639667">
      <w:bodyDiv w:val="1"/>
      <w:marLeft w:val="0"/>
      <w:marRight w:val="0"/>
      <w:marTop w:val="0"/>
      <w:marBottom w:val="0"/>
      <w:divBdr>
        <w:top w:val="none" w:sz="0" w:space="0" w:color="auto"/>
        <w:left w:val="none" w:sz="0" w:space="0" w:color="auto"/>
        <w:bottom w:val="none" w:sz="0" w:space="0" w:color="auto"/>
        <w:right w:val="none" w:sz="0" w:space="0" w:color="auto"/>
      </w:divBdr>
    </w:div>
    <w:div w:id="1425421597">
      <w:bodyDiv w:val="1"/>
      <w:marLeft w:val="0"/>
      <w:marRight w:val="0"/>
      <w:marTop w:val="0"/>
      <w:marBottom w:val="0"/>
      <w:divBdr>
        <w:top w:val="none" w:sz="0" w:space="0" w:color="auto"/>
        <w:left w:val="none" w:sz="0" w:space="0" w:color="auto"/>
        <w:bottom w:val="none" w:sz="0" w:space="0" w:color="auto"/>
        <w:right w:val="none" w:sz="0" w:space="0" w:color="auto"/>
      </w:divBdr>
    </w:div>
    <w:div w:id="1433435335">
      <w:bodyDiv w:val="1"/>
      <w:marLeft w:val="0"/>
      <w:marRight w:val="0"/>
      <w:marTop w:val="0"/>
      <w:marBottom w:val="0"/>
      <w:divBdr>
        <w:top w:val="none" w:sz="0" w:space="0" w:color="auto"/>
        <w:left w:val="none" w:sz="0" w:space="0" w:color="auto"/>
        <w:bottom w:val="none" w:sz="0" w:space="0" w:color="auto"/>
        <w:right w:val="none" w:sz="0" w:space="0" w:color="auto"/>
      </w:divBdr>
      <w:divsChild>
        <w:div w:id="1105079588">
          <w:marLeft w:val="0"/>
          <w:marRight w:val="0"/>
          <w:marTop w:val="0"/>
          <w:marBottom w:val="0"/>
          <w:divBdr>
            <w:top w:val="none" w:sz="0" w:space="0" w:color="auto"/>
            <w:left w:val="none" w:sz="0" w:space="0" w:color="auto"/>
            <w:bottom w:val="none" w:sz="0" w:space="0" w:color="auto"/>
            <w:right w:val="none" w:sz="0" w:space="0" w:color="auto"/>
          </w:divBdr>
        </w:div>
      </w:divsChild>
    </w:div>
    <w:div w:id="1438714494">
      <w:bodyDiv w:val="1"/>
      <w:marLeft w:val="0"/>
      <w:marRight w:val="0"/>
      <w:marTop w:val="0"/>
      <w:marBottom w:val="0"/>
      <w:divBdr>
        <w:top w:val="none" w:sz="0" w:space="0" w:color="auto"/>
        <w:left w:val="none" w:sz="0" w:space="0" w:color="auto"/>
        <w:bottom w:val="none" w:sz="0" w:space="0" w:color="auto"/>
        <w:right w:val="none" w:sz="0" w:space="0" w:color="auto"/>
      </w:divBdr>
    </w:div>
    <w:div w:id="1439133035">
      <w:bodyDiv w:val="1"/>
      <w:marLeft w:val="0"/>
      <w:marRight w:val="0"/>
      <w:marTop w:val="0"/>
      <w:marBottom w:val="0"/>
      <w:divBdr>
        <w:top w:val="none" w:sz="0" w:space="0" w:color="auto"/>
        <w:left w:val="none" w:sz="0" w:space="0" w:color="auto"/>
        <w:bottom w:val="none" w:sz="0" w:space="0" w:color="auto"/>
        <w:right w:val="none" w:sz="0" w:space="0" w:color="auto"/>
      </w:divBdr>
    </w:div>
    <w:div w:id="1443259691">
      <w:bodyDiv w:val="1"/>
      <w:marLeft w:val="0"/>
      <w:marRight w:val="0"/>
      <w:marTop w:val="0"/>
      <w:marBottom w:val="0"/>
      <w:divBdr>
        <w:top w:val="none" w:sz="0" w:space="0" w:color="auto"/>
        <w:left w:val="none" w:sz="0" w:space="0" w:color="auto"/>
        <w:bottom w:val="none" w:sz="0" w:space="0" w:color="auto"/>
        <w:right w:val="none" w:sz="0" w:space="0" w:color="auto"/>
      </w:divBdr>
    </w:div>
    <w:div w:id="1444422828">
      <w:bodyDiv w:val="1"/>
      <w:marLeft w:val="0"/>
      <w:marRight w:val="0"/>
      <w:marTop w:val="0"/>
      <w:marBottom w:val="0"/>
      <w:divBdr>
        <w:top w:val="none" w:sz="0" w:space="0" w:color="auto"/>
        <w:left w:val="none" w:sz="0" w:space="0" w:color="auto"/>
        <w:bottom w:val="none" w:sz="0" w:space="0" w:color="auto"/>
        <w:right w:val="none" w:sz="0" w:space="0" w:color="auto"/>
      </w:divBdr>
    </w:div>
    <w:div w:id="1447189511">
      <w:bodyDiv w:val="1"/>
      <w:marLeft w:val="0"/>
      <w:marRight w:val="0"/>
      <w:marTop w:val="0"/>
      <w:marBottom w:val="0"/>
      <w:divBdr>
        <w:top w:val="none" w:sz="0" w:space="0" w:color="auto"/>
        <w:left w:val="none" w:sz="0" w:space="0" w:color="auto"/>
        <w:bottom w:val="none" w:sz="0" w:space="0" w:color="auto"/>
        <w:right w:val="none" w:sz="0" w:space="0" w:color="auto"/>
      </w:divBdr>
    </w:div>
    <w:div w:id="1449425436">
      <w:bodyDiv w:val="1"/>
      <w:marLeft w:val="0"/>
      <w:marRight w:val="0"/>
      <w:marTop w:val="0"/>
      <w:marBottom w:val="0"/>
      <w:divBdr>
        <w:top w:val="none" w:sz="0" w:space="0" w:color="auto"/>
        <w:left w:val="none" w:sz="0" w:space="0" w:color="auto"/>
        <w:bottom w:val="none" w:sz="0" w:space="0" w:color="auto"/>
        <w:right w:val="none" w:sz="0" w:space="0" w:color="auto"/>
      </w:divBdr>
      <w:divsChild>
        <w:div w:id="559556858">
          <w:marLeft w:val="0"/>
          <w:marRight w:val="0"/>
          <w:marTop w:val="0"/>
          <w:marBottom w:val="0"/>
          <w:divBdr>
            <w:top w:val="none" w:sz="0" w:space="0" w:color="auto"/>
            <w:left w:val="none" w:sz="0" w:space="0" w:color="auto"/>
            <w:bottom w:val="none" w:sz="0" w:space="0" w:color="auto"/>
            <w:right w:val="none" w:sz="0" w:space="0" w:color="auto"/>
          </w:divBdr>
        </w:div>
        <w:div w:id="1112672898">
          <w:marLeft w:val="0"/>
          <w:marRight w:val="0"/>
          <w:marTop w:val="0"/>
          <w:marBottom w:val="0"/>
          <w:divBdr>
            <w:top w:val="none" w:sz="0" w:space="0" w:color="auto"/>
            <w:left w:val="none" w:sz="0" w:space="0" w:color="auto"/>
            <w:bottom w:val="none" w:sz="0" w:space="0" w:color="auto"/>
            <w:right w:val="none" w:sz="0" w:space="0" w:color="auto"/>
          </w:divBdr>
          <w:divsChild>
            <w:div w:id="120076474">
              <w:marLeft w:val="0"/>
              <w:marRight w:val="0"/>
              <w:marTop w:val="0"/>
              <w:marBottom w:val="240"/>
              <w:divBdr>
                <w:top w:val="none" w:sz="0" w:space="0" w:color="auto"/>
                <w:left w:val="none" w:sz="0" w:space="0" w:color="auto"/>
                <w:bottom w:val="none" w:sz="0" w:space="0" w:color="auto"/>
                <w:right w:val="none" w:sz="0" w:space="0" w:color="auto"/>
              </w:divBdr>
            </w:div>
          </w:divsChild>
        </w:div>
        <w:div w:id="1454639830">
          <w:marLeft w:val="0"/>
          <w:marRight w:val="0"/>
          <w:marTop w:val="0"/>
          <w:marBottom w:val="0"/>
          <w:divBdr>
            <w:top w:val="none" w:sz="0" w:space="0" w:color="auto"/>
            <w:left w:val="none" w:sz="0" w:space="0" w:color="auto"/>
            <w:bottom w:val="none" w:sz="0" w:space="0" w:color="auto"/>
            <w:right w:val="none" w:sz="0" w:space="0" w:color="auto"/>
          </w:divBdr>
          <w:divsChild>
            <w:div w:id="687832105">
              <w:marLeft w:val="0"/>
              <w:marRight w:val="0"/>
              <w:marTop w:val="0"/>
              <w:marBottom w:val="240"/>
              <w:divBdr>
                <w:top w:val="none" w:sz="0" w:space="0" w:color="auto"/>
                <w:left w:val="none" w:sz="0" w:space="0" w:color="auto"/>
                <w:bottom w:val="none" w:sz="0" w:space="0" w:color="auto"/>
                <w:right w:val="none" w:sz="0" w:space="0" w:color="auto"/>
              </w:divBdr>
            </w:div>
          </w:divsChild>
        </w:div>
        <w:div w:id="405372926">
          <w:marLeft w:val="0"/>
          <w:marRight w:val="0"/>
          <w:marTop w:val="0"/>
          <w:marBottom w:val="0"/>
          <w:divBdr>
            <w:top w:val="none" w:sz="0" w:space="0" w:color="auto"/>
            <w:left w:val="none" w:sz="0" w:space="0" w:color="auto"/>
            <w:bottom w:val="none" w:sz="0" w:space="0" w:color="auto"/>
            <w:right w:val="none" w:sz="0" w:space="0" w:color="auto"/>
          </w:divBdr>
          <w:divsChild>
            <w:div w:id="1038434933">
              <w:marLeft w:val="0"/>
              <w:marRight w:val="0"/>
              <w:marTop w:val="0"/>
              <w:marBottom w:val="240"/>
              <w:divBdr>
                <w:top w:val="none" w:sz="0" w:space="0" w:color="auto"/>
                <w:left w:val="none" w:sz="0" w:space="0" w:color="auto"/>
                <w:bottom w:val="none" w:sz="0" w:space="0" w:color="auto"/>
                <w:right w:val="none" w:sz="0" w:space="0" w:color="auto"/>
              </w:divBdr>
            </w:div>
          </w:divsChild>
        </w:div>
        <w:div w:id="933516408">
          <w:marLeft w:val="0"/>
          <w:marRight w:val="0"/>
          <w:marTop w:val="0"/>
          <w:marBottom w:val="0"/>
          <w:divBdr>
            <w:top w:val="none" w:sz="0" w:space="0" w:color="auto"/>
            <w:left w:val="none" w:sz="0" w:space="0" w:color="auto"/>
            <w:bottom w:val="none" w:sz="0" w:space="0" w:color="auto"/>
            <w:right w:val="none" w:sz="0" w:space="0" w:color="auto"/>
          </w:divBdr>
          <w:divsChild>
            <w:div w:id="145903047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451971753">
      <w:bodyDiv w:val="1"/>
      <w:marLeft w:val="0"/>
      <w:marRight w:val="0"/>
      <w:marTop w:val="0"/>
      <w:marBottom w:val="0"/>
      <w:divBdr>
        <w:top w:val="none" w:sz="0" w:space="0" w:color="auto"/>
        <w:left w:val="none" w:sz="0" w:space="0" w:color="auto"/>
        <w:bottom w:val="none" w:sz="0" w:space="0" w:color="auto"/>
        <w:right w:val="none" w:sz="0" w:space="0" w:color="auto"/>
      </w:divBdr>
    </w:div>
    <w:div w:id="1454514354">
      <w:bodyDiv w:val="1"/>
      <w:marLeft w:val="0"/>
      <w:marRight w:val="0"/>
      <w:marTop w:val="0"/>
      <w:marBottom w:val="0"/>
      <w:divBdr>
        <w:top w:val="none" w:sz="0" w:space="0" w:color="auto"/>
        <w:left w:val="none" w:sz="0" w:space="0" w:color="auto"/>
        <w:bottom w:val="none" w:sz="0" w:space="0" w:color="auto"/>
        <w:right w:val="none" w:sz="0" w:space="0" w:color="auto"/>
      </w:divBdr>
    </w:div>
    <w:div w:id="1460298963">
      <w:bodyDiv w:val="1"/>
      <w:marLeft w:val="0"/>
      <w:marRight w:val="0"/>
      <w:marTop w:val="0"/>
      <w:marBottom w:val="0"/>
      <w:divBdr>
        <w:top w:val="none" w:sz="0" w:space="0" w:color="auto"/>
        <w:left w:val="none" w:sz="0" w:space="0" w:color="auto"/>
        <w:bottom w:val="none" w:sz="0" w:space="0" w:color="auto"/>
        <w:right w:val="none" w:sz="0" w:space="0" w:color="auto"/>
      </w:divBdr>
    </w:div>
    <w:div w:id="1464887926">
      <w:bodyDiv w:val="1"/>
      <w:marLeft w:val="0"/>
      <w:marRight w:val="0"/>
      <w:marTop w:val="0"/>
      <w:marBottom w:val="0"/>
      <w:divBdr>
        <w:top w:val="none" w:sz="0" w:space="0" w:color="auto"/>
        <w:left w:val="none" w:sz="0" w:space="0" w:color="auto"/>
        <w:bottom w:val="none" w:sz="0" w:space="0" w:color="auto"/>
        <w:right w:val="none" w:sz="0" w:space="0" w:color="auto"/>
      </w:divBdr>
    </w:div>
    <w:div w:id="1465390640">
      <w:bodyDiv w:val="1"/>
      <w:marLeft w:val="0"/>
      <w:marRight w:val="0"/>
      <w:marTop w:val="0"/>
      <w:marBottom w:val="0"/>
      <w:divBdr>
        <w:top w:val="none" w:sz="0" w:space="0" w:color="auto"/>
        <w:left w:val="none" w:sz="0" w:space="0" w:color="auto"/>
        <w:bottom w:val="none" w:sz="0" w:space="0" w:color="auto"/>
        <w:right w:val="none" w:sz="0" w:space="0" w:color="auto"/>
      </w:divBdr>
    </w:div>
    <w:div w:id="1473254458">
      <w:bodyDiv w:val="1"/>
      <w:marLeft w:val="0"/>
      <w:marRight w:val="0"/>
      <w:marTop w:val="0"/>
      <w:marBottom w:val="0"/>
      <w:divBdr>
        <w:top w:val="none" w:sz="0" w:space="0" w:color="auto"/>
        <w:left w:val="none" w:sz="0" w:space="0" w:color="auto"/>
        <w:bottom w:val="none" w:sz="0" w:space="0" w:color="auto"/>
        <w:right w:val="none" w:sz="0" w:space="0" w:color="auto"/>
      </w:divBdr>
    </w:div>
    <w:div w:id="1477604440">
      <w:bodyDiv w:val="1"/>
      <w:marLeft w:val="0"/>
      <w:marRight w:val="0"/>
      <w:marTop w:val="0"/>
      <w:marBottom w:val="0"/>
      <w:divBdr>
        <w:top w:val="none" w:sz="0" w:space="0" w:color="auto"/>
        <w:left w:val="none" w:sz="0" w:space="0" w:color="auto"/>
        <w:bottom w:val="none" w:sz="0" w:space="0" w:color="auto"/>
        <w:right w:val="none" w:sz="0" w:space="0" w:color="auto"/>
      </w:divBdr>
    </w:div>
    <w:div w:id="1483540978">
      <w:bodyDiv w:val="1"/>
      <w:marLeft w:val="0"/>
      <w:marRight w:val="0"/>
      <w:marTop w:val="0"/>
      <w:marBottom w:val="0"/>
      <w:divBdr>
        <w:top w:val="none" w:sz="0" w:space="0" w:color="auto"/>
        <w:left w:val="none" w:sz="0" w:space="0" w:color="auto"/>
        <w:bottom w:val="none" w:sz="0" w:space="0" w:color="auto"/>
        <w:right w:val="none" w:sz="0" w:space="0" w:color="auto"/>
      </w:divBdr>
    </w:div>
    <w:div w:id="1488858635">
      <w:bodyDiv w:val="1"/>
      <w:marLeft w:val="0"/>
      <w:marRight w:val="0"/>
      <w:marTop w:val="0"/>
      <w:marBottom w:val="0"/>
      <w:divBdr>
        <w:top w:val="none" w:sz="0" w:space="0" w:color="auto"/>
        <w:left w:val="none" w:sz="0" w:space="0" w:color="auto"/>
        <w:bottom w:val="none" w:sz="0" w:space="0" w:color="auto"/>
        <w:right w:val="none" w:sz="0" w:space="0" w:color="auto"/>
      </w:divBdr>
    </w:div>
    <w:div w:id="1495802612">
      <w:bodyDiv w:val="1"/>
      <w:marLeft w:val="0"/>
      <w:marRight w:val="0"/>
      <w:marTop w:val="0"/>
      <w:marBottom w:val="0"/>
      <w:divBdr>
        <w:top w:val="none" w:sz="0" w:space="0" w:color="auto"/>
        <w:left w:val="none" w:sz="0" w:space="0" w:color="auto"/>
        <w:bottom w:val="none" w:sz="0" w:space="0" w:color="auto"/>
        <w:right w:val="none" w:sz="0" w:space="0" w:color="auto"/>
      </w:divBdr>
    </w:div>
    <w:div w:id="1500996228">
      <w:bodyDiv w:val="1"/>
      <w:marLeft w:val="0"/>
      <w:marRight w:val="0"/>
      <w:marTop w:val="0"/>
      <w:marBottom w:val="0"/>
      <w:divBdr>
        <w:top w:val="none" w:sz="0" w:space="0" w:color="auto"/>
        <w:left w:val="none" w:sz="0" w:space="0" w:color="auto"/>
        <w:bottom w:val="none" w:sz="0" w:space="0" w:color="auto"/>
        <w:right w:val="none" w:sz="0" w:space="0" w:color="auto"/>
      </w:divBdr>
    </w:div>
    <w:div w:id="1502969456">
      <w:bodyDiv w:val="1"/>
      <w:marLeft w:val="0"/>
      <w:marRight w:val="0"/>
      <w:marTop w:val="0"/>
      <w:marBottom w:val="0"/>
      <w:divBdr>
        <w:top w:val="none" w:sz="0" w:space="0" w:color="auto"/>
        <w:left w:val="none" w:sz="0" w:space="0" w:color="auto"/>
        <w:bottom w:val="none" w:sz="0" w:space="0" w:color="auto"/>
        <w:right w:val="none" w:sz="0" w:space="0" w:color="auto"/>
      </w:divBdr>
    </w:div>
    <w:div w:id="1508668499">
      <w:bodyDiv w:val="1"/>
      <w:marLeft w:val="0"/>
      <w:marRight w:val="0"/>
      <w:marTop w:val="0"/>
      <w:marBottom w:val="0"/>
      <w:divBdr>
        <w:top w:val="none" w:sz="0" w:space="0" w:color="auto"/>
        <w:left w:val="none" w:sz="0" w:space="0" w:color="auto"/>
        <w:bottom w:val="none" w:sz="0" w:space="0" w:color="auto"/>
        <w:right w:val="none" w:sz="0" w:space="0" w:color="auto"/>
      </w:divBdr>
    </w:div>
    <w:div w:id="1510102552">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0584934">
      <w:bodyDiv w:val="1"/>
      <w:marLeft w:val="0"/>
      <w:marRight w:val="0"/>
      <w:marTop w:val="0"/>
      <w:marBottom w:val="0"/>
      <w:divBdr>
        <w:top w:val="none" w:sz="0" w:space="0" w:color="auto"/>
        <w:left w:val="none" w:sz="0" w:space="0" w:color="auto"/>
        <w:bottom w:val="none" w:sz="0" w:space="0" w:color="auto"/>
        <w:right w:val="none" w:sz="0" w:space="0" w:color="auto"/>
      </w:divBdr>
    </w:div>
    <w:div w:id="1520854950">
      <w:bodyDiv w:val="1"/>
      <w:marLeft w:val="0"/>
      <w:marRight w:val="0"/>
      <w:marTop w:val="0"/>
      <w:marBottom w:val="0"/>
      <w:divBdr>
        <w:top w:val="none" w:sz="0" w:space="0" w:color="auto"/>
        <w:left w:val="none" w:sz="0" w:space="0" w:color="auto"/>
        <w:bottom w:val="none" w:sz="0" w:space="0" w:color="auto"/>
        <w:right w:val="none" w:sz="0" w:space="0" w:color="auto"/>
      </w:divBdr>
    </w:div>
    <w:div w:id="1523863967">
      <w:bodyDiv w:val="1"/>
      <w:marLeft w:val="0"/>
      <w:marRight w:val="0"/>
      <w:marTop w:val="0"/>
      <w:marBottom w:val="0"/>
      <w:divBdr>
        <w:top w:val="none" w:sz="0" w:space="0" w:color="auto"/>
        <w:left w:val="none" w:sz="0" w:space="0" w:color="auto"/>
        <w:bottom w:val="none" w:sz="0" w:space="0" w:color="auto"/>
        <w:right w:val="none" w:sz="0" w:space="0" w:color="auto"/>
      </w:divBdr>
      <w:divsChild>
        <w:div w:id="1649016846">
          <w:marLeft w:val="274"/>
          <w:marRight w:val="0"/>
          <w:marTop w:val="0"/>
          <w:marBottom w:val="0"/>
          <w:divBdr>
            <w:top w:val="none" w:sz="0" w:space="0" w:color="auto"/>
            <w:left w:val="none" w:sz="0" w:space="0" w:color="auto"/>
            <w:bottom w:val="none" w:sz="0" w:space="0" w:color="auto"/>
            <w:right w:val="none" w:sz="0" w:space="0" w:color="auto"/>
          </w:divBdr>
        </w:div>
        <w:div w:id="955138767">
          <w:marLeft w:val="274"/>
          <w:marRight w:val="0"/>
          <w:marTop w:val="0"/>
          <w:marBottom w:val="0"/>
          <w:divBdr>
            <w:top w:val="none" w:sz="0" w:space="0" w:color="auto"/>
            <w:left w:val="none" w:sz="0" w:space="0" w:color="auto"/>
            <w:bottom w:val="none" w:sz="0" w:space="0" w:color="auto"/>
            <w:right w:val="none" w:sz="0" w:space="0" w:color="auto"/>
          </w:divBdr>
        </w:div>
        <w:div w:id="582682628">
          <w:marLeft w:val="274"/>
          <w:marRight w:val="0"/>
          <w:marTop w:val="0"/>
          <w:marBottom w:val="0"/>
          <w:divBdr>
            <w:top w:val="none" w:sz="0" w:space="0" w:color="auto"/>
            <w:left w:val="none" w:sz="0" w:space="0" w:color="auto"/>
            <w:bottom w:val="none" w:sz="0" w:space="0" w:color="auto"/>
            <w:right w:val="none" w:sz="0" w:space="0" w:color="auto"/>
          </w:divBdr>
        </w:div>
        <w:div w:id="1965038263">
          <w:marLeft w:val="274"/>
          <w:marRight w:val="0"/>
          <w:marTop w:val="0"/>
          <w:marBottom w:val="0"/>
          <w:divBdr>
            <w:top w:val="none" w:sz="0" w:space="0" w:color="auto"/>
            <w:left w:val="none" w:sz="0" w:space="0" w:color="auto"/>
            <w:bottom w:val="none" w:sz="0" w:space="0" w:color="auto"/>
            <w:right w:val="none" w:sz="0" w:space="0" w:color="auto"/>
          </w:divBdr>
        </w:div>
        <w:div w:id="1925648770">
          <w:marLeft w:val="274"/>
          <w:marRight w:val="0"/>
          <w:marTop w:val="0"/>
          <w:marBottom w:val="0"/>
          <w:divBdr>
            <w:top w:val="none" w:sz="0" w:space="0" w:color="auto"/>
            <w:left w:val="none" w:sz="0" w:space="0" w:color="auto"/>
            <w:bottom w:val="none" w:sz="0" w:space="0" w:color="auto"/>
            <w:right w:val="none" w:sz="0" w:space="0" w:color="auto"/>
          </w:divBdr>
        </w:div>
        <w:div w:id="1179083199">
          <w:marLeft w:val="274"/>
          <w:marRight w:val="0"/>
          <w:marTop w:val="0"/>
          <w:marBottom w:val="0"/>
          <w:divBdr>
            <w:top w:val="none" w:sz="0" w:space="0" w:color="auto"/>
            <w:left w:val="none" w:sz="0" w:space="0" w:color="auto"/>
            <w:bottom w:val="none" w:sz="0" w:space="0" w:color="auto"/>
            <w:right w:val="none" w:sz="0" w:space="0" w:color="auto"/>
          </w:divBdr>
        </w:div>
        <w:div w:id="150098833">
          <w:marLeft w:val="274"/>
          <w:marRight w:val="0"/>
          <w:marTop w:val="0"/>
          <w:marBottom w:val="0"/>
          <w:divBdr>
            <w:top w:val="none" w:sz="0" w:space="0" w:color="auto"/>
            <w:left w:val="none" w:sz="0" w:space="0" w:color="auto"/>
            <w:bottom w:val="none" w:sz="0" w:space="0" w:color="auto"/>
            <w:right w:val="none" w:sz="0" w:space="0" w:color="auto"/>
          </w:divBdr>
        </w:div>
        <w:div w:id="1595285629">
          <w:marLeft w:val="274"/>
          <w:marRight w:val="0"/>
          <w:marTop w:val="0"/>
          <w:marBottom w:val="0"/>
          <w:divBdr>
            <w:top w:val="none" w:sz="0" w:space="0" w:color="auto"/>
            <w:left w:val="none" w:sz="0" w:space="0" w:color="auto"/>
            <w:bottom w:val="none" w:sz="0" w:space="0" w:color="auto"/>
            <w:right w:val="none" w:sz="0" w:space="0" w:color="auto"/>
          </w:divBdr>
        </w:div>
        <w:div w:id="901985566">
          <w:marLeft w:val="274"/>
          <w:marRight w:val="0"/>
          <w:marTop w:val="0"/>
          <w:marBottom w:val="0"/>
          <w:divBdr>
            <w:top w:val="none" w:sz="0" w:space="0" w:color="auto"/>
            <w:left w:val="none" w:sz="0" w:space="0" w:color="auto"/>
            <w:bottom w:val="none" w:sz="0" w:space="0" w:color="auto"/>
            <w:right w:val="none" w:sz="0" w:space="0" w:color="auto"/>
          </w:divBdr>
        </w:div>
      </w:divsChild>
    </w:div>
    <w:div w:id="1525287836">
      <w:bodyDiv w:val="1"/>
      <w:marLeft w:val="0"/>
      <w:marRight w:val="0"/>
      <w:marTop w:val="0"/>
      <w:marBottom w:val="0"/>
      <w:divBdr>
        <w:top w:val="none" w:sz="0" w:space="0" w:color="auto"/>
        <w:left w:val="none" w:sz="0" w:space="0" w:color="auto"/>
        <w:bottom w:val="none" w:sz="0" w:space="0" w:color="auto"/>
        <w:right w:val="none" w:sz="0" w:space="0" w:color="auto"/>
      </w:divBdr>
    </w:div>
    <w:div w:id="1525942038">
      <w:bodyDiv w:val="1"/>
      <w:marLeft w:val="0"/>
      <w:marRight w:val="0"/>
      <w:marTop w:val="0"/>
      <w:marBottom w:val="0"/>
      <w:divBdr>
        <w:top w:val="none" w:sz="0" w:space="0" w:color="auto"/>
        <w:left w:val="none" w:sz="0" w:space="0" w:color="auto"/>
        <w:bottom w:val="none" w:sz="0" w:space="0" w:color="auto"/>
        <w:right w:val="none" w:sz="0" w:space="0" w:color="auto"/>
      </w:divBdr>
    </w:div>
    <w:div w:id="1527864608">
      <w:bodyDiv w:val="1"/>
      <w:marLeft w:val="0"/>
      <w:marRight w:val="0"/>
      <w:marTop w:val="0"/>
      <w:marBottom w:val="0"/>
      <w:divBdr>
        <w:top w:val="none" w:sz="0" w:space="0" w:color="auto"/>
        <w:left w:val="none" w:sz="0" w:space="0" w:color="auto"/>
        <w:bottom w:val="none" w:sz="0" w:space="0" w:color="auto"/>
        <w:right w:val="none" w:sz="0" w:space="0" w:color="auto"/>
      </w:divBdr>
    </w:div>
    <w:div w:id="1528105575">
      <w:bodyDiv w:val="1"/>
      <w:marLeft w:val="0"/>
      <w:marRight w:val="0"/>
      <w:marTop w:val="0"/>
      <w:marBottom w:val="0"/>
      <w:divBdr>
        <w:top w:val="none" w:sz="0" w:space="0" w:color="auto"/>
        <w:left w:val="none" w:sz="0" w:space="0" w:color="auto"/>
        <w:bottom w:val="none" w:sz="0" w:space="0" w:color="auto"/>
        <w:right w:val="none" w:sz="0" w:space="0" w:color="auto"/>
      </w:divBdr>
    </w:div>
    <w:div w:id="1532377241">
      <w:bodyDiv w:val="1"/>
      <w:marLeft w:val="0"/>
      <w:marRight w:val="0"/>
      <w:marTop w:val="0"/>
      <w:marBottom w:val="0"/>
      <w:divBdr>
        <w:top w:val="none" w:sz="0" w:space="0" w:color="auto"/>
        <w:left w:val="none" w:sz="0" w:space="0" w:color="auto"/>
        <w:bottom w:val="none" w:sz="0" w:space="0" w:color="auto"/>
        <w:right w:val="none" w:sz="0" w:space="0" w:color="auto"/>
      </w:divBdr>
    </w:div>
    <w:div w:id="1535078473">
      <w:bodyDiv w:val="1"/>
      <w:marLeft w:val="0"/>
      <w:marRight w:val="0"/>
      <w:marTop w:val="0"/>
      <w:marBottom w:val="0"/>
      <w:divBdr>
        <w:top w:val="none" w:sz="0" w:space="0" w:color="auto"/>
        <w:left w:val="none" w:sz="0" w:space="0" w:color="auto"/>
        <w:bottom w:val="none" w:sz="0" w:space="0" w:color="auto"/>
        <w:right w:val="none" w:sz="0" w:space="0" w:color="auto"/>
      </w:divBdr>
    </w:div>
    <w:div w:id="1535463951">
      <w:bodyDiv w:val="1"/>
      <w:marLeft w:val="0"/>
      <w:marRight w:val="0"/>
      <w:marTop w:val="0"/>
      <w:marBottom w:val="0"/>
      <w:divBdr>
        <w:top w:val="none" w:sz="0" w:space="0" w:color="auto"/>
        <w:left w:val="none" w:sz="0" w:space="0" w:color="auto"/>
        <w:bottom w:val="none" w:sz="0" w:space="0" w:color="auto"/>
        <w:right w:val="none" w:sz="0" w:space="0" w:color="auto"/>
      </w:divBdr>
    </w:div>
    <w:div w:id="1536043115">
      <w:bodyDiv w:val="1"/>
      <w:marLeft w:val="0"/>
      <w:marRight w:val="0"/>
      <w:marTop w:val="0"/>
      <w:marBottom w:val="0"/>
      <w:divBdr>
        <w:top w:val="none" w:sz="0" w:space="0" w:color="auto"/>
        <w:left w:val="none" w:sz="0" w:space="0" w:color="auto"/>
        <w:bottom w:val="none" w:sz="0" w:space="0" w:color="auto"/>
        <w:right w:val="none" w:sz="0" w:space="0" w:color="auto"/>
      </w:divBdr>
      <w:divsChild>
        <w:div w:id="29963617">
          <w:marLeft w:val="0"/>
          <w:marRight w:val="0"/>
          <w:marTop w:val="0"/>
          <w:marBottom w:val="0"/>
          <w:divBdr>
            <w:top w:val="none" w:sz="0" w:space="0" w:color="auto"/>
            <w:left w:val="none" w:sz="0" w:space="0" w:color="auto"/>
            <w:bottom w:val="none" w:sz="0" w:space="0" w:color="auto"/>
            <w:right w:val="none" w:sz="0" w:space="0" w:color="auto"/>
          </w:divBdr>
        </w:div>
      </w:divsChild>
    </w:div>
    <w:div w:id="1536456118">
      <w:bodyDiv w:val="1"/>
      <w:marLeft w:val="0"/>
      <w:marRight w:val="0"/>
      <w:marTop w:val="0"/>
      <w:marBottom w:val="0"/>
      <w:divBdr>
        <w:top w:val="none" w:sz="0" w:space="0" w:color="auto"/>
        <w:left w:val="none" w:sz="0" w:space="0" w:color="auto"/>
        <w:bottom w:val="none" w:sz="0" w:space="0" w:color="auto"/>
        <w:right w:val="none" w:sz="0" w:space="0" w:color="auto"/>
      </w:divBdr>
    </w:div>
    <w:div w:id="1536506855">
      <w:bodyDiv w:val="1"/>
      <w:marLeft w:val="0"/>
      <w:marRight w:val="0"/>
      <w:marTop w:val="0"/>
      <w:marBottom w:val="0"/>
      <w:divBdr>
        <w:top w:val="none" w:sz="0" w:space="0" w:color="auto"/>
        <w:left w:val="none" w:sz="0" w:space="0" w:color="auto"/>
        <w:bottom w:val="none" w:sz="0" w:space="0" w:color="auto"/>
        <w:right w:val="none" w:sz="0" w:space="0" w:color="auto"/>
      </w:divBdr>
    </w:div>
    <w:div w:id="1538465815">
      <w:bodyDiv w:val="1"/>
      <w:marLeft w:val="0"/>
      <w:marRight w:val="0"/>
      <w:marTop w:val="0"/>
      <w:marBottom w:val="0"/>
      <w:divBdr>
        <w:top w:val="none" w:sz="0" w:space="0" w:color="auto"/>
        <w:left w:val="none" w:sz="0" w:space="0" w:color="auto"/>
        <w:bottom w:val="none" w:sz="0" w:space="0" w:color="auto"/>
        <w:right w:val="none" w:sz="0" w:space="0" w:color="auto"/>
      </w:divBdr>
    </w:div>
    <w:div w:id="1547255724">
      <w:bodyDiv w:val="1"/>
      <w:marLeft w:val="0"/>
      <w:marRight w:val="0"/>
      <w:marTop w:val="0"/>
      <w:marBottom w:val="0"/>
      <w:divBdr>
        <w:top w:val="none" w:sz="0" w:space="0" w:color="auto"/>
        <w:left w:val="none" w:sz="0" w:space="0" w:color="auto"/>
        <w:bottom w:val="none" w:sz="0" w:space="0" w:color="auto"/>
        <w:right w:val="none" w:sz="0" w:space="0" w:color="auto"/>
      </w:divBdr>
    </w:div>
    <w:div w:id="1557937563">
      <w:bodyDiv w:val="1"/>
      <w:marLeft w:val="0"/>
      <w:marRight w:val="0"/>
      <w:marTop w:val="0"/>
      <w:marBottom w:val="0"/>
      <w:divBdr>
        <w:top w:val="none" w:sz="0" w:space="0" w:color="auto"/>
        <w:left w:val="none" w:sz="0" w:space="0" w:color="auto"/>
        <w:bottom w:val="none" w:sz="0" w:space="0" w:color="auto"/>
        <w:right w:val="none" w:sz="0" w:space="0" w:color="auto"/>
      </w:divBdr>
    </w:div>
    <w:div w:id="1560166265">
      <w:bodyDiv w:val="1"/>
      <w:marLeft w:val="0"/>
      <w:marRight w:val="0"/>
      <w:marTop w:val="0"/>
      <w:marBottom w:val="0"/>
      <w:divBdr>
        <w:top w:val="none" w:sz="0" w:space="0" w:color="auto"/>
        <w:left w:val="none" w:sz="0" w:space="0" w:color="auto"/>
        <w:bottom w:val="none" w:sz="0" w:space="0" w:color="auto"/>
        <w:right w:val="none" w:sz="0" w:space="0" w:color="auto"/>
      </w:divBdr>
    </w:div>
    <w:div w:id="1568539588">
      <w:bodyDiv w:val="1"/>
      <w:marLeft w:val="0"/>
      <w:marRight w:val="0"/>
      <w:marTop w:val="0"/>
      <w:marBottom w:val="0"/>
      <w:divBdr>
        <w:top w:val="none" w:sz="0" w:space="0" w:color="auto"/>
        <w:left w:val="none" w:sz="0" w:space="0" w:color="auto"/>
        <w:bottom w:val="none" w:sz="0" w:space="0" w:color="auto"/>
        <w:right w:val="none" w:sz="0" w:space="0" w:color="auto"/>
      </w:divBdr>
    </w:div>
    <w:div w:id="1569414763">
      <w:bodyDiv w:val="1"/>
      <w:marLeft w:val="0"/>
      <w:marRight w:val="0"/>
      <w:marTop w:val="0"/>
      <w:marBottom w:val="0"/>
      <w:divBdr>
        <w:top w:val="none" w:sz="0" w:space="0" w:color="auto"/>
        <w:left w:val="none" w:sz="0" w:space="0" w:color="auto"/>
        <w:bottom w:val="none" w:sz="0" w:space="0" w:color="auto"/>
        <w:right w:val="none" w:sz="0" w:space="0" w:color="auto"/>
      </w:divBdr>
    </w:div>
    <w:div w:id="1569994108">
      <w:bodyDiv w:val="1"/>
      <w:marLeft w:val="0"/>
      <w:marRight w:val="0"/>
      <w:marTop w:val="0"/>
      <w:marBottom w:val="0"/>
      <w:divBdr>
        <w:top w:val="none" w:sz="0" w:space="0" w:color="auto"/>
        <w:left w:val="none" w:sz="0" w:space="0" w:color="auto"/>
        <w:bottom w:val="none" w:sz="0" w:space="0" w:color="auto"/>
        <w:right w:val="none" w:sz="0" w:space="0" w:color="auto"/>
      </w:divBdr>
    </w:div>
    <w:div w:id="1575050379">
      <w:bodyDiv w:val="1"/>
      <w:marLeft w:val="0"/>
      <w:marRight w:val="0"/>
      <w:marTop w:val="0"/>
      <w:marBottom w:val="0"/>
      <w:divBdr>
        <w:top w:val="none" w:sz="0" w:space="0" w:color="auto"/>
        <w:left w:val="none" w:sz="0" w:space="0" w:color="auto"/>
        <w:bottom w:val="none" w:sz="0" w:space="0" w:color="auto"/>
        <w:right w:val="none" w:sz="0" w:space="0" w:color="auto"/>
      </w:divBdr>
    </w:div>
    <w:div w:id="1576354171">
      <w:bodyDiv w:val="1"/>
      <w:marLeft w:val="0"/>
      <w:marRight w:val="0"/>
      <w:marTop w:val="0"/>
      <w:marBottom w:val="0"/>
      <w:divBdr>
        <w:top w:val="none" w:sz="0" w:space="0" w:color="auto"/>
        <w:left w:val="none" w:sz="0" w:space="0" w:color="auto"/>
        <w:bottom w:val="none" w:sz="0" w:space="0" w:color="auto"/>
        <w:right w:val="none" w:sz="0" w:space="0" w:color="auto"/>
      </w:divBdr>
    </w:div>
    <w:div w:id="1585141013">
      <w:bodyDiv w:val="1"/>
      <w:marLeft w:val="0"/>
      <w:marRight w:val="0"/>
      <w:marTop w:val="0"/>
      <w:marBottom w:val="0"/>
      <w:divBdr>
        <w:top w:val="none" w:sz="0" w:space="0" w:color="auto"/>
        <w:left w:val="none" w:sz="0" w:space="0" w:color="auto"/>
        <w:bottom w:val="none" w:sz="0" w:space="0" w:color="auto"/>
        <w:right w:val="none" w:sz="0" w:space="0" w:color="auto"/>
      </w:divBdr>
      <w:divsChild>
        <w:div w:id="981469300">
          <w:marLeft w:val="0"/>
          <w:marRight w:val="0"/>
          <w:marTop w:val="0"/>
          <w:marBottom w:val="0"/>
          <w:divBdr>
            <w:top w:val="none" w:sz="0" w:space="0" w:color="auto"/>
            <w:left w:val="none" w:sz="0" w:space="0" w:color="auto"/>
            <w:bottom w:val="none" w:sz="0" w:space="0" w:color="auto"/>
            <w:right w:val="none" w:sz="0" w:space="0" w:color="auto"/>
          </w:divBdr>
        </w:div>
      </w:divsChild>
    </w:div>
    <w:div w:id="1589733743">
      <w:bodyDiv w:val="1"/>
      <w:marLeft w:val="0"/>
      <w:marRight w:val="0"/>
      <w:marTop w:val="0"/>
      <w:marBottom w:val="0"/>
      <w:divBdr>
        <w:top w:val="none" w:sz="0" w:space="0" w:color="auto"/>
        <w:left w:val="none" w:sz="0" w:space="0" w:color="auto"/>
        <w:bottom w:val="none" w:sz="0" w:space="0" w:color="auto"/>
        <w:right w:val="none" w:sz="0" w:space="0" w:color="auto"/>
      </w:divBdr>
    </w:div>
    <w:div w:id="1591810374">
      <w:bodyDiv w:val="1"/>
      <w:marLeft w:val="0"/>
      <w:marRight w:val="0"/>
      <w:marTop w:val="0"/>
      <w:marBottom w:val="0"/>
      <w:divBdr>
        <w:top w:val="none" w:sz="0" w:space="0" w:color="auto"/>
        <w:left w:val="none" w:sz="0" w:space="0" w:color="auto"/>
        <w:bottom w:val="none" w:sz="0" w:space="0" w:color="auto"/>
        <w:right w:val="none" w:sz="0" w:space="0" w:color="auto"/>
      </w:divBdr>
    </w:div>
    <w:div w:id="1592007380">
      <w:bodyDiv w:val="1"/>
      <w:marLeft w:val="0"/>
      <w:marRight w:val="0"/>
      <w:marTop w:val="0"/>
      <w:marBottom w:val="0"/>
      <w:divBdr>
        <w:top w:val="none" w:sz="0" w:space="0" w:color="auto"/>
        <w:left w:val="none" w:sz="0" w:space="0" w:color="auto"/>
        <w:bottom w:val="none" w:sz="0" w:space="0" w:color="auto"/>
        <w:right w:val="none" w:sz="0" w:space="0" w:color="auto"/>
      </w:divBdr>
      <w:divsChild>
        <w:div w:id="928075670">
          <w:marLeft w:val="0"/>
          <w:marRight w:val="0"/>
          <w:marTop w:val="0"/>
          <w:marBottom w:val="0"/>
          <w:divBdr>
            <w:top w:val="none" w:sz="0" w:space="0" w:color="auto"/>
            <w:left w:val="none" w:sz="0" w:space="0" w:color="auto"/>
            <w:bottom w:val="none" w:sz="0" w:space="0" w:color="auto"/>
            <w:right w:val="none" w:sz="0" w:space="0" w:color="auto"/>
          </w:divBdr>
        </w:div>
      </w:divsChild>
    </w:div>
    <w:div w:id="1593778424">
      <w:bodyDiv w:val="1"/>
      <w:marLeft w:val="0"/>
      <w:marRight w:val="0"/>
      <w:marTop w:val="0"/>
      <w:marBottom w:val="0"/>
      <w:divBdr>
        <w:top w:val="none" w:sz="0" w:space="0" w:color="auto"/>
        <w:left w:val="none" w:sz="0" w:space="0" w:color="auto"/>
        <w:bottom w:val="none" w:sz="0" w:space="0" w:color="auto"/>
        <w:right w:val="none" w:sz="0" w:space="0" w:color="auto"/>
      </w:divBdr>
    </w:div>
    <w:div w:id="1594972205">
      <w:bodyDiv w:val="1"/>
      <w:marLeft w:val="0"/>
      <w:marRight w:val="0"/>
      <w:marTop w:val="0"/>
      <w:marBottom w:val="0"/>
      <w:divBdr>
        <w:top w:val="none" w:sz="0" w:space="0" w:color="auto"/>
        <w:left w:val="none" w:sz="0" w:space="0" w:color="auto"/>
        <w:bottom w:val="none" w:sz="0" w:space="0" w:color="auto"/>
        <w:right w:val="none" w:sz="0" w:space="0" w:color="auto"/>
      </w:divBdr>
    </w:div>
    <w:div w:id="1595362566">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598051120">
      <w:bodyDiv w:val="1"/>
      <w:marLeft w:val="0"/>
      <w:marRight w:val="0"/>
      <w:marTop w:val="0"/>
      <w:marBottom w:val="0"/>
      <w:divBdr>
        <w:top w:val="none" w:sz="0" w:space="0" w:color="auto"/>
        <w:left w:val="none" w:sz="0" w:space="0" w:color="auto"/>
        <w:bottom w:val="none" w:sz="0" w:space="0" w:color="auto"/>
        <w:right w:val="none" w:sz="0" w:space="0" w:color="auto"/>
      </w:divBdr>
    </w:div>
    <w:div w:id="1598564690">
      <w:bodyDiv w:val="1"/>
      <w:marLeft w:val="0"/>
      <w:marRight w:val="0"/>
      <w:marTop w:val="0"/>
      <w:marBottom w:val="0"/>
      <w:divBdr>
        <w:top w:val="none" w:sz="0" w:space="0" w:color="auto"/>
        <w:left w:val="none" w:sz="0" w:space="0" w:color="auto"/>
        <w:bottom w:val="none" w:sz="0" w:space="0" w:color="auto"/>
        <w:right w:val="none" w:sz="0" w:space="0" w:color="auto"/>
      </w:divBdr>
    </w:div>
    <w:div w:id="1606883726">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23918189">
      <w:bodyDiv w:val="1"/>
      <w:marLeft w:val="0"/>
      <w:marRight w:val="0"/>
      <w:marTop w:val="0"/>
      <w:marBottom w:val="0"/>
      <w:divBdr>
        <w:top w:val="none" w:sz="0" w:space="0" w:color="auto"/>
        <w:left w:val="none" w:sz="0" w:space="0" w:color="auto"/>
        <w:bottom w:val="none" w:sz="0" w:space="0" w:color="auto"/>
        <w:right w:val="none" w:sz="0" w:space="0" w:color="auto"/>
      </w:divBdr>
    </w:div>
    <w:div w:id="1624920614">
      <w:bodyDiv w:val="1"/>
      <w:marLeft w:val="0"/>
      <w:marRight w:val="0"/>
      <w:marTop w:val="0"/>
      <w:marBottom w:val="0"/>
      <w:divBdr>
        <w:top w:val="none" w:sz="0" w:space="0" w:color="auto"/>
        <w:left w:val="none" w:sz="0" w:space="0" w:color="auto"/>
        <w:bottom w:val="none" w:sz="0" w:space="0" w:color="auto"/>
        <w:right w:val="none" w:sz="0" w:space="0" w:color="auto"/>
      </w:divBdr>
    </w:div>
    <w:div w:id="1625886292">
      <w:bodyDiv w:val="1"/>
      <w:marLeft w:val="0"/>
      <w:marRight w:val="0"/>
      <w:marTop w:val="0"/>
      <w:marBottom w:val="0"/>
      <w:divBdr>
        <w:top w:val="none" w:sz="0" w:space="0" w:color="auto"/>
        <w:left w:val="none" w:sz="0" w:space="0" w:color="auto"/>
        <w:bottom w:val="none" w:sz="0" w:space="0" w:color="auto"/>
        <w:right w:val="none" w:sz="0" w:space="0" w:color="auto"/>
      </w:divBdr>
    </w:div>
    <w:div w:id="1629311813">
      <w:bodyDiv w:val="1"/>
      <w:marLeft w:val="0"/>
      <w:marRight w:val="0"/>
      <w:marTop w:val="0"/>
      <w:marBottom w:val="0"/>
      <w:divBdr>
        <w:top w:val="none" w:sz="0" w:space="0" w:color="auto"/>
        <w:left w:val="none" w:sz="0" w:space="0" w:color="auto"/>
        <w:bottom w:val="none" w:sz="0" w:space="0" w:color="auto"/>
        <w:right w:val="none" w:sz="0" w:space="0" w:color="auto"/>
      </w:divBdr>
    </w:div>
    <w:div w:id="1629313570">
      <w:bodyDiv w:val="1"/>
      <w:marLeft w:val="0"/>
      <w:marRight w:val="0"/>
      <w:marTop w:val="0"/>
      <w:marBottom w:val="0"/>
      <w:divBdr>
        <w:top w:val="none" w:sz="0" w:space="0" w:color="auto"/>
        <w:left w:val="none" w:sz="0" w:space="0" w:color="auto"/>
        <w:bottom w:val="none" w:sz="0" w:space="0" w:color="auto"/>
        <w:right w:val="none" w:sz="0" w:space="0" w:color="auto"/>
      </w:divBdr>
    </w:div>
    <w:div w:id="1630236552">
      <w:bodyDiv w:val="1"/>
      <w:marLeft w:val="0"/>
      <w:marRight w:val="0"/>
      <w:marTop w:val="0"/>
      <w:marBottom w:val="0"/>
      <w:divBdr>
        <w:top w:val="none" w:sz="0" w:space="0" w:color="auto"/>
        <w:left w:val="none" w:sz="0" w:space="0" w:color="auto"/>
        <w:bottom w:val="none" w:sz="0" w:space="0" w:color="auto"/>
        <w:right w:val="none" w:sz="0" w:space="0" w:color="auto"/>
      </w:divBdr>
    </w:div>
    <w:div w:id="1630892879">
      <w:bodyDiv w:val="1"/>
      <w:marLeft w:val="0"/>
      <w:marRight w:val="0"/>
      <w:marTop w:val="0"/>
      <w:marBottom w:val="0"/>
      <w:divBdr>
        <w:top w:val="none" w:sz="0" w:space="0" w:color="auto"/>
        <w:left w:val="none" w:sz="0" w:space="0" w:color="auto"/>
        <w:bottom w:val="none" w:sz="0" w:space="0" w:color="auto"/>
        <w:right w:val="none" w:sz="0" w:space="0" w:color="auto"/>
      </w:divBdr>
    </w:div>
    <w:div w:id="1630895574">
      <w:bodyDiv w:val="1"/>
      <w:marLeft w:val="0"/>
      <w:marRight w:val="0"/>
      <w:marTop w:val="0"/>
      <w:marBottom w:val="0"/>
      <w:divBdr>
        <w:top w:val="none" w:sz="0" w:space="0" w:color="auto"/>
        <w:left w:val="none" w:sz="0" w:space="0" w:color="auto"/>
        <w:bottom w:val="none" w:sz="0" w:space="0" w:color="auto"/>
        <w:right w:val="none" w:sz="0" w:space="0" w:color="auto"/>
      </w:divBdr>
    </w:div>
    <w:div w:id="1632785257">
      <w:bodyDiv w:val="1"/>
      <w:marLeft w:val="0"/>
      <w:marRight w:val="0"/>
      <w:marTop w:val="0"/>
      <w:marBottom w:val="0"/>
      <w:divBdr>
        <w:top w:val="none" w:sz="0" w:space="0" w:color="auto"/>
        <w:left w:val="none" w:sz="0" w:space="0" w:color="auto"/>
        <w:bottom w:val="none" w:sz="0" w:space="0" w:color="auto"/>
        <w:right w:val="none" w:sz="0" w:space="0" w:color="auto"/>
      </w:divBdr>
    </w:div>
    <w:div w:id="1634747200">
      <w:bodyDiv w:val="1"/>
      <w:marLeft w:val="0"/>
      <w:marRight w:val="0"/>
      <w:marTop w:val="0"/>
      <w:marBottom w:val="0"/>
      <w:divBdr>
        <w:top w:val="none" w:sz="0" w:space="0" w:color="auto"/>
        <w:left w:val="none" w:sz="0" w:space="0" w:color="auto"/>
        <w:bottom w:val="none" w:sz="0" w:space="0" w:color="auto"/>
        <w:right w:val="none" w:sz="0" w:space="0" w:color="auto"/>
      </w:divBdr>
    </w:div>
    <w:div w:id="1636134816">
      <w:bodyDiv w:val="1"/>
      <w:marLeft w:val="0"/>
      <w:marRight w:val="0"/>
      <w:marTop w:val="0"/>
      <w:marBottom w:val="0"/>
      <w:divBdr>
        <w:top w:val="none" w:sz="0" w:space="0" w:color="auto"/>
        <w:left w:val="none" w:sz="0" w:space="0" w:color="auto"/>
        <w:bottom w:val="none" w:sz="0" w:space="0" w:color="auto"/>
        <w:right w:val="none" w:sz="0" w:space="0" w:color="auto"/>
      </w:divBdr>
    </w:div>
    <w:div w:id="1658921809">
      <w:bodyDiv w:val="1"/>
      <w:marLeft w:val="0"/>
      <w:marRight w:val="0"/>
      <w:marTop w:val="0"/>
      <w:marBottom w:val="0"/>
      <w:divBdr>
        <w:top w:val="none" w:sz="0" w:space="0" w:color="auto"/>
        <w:left w:val="none" w:sz="0" w:space="0" w:color="auto"/>
        <w:bottom w:val="none" w:sz="0" w:space="0" w:color="auto"/>
        <w:right w:val="none" w:sz="0" w:space="0" w:color="auto"/>
      </w:divBdr>
      <w:divsChild>
        <w:div w:id="1113750339">
          <w:marLeft w:val="0"/>
          <w:marRight w:val="0"/>
          <w:marTop w:val="0"/>
          <w:marBottom w:val="0"/>
          <w:divBdr>
            <w:top w:val="none" w:sz="0" w:space="0" w:color="auto"/>
            <w:left w:val="none" w:sz="0" w:space="0" w:color="auto"/>
            <w:bottom w:val="none" w:sz="0" w:space="0" w:color="auto"/>
            <w:right w:val="none" w:sz="0" w:space="0" w:color="auto"/>
          </w:divBdr>
        </w:div>
      </w:divsChild>
    </w:div>
    <w:div w:id="1659184205">
      <w:bodyDiv w:val="1"/>
      <w:marLeft w:val="0"/>
      <w:marRight w:val="0"/>
      <w:marTop w:val="0"/>
      <w:marBottom w:val="0"/>
      <w:divBdr>
        <w:top w:val="none" w:sz="0" w:space="0" w:color="auto"/>
        <w:left w:val="none" w:sz="0" w:space="0" w:color="auto"/>
        <w:bottom w:val="none" w:sz="0" w:space="0" w:color="auto"/>
        <w:right w:val="none" w:sz="0" w:space="0" w:color="auto"/>
      </w:divBdr>
    </w:div>
    <w:div w:id="1664317997">
      <w:bodyDiv w:val="1"/>
      <w:marLeft w:val="0"/>
      <w:marRight w:val="0"/>
      <w:marTop w:val="0"/>
      <w:marBottom w:val="0"/>
      <w:divBdr>
        <w:top w:val="none" w:sz="0" w:space="0" w:color="auto"/>
        <w:left w:val="none" w:sz="0" w:space="0" w:color="auto"/>
        <w:bottom w:val="none" w:sz="0" w:space="0" w:color="auto"/>
        <w:right w:val="none" w:sz="0" w:space="0" w:color="auto"/>
      </w:divBdr>
    </w:div>
    <w:div w:id="1666935642">
      <w:bodyDiv w:val="1"/>
      <w:marLeft w:val="0"/>
      <w:marRight w:val="0"/>
      <w:marTop w:val="0"/>
      <w:marBottom w:val="0"/>
      <w:divBdr>
        <w:top w:val="none" w:sz="0" w:space="0" w:color="auto"/>
        <w:left w:val="none" w:sz="0" w:space="0" w:color="auto"/>
        <w:bottom w:val="none" w:sz="0" w:space="0" w:color="auto"/>
        <w:right w:val="none" w:sz="0" w:space="0" w:color="auto"/>
      </w:divBdr>
      <w:divsChild>
        <w:div w:id="1155992823">
          <w:marLeft w:val="0"/>
          <w:marRight w:val="0"/>
          <w:marTop w:val="0"/>
          <w:marBottom w:val="0"/>
          <w:divBdr>
            <w:top w:val="none" w:sz="0" w:space="0" w:color="auto"/>
            <w:left w:val="none" w:sz="0" w:space="0" w:color="auto"/>
            <w:bottom w:val="none" w:sz="0" w:space="0" w:color="auto"/>
            <w:right w:val="none" w:sz="0" w:space="0" w:color="auto"/>
          </w:divBdr>
        </w:div>
      </w:divsChild>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674840725">
      <w:bodyDiv w:val="1"/>
      <w:marLeft w:val="0"/>
      <w:marRight w:val="0"/>
      <w:marTop w:val="0"/>
      <w:marBottom w:val="0"/>
      <w:divBdr>
        <w:top w:val="none" w:sz="0" w:space="0" w:color="auto"/>
        <w:left w:val="none" w:sz="0" w:space="0" w:color="auto"/>
        <w:bottom w:val="none" w:sz="0" w:space="0" w:color="auto"/>
        <w:right w:val="none" w:sz="0" w:space="0" w:color="auto"/>
      </w:divBdr>
    </w:div>
    <w:div w:id="1675111153">
      <w:bodyDiv w:val="1"/>
      <w:marLeft w:val="0"/>
      <w:marRight w:val="0"/>
      <w:marTop w:val="0"/>
      <w:marBottom w:val="0"/>
      <w:divBdr>
        <w:top w:val="none" w:sz="0" w:space="0" w:color="auto"/>
        <w:left w:val="none" w:sz="0" w:space="0" w:color="auto"/>
        <w:bottom w:val="none" w:sz="0" w:space="0" w:color="auto"/>
        <w:right w:val="none" w:sz="0" w:space="0" w:color="auto"/>
      </w:divBdr>
    </w:div>
    <w:div w:id="1686588614">
      <w:bodyDiv w:val="1"/>
      <w:marLeft w:val="0"/>
      <w:marRight w:val="0"/>
      <w:marTop w:val="0"/>
      <w:marBottom w:val="0"/>
      <w:divBdr>
        <w:top w:val="none" w:sz="0" w:space="0" w:color="auto"/>
        <w:left w:val="none" w:sz="0" w:space="0" w:color="auto"/>
        <w:bottom w:val="none" w:sz="0" w:space="0" w:color="auto"/>
        <w:right w:val="none" w:sz="0" w:space="0" w:color="auto"/>
      </w:divBdr>
    </w:div>
    <w:div w:id="1687437072">
      <w:bodyDiv w:val="1"/>
      <w:marLeft w:val="0"/>
      <w:marRight w:val="0"/>
      <w:marTop w:val="0"/>
      <w:marBottom w:val="0"/>
      <w:divBdr>
        <w:top w:val="none" w:sz="0" w:space="0" w:color="auto"/>
        <w:left w:val="none" w:sz="0" w:space="0" w:color="auto"/>
        <w:bottom w:val="none" w:sz="0" w:space="0" w:color="auto"/>
        <w:right w:val="none" w:sz="0" w:space="0" w:color="auto"/>
      </w:divBdr>
    </w:div>
    <w:div w:id="1687637144">
      <w:bodyDiv w:val="1"/>
      <w:marLeft w:val="0"/>
      <w:marRight w:val="0"/>
      <w:marTop w:val="0"/>
      <w:marBottom w:val="0"/>
      <w:divBdr>
        <w:top w:val="none" w:sz="0" w:space="0" w:color="auto"/>
        <w:left w:val="none" w:sz="0" w:space="0" w:color="auto"/>
        <w:bottom w:val="none" w:sz="0" w:space="0" w:color="auto"/>
        <w:right w:val="none" w:sz="0" w:space="0" w:color="auto"/>
      </w:divBdr>
    </w:div>
    <w:div w:id="1687714068">
      <w:bodyDiv w:val="1"/>
      <w:marLeft w:val="0"/>
      <w:marRight w:val="0"/>
      <w:marTop w:val="0"/>
      <w:marBottom w:val="0"/>
      <w:divBdr>
        <w:top w:val="none" w:sz="0" w:space="0" w:color="auto"/>
        <w:left w:val="none" w:sz="0" w:space="0" w:color="auto"/>
        <w:bottom w:val="none" w:sz="0" w:space="0" w:color="auto"/>
        <w:right w:val="none" w:sz="0" w:space="0" w:color="auto"/>
      </w:divBdr>
    </w:div>
    <w:div w:id="1691447266">
      <w:bodyDiv w:val="1"/>
      <w:marLeft w:val="0"/>
      <w:marRight w:val="0"/>
      <w:marTop w:val="0"/>
      <w:marBottom w:val="0"/>
      <w:divBdr>
        <w:top w:val="none" w:sz="0" w:space="0" w:color="auto"/>
        <w:left w:val="none" w:sz="0" w:space="0" w:color="auto"/>
        <w:bottom w:val="none" w:sz="0" w:space="0" w:color="auto"/>
        <w:right w:val="none" w:sz="0" w:space="0" w:color="auto"/>
      </w:divBdr>
    </w:div>
    <w:div w:id="1695644644">
      <w:bodyDiv w:val="1"/>
      <w:marLeft w:val="0"/>
      <w:marRight w:val="0"/>
      <w:marTop w:val="0"/>
      <w:marBottom w:val="0"/>
      <w:divBdr>
        <w:top w:val="none" w:sz="0" w:space="0" w:color="auto"/>
        <w:left w:val="none" w:sz="0" w:space="0" w:color="auto"/>
        <w:bottom w:val="none" w:sz="0" w:space="0" w:color="auto"/>
        <w:right w:val="none" w:sz="0" w:space="0" w:color="auto"/>
      </w:divBdr>
    </w:div>
    <w:div w:id="1697271957">
      <w:bodyDiv w:val="1"/>
      <w:marLeft w:val="0"/>
      <w:marRight w:val="0"/>
      <w:marTop w:val="0"/>
      <w:marBottom w:val="0"/>
      <w:divBdr>
        <w:top w:val="none" w:sz="0" w:space="0" w:color="auto"/>
        <w:left w:val="none" w:sz="0" w:space="0" w:color="auto"/>
        <w:bottom w:val="none" w:sz="0" w:space="0" w:color="auto"/>
        <w:right w:val="none" w:sz="0" w:space="0" w:color="auto"/>
      </w:divBdr>
    </w:div>
    <w:div w:id="1698314818">
      <w:bodyDiv w:val="1"/>
      <w:marLeft w:val="0"/>
      <w:marRight w:val="0"/>
      <w:marTop w:val="0"/>
      <w:marBottom w:val="0"/>
      <w:divBdr>
        <w:top w:val="none" w:sz="0" w:space="0" w:color="auto"/>
        <w:left w:val="none" w:sz="0" w:space="0" w:color="auto"/>
        <w:bottom w:val="none" w:sz="0" w:space="0" w:color="auto"/>
        <w:right w:val="none" w:sz="0" w:space="0" w:color="auto"/>
      </w:divBdr>
    </w:div>
    <w:div w:id="1711223814">
      <w:bodyDiv w:val="1"/>
      <w:marLeft w:val="0"/>
      <w:marRight w:val="0"/>
      <w:marTop w:val="0"/>
      <w:marBottom w:val="0"/>
      <w:divBdr>
        <w:top w:val="none" w:sz="0" w:space="0" w:color="auto"/>
        <w:left w:val="none" w:sz="0" w:space="0" w:color="auto"/>
        <w:bottom w:val="none" w:sz="0" w:space="0" w:color="auto"/>
        <w:right w:val="none" w:sz="0" w:space="0" w:color="auto"/>
      </w:divBdr>
    </w:div>
    <w:div w:id="1727483201">
      <w:bodyDiv w:val="1"/>
      <w:marLeft w:val="0"/>
      <w:marRight w:val="0"/>
      <w:marTop w:val="0"/>
      <w:marBottom w:val="0"/>
      <w:divBdr>
        <w:top w:val="none" w:sz="0" w:space="0" w:color="auto"/>
        <w:left w:val="none" w:sz="0" w:space="0" w:color="auto"/>
        <w:bottom w:val="none" w:sz="0" w:space="0" w:color="auto"/>
        <w:right w:val="none" w:sz="0" w:space="0" w:color="auto"/>
      </w:divBdr>
    </w:div>
    <w:div w:id="1728334931">
      <w:bodyDiv w:val="1"/>
      <w:marLeft w:val="0"/>
      <w:marRight w:val="0"/>
      <w:marTop w:val="0"/>
      <w:marBottom w:val="0"/>
      <w:divBdr>
        <w:top w:val="none" w:sz="0" w:space="0" w:color="auto"/>
        <w:left w:val="none" w:sz="0" w:space="0" w:color="auto"/>
        <w:bottom w:val="none" w:sz="0" w:space="0" w:color="auto"/>
        <w:right w:val="none" w:sz="0" w:space="0" w:color="auto"/>
      </w:divBdr>
    </w:div>
    <w:div w:id="1730613645">
      <w:bodyDiv w:val="1"/>
      <w:marLeft w:val="0"/>
      <w:marRight w:val="0"/>
      <w:marTop w:val="0"/>
      <w:marBottom w:val="0"/>
      <w:divBdr>
        <w:top w:val="none" w:sz="0" w:space="0" w:color="auto"/>
        <w:left w:val="none" w:sz="0" w:space="0" w:color="auto"/>
        <w:bottom w:val="none" w:sz="0" w:space="0" w:color="auto"/>
        <w:right w:val="none" w:sz="0" w:space="0" w:color="auto"/>
      </w:divBdr>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119960">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42676489">
      <w:bodyDiv w:val="1"/>
      <w:marLeft w:val="0"/>
      <w:marRight w:val="0"/>
      <w:marTop w:val="0"/>
      <w:marBottom w:val="0"/>
      <w:divBdr>
        <w:top w:val="none" w:sz="0" w:space="0" w:color="auto"/>
        <w:left w:val="none" w:sz="0" w:space="0" w:color="auto"/>
        <w:bottom w:val="none" w:sz="0" w:space="0" w:color="auto"/>
        <w:right w:val="none" w:sz="0" w:space="0" w:color="auto"/>
      </w:divBdr>
    </w:div>
    <w:div w:id="1744596979">
      <w:bodyDiv w:val="1"/>
      <w:marLeft w:val="0"/>
      <w:marRight w:val="0"/>
      <w:marTop w:val="0"/>
      <w:marBottom w:val="0"/>
      <w:divBdr>
        <w:top w:val="none" w:sz="0" w:space="0" w:color="auto"/>
        <w:left w:val="none" w:sz="0" w:space="0" w:color="auto"/>
        <w:bottom w:val="none" w:sz="0" w:space="0" w:color="auto"/>
        <w:right w:val="none" w:sz="0" w:space="0" w:color="auto"/>
      </w:divBdr>
    </w:div>
    <w:div w:id="1745689054">
      <w:bodyDiv w:val="1"/>
      <w:marLeft w:val="0"/>
      <w:marRight w:val="0"/>
      <w:marTop w:val="0"/>
      <w:marBottom w:val="0"/>
      <w:divBdr>
        <w:top w:val="none" w:sz="0" w:space="0" w:color="auto"/>
        <w:left w:val="none" w:sz="0" w:space="0" w:color="auto"/>
        <w:bottom w:val="none" w:sz="0" w:space="0" w:color="auto"/>
        <w:right w:val="none" w:sz="0" w:space="0" w:color="auto"/>
      </w:divBdr>
      <w:divsChild>
        <w:div w:id="628366377">
          <w:marLeft w:val="0"/>
          <w:marRight w:val="0"/>
          <w:marTop w:val="0"/>
          <w:marBottom w:val="0"/>
          <w:divBdr>
            <w:top w:val="none" w:sz="0" w:space="0" w:color="auto"/>
            <w:left w:val="none" w:sz="0" w:space="0" w:color="auto"/>
            <w:bottom w:val="none" w:sz="0" w:space="0" w:color="auto"/>
            <w:right w:val="none" w:sz="0" w:space="0" w:color="auto"/>
          </w:divBdr>
        </w:div>
      </w:divsChild>
    </w:div>
    <w:div w:id="1745758980">
      <w:bodyDiv w:val="1"/>
      <w:marLeft w:val="0"/>
      <w:marRight w:val="0"/>
      <w:marTop w:val="0"/>
      <w:marBottom w:val="0"/>
      <w:divBdr>
        <w:top w:val="none" w:sz="0" w:space="0" w:color="auto"/>
        <w:left w:val="none" w:sz="0" w:space="0" w:color="auto"/>
        <w:bottom w:val="none" w:sz="0" w:space="0" w:color="auto"/>
        <w:right w:val="none" w:sz="0" w:space="0" w:color="auto"/>
      </w:divBdr>
    </w:div>
    <w:div w:id="1753744261">
      <w:bodyDiv w:val="1"/>
      <w:marLeft w:val="0"/>
      <w:marRight w:val="0"/>
      <w:marTop w:val="0"/>
      <w:marBottom w:val="0"/>
      <w:divBdr>
        <w:top w:val="none" w:sz="0" w:space="0" w:color="auto"/>
        <w:left w:val="none" w:sz="0" w:space="0" w:color="auto"/>
        <w:bottom w:val="none" w:sz="0" w:space="0" w:color="auto"/>
        <w:right w:val="none" w:sz="0" w:space="0" w:color="auto"/>
      </w:divBdr>
    </w:div>
    <w:div w:id="1758019252">
      <w:bodyDiv w:val="1"/>
      <w:marLeft w:val="0"/>
      <w:marRight w:val="0"/>
      <w:marTop w:val="0"/>
      <w:marBottom w:val="0"/>
      <w:divBdr>
        <w:top w:val="none" w:sz="0" w:space="0" w:color="auto"/>
        <w:left w:val="none" w:sz="0" w:space="0" w:color="auto"/>
        <w:bottom w:val="none" w:sz="0" w:space="0" w:color="auto"/>
        <w:right w:val="none" w:sz="0" w:space="0" w:color="auto"/>
      </w:divBdr>
    </w:div>
    <w:div w:id="1758593302">
      <w:bodyDiv w:val="1"/>
      <w:marLeft w:val="0"/>
      <w:marRight w:val="0"/>
      <w:marTop w:val="0"/>
      <w:marBottom w:val="0"/>
      <w:divBdr>
        <w:top w:val="none" w:sz="0" w:space="0" w:color="auto"/>
        <w:left w:val="none" w:sz="0" w:space="0" w:color="auto"/>
        <w:bottom w:val="none" w:sz="0" w:space="0" w:color="auto"/>
        <w:right w:val="none" w:sz="0" w:space="0" w:color="auto"/>
      </w:divBdr>
    </w:div>
    <w:div w:id="1760638151">
      <w:bodyDiv w:val="1"/>
      <w:marLeft w:val="0"/>
      <w:marRight w:val="0"/>
      <w:marTop w:val="0"/>
      <w:marBottom w:val="0"/>
      <w:divBdr>
        <w:top w:val="none" w:sz="0" w:space="0" w:color="auto"/>
        <w:left w:val="none" w:sz="0" w:space="0" w:color="auto"/>
        <w:bottom w:val="none" w:sz="0" w:space="0" w:color="auto"/>
        <w:right w:val="none" w:sz="0" w:space="0" w:color="auto"/>
      </w:divBdr>
    </w:div>
    <w:div w:id="1768384612">
      <w:bodyDiv w:val="1"/>
      <w:marLeft w:val="0"/>
      <w:marRight w:val="0"/>
      <w:marTop w:val="0"/>
      <w:marBottom w:val="0"/>
      <w:divBdr>
        <w:top w:val="none" w:sz="0" w:space="0" w:color="auto"/>
        <w:left w:val="none" w:sz="0" w:space="0" w:color="auto"/>
        <w:bottom w:val="none" w:sz="0" w:space="0" w:color="auto"/>
        <w:right w:val="none" w:sz="0" w:space="0" w:color="auto"/>
      </w:divBdr>
    </w:div>
    <w:div w:id="1770393493">
      <w:bodyDiv w:val="1"/>
      <w:marLeft w:val="0"/>
      <w:marRight w:val="0"/>
      <w:marTop w:val="0"/>
      <w:marBottom w:val="0"/>
      <w:divBdr>
        <w:top w:val="none" w:sz="0" w:space="0" w:color="auto"/>
        <w:left w:val="none" w:sz="0" w:space="0" w:color="auto"/>
        <w:bottom w:val="none" w:sz="0" w:space="0" w:color="auto"/>
        <w:right w:val="none" w:sz="0" w:space="0" w:color="auto"/>
      </w:divBdr>
    </w:div>
    <w:div w:id="1774013207">
      <w:bodyDiv w:val="1"/>
      <w:marLeft w:val="0"/>
      <w:marRight w:val="0"/>
      <w:marTop w:val="0"/>
      <w:marBottom w:val="0"/>
      <w:divBdr>
        <w:top w:val="none" w:sz="0" w:space="0" w:color="auto"/>
        <w:left w:val="none" w:sz="0" w:space="0" w:color="auto"/>
        <w:bottom w:val="none" w:sz="0" w:space="0" w:color="auto"/>
        <w:right w:val="none" w:sz="0" w:space="0" w:color="auto"/>
      </w:divBdr>
    </w:div>
    <w:div w:id="1777676374">
      <w:bodyDiv w:val="1"/>
      <w:marLeft w:val="0"/>
      <w:marRight w:val="0"/>
      <w:marTop w:val="0"/>
      <w:marBottom w:val="0"/>
      <w:divBdr>
        <w:top w:val="none" w:sz="0" w:space="0" w:color="auto"/>
        <w:left w:val="none" w:sz="0" w:space="0" w:color="auto"/>
        <w:bottom w:val="none" w:sz="0" w:space="0" w:color="auto"/>
        <w:right w:val="none" w:sz="0" w:space="0" w:color="auto"/>
      </w:divBdr>
    </w:div>
    <w:div w:id="1780644550">
      <w:bodyDiv w:val="1"/>
      <w:marLeft w:val="0"/>
      <w:marRight w:val="0"/>
      <w:marTop w:val="0"/>
      <w:marBottom w:val="0"/>
      <w:divBdr>
        <w:top w:val="none" w:sz="0" w:space="0" w:color="auto"/>
        <w:left w:val="none" w:sz="0" w:space="0" w:color="auto"/>
        <w:bottom w:val="none" w:sz="0" w:space="0" w:color="auto"/>
        <w:right w:val="none" w:sz="0" w:space="0" w:color="auto"/>
      </w:divBdr>
    </w:div>
    <w:div w:id="1782340749">
      <w:bodyDiv w:val="1"/>
      <w:marLeft w:val="0"/>
      <w:marRight w:val="0"/>
      <w:marTop w:val="0"/>
      <w:marBottom w:val="0"/>
      <w:divBdr>
        <w:top w:val="none" w:sz="0" w:space="0" w:color="auto"/>
        <w:left w:val="none" w:sz="0" w:space="0" w:color="auto"/>
        <w:bottom w:val="none" w:sz="0" w:space="0" w:color="auto"/>
        <w:right w:val="none" w:sz="0" w:space="0" w:color="auto"/>
      </w:divBdr>
    </w:div>
    <w:div w:id="1783763056">
      <w:bodyDiv w:val="1"/>
      <w:marLeft w:val="0"/>
      <w:marRight w:val="0"/>
      <w:marTop w:val="0"/>
      <w:marBottom w:val="0"/>
      <w:divBdr>
        <w:top w:val="none" w:sz="0" w:space="0" w:color="auto"/>
        <w:left w:val="none" w:sz="0" w:space="0" w:color="auto"/>
        <w:bottom w:val="none" w:sz="0" w:space="0" w:color="auto"/>
        <w:right w:val="none" w:sz="0" w:space="0" w:color="auto"/>
      </w:divBdr>
    </w:div>
    <w:div w:id="1798183417">
      <w:bodyDiv w:val="1"/>
      <w:marLeft w:val="0"/>
      <w:marRight w:val="0"/>
      <w:marTop w:val="0"/>
      <w:marBottom w:val="0"/>
      <w:divBdr>
        <w:top w:val="none" w:sz="0" w:space="0" w:color="auto"/>
        <w:left w:val="none" w:sz="0" w:space="0" w:color="auto"/>
        <w:bottom w:val="none" w:sz="0" w:space="0" w:color="auto"/>
        <w:right w:val="none" w:sz="0" w:space="0" w:color="auto"/>
      </w:divBdr>
    </w:div>
    <w:div w:id="1798640338">
      <w:bodyDiv w:val="1"/>
      <w:marLeft w:val="0"/>
      <w:marRight w:val="0"/>
      <w:marTop w:val="0"/>
      <w:marBottom w:val="0"/>
      <w:divBdr>
        <w:top w:val="none" w:sz="0" w:space="0" w:color="auto"/>
        <w:left w:val="none" w:sz="0" w:space="0" w:color="auto"/>
        <w:bottom w:val="none" w:sz="0" w:space="0" w:color="auto"/>
        <w:right w:val="none" w:sz="0" w:space="0" w:color="auto"/>
      </w:divBdr>
    </w:div>
    <w:div w:id="1810391270">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17453415">
      <w:bodyDiv w:val="1"/>
      <w:marLeft w:val="0"/>
      <w:marRight w:val="0"/>
      <w:marTop w:val="0"/>
      <w:marBottom w:val="0"/>
      <w:divBdr>
        <w:top w:val="none" w:sz="0" w:space="0" w:color="auto"/>
        <w:left w:val="none" w:sz="0" w:space="0" w:color="auto"/>
        <w:bottom w:val="none" w:sz="0" w:space="0" w:color="auto"/>
        <w:right w:val="none" w:sz="0" w:space="0" w:color="auto"/>
      </w:divBdr>
    </w:div>
    <w:div w:id="1818954618">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28091324">
      <w:bodyDiv w:val="1"/>
      <w:marLeft w:val="0"/>
      <w:marRight w:val="0"/>
      <w:marTop w:val="0"/>
      <w:marBottom w:val="0"/>
      <w:divBdr>
        <w:top w:val="none" w:sz="0" w:space="0" w:color="auto"/>
        <w:left w:val="none" w:sz="0" w:space="0" w:color="auto"/>
        <w:bottom w:val="none" w:sz="0" w:space="0" w:color="auto"/>
        <w:right w:val="none" w:sz="0" w:space="0" w:color="auto"/>
      </w:divBdr>
    </w:div>
    <w:div w:id="1831873201">
      <w:bodyDiv w:val="1"/>
      <w:marLeft w:val="0"/>
      <w:marRight w:val="0"/>
      <w:marTop w:val="0"/>
      <w:marBottom w:val="0"/>
      <w:divBdr>
        <w:top w:val="none" w:sz="0" w:space="0" w:color="auto"/>
        <w:left w:val="none" w:sz="0" w:space="0" w:color="auto"/>
        <w:bottom w:val="none" w:sz="0" w:space="0" w:color="auto"/>
        <w:right w:val="none" w:sz="0" w:space="0" w:color="auto"/>
      </w:divBdr>
    </w:div>
    <w:div w:id="1832134318">
      <w:bodyDiv w:val="1"/>
      <w:marLeft w:val="0"/>
      <w:marRight w:val="0"/>
      <w:marTop w:val="0"/>
      <w:marBottom w:val="0"/>
      <w:divBdr>
        <w:top w:val="none" w:sz="0" w:space="0" w:color="auto"/>
        <w:left w:val="none" w:sz="0" w:space="0" w:color="auto"/>
        <w:bottom w:val="none" w:sz="0" w:space="0" w:color="auto"/>
        <w:right w:val="none" w:sz="0" w:space="0" w:color="auto"/>
      </w:divBdr>
    </w:div>
    <w:div w:id="1836259341">
      <w:bodyDiv w:val="1"/>
      <w:marLeft w:val="0"/>
      <w:marRight w:val="0"/>
      <w:marTop w:val="0"/>
      <w:marBottom w:val="0"/>
      <w:divBdr>
        <w:top w:val="none" w:sz="0" w:space="0" w:color="auto"/>
        <w:left w:val="none" w:sz="0" w:space="0" w:color="auto"/>
        <w:bottom w:val="none" w:sz="0" w:space="0" w:color="auto"/>
        <w:right w:val="none" w:sz="0" w:space="0" w:color="auto"/>
      </w:divBdr>
    </w:div>
    <w:div w:id="1836413854">
      <w:bodyDiv w:val="1"/>
      <w:marLeft w:val="0"/>
      <w:marRight w:val="0"/>
      <w:marTop w:val="0"/>
      <w:marBottom w:val="0"/>
      <w:divBdr>
        <w:top w:val="none" w:sz="0" w:space="0" w:color="auto"/>
        <w:left w:val="none" w:sz="0" w:space="0" w:color="auto"/>
        <w:bottom w:val="none" w:sz="0" w:space="0" w:color="auto"/>
        <w:right w:val="none" w:sz="0" w:space="0" w:color="auto"/>
      </w:divBdr>
    </w:div>
    <w:div w:id="1836913541">
      <w:bodyDiv w:val="1"/>
      <w:marLeft w:val="0"/>
      <w:marRight w:val="0"/>
      <w:marTop w:val="0"/>
      <w:marBottom w:val="0"/>
      <w:divBdr>
        <w:top w:val="none" w:sz="0" w:space="0" w:color="auto"/>
        <w:left w:val="none" w:sz="0" w:space="0" w:color="auto"/>
        <w:bottom w:val="none" w:sz="0" w:space="0" w:color="auto"/>
        <w:right w:val="none" w:sz="0" w:space="0" w:color="auto"/>
      </w:divBdr>
    </w:div>
    <w:div w:id="1837726280">
      <w:bodyDiv w:val="1"/>
      <w:marLeft w:val="0"/>
      <w:marRight w:val="0"/>
      <w:marTop w:val="0"/>
      <w:marBottom w:val="0"/>
      <w:divBdr>
        <w:top w:val="none" w:sz="0" w:space="0" w:color="auto"/>
        <w:left w:val="none" w:sz="0" w:space="0" w:color="auto"/>
        <w:bottom w:val="none" w:sz="0" w:space="0" w:color="auto"/>
        <w:right w:val="none" w:sz="0" w:space="0" w:color="auto"/>
      </w:divBdr>
    </w:div>
    <w:div w:id="1852985053">
      <w:bodyDiv w:val="1"/>
      <w:marLeft w:val="0"/>
      <w:marRight w:val="0"/>
      <w:marTop w:val="0"/>
      <w:marBottom w:val="0"/>
      <w:divBdr>
        <w:top w:val="none" w:sz="0" w:space="0" w:color="auto"/>
        <w:left w:val="none" w:sz="0" w:space="0" w:color="auto"/>
        <w:bottom w:val="none" w:sz="0" w:space="0" w:color="auto"/>
        <w:right w:val="none" w:sz="0" w:space="0" w:color="auto"/>
      </w:divBdr>
    </w:div>
    <w:div w:id="1856262116">
      <w:bodyDiv w:val="1"/>
      <w:marLeft w:val="0"/>
      <w:marRight w:val="0"/>
      <w:marTop w:val="0"/>
      <w:marBottom w:val="0"/>
      <w:divBdr>
        <w:top w:val="none" w:sz="0" w:space="0" w:color="auto"/>
        <w:left w:val="none" w:sz="0" w:space="0" w:color="auto"/>
        <w:bottom w:val="none" w:sz="0" w:space="0" w:color="auto"/>
        <w:right w:val="none" w:sz="0" w:space="0" w:color="auto"/>
      </w:divBdr>
    </w:div>
    <w:div w:id="1857697236">
      <w:bodyDiv w:val="1"/>
      <w:marLeft w:val="0"/>
      <w:marRight w:val="0"/>
      <w:marTop w:val="0"/>
      <w:marBottom w:val="0"/>
      <w:divBdr>
        <w:top w:val="none" w:sz="0" w:space="0" w:color="auto"/>
        <w:left w:val="none" w:sz="0" w:space="0" w:color="auto"/>
        <w:bottom w:val="none" w:sz="0" w:space="0" w:color="auto"/>
        <w:right w:val="none" w:sz="0" w:space="0" w:color="auto"/>
      </w:divBdr>
      <w:divsChild>
        <w:div w:id="642009671">
          <w:marLeft w:val="0"/>
          <w:marRight w:val="0"/>
          <w:marTop w:val="0"/>
          <w:marBottom w:val="0"/>
          <w:divBdr>
            <w:top w:val="none" w:sz="0" w:space="0" w:color="auto"/>
            <w:left w:val="none" w:sz="0" w:space="0" w:color="auto"/>
            <w:bottom w:val="none" w:sz="0" w:space="0" w:color="auto"/>
            <w:right w:val="none" w:sz="0" w:space="0" w:color="auto"/>
          </w:divBdr>
          <w:divsChild>
            <w:div w:id="583800301">
              <w:marLeft w:val="0"/>
              <w:marRight w:val="0"/>
              <w:marTop w:val="0"/>
              <w:marBottom w:val="0"/>
              <w:divBdr>
                <w:top w:val="none" w:sz="0" w:space="0" w:color="auto"/>
                <w:left w:val="none" w:sz="0" w:space="0" w:color="auto"/>
                <w:bottom w:val="none" w:sz="0" w:space="0" w:color="auto"/>
                <w:right w:val="none" w:sz="0" w:space="0" w:color="auto"/>
              </w:divBdr>
              <w:divsChild>
                <w:div w:id="51573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727720">
          <w:marLeft w:val="0"/>
          <w:marRight w:val="0"/>
          <w:marTop w:val="0"/>
          <w:marBottom w:val="0"/>
          <w:divBdr>
            <w:top w:val="none" w:sz="0" w:space="0" w:color="auto"/>
            <w:left w:val="none" w:sz="0" w:space="0" w:color="auto"/>
            <w:bottom w:val="none" w:sz="0" w:space="0" w:color="auto"/>
            <w:right w:val="none" w:sz="0" w:space="0" w:color="auto"/>
          </w:divBdr>
        </w:div>
        <w:div w:id="765808972">
          <w:marLeft w:val="0"/>
          <w:marRight w:val="0"/>
          <w:marTop w:val="0"/>
          <w:marBottom w:val="0"/>
          <w:divBdr>
            <w:top w:val="none" w:sz="0" w:space="0" w:color="auto"/>
            <w:left w:val="none" w:sz="0" w:space="0" w:color="auto"/>
            <w:bottom w:val="none" w:sz="0" w:space="0" w:color="auto"/>
            <w:right w:val="none" w:sz="0" w:space="0" w:color="auto"/>
          </w:divBdr>
          <w:divsChild>
            <w:div w:id="1224677128">
              <w:marLeft w:val="0"/>
              <w:marRight w:val="0"/>
              <w:marTop w:val="0"/>
              <w:marBottom w:val="0"/>
              <w:divBdr>
                <w:top w:val="none" w:sz="0" w:space="0" w:color="auto"/>
                <w:left w:val="none" w:sz="0" w:space="0" w:color="auto"/>
                <w:bottom w:val="none" w:sz="0" w:space="0" w:color="auto"/>
                <w:right w:val="none" w:sz="0" w:space="0" w:color="auto"/>
              </w:divBdr>
              <w:divsChild>
                <w:div w:id="4364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184717">
          <w:marLeft w:val="0"/>
          <w:marRight w:val="0"/>
          <w:marTop w:val="0"/>
          <w:marBottom w:val="0"/>
          <w:divBdr>
            <w:top w:val="none" w:sz="0" w:space="0" w:color="auto"/>
            <w:left w:val="none" w:sz="0" w:space="0" w:color="auto"/>
            <w:bottom w:val="none" w:sz="0" w:space="0" w:color="auto"/>
            <w:right w:val="none" w:sz="0" w:space="0" w:color="auto"/>
          </w:divBdr>
          <w:divsChild>
            <w:div w:id="108939924">
              <w:marLeft w:val="0"/>
              <w:marRight w:val="0"/>
              <w:marTop w:val="0"/>
              <w:marBottom w:val="0"/>
              <w:divBdr>
                <w:top w:val="none" w:sz="0" w:space="0" w:color="auto"/>
                <w:left w:val="none" w:sz="0" w:space="0" w:color="auto"/>
                <w:bottom w:val="none" w:sz="0" w:space="0" w:color="auto"/>
                <w:right w:val="none" w:sz="0" w:space="0" w:color="auto"/>
              </w:divBdr>
              <w:divsChild>
                <w:div w:id="55994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024782">
          <w:marLeft w:val="0"/>
          <w:marRight w:val="0"/>
          <w:marTop w:val="0"/>
          <w:marBottom w:val="0"/>
          <w:divBdr>
            <w:top w:val="none" w:sz="0" w:space="0" w:color="auto"/>
            <w:left w:val="none" w:sz="0" w:space="0" w:color="auto"/>
            <w:bottom w:val="none" w:sz="0" w:space="0" w:color="auto"/>
            <w:right w:val="none" w:sz="0" w:space="0" w:color="auto"/>
          </w:divBdr>
        </w:div>
        <w:div w:id="1921327534">
          <w:marLeft w:val="0"/>
          <w:marRight w:val="0"/>
          <w:marTop w:val="0"/>
          <w:marBottom w:val="0"/>
          <w:divBdr>
            <w:top w:val="none" w:sz="0" w:space="0" w:color="auto"/>
            <w:left w:val="none" w:sz="0" w:space="0" w:color="auto"/>
            <w:bottom w:val="none" w:sz="0" w:space="0" w:color="auto"/>
            <w:right w:val="none" w:sz="0" w:space="0" w:color="auto"/>
          </w:divBdr>
        </w:div>
        <w:div w:id="2001762485">
          <w:marLeft w:val="0"/>
          <w:marRight w:val="0"/>
          <w:marTop w:val="0"/>
          <w:marBottom w:val="0"/>
          <w:divBdr>
            <w:top w:val="none" w:sz="0" w:space="0" w:color="auto"/>
            <w:left w:val="none" w:sz="0" w:space="0" w:color="auto"/>
            <w:bottom w:val="none" w:sz="0" w:space="0" w:color="auto"/>
            <w:right w:val="none" w:sz="0" w:space="0" w:color="auto"/>
          </w:divBdr>
          <w:divsChild>
            <w:div w:id="1180392311">
              <w:marLeft w:val="0"/>
              <w:marRight w:val="0"/>
              <w:marTop w:val="0"/>
              <w:marBottom w:val="0"/>
              <w:divBdr>
                <w:top w:val="none" w:sz="0" w:space="0" w:color="auto"/>
                <w:left w:val="none" w:sz="0" w:space="0" w:color="auto"/>
                <w:bottom w:val="none" w:sz="0" w:space="0" w:color="auto"/>
                <w:right w:val="none" w:sz="0" w:space="0" w:color="auto"/>
              </w:divBdr>
              <w:divsChild>
                <w:div w:id="112750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014911">
      <w:bodyDiv w:val="1"/>
      <w:marLeft w:val="0"/>
      <w:marRight w:val="0"/>
      <w:marTop w:val="0"/>
      <w:marBottom w:val="0"/>
      <w:divBdr>
        <w:top w:val="none" w:sz="0" w:space="0" w:color="auto"/>
        <w:left w:val="none" w:sz="0" w:space="0" w:color="auto"/>
        <w:bottom w:val="none" w:sz="0" w:space="0" w:color="auto"/>
        <w:right w:val="none" w:sz="0" w:space="0" w:color="auto"/>
      </w:divBdr>
    </w:div>
    <w:div w:id="1863202838">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80704619">
      <w:bodyDiv w:val="1"/>
      <w:marLeft w:val="0"/>
      <w:marRight w:val="0"/>
      <w:marTop w:val="0"/>
      <w:marBottom w:val="0"/>
      <w:divBdr>
        <w:top w:val="none" w:sz="0" w:space="0" w:color="auto"/>
        <w:left w:val="none" w:sz="0" w:space="0" w:color="auto"/>
        <w:bottom w:val="none" w:sz="0" w:space="0" w:color="auto"/>
        <w:right w:val="none" w:sz="0" w:space="0" w:color="auto"/>
      </w:divBdr>
    </w:div>
    <w:div w:id="1881084775">
      <w:bodyDiv w:val="1"/>
      <w:marLeft w:val="0"/>
      <w:marRight w:val="0"/>
      <w:marTop w:val="0"/>
      <w:marBottom w:val="0"/>
      <w:divBdr>
        <w:top w:val="none" w:sz="0" w:space="0" w:color="auto"/>
        <w:left w:val="none" w:sz="0" w:space="0" w:color="auto"/>
        <w:bottom w:val="none" w:sz="0" w:space="0" w:color="auto"/>
        <w:right w:val="none" w:sz="0" w:space="0" w:color="auto"/>
      </w:divBdr>
    </w:div>
    <w:div w:id="1884058378">
      <w:bodyDiv w:val="1"/>
      <w:marLeft w:val="0"/>
      <w:marRight w:val="0"/>
      <w:marTop w:val="0"/>
      <w:marBottom w:val="0"/>
      <w:divBdr>
        <w:top w:val="none" w:sz="0" w:space="0" w:color="auto"/>
        <w:left w:val="none" w:sz="0" w:space="0" w:color="auto"/>
        <w:bottom w:val="none" w:sz="0" w:space="0" w:color="auto"/>
        <w:right w:val="none" w:sz="0" w:space="0" w:color="auto"/>
      </w:divBdr>
    </w:div>
    <w:div w:id="1885940978">
      <w:bodyDiv w:val="1"/>
      <w:marLeft w:val="0"/>
      <w:marRight w:val="0"/>
      <w:marTop w:val="0"/>
      <w:marBottom w:val="0"/>
      <w:divBdr>
        <w:top w:val="none" w:sz="0" w:space="0" w:color="auto"/>
        <w:left w:val="none" w:sz="0" w:space="0" w:color="auto"/>
        <w:bottom w:val="none" w:sz="0" w:space="0" w:color="auto"/>
        <w:right w:val="none" w:sz="0" w:space="0" w:color="auto"/>
      </w:divBdr>
    </w:div>
    <w:div w:id="1893467098">
      <w:bodyDiv w:val="1"/>
      <w:marLeft w:val="0"/>
      <w:marRight w:val="0"/>
      <w:marTop w:val="0"/>
      <w:marBottom w:val="0"/>
      <w:divBdr>
        <w:top w:val="none" w:sz="0" w:space="0" w:color="auto"/>
        <w:left w:val="none" w:sz="0" w:space="0" w:color="auto"/>
        <w:bottom w:val="none" w:sz="0" w:space="0" w:color="auto"/>
        <w:right w:val="none" w:sz="0" w:space="0" w:color="auto"/>
      </w:divBdr>
      <w:divsChild>
        <w:div w:id="464393554">
          <w:marLeft w:val="0"/>
          <w:marRight w:val="0"/>
          <w:marTop w:val="0"/>
          <w:marBottom w:val="300"/>
          <w:divBdr>
            <w:top w:val="none" w:sz="0" w:space="0" w:color="auto"/>
            <w:left w:val="none" w:sz="0" w:space="0" w:color="auto"/>
            <w:bottom w:val="none" w:sz="0" w:space="0" w:color="auto"/>
            <w:right w:val="none" w:sz="0" w:space="0" w:color="auto"/>
          </w:divBdr>
        </w:div>
        <w:div w:id="1133673741">
          <w:marLeft w:val="0"/>
          <w:marRight w:val="0"/>
          <w:marTop w:val="0"/>
          <w:marBottom w:val="0"/>
          <w:divBdr>
            <w:top w:val="none" w:sz="0" w:space="0" w:color="auto"/>
            <w:left w:val="none" w:sz="0" w:space="0" w:color="auto"/>
            <w:bottom w:val="none" w:sz="0" w:space="0" w:color="auto"/>
            <w:right w:val="none" w:sz="0" w:space="0" w:color="auto"/>
          </w:divBdr>
        </w:div>
        <w:div w:id="1584758365">
          <w:marLeft w:val="0"/>
          <w:marRight w:val="0"/>
          <w:marTop w:val="0"/>
          <w:marBottom w:val="300"/>
          <w:divBdr>
            <w:top w:val="none" w:sz="0" w:space="0" w:color="auto"/>
            <w:left w:val="none" w:sz="0" w:space="0" w:color="auto"/>
            <w:bottom w:val="none" w:sz="0" w:space="0" w:color="auto"/>
            <w:right w:val="none" w:sz="0" w:space="0" w:color="auto"/>
          </w:divBdr>
        </w:div>
        <w:div w:id="1766343983">
          <w:marLeft w:val="0"/>
          <w:marRight w:val="0"/>
          <w:marTop w:val="0"/>
          <w:marBottom w:val="0"/>
          <w:divBdr>
            <w:top w:val="none" w:sz="0" w:space="0" w:color="auto"/>
            <w:left w:val="none" w:sz="0" w:space="0" w:color="auto"/>
            <w:bottom w:val="none" w:sz="0" w:space="0" w:color="auto"/>
            <w:right w:val="none" w:sz="0" w:space="0" w:color="auto"/>
          </w:divBdr>
        </w:div>
      </w:divsChild>
    </w:div>
    <w:div w:id="1893468023">
      <w:bodyDiv w:val="1"/>
      <w:marLeft w:val="0"/>
      <w:marRight w:val="0"/>
      <w:marTop w:val="0"/>
      <w:marBottom w:val="0"/>
      <w:divBdr>
        <w:top w:val="none" w:sz="0" w:space="0" w:color="auto"/>
        <w:left w:val="none" w:sz="0" w:space="0" w:color="auto"/>
        <w:bottom w:val="none" w:sz="0" w:space="0" w:color="auto"/>
        <w:right w:val="none" w:sz="0" w:space="0" w:color="auto"/>
      </w:divBdr>
    </w:div>
    <w:div w:id="1894612251">
      <w:bodyDiv w:val="1"/>
      <w:marLeft w:val="0"/>
      <w:marRight w:val="0"/>
      <w:marTop w:val="0"/>
      <w:marBottom w:val="0"/>
      <w:divBdr>
        <w:top w:val="none" w:sz="0" w:space="0" w:color="auto"/>
        <w:left w:val="none" w:sz="0" w:space="0" w:color="auto"/>
        <w:bottom w:val="none" w:sz="0" w:space="0" w:color="auto"/>
        <w:right w:val="none" w:sz="0" w:space="0" w:color="auto"/>
      </w:divBdr>
    </w:div>
    <w:div w:id="1895895917">
      <w:bodyDiv w:val="1"/>
      <w:marLeft w:val="0"/>
      <w:marRight w:val="0"/>
      <w:marTop w:val="0"/>
      <w:marBottom w:val="0"/>
      <w:divBdr>
        <w:top w:val="none" w:sz="0" w:space="0" w:color="auto"/>
        <w:left w:val="none" w:sz="0" w:space="0" w:color="auto"/>
        <w:bottom w:val="none" w:sz="0" w:space="0" w:color="auto"/>
        <w:right w:val="none" w:sz="0" w:space="0" w:color="auto"/>
      </w:divBdr>
    </w:div>
    <w:div w:id="1896160094">
      <w:bodyDiv w:val="1"/>
      <w:marLeft w:val="0"/>
      <w:marRight w:val="0"/>
      <w:marTop w:val="0"/>
      <w:marBottom w:val="0"/>
      <w:divBdr>
        <w:top w:val="none" w:sz="0" w:space="0" w:color="auto"/>
        <w:left w:val="none" w:sz="0" w:space="0" w:color="auto"/>
        <w:bottom w:val="none" w:sz="0" w:space="0" w:color="auto"/>
        <w:right w:val="none" w:sz="0" w:space="0" w:color="auto"/>
      </w:divBdr>
    </w:div>
    <w:div w:id="1896816191">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900046439">
      <w:bodyDiv w:val="1"/>
      <w:marLeft w:val="0"/>
      <w:marRight w:val="0"/>
      <w:marTop w:val="0"/>
      <w:marBottom w:val="0"/>
      <w:divBdr>
        <w:top w:val="none" w:sz="0" w:space="0" w:color="auto"/>
        <w:left w:val="none" w:sz="0" w:space="0" w:color="auto"/>
        <w:bottom w:val="none" w:sz="0" w:space="0" w:color="auto"/>
        <w:right w:val="none" w:sz="0" w:space="0" w:color="auto"/>
      </w:divBdr>
    </w:div>
    <w:div w:id="1903250050">
      <w:bodyDiv w:val="1"/>
      <w:marLeft w:val="0"/>
      <w:marRight w:val="0"/>
      <w:marTop w:val="0"/>
      <w:marBottom w:val="0"/>
      <w:divBdr>
        <w:top w:val="none" w:sz="0" w:space="0" w:color="auto"/>
        <w:left w:val="none" w:sz="0" w:space="0" w:color="auto"/>
        <w:bottom w:val="none" w:sz="0" w:space="0" w:color="auto"/>
        <w:right w:val="none" w:sz="0" w:space="0" w:color="auto"/>
      </w:divBdr>
    </w:div>
    <w:div w:id="1904368105">
      <w:bodyDiv w:val="1"/>
      <w:marLeft w:val="0"/>
      <w:marRight w:val="0"/>
      <w:marTop w:val="0"/>
      <w:marBottom w:val="0"/>
      <w:divBdr>
        <w:top w:val="none" w:sz="0" w:space="0" w:color="auto"/>
        <w:left w:val="none" w:sz="0" w:space="0" w:color="auto"/>
        <w:bottom w:val="none" w:sz="0" w:space="0" w:color="auto"/>
        <w:right w:val="none" w:sz="0" w:space="0" w:color="auto"/>
      </w:divBdr>
    </w:div>
    <w:div w:id="1907261329">
      <w:bodyDiv w:val="1"/>
      <w:marLeft w:val="0"/>
      <w:marRight w:val="0"/>
      <w:marTop w:val="0"/>
      <w:marBottom w:val="0"/>
      <w:divBdr>
        <w:top w:val="none" w:sz="0" w:space="0" w:color="auto"/>
        <w:left w:val="none" w:sz="0" w:space="0" w:color="auto"/>
        <w:bottom w:val="none" w:sz="0" w:space="0" w:color="auto"/>
        <w:right w:val="none" w:sz="0" w:space="0" w:color="auto"/>
      </w:divBdr>
    </w:div>
    <w:div w:id="1910993879">
      <w:bodyDiv w:val="1"/>
      <w:marLeft w:val="0"/>
      <w:marRight w:val="0"/>
      <w:marTop w:val="0"/>
      <w:marBottom w:val="0"/>
      <w:divBdr>
        <w:top w:val="none" w:sz="0" w:space="0" w:color="auto"/>
        <w:left w:val="none" w:sz="0" w:space="0" w:color="auto"/>
        <w:bottom w:val="none" w:sz="0" w:space="0" w:color="auto"/>
        <w:right w:val="none" w:sz="0" w:space="0" w:color="auto"/>
      </w:divBdr>
      <w:divsChild>
        <w:div w:id="396632856">
          <w:marLeft w:val="0"/>
          <w:marRight w:val="0"/>
          <w:marTop w:val="0"/>
          <w:marBottom w:val="0"/>
          <w:divBdr>
            <w:top w:val="none" w:sz="0" w:space="0" w:color="auto"/>
            <w:left w:val="none" w:sz="0" w:space="0" w:color="auto"/>
            <w:bottom w:val="none" w:sz="0" w:space="0" w:color="auto"/>
            <w:right w:val="none" w:sz="0" w:space="0" w:color="auto"/>
          </w:divBdr>
          <w:divsChild>
            <w:div w:id="424351569">
              <w:marLeft w:val="0"/>
              <w:marRight w:val="0"/>
              <w:marTop w:val="0"/>
              <w:marBottom w:val="0"/>
              <w:divBdr>
                <w:top w:val="none" w:sz="0" w:space="0" w:color="auto"/>
                <w:left w:val="none" w:sz="0" w:space="0" w:color="auto"/>
                <w:bottom w:val="none" w:sz="0" w:space="0" w:color="auto"/>
                <w:right w:val="none" w:sz="0" w:space="0" w:color="auto"/>
              </w:divBdr>
              <w:divsChild>
                <w:div w:id="139443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464996">
          <w:marLeft w:val="0"/>
          <w:marRight w:val="0"/>
          <w:marTop w:val="0"/>
          <w:marBottom w:val="0"/>
          <w:divBdr>
            <w:top w:val="none" w:sz="0" w:space="0" w:color="auto"/>
            <w:left w:val="none" w:sz="0" w:space="0" w:color="auto"/>
            <w:bottom w:val="none" w:sz="0" w:space="0" w:color="auto"/>
            <w:right w:val="none" w:sz="0" w:space="0" w:color="auto"/>
          </w:divBdr>
          <w:divsChild>
            <w:div w:id="787627437">
              <w:marLeft w:val="0"/>
              <w:marRight w:val="0"/>
              <w:marTop w:val="0"/>
              <w:marBottom w:val="0"/>
              <w:divBdr>
                <w:top w:val="none" w:sz="0" w:space="0" w:color="auto"/>
                <w:left w:val="none" w:sz="0" w:space="0" w:color="auto"/>
                <w:bottom w:val="none" w:sz="0" w:space="0" w:color="auto"/>
                <w:right w:val="none" w:sz="0" w:space="0" w:color="auto"/>
              </w:divBdr>
              <w:divsChild>
                <w:div w:id="62465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99684">
          <w:marLeft w:val="0"/>
          <w:marRight w:val="0"/>
          <w:marTop w:val="0"/>
          <w:marBottom w:val="0"/>
          <w:divBdr>
            <w:top w:val="none" w:sz="0" w:space="0" w:color="auto"/>
            <w:left w:val="none" w:sz="0" w:space="0" w:color="auto"/>
            <w:bottom w:val="none" w:sz="0" w:space="0" w:color="auto"/>
            <w:right w:val="none" w:sz="0" w:space="0" w:color="auto"/>
          </w:divBdr>
          <w:divsChild>
            <w:div w:id="1592010372">
              <w:marLeft w:val="0"/>
              <w:marRight w:val="0"/>
              <w:marTop w:val="0"/>
              <w:marBottom w:val="0"/>
              <w:divBdr>
                <w:top w:val="none" w:sz="0" w:space="0" w:color="auto"/>
                <w:left w:val="none" w:sz="0" w:space="0" w:color="auto"/>
                <w:bottom w:val="none" w:sz="0" w:space="0" w:color="auto"/>
                <w:right w:val="none" w:sz="0" w:space="0" w:color="auto"/>
              </w:divBdr>
              <w:divsChild>
                <w:div w:id="87577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132216">
          <w:marLeft w:val="0"/>
          <w:marRight w:val="0"/>
          <w:marTop w:val="0"/>
          <w:marBottom w:val="0"/>
          <w:divBdr>
            <w:top w:val="none" w:sz="0" w:space="0" w:color="auto"/>
            <w:left w:val="none" w:sz="0" w:space="0" w:color="auto"/>
            <w:bottom w:val="none" w:sz="0" w:space="0" w:color="auto"/>
            <w:right w:val="none" w:sz="0" w:space="0" w:color="auto"/>
          </w:divBdr>
        </w:div>
        <w:div w:id="1668944161">
          <w:marLeft w:val="0"/>
          <w:marRight w:val="0"/>
          <w:marTop w:val="0"/>
          <w:marBottom w:val="0"/>
          <w:divBdr>
            <w:top w:val="none" w:sz="0" w:space="0" w:color="auto"/>
            <w:left w:val="none" w:sz="0" w:space="0" w:color="auto"/>
            <w:bottom w:val="none" w:sz="0" w:space="0" w:color="auto"/>
            <w:right w:val="none" w:sz="0" w:space="0" w:color="auto"/>
          </w:divBdr>
        </w:div>
        <w:div w:id="1898126933">
          <w:marLeft w:val="0"/>
          <w:marRight w:val="0"/>
          <w:marTop w:val="0"/>
          <w:marBottom w:val="0"/>
          <w:divBdr>
            <w:top w:val="none" w:sz="0" w:space="0" w:color="auto"/>
            <w:left w:val="none" w:sz="0" w:space="0" w:color="auto"/>
            <w:bottom w:val="none" w:sz="0" w:space="0" w:color="auto"/>
            <w:right w:val="none" w:sz="0" w:space="0" w:color="auto"/>
          </w:divBdr>
        </w:div>
        <w:div w:id="1899050458">
          <w:marLeft w:val="0"/>
          <w:marRight w:val="0"/>
          <w:marTop w:val="0"/>
          <w:marBottom w:val="0"/>
          <w:divBdr>
            <w:top w:val="none" w:sz="0" w:space="0" w:color="auto"/>
            <w:left w:val="none" w:sz="0" w:space="0" w:color="auto"/>
            <w:bottom w:val="none" w:sz="0" w:space="0" w:color="auto"/>
            <w:right w:val="none" w:sz="0" w:space="0" w:color="auto"/>
          </w:divBdr>
          <w:divsChild>
            <w:div w:id="1302031711">
              <w:marLeft w:val="0"/>
              <w:marRight w:val="0"/>
              <w:marTop w:val="0"/>
              <w:marBottom w:val="0"/>
              <w:divBdr>
                <w:top w:val="none" w:sz="0" w:space="0" w:color="auto"/>
                <w:left w:val="none" w:sz="0" w:space="0" w:color="auto"/>
                <w:bottom w:val="none" w:sz="0" w:space="0" w:color="auto"/>
                <w:right w:val="none" w:sz="0" w:space="0" w:color="auto"/>
              </w:divBdr>
              <w:divsChild>
                <w:div w:id="100231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656087">
      <w:bodyDiv w:val="1"/>
      <w:marLeft w:val="0"/>
      <w:marRight w:val="0"/>
      <w:marTop w:val="0"/>
      <w:marBottom w:val="0"/>
      <w:divBdr>
        <w:top w:val="none" w:sz="0" w:space="0" w:color="auto"/>
        <w:left w:val="none" w:sz="0" w:space="0" w:color="auto"/>
        <w:bottom w:val="none" w:sz="0" w:space="0" w:color="auto"/>
        <w:right w:val="none" w:sz="0" w:space="0" w:color="auto"/>
      </w:divBdr>
    </w:div>
    <w:div w:id="1917201369">
      <w:bodyDiv w:val="1"/>
      <w:marLeft w:val="0"/>
      <w:marRight w:val="0"/>
      <w:marTop w:val="0"/>
      <w:marBottom w:val="0"/>
      <w:divBdr>
        <w:top w:val="none" w:sz="0" w:space="0" w:color="auto"/>
        <w:left w:val="none" w:sz="0" w:space="0" w:color="auto"/>
        <w:bottom w:val="none" w:sz="0" w:space="0" w:color="auto"/>
        <w:right w:val="none" w:sz="0" w:space="0" w:color="auto"/>
      </w:divBdr>
    </w:div>
    <w:div w:id="1918247492">
      <w:bodyDiv w:val="1"/>
      <w:marLeft w:val="0"/>
      <w:marRight w:val="0"/>
      <w:marTop w:val="0"/>
      <w:marBottom w:val="0"/>
      <w:divBdr>
        <w:top w:val="none" w:sz="0" w:space="0" w:color="auto"/>
        <w:left w:val="none" w:sz="0" w:space="0" w:color="auto"/>
        <w:bottom w:val="none" w:sz="0" w:space="0" w:color="auto"/>
        <w:right w:val="none" w:sz="0" w:space="0" w:color="auto"/>
      </w:divBdr>
    </w:div>
    <w:div w:id="1920021561">
      <w:bodyDiv w:val="1"/>
      <w:marLeft w:val="0"/>
      <w:marRight w:val="0"/>
      <w:marTop w:val="0"/>
      <w:marBottom w:val="0"/>
      <w:divBdr>
        <w:top w:val="none" w:sz="0" w:space="0" w:color="auto"/>
        <w:left w:val="none" w:sz="0" w:space="0" w:color="auto"/>
        <w:bottom w:val="none" w:sz="0" w:space="0" w:color="auto"/>
        <w:right w:val="none" w:sz="0" w:space="0" w:color="auto"/>
      </w:divBdr>
    </w:div>
    <w:div w:id="1933196398">
      <w:bodyDiv w:val="1"/>
      <w:marLeft w:val="0"/>
      <w:marRight w:val="0"/>
      <w:marTop w:val="0"/>
      <w:marBottom w:val="0"/>
      <w:divBdr>
        <w:top w:val="none" w:sz="0" w:space="0" w:color="auto"/>
        <w:left w:val="none" w:sz="0" w:space="0" w:color="auto"/>
        <w:bottom w:val="none" w:sz="0" w:space="0" w:color="auto"/>
        <w:right w:val="none" w:sz="0" w:space="0" w:color="auto"/>
      </w:divBdr>
    </w:div>
    <w:div w:id="1940676451">
      <w:bodyDiv w:val="1"/>
      <w:marLeft w:val="0"/>
      <w:marRight w:val="0"/>
      <w:marTop w:val="0"/>
      <w:marBottom w:val="0"/>
      <w:divBdr>
        <w:top w:val="none" w:sz="0" w:space="0" w:color="auto"/>
        <w:left w:val="none" w:sz="0" w:space="0" w:color="auto"/>
        <w:bottom w:val="none" w:sz="0" w:space="0" w:color="auto"/>
        <w:right w:val="none" w:sz="0" w:space="0" w:color="auto"/>
      </w:divBdr>
    </w:div>
    <w:div w:id="1942179310">
      <w:bodyDiv w:val="1"/>
      <w:marLeft w:val="0"/>
      <w:marRight w:val="0"/>
      <w:marTop w:val="0"/>
      <w:marBottom w:val="0"/>
      <w:divBdr>
        <w:top w:val="none" w:sz="0" w:space="0" w:color="auto"/>
        <w:left w:val="none" w:sz="0" w:space="0" w:color="auto"/>
        <w:bottom w:val="none" w:sz="0" w:space="0" w:color="auto"/>
        <w:right w:val="none" w:sz="0" w:space="0" w:color="auto"/>
      </w:divBdr>
    </w:div>
    <w:div w:id="1946695426">
      <w:bodyDiv w:val="1"/>
      <w:marLeft w:val="0"/>
      <w:marRight w:val="0"/>
      <w:marTop w:val="0"/>
      <w:marBottom w:val="0"/>
      <w:divBdr>
        <w:top w:val="none" w:sz="0" w:space="0" w:color="auto"/>
        <w:left w:val="none" w:sz="0" w:space="0" w:color="auto"/>
        <w:bottom w:val="none" w:sz="0" w:space="0" w:color="auto"/>
        <w:right w:val="none" w:sz="0" w:space="0" w:color="auto"/>
      </w:divBdr>
    </w:div>
    <w:div w:id="1947957429">
      <w:bodyDiv w:val="1"/>
      <w:marLeft w:val="0"/>
      <w:marRight w:val="0"/>
      <w:marTop w:val="0"/>
      <w:marBottom w:val="0"/>
      <w:divBdr>
        <w:top w:val="none" w:sz="0" w:space="0" w:color="auto"/>
        <w:left w:val="none" w:sz="0" w:space="0" w:color="auto"/>
        <w:bottom w:val="none" w:sz="0" w:space="0" w:color="auto"/>
        <w:right w:val="none" w:sz="0" w:space="0" w:color="auto"/>
      </w:divBdr>
    </w:div>
    <w:div w:id="1955364124">
      <w:bodyDiv w:val="1"/>
      <w:marLeft w:val="0"/>
      <w:marRight w:val="0"/>
      <w:marTop w:val="0"/>
      <w:marBottom w:val="0"/>
      <w:divBdr>
        <w:top w:val="none" w:sz="0" w:space="0" w:color="auto"/>
        <w:left w:val="none" w:sz="0" w:space="0" w:color="auto"/>
        <w:bottom w:val="none" w:sz="0" w:space="0" w:color="auto"/>
        <w:right w:val="none" w:sz="0" w:space="0" w:color="auto"/>
      </w:divBdr>
    </w:div>
    <w:div w:id="1957834205">
      <w:bodyDiv w:val="1"/>
      <w:marLeft w:val="0"/>
      <w:marRight w:val="0"/>
      <w:marTop w:val="0"/>
      <w:marBottom w:val="0"/>
      <w:divBdr>
        <w:top w:val="none" w:sz="0" w:space="0" w:color="auto"/>
        <w:left w:val="none" w:sz="0" w:space="0" w:color="auto"/>
        <w:bottom w:val="none" w:sz="0" w:space="0" w:color="auto"/>
        <w:right w:val="none" w:sz="0" w:space="0" w:color="auto"/>
      </w:divBdr>
    </w:div>
    <w:div w:id="1960724096">
      <w:bodyDiv w:val="1"/>
      <w:marLeft w:val="0"/>
      <w:marRight w:val="0"/>
      <w:marTop w:val="0"/>
      <w:marBottom w:val="0"/>
      <w:divBdr>
        <w:top w:val="none" w:sz="0" w:space="0" w:color="auto"/>
        <w:left w:val="none" w:sz="0" w:space="0" w:color="auto"/>
        <w:bottom w:val="none" w:sz="0" w:space="0" w:color="auto"/>
        <w:right w:val="none" w:sz="0" w:space="0" w:color="auto"/>
      </w:divBdr>
    </w:div>
    <w:div w:id="1962110980">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75482045">
      <w:bodyDiv w:val="1"/>
      <w:marLeft w:val="0"/>
      <w:marRight w:val="0"/>
      <w:marTop w:val="0"/>
      <w:marBottom w:val="0"/>
      <w:divBdr>
        <w:top w:val="none" w:sz="0" w:space="0" w:color="auto"/>
        <w:left w:val="none" w:sz="0" w:space="0" w:color="auto"/>
        <w:bottom w:val="none" w:sz="0" w:space="0" w:color="auto"/>
        <w:right w:val="none" w:sz="0" w:space="0" w:color="auto"/>
      </w:divBdr>
    </w:div>
    <w:div w:id="1976446852">
      <w:bodyDiv w:val="1"/>
      <w:marLeft w:val="0"/>
      <w:marRight w:val="0"/>
      <w:marTop w:val="0"/>
      <w:marBottom w:val="0"/>
      <w:divBdr>
        <w:top w:val="none" w:sz="0" w:space="0" w:color="auto"/>
        <w:left w:val="none" w:sz="0" w:space="0" w:color="auto"/>
        <w:bottom w:val="none" w:sz="0" w:space="0" w:color="auto"/>
        <w:right w:val="none" w:sz="0" w:space="0" w:color="auto"/>
      </w:divBdr>
    </w:div>
    <w:div w:id="1980844191">
      <w:bodyDiv w:val="1"/>
      <w:marLeft w:val="0"/>
      <w:marRight w:val="0"/>
      <w:marTop w:val="0"/>
      <w:marBottom w:val="0"/>
      <w:divBdr>
        <w:top w:val="none" w:sz="0" w:space="0" w:color="auto"/>
        <w:left w:val="none" w:sz="0" w:space="0" w:color="auto"/>
        <w:bottom w:val="none" w:sz="0" w:space="0" w:color="auto"/>
        <w:right w:val="none" w:sz="0" w:space="0" w:color="auto"/>
      </w:divBdr>
    </w:div>
    <w:div w:id="1982609428">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89282401">
      <w:bodyDiv w:val="1"/>
      <w:marLeft w:val="0"/>
      <w:marRight w:val="0"/>
      <w:marTop w:val="0"/>
      <w:marBottom w:val="0"/>
      <w:divBdr>
        <w:top w:val="none" w:sz="0" w:space="0" w:color="auto"/>
        <w:left w:val="none" w:sz="0" w:space="0" w:color="auto"/>
        <w:bottom w:val="none" w:sz="0" w:space="0" w:color="auto"/>
        <w:right w:val="none" w:sz="0" w:space="0" w:color="auto"/>
      </w:divBdr>
    </w:div>
    <w:div w:id="1989935222">
      <w:bodyDiv w:val="1"/>
      <w:marLeft w:val="0"/>
      <w:marRight w:val="0"/>
      <w:marTop w:val="0"/>
      <w:marBottom w:val="0"/>
      <w:divBdr>
        <w:top w:val="none" w:sz="0" w:space="0" w:color="auto"/>
        <w:left w:val="none" w:sz="0" w:space="0" w:color="auto"/>
        <w:bottom w:val="none" w:sz="0" w:space="0" w:color="auto"/>
        <w:right w:val="none" w:sz="0" w:space="0" w:color="auto"/>
      </w:divBdr>
    </w:div>
    <w:div w:id="2003046968">
      <w:bodyDiv w:val="1"/>
      <w:marLeft w:val="0"/>
      <w:marRight w:val="0"/>
      <w:marTop w:val="0"/>
      <w:marBottom w:val="0"/>
      <w:divBdr>
        <w:top w:val="none" w:sz="0" w:space="0" w:color="auto"/>
        <w:left w:val="none" w:sz="0" w:space="0" w:color="auto"/>
        <w:bottom w:val="none" w:sz="0" w:space="0" w:color="auto"/>
        <w:right w:val="none" w:sz="0" w:space="0" w:color="auto"/>
      </w:divBdr>
    </w:div>
    <w:div w:id="2004699989">
      <w:bodyDiv w:val="1"/>
      <w:marLeft w:val="0"/>
      <w:marRight w:val="0"/>
      <w:marTop w:val="0"/>
      <w:marBottom w:val="0"/>
      <w:divBdr>
        <w:top w:val="none" w:sz="0" w:space="0" w:color="auto"/>
        <w:left w:val="none" w:sz="0" w:space="0" w:color="auto"/>
        <w:bottom w:val="none" w:sz="0" w:space="0" w:color="auto"/>
        <w:right w:val="none" w:sz="0" w:space="0" w:color="auto"/>
      </w:divBdr>
    </w:div>
    <w:div w:id="2004894176">
      <w:bodyDiv w:val="1"/>
      <w:marLeft w:val="0"/>
      <w:marRight w:val="0"/>
      <w:marTop w:val="0"/>
      <w:marBottom w:val="0"/>
      <w:divBdr>
        <w:top w:val="none" w:sz="0" w:space="0" w:color="auto"/>
        <w:left w:val="none" w:sz="0" w:space="0" w:color="auto"/>
        <w:bottom w:val="none" w:sz="0" w:space="0" w:color="auto"/>
        <w:right w:val="none" w:sz="0" w:space="0" w:color="auto"/>
      </w:divBdr>
    </w:div>
    <w:div w:id="2007592719">
      <w:bodyDiv w:val="1"/>
      <w:marLeft w:val="0"/>
      <w:marRight w:val="0"/>
      <w:marTop w:val="0"/>
      <w:marBottom w:val="0"/>
      <w:divBdr>
        <w:top w:val="none" w:sz="0" w:space="0" w:color="auto"/>
        <w:left w:val="none" w:sz="0" w:space="0" w:color="auto"/>
        <w:bottom w:val="none" w:sz="0" w:space="0" w:color="auto"/>
        <w:right w:val="none" w:sz="0" w:space="0" w:color="auto"/>
      </w:divBdr>
    </w:div>
    <w:div w:id="2008315674">
      <w:bodyDiv w:val="1"/>
      <w:marLeft w:val="0"/>
      <w:marRight w:val="0"/>
      <w:marTop w:val="0"/>
      <w:marBottom w:val="0"/>
      <w:divBdr>
        <w:top w:val="none" w:sz="0" w:space="0" w:color="auto"/>
        <w:left w:val="none" w:sz="0" w:space="0" w:color="auto"/>
        <w:bottom w:val="none" w:sz="0" w:space="0" w:color="auto"/>
        <w:right w:val="none" w:sz="0" w:space="0" w:color="auto"/>
      </w:divBdr>
    </w:div>
    <w:div w:id="2010450316">
      <w:bodyDiv w:val="1"/>
      <w:marLeft w:val="0"/>
      <w:marRight w:val="0"/>
      <w:marTop w:val="0"/>
      <w:marBottom w:val="0"/>
      <w:divBdr>
        <w:top w:val="none" w:sz="0" w:space="0" w:color="auto"/>
        <w:left w:val="none" w:sz="0" w:space="0" w:color="auto"/>
        <w:bottom w:val="none" w:sz="0" w:space="0" w:color="auto"/>
        <w:right w:val="none" w:sz="0" w:space="0" w:color="auto"/>
      </w:divBdr>
    </w:div>
    <w:div w:id="2013214768">
      <w:bodyDiv w:val="1"/>
      <w:marLeft w:val="0"/>
      <w:marRight w:val="0"/>
      <w:marTop w:val="0"/>
      <w:marBottom w:val="0"/>
      <w:divBdr>
        <w:top w:val="none" w:sz="0" w:space="0" w:color="auto"/>
        <w:left w:val="none" w:sz="0" w:space="0" w:color="auto"/>
        <w:bottom w:val="none" w:sz="0" w:space="0" w:color="auto"/>
        <w:right w:val="none" w:sz="0" w:space="0" w:color="auto"/>
      </w:divBdr>
    </w:div>
    <w:div w:id="2015954894">
      <w:bodyDiv w:val="1"/>
      <w:marLeft w:val="0"/>
      <w:marRight w:val="0"/>
      <w:marTop w:val="0"/>
      <w:marBottom w:val="0"/>
      <w:divBdr>
        <w:top w:val="none" w:sz="0" w:space="0" w:color="auto"/>
        <w:left w:val="none" w:sz="0" w:space="0" w:color="auto"/>
        <w:bottom w:val="none" w:sz="0" w:space="0" w:color="auto"/>
        <w:right w:val="none" w:sz="0" w:space="0" w:color="auto"/>
      </w:divBdr>
    </w:div>
    <w:div w:id="2018724809">
      <w:bodyDiv w:val="1"/>
      <w:marLeft w:val="0"/>
      <w:marRight w:val="0"/>
      <w:marTop w:val="0"/>
      <w:marBottom w:val="0"/>
      <w:divBdr>
        <w:top w:val="none" w:sz="0" w:space="0" w:color="auto"/>
        <w:left w:val="none" w:sz="0" w:space="0" w:color="auto"/>
        <w:bottom w:val="none" w:sz="0" w:space="0" w:color="auto"/>
        <w:right w:val="none" w:sz="0" w:space="0" w:color="auto"/>
      </w:divBdr>
    </w:div>
    <w:div w:id="2020505102">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21159530">
      <w:bodyDiv w:val="1"/>
      <w:marLeft w:val="0"/>
      <w:marRight w:val="0"/>
      <w:marTop w:val="0"/>
      <w:marBottom w:val="0"/>
      <w:divBdr>
        <w:top w:val="none" w:sz="0" w:space="0" w:color="auto"/>
        <w:left w:val="none" w:sz="0" w:space="0" w:color="auto"/>
        <w:bottom w:val="none" w:sz="0" w:space="0" w:color="auto"/>
        <w:right w:val="none" w:sz="0" w:space="0" w:color="auto"/>
      </w:divBdr>
    </w:div>
    <w:div w:id="2030905725">
      <w:bodyDiv w:val="1"/>
      <w:marLeft w:val="0"/>
      <w:marRight w:val="0"/>
      <w:marTop w:val="0"/>
      <w:marBottom w:val="0"/>
      <w:divBdr>
        <w:top w:val="none" w:sz="0" w:space="0" w:color="auto"/>
        <w:left w:val="none" w:sz="0" w:space="0" w:color="auto"/>
        <w:bottom w:val="none" w:sz="0" w:space="0" w:color="auto"/>
        <w:right w:val="none" w:sz="0" w:space="0" w:color="auto"/>
      </w:divBdr>
    </w:div>
    <w:div w:id="2031947841">
      <w:bodyDiv w:val="1"/>
      <w:marLeft w:val="0"/>
      <w:marRight w:val="0"/>
      <w:marTop w:val="0"/>
      <w:marBottom w:val="0"/>
      <w:divBdr>
        <w:top w:val="none" w:sz="0" w:space="0" w:color="auto"/>
        <w:left w:val="none" w:sz="0" w:space="0" w:color="auto"/>
        <w:bottom w:val="none" w:sz="0" w:space="0" w:color="auto"/>
        <w:right w:val="none" w:sz="0" w:space="0" w:color="auto"/>
      </w:divBdr>
    </w:div>
    <w:div w:id="2039306817">
      <w:bodyDiv w:val="1"/>
      <w:marLeft w:val="0"/>
      <w:marRight w:val="0"/>
      <w:marTop w:val="0"/>
      <w:marBottom w:val="0"/>
      <w:divBdr>
        <w:top w:val="none" w:sz="0" w:space="0" w:color="auto"/>
        <w:left w:val="none" w:sz="0" w:space="0" w:color="auto"/>
        <w:bottom w:val="none" w:sz="0" w:space="0" w:color="auto"/>
        <w:right w:val="none" w:sz="0" w:space="0" w:color="auto"/>
      </w:divBdr>
    </w:div>
    <w:div w:id="2040203543">
      <w:bodyDiv w:val="1"/>
      <w:marLeft w:val="0"/>
      <w:marRight w:val="0"/>
      <w:marTop w:val="0"/>
      <w:marBottom w:val="0"/>
      <w:divBdr>
        <w:top w:val="none" w:sz="0" w:space="0" w:color="auto"/>
        <w:left w:val="none" w:sz="0" w:space="0" w:color="auto"/>
        <w:bottom w:val="none" w:sz="0" w:space="0" w:color="auto"/>
        <w:right w:val="none" w:sz="0" w:space="0" w:color="auto"/>
      </w:divBdr>
    </w:div>
    <w:div w:id="2042901363">
      <w:bodyDiv w:val="1"/>
      <w:marLeft w:val="0"/>
      <w:marRight w:val="0"/>
      <w:marTop w:val="0"/>
      <w:marBottom w:val="0"/>
      <w:divBdr>
        <w:top w:val="none" w:sz="0" w:space="0" w:color="auto"/>
        <w:left w:val="none" w:sz="0" w:space="0" w:color="auto"/>
        <w:bottom w:val="none" w:sz="0" w:space="0" w:color="auto"/>
        <w:right w:val="none" w:sz="0" w:space="0" w:color="auto"/>
      </w:divBdr>
    </w:div>
    <w:div w:id="2043438412">
      <w:bodyDiv w:val="1"/>
      <w:marLeft w:val="0"/>
      <w:marRight w:val="0"/>
      <w:marTop w:val="0"/>
      <w:marBottom w:val="0"/>
      <w:divBdr>
        <w:top w:val="none" w:sz="0" w:space="0" w:color="auto"/>
        <w:left w:val="none" w:sz="0" w:space="0" w:color="auto"/>
        <w:bottom w:val="none" w:sz="0" w:space="0" w:color="auto"/>
        <w:right w:val="none" w:sz="0" w:space="0" w:color="auto"/>
      </w:divBdr>
    </w:div>
    <w:div w:id="2044624803">
      <w:bodyDiv w:val="1"/>
      <w:marLeft w:val="0"/>
      <w:marRight w:val="0"/>
      <w:marTop w:val="0"/>
      <w:marBottom w:val="0"/>
      <w:divBdr>
        <w:top w:val="none" w:sz="0" w:space="0" w:color="auto"/>
        <w:left w:val="none" w:sz="0" w:space="0" w:color="auto"/>
        <w:bottom w:val="none" w:sz="0" w:space="0" w:color="auto"/>
        <w:right w:val="none" w:sz="0" w:space="0" w:color="auto"/>
      </w:divBdr>
    </w:div>
    <w:div w:id="2046833166">
      <w:bodyDiv w:val="1"/>
      <w:marLeft w:val="0"/>
      <w:marRight w:val="0"/>
      <w:marTop w:val="0"/>
      <w:marBottom w:val="0"/>
      <w:divBdr>
        <w:top w:val="none" w:sz="0" w:space="0" w:color="auto"/>
        <w:left w:val="none" w:sz="0" w:space="0" w:color="auto"/>
        <w:bottom w:val="none" w:sz="0" w:space="0" w:color="auto"/>
        <w:right w:val="none" w:sz="0" w:space="0" w:color="auto"/>
      </w:divBdr>
    </w:div>
    <w:div w:id="2071226158">
      <w:bodyDiv w:val="1"/>
      <w:marLeft w:val="0"/>
      <w:marRight w:val="0"/>
      <w:marTop w:val="0"/>
      <w:marBottom w:val="0"/>
      <w:divBdr>
        <w:top w:val="none" w:sz="0" w:space="0" w:color="auto"/>
        <w:left w:val="none" w:sz="0" w:space="0" w:color="auto"/>
        <w:bottom w:val="none" w:sz="0" w:space="0" w:color="auto"/>
        <w:right w:val="none" w:sz="0" w:space="0" w:color="auto"/>
      </w:divBdr>
    </w:div>
    <w:div w:id="2075856986">
      <w:bodyDiv w:val="1"/>
      <w:marLeft w:val="0"/>
      <w:marRight w:val="0"/>
      <w:marTop w:val="0"/>
      <w:marBottom w:val="0"/>
      <w:divBdr>
        <w:top w:val="none" w:sz="0" w:space="0" w:color="auto"/>
        <w:left w:val="none" w:sz="0" w:space="0" w:color="auto"/>
        <w:bottom w:val="none" w:sz="0" w:space="0" w:color="auto"/>
        <w:right w:val="none" w:sz="0" w:space="0" w:color="auto"/>
      </w:divBdr>
    </w:div>
    <w:div w:id="2080899137">
      <w:bodyDiv w:val="1"/>
      <w:marLeft w:val="0"/>
      <w:marRight w:val="0"/>
      <w:marTop w:val="0"/>
      <w:marBottom w:val="0"/>
      <w:divBdr>
        <w:top w:val="none" w:sz="0" w:space="0" w:color="auto"/>
        <w:left w:val="none" w:sz="0" w:space="0" w:color="auto"/>
        <w:bottom w:val="none" w:sz="0" w:space="0" w:color="auto"/>
        <w:right w:val="none" w:sz="0" w:space="0" w:color="auto"/>
      </w:divBdr>
    </w:div>
    <w:div w:id="2081169443">
      <w:bodyDiv w:val="1"/>
      <w:marLeft w:val="0"/>
      <w:marRight w:val="0"/>
      <w:marTop w:val="0"/>
      <w:marBottom w:val="0"/>
      <w:divBdr>
        <w:top w:val="none" w:sz="0" w:space="0" w:color="auto"/>
        <w:left w:val="none" w:sz="0" w:space="0" w:color="auto"/>
        <w:bottom w:val="none" w:sz="0" w:space="0" w:color="auto"/>
        <w:right w:val="none" w:sz="0" w:space="0" w:color="auto"/>
      </w:divBdr>
    </w:div>
    <w:div w:id="2083522020">
      <w:bodyDiv w:val="1"/>
      <w:marLeft w:val="0"/>
      <w:marRight w:val="0"/>
      <w:marTop w:val="0"/>
      <w:marBottom w:val="0"/>
      <w:divBdr>
        <w:top w:val="none" w:sz="0" w:space="0" w:color="auto"/>
        <w:left w:val="none" w:sz="0" w:space="0" w:color="auto"/>
        <w:bottom w:val="none" w:sz="0" w:space="0" w:color="auto"/>
        <w:right w:val="none" w:sz="0" w:space="0" w:color="auto"/>
      </w:divBdr>
    </w:div>
    <w:div w:id="2089382621">
      <w:bodyDiv w:val="1"/>
      <w:marLeft w:val="0"/>
      <w:marRight w:val="0"/>
      <w:marTop w:val="0"/>
      <w:marBottom w:val="0"/>
      <w:divBdr>
        <w:top w:val="none" w:sz="0" w:space="0" w:color="auto"/>
        <w:left w:val="none" w:sz="0" w:space="0" w:color="auto"/>
        <w:bottom w:val="none" w:sz="0" w:space="0" w:color="auto"/>
        <w:right w:val="none" w:sz="0" w:space="0" w:color="auto"/>
      </w:divBdr>
    </w:div>
    <w:div w:id="2096898649">
      <w:bodyDiv w:val="1"/>
      <w:marLeft w:val="0"/>
      <w:marRight w:val="0"/>
      <w:marTop w:val="0"/>
      <w:marBottom w:val="0"/>
      <w:divBdr>
        <w:top w:val="none" w:sz="0" w:space="0" w:color="auto"/>
        <w:left w:val="none" w:sz="0" w:space="0" w:color="auto"/>
        <w:bottom w:val="none" w:sz="0" w:space="0" w:color="auto"/>
        <w:right w:val="none" w:sz="0" w:space="0" w:color="auto"/>
      </w:divBdr>
    </w:div>
    <w:div w:id="2100516952">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06799948">
      <w:bodyDiv w:val="1"/>
      <w:marLeft w:val="0"/>
      <w:marRight w:val="0"/>
      <w:marTop w:val="0"/>
      <w:marBottom w:val="0"/>
      <w:divBdr>
        <w:top w:val="none" w:sz="0" w:space="0" w:color="auto"/>
        <w:left w:val="none" w:sz="0" w:space="0" w:color="auto"/>
        <w:bottom w:val="none" w:sz="0" w:space="0" w:color="auto"/>
        <w:right w:val="none" w:sz="0" w:space="0" w:color="auto"/>
      </w:divBdr>
    </w:div>
    <w:div w:id="2112313963">
      <w:bodyDiv w:val="1"/>
      <w:marLeft w:val="0"/>
      <w:marRight w:val="0"/>
      <w:marTop w:val="0"/>
      <w:marBottom w:val="0"/>
      <w:divBdr>
        <w:top w:val="none" w:sz="0" w:space="0" w:color="auto"/>
        <w:left w:val="none" w:sz="0" w:space="0" w:color="auto"/>
        <w:bottom w:val="none" w:sz="0" w:space="0" w:color="auto"/>
        <w:right w:val="none" w:sz="0" w:space="0" w:color="auto"/>
      </w:divBdr>
    </w:div>
    <w:div w:id="2112895824">
      <w:bodyDiv w:val="1"/>
      <w:marLeft w:val="0"/>
      <w:marRight w:val="0"/>
      <w:marTop w:val="0"/>
      <w:marBottom w:val="0"/>
      <w:divBdr>
        <w:top w:val="none" w:sz="0" w:space="0" w:color="auto"/>
        <w:left w:val="none" w:sz="0" w:space="0" w:color="auto"/>
        <w:bottom w:val="none" w:sz="0" w:space="0" w:color="auto"/>
        <w:right w:val="none" w:sz="0" w:space="0" w:color="auto"/>
      </w:divBdr>
    </w:div>
    <w:div w:id="2125804567">
      <w:bodyDiv w:val="1"/>
      <w:marLeft w:val="0"/>
      <w:marRight w:val="0"/>
      <w:marTop w:val="0"/>
      <w:marBottom w:val="0"/>
      <w:divBdr>
        <w:top w:val="none" w:sz="0" w:space="0" w:color="auto"/>
        <w:left w:val="none" w:sz="0" w:space="0" w:color="auto"/>
        <w:bottom w:val="none" w:sz="0" w:space="0" w:color="auto"/>
        <w:right w:val="none" w:sz="0" w:space="0" w:color="auto"/>
      </w:divBdr>
    </w:div>
    <w:div w:id="2126607274">
      <w:bodyDiv w:val="1"/>
      <w:marLeft w:val="0"/>
      <w:marRight w:val="0"/>
      <w:marTop w:val="0"/>
      <w:marBottom w:val="0"/>
      <w:divBdr>
        <w:top w:val="none" w:sz="0" w:space="0" w:color="auto"/>
        <w:left w:val="none" w:sz="0" w:space="0" w:color="auto"/>
        <w:bottom w:val="none" w:sz="0" w:space="0" w:color="auto"/>
        <w:right w:val="none" w:sz="0" w:space="0" w:color="auto"/>
      </w:divBdr>
    </w:div>
    <w:div w:id="2129277186">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4710505">
      <w:bodyDiv w:val="1"/>
      <w:marLeft w:val="0"/>
      <w:marRight w:val="0"/>
      <w:marTop w:val="0"/>
      <w:marBottom w:val="0"/>
      <w:divBdr>
        <w:top w:val="none" w:sz="0" w:space="0" w:color="auto"/>
        <w:left w:val="none" w:sz="0" w:space="0" w:color="auto"/>
        <w:bottom w:val="none" w:sz="0" w:space="0" w:color="auto"/>
        <w:right w:val="none" w:sz="0" w:space="0" w:color="auto"/>
      </w:divBdr>
    </w:div>
    <w:div w:id="2134979990">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 w:id="2140831542">
      <w:bodyDiv w:val="1"/>
      <w:marLeft w:val="0"/>
      <w:marRight w:val="0"/>
      <w:marTop w:val="0"/>
      <w:marBottom w:val="0"/>
      <w:divBdr>
        <w:top w:val="none" w:sz="0" w:space="0" w:color="auto"/>
        <w:left w:val="none" w:sz="0" w:space="0" w:color="auto"/>
        <w:bottom w:val="none" w:sz="0" w:space="0" w:color="auto"/>
        <w:right w:val="none" w:sz="0" w:space="0" w:color="auto"/>
      </w:divBdr>
    </w:div>
    <w:div w:id="2143227650">
      <w:bodyDiv w:val="1"/>
      <w:marLeft w:val="0"/>
      <w:marRight w:val="0"/>
      <w:marTop w:val="0"/>
      <w:marBottom w:val="0"/>
      <w:divBdr>
        <w:top w:val="none" w:sz="0" w:space="0" w:color="auto"/>
        <w:left w:val="none" w:sz="0" w:space="0" w:color="auto"/>
        <w:bottom w:val="none" w:sz="0" w:space="0" w:color="auto"/>
        <w:right w:val="none" w:sz="0" w:space="0" w:color="auto"/>
      </w:divBdr>
    </w:div>
    <w:div w:id="21442250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amnesty.org/en/wp-content/uploads/2025/01/ACT3085442024ENGLISH.pdf" TargetMode="External" Id="rId13" /><Relationship Type="http://schemas.openxmlformats.org/officeDocument/2006/relationships/hyperlink" Target="https://www.imf.org/en/Publications/WEO/Issues/2025/10/14/world-economic-outlook-october-2025" TargetMode="External" Id="rId18" /><Relationship Type="http://schemas.openxmlformats.org/officeDocument/2006/relationships/hyperlink" Target="https://home.treasury.gov/news/press-releases/jy1379" TargetMode="External" Id="rId26" /><Relationship Type="http://schemas.openxmlformats.org/officeDocument/2006/relationships/customXml" Target="../customXml/item3.xml" Id="rId3" /><Relationship Type="http://schemas.openxmlformats.org/officeDocument/2006/relationships/hyperlink" Target="https://www.jstor.org/stable/1809766" TargetMode="External" Id="rId21" /><Relationship Type="http://schemas.openxmlformats.org/officeDocument/2006/relationships/footer" Target="footer1.xml" Id="rId34"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hyperlink" Target="https://www.ifrs.org/issued-standards/list-of-standards/ias-21-the-effects-of-changes-in-foreign-exchange-rates/" TargetMode="External" Id="rId17" /><Relationship Type="http://schemas.openxmlformats.org/officeDocument/2006/relationships/chart" Target="charts/chart7.xml" Id="rId33" /><Relationship Type="http://schemas.openxmlformats.org/officeDocument/2006/relationships/customXml" Target="../customXml/item2.xml" Id="rId2" /><Relationship Type="http://schemas.openxmlformats.org/officeDocument/2006/relationships/hyperlink" Target="https://www.iea.org/reports/global-ev-outlook-2023" TargetMode="External" Id="rId16" /><Relationship Type="http://schemas.openxmlformats.org/officeDocument/2006/relationships/hyperlink" Target="https://www.irs.gov/credits-deductions/credits-for-new-clean-vehicles-purchased-in-2023-or-after" TargetMode="External" Id="rId20" /><Relationship Type="http://schemas.openxmlformats.org/officeDocument/2006/relationships/chart" Target="charts/chart3.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chart" Target="charts/chart6.xml" Id="rId32" /><Relationship Type="http://schemas.openxmlformats.org/officeDocument/2006/relationships/numbering" Target="numbering.xml" Id="rId5" /><Relationship Type="http://schemas.openxmlformats.org/officeDocument/2006/relationships/hyperlink" Target="https://www.federalregister.gov/documents/2024/05/06/2024-09094/clean-vehicle-credits-under-sections-25e-and-30d-transfer-of-credits-critical-minerals-and-battery" TargetMode="External" Id="rId15" /><Relationship Type="http://schemas.openxmlformats.org/officeDocument/2006/relationships/hyperlink" Target="https://www.sec.gov/Archives/edgar/data/1318605/000162828026003952/tsla-20251231.htm" TargetMode="External" Id="rId23" /><Relationship Type="http://schemas.openxmlformats.org/officeDocument/2006/relationships/chart" Target="charts/chart2.xml" Id="rId28" /><Relationship Type="http://schemas.openxmlformats.org/officeDocument/2006/relationships/theme" Target="theme/theme1.xml" Id="rId36" /><Relationship Type="http://schemas.openxmlformats.org/officeDocument/2006/relationships/endnotes" Target="endnotes.xml" Id="rId10" /><Relationship Type="http://schemas.openxmlformats.org/officeDocument/2006/relationships/hyperlink" Target="https://www.imf.org/en/Publications/WEO/Issues/2025/07/29/world-economic-outlook-update-july-2025" TargetMode="External" Id="rId19" /><Relationship Type="http://schemas.openxmlformats.org/officeDocument/2006/relationships/chart" Target="charts/chart5.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congress.gov/crs-product/IF12600" TargetMode="External" Id="rId14" /><Relationship Type="http://schemas.openxmlformats.org/officeDocument/2006/relationships/chart" Target="charts/chart1.xml" Id="rId27" /><Relationship Type="http://schemas.openxmlformats.org/officeDocument/2006/relationships/chart" Target="charts/chart4.xml" Id="rId30" /><Relationship Type="http://schemas.openxmlformats.org/officeDocument/2006/relationships/fontTable" Target="fontTable.xml" Id="rId35" /><Relationship Type="http://schemas.openxmlformats.org/officeDocument/2006/relationships/header" Target="header.xml" Id="Rb771e08dd9f24b2d" /><Relationship Type="http://schemas.openxmlformats.org/officeDocument/2006/relationships/footer" Target="footer2.xml" Id="R0be938a1ae864244" /><Relationship Type="http://schemas.openxmlformats.org/officeDocument/2006/relationships/header" Target="header2.xml" Id="R49ff99ef7362472b" /><Relationship Type="http://schemas.openxmlformats.org/officeDocument/2006/relationships/footer" Target="footer3.xml" Id="R204de1ea5e364fc8" /><Relationship Type="http://schemas.openxmlformats.org/officeDocument/2006/relationships/hyperlink" Target="https://www.oecd.org/en/publications/2016/04/oecd-due-diligence-guidance-for-responsible-supply-chains-of-minerals-from-conflict-affected-and-high-risk-areas_g1g65996.html" TargetMode="External" Id="R51b61ec204ed4e87" /><Relationship Type="http://schemas.openxmlformats.org/officeDocument/2006/relationships/hyperlink" Target="https://ir.tesla.com/" TargetMode="External" Id="R4bb6030fa22e44a6" /><Relationship Type="http://schemas.openxmlformats.org/officeDocument/2006/relationships/hyperlink" Target="https://www.tesla.com/impact" TargetMode="External" Id="R5b20b7bf5c794a27" /><Relationship Type="http://schemas.openxmlformats.org/officeDocument/2006/relationships/hyperlink" Target="https://www.sec.gov/edgar/browse/?CIK=1318605" TargetMode="External" Id="R54a53339229744bc" /><Relationship Type="http://schemas.openxmlformats.org/officeDocument/2006/relationships/header" Target="header3.xml" Id="Re17a03ad955d4a73" /><Relationship Type="http://schemas.microsoft.com/office/2020/10/relationships/intelligence" Target="intelligence2.xml" Id="R493e609daa7f4b0c" /></Relationships>
</file>

<file path=word/charts/_rels/chart1.xml.rels><?xml version="1.0" encoding="UTF-8" standalone="yes"?>
<Relationships xmlns="http://schemas.openxmlformats.org/package/2006/relationships"><Relationship Id="rId3" Type="http://schemas.openxmlformats.org/officeDocument/2006/relationships/oleObject" Target="https://hasan1438-my.sharepoint.com/personal/ashad_hasan1438_onmicrosoft_com/Documents/Assignments/Faizullah/2026/2.%20February/Work%202/Workings.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https://hasan1438-my.sharepoint.com/personal/ashad_hasan1438_onmicrosoft_com/Documents/Assignments/Faizullah/2026/2.%20February/Work%202/Workings.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https://hasan1438-my.sharepoint.com/personal/ashad_hasan1438_onmicrosoft_com/Documents/Assignments/Faizullah/2026/2.%20February/Work%202/Workings.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https://hasan1438-my.sharepoint.com/personal/ashad_hasan1438_onmicrosoft_com/Documents/Assignments/Faizullah/2026/2.%20February/Work%202/Workings.xlsx"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https://hasan1438-my.sharepoint.com/personal/ashad_hasan1438_onmicrosoft_com/Documents/Assignments/Faizullah/2026/2.%20February/Work%202/Workings.xlsx"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https://hasan1438-my.sharepoint.com/personal/ashad_hasan1438_onmicrosoft_com/Documents/Assignments/Faizullah/2026/2.%20February/Work%202/Workings.xlsx" TargetMode="External" /><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3" Type="http://schemas.openxmlformats.org/officeDocument/2006/relationships/oleObject" Target="https://hasan1438-my.sharepoint.com/personal/ashad_hasan1438_onmicrosoft_com/Documents/Assignments/Faizullah/2026/2.%20February/Work%202/Workings.xlsx" TargetMode="External" /><Relationship Id="rId2" Type="http://schemas.microsoft.com/office/2011/relationships/chartColorStyle" Target="colors7.xml" /><Relationship Id="rId1" Type="http://schemas.microsoft.com/office/2011/relationships/chartStyle" Target="style7.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'Ratio Analysis'!$C$3</c:f>
          <c:strCache>
            <c:ptCount val="1"/>
            <c:pt idx="0">
              <c:v>Profitability Ratios</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Analysis'!$C$4</c:f>
              <c:strCache>
                <c:ptCount val="1"/>
                <c:pt idx="0">
                  <c:v>Return on Capital Employed (ROCE)</c:v>
                </c:pt>
              </c:strCache>
            </c:strRef>
          </c:tx>
          <c:spPr>
            <a:ln w="28575" cap="rnd">
              <a:solidFill>
                <a:schemeClr val="accent1"/>
              </a:solidFill>
              <a:round/>
            </a:ln>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Analysis'!$D$4:$H$4</c:f>
              <c:numCache>
                <c:formatCode>0.00%</c:formatCode>
                <c:ptCount val="5"/>
                <c:pt idx="0">
                  <c:v>4.1049277985144968E-2</c:v>
                </c:pt>
                <c:pt idx="1">
                  <c:v>7.5882851290630465E-2</c:v>
                </c:pt>
                <c:pt idx="2">
                  <c:v>0.11417747527931167</c:v>
                </c:pt>
                <c:pt idx="3">
                  <c:v>0.24548347085153427</c:v>
                </c:pt>
                <c:pt idx="4">
                  <c:v>0.1537500589261302</c:v>
                </c:pt>
              </c:numCache>
            </c:numRef>
          </c:val>
          <c:smooth val="0"/>
          <c:extLst>
            <c:ext xmlns:c16="http://schemas.microsoft.com/office/drawing/2014/chart" uri="{C3380CC4-5D6E-409C-BE32-E72D297353CC}">
              <c16:uniqueId val="{00000000-45D9-4FC8-9A5F-3B34F824006F}"/>
            </c:ext>
          </c:extLst>
        </c:ser>
        <c:ser>
          <c:idx val="1"/>
          <c:order val="1"/>
          <c:tx>
            <c:strRef>
              <c:f>'Ratio Analysis'!$C$5</c:f>
              <c:strCache>
                <c:ptCount val="1"/>
                <c:pt idx="0">
                  <c:v>Net Profit Margin</c:v>
                </c:pt>
              </c:strCache>
            </c:strRef>
          </c:tx>
          <c:spPr>
            <a:ln w="28575" cap="rnd">
              <a:solidFill>
                <a:schemeClr val="accent2"/>
              </a:solidFill>
              <a:round/>
            </a:ln>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Analysis'!$D$5:$H$5</c:f>
              <c:numCache>
                <c:formatCode>0.00%</c:formatCode>
                <c:ptCount val="5"/>
                <c:pt idx="0">
                  <c:v>4.0652978582049415E-2</c:v>
                </c:pt>
                <c:pt idx="1">
                  <c:v>7.322141467908691E-2</c:v>
                </c:pt>
                <c:pt idx="2">
                  <c:v>0.1547332417099811</c:v>
                </c:pt>
                <c:pt idx="3">
                  <c:v>0.15451376101740688</c:v>
                </c:pt>
                <c:pt idx="4">
                  <c:v>0.10486223361759843</c:v>
                </c:pt>
              </c:numCache>
            </c:numRef>
          </c:val>
          <c:smooth val="0"/>
          <c:extLst>
            <c:ext xmlns:c16="http://schemas.microsoft.com/office/drawing/2014/chart" uri="{C3380CC4-5D6E-409C-BE32-E72D297353CC}">
              <c16:uniqueId val="{00000001-45D9-4FC8-9A5F-3B34F824006F}"/>
            </c:ext>
          </c:extLst>
        </c:ser>
        <c:dLbls>
          <c:showLegendKey val="0"/>
          <c:showVal val="0"/>
          <c:showCatName val="0"/>
          <c:showSerName val="0"/>
          <c:showPercent val="0"/>
          <c:showBubbleSize val="0"/>
        </c:dLbls>
        <c:smooth val="0"/>
        <c:axId val="468109055"/>
        <c:axId val="468111935"/>
      </c:lineChart>
      <c:catAx>
        <c:axId val="468109055"/>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111935"/>
        <c:crosses val="autoZero"/>
        <c:auto val="1"/>
        <c:lblAlgn val="ctr"/>
        <c:lblOffset val="100"/>
        <c:noMultiLvlLbl val="0"/>
      </c:catAx>
      <c:valAx>
        <c:axId val="468111935"/>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10905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'Ratio Analysis'!$C$6</c:f>
          <c:strCache>
            <c:ptCount val="1"/>
            <c:pt idx="0">
              <c:v>Liquidity Ratios</c:v>
            </c:pt>
          </c:strCache>
        </c:strRef>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'Ratio Analysis'!$C$7</c:f>
              <c:strCache>
                <c:ptCount val="1"/>
                <c:pt idx="0">
                  <c:v>Current Ratio</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Analysis'!$D$7:$H$7</c:f>
              <c:numCache>
                <c:formatCode>_(* #,##0.00_);_(* \(#,##0.00\);_(* "-"??_);_(@_)</c:formatCode>
                <c:ptCount val="5"/>
                <c:pt idx="0">
                  <c:v>2.1644068865485275</c:v>
                </c:pt>
                <c:pt idx="1">
                  <c:v>2.0249123902709831</c:v>
                </c:pt>
                <c:pt idx="2">
                  <c:v>1.7258939752330598</c:v>
                </c:pt>
                <c:pt idx="3">
                  <c:v>1.53195552061103</c:v>
                </c:pt>
                <c:pt idx="4">
                  <c:v>1.3752854605430094</c:v>
                </c:pt>
              </c:numCache>
            </c:numRef>
          </c:val>
          <c:smooth val="0"/>
          <c:extLst>
            <c:ext xmlns:c16="http://schemas.microsoft.com/office/drawing/2014/chart" uri="{C3380CC4-5D6E-409C-BE32-E72D297353CC}">
              <c16:uniqueId val="{00000000-ECA6-4B6B-94BD-9D189562AEE7}"/>
            </c:ext>
          </c:extLst>
        </c:ser>
        <c:ser>
          <c:idx val="1"/>
          <c:order val="1"/>
          <c:tx>
            <c:strRef>
              <c:f>'Ratio Analysis'!$C$8</c:f>
              <c:strCache>
                <c:ptCount val="1"/>
                <c:pt idx="0">
                  <c:v>Quick Ratio (Acid Test Ratio)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Analysis'!$D$8:$H$8</c:f>
              <c:numCache>
                <c:formatCode>_(* #,##0.00_);_(* \(#,##0.00\);_(* "-"??_);_(@_)</c:formatCode>
                <c:ptCount val="5"/>
                <c:pt idx="0">
                  <c:v>1.5335498518004667</c:v>
                </c:pt>
                <c:pt idx="1">
                  <c:v>1.421914576177093</c:v>
                </c:pt>
                <c:pt idx="2">
                  <c:v>1.1340614999304299</c:v>
                </c:pt>
                <c:pt idx="3">
                  <c:v>0.94114343479725937</c:v>
                </c:pt>
                <c:pt idx="4">
                  <c:v>0.99568637401674698</c:v>
                </c:pt>
              </c:numCache>
            </c:numRef>
          </c:val>
          <c:smooth val="0"/>
          <c:extLst>
            <c:ext xmlns:c16="http://schemas.microsoft.com/office/drawing/2014/chart" uri="{C3380CC4-5D6E-409C-BE32-E72D297353CC}">
              <c16:uniqueId val="{00000001-ECA6-4B6B-94BD-9D189562AEE7}"/>
            </c:ext>
          </c:extLst>
        </c:ser>
        <c:dLbls>
          <c:showLegendKey val="0"/>
          <c:showVal val="0"/>
          <c:showCatName val="0"/>
          <c:showSerName val="0"/>
          <c:showPercent val="0"/>
          <c:showBubbleSize val="0"/>
        </c:dLbls>
        <c:smooth val="0"/>
        <c:axId val="468109055"/>
        <c:axId val="468111935"/>
      </c:lineChart>
      <c:catAx>
        <c:axId val="468109055"/>
        <c:scaling>
          <c:orientation val="maxMin"/>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8111935"/>
        <c:crosses val="autoZero"/>
        <c:auto val="1"/>
        <c:lblAlgn val="ctr"/>
        <c:lblOffset val="100"/>
        <c:noMultiLvlLbl val="0"/>
      </c:catAx>
      <c:valAx>
        <c:axId val="468111935"/>
        <c:scaling>
          <c:orientation val="minMax"/>
        </c:scaling>
        <c:delete val="0"/>
        <c:axPos val="r"/>
        <c:majorGridlines>
          <c:spPr>
            <a:ln w="9525" cap="flat" cmpd="sng" algn="ctr">
              <a:solidFill>
                <a:schemeClr val="lt1">
                  <a:lumMod val="95000"/>
                  <a:alpha val="10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8109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'Ratio Analysis'!$C$9</c:f>
          <c:strCache>
            <c:ptCount val="1"/>
            <c:pt idx="0">
              <c:v>Efficiency Ratios</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Analysis'!$C$10</c:f>
              <c:strCache>
                <c:ptCount val="1"/>
                <c:pt idx="0">
                  <c:v>Asset Turnover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 Analysis'!$D$3:$H$3</c:f>
              <c:numCache>
                <c:formatCode>General</c:formatCode>
                <c:ptCount val="5"/>
                <c:pt idx="0">
                  <c:v>2025</c:v>
                </c:pt>
                <c:pt idx="1">
                  <c:v>2024</c:v>
                </c:pt>
                <c:pt idx="2">
                  <c:v>2023</c:v>
                </c:pt>
                <c:pt idx="3">
                  <c:v>2022</c:v>
                </c:pt>
                <c:pt idx="4">
                  <c:v>2021</c:v>
                </c:pt>
              </c:numCache>
            </c:numRef>
          </c:cat>
          <c:val>
            <c:numRef>
              <c:f>'Ratio Analysis'!$D$10:$H$10</c:f>
              <c:numCache>
                <c:formatCode>_(* #,##0.00_);_(* \(#,##0.00\);_(* "-"??_);_(@_)</c:formatCode>
                <c:ptCount val="5"/>
                <c:pt idx="0">
                  <c:v>0.89381857255966524</c:v>
                </c:pt>
                <c:pt idx="1">
                  <c:v>1.0476251756051003</c:v>
                </c:pt>
                <c:pt idx="2">
                  <c:v>1.2427507384101708</c:v>
                </c:pt>
                <c:pt idx="3">
                  <c:v>1.4643800895216523</c:v>
                </c:pt>
                <c:pt idx="4">
                  <c:v>1.2686324423702446</c:v>
                </c:pt>
              </c:numCache>
            </c:numRef>
          </c:val>
          <c:smooth val="0"/>
          <c:extLst>
            <c:ext xmlns:c16="http://schemas.microsoft.com/office/drawing/2014/chart" uri="{C3380CC4-5D6E-409C-BE32-E72D297353CC}">
              <c16:uniqueId val="{00000000-6781-480D-9CAE-C617E1A4AC01}"/>
            </c:ext>
          </c:extLst>
        </c:ser>
        <c:ser>
          <c:idx val="1"/>
          <c:order val="1"/>
          <c:tx>
            <c:strRef>
              <c:f>'Ratio Analysis'!$C$11</c:f>
              <c:strCache>
                <c:ptCount val="1"/>
                <c:pt idx="0">
                  <c:v>Inventory Turnover</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'Ratio Analysis'!$D$3:$H$3</c:f>
              <c:numCache>
                <c:formatCode>General</c:formatCode>
                <c:ptCount val="5"/>
                <c:pt idx="0">
                  <c:v>2025</c:v>
                </c:pt>
                <c:pt idx="1">
                  <c:v>2024</c:v>
                </c:pt>
                <c:pt idx="2">
                  <c:v>2023</c:v>
                </c:pt>
                <c:pt idx="3">
                  <c:v>2022</c:v>
                </c:pt>
                <c:pt idx="4">
                  <c:v>2021</c:v>
                </c:pt>
              </c:numCache>
            </c:numRef>
          </c:cat>
          <c:val>
            <c:numRef>
              <c:f>'Ratio Analysis'!$D$11:$H$11</c:f>
              <c:numCache>
                <c:formatCode>_(* #,##0.00_);_(* \(#,##0.00\);_(* "-"??_);_(@_)</c:formatCode>
                <c:ptCount val="5"/>
                <c:pt idx="0">
                  <c:v>6.2728373143963845</c:v>
                </c:pt>
                <c:pt idx="1">
                  <c:v>6.6772072896729631</c:v>
                </c:pt>
                <c:pt idx="2">
                  <c:v>5.806032584764421</c:v>
                </c:pt>
                <c:pt idx="3">
                  <c:v>4.7206947581587348</c:v>
                </c:pt>
                <c:pt idx="4">
                  <c:v>6.9857564703838806</c:v>
                </c:pt>
              </c:numCache>
            </c:numRef>
          </c:val>
          <c:smooth val="0"/>
          <c:extLst>
            <c:ext xmlns:c16="http://schemas.microsoft.com/office/drawing/2014/chart" uri="{C3380CC4-5D6E-409C-BE32-E72D297353CC}">
              <c16:uniqueId val="{00000001-6781-480D-9CAE-C617E1A4AC01}"/>
            </c:ext>
          </c:extLst>
        </c:ser>
        <c:dLbls>
          <c:showLegendKey val="0"/>
          <c:showVal val="0"/>
          <c:showCatName val="0"/>
          <c:showSerName val="0"/>
          <c:showPercent val="0"/>
          <c:showBubbleSize val="0"/>
        </c:dLbls>
        <c:marker val="1"/>
        <c:smooth val="0"/>
        <c:axId val="468109055"/>
        <c:axId val="468111935"/>
      </c:lineChart>
      <c:catAx>
        <c:axId val="468109055"/>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111935"/>
        <c:crosses val="autoZero"/>
        <c:auto val="1"/>
        <c:lblAlgn val="ctr"/>
        <c:lblOffset val="100"/>
        <c:noMultiLvlLbl val="0"/>
      </c:catAx>
      <c:valAx>
        <c:axId val="468111935"/>
        <c:scaling>
          <c:orientation val="minMax"/>
        </c:scaling>
        <c:delete val="0"/>
        <c:axPos val="r"/>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109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'Ratio Analysis'!$C$12</c:f>
          <c:strCache>
            <c:ptCount val="1"/>
            <c:pt idx="0">
              <c:v>Gearing Ratios</c:v>
            </c:pt>
          </c:strCache>
        </c:strRef>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1"/>
          <c:order val="1"/>
          <c:tx>
            <c:strRef>
              <c:f>'Ratio Analysis'!$C$14</c:f>
              <c:strCache>
                <c:ptCount val="1"/>
                <c:pt idx="0">
                  <c:v>Interest Cover Ratio</c:v>
                </c:pt>
              </c:strCache>
            </c:strRef>
          </c:tx>
          <c:spPr>
            <a:ln w="15875" cap="rnd">
              <a:solidFill>
                <a:schemeClr val="accent2"/>
              </a:solidFill>
              <a:round/>
            </a:ln>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Analysis'!$D$14:$H$14</c:f>
              <c:numCache>
                <c:formatCode>_(* #,##0.00_);_(* \(#,##0.00\);_(* "-"??_);_(@_)</c:formatCode>
                <c:ptCount val="5"/>
                <c:pt idx="0">
                  <c:v>12.884615384615385</c:v>
                </c:pt>
                <c:pt idx="1">
                  <c:v>20.217142857142857</c:v>
                </c:pt>
                <c:pt idx="2">
                  <c:v>56.993589743589745</c:v>
                </c:pt>
                <c:pt idx="3">
                  <c:v>71.497382198952877</c:v>
                </c:pt>
                <c:pt idx="4">
                  <c:v>17.5822102425876</c:v>
                </c:pt>
              </c:numCache>
            </c:numRef>
          </c:val>
          <c:smooth val="0"/>
          <c:extLst>
            <c:ext xmlns:c16="http://schemas.microsoft.com/office/drawing/2014/chart" uri="{C3380CC4-5D6E-409C-BE32-E72D297353CC}">
              <c16:uniqueId val="{00000000-771B-422E-97A6-EC68F8B9E723}"/>
            </c:ext>
          </c:extLst>
        </c:ser>
        <c:dLbls>
          <c:showLegendKey val="0"/>
          <c:showVal val="0"/>
          <c:showCatName val="0"/>
          <c:showSerName val="0"/>
          <c:showPercent val="0"/>
          <c:showBubbleSize val="0"/>
        </c:dLbls>
        <c:marker val="1"/>
        <c:smooth val="0"/>
        <c:axId val="468109055"/>
        <c:axId val="468111935"/>
      </c:lineChart>
      <c:lineChart>
        <c:grouping val="standard"/>
        <c:varyColors val="0"/>
        <c:ser>
          <c:idx val="0"/>
          <c:order val="0"/>
          <c:tx>
            <c:strRef>
              <c:f>'Ratio Analysis'!$C$13</c:f>
              <c:strCache>
                <c:ptCount val="1"/>
                <c:pt idx="0">
                  <c:v>Debt-to-Equity Ratio</c:v>
                </c:pt>
              </c:strCache>
            </c:strRef>
          </c:tx>
          <c:spPr>
            <a:ln w="15875" cap="rnd">
              <a:solidFill>
                <a:schemeClr val="accent1"/>
              </a:solidFill>
              <a:round/>
            </a:ln>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Analysis'!$D$13:$H$13</c:f>
              <c:numCache>
                <c:formatCode>_(* #,##0.00_);_(* \(#,##0.00\);_(* "-"??_);_(@_)</c:formatCode>
                <c:ptCount val="5"/>
                <c:pt idx="0">
                  <c:v>0.66889465161863715</c:v>
                </c:pt>
                <c:pt idx="1">
                  <c:v>0.66366765871655264</c:v>
                </c:pt>
                <c:pt idx="2">
                  <c:v>0.68667177571287163</c:v>
                </c:pt>
                <c:pt idx="3">
                  <c:v>0.81513958482462423</c:v>
                </c:pt>
                <c:pt idx="4">
                  <c:v>1.0118917486501706</c:v>
                </c:pt>
              </c:numCache>
            </c:numRef>
          </c:val>
          <c:smooth val="0"/>
          <c:extLst>
            <c:ext xmlns:c16="http://schemas.microsoft.com/office/drawing/2014/chart" uri="{C3380CC4-5D6E-409C-BE32-E72D297353CC}">
              <c16:uniqueId val="{00000001-771B-422E-97A6-EC68F8B9E723}"/>
            </c:ext>
          </c:extLst>
        </c:ser>
        <c:dLbls>
          <c:showLegendKey val="0"/>
          <c:showVal val="0"/>
          <c:showCatName val="0"/>
          <c:showSerName val="0"/>
          <c:showPercent val="0"/>
          <c:showBubbleSize val="0"/>
        </c:dLbls>
        <c:marker val="1"/>
        <c:smooth val="0"/>
        <c:axId val="468071983"/>
        <c:axId val="127886463"/>
      </c:lineChart>
      <c:catAx>
        <c:axId val="468109055"/>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68111935"/>
        <c:crosses val="autoZero"/>
        <c:auto val="1"/>
        <c:lblAlgn val="ctr"/>
        <c:lblOffset val="100"/>
        <c:noMultiLvlLbl val="0"/>
      </c:catAx>
      <c:valAx>
        <c:axId val="468111935"/>
        <c:scaling>
          <c:orientation val="minMax"/>
        </c:scaling>
        <c:delete val="0"/>
        <c:axPos val="r"/>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68109055"/>
        <c:crosses val="autoZero"/>
        <c:crossBetween val="between"/>
      </c:valAx>
      <c:valAx>
        <c:axId val="127886463"/>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68071983"/>
        <c:crosses val="autoZero"/>
        <c:crossBetween val="between"/>
      </c:valAx>
      <c:catAx>
        <c:axId val="468071983"/>
        <c:scaling>
          <c:orientation val="minMax"/>
        </c:scaling>
        <c:delete val="1"/>
        <c:axPos val="b"/>
        <c:numFmt formatCode="General" sourceLinked="1"/>
        <c:majorTickMark val="none"/>
        <c:minorTickMark val="none"/>
        <c:tickLblPos val="nextTo"/>
        <c:crossAx val="127886463"/>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'Ratio Analysis'!$C$15</c:f>
          <c:strCache>
            <c:ptCount val="1"/>
            <c:pt idx="0">
              <c:v>Investment Ratios</c:v>
            </c:pt>
          </c:strCache>
        </c:strRef>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1"/>
          <c:order val="1"/>
          <c:tx>
            <c:strRef>
              <c:f>'Ratio Analysis'!$C$17</c:f>
              <c:strCache>
                <c:ptCount val="1"/>
                <c:pt idx="0">
                  <c:v>Price/Earnings (P/E) Ratio</c:v>
                </c:pt>
              </c:strCache>
            </c:strRef>
          </c:tx>
          <c:spPr>
            <a:ln w="22225" cap="rnd">
              <a:solidFill>
                <a:schemeClr val="accent2"/>
              </a:solidFill>
              <a:round/>
            </a:ln>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Analysis'!$D$17:$H$17</c:f>
              <c:numCache>
                <c:formatCode>_(* #,##0.00_);_(* \(#,##0.00\);_(* "-"??_);_(@_)</c:formatCode>
                <c:ptCount val="5"/>
                <c:pt idx="0">
                  <c:v>398.52777777777777</c:v>
                </c:pt>
                <c:pt idx="1">
                  <c:v>198.33333333333334</c:v>
                </c:pt>
                <c:pt idx="2">
                  <c:v>43.555813953488375</c:v>
                </c:pt>
                <c:pt idx="3">
                  <c:v>47.84530386740331</c:v>
                </c:pt>
                <c:pt idx="4">
                  <c:v>191.55828220858896</c:v>
                </c:pt>
              </c:numCache>
            </c:numRef>
          </c:val>
          <c:smooth val="0"/>
          <c:extLst>
            <c:ext xmlns:c16="http://schemas.microsoft.com/office/drawing/2014/chart" uri="{C3380CC4-5D6E-409C-BE32-E72D297353CC}">
              <c16:uniqueId val="{00000000-9F11-411C-89EC-804F82AEA152}"/>
            </c:ext>
          </c:extLst>
        </c:ser>
        <c:dLbls>
          <c:showLegendKey val="0"/>
          <c:showVal val="0"/>
          <c:showCatName val="0"/>
          <c:showSerName val="0"/>
          <c:showPercent val="0"/>
          <c:showBubbleSize val="0"/>
        </c:dLbls>
        <c:marker val="1"/>
        <c:smooth val="0"/>
        <c:axId val="468109055"/>
        <c:axId val="468111935"/>
      </c:lineChart>
      <c:lineChart>
        <c:grouping val="standard"/>
        <c:varyColors val="0"/>
        <c:ser>
          <c:idx val="0"/>
          <c:order val="0"/>
          <c:tx>
            <c:strRef>
              <c:f>'Ratio Analysis'!$C$16</c:f>
              <c:strCache>
                <c:ptCount val="1"/>
                <c:pt idx="0">
                  <c:v>Earnings Per Share (EPS)</c:v>
                </c:pt>
              </c:strCache>
            </c:strRef>
          </c:tx>
          <c:spPr>
            <a:ln w="22225" cap="rnd">
              <a:solidFill>
                <a:schemeClr val="accent1"/>
              </a:solidFill>
              <a:round/>
            </a:ln>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Analysis'!$D$16:$H$16</c:f>
              <c:numCache>
                <c:formatCode>_(* #,##0.00_);_(* \(#,##0.00\);_(* "-"??_);_(@_)</c:formatCode>
                <c:ptCount val="5"/>
                <c:pt idx="0">
                  <c:v>1.08</c:v>
                </c:pt>
                <c:pt idx="1">
                  <c:v>2.04</c:v>
                </c:pt>
                <c:pt idx="2">
                  <c:v>4.3</c:v>
                </c:pt>
                <c:pt idx="3">
                  <c:v>3.62</c:v>
                </c:pt>
                <c:pt idx="4">
                  <c:v>1.63</c:v>
                </c:pt>
              </c:numCache>
            </c:numRef>
          </c:val>
          <c:smooth val="0"/>
          <c:extLst>
            <c:ext xmlns:c16="http://schemas.microsoft.com/office/drawing/2014/chart" uri="{C3380CC4-5D6E-409C-BE32-E72D297353CC}">
              <c16:uniqueId val="{00000001-9F11-411C-89EC-804F82AEA152}"/>
            </c:ext>
          </c:extLst>
        </c:ser>
        <c:dLbls>
          <c:showLegendKey val="0"/>
          <c:showVal val="0"/>
          <c:showCatName val="0"/>
          <c:showSerName val="0"/>
          <c:showPercent val="0"/>
          <c:showBubbleSize val="0"/>
        </c:dLbls>
        <c:marker val="1"/>
        <c:smooth val="0"/>
        <c:axId val="468071983"/>
        <c:axId val="127886463"/>
      </c:lineChart>
      <c:catAx>
        <c:axId val="468109055"/>
        <c:scaling>
          <c:orientation val="maxMin"/>
        </c:scaling>
        <c:delete val="0"/>
        <c:axPos val="b"/>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68111935"/>
        <c:crosses val="autoZero"/>
        <c:auto val="1"/>
        <c:lblAlgn val="ctr"/>
        <c:lblOffset val="100"/>
        <c:noMultiLvlLbl val="0"/>
      </c:catAx>
      <c:valAx>
        <c:axId val="468111935"/>
        <c:scaling>
          <c:orientation val="minMax"/>
        </c:scaling>
        <c:delete val="0"/>
        <c:axPos val="r"/>
        <c:majorGridlines>
          <c:spPr>
            <a:ln w="9525" cap="flat" cmpd="sng" algn="ctr">
              <a:solidFill>
                <a:schemeClr val="dk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68109055"/>
        <c:crosses val="autoZero"/>
        <c:crossBetween val="between"/>
      </c:valAx>
      <c:valAx>
        <c:axId val="127886463"/>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68071983"/>
        <c:crosses val="autoZero"/>
        <c:crossBetween val="between"/>
      </c:valAx>
      <c:catAx>
        <c:axId val="468071983"/>
        <c:scaling>
          <c:orientation val="minMax"/>
        </c:scaling>
        <c:delete val="1"/>
        <c:axPos val="b"/>
        <c:numFmt formatCode="General" sourceLinked="1"/>
        <c:majorTickMark val="out"/>
        <c:minorTickMark val="none"/>
        <c:tickLblPos val="nextTo"/>
        <c:crossAx val="127886463"/>
        <c:crosses val="autoZero"/>
        <c:auto val="1"/>
        <c:lblAlgn val="ctr"/>
        <c:lblOffset val="100"/>
        <c:noMultiLvlLbl val="0"/>
      </c:cat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'Ratio Analysis'!$C$18</c:f>
          <c:strCache>
            <c:ptCount val="1"/>
            <c:pt idx="0">
              <c:v>Cash Flow Ratios</c:v>
            </c:pt>
          </c:strCache>
        </c:strRef>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1"/>
          <c:order val="1"/>
          <c:tx>
            <c:strRef>
              <c:f>'Ratio Analysis'!$C$20</c:f>
              <c:strCache>
                <c:ptCount val="1"/>
                <c:pt idx="0">
                  <c:v>Free Cash Flow (FCF) to Sales Ratio</c:v>
                </c:pt>
              </c:strCache>
            </c:strRef>
          </c:tx>
          <c:spPr>
            <a:ln w="28575" cap="rnd">
              <a:solidFill>
                <a:schemeClr val="accent2"/>
              </a:solidFill>
              <a:round/>
            </a:ln>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Analysis'!$D$20:$H$20</c:f>
              <c:numCache>
                <c:formatCode>_(* #,##0.00_);_(* \(#,##0.00\);_(* "-"??_);_(@_)</c:formatCode>
                <c:ptCount val="5"/>
                <c:pt idx="0">
                  <c:v>6.5593132757547953E-2</c:v>
                </c:pt>
                <c:pt idx="1">
                  <c:v>3.665677141979732E-2</c:v>
                </c:pt>
                <c:pt idx="2">
                  <c:v>4.5022888615626262E-2</c:v>
                </c:pt>
                <c:pt idx="3">
                  <c:v>9.2877660749797447E-2</c:v>
                </c:pt>
                <c:pt idx="4">
                  <c:v>9.3175779871058836E-2</c:v>
                </c:pt>
              </c:numCache>
            </c:numRef>
          </c:val>
          <c:smooth val="0"/>
          <c:extLst>
            <c:ext xmlns:c16="http://schemas.microsoft.com/office/drawing/2014/chart" uri="{C3380CC4-5D6E-409C-BE32-E72D297353CC}">
              <c16:uniqueId val="{00000000-7FFD-4BDA-AFEF-59B34FB0264B}"/>
            </c:ext>
          </c:extLst>
        </c:ser>
        <c:dLbls>
          <c:showLegendKey val="0"/>
          <c:showVal val="0"/>
          <c:showCatName val="0"/>
          <c:showSerName val="0"/>
          <c:showPercent val="0"/>
          <c:showBubbleSize val="0"/>
        </c:dLbls>
        <c:marker val="1"/>
        <c:smooth val="0"/>
        <c:axId val="468109055"/>
        <c:axId val="468111935"/>
      </c:lineChart>
      <c:lineChart>
        <c:grouping val="standard"/>
        <c:varyColors val="0"/>
        <c:ser>
          <c:idx val="0"/>
          <c:order val="0"/>
          <c:tx>
            <c:strRef>
              <c:f>'Ratio Analysis'!$C$19</c:f>
              <c:strCache>
                <c:ptCount val="1"/>
                <c:pt idx="0">
                  <c:v>Operating Cash Flow Ratio</c:v>
                </c:pt>
              </c:strCache>
            </c:strRef>
          </c:tx>
          <c:spPr>
            <a:ln w="28575" cap="rnd">
              <a:solidFill>
                <a:schemeClr val="accent1"/>
              </a:solidFill>
              <a:round/>
            </a:ln>
            <a:effectLst/>
          </c:spPr>
          <c:marker>
            <c:symbol val="none"/>
          </c:marker>
          <c:cat>
            <c:numRef>
              <c:f>'Ratio Analysis'!$D$3:$H$3</c:f>
              <c:numCache>
                <c:formatCode>General</c:formatCode>
                <c:ptCount val="5"/>
                <c:pt idx="0">
                  <c:v>2025</c:v>
                </c:pt>
                <c:pt idx="1">
                  <c:v>2024</c:v>
                </c:pt>
                <c:pt idx="2">
                  <c:v>2023</c:v>
                </c:pt>
                <c:pt idx="3">
                  <c:v>2022</c:v>
                </c:pt>
                <c:pt idx="4">
                  <c:v>2021</c:v>
                </c:pt>
              </c:numCache>
            </c:numRef>
          </c:cat>
          <c:val>
            <c:numRef>
              <c:f>'Ratio Analysis'!$D$19:$H$19</c:f>
              <c:numCache>
                <c:formatCode>_(* #,##0.00_);_(* \(#,##0.00\);_(* "-"??_);_(@_)</c:formatCode>
                <c:ptCount val="5"/>
                <c:pt idx="0">
                  <c:v>0.46499968468184399</c:v>
                </c:pt>
                <c:pt idx="1">
                  <c:v>0.51778217272127958</c:v>
                </c:pt>
                <c:pt idx="2">
                  <c:v>0.46111033811047725</c:v>
                </c:pt>
                <c:pt idx="3">
                  <c:v>0.55127485117376163</c:v>
                </c:pt>
                <c:pt idx="4">
                  <c:v>0.58345597564070029</c:v>
                </c:pt>
              </c:numCache>
            </c:numRef>
          </c:val>
          <c:smooth val="0"/>
          <c:extLst>
            <c:ext xmlns:c16="http://schemas.microsoft.com/office/drawing/2014/chart" uri="{C3380CC4-5D6E-409C-BE32-E72D297353CC}">
              <c16:uniqueId val="{00000001-7FFD-4BDA-AFEF-59B34FB0264B}"/>
            </c:ext>
          </c:extLst>
        </c:ser>
        <c:dLbls>
          <c:showLegendKey val="0"/>
          <c:showVal val="0"/>
          <c:showCatName val="0"/>
          <c:showSerName val="0"/>
          <c:showPercent val="0"/>
          <c:showBubbleSize val="0"/>
        </c:dLbls>
        <c:marker val="1"/>
        <c:smooth val="0"/>
        <c:axId val="468071983"/>
        <c:axId val="127886463"/>
      </c:lineChart>
      <c:catAx>
        <c:axId val="468109055"/>
        <c:scaling>
          <c:orientation val="maxMin"/>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111935"/>
        <c:crosses val="autoZero"/>
        <c:auto val="1"/>
        <c:lblAlgn val="ctr"/>
        <c:lblOffset val="100"/>
        <c:noMultiLvlLbl val="0"/>
      </c:catAx>
      <c:valAx>
        <c:axId val="468111935"/>
        <c:scaling>
          <c:orientation val="minMax"/>
        </c:scaling>
        <c:delete val="0"/>
        <c:axPos val="r"/>
        <c:majorGridlines>
          <c:spPr>
            <a:ln>
              <a:solidFill>
                <a:schemeClr val="tx1">
                  <a:lumMod val="15000"/>
                  <a:lumOff val="85000"/>
                </a:schemeClr>
              </a:solidFill>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109055"/>
        <c:crosses val="autoZero"/>
        <c:crossBetween val="between"/>
      </c:valAx>
      <c:valAx>
        <c:axId val="127886463"/>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071983"/>
        <c:crosses val="autoZero"/>
        <c:crossBetween val="between"/>
      </c:valAx>
      <c:catAx>
        <c:axId val="468071983"/>
        <c:scaling>
          <c:orientation val="minMax"/>
        </c:scaling>
        <c:delete val="1"/>
        <c:axPos val="b"/>
        <c:numFmt formatCode="General" sourceLinked="1"/>
        <c:majorTickMark val="none"/>
        <c:minorTickMark val="none"/>
        <c:tickLblPos val="nextTo"/>
        <c:crossAx val="127886463"/>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'Working Capital Management'!$C$7</c:f>
              <c:strCache>
                <c:ptCount val="1"/>
                <c:pt idx="0">
                  <c:v>Cash Operating Cycle</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'Working Capital Management'!$D$3:$H$3</c:f>
              <c:numCache>
                <c:formatCode>General</c:formatCode>
                <c:ptCount val="5"/>
                <c:pt idx="0">
                  <c:v>2025</c:v>
                </c:pt>
                <c:pt idx="1">
                  <c:v>2024</c:v>
                </c:pt>
                <c:pt idx="2">
                  <c:v>2023</c:v>
                </c:pt>
                <c:pt idx="3">
                  <c:v>2022</c:v>
                </c:pt>
                <c:pt idx="4">
                  <c:v>2021</c:v>
                </c:pt>
              </c:numCache>
            </c:numRef>
          </c:cat>
          <c:val>
            <c:numRef>
              <c:f>'Working Capital Management'!$D$7:$H$7</c:f>
              <c:numCache>
                <c:formatCode>_(* #,##0.00_);_(* \(#,##0.00\);_(* "-"??_);_(@_)</c:formatCode>
                <c:ptCount val="5"/>
                <c:pt idx="0">
                  <c:v>12.838285685587337</c:v>
                </c:pt>
                <c:pt idx="1">
                  <c:v>14.230539571785201</c:v>
                </c:pt>
                <c:pt idx="2">
                  <c:v>9.386806163844355</c:v>
                </c:pt>
                <c:pt idx="3">
                  <c:v>-1.3047521986374733</c:v>
                </c:pt>
                <c:pt idx="4">
                  <c:v>-25.409465893223484</c:v>
                </c:pt>
              </c:numCache>
            </c:numRef>
          </c:val>
          <c:smooth val="0"/>
          <c:extLst>
            <c:ext xmlns:c16="http://schemas.microsoft.com/office/drawing/2014/chart" uri="{C3380CC4-5D6E-409C-BE32-E72D297353CC}">
              <c16:uniqueId val="{00000000-17AB-4596-9547-C2C040A88696}"/>
            </c:ext>
          </c:extLst>
        </c:ser>
        <c:dLbls>
          <c:dLblPos val="t"/>
          <c:showLegendKey val="0"/>
          <c:showVal val="1"/>
          <c:showCatName val="0"/>
          <c:showSerName val="0"/>
          <c:showPercent val="0"/>
          <c:showBubbleSize val="0"/>
        </c:dLbls>
        <c:marker val="1"/>
        <c:smooth val="0"/>
        <c:axId val="468109055"/>
        <c:axId val="468111935"/>
      </c:lineChart>
      <c:catAx>
        <c:axId val="468109055"/>
        <c:scaling>
          <c:orientation val="maxMin"/>
        </c:scaling>
        <c:delete val="0"/>
        <c:axPos val="b"/>
        <c:numFmt formatCode="General" sourceLinked="1"/>
        <c:majorTickMark val="none"/>
        <c:minorTickMark val="none"/>
        <c:tickLblPos val="low"/>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68111935"/>
        <c:crosses val="autoZero"/>
        <c:auto val="1"/>
        <c:lblAlgn val="ctr"/>
        <c:lblOffset val="100"/>
        <c:noMultiLvlLbl val="0"/>
      </c:catAx>
      <c:valAx>
        <c:axId val="468111935"/>
        <c:scaling>
          <c:orientation val="minMax"/>
        </c:scaling>
        <c:delete val="1"/>
        <c:axPos val="r"/>
        <c:numFmt formatCode="_(* #,##0.00_);_(* \(#,##0.00\);_(* &quot;-&quot;??_);_(@_)" sourceLinked="1"/>
        <c:majorTickMark val="none"/>
        <c:minorTickMark val="none"/>
        <c:tickLblPos val="nextTo"/>
        <c:crossAx val="4681090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2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75000"/>
            <a:lumOff val="25000"/>
          </a:schemeClr>
        </a:solidFill>
      </a:ln>
    </cs:spPr>
  </cs:downBar>
  <cs:dropLine>
    <cs:lnRef idx="0"/>
    <cs:fillRef idx="0"/>
    <cs:effectRef idx="0"/>
    <cs:fontRef idx="minor">
      <a:schemeClr val="dk1"/>
    </cs:fontRef>
    <cs:spPr>
      <a:ln w="9525">
        <a:solidFill>
          <a:schemeClr val="tx1">
            <a:lumMod val="75000"/>
            <a:lumOff val="25000"/>
          </a:schemeClr>
        </a:solidFill>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75000"/>
            <a:lumOff val="2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6.xml><?xml version="1.0" encoding="utf-8"?>
<cs:chartStyle xmlns:cs="http://schemas.microsoft.com/office/drawing/2012/chartStyle" xmlns:a="http://schemas.openxmlformats.org/drawingml/2006/main" id="32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cap="flat" cmpd="sng" algn="ctr">
        <a:solidFill>
          <a:schemeClr val="tx1">
            <a:lumMod val="65000"/>
            <a:lumOff val="35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15875" cap="flat"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EB10BDA3117D04FAA88CCE7BEBD4E99" ma:contentTypeVersion="4" ma:contentTypeDescription="Create a new document." ma:contentTypeScope="" ma:versionID="c94eaa99a089b95703628c60f1c8c90c">
  <xsd:schema xmlns:xsd="http://www.w3.org/2001/XMLSchema" xmlns:xs="http://www.w3.org/2001/XMLSchema" xmlns:p="http://schemas.microsoft.com/office/2006/metadata/properties" xmlns:ns3="1787bddc-d7ba-4790-bff9-f3c701814ed6" targetNamespace="http://schemas.microsoft.com/office/2006/metadata/properties" ma:root="true" ma:fieldsID="b14b72f96b8f06b2ca8aef96d71b123a" ns3:_="">
    <xsd:import namespace="1787bddc-d7ba-4790-bff9-f3c701814ed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7bddc-d7ba-4790-bff9-f3c701814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Props1.xml><?xml version="1.0" encoding="utf-8"?>
<ds:datastoreItem xmlns:ds="http://schemas.openxmlformats.org/officeDocument/2006/customXml" ds:itemID="{4C18D9BC-5EBD-45C6-96D3-5EB8E779E8ED}">
  <ds:schemaRefs>
    <ds:schemaRef ds:uri="http://schemas.microsoft.com/sharepoint/v3/contenttype/forms"/>
  </ds:schemaRefs>
</ds:datastoreItem>
</file>

<file path=customXml/itemProps2.xml><?xml version="1.0" encoding="utf-8"?>
<ds:datastoreItem xmlns:ds="http://schemas.openxmlformats.org/officeDocument/2006/customXml" ds:itemID="{6C5905C0-6FE2-4A23-8D5B-BA776E7AD3DF}">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D01ABDBE-9618-4AFE-8A44-F52AA7AA7E83}">
  <ds:schemaRefs>
    <ds:schemaRef ds:uri="http://schemas.microsoft.com/office/2006/metadata/contentType"/>
    <ds:schemaRef ds:uri="http://schemas.microsoft.com/office/2006/metadata/properties/metaAttributes"/>
    <ds:schemaRef ds:uri="http://www.w3.org/2000/xmlns/"/>
    <ds:schemaRef ds:uri="http://www.w3.org/2001/XMLSchema"/>
    <ds:schemaRef ds:uri="1787bddc-d7ba-4790-bff9-f3c701814ed6"/>
  </ds:schemaRefs>
</ds:datastoreItem>
</file>

<file path=customXml/itemProps4.xml><?xml version="1.0" encoding="utf-8"?>
<ds:datastoreItem xmlns:ds="http://schemas.openxmlformats.org/officeDocument/2006/customXml" ds:itemID="{CB958066-D4FD-42C0-9700-C434D0EDF49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Florina Vlad (2227241)</lastModifiedBy>
  <revision>4</revision>
  <dcterms:created xsi:type="dcterms:W3CDTF">2026-03-03T12:31:00.0000000Z</dcterms:created>
  <dcterms:modified xsi:type="dcterms:W3CDTF">2026-03-18T12:02:54.1481012Z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0x0101004EB10BDA3117D04FAA88CCE7BEBD4E99</vt:lpwstr>
  </property>
  <property fmtid="{D5CDD505-2E9C-101B-9397-08002B2CF9AE}" pid="3" name="GrammarlyDocumentId">
    <vt:lpwstr>3cfe5858-1dfb-405f-87d5-2780f1eee74e</vt:lpwstr>
  </property>
</Properties>
</file>