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28A2" w:rsidRPr="0016211D" w:rsidRDefault="00AE188F" w:rsidP="00AE188F">
      <w:pPr>
        <w:jc w:val="center"/>
        <w:rPr>
          <w:b/>
        </w:rPr>
      </w:pPr>
      <w:r w:rsidRPr="0016211D">
        <w:rPr>
          <w:b/>
        </w:rPr>
        <w:t>The doctrine of the Trinity is foundational to the Christian understanding of God and God’s works in the world. How does Christian belief in the Trinity shape a distinctly Christian understanding of the Old Testament?</w:t>
      </w:r>
    </w:p>
    <w:p w:rsidR="00AB47E4" w:rsidRDefault="00AB47E4" w:rsidP="00AB47E4"/>
    <w:p w:rsidR="00AE188F" w:rsidRPr="00AB47E4" w:rsidRDefault="00AB47E4" w:rsidP="00AB47E4">
      <w:pPr>
        <w:rPr>
          <w:b/>
        </w:rPr>
      </w:pPr>
      <w:r>
        <w:rPr>
          <w:b/>
        </w:rPr>
        <w:t xml:space="preserve">General </w:t>
      </w:r>
      <w:r w:rsidRPr="00AB47E4">
        <w:rPr>
          <w:b/>
        </w:rPr>
        <w:t>Introduction</w:t>
      </w:r>
    </w:p>
    <w:p w:rsidR="00E551CF" w:rsidRDefault="00D85047" w:rsidP="00AE188F">
      <w:pPr>
        <w:jc w:val="both"/>
      </w:pPr>
      <w:r w:rsidRPr="00D85047">
        <w:rPr>
          <w:i/>
        </w:rPr>
        <w:t>Who</w:t>
      </w:r>
      <w:r>
        <w:t xml:space="preserve"> is God? </w:t>
      </w:r>
      <w:r w:rsidRPr="00D85047">
        <w:rPr>
          <w:i/>
        </w:rPr>
        <w:t>What</w:t>
      </w:r>
      <w:r>
        <w:t xml:space="preserve"> is God? </w:t>
      </w:r>
      <w:r w:rsidRPr="00D85047">
        <w:rPr>
          <w:i/>
        </w:rPr>
        <w:t>How</w:t>
      </w:r>
      <w:r>
        <w:t xml:space="preserve"> does he interact with the world? </w:t>
      </w:r>
      <w:r w:rsidRPr="00D85047">
        <w:rPr>
          <w:i/>
        </w:rPr>
        <w:t>What</w:t>
      </w:r>
      <w:r>
        <w:t xml:space="preserve"> is his nature? </w:t>
      </w:r>
      <w:r w:rsidRPr="00D85047">
        <w:rPr>
          <w:i/>
        </w:rPr>
        <w:t>How</w:t>
      </w:r>
      <w:r>
        <w:t xml:space="preserve"> do we relate to him, and he to us? These</w:t>
      </w:r>
      <w:r w:rsidR="003205D0">
        <w:t xml:space="preserve"> </w:t>
      </w:r>
      <w:r>
        <w:t xml:space="preserve">questions are the glue that hold the Christian faith together, they are integral, they are the questions upon which all other </w:t>
      </w:r>
      <w:r w:rsidR="003205D0">
        <w:t xml:space="preserve">Christian </w:t>
      </w:r>
      <w:r>
        <w:t xml:space="preserve">theology rests. Yet these questions are not exclusive to Christianity, or even to religion in general, atheism at its very core is also a way of answering these very questions. </w:t>
      </w:r>
      <w:r w:rsidR="003205D0">
        <w:t xml:space="preserve">All of this to say that </w:t>
      </w:r>
      <w:r w:rsidR="00C95A1A">
        <w:t>these questions are of great importance, who/what we believe God to be is of great importance. Our answers to these questions become our paradigm, the lenses through which we view the world, even if we are un-aware of it. For Christians, the doctrine of the Trinity is a central paradigm indeed;</w:t>
      </w:r>
      <w:r w:rsidR="00E551CF">
        <w:t xml:space="preserve"> </w:t>
      </w:r>
      <w:r w:rsidR="00401BD9">
        <w:t xml:space="preserve">it brings monotheism into synchronisation with the deity-status of Jesus and the </w:t>
      </w:r>
      <w:r w:rsidR="009C3B1A">
        <w:t xml:space="preserve">on-going </w:t>
      </w:r>
      <w:r w:rsidR="00401BD9">
        <w:t xml:space="preserve">presence of the Holy Spirit. </w:t>
      </w:r>
    </w:p>
    <w:p w:rsidR="004F741D" w:rsidRDefault="00E551CF" w:rsidP="00AE188F">
      <w:pPr>
        <w:jc w:val="both"/>
      </w:pPr>
      <w:r w:rsidRPr="00E551CF">
        <w:t>The doctrine of the Trinity is a perfect example of faith seeking understanding, of logic and reason interacting with experience and belief, it has shaped the way in which faith is practiced and scripture is read.</w:t>
      </w:r>
      <w:r w:rsidR="0087320A">
        <w:t xml:space="preserve"> And this is</w:t>
      </w:r>
      <w:r w:rsidR="009C3B1A">
        <w:t xml:space="preserve"> exactly</w:t>
      </w:r>
      <w:r w:rsidR="0087320A">
        <w:t xml:space="preserve"> where </w:t>
      </w:r>
      <w:r w:rsidR="009C3B1A">
        <w:t>this essay</w:t>
      </w:r>
      <w:r w:rsidR="0087320A">
        <w:t xml:space="preserve"> will </w:t>
      </w:r>
      <w:r w:rsidR="009C3B1A">
        <w:t xml:space="preserve">find its </w:t>
      </w:r>
      <w:r w:rsidR="0087320A">
        <w:t>focus</w:t>
      </w:r>
      <w:r w:rsidR="00B250D2">
        <w:t>;</w:t>
      </w:r>
      <w:r w:rsidR="0087320A">
        <w:t xml:space="preserve"> on the ways in which the distinctly Christian doctrine of the Trinity shapes the way in which they </w:t>
      </w:r>
      <w:r w:rsidR="00BC4E1E">
        <w:t xml:space="preserve">read and </w:t>
      </w:r>
      <w:r w:rsidR="0087320A">
        <w:t xml:space="preserve">interpret passages of the Hebrew Bible. I will endeavour to do this by </w:t>
      </w:r>
      <w:r w:rsidR="00B250D2">
        <w:t>dividing</w:t>
      </w:r>
      <w:r w:rsidR="0087320A">
        <w:t xml:space="preserve"> the Trinity into the three ‘persons’ and explore the ways in which Christians find the</w:t>
      </w:r>
      <w:r w:rsidR="009C3B1A">
        <w:t xml:space="preserve"> presence of the Father, Son and Holy Spirit </w:t>
      </w:r>
      <w:r w:rsidR="0087320A">
        <w:t xml:space="preserve">weaved through-out </w:t>
      </w:r>
      <w:r w:rsidR="00AB785E">
        <w:t>the Old Testament</w:t>
      </w:r>
      <w:r w:rsidR="0087320A">
        <w:t xml:space="preserve">. </w:t>
      </w:r>
    </w:p>
    <w:p w:rsidR="00D00368" w:rsidRDefault="00D00368" w:rsidP="00AE188F">
      <w:pPr>
        <w:jc w:val="both"/>
      </w:pPr>
    </w:p>
    <w:p w:rsidR="00D00368" w:rsidRPr="00D00368" w:rsidRDefault="00D00368" w:rsidP="00AE188F">
      <w:pPr>
        <w:jc w:val="both"/>
        <w:rPr>
          <w:b/>
        </w:rPr>
      </w:pPr>
      <w:r>
        <w:rPr>
          <w:b/>
        </w:rPr>
        <w:t>The Doctrine of the Trinity</w:t>
      </w:r>
    </w:p>
    <w:p w:rsidR="004F741D" w:rsidRDefault="009C3B1A" w:rsidP="00AE188F">
      <w:pPr>
        <w:jc w:val="both"/>
      </w:pPr>
      <w:r>
        <w:t>However, b</w:t>
      </w:r>
      <w:r w:rsidR="00D85047">
        <w:t>efore delving into the</w:t>
      </w:r>
      <w:r>
        <w:t xml:space="preserve"> specific</w:t>
      </w:r>
      <w:r w:rsidR="00D85047">
        <w:t xml:space="preserve"> works and persons of the Trinity, it would perhaps be helpful to explore the doctrine of the Trinity in a more holistic manner. </w:t>
      </w:r>
    </w:p>
    <w:p w:rsidR="00AB785E" w:rsidRDefault="00415EFB" w:rsidP="00AE188F">
      <w:pPr>
        <w:jc w:val="both"/>
      </w:pPr>
      <w:r>
        <w:t xml:space="preserve">Interestingly, the familiar wording of the ‘doctrine of the Trinity’ cannot be explicitly found within the pages of the Bible itself, but has rather been pieced together and solidified by post-apostolic theologians who wrestled with questions regarding the </w:t>
      </w:r>
      <w:r w:rsidR="009B1FA1">
        <w:t xml:space="preserve">sovereignty of the Creator God, the </w:t>
      </w:r>
      <w:r>
        <w:t xml:space="preserve">status of Jesus as the Son of God </w:t>
      </w:r>
      <w:r w:rsidR="00F41509">
        <w:t xml:space="preserve">(Matt. 16:13-17; </w:t>
      </w:r>
      <w:r w:rsidR="001225EE">
        <w:t xml:space="preserve">John 10:34-36; </w:t>
      </w:r>
      <w:r w:rsidR="00F41509">
        <w:t>John 11:</w:t>
      </w:r>
      <w:r w:rsidR="001225EE">
        <w:t>4)</w:t>
      </w:r>
      <w:r w:rsidR="00F41509">
        <w:t xml:space="preserve"> </w:t>
      </w:r>
      <w:r>
        <w:t>and the works of the Holy Spirit, as the agent of God</w:t>
      </w:r>
      <w:r w:rsidR="001225EE">
        <w:t xml:space="preserve"> (</w:t>
      </w:r>
      <w:r w:rsidR="00E21177">
        <w:t>2 Cor. 3:17-18)</w:t>
      </w:r>
      <w:r>
        <w:t>.</w:t>
      </w:r>
      <w:r w:rsidR="00B666C6">
        <w:rPr>
          <w:rStyle w:val="FootnoteReference"/>
        </w:rPr>
        <w:footnoteReference w:id="1"/>
      </w:r>
      <w:r>
        <w:t xml:space="preserve"> </w:t>
      </w:r>
      <w:r w:rsidR="00F41509">
        <w:t xml:space="preserve">How could these three distinct beings fit into a firmly monotheistic faith? </w:t>
      </w:r>
      <w:r w:rsidR="009920C5">
        <w:t xml:space="preserve">Surely, </w:t>
      </w:r>
      <w:r w:rsidR="009B1FA1">
        <w:t>such</w:t>
      </w:r>
      <w:r w:rsidR="009920C5">
        <w:t xml:space="preserve"> beliefs are intrinsically opposed to each other. </w:t>
      </w:r>
      <w:r w:rsidR="004956CA">
        <w:t xml:space="preserve">Gregory of Nyssa wrote a work dedicated to this </w:t>
      </w:r>
      <w:r w:rsidR="0016211D">
        <w:t>very question</w:t>
      </w:r>
      <w:r w:rsidR="004956CA">
        <w:t>, it is indicatively entitled ‘Not Three Gods’</w:t>
      </w:r>
      <w:r w:rsidR="004956CA">
        <w:rPr>
          <w:rStyle w:val="FootnoteReference"/>
        </w:rPr>
        <w:footnoteReference w:id="2"/>
      </w:r>
      <w:r w:rsidR="0016211D">
        <w:t xml:space="preserve"> and within his writing he labels anyone who believes in three Gods as ‘unlawful’ while also stating that anyone who denies the works and persons of both Jesus and the Holy Spirit as ‘impious and absurd’</w:t>
      </w:r>
      <w:r w:rsidR="002419C6">
        <w:t>.</w:t>
      </w:r>
      <w:r w:rsidR="002419C6">
        <w:rPr>
          <w:rStyle w:val="FootnoteReference"/>
        </w:rPr>
        <w:footnoteReference w:id="3"/>
      </w:r>
      <w:r w:rsidR="002419C6">
        <w:t xml:space="preserve"> </w:t>
      </w:r>
      <w:r w:rsidR="00673E4F">
        <w:t xml:space="preserve">Gregory himself acknowledges </w:t>
      </w:r>
      <w:r w:rsidR="00907D24">
        <w:t xml:space="preserve">the intricate difficulties of holding such beliefs together. Theologian </w:t>
      </w:r>
      <w:r w:rsidR="00BB4197">
        <w:t xml:space="preserve">Bruce Milne claims that the problem is that there is no parallel to the Trinity in human experience, we have </w:t>
      </w:r>
      <w:r w:rsidR="00BB4197">
        <w:lastRenderedPageBreak/>
        <w:t>nothing to compare such a delicate doctrine against, even our language falls short, he writes- “we can speak about this mystery only because God has spoken about it himself”.</w:t>
      </w:r>
      <w:r w:rsidR="00BB4197">
        <w:rPr>
          <w:rStyle w:val="FootnoteReference"/>
        </w:rPr>
        <w:footnoteReference w:id="4"/>
      </w:r>
      <w:r w:rsidR="00BB4197">
        <w:t xml:space="preserve"> </w:t>
      </w:r>
      <w:r w:rsidR="005174FA">
        <w:t xml:space="preserve">By attempting to understand the doctrine of the Trinity it seems we are endeavouring to know the un-knowable. </w:t>
      </w:r>
      <w:r w:rsidR="00CD1D41">
        <w:t xml:space="preserve">Yet, in order to have any basis of Christian understanding of theology, we </w:t>
      </w:r>
      <w:r w:rsidR="000B3826">
        <w:t>must</w:t>
      </w:r>
      <w:r w:rsidR="00CD1D41">
        <w:t xml:space="preserve"> try. </w:t>
      </w:r>
      <w:r w:rsidR="000B3826">
        <w:t xml:space="preserve">As has been previously mentioned, this doctrine is one </w:t>
      </w:r>
      <w:r w:rsidR="0083302B">
        <w:t>through</w:t>
      </w:r>
      <w:r w:rsidR="000B3826">
        <w:t xml:space="preserve"> which every other Christian doctrine is understood.</w:t>
      </w:r>
      <w:r w:rsidR="00EB0B45">
        <w:t xml:space="preserve"> Therefore, allow me to </w:t>
      </w:r>
      <w:r w:rsidR="0094554C">
        <w:t xml:space="preserve">briefly </w:t>
      </w:r>
      <w:r w:rsidR="00EB0B45">
        <w:t xml:space="preserve">demonstrate a level of understanding while holding firm to the </w:t>
      </w:r>
      <w:r w:rsidR="000223EE">
        <w:t>knowledge that what I am attempting to depict is</w:t>
      </w:r>
      <w:r w:rsidR="0094554C">
        <w:t xml:space="preserve"> purportedly </w:t>
      </w:r>
      <w:r w:rsidR="000223EE">
        <w:t xml:space="preserve">beyond human understanding. </w:t>
      </w:r>
      <w:r w:rsidR="00CD1D41">
        <w:t xml:space="preserve"> </w:t>
      </w:r>
    </w:p>
    <w:p w:rsidR="00D00368" w:rsidRDefault="0075774F" w:rsidP="00AE188F">
      <w:pPr>
        <w:jc w:val="both"/>
      </w:pPr>
      <w:r>
        <w:t>In its most basic form, the title ‘Trinity’ can be translated as ‘tri-unity’ or ‘three-in-oneness’</w:t>
      </w:r>
      <w:r>
        <w:rPr>
          <w:rStyle w:val="FootnoteReference"/>
        </w:rPr>
        <w:footnoteReference w:id="5"/>
      </w:r>
      <w:r>
        <w:t xml:space="preserve">- simply claiming that God is both </w:t>
      </w:r>
      <w:r w:rsidRPr="00673186">
        <w:rPr>
          <w:i/>
        </w:rPr>
        <w:t>one</w:t>
      </w:r>
      <w:r>
        <w:t xml:space="preserve"> and </w:t>
      </w:r>
      <w:r w:rsidRPr="00673186">
        <w:rPr>
          <w:i/>
        </w:rPr>
        <w:t>three</w:t>
      </w:r>
      <w:r w:rsidR="00EB0B45">
        <w:t xml:space="preserve">- namely, the Father, Son and Holy Spirit. </w:t>
      </w:r>
      <w:r w:rsidR="0094554C">
        <w:t xml:space="preserve">The Father is not the Son, the Son is not the Spirit, and the Spirit is not the Father- yet they are all God. They are all </w:t>
      </w:r>
      <w:r w:rsidR="0083302B">
        <w:t>divine</w:t>
      </w:r>
      <w:r w:rsidR="0094554C">
        <w:t xml:space="preserve">, they all carry the title of the Godhead with them, they are the members of the Trinity. </w:t>
      </w:r>
      <w:r w:rsidR="0083302B">
        <w:t>Accepting that each member of the Trinity is fully God, Wayne Gruden writes that- “God the Son and God the Holy Spirit are also eternal, omnipresent, omnipotent, infinitely wise, infinitely holy, infinitely loving, omniscient and so forth”.</w:t>
      </w:r>
      <w:r w:rsidR="0083302B">
        <w:rPr>
          <w:rStyle w:val="FootnoteReference"/>
        </w:rPr>
        <w:footnoteReference w:id="6"/>
      </w:r>
      <w:r w:rsidR="0083302B">
        <w:t xml:space="preserve"> </w:t>
      </w:r>
      <w:r w:rsidR="00C95CF8">
        <w:t xml:space="preserve">Gruden is making clear the claim that each member of the Trinity carries not only the character of God (loving, wise etc.) but also the divine powers of God (all-seeing, all-knowing, ever-present etc.) and should therefore be afforded the revered status of God as holy and majestic. </w:t>
      </w:r>
      <w:r w:rsidR="005A33F9">
        <w:t xml:space="preserve">Gruden is not making </w:t>
      </w:r>
      <w:r w:rsidR="007F0569">
        <w:t xml:space="preserve">a polytheistic claim, they are three persons, yet they are all God. </w:t>
      </w:r>
      <w:r w:rsidR="00473D22">
        <w:t xml:space="preserve">They are separate, yet they are indivisible and inseparable. </w:t>
      </w:r>
      <w:r w:rsidR="007F0569">
        <w:t xml:space="preserve">Augustine wondered whether our perception of ‘person’ is a stumbling block in our understanding of the triune Godhead, he wrote that- “when the question is asked: three </w:t>
      </w:r>
      <w:r w:rsidR="007F0569" w:rsidRPr="00473D22">
        <w:rPr>
          <w:i/>
        </w:rPr>
        <w:t>what?</w:t>
      </w:r>
      <w:r w:rsidR="007F0569">
        <w:t xml:space="preserve"> Human language labours altogether under great poverty of speech”</w:t>
      </w:r>
      <w:r w:rsidR="005A33F9">
        <w:t>.</w:t>
      </w:r>
      <w:r w:rsidR="007F0569">
        <w:rPr>
          <w:rStyle w:val="FootnoteReference"/>
        </w:rPr>
        <w:footnoteReference w:id="7"/>
      </w:r>
      <w:r w:rsidR="005A33F9">
        <w:t xml:space="preserve"> </w:t>
      </w:r>
      <w:r w:rsidR="00A628E3">
        <w:t>Perhaps it</w:t>
      </w:r>
      <w:r w:rsidR="005A33F9">
        <w:t xml:space="preserve"> is for this reason that the afore mentioned Gregory of Nyssa explained the Trinity in terms of function, not personhood.</w:t>
      </w:r>
      <w:r w:rsidR="00A628E3">
        <w:rPr>
          <w:rStyle w:val="FootnoteReference"/>
        </w:rPr>
        <w:footnoteReference w:id="8"/>
      </w:r>
      <w:r w:rsidR="005A33F9">
        <w:t xml:space="preserve"> </w:t>
      </w:r>
      <w:r w:rsidR="000B5225">
        <w:t xml:space="preserve">Paying attention to the specific roles of the Trinity has since proven to be a popular tool in understanding the complexities of the doctrine, and will therefore pay an integral role as this essay moves into the specific realms of </w:t>
      </w:r>
      <w:r w:rsidR="00D00368">
        <w:t xml:space="preserve">the Father, Son and Holy Spirit through-out the Hebrew Bible. </w:t>
      </w:r>
    </w:p>
    <w:p w:rsidR="00277197" w:rsidRDefault="000B5225" w:rsidP="00AE188F">
      <w:pPr>
        <w:jc w:val="both"/>
      </w:pPr>
      <w:r>
        <w:t xml:space="preserve"> </w:t>
      </w:r>
      <w:r w:rsidR="00AB47E4">
        <w:t xml:space="preserve">One </w:t>
      </w:r>
      <w:r w:rsidR="00AB05A2">
        <w:t xml:space="preserve">final aspect of the Trinity </w:t>
      </w:r>
      <w:r w:rsidR="00AB47E4">
        <w:t xml:space="preserve">to note before moving forward is that the Trinity is </w:t>
      </w:r>
      <w:r w:rsidR="00F27A18">
        <w:t>eternal and</w:t>
      </w:r>
      <w:r w:rsidR="00AB47E4">
        <w:t xml:space="preserve"> </w:t>
      </w:r>
      <w:r w:rsidR="00F27A18">
        <w:t xml:space="preserve">therefore present since the beginning of </w:t>
      </w:r>
      <w:r w:rsidR="00AB47E4">
        <w:t xml:space="preserve">time. Such a belief leads Christians to interpret the events of the Hebrew Bible as having taken place under the </w:t>
      </w:r>
      <w:r w:rsidR="007E051D">
        <w:t>sovereignty</w:t>
      </w:r>
      <w:r w:rsidR="00AB47E4">
        <w:t xml:space="preserve"> of the three-in-one God. The afore mentioned Wayne Gruden writes that- “</w:t>
      </w:r>
      <w:r w:rsidR="00AB05A2">
        <w:t>if God has eternally existed as three persons, it would be surprising to find no indications of that in the Old testament”.</w:t>
      </w:r>
      <w:r w:rsidR="00AB05A2">
        <w:rPr>
          <w:rStyle w:val="FootnoteReference"/>
        </w:rPr>
        <w:footnoteReference w:id="9"/>
      </w:r>
      <w:r w:rsidR="00AB05A2">
        <w:t xml:space="preserve"> </w:t>
      </w:r>
      <w:r w:rsidR="00F27A18">
        <w:t xml:space="preserve">Creation, the history of Israel, the Law, the prophets, the poetry- they are all believed to have been experienced and written in the presence of the Father, Son and Holy Spirit, even if this was not fully revealed at the time. </w:t>
      </w:r>
      <w:r w:rsidR="007E051D">
        <w:t>This belief is, of course, at odds with the Jewish belief in one God, wh</w:t>
      </w:r>
      <w:r w:rsidR="00570825">
        <w:t>o</w:t>
      </w:r>
      <w:r w:rsidR="007E051D">
        <w:t xml:space="preserve"> consists of one ‘person’, fulfilling one role as is stated clearly in the book of Deuteronomy</w:t>
      </w:r>
      <w:r w:rsidR="00D87EFF">
        <w:t xml:space="preserve"> </w:t>
      </w:r>
      <w:r w:rsidR="00220325">
        <w:t>(</w:t>
      </w:r>
      <w:r w:rsidR="00D87EFF">
        <w:t>also referred to as the Shema)</w:t>
      </w:r>
      <w:r w:rsidR="007E051D">
        <w:t>- ‘</w:t>
      </w:r>
      <w:r w:rsidR="007E051D" w:rsidRPr="007E051D">
        <w:t>Hear, O Israel: The Lord is our God, the Lord alone</w:t>
      </w:r>
      <w:r w:rsidR="007E051D">
        <w:t xml:space="preserve">’ (Deut. 6:4). </w:t>
      </w:r>
      <w:r w:rsidR="00570825">
        <w:t xml:space="preserve">This </w:t>
      </w:r>
      <w:r w:rsidR="00F93548">
        <w:t xml:space="preserve">vast difference in belief </w:t>
      </w:r>
      <w:r w:rsidR="00570825">
        <w:t>has, and still does act as an inevitable barrier in Christian-Jewish dialogue</w:t>
      </w:r>
      <w:r w:rsidR="00F93548">
        <w:t xml:space="preserve">. The two religious communities share thirty-nine books of </w:t>
      </w:r>
      <w:r w:rsidR="00F93548">
        <w:lastRenderedPageBreak/>
        <w:t>scripture, yet the way in which the Christian doctrine of the Trinity influences the Christian perception of those books</w:t>
      </w:r>
      <w:r w:rsidR="004F0FDB">
        <w:t xml:space="preserve"> often</w:t>
      </w:r>
      <w:r w:rsidR="00F93548">
        <w:t xml:space="preserve"> stands at odds with a Jewish interpretation. </w:t>
      </w:r>
    </w:p>
    <w:p w:rsidR="00C37625" w:rsidRDefault="00C37625" w:rsidP="00AE188F">
      <w:pPr>
        <w:jc w:val="both"/>
        <w:rPr>
          <w:b/>
        </w:rPr>
      </w:pPr>
    </w:p>
    <w:p w:rsidR="00E35D90" w:rsidRDefault="00E35D90" w:rsidP="00AE188F">
      <w:pPr>
        <w:jc w:val="both"/>
        <w:rPr>
          <w:b/>
        </w:rPr>
      </w:pPr>
      <w:r w:rsidRPr="00E35D90">
        <w:rPr>
          <w:b/>
        </w:rPr>
        <w:t>The Father</w:t>
      </w:r>
      <w:r w:rsidR="00332CB0">
        <w:rPr>
          <w:b/>
        </w:rPr>
        <w:t xml:space="preserve"> and Creation </w:t>
      </w:r>
    </w:p>
    <w:p w:rsidR="00E35D90" w:rsidRDefault="00DC1B34" w:rsidP="00AE188F">
      <w:pPr>
        <w:jc w:val="both"/>
      </w:pPr>
      <w:r>
        <w:t xml:space="preserve">I begin with the Father, the Creator, the sovereign YHWH, the aspect of the Trinity that is in line with Jewish interpretation of the </w:t>
      </w:r>
      <w:r w:rsidR="00C37625">
        <w:t xml:space="preserve">Hebrew </w:t>
      </w:r>
      <w:r>
        <w:t xml:space="preserve">scriptures. </w:t>
      </w:r>
      <w:r w:rsidR="00B16164">
        <w:t>Tradition teaches that t</w:t>
      </w:r>
      <w:r w:rsidR="00990C82">
        <w:t xml:space="preserve">his is the God who, among other things, created the Earth (Gen 1,2), made his covenant with Abraham (Gen 15), aided Moses in parting the red sea (Exod. 14:21) and gave his people the Law by which they could remain in </w:t>
      </w:r>
      <w:r w:rsidR="009A7338">
        <w:t xml:space="preserve">favourable </w:t>
      </w:r>
      <w:r w:rsidR="00990C82">
        <w:t>communion with him (</w:t>
      </w:r>
      <w:r w:rsidR="00526ABB">
        <w:t xml:space="preserve">Exod. 31:18). </w:t>
      </w:r>
    </w:p>
    <w:p w:rsidR="00C37625" w:rsidRDefault="00C91AC7" w:rsidP="00AE188F">
      <w:pPr>
        <w:jc w:val="both"/>
      </w:pPr>
      <w:r>
        <w:t>Although it is the Father</w:t>
      </w:r>
      <w:r w:rsidR="00A82F54">
        <w:t xml:space="preserve"> (Israel’s YHWH)</w:t>
      </w:r>
      <w:r>
        <w:t xml:space="preserve"> who is commonly accredited to these events</w:t>
      </w:r>
      <w:r w:rsidR="000C423F">
        <w:t xml:space="preserve">, Christians would argue that the Son and the Holy Spirit were neither absent nor passive. The works of the Father cannot be separated from the works of the other two members of the Trinity, therefore Christian understanding of the afore mentioned passages </w:t>
      </w:r>
      <w:r w:rsidR="00D84195">
        <w:t>must</w:t>
      </w:r>
      <w:r w:rsidR="000C423F">
        <w:t xml:space="preserve"> involve an acknowledgment of the presence and activity of the Son and Holy Spirit. For example, it is common to assume that creation was the work of the Father, and such a claim is given weight when he is </w:t>
      </w:r>
      <w:r w:rsidR="00FE3EB4">
        <w:t>continually en</w:t>
      </w:r>
      <w:r w:rsidR="000C423F">
        <w:t>title</w:t>
      </w:r>
      <w:r w:rsidR="009A7338">
        <w:t>d</w:t>
      </w:r>
      <w:r w:rsidR="000C423F">
        <w:t xml:space="preserve"> the ‘Creator God’ throughout the Old testament scriptures (Nehemiah 9:6; Isaiah 66:2; </w:t>
      </w:r>
      <w:r w:rsidR="00D84195">
        <w:t xml:space="preserve">Psalm 33:9). </w:t>
      </w:r>
      <w:r w:rsidR="0046214D">
        <w:t xml:space="preserve">However, because of the apostle Paul’s claims in his letter to the church in Colossae, Jesus’ presence in the creation narrative has become prominent in Christian theology. Paul writes that- </w:t>
      </w:r>
    </w:p>
    <w:p w:rsidR="0046214D" w:rsidRDefault="0046214D" w:rsidP="00486A46">
      <w:pPr>
        <w:jc w:val="center"/>
      </w:pPr>
      <w:r>
        <w:rPr>
          <w:i/>
        </w:rPr>
        <w:t>‘</w:t>
      </w:r>
      <w:r w:rsidRPr="0046214D">
        <w:rPr>
          <w:i/>
        </w:rPr>
        <w:t>He is the image of the invisible God, the firstborn of all creation;</w:t>
      </w:r>
      <w:r>
        <w:rPr>
          <w:i/>
        </w:rPr>
        <w:t> for</w:t>
      </w:r>
      <w:r w:rsidRPr="0046214D">
        <w:rPr>
          <w:i/>
        </w:rPr>
        <w:t xml:space="preserve"> in</w:t>
      </w:r>
      <w:r>
        <w:rPr>
          <w:i/>
          <w:vertAlign w:val="superscript"/>
        </w:rPr>
        <w:t xml:space="preserve"> </w:t>
      </w:r>
      <w:r w:rsidRPr="0046214D">
        <w:rPr>
          <w:i/>
        </w:rPr>
        <w:t>him all things in heaven and on earth were created, things visible and invisible, whether thrones or dominions or rulers or powers—all things have been created through him and for him.</w:t>
      </w:r>
      <w:r>
        <w:rPr>
          <w:i/>
        </w:rPr>
        <w:t xml:space="preserve"> </w:t>
      </w:r>
      <w:r w:rsidRPr="0046214D">
        <w:rPr>
          <w:b/>
          <w:bCs/>
          <w:i/>
          <w:vertAlign w:val="superscript"/>
        </w:rPr>
        <w:t> </w:t>
      </w:r>
      <w:r w:rsidRPr="0046214D">
        <w:rPr>
          <w:i/>
        </w:rPr>
        <w:t xml:space="preserve">He himself is before all things, and </w:t>
      </w:r>
      <w:r w:rsidR="00A80CDF">
        <w:rPr>
          <w:i/>
        </w:rPr>
        <w:t>in</w:t>
      </w:r>
      <w:r w:rsidRPr="0046214D">
        <w:rPr>
          <w:i/>
        </w:rPr>
        <w:t xml:space="preserve"> him all things hold together.</w:t>
      </w:r>
      <w:r>
        <w:rPr>
          <w:i/>
        </w:rPr>
        <w:t xml:space="preserve">’ </w:t>
      </w:r>
      <w:r>
        <w:t>(Col. 1:15-17)</w:t>
      </w:r>
    </w:p>
    <w:p w:rsidR="00332CB0" w:rsidRDefault="00FE3EB4" w:rsidP="00AE188F">
      <w:pPr>
        <w:jc w:val="both"/>
      </w:pPr>
      <w:r>
        <w:t xml:space="preserve">It has therefore become inevitable that Christian scholars and theologians read the creation narrative through the lens of the Trinity. </w:t>
      </w:r>
      <w:r w:rsidR="003A0758">
        <w:t xml:space="preserve">There is yet more reason for Christians to view creation as a communal task, under-taken by the Trinity as a whole, when we take note of the pluralistic language used through-out Genesis 1 and 2. </w:t>
      </w:r>
      <w:r w:rsidR="00E57DC2">
        <w:t>In Genesis 1, God says-</w:t>
      </w:r>
      <w:r w:rsidR="00475AE0">
        <w:t xml:space="preserve"> ‘</w:t>
      </w:r>
      <w:r w:rsidR="00E57DC2" w:rsidRPr="00E57DC2">
        <w:t xml:space="preserve">“Let </w:t>
      </w:r>
      <w:r w:rsidR="00E57DC2" w:rsidRPr="00A82F54">
        <w:rPr>
          <w:i/>
        </w:rPr>
        <w:t>us</w:t>
      </w:r>
      <w:r w:rsidR="00E57DC2" w:rsidRPr="00E57DC2">
        <w:t xml:space="preserve"> make humankind</w:t>
      </w:r>
      <w:r w:rsidR="00475AE0">
        <w:rPr>
          <w:vertAlign w:val="superscript"/>
        </w:rPr>
        <w:t xml:space="preserve"> </w:t>
      </w:r>
      <w:r w:rsidR="00E57DC2" w:rsidRPr="00E57DC2">
        <w:t xml:space="preserve">in </w:t>
      </w:r>
      <w:r w:rsidR="00E57DC2" w:rsidRPr="00A82F54">
        <w:rPr>
          <w:i/>
        </w:rPr>
        <w:t>our</w:t>
      </w:r>
      <w:r w:rsidR="00E57DC2" w:rsidRPr="00E57DC2">
        <w:t xml:space="preserve"> image, according to </w:t>
      </w:r>
      <w:r w:rsidR="00E57DC2" w:rsidRPr="00A82F54">
        <w:rPr>
          <w:i/>
        </w:rPr>
        <w:t>our</w:t>
      </w:r>
      <w:r w:rsidR="00E57DC2" w:rsidRPr="00E57DC2">
        <w:t xml:space="preserve"> likeness</w:t>
      </w:r>
      <w:r w:rsidR="00475AE0">
        <w:t>”’ (Gen1:26), many theologians have</w:t>
      </w:r>
      <w:r w:rsidR="003E19DB">
        <w:t>,</w:t>
      </w:r>
      <w:r w:rsidR="00475AE0">
        <w:t xml:space="preserve"> and </w:t>
      </w:r>
      <w:r w:rsidR="003E19DB">
        <w:t>continue to,</w:t>
      </w:r>
      <w:r w:rsidR="00475AE0">
        <w:t xml:space="preserve"> argue that this pluralistic language is known as the ‘Plurals of Majesty’</w:t>
      </w:r>
      <w:r w:rsidR="00475AE0">
        <w:rPr>
          <w:rStyle w:val="FootnoteReference"/>
        </w:rPr>
        <w:footnoteReference w:id="10"/>
      </w:r>
      <w:r w:rsidR="00475AE0">
        <w:t xml:space="preserve">, a literary technique used to emphasise the royalty or majesty of the person speaking, in this case it is God. </w:t>
      </w:r>
      <w:r w:rsidR="003E19DB">
        <w:t xml:space="preserve">Therefore, the plurality is not a physical one, but </w:t>
      </w:r>
      <w:r w:rsidR="00163766">
        <w:t xml:space="preserve">is </w:t>
      </w:r>
      <w:r w:rsidR="003E19DB">
        <w:t>simply</w:t>
      </w:r>
      <w:r w:rsidR="00163766">
        <w:t xml:space="preserve"> </w:t>
      </w:r>
      <w:r w:rsidR="003E19DB">
        <w:t xml:space="preserve">God being </w:t>
      </w:r>
      <w:r w:rsidR="003A3EBD">
        <w:t>presented</w:t>
      </w:r>
      <w:r w:rsidR="00163766">
        <w:t xml:space="preserve"> by the author</w:t>
      </w:r>
      <w:r w:rsidR="003E19DB">
        <w:t xml:space="preserve"> as regal and splendid. </w:t>
      </w:r>
      <w:r w:rsidR="00BE6696">
        <w:t>Gruden,</w:t>
      </w:r>
      <w:r w:rsidR="00475AE0">
        <w:t xml:space="preserve"> however,</w:t>
      </w:r>
      <w:r w:rsidR="003A3EBD">
        <w:t xml:space="preserve"> refutes this explanation and</w:t>
      </w:r>
      <w:r w:rsidR="00475AE0">
        <w:t xml:space="preserve"> states that “the best explanation is that already in the first chapter of Genesis we have an indication of a plurality of persons in God himself”.</w:t>
      </w:r>
      <w:r w:rsidR="00475AE0">
        <w:rPr>
          <w:rStyle w:val="FootnoteReference"/>
        </w:rPr>
        <w:footnoteReference w:id="11"/>
      </w:r>
      <w:r w:rsidR="00051E37">
        <w:t xml:space="preserve"> </w:t>
      </w:r>
      <w:r w:rsidR="00BE6696">
        <w:t>Thus, placing the Trinity at the very beginning of the world’s existence</w:t>
      </w:r>
      <w:r w:rsidR="00B16164">
        <w:t>.</w:t>
      </w:r>
    </w:p>
    <w:p w:rsidR="00332CB0" w:rsidRDefault="00332CB0" w:rsidP="00AE188F">
      <w:pPr>
        <w:jc w:val="both"/>
      </w:pPr>
      <w:r>
        <w:t>The Gospel of John begins with a prologue that also encourages its readers to return to the creation narrative in Genesis and read it through the lens of the Trinity, inviting comparison and encouraging a Christ-centred conclusion. The author of John’s Gospel writes “in the beginning</w:t>
      </w:r>
      <w:r w:rsidR="00173344">
        <w:t xml:space="preserve"> was the </w:t>
      </w:r>
      <w:r w:rsidR="00E32D46">
        <w:t>W</w:t>
      </w:r>
      <w:r w:rsidR="00173344">
        <w:t>ord</w:t>
      </w:r>
      <w:r w:rsidR="00E32D46">
        <w:t>...</w:t>
      </w:r>
      <w:r>
        <w:t>” (</w:t>
      </w:r>
      <w:r w:rsidR="00173344">
        <w:t>John 1</w:t>
      </w:r>
      <w:r>
        <w:t>), this may appear to be nothing more than a generic opening to a</w:t>
      </w:r>
      <w:r w:rsidR="008536F1">
        <w:t>n epic story, yet the language parallels that of Genesis 1 found within the Septuagint. T</w:t>
      </w:r>
      <w:r w:rsidR="00294B53">
        <w:t>his is an inte</w:t>
      </w:r>
      <w:r w:rsidR="00E32D46">
        <w:t>n</w:t>
      </w:r>
      <w:r w:rsidR="00294B53">
        <w:t>tional re-working of the creation narrative, placing Jesus at the forefront</w:t>
      </w:r>
      <w:r w:rsidR="00173344">
        <w:t xml:space="preserve"> as the ‘</w:t>
      </w:r>
      <w:r w:rsidR="009A0E6F">
        <w:t>W</w:t>
      </w:r>
      <w:r w:rsidR="00173344">
        <w:t>ord’ that was both God and with God (John 1:1)</w:t>
      </w:r>
      <w:r w:rsidR="00294B53">
        <w:t>. Andrew T. Lincoln explores the motives behind this, he states that “</w:t>
      </w:r>
      <w:r w:rsidR="00776FEC">
        <w:t xml:space="preserve">even though the framework of the </w:t>
      </w:r>
      <w:r w:rsidR="00776FEC">
        <w:lastRenderedPageBreak/>
        <w:t xml:space="preserve">prologue remains within the creational monotheism of the Jewish Scriptures, theological questions are </w:t>
      </w:r>
      <w:r w:rsidR="009A0E6F">
        <w:t>still raised by its first verse. If confronts the readers with the paradox that the word is to be identified with God and yet is distinct from God.”</w:t>
      </w:r>
      <w:r w:rsidR="00B16164">
        <w:rPr>
          <w:rStyle w:val="FootnoteReference"/>
        </w:rPr>
        <w:footnoteReference w:id="12"/>
      </w:r>
      <w:r w:rsidR="009A0E6F">
        <w:t xml:space="preserve"> Lincoln further wonders whether John is making a theological claim regarding the authority of the Trinity, writing “if the pre-</w:t>
      </w:r>
      <w:r w:rsidR="00B16164">
        <w:t>existence</w:t>
      </w:r>
      <w:r w:rsidR="009A0E6F">
        <w:t xml:space="preserve"> of the Torah for the Jews was a way of expressing its supreme religious importance for them, does the same apply to the pre-</w:t>
      </w:r>
      <w:r w:rsidR="00B16164">
        <w:t>existence</w:t>
      </w:r>
      <w:r w:rsidR="009A0E6F">
        <w:t xml:space="preserve"> of the Word who is to be identified with Jesus?”</w:t>
      </w:r>
      <w:r w:rsidR="00B16164">
        <w:rPr>
          <w:rStyle w:val="FootnoteReference"/>
        </w:rPr>
        <w:footnoteReference w:id="13"/>
      </w:r>
      <w:r w:rsidR="00B16164">
        <w:t xml:space="preserve"> </w:t>
      </w:r>
      <w:r w:rsidR="00E32D46">
        <w:t xml:space="preserve">Whatever the intention, the author of the Gospel of John begins his work with a declaration that there is, and always has been, a plurality to God, yet this plurality does not compromise monotheistic beliefs.  </w:t>
      </w:r>
    </w:p>
    <w:p w:rsidR="00FE3EB4" w:rsidRDefault="00750701" w:rsidP="00AE188F">
      <w:pPr>
        <w:jc w:val="both"/>
      </w:pPr>
      <w:r>
        <w:t xml:space="preserve"> </w:t>
      </w:r>
      <w:r w:rsidR="008B218F">
        <w:t>By placing the Trinity at the very beginning of all things,</w:t>
      </w:r>
      <w:r w:rsidR="00ED1470">
        <w:t xml:space="preserve"> claiming that they are</w:t>
      </w:r>
      <w:r w:rsidR="008B218F">
        <w:t xml:space="preserve"> beyond time, eternal and ever-lasting</w:t>
      </w:r>
      <w:r w:rsidR="00ED1470">
        <w:t xml:space="preserve">; </w:t>
      </w:r>
      <w:r w:rsidR="008B218F">
        <w:t xml:space="preserve">Christian interpreters are </w:t>
      </w:r>
      <w:r w:rsidR="00ED1470">
        <w:t>inevitably</w:t>
      </w:r>
      <w:r w:rsidR="008B218F">
        <w:t xml:space="preserve"> led to acknowledge the Trinity’s presence through the entirety of human existence, and therefore the entirety of the Hebrew Bible. </w:t>
      </w:r>
    </w:p>
    <w:p w:rsidR="00A80CDF" w:rsidRDefault="00173344" w:rsidP="00AE188F">
      <w:pPr>
        <w:jc w:val="both"/>
      </w:pPr>
      <w:r>
        <w:t>Bringing the focus back to the Father in particular, it is also important to note that t</w:t>
      </w:r>
      <w:r w:rsidR="00220325">
        <w:t xml:space="preserve">he title of God as Father is one that has been </w:t>
      </w:r>
      <w:r w:rsidR="00BC23FE">
        <w:t>attributed to</w:t>
      </w:r>
      <w:r w:rsidR="00220325">
        <w:t xml:space="preserve"> passages of the Hebrew Bible as well as the New Testament</w:t>
      </w:r>
      <w:r w:rsidR="00734C60">
        <w:t>.</w:t>
      </w:r>
      <w:r w:rsidR="00220325">
        <w:t xml:space="preserve"> </w:t>
      </w:r>
      <w:r w:rsidR="00734C60">
        <w:t>F</w:t>
      </w:r>
      <w:r w:rsidR="00540F82">
        <w:t xml:space="preserve">or Christian interpreters, </w:t>
      </w:r>
      <w:r w:rsidR="00734C60">
        <w:t xml:space="preserve">this </w:t>
      </w:r>
      <w:r w:rsidR="00540F82">
        <w:t>creates</w:t>
      </w:r>
      <w:r w:rsidR="00220325">
        <w:t xml:space="preserve"> a foreshadowing of the divine </w:t>
      </w:r>
      <w:r w:rsidR="00540F82">
        <w:t>F</w:t>
      </w:r>
      <w:r w:rsidR="00220325">
        <w:t xml:space="preserve">ather/Son relationship that </w:t>
      </w:r>
      <w:r w:rsidR="00734C60">
        <w:t xml:space="preserve">can be </w:t>
      </w:r>
      <w:r w:rsidR="00220325">
        <w:t>see</w:t>
      </w:r>
      <w:r w:rsidR="00734C60">
        <w:t>n</w:t>
      </w:r>
      <w:r w:rsidR="00220325">
        <w:t xml:space="preserve"> between Jesus and the Father. </w:t>
      </w:r>
      <w:r w:rsidR="00BC23FE">
        <w:t>Throughout the book of Deuteronomy in particular, there is intimate language used to describe the way God views the people of Israel as his children</w:t>
      </w:r>
      <w:r w:rsidR="00715BC0">
        <w:t>, whom he will endeavour to protect, favour and nurture</w:t>
      </w:r>
      <w:r w:rsidR="00BC23FE">
        <w:t xml:space="preserve"> (</w:t>
      </w:r>
      <w:proofErr w:type="spellStart"/>
      <w:r w:rsidR="00BC23FE">
        <w:t>Deut</w:t>
      </w:r>
      <w:proofErr w:type="spellEnd"/>
      <w:r w:rsidR="00BC23FE">
        <w:t xml:space="preserve"> 1:31; 8:5; 14:1-2)</w:t>
      </w:r>
      <w:r w:rsidR="00715BC0">
        <w:t xml:space="preserve">. </w:t>
      </w:r>
      <w:r w:rsidR="005D44EF">
        <w:t xml:space="preserve">Furthermore, </w:t>
      </w:r>
      <w:r w:rsidR="00715BC0">
        <w:t>King David, the revered King of Israel was also referenced as a son of God in the second book of Samuel</w:t>
      </w:r>
      <w:r w:rsidR="005D44EF">
        <w:t xml:space="preserve"> (2 Sam. 7:14)</w:t>
      </w:r>
      <w:r w:rsidR="00715BC0">
        <w:t xml:space="preserve">. </w:t>
      </w:r>
      <w:r w:rsidR="005D44EF">
        <w:t>O</w:t>
      </w:r>
      <w:r w:rsidR="00DC4239">
        <w:t>nce the doctrine of the Trinity is an established core of one</w:t>
      </w:r>
      <w:r w:rsidR="005D44EF">
        <w:t>’</w:t>
      </w:r>
      <w:r w:rsidR="00DC4239">
        <w:t xml:space="preserve">s faith, it is </w:t>
      </w:r>
      <w:r w:rsidR="00CE6EA0">
        <w:t>extremely likely that one would see the foreshadowing effect of God establishing himself as a Father, with his Son (</w:t>
      </w:r>
      <w:r w:rsidR="005D44EF">
        <w:t xml:space="preserve">King </w:t>
      </w:r>
      <w:r w:rsidR="00CE6EA0">
        <w:t>David</w:t>
      </w:r>
      <w:r w:rsidR="005D44EF">
        <w:t xml:space="preserve"> who</w:t>
      </w:r>
      <w:r w:rsidR="00CE6EA0">
        <w:t xml:space="preserve"> foreshadows the </w:t>
      </w:r>
      <w:r w:rsidR="00281D37">
        <w:t>begotten</w:t>
      </w:r>
      <w:r w:rsidR="00CE6EA0">
        <w:t xml:space="preserve"> </w:t>
      </w:r>
      <w:r w:rsidR="000B4B43">
        <w:t>S</w:t>
      </w:r>
      <w:r w:rsidR="00CE6EA0">
        <w:t xml:space="preserve">on of God, Jesus) being the answer to the problems facing the people of God. </w:t>
      </w:r>
      <w:r w:rsidR="00135A7C">
        <w:t>If Christian</w:t>
      </w:r>
      <w:r w:rsidR="00701642">
        <w:t>s are to</w:t>
      </w:r>
      <w:r w:rsidR="00135A7C">
        <w:t xml:space="preserve"> acknowledge that the Trinity were in communal existence since the beginning of time, then the words, actions and promises of the God in the Hebrew Bible will inevitably be understood as the words, actions and promises of the Father who has</w:t>
      </w:r>
      <w:r w:rsidR="00701642">
        <w:t xml:space="preserve"> an ultimate redemption plan to be revealed by Jesus. Everything he does and says now takes on parallel significance, he has a plan which he mostly withholds, hinting at only through symbols such as the ram that was offered as a sacrifice in the place of Isaac (Gen.22:1-19)</w:t>
      </w:r>
      <w:r w:rsidR="00F35005">
        <w:t xml:space="preserve">. </w:t>
      </w:r>
      <w:r w:rsidR="00B814A7">
        <w:t>There is a sense that the Father kept truths of the Trinity hidden, this is alluded to in the Gospel of Matthew when Jesus states that he has come to “</w:t>
      </w:r>
      <w:r w:rsidR="00B814A7" w:rsidRPr="00B814A7">
        <w:t>proclaim what has been hidden from the foundation of the world.</w:t>
      </w:r>
      <w:r w:rsidR="00B814A7">
        <w:t xml:space="preserve">” (Matt. 13:35). </w:t>
      </w:r>
    </w:p>
    <w:p w:rsidR="00DD12E6" w:rsidRDefault="00DD12E6" w:rsidP="00AE188F">
      <w:pPr>
        <w:jc w:val="both"/>
      </w:pPr>
      <w:r>
        <w:t xml:space="preserve">Seeking out the hints and whispers of such secrets becomes a Christian hermeneutic in itself, a way in which Christians relate the God who was present through-out the history of Israel, with the Father who sent his only begotten Son to pay for reconciliation and renewal (John 3:16). This leads us to take a closer examination of the presence of the Son within the Hebrew Scriptures. </w:t>
      </w:r>
    </w:p>
    <w:p w:rsidR="00AA4691" w:rsidRDefault="00AA4691" w:rsidP="00AE188F">
      <w:pPr>
        <w:jc w:val="both"/>
      </w:pPr>
    </w:p>
    <w:p w:rsidR="00AA4691" w:rsidRDefault="00AA4691" w:rsidP="00AE188F">
      <w:pPr>
        <w:jc w:val="both"/>
        <w:rPr>
          <w:b/>
        </w:rPr>
      </w:pPr>
      <w:r w:rsidRPr="00AA4691">
        <w:rPr>
          <w:b/>
        </w:rPr>
        <w:t>The Son</w:t>
      </w:r>
      <w:r w:rsidR="007C4FCB">
        <w:rPr>
          <w:b/>
        </w:rPr>
        <w:t xml:space="preserve">, </w:t>
      </w:r>
      <w:r w:rsidR="00332CB0">
        <w:rPr>
          <w:b/>
        </w:rPr>
        <w:t>Covenant</w:t>
      </w:r>
      <w:r w:rsidR="007C4FCB">
        <w:rPr>
          <w:b/>
        </w:rPr>
        <w:t xml:space="preserve"> and Temple</w:t>
      </w:r>
    </w:p>
    <w:p w:rsidR="00AA4691" w:rsidRDefault="00EA22E9" w:rsidP="00AE188F">
      <w:pPr>
        <w:jc w:val="both"/>
      </w:pPr>
      <w:r>
        <w:t xml:space="preserve">Jesus claiming to be the Son of God, equal with </w:t>
      </w:r>
      <w:r w:rsidR="008D301B">
        <w:t>God, sent from God</w:t>
      </w:r>
      <w:r>
        <w:t xml:space="preserve"> </w:t>
      </w:r>
      <w:r w:rsidR="001A4CA9">
        <w:t xml:space="preserve">and therefore </w:t>
      </w:r>
      <w:r w:rsidR="008D301B">
        <w:t xml:space="preserve">worthy </w:t>
      </w:r>
      <w:r w:rsidR="001A4CA9">
        <w:t xml:space="preserve">of deity status was perhaps the catalyst that brought about the questions of the plurality of God, and later gave way to the established doctrine of the Trinity. Through-out the Gospels </w:t>
      </w:r>
      <w:proofErr w:type="gramStart"/>
      <w:r w:rsidR="001A4CA9">
        <w:t>it is clear that Jesus</w:t>
      </w:r>
      <w:proofErr w:type="gramEnd"/>
      <w:r w:rsidR="001A4CA9">
        <w:t xml:space="preserve"> did not shy away from his divine identity, </w:t>
      </w:r>
      <w:r w:rsidR="008D301B">
        <w:t>quite the opposite, he declared that</w:t>
      </w:r>
      <w:r w:rsidR="001A4CA9">
        <w:t xml:space="preserve"> belief in his </w:t>
      </w:r>
      <w:r w:rsidR="008D301B">
        <w:t xml:space="preserve">divine </w:t>
      </w:r>
      <w:r w:rsidR="001A4CA9">
        <w:t xml:space="preserve">identity </w:t>
      </w:r>
      <w:r w:rsidR="008D301B">
        <w:t xml:space="preserve">was </w:t>
      </w:r>
      <w:r w:rsidR="001A4CA9">
        <w:t xml:space="preserve">the means by which people could gain eternal life and communion with God (John 3:16). </w:t>
      </w:r>
      <w:r w:rsidR="00325DE2">
        <w:t>Author and professor C.S Lewis famously stated that “</w:t>
      </w:r>
      <w:r w:rsidR="00565643">
        <w:t xml:space="preserve">either this man (Jesus) was, and is, the Son of God: or </w:t>
      </w:r>
      <w:r w:rsidR="00565643">
        <w:lastRenderedPageBreak/>
        <w:t>else a madman or something worse”.</w:t>
      </w:r>
      <w:r w:rsidR="00565643">
        <w:rPr>
          <w:rStyle w:val="FootnoteReference"/>
        </w:rPr>
        <w:footnoteReference w:id="14"/>
      </w:r>
      <w:r w:rsidR="00565643">
        <w:t xml:space="preserve"> He then adds “let us not come up with any patronising nonsense about his being a great human teacher. He has not left that option open to us. He did not intend to.”</w:t>
      </w:r>
      <w:r w:rsidR="00565643">
        <w:rPr>
          <w:rStyle w:val="FootnoteReference"/>
        </w:rPr>
        <w:footnoteReference w:id="15"/>
      </w:r>
      <w:r w:rsidR="0093374A">
        <w:t xml:space="preserve"> What C.S Lewis is making clear is that Jesus was extremely </w:t>
      </w:r>
      <w:r w:rsidR="008E221C">
        <w:t>firm</w:t>
      </w:r>
      <w:r w:rsidR="0093374A">
        <w:t xml:space="preserve"> </w:t>
      </w:r>
      <w:r w:rsidR="00C67CEC">
        <w:t>in</w:t>
      </w:r>
      <w:r w:rsidR="0093374A">
        <w:t xml:space="preserve"> his </w:t>
      </w:r>
      <w:r w:rsidR="00C67CEC">
        <w:t>proclamation</w:t>
      </w:r>
      <w:r w:rsidR="0093374A">
        <w:t xml:space="preserve"> that he was one with God, therefore making the plurality of God a reality that Christians cannot ignore if they are to profess a faith in Jesus as their saviour. Thus, a question arises- who </w:t>
      </w:r>
      <w:r w:rsidR="00C67CEC">
        <w:t>was/</w:t>
      </w:r>
      <w:r w:rsidR="0093374A">
        <w:t xml:space="preserve">is </w:t>
      </w:r>
      <w:r w:rsidR="00B13ED9">
        <w:t>Jesus</w:t>
      </w:r>
      <w:r w:rsidR="0093374A">
        <w:t xml:space="preserve"> </w:t>
      </w:r>
      <w:proofErr w:type="gramStart"/>
      <w:r w:rsidR="00C67CEC">
        <w:t>in regard to</w:t>
      </w:r>
      <w:proofErr w:type="gramEnd"/>
      <w:r w:rsidR="0093374A">
        <w:t xml:space="preserve"> the promises made to God’s people throughout the Old Testament? </w:t>
      </w:r>
    </w:p>
    <w:p w:rsidR="00C67CEC" w:rsidRDefault="00BD50D6" w:rsidP="00AE188F">
      <w:pPr>
        <w:jc w:val="both"/>
      </w:pPr>
      <w:r>
        <w:t xml:space="preserve">Many Christian theologians claim that he is the fulfilment of those promises, he is the fruition of the covenant made with Abraham, he was the plan all-along. </w:t>
      </w:r>
      <w:r w:rsidR="005777BD">
        <w:t xml:space="preserve">The very titles of Jesus Christ (derived from ‘Christos’- anointed one) and Messiah (promised deliverer) allude to his role as Israel’s representative and </w:t>
      </w:r>
      <w:r w:rsidR="008E221C">
        <w:t xml:space="preserve">awaited </w:t>
      </w:r>
      <w:r w:rsidR="005777BD">
        <w:t xml:space="preserve">agent of salvation. Therefore, the whole of Israel’s history becomes a foreshadowing of the incarnation, it is a narrative that gains momentum and eventually culminates in Jesus. </w:t>
      </w:r>
      <w:r w:rsidR="00437321">
        <w:t>I would perhaps go as far as to suggest that Jesus’ role in the New testament cannot be fully understood without an understanding of the covenant relationship between God and his people</w:t>
      </w:r>
      <w:r w:rsidR="00EA6FFE">
        <w:t>;</w:t>
      </w:r>
      <w:r w:rsidR="00623B13">
        <w:t xml:space="preserve"> a covenant</w:t>
      </w:r>
      <w:r w:rsidR="00437321">
        <w:t xml:space="preserve"> that </w:t>
      </w:r>
      <w:r w:rsidR="00623B13">
        <w:t>dominates</w:t>
      </w:r>
      <w:r w:rsidR="00437321">
        <w:t xml:space="preserve"> the pages of the Old Testament scriptures.  </w:t>
      </w:r>
      <w:r w:rsidR="00623B13">
        <w:t xml:space="preserve">In the book of Isaiah there is a </w:t>
      </w:r>
      <w:r w:rsidR="005A76B5">
        <w:t>prophe</w:t>
      </w:r>
      <w:r w:rsidR="006C4771">
        <w:t>tic</w:t>
      </w:r>
      <w:r w:rsidR="005A76B5">
        <w:t xml:space="preserve"> poem </w:t>
      </w:r>
      <w:r w:rsidR="006C4771">
        <w:t xml:space="preserve">that </w:t>
      </w:r>
      <w:r w:rsidR="005A76B5">
        <w:t xml:space="preserve">alludes to a messianic promise, the author writes- </w:t>
      </w:r>
    </w:p>
    <w:p w:rsidR="005A76B5" w:rsidRDefault="005A76B5" w:rsidP="005A76B5">
      <w:pPr>
        <w:jc w:val="center"/>
      </w:pPr>
      <w:r>
        <w:rPr>
          <w:i/>
        </w:rPr>
        <w:t>‘T</w:t>
      </w:r>
      <w:r w:rsidRPr="005A76B5">
        <w:rPr>
          <w:i/>
        </w:rPr>
        <w:t>he spirit of the Lord God is upon me,</w:t>
      </w:r>
      <w:r w:rsidRPr="005A76B5">
        <w:rPr>
          <w:i/>
        </w:rPr>
        <w:br/>
        <w:t>    because the Lord has anointed me;</w:t>
      </w:r>
      <w:r w:rsidRPr="005A76B5">
        <w:rPr>
          <w:i/>
        </w:rPr>
        <w:br/>
        <w:t>he has sent me to bring good news to the oppressed,</w:t>
      </w:r>
      <w:r w:rsidRPr="005A76B5">
        <w:rPr>
          <w:i/>
        </w:rPr>
        <w:br/>
        <w:t xml:space="preserve">    to bind up the </w:t>
      </w:r>
      <w:proofErr w:type="spellStart"/>
      <w:r w:rsidRPr="005A76B5">
        <w:rPr>
          <w:i/>
        </w:rPr>
        <w:t>brokenhearted</w:t>
      </w:r>
      <w:proofErr w:type="spellEnd"/>
      <w:r w:rsidRPr="005A76B5">
        <w:rPr>
          <w:i/>
        </w:rPr>
        <w:t>,</w:t>
      </w:r>
      <w:r w:rsidRPr="005A76B5">
        <w:rPr>
          <w:i/>
        </w:rPr>
        <w:br/>
        <w:t>to proclaim liberty to the captives,</w:t>
      </w:r>
      <w:r w:rsidRPr="005A76B5">
        <w:rPr>
          <w:i/>
        </w:rPr>
        <w:br/>
        <w:t>    and release to the prisoners</w:t>
      </w:r>
      <w:r>
        <w:rPr>
          <w:i/>
        </w:rPr>
        <w:t>’ –</w:t>
      </w:r>
      <w:r w:rsidR="00551516">
        <w:rPr>
          <w:i/>
        </w:rPr>
        <w:t xml:space="preserve"> </w:t>
      </w:r>
      <w:r>
        <w:t>(Isa. 61:1)</w:t>
      </w:r>
    </w:p>
    <w:p w:rsidR="006C4771" w:rsidRDefault="006C4771" w:rsidP="006C4771">
      <w:pPr>
        <w:jc w:val="both"/>
      </w:pPr>
      <w:r>
        <w:t>In the Gospel of Luke</w:t>
      </w:r>
      <w:r w:rsidR="001E44A8">
        <w:t xml:space="preserve">, Jesus teaches in the synagogue and </w:t>
      </w:r>
      <w:r w:rsidR="008E221C">
        <w:t>uses the exact same passage to proclaim his</w:t>
      </w:r>
      <w:r w:rsidR="00792B84">
        <w:t xml:space="preserve"> own mission statement</w:t>
      </w:r>
      <w:r w:rsidR="001E44A8">
        <w:t>, he says-</w:t>
      </w:r>
    </w:p>
    <w:p w:rsidR="001E44A8" w:rsidRDefault="001E44A8" w:rsidP="001E44A8">
      <w:pPr>
        <w:jc w:val="center"/>
      </w:pPr>
      <w:r w:rsidRPr="001E44A8">
        <w:rPr>
          <w:i/>
        </w:rPr>
        <w:t>‘“The Spirit of the Lord is upon me,</w:t>
      </w:r>
      <w:r w:rsidRPr="001E44A8">
        <w:rPr>
          <w:i/>
        </w:rPr>
        <w:br/>
        <w:t>    because he has anointed me</w:t>
      </w:r>
      <w:r w:rsidRPr="001E44A8">
        <w:rPr>
          <w:i/>
        </w:rPr>
        <w:br/>
        <w:t>        to bring good news to the poor.</w:t>
      </w:r>
      <w:r w:rsidRPr="001E44A8">
        <w:rPr>
          <w:i/>
        </w:rPr>
        <w:br/>
        <w:t>He has sent me to proclaim release to the captives</w:t>
      </w:r>
      <w:r w:rsidRPr="001E44A8">
        <w:rPr>
          <w:i/>
        </w:rPr>
        <w:br/>
        <w:t>    and recovery of sight to the blind,</w:t>
      </w:r>
      <w:r w:rsidRPr="001E44A8">
        <w:rPr>
          <w:i/>
        </w:rPr>
        <w:br/>
        <w:t>        to let the oppressed go free,</w:t>
      </w:r>
      <w:r w:rsidRPr="001E44A8">
        <w:rPr>
          <w:i/>
        </w:rPr>
        <w:br/>
        <w:t xml:space="preserve">to proclaim the year of the Lord’s </w:t>
      </w:r>
      <w:r w:rsidR="00F21A40" w:rsidRPr="001E44A8">
        <w:rPr>
          <w:i/>
        </w:rPr>
        <w:t>favour</w:t>
      </w:r>
      <w:r w:rsidRPr="001E44A8">
        <w:rPr>
          <w:i/>
        </w:rPr>
        <w:t>.”’</w:t>
      </w:r>
      <w:r>
        <w:t>- (Luke 4:18-19)</w:t>
      </w:r>
    </w:p>
    <w:p w:rsidR="005A76B5" w:rsidRPr="0060501F" w:rsidRDefault="00637232" w:rsidP="005A76B5">
      <w:pPr>
        <w:jc w:val="both"/>
      </w:pPr>
      <w:r>
        <w:t xml:space="preserve">Through this use of the Old Testament scripture, the author of the Gospel is leaving it in no un-certain terms that Jesus is the awaited one, the fulfilment of the covenant made. </w:t>
      </w:r>
      <w:r w:rsidR="0060501F">
        <w:t>Furthermore, John Gill, a pastor and theologian from the 17</w:t>
      </w:r>
      <w:r w:rsidR="0060501F" w:rsidRPr="0060501F">
        <w:rPr>
          <w:vertAlign w:val="superscript"/>
        </w:rPr>
        <w:t>th</w:t>
      </w:r>
      <w:r w:rsidR="0060501F">
        <w:t xml:space="preserve"> century</w:t>
      </w:r>
      <w:r w:rsidR="008E221C">
        <w:t>,</w:t>
      </w:r>
      <w:r w:rsidR="0060501F">
        <w:t xml:space="preserve"> also notes that the spirit mentioned in both passages, is the presence of the Holy Spirit,</w:t>
      </w:r>
      <w:r w:rsidR="0060501F">
        <w:rPr>
          <w:rStyle w:val="FootnoteReference"/>
        </w:rPr>
        <w:footnoteReference w:id="16"/>
      </w:r>
      <w:r w:rsidR="0060501F">
        <w:t xml:space="preserve"> yet another example of how the Trinity shapes the way in which Christians </w:t>
      </w:r>
      <w:r w:rsidR="006E701A">
        <w:t>view the</w:t>
      </w:r>
      <w:r w:rsidR="0060501F">
        <w:t xml:space="preserve"> works of God as triune.</w:t>
      </w:r>
    </w:p>
    <w:p w:rsidR="00CF72A2" w:rsidRDefault="00CF72A2" w:rsidP="005A76B5">
      <w:pPr>
        <w:jc w:val="both"/>
      </w:pPr>
      <w:r>
        <w:t xml:space="preserve">This is just one of many examples of the Hebrew Bible being used as evidence to Jesus’ divine identity, and therefore evidence to the validity of the doctrine of the Trinity. </w:t>
      </w:r>
      <w:r w:rsidR="000A7944">
        <w:t>The way in which the authors of the New testament books have used p</w:t>
      </w:r>
      <w:r w:rsidR="00EA6FFE">
        <w:t>assages</w:t>
      </w:r>
      <w:r w:rsidR="000A7944">
        <w:t xml:space="preserve"> of scripture from the Old testament leads Christian</w:t>
      </w:r>
      <w:r w:rsidR="00EA6FFE">
        <w:t>s to read</w:t>
      </w:r>
      <w:r w:rsidR="000A7944">
        <w:t xml:space="preserve"> the entirety of the Bible with the hindsight of the revealed Jesus, who is the culmination of every promise and prophesy.  </w:t>
      </w:r>
      <w:r w:rsidR="00EA6FFE">
        <w:t xml:space="preserve">One such example of this is the sacrificial system that was established by God </w:t>
      </w:r>
      <w:r w:rsidR="00EA6FFE">
        <w:lastRenderedPageBreak/>
        <w:t>and communicated to Moses (Lev. 1-17), the system was a means by which the people of God c</w:t>
      </w:r>
      <w:r w:rsidR="00640AED">
        <w:t>ould</w:t>
      </w:r>
      <w:r w:rsidR="00EA6FFE">
        <w:t xml:space="preserve"> repent of their misdemeanours and </w:t>
      </w:r>
      <w:r w:rsidR="000F206A">
        <w:t>mistakes and</w:t>
      </w:r>
      <w:r w:rsidR="00640AED">
        <w:t xml:space="preserve"> remain in his favour</w:t>
      </w:r>
      <w:r w:rsidR="00EA6FFE">
        <w:t>.</w:t>
      </w:r>
      <w:r w:rsidR="00640AED">
        <w:t xml:space="preserve"> </w:t>
      </w:r>
      <w:r w:rsidR="000F206A">
        <w:t xml:space="preserve">Yet, for Christian readers of the Hebrew Bible, </w:t>
      </w:r>
      <w:r w:rsidR="00EB25A6">
        <w:t xml:space="preserve">it is apparent that </w:t>
      </w:r>
      <w:r w:rsidR="000F206A">
        <w:t>God had a dual-motive when establishing the sacrificial system</w:t>
      </w:r>
      <w:r w:rsidR="00EB25A6">
        <w:t>;</w:t>
      </w:r>
      <w:r w:rsidR="000F206A">
        <w:t xml:space="preserve"> it was a way in which he could remain in right relationship with his people, but it was also a foreshadowing to the ultimate sacrifice-</w:t>
      </w:r>
      <w:r w:rsidR="008E221C">
        <w:t xml:space="preserve"> namely,</w:t>
      </w:r>
      <w:r w:rsidR="000F206A">
        <w:t xml:space="preserve"> Jesus’ death. </w:t>
      </w:r>
      <w:r w:rsidR="009058F5">
        <w:t>The sacrificial system was one aspect of the Law, which as Milne writes “came into effect as God’s demand that his people live in accordance with his holy character”</w:t>
      </w:r>
      <w:r w:rsidR="00FA731D">
        <w:t>.</w:t>
      </w:r>
      <w:r w:rsidR="009058F5">
        <w:rPr>
          <w:rStyle w:val="FootnoteReference"/>
        </w:rPr>
        <w:footnoteReference w:id="17"/>
      </w:r>
      <w:r w:rsidR="00FA731D">
        <w:t xml:space="preserve"> In the Gospel of Matthew, Jesus himself states</w:t>
      </w:r>
      <w:r w:rsidR="008E221C">
        <w:t>-</w:t>
      </w:r>
      <w:r w:rsidR="00FA731D">
        <w:t xml:space="preserve"> ‘</w:t>
      </w:r>
      <w:r w:rsidR="00FA731D" w:rsidRPr="00FA731D">
        <w:rPr>
          <w:b/>
          <w:bCs/>
          <w:vertAlign w:val="superscript"/>
        </w:rPr>
        <w:t> </w:t>
      </w:r>
      <w:r w:rsidR="00FA731D" w:rsidRPr="00FA731D">
        <w:t xml:space="preserve">“Do not think that I have come to abolish the law or the prophets; I have come not to abolish but to </w:t>
      </w:r>
      <w:r w:rsidR="008E221C" w:rsidRPr="00FA731D">
        <w:t>fulfil</w:t>
      </w:r>
      <w:r w:rsidR="00FA731D" w:rsidRPr="00FA731D">
        <w:t>.</w:t>
      </w:r>
      <w:r w:rsidR="00FA731D">
        <w:t>”’ (Matt. 5:17)</w:t>
      </w:r>
      <w:r w:rsidR="00511C15">
        <w:t>.</w:t>
      </w:r>
      <w:r w:rsidR="00FA731D">
        <w:t xml:space="preserve"> </w:t>
      </w:r>
      <w:r w:rsidR="00511C15">
        <w:t>O</w:t>
      </w:r>
      <w:r w:rsidR="00FA731D">
        <w:t>nce again</w:t>
      </w:r>
      <w:r w:rsidR="00511C15">
        <w:t>,</w:t>
      </w:r>
      <w:r w:rsidR="00FA731D">
        <w:t xml:space="preserve"> </w:t>
      </w:r>
      <w:r w:rsidR="00511C15">
        <w:t>Jesus</w:t>
      </w:r>
      <w:r w:rsidR="00FA731D">
        <w:t xml:space="preserve"> is pointing to himself as the culmination of the covenant between God and his people; Christianity does not regard the Hebrew Scriptures as redundant, but rather fulfilled. </w:t>
      </w:r>
    </w:p>
    <w:p w:rsidR="00726FE5" w:rsidRDefault="00151B53" w:rsidP="005A76B5">
      <w:pPr>
        <w:jc w:val="both"/>
      </w:pPr>
      <w:r>
        <w:t xml:space="preserve">The Temple is a theme that flows through the Old Testament, as readers follow its rise and fall throughout the narrative.  </w:t>
      </w:r>
      <w:r w:rsidR="00F76A3C">
        <w:t xml:space="preserve">Beginning with the tabernacle in the wilderness (Exod. </w:t>
      </w:r>
      <w:r w:rsidR="0081642D">
        <w:t>40:34), the extravagant temple built by king Solomon (1 Kings 8:10-11), the destruction of the temple during the exile (2 Kings 25; Jer. 52), and the building of the second temple (Ezra, Haggai, Zechariah)</w:t>
      </w:r>
      <w:r w:rsidR="00A9456A">
        <w:t xml:space="preserve">. Within Christian interpretation, the Temple </w:t>
      </w:r>
      <w:r w:rsidR="0081642D">
        <w:t xml:space="preserve">is a theme that is also believed to have come to fulfilment through Jesus. In the Gospel of John, Jesus </w:t>
      </w:r>
      <w:r w:rsidR="009B4E12">
        <w:t>makes a staggering claim, he declares-</w:t>
      </w:r>
      <w:r w:rsidR="0081642D">
        <w:t xml:space="preserve"> </w:t>
      </w:r>
      <w:r w:rsidR="009B4E12">
        <w:t>‘</w:t>
      </w:r>
      <w:r w:rsidR="0081642D" w:rsidRPr="0081642D">
        <w:t>“Destroy this temple, and in three days I will raise it up.”</w:t>
      </w:r>
      <w:r w:rsidR="009B4E12">
        <w:t xml:space="preserve">’ (John 2:19). </w:t>
      </w:r>
      <w:r w:rsidR="00551516">
        <w:t>This leaves the religious officials in the narrative perplexed, but the readers are given an explanation by the author, that Jesus was talking about his death and resurrection, referring to his body as the temple that will never be destroyed (John 2:21). Craig Koester writes that</w:t>
      </w:r>
      <w:r w:rsidR="007C4FCB">
        <w:t xml:space="preserve"> “Jesus’ promise of a new temple suggests that God’s glory would be manifested, not in a place, but in a person.”</w:t>
      </w:r>
      <w:r w:rsidR="007C4FCB">
        <w:rPr>
          <w:rStyle w:val="FootnoteReference"/>
        </w:rPr>
        <w:footnoteReference w:id="18"/>
      </w:r>
      <w:r w:rsidR="00671B3F">
        <w:t xml:space="preserve"> </w:t>
      </w:r>
      <w:r w:rsidR="00726FE5">
        <w:t>Yet again, the Hebrew Scriptures are being re-worked and interpreted by the New testament authors, who are placing Jesus amongst the promises of the Old Testament.</w:t>
      </w:r>
    </w:p>
    <w:p w:rsidR="00FA731D" w:rsidRDefault="00AA7E9A" w:rsidP="005A76B5">
      <w:pPr>
        <w:jc w:val="both"/>
      </w:pPr>
      <w:r>
        <w:t xml:space="preserve">It is un-questionable that the incarnation of Jesus, and the subsequent doctrine of the Trinity shape the way in which the Hebrew scriptures are </w:t>
      </w:r>
      <w:r w:rsidR="00F60ACE">
        <w:t>interpreted by</w:t>
      </w:r>
      <w:r>
        <w:t xml:space="preserve"> Christians, with Jesus being the message that God has </w:t>
      </w:r>
      <w:r w:rsidR="00A9456A">
        <w:t xml:space="preserve">been </w:t>
      </w:r>
      <w:r>
        <w:t>hidden in plain sight</w:t>
      </w:r>
      <w:r w:rsidR="00EB333D">
        <w:t xml:space="preserve"> until the allotted time</w:t>
      </w:r>
      <w:r>
        <w:t xml:space="preserve">. </w:t>
      </w:r>
      <w:r w:rsidR="00EB333D">
        <w:t xml:space="preserve">Every promise, every prophesy, every law and ritual are fully explained within the person and works of Jesus Christ, the fulfilment of the covenant. </w:t>
      </w:r>
    </w:p>
    <w:p w:rsidR="00B77CAC" w:rsidRDefault="00B77CAC" w:rsidP="005A76B5">
      <w:pPr>
        <w:jc w:val="both"/>
      </w:pPr>
    </w:p>
    <w:p w:rsidR="00B77CAC" w:rsidRPr="00B77CAC" w:rsidRDefault="00B77CAC" w:rsidP="005A76B5">
      <w:pPr>
        <w:jc w:val="both"/>
        <w:rPr>
          <w:b/>
        </w:rPr>
      </w:pPr>
      <w:r w:rsidRPr="00B77CAC">
        <w:rPr>
          <w:b/>
        </w:rPr>
        <w:t>The Holy Spirit</w:t>
      </w:r>
      <w:r>
        <w:rPr>
          <w:b/>
        </w:rPr>
        <w:t xml:space="preserve"> and the </w:t>
      </w:r>
      <w:r w:rsidR="00AF69AA">
        <w:rPr>
          <w:b/>
        </w:rPr>
        <w:t>‘New Age’</w:t>
      </w:r>
    </w:p>
    <w:p w:rsidR="008B218F" w:rsidRDefault="00407905" w:rsidP="00AE188F">
      <w:pPr>
        <w:jc w:val="both"/>
      </w:pPr>
      <w:r>
        <w:t>Finally, we come to the Holy Spirit, the official introduction of whom can be found within the book of Acts (2</w:t>
      </w:r>
      <w:r w:rsidR="00086631">
        <w:t>:1-31</w:t>
      </w:r>
      <w:r>
        <w:t>). The Holy Spirit is often the member of the Trinity who is regarded with the most suspicion and raises the most theological questions; one thing to make clear from the off-set is that according to the Apostle’s Creed</w:t>
      </w:r>
      <w:r>
        <w:rPr>
          <w:rStyle w:val="FootnoteReference"/>
        </w:rPr>
        <w:footnoteReference w:id="19"/>
      </w:r>
      <w:r>
        <w:t xml:space="preserve"> (and therefore generally accepted by most Christian schools of thought), the Holy Spirit i</w:t>
      </w:r>
      <w:r w:rsidR="00EF4045">
        <w:t>s</w:t>
      </w:r>
      <w:r>
        <w:t xml:space="preserve"> God. </w:t>
      </w:r>
      <w:r w:rsidR="009C530F">
        <w:t>Further into the narrative</w:t>
      </w:r>
      <w:r w:rsidR="00BC447E">
        <w:t xml:space="preserve"> of the early church, as</w:t>
      </w:r>
      <w:r w:rsidR="009C530F">
        <w:t xml:space="preserve"> recorded in the book of Acts (5:3-4), the Apostle Peter claims that to lie to the Holy Spirit is to lie to God himself, reiterating the idea that they are unified not only in mission but in personage, both indivisible and both divine. </w:t>
      </w:r>
      <w:r w:rsidR="00EF4045">
        <w:t>Thus, a question must be addressed, what impact does the presence of the Holy Spirit have on the</w:t>
      </w:r>
      <w:r w:rsidR="00296F32">
        <w:t xml:space="preserve"> Christian interpretation of the</w:t>
      </w:r>
      <w:r w:rsidR="00EF4045">
        <w:t xml:space="preserve"> Hebrew Scriptures?</w:t>
      </w:r>
    </w:p>
    <w:p w:rsidR="00296F32" w:rsidRDefault="00296F32" w:rsidP="00AE188F">
      <w:pPr>
        <w:jc w:val="both"/>
      </w:pPr>
    </w:p>
    <w:p w:rsidR="00B843D3" w:rsidRDefault="005E7F21" w:rsidP="00AE188F">
      <w:pPr>
        <w:jc w:val="both"/>
      </w:pPr>
      <w:r>
        <w:lastRenderedPageBreak/>
        <w:t xml:space="preserve">It cannot be denied that the Holy Spirit’s presence is far more explicit in the New Testament than in the Old, according to the Gospel of John this is because the Spirit was poured out in his fullness after Jesus was glorified (John 7:39). However, Christians </w:t>
      </w:r>
      <w:r w:rsidR="00A139ED">
        <w:t>interpret</w:t>
      </w:r>
      <w:r>
        <w:t xml:space="preserve"> passages such as Isaiah 44:3 as a Trinity</w:t>
      </w:r>
      <w:r w:rsidR="00892073">
        <w:t>-centric</w:t>
      </w:r>
      <w:r>
        <w:t xml:space="preserve"> prophesy, attesting to a time when the Holy Spirit’s power would be fully revealed, Isaiah </w:t>
      </w:r>
      <w:r w:rsidR="00AA1398">
        <w:t xml:space="preserve">records the promise of God when he says- “I will pour water on thirsty land, and streams on the dry ground; I will pour out my spirit on your offspring, and my blessing on your descendants” (Isa 44:3). As a result of passages such as this, the coming of the Holy Spirit became a marker for the ‘New Covenant’ or ‘New Age’ which was predicted by Old Testament prophets such as Joel (2:28-29) and </w:t>
      </w:r>
      <w:r w:rsidR="00E94D45">
        <w:t xml:space="preserve">Ezekiel (36:26; 37:14). Christians therefore find themselves coming to a familiar conclusion regarding the Holy Spirit and the Hebrew Bible; </w:t>
      </w:r>
      <w:r w:rsidR="00BC447E">
        <w:t xml:space="preserve">that </w:t>
      </w:r>
      <w:r w:rsidR="00E94D45">
        <w:t xml:space="preserve">he is the fulfilment, the culmination, the climax of the Old Testament’s promises. </w:t>
      </w:r>
      <w:r w:rsidR="00BC447E">
        <w:t xml:space="preserve">According to Christian theology, the New Covenant has been </w:t>
      </w:r>
      <w:r w:rsidR="00F56D80">
        <w:t>established</w:t>
      </w:r>
      <w:r w:rsidR="00BC447E">
        <w:t>, the New Age has been ushered in and the presence of the Holy Sprit ‘among all people</w:t>
      </w:r>
      <w:r w:rsidR="00F56D80">
        <w:t xml:space="preserve">’ acts as evidence of this. </w:t>
      </w:r>
      <w:r w:rsidR="00EC4B11">
        <w:t>However, this is not to say that the Holy Spirit was absent or passive through Israel’s history, Wayne Gruden notes that “</w:t>
      </w:r>
      <w:r w:rsidR="00683FBF">
        <w:t>we should not conclude that there was no work of the Holy Spirit within people before Pentecost. Although the Old Testament does not frequently speak of people who had the Holy Spirit within them or who are filled with the Holy Spirit, there are a few examples”</w:t>
      </w:r>
      <w:r w:rsidR="00683FBF">
        <w:rPr>
          <w:rStyle w:val="FootnoteReference"/>
        </w:rPr>
        <w:footnoteReference w:id="20"/>
      </w:r>
      <w:r w:rsidR="00683FBF">
        <w:t xml:space="preserve"> Gruden goes on to list Joshua</w:t>
      </w:r>
      <w:r w:rsidR="000B284B">
        <w:t xml:space="preserve"> (Num. 27:18)</w:t>
      </w:r>
      <w:r w:rsidR="00683FBF">
        <w:t>, Ezekiel</w:t>
      </w:r>
      <w:r w:rsidR="000B284B">
        <w:t xml:space="preserve"> (Ezek. 2:2; 13:24)</w:t>
      </w:r>
      <w:r w:rsidR="00683FBF">
        <w:t xml:space="preserve">, </w:t>
      </w:r>
      <w:r w:rsidR="000B284B">
        <w:t>David (1 Sam. 16:13), Daniel (Dan. 4:8-9; 5:11)</w:t>
      </w:r>
      <w:r w:rsidR="00683FBF">
        <w:t xml:space="preserve"> and Micah</w:t>
      </w:r>
      <w:r w:rsidR="000B284B">
        <w:t xml:space="preserve"> (Mic. 3:8)</w:t>
      </w:r>
      <w:r w:rsidR="00683FBF">
        <w:t xml:space="preserve"> who are all referred to as men </w:t>
      </w:r>
      <w:r w:rsidR="000B284B">
        <w:t>up</w:t>
      </w:r>
      <w:r w:rsidR="00683FBF">
        <w:t xml:space="preserve">on whom the Spirit rested, which of course, for Christians is alluding to the Holy Spirit himself. </w:t>
      </w:r>
    </w:p>
    <w:p w:rsidR="00E65B2F" w:rsidRDefault="00E65B2F" w:rsidP="00AE188F">
      <w:pPr>
        <w:jc w:val="both"/>
      </w:pPr>
      <w:r>
        <w:t>T</w:t>
      </w:r>
      <w:r w:rsidRPr="00E65B2F">
        <w:t>here is also a Christian belief that the Holy Spirit replaces the afore mentioned Law, by which God’s people would be distinct as living within his favour. Such a belief is largely due to the writings of the apostle Paul who writes that “the law might be fully met in us, who do not live according to the flesh but according to the spirit” (Rom. 8:4). Thomas Aquinas explores this idea in depth and concludes that “when you do what the Sprit suggests, as director and guide, and not what your sense desires urge, you are not under the law… after the coming of Christ, no one having the Holy Spirit is obliged to observe the Law.”</w:t>
      </w:r>
      <w:r w:rsidRPr="00E65B2F">
        <w:rPr>
          <w:vertAlign w:val="superscript"/>
        </w:rPr>
        <w:footnoteReference w:id="21"/>
      </w:r>
      <w:r w:rsidRPr="00E65B2F">
        <w:t xml:space="preserve"> Although, as Aquinas continues to develop his argument, he makes it clear that Christian interpretation should not render the whole Law redundant, in some instances (such as ‘do not murder’) it should still be observed. Aquinas is making the point that the presence of the Holy Spirit means that Christians should not place themselves under the religious authority of the Law but should instead adhere to the religious authority of the Holy Spirit.</w:t>
      </w:r>
      <w:r w:rsidRPr="00E65B2F">
        <w:rPr>
          <w:vertAlign w:val="superscript"/>
        </w:rPr>
        <w:footnoteReference w:id="22"/>
      </w:r>
    </w:p>
    <w:p w:rsidR="00AF69AA" w:rsidRDefault="002A1BC0" w:rsidP="00AE188F">
      <w:pPr>
        <w:jc w:val="both"/>
      </w:pPr>
      <w:r>
        <w:t>Gregory of Nyssa depicts the works of the Holy Spirit in terms of his role in regard to the out-working of grace; he states that grace is ‘wrought in us’ by the Father, ‘prepared’ by the Son and ‘depends upon the will of’ the spirit.</w:t>
      </w:r>
      <w:r>
        <w:rPr>
          <w:rStyle w:val="FootnoteReference"/>
        </w:rPr>
        <w:footnoteReference w:id="23"/>
      </w:r>
      <w:r>
        <w:t xml:space="preserve"> In other words, the Holy Spirit makes redemption and salvation a reality within peoples lives. </w:t>
      </w:r>
      <w:r w:rsidR="001E25AA">
        <w:t>It could be argued that if Jesus is the sacrificial system personified as has been previously explored, then the Holy Spirit is the Law</w:t>
      </w:r>
      <w:r w:rsidR="00C372B6">
        <w:t xml:space="preserve">, the means by which one can remain connected to God </w:t>
      </w:r>
      <w:proofErr w:type="gramStart"/>
      <w:r w:rsidR="00C372B6">
        <w:t>on a daily basis</w:t>
      </w:r>
      <w:proofErr w:type="gramEnd"/>
      <w:r w:rsidR="00C372B6">
        <w:t xml:space="preserve">. </w:t>
      </w:r>
      <w:r w:rsidR="001E25AA">
        <w:t xml:space="preserve"> </w:t>
      </w:r>
    </w:p>
    <w:p w:rsidR="00945299" w:rsidRDefault="00945299" w:rsidP="00AE188F">
      <w:pPr>
        <w:jc w:val="both"/>
      </w:pPr>
    </w:p>
    <w:p w:rsidR="00945299" w:rsidRDefault="00945299" w:rsidP="00AE188F">
      <w:pPr>
        <w:jc w:val="both"/>
        <w:rPr>
          <w:b/>
        </w:rPr>
      </w:pPr>
      <w:r>
        <w:rPr>
          <w:b/>
        </w:rPr>
        <w:lastRenderedPageBreak/>
        <w:t xml:space="preserve">Conclusion </w:t>
      </w:r>
    </w:p>
    <w:p w:rsidR="00945299" w:rsidRDefault="008C48D7" w:rsidP="00AE188F">
      <w:pPr>
        <w:jc w:val="both"/>
      </w:pPr>
      <w:r>
        <w:t xml:space="preserve">It must be noted that I have barely skimmed the surface of the endless ways in which the doctrine of the Trinity shapes the ways in which Christians interpret the writings of the Old testament. I don’t believe it would be an exaggeration to state that for Christians, the Trinity lies behind the scenes of every narrative, can be pulled out of every promise and is hinted at in every word that God speaks to his people. As has already been stated, </w:t>
      </w:r>
      <w:r w:rsidRPr="006860B4">
        <w:rPr>
          <w:i/>
        </w:rPr>
        <w:t>if</w:t>
      </w:r>
      <w:r>
        <w:t xml:space="preserve"> the Trinity </w:t>
      </w:r>
      <w:bookmarkStart w:id="7" w:name="_GoBack"/>
      <w:bookmarkEnd w:id="7"/>
      <w:r>
        <w:t xml:space="preserve">were present at the beginning of time, as the Apostles John and Paul claim, then their presence must be weaved into the entirety of human history, making it impossible to interpret any scripture as </w:t>
      </w:r>
      <w:r w:rsidR="00456E9E">
        <w:t xml:space="preserve">having been </w:t>
      </w:r>
      <w:r>
        <w:t>written in their absence.</w:t>
      </w:r>
    </w:p>
    <w:p w:rsidR="00960449" w:rsidRDefault="00960449" w:rsidP="00AE188F">
      <w:pPr>
        <w:jc w:val="both"/>
      </w:pPr>
    </w:p>
    <w:p w:rsidR="00960449" w:rsidRDefault="00960449" w:rsidP="00AE188F">
      <w:pPr>
        <w:jc w:val="both"/>
      </w:pPr>
    </w:p>
    <w:p w:rsidR="00960449" w:rsidRDefault="00960449" w:rsidP="00AE188F">
      <w:pPr>
        <w:jc w:val="both"/>
        <w:rPr>
          <w:b/>
        </w:rPr>
      </w:pPr>
      <w:r>
        <w:rPr>
          <w:b/>
        </w:rPr>
        <w:t>Bibliography:</w:t>
      </w:r>
    </w:p>
    <w:p w:rsidR="009B6DB6" w:rsidRPr="009B6DB6" w:rsidRDefault="009B6DB6" w:rsidP="00AE188F">
      <w:pPr>
        <w:jc w:val="both"/>
      </w:pPr>
      <w:r w:rsidRPr="009B6DB6">
        <w:t xml:space="preserve">Augustine, </w:t>
      </w:r>
      <w:r w:rsidRPr="009B6DB6">
        <w:rPr>
          <w:i/>
        </w:rPr>
        <w:t xml:space="preserve">One </w:t>
      </w:r>
      <w:proofErr w:type="gramStart"/>
      <w:r w:rsidRPr="009B6DB6">
        <w:rPr>
          <w:i/>
        </w:rPr>
        <w:t>The</w:t>
      </w:r>
      <w:proofErr w:type="gramEnd"/>
      <w:r w:rsidRPr="009B6DB6">
        <w:rPr>
          <w:i/>
        </w:rPr>
        <w:t xml:space="preserve"> Trinity, </w:t>
      </w:r>
      <w:r w:rsidRPr="009B6DB6">
        <w:t>Library of Christian Classics 8, (SCM 1954).</w:t>
      </w:r>
    </w:p>
    <w:p w:rsidR="00960449" w:rsidRDefault="007B4F8F" w:rsidP="00AE188F">
      <w:pPr>
        <w:jc w:val="both"/>
      </w:pPr>
      <w:r w:rsidRPr="007B4F8F">
        <w:t>Aquinas,</w:t>
      </w:r>
      <w:r>
        <w:t xml:space="preserve"> T.</w:t>
      </w:r>
      <w:r w:rsidRPr="007B4F8F">
        <w:t xml:space="preserve"> </w:t>
      </w:r>
      <w:r w:rsidRPr="007B4F8F">
        <w:rPr>
          <w:i/>
        </w:rPr>
        <w:t>Commentary on St. Paul’s Epistle to the Galatians (Aquinas Scripture Series: Vol. 1)</w:t>
      </w:r>
      <w:r w:rsidRPr="007B4F8F">
        <w:t xml:space="preserve"> (New York: Magi Books Inc., 1966)</w:t>
      </w:r>
    </w:p>
    <w:p w:rsidR="005267F4" w:rsidRPr="007B4F8F" w:rsidRDefault="005267F4" w:rsidP="00AE188F">
      <w:pPr>
        <w:jc w:val="both"/>
      </w:pPr>
      <w:r w:rsidRPr="005267F4">
        <w:t>Gruden,</w:t>
      </w:r>
      <w:r>
        <w:t xml:space="preserve"> W.</w:t>
      </w:r>
      <w:r w:rsidRPr="005267F4">
        <w:t xml:space="preserve"> </w:t>
      </w:r>
      <w:r w:rsidRPr="005267F4">
        <w:rPr>
          <w:i/>
        </w:rPr>
        <w:t>Systematic Theology: An Introduction to Biblical Doctrine, (</w:t>
      </w:r>
      <w:r w:rsidRPr="005267F4">
        <w:t>Leicester: Intervarsity Press and Grand Rapids: Zondervan Publishing house, 1994.)</w:t>
      </w:r>
    </w:p>
    <w:p w:rsidR="009B6DB6" w:rsidRDefault="005267F4" w:rsidP="00AE188F">
      <w:pPr>
        <w:jc w:val="both"/>
      </w:pPr>
      <w:r w:rsidRPr="005267F4">
        <w:t xml:space="preserve">Gregory Nyssa, </w:t>
      </w:r>
      <w:r w:rsidRPr="005267F4">
        <w:rPr>
          <w:i/>
        </w:rPr>
        <w:t xml:space="preserve">Letters to </w:t>
      </w:r>
      <w:proofErr w:type="spellStart"/>
      <w:r w:rsidRPr="005267F4">
        <w:rPr>
          <w:i/>
        </w:rPr>
        <w:t>Ablabius</w:t>
      </w:r>
      <w:proofErr w:type="spellEnd"/>
      <w:r w:rsidRPr="005267F4">
        <w:rPr>
          <w:i/>
        </w:rPr>
        <w:t>: Not Three Gods,</w:t>
      </w:r>
      <w:r w:rsidRPr="005267F4">
        <w:t xml:space="preserve"> </w:t>
      </w:r>
      <w:r w:rsidRPr="005267F4">
        <w:rPr>
          <w:i/>
        </w:rPr>
        <w:t>A Select library of Nicene and post-Nicene fathers of the Christian church.</w:t>
      </w:r>
      <w:r w:rsidRPr="005267F4">
        <w:t xml:space="preserve"> Second series.</w:t>
      </w:r>
    </w:p>
    <w:p w:rsidR="009B6DB6" w:rsidRDefault="009B6DB6" w:rsidP="00AE188F">
      <w:pPr>
        <w:jc w:val="both"/>
      </w:pPr>
      <w:r w:rsidRPr="009B6DB6">
        <w:t xml:space="preserve"> </w:t>
      </w:r>
      <w:proofErr w:type="spellStart"/>
      <w:r w:rsidRPr="009B6DB6">
        <w:t>Kautzsch</w:t>
      </w:r>
      <w:proofErr w:type="spellEnd"/>
      <w:r w:rsidRPr="009B6DB6">
        <w:t>,</w:t>
      </w:r>
      <w:r>
        <w:t xml:space="preserve"> E.,</w:t>
      </w:r>
      <w:r w:rsidRPr="009B6DB6">
        <w:t xml:space="preserve"> A. E. </w:t>
      </w:r>
      <w:proofErr w:type="spellStart"/>
      <w:r w:rsidRPr="009B6DB6">
        <w:t>Cowley</w:t>
      </w:r>
      <w:proofErr w:type="spellEnd"/>
      <w:r w:rsidRPr="009B6DB6">
        <w:t xml:space="preserve">, </w:t>
      </w:r>
      <w:proofErr w:type="spellStart"/>
      <w:r w:rsidRPr="009B6DB6">
        <w:rPr>
          <w:i/>
        </w:rPr>
        <w:t>Gesenius</w:t>
      </w:r>
      <w:proofErr w:type="spellEnd"/>
      <w:r w:rsidRPr="009B6DB6">
        <w:rPr>
          <w:i/>
        </w:rPr>
        <w:t xml:space="preserve"> Hebrew Grammar, </w:t>
      </w:r>
      <w:r w:rsidRPr="009B6DB6">
        <w:t>(Oxford: Clarendon Press, 1910).</w:t>
      </w:r>
    </w:p>
    <w:p w:rsidR="004A6B30" w:rsidRDefault="004A6B30" w:rsidP="00AE188F">
      <w:pPr>
        <w:jc w:val="both"/>
      </w:pPr>
      <w:r w:rsidRPr="004A6B30">
        <w:t xml:space="preserve"> Koester,</w:t>
      </w:r>
      <w:r>
        <w:t xml:space="preserve"> C.R,</w:t>
      </w:r>
      <w:r w:rsidRPr="004A6B30">
        <w:t xml:space="preserve"> </w:t>
      </w:r>
      <w:r w:rsidRPr="004A6B30">
        <w:rPr>
          <w:i/>
        </w:rPr>
        <w:t xml:space="preserve">Symbolism in the Fourth Gospel: Meaning, Mystery and Community </w:t>
      </w:r>
      <w:r w:rsidRPr="004A6B30">
        <w:t>(Second Edition) (Minneapolis: Fortress Press, 2003)</w:t>
      </w:r>
    </w:p>
    <w:p w:rsidR="009B6DB6" w:rsidRDefault="009B6DB6" w:rsidP="00AE188F">
      <w:pPr>
        <w:jc w:val="both"/>
      </w:pPr>
      <w:r w:rsidRPr="009B6DB6">
        <w:t>Lewis,</w:t>
      </w:r>
      <w:r>
        <w:t xml:space="preserve"> C.S.,</w:t>
      </w:r>
      <w:r w:rsidRPr="009B6DB6">
        <w:t xml:space="preserve"> </w:t>
      </w:r>
      <w:r w:rsidRPr="009B6DB6">
        <w:rPr>
          <w:i/>
        </w:rPr>
        <w:t xml:space="preserve">Mere Christianity, </w:t>
      </w:r>
      <w:r w:rsidRPr="009B6DB6">
        <w:t>(New York: The Macmillan Company, 1960).</w:t>
      </w:r>
    </w:p>
    <w:p w:rsidR="005267F4" w:rsidRDefault="005267F4" w:rsidP="00AE188F">
      <w:pPr>
        <w:jc w:val="both"/>
      </w:pPr>
      <w:r w:rsidRPr="005267F4">
        <w:t>Lincoln,</w:t>
      </w:r>
      <w:r>
        <w:t xml:space="preserve"> </w:t>
      </w:r>
      <w:proofErr w:type="gramStart"/>
      <w:r>
        <w:t>A.T</w:t>
      </w:r>
      <w:proofErr w:type="gramEnd"/>
      <w:r>
        <w:t>,</w:t>
      </w:r>
      <w:r w:rsidRPr="005267F4">
        <w:t xml:space="preserve"> </w:t>
      </w:r>
      <w:r w:rsidRPr="005267F4">
        <w:rPr>
          <w:i/>
        </w:rPr>
        <w:t xml:space="preserve">The Gospel According to </w:t>
      </w:r>
      <w:proofErr w:type="spellStart"/>
      <w:r w:rsidRPr="005267F4">
        <w:rPr>
          <w:i/>
        </w:rPr>
        <w:t>St.John</w:t>
      </w:r>
      <w:proofErr w:type="spellEnd"/>
      <w:r w:rsidRPr="005267F4">
        <w:rPr>
          <w:i/>
        </w:rPr>
        <w:t xml:space="preserve">, </w:t>
      </w:r>
      <w:r w:rsidRPr="005267F4">
        <w:t xml:space="preserve">(New York: Hendrickson Publishers </w:t>
      </w:r>
      <w:proofErr w:type="spellStart"/>
      <w:r w:rsidRPr="005267F4">
        <w:t>inc.</w:t>
      </w:r>
      <w:proofErr w:type="spellEnd"/>
      <w:r w:rsidRPr="005267F4">
        <w:t xml:space="preserve"> 2005)</w:t>
      </w:r>
    </w:p>
    <w:p w:rsidR="00BC447E" w:rsidRDefault="004A6B30" w:rsidP="00AE188F">
      <w:pPr>
        <w:jc w:val="both"/>
      </w:pPr>
      <w:r w:rsidRPr="004A6B30">
        <w:t>Milne,</w:t>
      </w:r>
      <w:r>
        <w:t xml:space="preserve"> B.</w:t>
      </w:r>
      <w:r w:rsidRPr="004A6B30">
        <w:t xml:space="preserve"> </w:t>
      </w:r>
      <w:r w:rsidRPr="004A6B30">
        <w:rPr>
          <w:i/>
        </w:rPr>
        <w:t>Know the Truth: A Handbook to Christian Belief (Second Edition), (</w:t>
      </w:r>
      <w:r w:rsidRPr="004A6B30">
        <w:t>Leicester: Inter-Varsity Press, 1998.)</w:t>
      </w:r>
    </w:p>
    <w:p w:rsidR="00FE2C9F" w:rsidRDefault="009B6DB6" w:rsidP="00AE188F">
      <w:pPr>
        <w:jc w:val="both"/>
      </w:pPr>
      <w:r w:rsidRPr="009B6DB6">
        <w:t>Schaff,</w:t>
      </w:r>
      <w:r>
        <w:t xml:space="preserve"> P.</w:t>
      </w:r>
      <w:r w:rsidRPr="009B6DB6">
        <w:t xml:space="preserve"> </w:t>
      </w:r>
      <w:r w:rsidRPr="009B6DB6">
        <w:rPr>
          <w:i/>
        </w:rPr>
        <w:t>A Select library of Nicene and post-Nicene fathers of the Christian church.</w:t>
      </w:r>
      <w:r w:rsidRPr="009B6DB6">
        <w:t xml:space="preserve"> Second series; </w:t>
      </w:r>
      <w:hyperlink r:id="rId7" w:history="1">
        <w:r w:rsidRPr="009B6DB6">
          <w:rPr>
            <w:rStyle w:val="Hyperlink"/>
          </w:rPr>
          <w:t>Wace, Henry, 1836-1924. joint ed</w:t>
        </w:r>
      </w:hyperlink>
    </w:p>
    <w:p w:rsidR="0046214D" w:rsidRPr="0046214D" w:rsidRDefault="0046214D" w:rsidP="00AE188F">
      <w:pPr>
        <w:jc w:val="both"/>
      </w:pPr>
    </w:p>
    <w:sectPr w:rsidR="0046214D" w:rsidRPr="004621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3728" w:rsidRDefault="00223728" w:rsidP="00B666C6">
      <w:pPr>
        <w:spacing w:after="0" w:line="240" w:lineRule="auto"/>
      </w:pPr>
      <w:r>
        <w:separator/>
      </w:r>
    </w:p>
  </w:endnote>
  <w:endnote w:type="continuationSeparator" w:id="0">
    <w:p w:rsidR="00223728" w:rsidRDefault="00223728" w:rsidP="00B66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3728" w:rsidRDefault="00223728" w:rsidP="00B666C6">
      <w:pPr>
        <w:spacing w:after="0" w:line="240" w:lineRule="auto"/>
      </w:pPr>
      <w:r>
        <w:separator/>
      </w:r>
    </w:p>
  </w:footnote>
  <w:footnote w:type="continuationSeparator" w:id="0">
    <w:p w:rsidR="00223728" w:rsidRDefault="00223728" w:rsidP="00B666C6">
      <w:pPr>
        <w:spacing w:after="0" w:line="240" w:lineRule="auto"/>
      </w:pPr>
      <w:r>
        <w:continuationSeparator/>
      </w:r>
    </w:p>
  </w:footnote>
  <w:footnote w:id="1">
    <w:p w:rsidR="0081642D" w:rsidRPr="007675D3" w:rsidRDefault="0081642D">
      <w:pPr>
        <w:pStyle w:val="FootnoteText"/>
      </w:pPr>
      <w:r>
        <w:rPr>
          <w:rStyle w:val="FootnoteReference"/>
        </w:rPr>
        <w:footnoteRef/>
      </w:r>
      <w:r>
        <w:t xml:space="preserve"> Bruce Milne, </w:t>
      </w:r>
      <w:r>
        <w:rPr>
          <w:i/>
        </w:rPr>
        <w:t>Know the Truth: A Handbook to Christian Belief (Second Edition), (</w:t>
      </w:r>
      <w:r>
        <w:t xml:space="preserve">Leicester: Inter-Varsity Press, 1998.) P-76. </w:t>
      </w:r>
    </w:p>
  </w:footnote>
  <w:footnote w:id="2">
    <w:p w:rsidR="0081642D" w:rsidRPr="0016211D" w:rsidRDefault="0081642D" w:rsidP="0016211D">
      <w:pPr>
        <w:pStyle w:val="FootnoteText"/>
      </w:pPr>
      <w:r>
        <w:rPr>
          <w:rStyle w:val="FootnoteReference"/>
        </w:rPr>
        <w:footnoteRef/>
      </w:r>
      <w:r>
        <w:t xml:space="preserve"> Phillips Schaff, </w:t>
      </w:r>
      <w:r w:rsidRPr="0016211D">
        <w:rPr>
          <w:i/>
        </w:rPr>
        <w:t>A Select library of Nicene and post-Nicene fathers of the Christian church.</w:t>
      </w:r>
      <w:r w:rsidRPr="0016211D">
        <w:t xml:space="preserve"> Second series; </w:t>
      </w:r>
      <w:hyperlink r:id="rId1" w:history="1">
        <w:r w:rsidRPr="0016211D">
          <w:rPr>
            <w:rStyle w:val="Hyperlink"/>
          </w:rPr>
          <w:t>Wace, Henry, 1836-1924. joint ed</w:t>
        </w:r>
      </w:hyperlink>
    </w:p>
    <w:p w:rsidR="0081642D" w:rsidRDefault="0081642D">
      <w:pPr>
        <w:pStyle w:val="FootnoteText"/>
      </w:pPr>
    </w:p>
  </w:footnote>
  <w:footnote w:id="3">
    <w:p w:rsidR="0081642D" w:rsidRDefault="0081642D">
      <w:pPr>
        <w:pStyle w:val="FootnoteText"/>
      </w:pPr>
      <w:r>
        <w:rPr>
          <w:rStyle w:val="FootnoteReference"/>
        </w:rPr>
        <w:footnoteRef/>
      </w:r>
      <w:r>
        <w:t xml:space="preserve"> </w:t>
      </w:r>
      <w:bookmarkStart w:id="0" w:name="_Hlk4667271"/>
      <w:r>
        <w:t xml:space="preserve">Gregory Nyssa, </w:t>
      </w:r>
      <w:r w:rsidRPr="002419C6">
        <w:rPr>
          <w:i/>
        </w:rPr>
        <w:t xml:space="preserve">Letters to </w:t>
      </w:r>
      <w:proofErr w:type="spellStart"/>
      <w:r w:rsidRPr="002419C6">
        <w:rPr>
          <w:i/>
        </w:rPr>
        <w:t>Ablabius</w:t>
      </w:r>
      <w:proofErr w:type="spellEnd"/>
      <w:r w:rsidRPr="002419C6">
        <w:rPr>
          <w:i/>
        </w:rPr>
        <w:t>: Not Three Gods,</w:t>
      </w:r>
      <w:r>
        <w:t xml:space="preserve"> </w:t>
      </w:r>
      <w:r w:rsidRPr="0016211D">
        <w:rPr>
          <w:i/>
        </w:rPr>
        <w:t>A Select library of Nicene and post-Nicene fathers of the Christian church.</w:t>
      </w:r>
      <w:r w:rsidRPr="0016211D">
        <w:t xml:space="preserve"> Second series</w:t>
      </w:r>
      <w:r>
        <w:t xml:space="preserve">. P-330. </w:t>
      </w:r>
      <w:bookmarkEnd w:id="0"/>
    </w:p>
  </w:footnote>
  <w:footnote w:id="4">
    <w:p w:rsidR="0081642D" w:rsidRDefault="0081642D">
      <w:pPr>
        <w:pStyle w:val="FootnoteText"/>
      </w:pPr>
      <w:r>
        <w:rPr>
          <w:rStyle w:val="FootnoteReference"/>
        </w:rPr>
        <w:footnoteRef/>
      </w:r>
      <w:r>
        <w:t xml:space="preserve"> </w:t>
      </w:r>
      <w:r w:rsidRPr="00BB4197">
        <w:t xml:space="preserve">Bruce Milne, </w:t>
      </w:r>
      <w:r w:rsidRPr="00BB4197">
        <w:rPr>
          <w:i/>
        </w:rPr>
        <w:t xml:space="preserve">Know the Truth: A Handbook to Christian Belief (Second Edition), </w:t>
      </w:r>
      <w:r>
        <w:rPr>
          <w:i/>
        </w:rPr>
        <w:t>(</w:t>
      </w:r>
      <w:r w:rsidRPr="00BB4197">
        <w:t>Leicester: Inter-Varsity Press, 1998.</w:t>
      </w:r>
      <w:r>
        <w:t>)</w:t>
      </w:r>
      <w:r w:rsidRPr="00BB4197">
        <w:t xml:space="preserve"> P-7</w:t>
      </w:r>
      <w:r>
        <w:t>7</w:t>
      </w:r>
      <w:r w:rsidRPr="00BB4197">
        <w:t>.</w:t>
      </w:r>
    </w:p>
  </w:footnote>
  <w:footnote w:id="5">
    <w:p w:rsidR="0081642D" w:rsidRPr="0075774F" w:rsidRDefault="0081642D">
      <w:pPr>
        <w:pStyle w:val="FootnoteText"/>
      </w:pPr>
      <w:r>
        <w:rPr>
          <w:rStyle w:val="FootnoteReference"/>
        </w:rPr>
        <w:footnoteRef/>
      </w:r>
      <w:r>
        <w:t xml:space="preserve"> Wayne Gruden, </w:t>
      </w:r>
      <w:r>
        <w:rPr>
          <w:i/>
        </w:rPr>
        <w:t>Systematic Theology: An Introduction to Biblical Doctrine, (</w:t>
      </w:r>
      <w:r>
        <w:t>Leicester: Intervarsity Press and Grand Rapids: Zondervan Publishing house, 1994.) P- 226.</w:t>
      </w:r>
    </w:p>
  </w:footnote>
  <w:footnote w:id="6">
    <w:p w:rsidR="0081642D" w:rsidRDefault="0081642D">
      <w:pPr>
        <w:pStyle w:val="FootnoteText"/>
      </w:pPr>
      <w:r>
        <w:rPr>
          <w:rStyle w:val="FootnoteReference"/>
        </w:rPr>
        <w:footnoteRef/>
      </w:r>
      <w:r>
        <w:t xml:space="preserve"> </w:t>
      </w:r>
      <w:r w:rsidRPr="0083302B">
        <w:t xml:space="preserve">Wayne Gruden, </w:t>
      </w:r>
      <w:r w:rsidRPr="0083302B">
        <w:rPr>
          <w:i/>
        </w:rPr>
        <w:t xml:space="preserve">Systematic Theology: An Introduction to Biblical Doctrine, </w:t>
      </w:r>
      <w:r>
        <w:rPr>
          <w:i/>
        </w:rPr>
        <w:t>(</w:t>
      </w:r>
      <w:r w:rsidRPr="0083302B">
        <w:t>Leicester: Intervarsity Press and Grand Rapids: Zondervan Publishing house, 1994.</w:t>
      </w:r>
      <w:r>
        <w:t>)</w:t>
      </w:r>
      <w:r w:rsidRPr="0083302B">
        <w:t xml:space="preserve"> P- 226.</w:t>
      </w:r>
    </w:p>
  </w:footnote>
  <w:footnote w:id="7">
    <w:p w:rsidR="0081642D" w:rsidRPr="007F0569" w:rsidRDefault="0081642D">
      <w:pPr>
        <w:pStyle w:val="FootnoteText"/>
      </w:pPr>
      <w:r>
        <w:rPr>
          <w:rStyle w:val="FootnoteReference"/>
        </w:rPr>
        <w:footnoteRef/>
      </w:r>
      <w:r>
        <w:t xml:space="preserve"> Augustine, </w:t>
      </w:r>
      <w:r>
        <w:rPr>
          <w:i/>
        </w:rPr>
        <w:t xml:space="preserve">One </w:t>
      </w:r>
      <w:proofErr w:type="gramStart"/>
      <w:r>
        <w:rPr>
          <w:i/>
        </w:rPr>
        <w:t>The</w:t>
      </w:r>
      <w:proofErr w:type="gramEnd"/>
      <w:r>
        <w:rPr>
          <w:i/>
        </w:rPr>
        <w:t xml:space="preserve"> Trinity, </w:t>
      </w:r>
      <w:r>
        <w:t xml:space="preserve">Library of Christian Classics 8, (SCM 1954). </w:t>
      </w:r>
    </w:p>
  </w:footnote>
  <w:footnote w:id="8">
    <w:p w:rsidR="0081642D" w:rsidRDefault="0081642D">
      <w:pPr>
        <w:pStyle w:val="FootnoteText"/>
      </w:pPr>
      <w:r>
        <w:rPr>
          <w:rStyle w:val="FootnoteReference"/>
        </w:rPr>
        <w:footnoteRef/>
      </w:r>
      <w:r>
        <w:t xml:space="preserve"> </w:t>
      </w:r>
      <w:r w:rsidRPr="00A628E3">
        <w:t xml:space="preserve">Gregory Nyssa, </w:t>
      </w:r>
      <w:r w:rsidRPr="00A628E3">
        <w:rPr>
          <w:i/>
        </w:rPr>
        <w:t xml:space="preserve">Letters to </w:t>
      </w:r>
      <w:proofErr w:type="spellStart"/>
      <w:r w:rsidRPr="00A628E3">
        <w:rPr>
          <w:i/>
        </w:rPr>
        <w:t>Ablabius</w:t>
      </w:r>
      <w:proofErr w:type="spellEnd"/>
      <w:r w:rsidRPr="00A628E3">
        <w:rPr>
          <w:i/>
        </w:rPr>
        <w:t>: Not Three Gods,</w:t>
      </w:r>
      <w:r w:rsidRPr="00A628E3">
        <w:t xml:space="preserve"> </w:t>
      </w:r>
      <w:r w:rsidRPr="0016211D">
        <w:rPr>
          <w:i/>
        </w:rPr>
        <w:t>A Select library of Nicene and post-Nicene fathers of the Christian church.</w:t>
      </w:r>
      <w:r w:rsidRPr="0016211D">
        <w:t xml:space="preserve"> Second series</w:t>
      </w:r>
      <w:r w:rsidRPr="00A628E3">
        <w:t>. P-33</w:t>
      </w:r>
      <w:r>
        <w:t>7</w:t>
      </w:r>
      <w:r w:rsidRPr="00A628E3">
        <w:t>.</w:t>
      </w:r>
    </w:p>
  </w:footnote>
  <w:footnote w:id="9">
    <w:p w:rsidR="0081642D" w:rsidRDefault="0081642D">
      <w:pPr>
        <w:pStyle w:val="FootnoteText"/>
      </w:pPr>
      <w:r>
        <w:rPr>
          <w:rStyle w:val="FootnoteReference"/>
        </w:rPr>
        <w:footnoteRef/>
      </w:r>
      <w:r>
        <w:t xml:space="preserve"> </w:t>
      </w:r>
      <w:bookmarkStart w:id="1" w:name="_Hlk4682920"/>
      <w:r w:rsidRPr="00AB05A2">
        <w:t xml:space="preserve">Wayne Gruden, </w:t>
      </w:r>
      <w:r w:rsidRPr="00AB05A2">
        <w:rPr>
          <w:i/>
        </w:rPr>
        <w:t>Systematic Theology: An Introduction to Biblical Doctrine, (</w:t>
      </w:r>
      <w:r w:rsidRPr="00AB05A2">
        <w:t xml:space="preserve">Leicester: Intervarsity Press and Grand Rapids: Zondervan Publishing house, 1994.) </w:t>
      </w:r>
      <w:bookmarkEnd w:id="1"/>
      <w:r w:rsidRPr="00AB05A2">
        <w:t>P- 226.</w:t>
      </w:r>
    </w:p>
  </w:footnote>
  <w:footnote w:id="10">
    <w:p w:rsidR="0081642D" w:rsidRPr="005731D3" w:rsidRDefault="0081642D">
      <w:pPr>
        <w:pStyle w:val="FootnoteText"/>
      </w:pPr>
      <w:r>
        <w:rPr>
          <w:rStyle w:val="FootnoteReference"/>
        </w:rPr>
        <w:footnoteRef/>
      </w:r>
      <w:r>
        <w:t xml:space="preserve"> E. </w:t>
      </w:r>
      <w:proofErr w:type="spellStart"/>
      <w:r>
        <w:t>Kautzsch</w:t>
      </w:r>
      <w:proofErr w:type="spellEnd"/>
      <w:r>
        <w:t xml:space="preserve">, A. E. </w:t>
      </w:r>
      <w:proofErr w:type="spellStart"/>
      <w:r>
        <w:t>Cowley</w:t>
      </w:r>
      <w:proofErr w:type="spellEnd"/>
      <w:r>
        <w:t xml:space="preserve">, </w:t>
      </w:r>
      <w:proofErr w:type="spellStart"/>
      <w:r>
        <w:rPr>
          <w:i/>
        </w:rPr>
        <w:t>Gesenius</w:t>
      </w:r>
      <w:proofErr w:type="spellEnd"/>
      <w:r>
        <w:rPr>
          <w:i/>
        </w:rPr>
        <w:t xml:space="preserve"> Hebrew Grammar, </w:t>
      </w:r>
      <w:r>
        <w:t xml:space="preserve">(Oxford: Clarendon Press, 1910). </w:t>
      </w:r>
    </w:p>
  </w:footnote>
  <w:footnote w:id="11">
    <w:p w:rsidR="0081642D" w:rsidRDefault="0081642D">
      <w:pPr>
        <w:pStyle w:val="FootnoteText"/>
      </w:pPr>
      <w:r>
        <w:rPr>
          <w:rStyle w:val="FootnoteReference"/>
        </w:rPr>
        <w:footnoteRef/>
      </w:r>
      <w:r>
        <w:t xml:space="preserve"> </w:t>
      </w:r>
      <w:bookmarkStart w:id="2" w:name="_Hlk4770594"/>
      <w:r w:rsidRPr="00475AE0">
        <w:t xml:space="preserve">Wayne Gruden, </w:t>
      </w:r>
      <w:r w:rsidRPr="00475AE0">
        <w:rPr>
          <w:i/>
        </w:rPr>
        <w:t>Systematic Theology: An Introduction to Biblical Doctrine, (</w:t>
      </w:r>
      <w:r w:rsidRPr="00475AE0">
        <w:t>Leicester: Intervarsity Press and Grand Rapids: Zondervan Publishing house, 1994.)</w:t>
      </w:r>
      <w:r>
        <w:t xml:space="preserve"> p-227.</w:t>
      </w:r>
      <w:bookmarkEnd w:id="2"/>
    </w:p>
  </w:footnote>
  <w:footnote w:id="12">
    <w:p w:rsidR="0081642D" w:rsidRPr="00B16164" w:rsidRDefault="0081642D">
      <w:pPr>
        <w:pStyle w:val="FootnoteText"/>
      </w:pPr>
      <w:r>
        <w:rPr>
          <w:rStyle w:val="FootnoteReference"/>
        </w:rPr>
        <w:footnoteRef/>
      </w:r>
      <w:r>
        <w:t xml:space="preserve"> </w:t>
      </w:r>
      <w:bookmarkStart w:id="3" w:name="_Hlk4746688"/>
      <w:r>
        <w:t xml:space="preserve">Andrew T. Lincoln, </w:t>
      </w:r>
      <w:r>
        <w:rPr>
          <w:i/>
        </w:rPr>
        <w:t xml:space="preserve">The Gospel According to </w:t>
      </w:r>
      <w:proofErr w:type="spellStart"/>
      <w:proofErr w:type="gramStart"/>
      <w:r>
        <w:rPr>
          <w:i/>
        </w:rPr>
        <w:t>St.John</w:t>
      </w:r>
      <w:proofErr w:type="spellEnd"/>
      <w:proofErr w:type="gramEnd"/>
      <w:r>
        <w:rPr>
          <w:i/>
        </w:rPr>
        <w:t xml:space="preserve">, </w:t>
      </w:r>
      <w:r>
        <w:t xml:space="preserve">(New York: Hendrickson Publishers </w:t>
      </w:r>
      <w:proofErr w:type="spellStart"/>
      <w:r>
        <w:t>inc.</w:t>
      </w:r>
      <w:proofErr w:type="spellEnd"/>
      <w:r>
        <w:t xml:space="preserve"> 2005) p-98.</w:t>
      </w:r>
      <w:bookmarkEnd w:id="3"/>
    </w:p>
  </w:footnote>
  <w:footnote w:id="13">
    <w:p w:rsidR="0081642D" w:rsidRDefault="0081642D">
      <w:pPr>
        <w:pStyle w:val="FootnoteText"/>
      </w:pPr>
      <w:r>
        <w:rPr>
          <w:rStyle w:val="FootnoteReference"/>
        </w:rPr>
        <w:footnoteRef/>
      </w:r>
      <w:r>
        <w:t xml:space="preserve"> </w:t>
      </w:r>
      <w:r w:rsidRPr="00B16164">
        <w:t xml:space="preserve">Andrew T. Lincoln, </w:t>
      </w:r>
      <w:r w:rsidRPr="00B16164">
        <w:rPr>
          <w:i/>
        </w:rPr>
        <w:t xml:space="preserve">The Gospel According to </w:t>
      </w:r>
      <w:proofErr w:type="spellStart"/>
      <w:proofErr w:type="gramStart"/>
      <w:r w:rsidRPr="00B16164">
        <w:rPr>
          <w:i/>
        </w:rPr>
        <w:t>St.John</w:t>
      </w:r>
      <w:proofErr w:type="spellEnd"/>
      <w:proofErr w:type="gramEnd"/>
      <w:r w:rsidRPr="00B16164">
        <w:rPr>
          <w:i/>
        </w:rPr>
        <w:t xml:space="preserve">, </w:t>
      </w:r>
      <w:r w:rsidRPr="00B16164">
        <w:t xml:space="preserve">(New York: Hendrickson Publishers </w:t>
      </w:r>
      <w:proofErr w:type="spellStart"/>
      <w:r w:rsidRPr="00B16164">
        <w:t>inc.</w:t>
      </w:r>
      <w:proofErr w:type="spellEnd"/>
      <w:r w:rsidRPr="00B16164">
        <w:t xml:space="preserve"> 2005) p-98.</w:t>
      </w:r>
    </w:p>
  </w:footnote>
  <w:footnote w:id="14">
    <w:p w:rsidR="0081642D" w:rsidRPr="00565643" w:rsidRDefault="0081642D">
      <w:pPr>
        <w:pStyle w:val="FootnoteText"/>
      </w:pPr>
      <w:r>
        <w:rPr>
          <w:rStyle w:val="FootnoteReference"/>
        </w:rPr>
        <w:footnoteRef/>
      </w:r>
      <w:r>
        <w:t xml:space="preserve"> C.S. Lewis, </w:t>
      </w:r>
      <w:r>
        <w:rPr>
          <w:i/>
        </w:rPr>
        <w:t xml:space="preserve">Mere Christianity, </w:t>
      </w:r>
      <w:r>
        <w:t xml:space="preserve">(New York: The Macmillan Company, 1960). Pp-40-41. </w:t>
      </w:r>
    </w:p>
  </w:footnote>
  <w:footnote w:id="15">
    <w:p w:rsidR="0081642D" w:rsidRDefault="0081642D">
      <w:pPr>
        <w:pStyle w:val="FootnoteText"/>
      </w:pPr>
      <w:r>
        <w:rPr>
          <w:rStyle w:val="FootnoteReference"/>
        </w:rPr>
        <w:footnoteRef/>
      </w:r>
      <w:r>
        <w:t xml:space="preserve"> C</w:t>
      </w:r>
      <w:r w:rsidRPr="00565643">
        <w:t xml:space="preserve">.S. Lewis, </w:t>
      </w:r>
      <w:r w:rsidRPr="00565643">
        <w:rPr>
          <w:i/>
        </w:rPr>
        <w:t xml:space="preserve">Mere Christianity, </w:t>
      </w:r>
      <w:r w:rsidRPr="00565643">
        <w:t>(New York: The Macmillan Company, 1960). Pp-40-41.</w:t>
      </w:r>
    </w:p>
  </w:footnote>
  <w:footnote w:id="16">
    <w:p w:rsidR="0060501F" w:rsidRPr="006E701A" w:rsidRDefault="0060501F">
      <w:pPr>
        <w:pStyle w:val="FootnoteText"/>
      </w:pPr>
      <w:r>
        <w:rPr>
          <w:rStyle w:val="FootnoteReference"/>
        </w:rPr>
        <w:footnoteRef/>
      </w:r>
      <w:r>
        <w:t xml:space="preserve"> John Gill, </w:t>
      </w:r>
      <w:r w:rsidR="006E701A">
        <w:rPr>
          <w:i/>
        </w:rPr>
        <w:t xml:space="preserve">Gills Exposition of the Bible </w:t>
      </w:r>
      <w:r w:rsidR="006E701A">
        <w:t>(online)</w:t>
      </w:r>
      <w:r w:rsidR="006E701A">
        <w:rPr>
          <w:i/>
        </w:rPr>
        <w:t xml:space="preserve">, </w:t>
      </w:r>
      <w:hyperlink r:id="rId2" w:history="1">
        <w:r w:rsidR="006E701A" w:rsidRPr="00405809">
          <w:rPr>
            <w:rStyle w:val="Hyperlink"/>
            <w:i/>
          </w:rPr>
          <w:t>https://www.biblestudytools.com/commentaries/gills-exposition-of-the-bible/luke-4-18.html</w:t>
        </w:r>
      </w:hyperlink>
      <w:r w:rsidR="006E701A">
        <w:rPr>
          <w:i/>
        </w:rPr>
        <w:t xml:space="preserve"> </w:t>
      </w:r>
    </w:p>
  </w:footnote>
  <w:footnote w:id="17">
    <w:p w:rsidR="0081642D" w:rsidRDefault="0081642D">
      <w:pPr>
        <w:pStyle w:val="FootnoteText"/>
      </w:pPr>
      <w:r>
        <w:rPr>
          <w:rStyle w:val="FootnoteReference"/>
        </w:rPr>
        <w:footnoteRef/>
      </w:r>
      <w:r>
        <w:t xml:space="preserve"> </w:t>
      </w:r>
      <w:bookmarkStart w:id="4" w:name="_Hlk4773509"/>
      <w:r w:rsidRPr="009058F5">
        <w:t xml:space="preserve">Bruce Milne, </w:t>
      </w:r>
      <w:r w:rsidRPr="009058F5">
        <w:rPr>
          <w:i/>
        </w:rPr>
        <w:t>Know the Truth: A Handbook to Christian Belief (Second Edition), (</w:t>
      </w:r>
      <w:r w:rsidRPr="009058F5">
        <w:t xml:space="preserve">Leicester: Inter-Varsity Press, 1998.) </w:t>
      </w:r>
      <w:bookmarkEnd w:id="4"/>
      <w:r w:rsidRPr="009058F5">
        <w:t>P-</w:t>
      </w:r>
      <w:r>
        <w:t>189.</w:t>
      </w:r>
    </w:p>
  </w:footnote>
  <w:footnote w:id="18">
    <w:p w:rsidR="007C4FCB" w:rsidRPr="007C4FCB" w:rsidRDefault="007C4FCB">
      <w:pPr>
        <w:pStyle w:val="FootnoteText"/>
      </w:pPr>
      <w:r>
        <w:rPr>
          <w:rStyle w:val="FootnoteReference"/>
        </w:rPr>
        <w:footnoteRef/>
      </w:r>
      <w:r>
        <w:t xml:space="preserve"> </w:t>
      </w:r>
      <w:bookmarkStart w:id="5" w:name="_Hlk4773475"/>
      <w:r>
        <w:t xml:space="preserve">Craig R. Koester, </w:t>
      </w:r>
      <w:r>
        <w:rPr>
          <w:i/>
        </w:rPr>
        <w:t xml:space="preserve">Symbolism in the Fourth Gospel: Meaning, Mystery and Community </w:t>
      </w:r>
      <w:r>
        <w:t xml:space="preserve">(Second Edition) (Minneapolis: Fortress Press, 2003) </w:t>
      </w:r>
      <w:bookmarkEnd w:id="5"/>
      <w:r>
        <w:t>p-</w:t>
      </w:r>
      <w:r w:rsidR="00671B3F">
        <w:t xml:space="preserve">88. </w:t>
      </w:r>
    </w:p>
  </w:footnote>
  <w:footnote w:id="19">
    <w:p w:rsidR="00407905" w:rsidRDefault="00407905">
      <w:pPr>
        <w:pStyle w:val="FootnoteText"/>
      </w:pPr>
      <w:r>
        <w:rPr>
          <w:rStyle w:val="FootnoteReference"/>
        </w:rPr>
        <w:footnoteRef/>
      </w:r>
      <w:r>
        <w:t xml:space="preserve"> </w:t>
      </w:r>
      <w:r w:rsidRPr="00407905">
        <w:rPr>
          <w:i/>
        </w:rPr>
        <w:t>Apostles’ Creed,</w:t>
      </w:r>
      <w:r>
        <w:t xml:space="preserve"> </w:t>
      </w:r>
      <w:hyperlink r:id="rId3" w:history="1">
        <w:r w:rsidRPr="00405809">
          <w:rPr>
            <w:rStyle w:val="Hyperlink"/>
          </w:rPr>
          <w:t>https://www.crnca.org/welcome/beliefs/creeds/apostles-creed</w:t>
        </w:r>
      </w:hyperlink>
      <w:r>
        <w:t xml:space="preserve"> </w:t>
      </w:r>
    </w:p>
  </w:footnote>
  <w:footnote w:id="20">
    <w:p w:rsidR="00683FBF" w:rsidRDefault="00683FBF">
      <w:pPr>
        <w:pStyle w:val="FootnoteText"/>
      </w:pPr>
      <w:r>
        <w:rPr>
          <w:rStyle w:val="FootnoteReference"/>
        </w:rPr>
        <w:footnoteRef/>
      </w:r>
      <w:r>
        <w:t xml:space="preserve"> </w:t>
      </w:r>
      <w:r w:rsidRPr="00683FBF">
        <w:t xml:space="preserve">Wayne Gruden, </w:t>
      </w:r>
      <w:r w:rsidRPr="00683FBF">
        <w:rPr>
          <w:i/>
        </w:rPr>
        <w:t>Systematic Theology: An Introduction to Biblical Doctrine, (</w:t>
      </w:r>
      <w:r w:rsidRPr="00683FBF">
        <w:t>Leicester: Intervarsity Press and Grand Rapids: Zondervan Publishing house, 1994.) p-</w:t>
      </w:r>
      <w:r>
        <w:t>637.</w:t>
      </w:r>
    </w:p>
  </w:footnote>
  <w:footnote w:id="21">
    <w:p w:rsidR="00E65B2F" w:rsidRPr="00F65F8D" w:rsidRDefault="00E65B2F" w:rsidP="00E65B2F">
      <w:pPr>
        <w:pStyle w:val="FootnoteText"/>
      </w:pPr>
      <w:r>
        <w:rPr>
          <w:rStyle w:val="FootnoteReference"/>
        </w:rPr>
        <w:footnoteRef/>
      </w:r>
      <w:r>
        <w:t xml:space="preserve"> </w:t>
      </w:r>
      <w:bookmarkStart w:id="6" w:name="_Hlk4771825"/>
      <w:r>
        <w:t xml:space="preserve">St. Thomas Aquinas, </w:t>
      </w:r>
      <w:r>
        <w:rPr>
          <w:i/>
        </w:rPr>
        <w:t>Commentary on St. Paul’s Epistle to the Galatians (Aquinas Scripture Series: Vol. 1)</w:t>
      </w:r>
      <w:r>
        <w:t xml:space="preserve"> (New York: Magi Books Inc., 1966) </w:t>
      </w:r>
      <w:bookmarkEnd w:id="6"/>
      <w:r>
        <w:t xml:space="preserve">pp-171-172. </w:t>
      </w:r>
    </w:p>
  </w:footnote>
  <w:footnote w:id="22">
    <w:p w:rsidR="00E65B2F" w:rsidRDefault="00E65B2F" w:rsidP="00E65B2F">
      <w:pPr>
        <w:pStyle w:val="FootnoteText"/>
      </w:pPr>
      <w:r>
        <w:rPr>
          <w:rStyle w:val="FootnoteReference"/>
        </w:rPr>
        <w:footnoteRef/>
      </w:r>
      <w:r>
        <w:t xml:space="preserve"> </w:t>
      </w:r>
      <w:r w:rsidRPr="00815C09">
        <w:t xml:space="preserve">St. Thomas Aquinas, </w:t>
      </w:r>
      <w:r w:rsidRPr="00815C09">
        <w:rPr>
          <w:i/>
        </w:rPr>
        <w:t>Commentary on St. Paul’s Epistle to the Galatians (Aquinas Scripture Series: Vol. 1)</w:t>
      </w:r>
      <w:r w:rsidRPr="00815C09">
        <w:t xml:space="preserve"> (New York: Magi Books Inc., 1966)</w:t>
      </w:r>
      <w:r>
        <w:t xml:space="preserve"> pp-173-186.</w:t>
      </w:r>
    </w:p>
  </w:footnote>
  <w:footnote w:id="23">
    <w:p w:rsidR="002A1BC0" w:rsidRDefault="002A1BC0">
      <w:pPr>
        <w:pStyle w:val="FootnoteText"/>
      </w:pPr>
      <w:r>
        <w:rPr>
          <w:rStyle w:val="FootnoteReference"/>
        </w:rPr>
        <w:footnoteRef/>
      </w:r>
      <w:r>
        <w:t xml:space="preserve"> </w:t>
      </w:r>
      <w:r w:rsidRPr="002A1BC0">
        <w:t xml:space="preserve">Gregory Nyssa, </w:t>
      </w:r>
      <w:r w:rsidRPr="002A1BC0">
        <w:rPr>
          <w:i/>
        </w:rPr>
        <w:t xml:space="preserve">Letters to </w:t>
      </w:r>
      <w:proofErr w:type="spellStart"/>
      <w:r w:rsidRPr="002A1BC0">
        <w:rPr>
          <w:i/>
        </w:rPr>
        <w:t>Ablabius</w:t>
      </w:r>
      <w:proofErr w:type="spellEnd"/>
      <w:r w:rsidRPr="002A1BC0">
        <w:rPr>
          <w:i/>
        </w:rPr>
        <w:t>: Not Three Gods,</w:t>
      </w:r>
      <w:r w:rsidRPr="002A1BC0">
        <w:t xml:space="preserve"> </w:t>
      </w:r>
      <w:r w:rsidRPr="002A1BC0">
        <w:rPr>
          <w:i/>
        </w:rPr>
        <w:t>A Select library of Nicene and post-Nicene fathers of the Christian church.</w:t>
      </w:r>
      <w:r w:rsidRPr="002A1BC0">
        <w:t xml:space="preserve"> Second series. P-330.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8F"/>
    <w:rsid w:val="000223EE"/>
    <w:rsid w:val="0003547D"/>
    <w:rsid w:val="00051E37"/>
    <w:rsid w:val="00067ECF"/>
    <w:rsid w:val="00086631"/>
    <w:rsid w:val="000A7944"/>
    <w:rsid w:val="000B284B"/>
    <w:rsid w:val="000B3826"/>
    <w:rsid w:val="000B4B43"/>
    <w:rsid w:val="000B5225"/>
    <w:rsid w:val="000C423F"/>
    <w:rsid w:val="000E762F"/>
    <w:rsid w:val="000F206A"/>
    <w:rsid w:val="001225EE"/>
    <w:rsid w:val="00135A7C"/>
    <w:rsid w:val="00151B53"/>
    <w:rsid w:val="0016211D"/>
    <w:rsid w:val="00163766"/>
    <w:rsid w:val="00173344"/>
    <w:rsid w:val="001A4CA9"/>
    <w:rsid w:val="001E25AA"/>
    <w:rsid w:val="001E44A8"/>
    <w:rsid w:val="00220325"/>
    <w:rsid w:val="00223728"/>
    <w:rsid w:val="002419C6"/>
    <w:rsid w:val="00277197"/>
    <w:rsid w:val="00281D37"/>
    <w:rsid w:val="00294B53"/>
    <w:rsid w:val="00296F32"/>
    <w:rsid w:val="002A1BC0"/>
    <w:rsid w:val="002D09F7"/>
    <w:rsid w:val="003205D0"/>
    <w:rsid w:val="00325DE2"/>
    <w:rsid w:val="00332CB0"/>
    <w:rsid w:val="003A0758"/>
    <w:rsid w:val="003A3EBD"/>
    <w:rsid w:val="003D6C04"/>
    <w:rsid w:val="003E141D"/>
    <w:rsid w:val="003E19DB"/>
    <w:rsid w:val="00401BD9"/>
    <w:rsid w:val="00406B98"/>
    <w:rsid w:val="00407905"/>
    <w:rsid w:val="00415EFB"/>
    <w:rsid w:val="00437321"/>
    <w:rsid w:val="00456E9E"/>
    <w:rsid w:val="0046214D"/>
    <w:rsid w:val="00473D22"/>
    <w:rsid w:val="00475AE0"/>
    <w:rsid w:val="00486A46"/>
    <w:rsid w:val="004956CA"/>
    <w:rsid w:val="004A1B25"/>
    <w:rsid w:val="004A6B30"/>
    <w:rsid w:val="004F0FDB"/>
    <w:rsid w:val="004F741D"/>
    <w:rsid w:val="00511C15"/>
    <w:rsid w:val="005174FA"/>
    <w:rsid w:val="005267F4"/>
    <w:rsid w:val="00526ABB"/>
    <w:rsid w:val="00540F82"/>
    <w:rsid w:val="00551516"/>
    <w:rsid w:val="00565643"/>
    <w:rsid w:val="00570825"/>
    <w:rsid w:val="005731D3"/>
    <w:rsid w:val="005777BD"/>
    <w:rsid w:val="005A33F9"/>
    <w:rsid w:val="005A76B5"/>
    <w:rsid w:val="005D44EF"/>
    <w:rsid w:val="005E7F21"/>
    <w:rsid w:val="005F057C"/>
    <w:rsid w:val="0060501F"/>
    <w:rsid w:val="00623B13"/>
    <w:rsid w:val="00623E27"/>
    <w:rsid w:val="00637232"/>
    <w:rsid w:val="00640AED"/>
    <w:rsid w:val="00671B3F"/>
    <w:rsid w:val="00673186"/>
    <w:rsid w:val="00673AD9"/>
    <w:rsid w:val="00673E4F"/>
    <w:rsid w:val="00683FBF"/>
    <w:rsid w:val="006860B4"/>
    <w:rsid w:val="006A28A2"/>
    <w:rsid w:val="006C4771"/>
    <w:rsid w:val="006E701A"/>
    <w:rsid w:val="00701642"/>
    <w:rsid w:val="00715BC0"/>
    <w:rsid w:val="00726FE5"/>
    <w:rsid w:val="00734C60"/>
    <w:rsid w:val="00750701"/>
    <w:rsid w:val="0075774F"/>
    <w:rsid w:val="007628D1"/>
    <w:rsid w:val="007675D3"/>
    <w:rsid w:val="00776FEC"/>
    <w:rsid w:val="00792B84"/>
    <w:rsid w:val="007B4F8F"/>
    <w:rsid w:val="007C4FCB"/>
    <w:rsid w:val="007E051D"/>
    <w:rsid w:val="007F0569"/>
    <w:rsid w:val="00815C09"/>
    <w:rsid w:val="0081642D"/>
    <w:rsid w:val="0083302B"/>
    <w:rsid w:val="008536F1"/>
    <w:rsid w:val="0087320A"/>
    <w:rsid w:val="00892073"/>
    <w:rsid w:val="008B218F"/>
    <w:rsid w:val="008B72AC"/>
    <w:rsid w:val="008C3334"/>
    <w:rsid w:val="008C48D7"/>
    <w:rsid w:val="008D301B"/>
    <w:rsid w:val="008E221C"/>
    <w:rsid w:val="009058F5"/>
    <w:rsid w:val="00907D24"/>
    <w:rsid w:val="0093374A"/>
    <w:rsid w:val="00945299"/>
    <w:rsid w:val="0094554C"/>
    <w:rsid w:val="00960449"/>
    <w:rsid w:val="009746E1"/>
    <w:rsid w:val="00990C82"/>
    <w:rsid w:val="009920C5"/>
    <w:rsid w:val="009A0E6F"/>
    <w:rsid w:val="009A7338"/>
    <w:rsid w:val="009B1FA1"/>
    <w:rsid w:val="009B4E12"/>
    <w:rsid w:val="009B5C27"/>
    <w:rsid w:val="009B6DB6"/>
    <w:rsid w:val="009C3B1A"/>
    <w:rsid w:val="009C530F"/>
    <w:rsid w:val="00A139ED"/>
    <w:rsid w:val="00A628E3"/>
    <w:rsid w:val="00A80CDF"/>
    <w:rsid w:val="00A82F54"/>
    <w:rsid w:val="00A9456A"/>
    <w:rsid w:val="00A9566A"/>
    <w:rsid w:val="00AA1398"/>
    <w:rsid w:val="00AA4691"/>
    <w:rsid w:val="00AA7E9A"/>
    <w:rsid w:val="00AB05A2"/>
    <w:rsid w:val="00AB47E4"/>
    <w:rsid w:val="00AB785E"/>
    <w:rsid w:val="00AE188F"/>
    <w:rsid w:val="00AF69AA"/>
    <w:rsid w:val="00B13ED9"/>
    <w:rsid w:val="00B16164"/>
    <w:rsid w:val="00B250D2"/>
    <w:rsid w:val="00B666C6"/>
    <w:rsid w:val="00B77CAC"/>
    <w:rsid w:val="00B814A7"/>
    <w:rsid w:val="00B843D3"/>
    <w:rsid w:val="00BB4197"/>
    <w:rsid w:val="00BC23FE"/>
    <w:rsid w:val="00BC447E"/>
    <w:rsid w:val="00BC4E1E"/>
    <w:rsid w:val="00BD50D6"/>
    <w:rsid w:val="00BE43AF"/>
    <w:rsid w:val="00BE6696"/>
    <w:rsid w:val="00C372B6"/>
    <w:rsid w:val="00C37625"/>
    <w:rsid w:val="00C67CEC"/>
    <w:rsid w:val="00C8122A"/>
    <w:rsid w:val="00C91AC7"/>
    <w:rsid w:val="00C95A1A"/>
    <w:rsid w:val="00C95CF8"/>
    <w:rsid w:val="00CD1D41"/>
    <w:rsid w:val="00CE6EA0"/>
    <w:rsid w:val="00CF72A2"/>
    <w:rsid w:val="00D00368"/>
    <w:rsid w:val="00D5280A"/>
    <w:rsid w:val="00D84195"/>
    <w:rsid w:val="00D85047"/>
    <w:rsid w:val="00D87EFF"/>
    <w:rsid w:val="00DC1B34"/>
    <w:rsid w:val="00DC4239"/>
    <w:rsid w:val="00DD12E6"/>
    <w:rsid w:val="00E21177"/>
    <w:rsid w:val="00E32D46"/>
    <w:rsid w:val="00E35D90"/>
    <w:rsid w:val="00E474C9"/>
    <w:rsid w:val="00E551CF"/>
    <w:rsid w:val="00E57DC2"/>
    <w:rsid w:val="00E65B2F"/>
    <w:rsid w:val="00E94D45"/>
    <w:rsid w:val="00EA22E9"/>
    <w:rsid w:val="00EA6FFE"/>
    <w:rsid w:val="00EB0B45"/>
    <w:rsid w:val="00EB25A6"/>
    <w:rsid w:val="00EB333D"/>
    <w:rsid w:val="00EC4B11"/>
    <w:rsid w:val="00ED1470"/>
    <w:rsid w:val="00EF146E"/>
    <w:rsid w:val="00EF4045"/>
    <w:rsid w:val="00F21A40"/>
    <w:rsid w:val="00F27A18"/>
    <w:rsid w:val="00F35005"/>
    <w:rsid w:val="00F41509"/>
    <w:rsid w:val="00F56D80"/>
    <w:rsid w:val="00F60ACE"/>
    <w:rsid w:val="00F65F8D"/>
    <w:rsid w:val="00F76A3C"/>
    <w:rsid w:val="00F93548"/>
    <w:rsid w:val="00FA731D"/>
    <w:rsid w:val="00FE2C9F"/>
    <w:rsid w:val="00FE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ACEA"/>
  <w15:chartTrackingRefBased/>
  <w15:docId w15:val="{76014B94-BEE3-4BB8-82B0-BF67A3B5A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1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66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66C6"/>
    <w:rPr>
      <w:sz w:val="20"/>
      <w:szCs w:val="20"/>
    </w:rPr>
  </w:style>
  <w:style w:type="character" w:styleId="FootnoteReference">
    <w:name w:val="footnote reference"/>
    <w:basedOn w:val="DefaultParagraphFont"/>
    <w:uiPriority w:val="99"/>
    <w:semiHidden/>
    <w:unhideWhenUsed/>
    <w:rsid w:val="00B666C6"/>
    <w:rPr>
      <w:vertAlign w:val="superscript"/>
    </w:rPr>
  </w:style>
  <w:style w:type="character" w:customStyle="1" w:styleId="Heading1Char">
    <w:name w:val="Heading 1 Char"/>
    <w:basedOn w:val="DefaultParagraphFont"/>
    <w:link w:val="Heading1"/>
    <w:uiPriority w:val="9"/>
    <w:rsid w:val="0016211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6211D"/>
    <w:rPr>
      <w:color w:val="0563C1" w:themeColor="hyperlink"/>
      <w:u w:val="single"/>
    </w:rPr>
  </w:style>
  <w:style w:type="character" w:styleId="UnresolvedMention">
    <w:name w:val="Unresolved Mention"/>
    <w:basedOn w:val="DefaultParagraphFont"/>
    <w:uiPriority w:val="99"/>
    <w:semiHidden/>
    <w:unhideWhenUsed/>
    <w:rsid w:val="001621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487280">
      <w:bodyDiv w:val="1"/>
      <w:marLeft w:val="0"/>
      <w:marRight w:val="0"/>
      <w:marTop w:val="0"/>
      <w:marBottom w:val="0"/>
      <w:divBdr>
        <w:top w:val="none" w:sz="0" w:space="0" w:color="auto"/>
        <w:left w:val="none" w:sz="0" w:space="0" w:color="auto"/>
        <w:bottom w:val="none" w:sz="0" w:space="0" w:color="auto"/>
        <w:right w:val="none" w:sz="0" w:space="0" w:color="auto"/>
      </w:divBdr>
      <w:divsChild>
        <w:div w:id="1862008958">
          <w:marLeft w:val="0"/>
          <w:marRight w:val="0"/>
          <w:marTop w:val="0"/>
          <w:marBottom w:val="0"/>
          <w:divBdr>
            <w:top w:val="none" w:sz="0" w:space="0" w:color="auto"/>
            <w:left w:val="none" w:sz="0" w:space="0" w:color="auto"/>
            <w:bottom w:val="none" w:sz="0" w:space="0" w:color="auto"/>
            <w:right w:val="none" w:sz="0" w:space="0" w:color="auto"/>
          </w:divBdr>
        </w:div>
        <w:div w:id="18651680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hive.org/search.php?query=creator%3A%22Wace%2C+Henry%2C+1836-1924.+joint+ed%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crnca.org/welcome/beliefs/creeds/apostles-creed" TargetMode="External"/><Relationship Id="rId2" Type="http://schemas.openxmlformats.org/officeDocument/2006/relationships/hyperlink" Target="https://www.biblestudytools.com/commentaries/gills-exposition-of-the-bible/luke-4-18.html" TargetMode="External"/><Relationship Id="rId1" Type="http://schemas.openxmlformats.org/officeDocument/2006/relationships/hyperlink" Target="https://archive.org/search.php?query=creator%3A%22Wace%2C+Henry%2C+1836-1924.+joint+ed%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C0145-42D6-4365-9D45-382F06E55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3904</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cp:revision>
  <dcterms:created xsi:type="dcterms:W3CDTF">2019-03-29T19:20:00Z</dcterms:created>
  <dcterms:modified xsi:type="dcterms:W3CDTF">2019-03-29T19:20:00Z</dcterms:modified>
</cp:coreProperties>
</file>