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F14F71" w14:textId="77777777" w:rsidR="000B743B" w:rsidRDefault="000B743B"/>
    <w:p w14:paraId="4E74773A" w14:textId="77777777" w:rsidR="00E908B4" w:rsidRDefault="00E908B4"/>
    <w:p w14:paraId="03BCC275" w14:textId="77777777" w:rsidR="00E908B4" w:rsidRDefault="00E908B4"/>
    <w:p w14:paraId="496B4BEA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Course: BSc (Hons) Health and Social Care</w:t>
      </w:r>
    </w:p>
    <w:p w14:paraId="344C3DEE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Module: Independent Project (BMHP6020_BIRM)</w:t>
      </w:r>
    </w:p>
    <w:p w14:paraId="6BF098D8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082477F4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  <w:r w:rsidRPr="00354029">
        <w:rPr>
          <w:b/>
          <w:bCs/>
          <w:sz w:val="28"/>
          <w:szCs w:val="32"/>
        </w:rPr>
        <w:t>Component 1: Element 1 - Project Proposal</w:t>
      </w:r>
    </w:p>
    <w:p w14:paraId="7A1A8B40" w14:textId="77777777" w:rsidR="00E908B4" w:rsidRDefault="00E908B4" w:rsidP="00E908B4">
      <w:pPr>
        <w:jc w:val="center"/>
        <w:rPr>
          <w:b/>
          <w:bCs/>
          <w:sz w:val="28"/>
          <w:szCs w:val="32"/>
        </w:rPr>
      </w:pPr>
    </w:p>
    <w:p w14:paraId="675D1E9E" w14:textId="77777777" w:rsidR="00E908B4" w:rsidRDefault="00E908B4" w:rsidP="00E908B4">
      <w:pPr>
        <w:jc w:val="center"/>
        <w:rPr>
          <w:b/>
          <w:bCs/>
          <w:sz w:val="28"/>
          <w:szCs w:val="32"/>
        </w:rPr>
      </w:pPr>
    </w:p>
    <w:p w14:paraId="7A6C83B6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3005E809" w14:textId="3899905D" w:rsidR="00E908B4" w:rsidRPr="00AC0A4F" w:rsidRDefault="00E908B4" w:rsidP="00E908B4">
      <w:pPr>
        <w:rPr>
          <w:b/>
          <w:bCs/>
          <w:sz w:val="28"/>
          <w:szCs w:val="32"/>
          <w:lang w:val="en-US"/>
        </w:rPr>
      </w:pPr>
      <w:r w:rsidRPr="00354029">
        <w:rPr>
          <w:b/>
          <w:bCs/>
          <w:sz w:val="28"/>
          <w:szCs w:val="32"/>
        </w:rPr>
        <w:t>Student ID:</w:t>
      </w:r>
      <w:r w:rsidR="00AC0A4F">
        <w:rPr>
          <w:b/>
          <w:bCs/>
          <w:sz w:val="28"/>
          <w:szCs w:val="32"/>
          <w:lang w:val="en-US"/>
        </w:rPr>
        <w:t xml:space="preserve"> </w:t>
      </w:r>
      <w:r w:rsidR="00AC0A4F" w:rsidRPr="00AC0A4F">
        <w:rPr>
          <w:b/>
          <w:bCs/>
          <w:sz w:val="32"/>
          <w:szCs w:val="36"/>
          <w:lang w:val="en-US"/>
        </w:rPr>
        <w:t>2235612</w:t>
      </w:r>
    </w:p>
    <w:p w14:paraId="6DA371F7" w14:textId="0580B5FE" w:rsidR="00E908B4" w:rsidRPr="00AC0A4F" w:rsidRDefault="00E908B4" w:rsidP="00E908B4">
      <w:pPr>
        <w:rPr>
          <w:b/>
          <w:bCs/>
          <w:sz w:val="28"/>
          <w:szCs w:val="32"/>
          <w:lang w:val="en-US"/>
        </w:rPr>
      </w:pPr>
      <w:r w:rsidRPr="00354029">
        <w:rPr>
          <w:b/>
          <w:bCs/>
          <w:sz w:val="28"/>
          <w:szCs w:val="32"/>
        </w:rPr>
        <w:t>Student Name:</w:t>
      </w:r>
      <w:r w:rsidR="00AC0A4F">
        <w:rPr>
          <w:b/>
          <w:bCs/>
          <w:sz w:val="28"/>
          <w:szCs w:val="32"/>
          <w:lang w:val="en-US"/>
        </w:rPr>
        <w:t xml:space="preserve"> Rabina Bi</w:t>
      </w:r>
    </w:p>
    <w:p w14:paraId="3258029F" w14:textId="77777777" w:rsidR="00E908B4" w:rsidRPr="00354029" w:rsidRDefault="00E908B4" w:rsidP="00E908B4">
      <w:pPr>
        <w:jc w:val="center"/>
        <w:rPr>
          <w:b/>
          <w:bCs/>
          <w:sz w:val="28"/>
          <w:szCs w:val="32"/>
        </w:rPr>
      </w:pPr>
    </w:p>
    <w:p w14:paraId="75696B32" w14:textId="77777777" w:rsidR="00E908B4" w:rsidRDefault="00E908B4" w:rsidP="00E908B4">
      <w:pPr>
        <w:jc w:val="both"/>
      </w:pPr>
    </w:p>
    <w:p w14:paraId="68424A68" w14:textId="77777777" w:rsidR="00E908B4" w:rsidRDefault="00E908B4" w:rsidP="00E908B4">
      <w:pPr>
        <w:jc w:val="both"/>
      </w:pPr>
    </w:p>
    <w:p w14:paraId="522D718A" w14:textId="77777777" w:rsidR="00E908B4" w:rsidRDefault="00E908B4" w:rsidP="00E908B4">
      <w:pPr>
        <w:jc w:val="both"/>
      </w:pPr>
    </w:p>
    <w:p w14:paraId="34699B57" w14:textId="77777777" w:rsidR="00E908B4" w:rsidRDefault="00E908B4" w:rsidP="00E908B4">
      <w:pPr>
        <w:jc w:val="both"/>
      </w:pPr>
    </w:p>
    <w:p w14:paraId="52793B23" w14:textId="77777777" w:rsidR="00E908B4" w:rsidRDefault="00E908B4" w:rsidP="00E908B4">
      <w:pPr>
        <w:jc w:val="both"/>
      </w:pPr>
    </w:p>
    <w:p w14:paraId="0FDE8216" w14:textId="77777777" w:rsidR="00E908B4" w:rsidRDefault="00E908B4" w:rsidP="00E908B4">
      <w:pPr>
        <w:jc w:val="both"/>
      </w:pPr>
    </w:p>
    <w:p w14:paraId="66314DB2" w14:textId="77777777" w:rsidR="00E908B4" w:rsidRDefault="00E908B4" w:rsidP="00E908B4">
      <w:pPr>
        <w:jc w:val="both"/>
      </w:pPr>
    </w:p>
    <w:p w14:paraId="0C7E9F5A" w14:textId="77777777" w:rsidR="00E908B4" w:rsidRDefault="00E908B4" w:rsidP="00E908B4">
      <w:pPr>
        <w:jc w:val="both"/>
      </w:pPr>
    </w:p>
    <w:p w14:paraId="70B3F292" w14:textId="77777777" w:rsidR="00E908B4" w:rsidRDefault="00E908B4" w:rsidP="00E908B4">
      <w:pPr>
        <w:jc w:val="both"/>
      </w:pPr>
    </w:p>
    <w:p w14:paraId="426DB1B1" w14:textId="77777777" w:rsidR="00E908B4" w:rsidRDefault="00E908B4" w:rsidP="00E908B4">
      <w:pPr>
        <w:jc w:val="both"/>
      </w:pPr>
    </w:p>
    <w:p w14:paraId="0546A74D" w14:textId="77777777" w:rsidR="00E908B4" w:rsidRDefault="00E908B4" w:rsidP="00E908B4">
      <w:pPr>
        <w:jc w:val="both"/>
      </w:pPr>
    </w:p>
    <w:p w14:paraId="702F9D3B" w14:textId="77777777" w:rsidR="00E908B4" w:rsidRPr="0073153F" w:rsidRDefault="00E908B4" w:rsidP="00E908B4">
      <w:pPr>
        <w:jc w:val="center"/>
        <w:rPr>
          <w:b/>
          <w:bCs/>
          <w:sz w:val="28"/>
          <w:szCs w:val="32"/>
        </w:rPr>
      </w:pPr>
      <w:r w:rsidRPr="0073153F">
        <w:rPr>
          <w:b/>
          <w:bCs/>
          <w:sz w:val="28"/>
          <w:szCs w:val="32"/>
        </w:rPr>
        <w:lastRenderedPageBreak/>
        <w:t>Element 1 - Project Proposal</w:t>
      </w:r>
    </w:p>
    <w:p w14:paraId="3A41E4FD" w14:textId="1C6F3C6E" w:rsidR="009A0681" w:rsidRDefault="00E908B4" w:rsidP="00E908B4">
      <w:pPr>
        <w:jc w:val="center"/>
      </w:pPr>
      <w:r w:rsidRPr="0073153F">
        <w:rPr>
          <w:b/>
          <w:bCs/>
          <w:sz w:val="28"/>
          <w:szCs w:val="32"/>
        </w:rPr>
        <w:t>My Project Title:</w:t>
      </w:r>
      <w:r>
        <w:rPr>
          <w:b/>
          <w:bCs/>
          <w:sz w:val="28"/>
          <w:szCs w:val="32"/>
        </w:rPr>
        <w:t xml:space="preserve"> </w:t>
      </w:r>
      <w:r w:rsidR="009A0681" w:rsidRPr="00E908B4">
        <w:rPr>
          <w:b/>
          <w:bCs/>
          <w:sz w:val="28"/>
          <w:szCs w:val="32"/>
        </w:rPr>
        <w:t>The Impact of Social Isolation on Mental Health in Older Adults</w:t>
      </w:r>
      <w:r w:rsidR="00F742F5">
        <w:rPr>
          <w:b/>
          <w:bCs/>
          <w:sz w:val="28"/>
          <w:szCs w:val="32"/>
        </w:rPr>
        <w:t xml:space="preserve"> from the UK</w:t>
      </w:r>
    </w:p>
    <w:p w14:paraId="5292D77B" w14:textId="77777777" w:rsidR="008A42FB" w:rsidRDefault="008A42FB"/>
    <w:p w14:paraId="408493A0" w14:textId="77777777" w:rsidR="008A42FB" w:rsidRDefault="008A42FB"/>
    <w:p w14:paraId="1D218913" w14:textId="37CCB8B3" w:rsidR="008A42FB" w:rsidRPr="00456C25" w:rsidRDefault="008A42FB" w:rsidP="00456C25">
      <w:pPr>
        <w:pStyle w:val="Heading1"/>
      </w:pPr>
      <w:r w:rsidRPr="00456C25">
        <w:t xml:space="preserve">1) Aim </w:t>
      </w:r>
    </w:p>
    <w:p w14:paraId="2A9469F5" w14:textId="0C646689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To investigate how social isolation affects mental health in older adults (65+), drawing solely on secondary sources</w:t>
      </w:r>
      <w:r w:rsidR="00F742F5">
        <w:rPr>
          <w:rFonts w:asciiTheme="minorBidi" w:hAnsiTheme="minorBidi" w:cstheme="minorBidi"/>
          <w:sz w:val="22"/>
          <w:szCs w:val="22"/>
        </w:rPr>
        <w:t xml:space="preserve"> and to evaluate the impact of this on both physical and cognitive development stages. </w:t>
      </w:r>
    </w:p>
    <w:p w14:paraId="1AB19D7E" w14:textId="43D66E17" w:rsidR="008A42FB" w:rsidRPr="00456C25" w:rsidRDefault="008A42FB" w:rsidP="00456C25">
      <w:pPr>
        <w:pStyle w:val="Heading1"/>
      </w:pPr>
      <w:r w:rsidRPr="00456C25">
        <w:t xml:space="preserve">2) Objectives </w:t>
      </w:r>
    </w:p>
    <w:p w14:paraId="2AF3BB2C" w14:textId="77777777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Define and examine</w:t>
      </w:r>
      <w:r w:rsidRPr="00456C25">
        <w:rPr>
          <w:rFonts w:asciiTheme="minorBidi" w:hAnsiTheme="minorBidi" w:cstheme="minorBidi"/>
          <w:sz w:val="22"/>
          <w:szCs w:val="22"/>
        </w:rPr>
        <w:t xml:space="preserve"> the concept of social isolation in older adults, distinguishing it from loneliness, and summarise prevalence patterns reported in peer-reviewed studies and official reports.</w:t>
      </w:r>
    </w:p>
    <w:p w14:paraId="350F7D98" w14:textId="2E5208DC" w:rsidR="00DE21AC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Analyse</w:t>
      </w:r>
      <w:r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="00DE21AC">
        <w:rPr>
          <w:rFonts w:asciiTheme="minorBidi" w:hAnsiTheme="minorBidi" w:cstheme="minorBidi"/>
          <w:sz w:val="22"/>
          <w:szCs w:val="22"/>
        </w:rPr>
        <w:t>the relationship between mental health outcomes such as anxiety and depression and social isolation.</w:t>
      </w:r>
    </w:p>
    <w:p w14:paraId="02DCB6ED" w14:textId="0FEC85C8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Evaluate</w:t>
      </w:r>
      <w:r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="00F742F5">
        <w:rPr>
          <w:rFonts w:asciiTheme="minorBidi" w:hAnsiTheme="minorBidi" w:cstheme="minorBidi"/>
          <w:sz w:val="22"/>
          <w:szCs w:val="22"/>
        </w:rPr>
        <w:t xml:space="preserve">through a thematic analysis </w:t>
      </w:r>
      <w:r w:rsidRPr="00456C25">
        <w:rPr>
          <w:rFonts w:asciiTheme="minorBidi" w:hAnsiTheme="minorBidi" w:cstheme="minorBidi"/>
          <w:sz w:val="22"/>
          <w:szCs w:val="22"/>
        </w:rPr>
        <w:t>the effectiveness of current interventions, community programmes, and policy frameworks that aim to reduce isolation and promote mental wellbeing in older age.</w:t>
      </w:r>
    </w:p>
    <w:p w14:paraId="6862411E" w14:textId="77777777" w:rsidR="008A42FB" w:rsidRPr="00456C25" w:rsidRDefault="008A42FB" w:rsidP="00456C25">
      <w:pPr>
        <w:pStyle w:val="NormalWeb"/>
        <w:numPr>
          <w:ilvl w:val="0"/>
          <w:numId w:val="1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Style w:val="Strong"/>
          <w:rFonts w:asciiTheme="minorBidi" w:eastAsiaTheme="majorEastAsia" w:hAnsiTheme="minorBidi" w:cstheme="minorBidi"/>
          <w:sz w:val="22"/>
          <w:szCs w:val="22"/>
        </w:rPr>
        <w:t>Provide recommendations</w:t>
      </w:r>
      <w:r w:rsidRPr="00456C25">
        <w:rPr>
          <w:rFonts w:asciiTheme="minorBidi" w:hAnsiTheme="minorBidi" w:cstheme="minorBidi"/>
          <w:sz w:val="22"/>
          <w:szCs w:val="22"/>
        </w:rPr>
        <w:t xml:space="preserve"> for healthcare providers, policymakers, and community organisations to identify, prevent, and mitigate social isolation and improve mental health outcomes among older adults.</w:t>
      </w:r>
    </w:p>
    <w:p w14:paraId="1C68FD63" w14:textId="144A31A3" w:rsidR="008A42FB" w:rsidRPr="00456C25" w:rsidRDefault="008A42FB" w:rsidP="00456C25">
      <w:pPr>
        <w:pStyle w:val="Heading1"/>
      </w:pPr>
      <w:r w:rsidRPr="00456C25">
        <w:t xml:space="preserve">3) Background/Rationale </w:t>
      </w:r>
    </w:p>
    <w:p w14:paraId="02CD6F26" w14:textId="4C2A1D84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Social isolation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and associated factors like </w:t>
      </w:r>
      <w:r w:rsidRPr="00456C25">
        <w:rPr>
          <w:rFonts w:asciiTheme="minorBidi" w:hAnsiTheme="minorBidi" w:cstheme="minorBidi"/>
          <w:sz w:val="22"/>
          <w:szCs w:val="22"/>
        </w:rPr>
        <w:t>limited social contact and low participation in meaningful relationships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Pr="00456C25">
        <w:rPr>
          <w:rFonts w:asciiTheme="minorBidi" w:hAnsiTheme="minorBidi" w:cstheme="minorBidi"/>
          <w:sz w:val="22"/>
          <w:szCs w:val="22"/>
        </w:rPr>
        <w:t>has become a salient determinant of health in ageing populations</w:t>
      </w:r>
      <w:r w:rsidR="00284171" w:rsidRPr="00456C25">
        <w:rPr>
          <w:rFonts w:asciiTheme="minorBidi" w:hAnsiTheme="minorBidi" w:cstheme="minorBidi"/>
          <w:sz w:val="22"/>
          <w:szCs w:val="22"/>
        </w:rPr>
        <w:t xml:space="preserve"> (Donovan and Blazer, 2020)</w:t>
      </w:r>
      <w:r w:rsidRPr="00456C25">
        <w:rPr>
          <w:rFonts w:asciiTheme="minorBidi" w:hAnsiTheme="minorBidi" w:cstheme="minorBidi"/>
          <w:sz w:val="22"/>
          <w:szCs w:val="22"/>
        </w:rPr>
        <w:t>. While related to loneliness, isolation is a structural exposure linked to reduced service access, diminished social support, and poorer mental health</w:t>
      </w:r>
      <w:r w:rsidR="00F06C7E" w:rsidRPr="00456C25">
        <w:rPr>
          <w:rFonts w:asciiTheme="minorBidi" w:hAnsiTheme="minorBidi" w:cstheme="minorBidi"/>
          <w:sz w:val="22"/>
          <w:szCs w:val="22"/>
        </w:rPr>
        <w:t xml:space="preserve"> (Holt</w:t>
      </w:r>
      <w:r w:rsidR="00F06C7E" w:rsidRPr="00456C25">
        <w:rPr>
          <w:rFonts w:ascii="Cambria Math" w:hAnsi="Cambria Math" w:cs="Cambria Math"/>
          <w:sz w:val="22"/>
          <w:szCs w:val="22"/>
        </w:rPr>
        <w:t>‐</w:t>
      </w:r>
      <w:r w:rsidR="00F06C7E" w:rsidRPr="00456C25">
        <w:rPr>
          <w:rFonts w:asciiTheme="minorBidi" w:hAnsiTheme="minorBidi" w:cstheme="minorBidi"/>
          <w:sz w:val="22"/>
          <w:szCs w:val="22"/>
        </w:rPr>
        <w:t>Lunstad, 2024)</w:t>
      </w:r>
      <w:r w:rsidRPr="00456C25">
        <w:rPr>
          <w:rFonts w:asciiTheme="minorBidi" w:hAnsiTheme="minorBidi" w:cstheme="minorBidi"/>
          <w:sz w:val="22"/>
          <w:szCs w:val="22"/>
        </w:rPr>
        <w:t xml:space="preserve">. </w:t>
      </w:r>
      <w:r w:rsidR="00417B0F" w:rsidRPr="00456C25">
        <w:rPr>
          <w:rFonts w:asciiTheme="minorBidi" w:hAnsiTheme="minorBidi" w:cstheme="minorBidi"/>
          <w:sz w:val="22"/>
          <w:szCs w:val="22"/>
        </w:rPr>
        <w:t xml:space="preserve">Luo (2022) </w:t>
      </w:r>
      <w:r w:rsidRPr="00456C25">
        <w:rPr>
          <w:rFonts w:asciiTheme="minorBidi" w:hAnsiTheme="minorBidi" w:cstheme="minorBidi"/>
          <w:sz w:val="22"/>
          <w:szCs w:val="22"/>
        </w:rPr>
        <w:t xml:space="preserve">connects isolation with higher risks of depressive symptoms, anxiety, and accelerated cognitive decline, compounding existing health inequalities. Health </w:t>
      </w:r>
      <w:r w:rsidRPr="00456C25">
        <w:rPr>
          <w:rFonts w:asciiTheme="minorBidi" w:hAnsiTheme="minorBidi" w:cstheme="minorBidi"/>
          <w:sz w:val="22"/>
          <w:szCs w:val="22"/>
        </w:rPr>
        <w:lastRenderedPageBreak/>
        <w:t xml:space="preserve">and social care systems increasingly acknowledge social connection as a modifiable factor, yet service responses remain fragmented, with variable screening, referral pathways, and community capacity. Much research focuses on loneliness scales </w:t>
      </w:r>
      <w:r w:rsidR="00E56250" w:rsidRPr="00456C25">
        <w:rPr>
          <w:rFonts w:asciiTheme="minorBidi" w:hAnsiTheme="minorBidi" w:cstheme="minorBidi"/>
          <w:sz w:val="22"/>
          <w:szCs w:val="22"/>
        </w:rPr>
        <w:t xml:space="preserve">(Courtin and Knapp, 2017; Coyle and Dugan, 2012) </w:t>
      </w:r>
      <w:r w:rsidRPr="00456C25">
        <w:rPr>
          <w:rFonts w:asciiTheme="minorBidi" w:hAnsiTheme="minorBidi" w:cstheme="minorBidi"/>
          <w:sz w:val="22"/>
          <w:szCs w:val="22"/>
        </w:rPr>
        <w:t>rather than objective isolation, and effectiveness data for multi-component, scalable interventions (e.g., social prescribing, digital inclusion, transport solutions) are mixed. This proposal addresses these gaps by clarifying definitions, synthesising outcome evidence, and critically appraising real-world programmes and policies to inform actionable, cross-sector recommendations that can be integrated into routine care and community practice.</w:t>
      </w:r>
    </w:p>
    <w:p w14:paraId="1E2DB06A" w14:textId="754D4F74" w:rsidR="008A42FB" w:rsidRPr="00456C25" w:rsidRDefault="008A42FB" w:rsidP="00456C25">
      <w:pPr>
        <w:pStyle w:val="Heading1"/>
      </w:pPr>
      <w:r w:rsidRPr="00456C25">
        <w:t xml:space="preserve">4) Methods </w:t>
      </w:r>
    </w:p>
    <w:p w14:paraId="08F957FC" w14:textId="72FE714E" w:rsidR="003B4130" w:rsidRPr="00456C25" w:rsidRDefault="003B4130" w:rsidP="00456C25">
      <w:pPr>
        <w:jc w:val="both"/>
        <w:rPr>
          <w:szCs w:val="22"/>
        </w:rPr>
      </w:pPr>
      <w:r w:rsidRPr="00456C25">
        <w:rPr>
          <w:szCs w:val="22"/>
        </w:rPr>
        <w:t>The study will draw only on secondary sources: high-quality journal articles, systematic reviews/meta-analyses, official government or NGO documents, and respected policy think-tank reports.</w:t>
      </w:r>
    </w:p>
    <w:p w14:paraId="700D0561" w14:textId="011DF1CD" w:rsidR="00456C25" w:rsidRDefault="00456C25" w:rsidP="00456C25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: Inclusion and </w:t>
      </w:r>
      <w:r w:rsidR="00AE6078">
        <w:t>E</w:t>
      </w:r>
      <w:r>
        <w:t>xclusion Criteria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5"/>
        <w:gridCol w:w="4911"/>
        <w:gridCol w:w="2660"/>
      </w:tblGrid>
      <w:tr w:rsidR="000622C5" w:rsidRPr="000622C5" w14:paraId="04B136EB" w14:textId="77777777" w:rsidTr="000622C5">
        <w:tc>
          <w:tcPr>
            <w:tcW w:w="0" w:type="auto"/>
            <w:hideMark/>
          </w:tcPr>
          <w:p w14:paraId="305FE2E8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Domain</w:t>
            </w:r>
          </w:p>
        </w:tc>
        <w:tc>
          <w:tcPr>
            <w:tcW w:w="0" w:type="auto"/>
            <w:hideMark/>
          </w:tcPr>
          <w:p w14:paraId="6990B4E5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Inclusion</w:t>
            </w:r>
          </w:p>
        </w:tc>
        <w:tc>
          <w:tcPr>
            <w:tcW w:w="0" w:type="auto"/>
            <w:hideMark/>
          </w:tcPr>
          <w:p w14:paraId="6F78B47E" w14:textId="77777777" w:rsidR="000622C5" w:rsidRPr="000622C5" w:rsidRDefault="000622C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Exclusion</w:t>
            </w:r>
          </w:p>
        </w:tc>
      </w:tr>
      <w:tr w:rsidR="000622C5" w:rsidRPr="000622C5" w14:paraId="402CECA2" w14:textId="77777777" w:rsidTr="000622C5">
        <w:tc>
          <w:tcPr>
            <w:tcW w:w="0" w:type="auto"/>
            <w:hideMark/>
          </w:tcPr>
          <w:p w14:paraId="1D94937D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Outcomes</w:t>
            </w:r>
          </w:p>
        </w:tc>
        <w:tc>
          <w:tcPr>
            <w:tcW w:w="0" w:type="auto"/>
            <w:hideMark/>
          </w:tcPr>
          <w:p w14:paraId="67EAEC23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Mental health outcomes (depression, anxiety, cognitive decline, wellbeing) using validated measures</w:t>
            </w:r>
          </w:p>
        </w:tc>
        <w:tc>
          <w:tcPr>
            <w:tcW w:w="0" w:type="auto"/>
            <w:hideMark/>
          </w:tcPr>
          <w:p w14:paraId="3A71F0BA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Studies with no mental health outcomes</w:t>
            </w:r>
          </w:p>
        </w:tc>
      </w:tr>
      <w:tr w:rsidR="000622C5" w:rsidRPr="000622C5" w14:paraId="6D8C4949" w14:textId="77777777" w:rsidTr="000622C5">
        <w:tc>
          <w:tcPr>
            <w:tcW w:w="0" w:type="auto"/>
            <w:hideMark/>
          </w:tcPr>
          <w:p w14:paraId="167ECD42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Study Design</w:t>
            </w:r>
          </w:p>
        </w:tc>
        <w:tc>
          <w:tcPr>
            <w:tcW w:w="0" w:type="auto"/>
            <w:hideMark/>
          </w:tcPr>
          <w:p w14:paraId="19951E9E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Quantitative, qualitative, mixed-methods, systematic reviews/meta-analyses</w:t>
            </w:r>
          </w:p>
        </w:tc>
        <w:tc>
          <w:tcPr>
            <w:tcW w:w="0" w:type="auto"/>
            <w:hideMark/>
          </w:tcPr>
          <w:p w14:paraId="08C44B6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Anecdotes, editorials, non-systematic reviews</w:t>
            </w:r>
          </w:p>
        </w:tc>
      </w:tr>
      <w:tr w:rsidR="000622C5" w:rsidRPr="000622C5" w14:paraId="119C2AA9" w14:textId="77777777" w:rsidTr="000622C5">
        <w:tc>
          <w:tcPr>
            <w:tcW w:w="0" w:type="auto"/>
            <w:hideMark/>
          </w:tcPr>
          <w:p w14:paraId="39E4643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Timeframe</w:t>
            </w:r>
          </w:p>
        </w:tc>
        <w:tc>
          <w:tcPr>
            <w:tcW w:w="0" w:type="auto"/>
            <w:hideMark/>
          </w:tcPr>
          <w:p w14:paraId="09E46A38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Publications from the last 15 years</w:t>
            </w:r>
          </w:p>
        </w:tc>
        <w:tc>
          <w:tcPr>
            <w:tcW w:w="0" w:type="auto"/>
            <w:hideMark/>
          </w:tcPr>
          <w:p w14:paraId="1ACBA596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Older studies unless seminal</w:t>
            </w:r>
          </w:p>
        </w:tc>
      </w:tr>
      <w:tr w:rsidR="000622C5" w:rsidRPr="000622C5" w14:paraId="76429CBA" w14:textId="77777777" w:rsidTr="000622C5">
        <w:tc>
          <w:tcPr>
            <w:tcW w:w="0" w:type="auto"/>
            <w:hideMark/>
          </w:tcPr>
          <w:p w14:paraId="2F1D4D98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Language</w:t>
            </w:r>
          </w:p>
        </w:tc>
        <w:tc>
          <w:tcPr>
            <w:tcW w:w="0" w:type="auto"/>
            <w:hideMark/>
          </w:tcPr>
          <w:p w14:paraId="12367C8A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English only</w:t>
            </w:r>
          </w:p>
        </w:tc>
        <w:tc>
          <w:tcPr>
            <w:tcW w:w="0" w:type="auto"/>
            <w:hideMark/>
          </w:tcPr>
          <w:p w14:paraId="4F547613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Non-English without translation</w:t>
            </w:r>
          </w:p>
        </w:tc>
      </w:tr>
      <w:tr w:rsidR="000622C5" w:rsidRPr="000622C5" w14:paraId="603266CC" w14:textId="77777777" w:rsidTr="000622C5">
        <w:tc>
          <w:tcPr>
            <w:tcW w:w="0" w:type="auto"/>
            <w:hideMark/>
          </w:tcPr>
          <w:p w14:paraId="74838600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Data Quality</w:t>
            </w:r>
          </w:p>
        </w:tc>
        <w:tc>
          <w:tcPr>
            <w:tcW w:w="0" w:type="auto"/>
            <w:hideMark/>
          </w:tcPr>
          <w:p w14:paraId="74B8A68F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Clear methods, validated measures, adequate sample, extractable results</w:t>
            </w:r>
          </w:p>
        </w:tc>
        <w:tc>
          <w:tcPr>
            <w:tcW w:w="0" w:type="auto"/>
            <w:hideMark/>
          </w:tcPr>
          <w:p w14:paraId="6ADA9FD4" w14:textId="77777777" w:rsidR="000622C5" w:rsidRPr="000622C5" w:rsidRDefault="000622C5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0622C5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Poor methods, unclear reporting, missing data</w:t>
            </w:r>
          </w:p>
        </w:tc>
      </w:tr>
    </w:tbl>
    <w:p w14:paraId="38F0C3CD" w14:textId="36C9AE22" w:rsidR="000622C5" w:rsidRPr="00AE6078" w:rsidRDefault="000622C5" w:rsidP="00AE6078">
      <w:pPr>
        <w:pStyle w:val="Heading2"/>
        <w:rPr>
          <w:rStyle w:val="Strong"/>
          <w:b/>
          <w:bCs w:val="0"/>
        </w:rPr>
      </w:pPr>
      <w:r w:rsidRPr="00AE6078">
        <w:rPr>
          <w:rStyle w:val="Strong"/>
          <w:b/>
          <w:bCs w:val="0"/>
        </w:rPr>
        <w:t xml:space="preserve">Data </w:t>
      </w:r>
      <w:r w:rsidR="00AE6078" w:rsidRPr="00AE6078">
        <w:rPr>
          <w:rStyle w:val="Strong"/>
          <w:b/>
          <w:bCs w:val="0"/>
        </w:rPr>
        <w:t>A</w:t>
      </w:r>
      <w:r w:rsidRPr="00AE6078">
        <w:rPr>
          <w:rStyle w:val="Strong"/>
          <w:b/>
          <w:bCs w:val="0"/>
        </w:rPr>
        <w:t>nalysis</w:t>
      </w:r>
    </w:p>
    <w:p w14:paraId="628A4B38" w14:textId="41C82095" w:rsidR="003B4130" w:rsidRPr="00456C25" w:rsidRDefault="003B4130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 xml:space="preserve">A thematic </w:t>
      </w:r>
      <w:r w:rsidR="000622C5" w:rsidRPr="00456C25">
        <w:rPr>
          <w:rFonts w:asciiTheme="minorBidi" w:hAnsiTheme="minorBidi" w:cstheme="minorBidi"/>
          <w:sz w:val="22"/>
          <w:szCs w:val="22"/>
        </w:rPr>
        <w:t>analysis</w:t>
      </w:r>
      <w:r w:rsidRPr="00456C25">
        <w:rPr>
          <w:rFonts w:asciiTheme="minorBidi" w:hAnsiTheme="minorBidi" w:cstheme="minorBidi"/>
          <w:sz w:val="22"/>
          <w:szCs w:val="22"/>
        </w:rPr>
        <w:t xml:space="preserve"> will organise findings into four lenses: (1) definitions and prevalence, (2) associations with mental-health outcomes, (3) effectiveness of interventions and policy instruments, and (4) implementation/scale-up considerations. </w:t>
      </w:r>
      <w:r w:rsidR="00837901" w:rsidRPr="00456C25">
        <w:rPr>
          <w:rFonts w:asciiTheme="minorBidi" w:hAnsiTheme="minorBidi" w:cstheme="minorBidi"/>
          <w:sz w:val="22"/>
          <w:szCs w:val="22"/>
        </w:rPr>
        <w:t>The research</w:t>
      </w:r>
      <w:r w:rsidRPr="00456C25">
        <w:rPr>
          <w:rFonts w:asciiTheme="minorBidi" w:hAnsiTheme="minorBidi" w:cstheme="minorBidi"/>
          <w:sz w:val="22"/>
          <w:szCs w:val="22"/>
        </w:rPr>
        <w:t xml:space="preserve"> will compare studies on evidential strength, context, and equity implications to shape recommendations</w:t>
      </w:r>
      <w:r w:rsidR="00837901" w:rsidRPr="00456C25">
        <w:rPr>
          <w:rFonts w:asciiTheme="minorBidi" w:hAnsiTheme="minorBidi" w:cstheme="minorBidi"/>
          <w:sz w:val="22"/>
          <w:szCs w:val="22"/>
        </w:rPr>
        <w:t xml:space="preserve"> </w:t>
      </w:r>
      <w:r w:rsidR="00BB2745" w:rsidRPr="00456C25">
        <w:rPr>
          <w:rFonts w:asciiTheme="minorBidi" w:hAnsiTheme="minorBidi" w:cstheme="minorBidi"/>
          <w:sz w:val="22"/>
          <w:szCs w:val="22"/>
        </w:rPr>
        <w:t>(Braun and Clarke, 2006)</w:t>
      </w:r>
      <w:r w:rsidRPr="00456C25">
        <w:rPr>
          <w:rFonts w:asciiTheme="minorBidi" w:hAnsiTheme="minorBidi" w:cstheme="minorBidi"/>
          <w:sz w:val="22"/>
          <w:szCs w:val="22"/>
        </w:rPr>
        <w:t>.</w:t>
      </w:r>
    </w:p>
    <w:p w14:paraId="5D1C3BE6" w14:textId="72F8ED9A" w:rsidR="00837901" w:rsidRPr="00AE6078" w:rsidRDefault="003B4130" w:rsidP="00AE6078">
      <w:pPr>
        <w:pStyle w:val="Heading2"/>
        <w:rPr>
          <w:rStyle w:val="Strong"/>
          <w:b/>
          <w:bCs w:val="0"/>
        </w:rPr>
      </w:pPr>
      <w:r w:rsidRPr="00AE6078">
        <w:rPr>
          <w:rStyle w:val="Strong"/>
          <w:b/>
          <w:bCs w:val="0"/>
        </w:rPr>
        <w:lastRenderedPageBreak/>
        <w:t xml:space="preserve">Quality &amp; </w:t>
      </w:r>
      <w:r w:rsidR="00AE6078">
        <w:rPr>
          <w:rStyle w:val="Strong"/>
          <w:b/>
          <w:bCs w:val="0"/>
        </w:rPr>
        <w:t>E</w:t>
      </w:r>
      <w:r w:rsidRPr="00AE6078">
        <w:rPr>
          <w:rStyle w:val="Strong"/>
          <w:b/>
          <w:bCs w:val="0"/>
        </w:rPr>
        <w:t>thics</w:t>
      </w:r>
    </w:p>
    <w:p w14:paraId="3632FAF3" w14:textId="6033CD50" w:rsidR="004417D3" w:rsidRPr="00456C25" w:rsidRDefault="003B4130" w:rsidP="00C927E8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All sources will be accurately cited, limitations reported even-handedly, plagiarism avoided, and original findings represented faithfully</w:t>
      </w:r>
      <w:r w:rsidR="00C927E8">
        <w:rPr>
          <w:rFonts w:asciiTheme="minorBidi" w:hAnsiTheme="minorBidi" w:cstheme="minorBidi"/>
          <w:sz w:val="22"/>
          <w:szCs w:val="22"/>
        </w:rPr>
        <w:t xml:space="preserve"> (</w:t>
      </w:r>
      <w:r w:rsidR="00C927E8" w:rsidRPr="004417D3">
        <w:rPr>
          <w:rFonts w:ascii="Arial" w:hAnsi="Arial" w:cs="Arial"/>
          <w:sz w:val="22"/>
          <w:szCs w:val="22"/>
        </w:rPr>
        <w:t>University of Wales Trinity Saint David</w:t>
      </w:r>
      <w:r w:rsidR="00C927E8">
        <w:rPr>
          <w:rFonts w:ascii="Arial" w:hAnsi="Arial" w:cs="Arial"/>
          <w:sz w:val="22"/>
          <w:szCs w:val="22"/>
        </w:rPr>
        <w:t xml:space="preserve">, </w:t>
      </w:r>
      <w:r w:rsidR="00C927E8" w:rsidRPr="004417D3">
        <w:rPr>
          <w:rFonts w:ascii="Arial" w:hAnsi="Arial" w:cs="Arial"/>
          <w:sz w:val="22"/>
          <w:szCs w:val="22"/>
        </w:rPr>
        <w:t>2022)</w:t>
      </w:r>
      <w:r w:rsidRPr="00456C25">
        <w:rPr>
          <w:rFonts w:asciiTheme="minorBidi" w:hAnsiTheme="minorBidi" w:cstheme="minorBidi"/>
          <w:sz w:val="22"/>
          <w:szCs w:val="22"/>
        </w:rPr>
        <w:t>.</w:t>
      </w:r>
      <w:r w:rsidR="004417D3">
        <w:rPr>
          <w:rFonts w:asciiTheme="minorBidi" w:hAnsiTheme="minorBidi" w:cstheme="minorBidi"/>
          <w:sz w:val="22"/>
          <w:szCs w:val="22"/>
        </w:rPr>
        <w:t xml:space="preserve"> </w:t>
      </w:r>
    </w:p>
    <w:p w14:paraId="739E0DE3" w14:textId="2CF5683A" w:rsidR="008A42FB" w:rsidRPr="00AE6078" w:rsidRDefault="008A42FB" w:rsidP="00AE6078">
      <w:pPr>
        <w:pStyle w:val="Heading1"/>
      </w:pPr>
      <w:r w:rsidRPr="00AE6078">
        <w:t xml:space="preserve">5) Resources </w:t>
      </w:r>
    </w:p>
    <w:p w14:paraId="1187A804" w14:textId="05A34ACA" w:rsidR="008A42FB" w:rsidRPr="00456C25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Academic databases: PubMed, PsycINFO, CINAHL, Scopus</w:t>
      </w:r>
    </w:p>
    <w:p w14:paraId="1C45602C" w14:textId="77777777" w:rsidR="008A42FB" w:rsidRPr="00456C25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Government/NGO portals</w:t>
      </w:r>
    </w:p>
    <w:p w14:paraId="58CBFD57" w14:textId="77777777" w:rsidR="008A42FB" w:rsidRDefault="008A42FB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>Spreadsheet for data extraction</w:t>
      </w:r>
    </w:p>
    <w:p w14:paraId="61E69DE9" w14:textId="7729B0C1" w:rsidR="00F742F5" w:rsidRPr="00456C25" w:rsidRDefault="00F742F5" w:rsidP="00456C25">
      <w:pPr>
        <w:pStyle w:val="NormalWeb"/>
        <w:numPr>
          <w:ilvl w:val="0"/>
          <w:numId w:val="2"/>
        </w:num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>
        <w:rPr>
          <w:rFonts w:asciiTheme="minorBidi" w:hAnsiTheme="minorBidi" w:cstheme="minorBidi"/>
          <w:sz w:val="22"/>
          <w:szCs w:val="22"/>
        </w:rPr>
        <w:t xml:space="preserve">MS Word </w:t>
      </w:r>
    </w:p>
    <w:p w14:paraId="24C2D2AA" w14:textId="5AFA8CF5" w:rsidR="008A42FB" w:rsidRPr="00AE6078" w:rsidRDefault="008A42FB" w:rsidP="00AE6078">
      <w:pPr>
        <w:pStyle w:val="Heading1"/>
      </w:pPr>
      <w:r w:rsidRPr="00AE6078">
        <w:t xml:space="preserve">6) Timescale </w:t>
      </w:r>
      <w:r w:rsidR="00F742F5">
        <w:t xml:space="preserve"> 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451"/>
        <w:gridCol w:w="689"/>
        <w:gridCol w:w="689"/>
        <w:gridCol w:w="713"/>
        <w:gridCol w:w="713"/>
        <w:gridCol w:w="707"/>
        <w:gridCol w:w="707"/>
        <w:gridCol w:w="591"/>
        <w:gridCol w:w="591"/>
        <w:gridCol w:w="1366"/>
        <w:gridCol w:w="1276"/>
      </w:tblGrid>
      <w:tr w:rsidR="00F742F5" w:rsidRPr="004F57A0" w14:paraId="42096CE5" w14:textId="77777777" w:rsidTr="00F742F5">
        <w:tc>
          <w:tcPr>
            <w:tcW w:w="0" w:type="auto"/>
            <w:hideMark/>
          </w:tcPr>
          <w:p w14:paraId="5E88EA5D" w14:textId="77777777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Task / Stage</w:t>
            </w:r>
          </w:p>
        </w:tc>
        <w:tc>
          <w:tcPr>
            <w:tcW w:w="0" w:type="auto"/>
            <w:gridSpan w:val="2"/>
            <w:hideMark/>
          </w:tcPr>
          <w:p w14:paraId="5621FAD1" w14:textId="6229E3AD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 xml:space="preserve">September 25 </w:t>
            </w:r>
          </w:p>
        </w:tc>
        <w:tc>
          <w:tcPr>
            <w:tcW w:w="0" w:type="auto"/>
            <w:gridSpan w:val="2"/>
            <w:hideMark/>
          </w:tcPr>
          <w:p w14:paraId="459D70F4" w14:textId="5144F605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October 25 – November 25</w:t>
            </w:r>
          </w:p>
        </w:tc>
        <w:tc>
          <w:tcPr>
            <w:tcW w:w="0" w:type="auto"/>
            <w:gridSpan w:val="2"/>
            <w:hideMark/>
          </w:tcPr>
          <w:p w14:paraId="43AECE4A" w14:textId="15905B69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December 25 – January 26</w:t>
            </w:r>
          </w:p>
        </w:tc>
        <w:tc>
          <w:tcPr>
            <w:tcW w:w="0" w:type="auto"/>
            <w:gridSpan w:val="2"/>
            <w:hideMark/>
          </w:tcPr>
          <w:p w14:paraId="65EA2C34" w14:textId="0832D27F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February 26</w:t>
            </w:r>
          </w:p>
        </w:tc>
        <w:tc>
          <w:tcPr>
            <w:tcW w:w="1366" w:type="dxa"/>
            <w:hideMark/>
          </w:tcPr>
          <w:p w14:paraId="63AEB269" w14:textId="59A563DD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February 26 – March 26</w:t>
            </w:r>
          </w:p>
        </w:tc>
        <w:tc>
          <w:tcPr>
            <w:tcW w:w="1276" w:type="dxa"/>
            <w:hideMark/>
          </w:tcPr>
          <w:p w14:paraId="3FFF5916" w14:textId="732A7D40" w:rsidR="00F742F5" w:rsidRPr="004F57A0" w:rsidRDefault="00F742F5" w:rsidP="00456C25">
            <w:pPr>
              <w:jc w:val="both"/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</w:pPr>
            <w:r>
              <w:rPr>
                <w:rFonts w:eastAsia="Times New Roman"/>
                <w:b/>
                <w:bCs/>
                <w:kern w:val="0"/>
                <w:szCs w:val="22"/>
                <w:lang w:eastAsia="en-GB"/>
                <w14:ligatures w14:val="none"/>
              </w:rPr>
              <w:t>March 26</w:t>
            </w:r>
          </w:p>
        </w:tc>
      </w:tr>
      <w:tr w:rsidR="00F742F5" w:rsidRPr="004F57A0" w14:paraId="123804AC" w14:textId="77777777" w:rsidTr="00F742F5">
        <w:tc>
          <w:tcPr>
            <w:tcW w:w="0" w:type="auto"/>
            <w:hideMark/>
          </w:tcPr>
          <w:p w14:paraId="7EA3671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Refine question, search plan</w:t>
            </w:r>
          </w:p>
        </w:tc>
        <w:tc>
          <w:tcPr>
            <w:tcW w:w="0" w:type="auto"/>
            <w:shd w:val="clear" w:color="auto" w:fill="156082" w:themeFill="accent1"/>
            <w:hideMark/>
          </w:tcPr>
          <w:p w14:paraId="5DB74F73" w14:textId="1895B71E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C6FC41F" w14:textId="45E5B676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6C3AED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C16E57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56ECA8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365C2F8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99908F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EF9D64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hideMark/>
          </w:tcPr>
          <w:p w14:paraId="619E46D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hideMark/>
          </w:tcPr>
          <w:p w14:paraId="1011B42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F742F5" w:rsidRPr="004F57A0" w14:paraId="20A35184" w14:textId="77777777" w:rsidTr="00F742F5">
        <w:tc>
          <w:tcPr>
            <w:tcW w:w="0" w:type="auto"/>
            <w:hideMark/>
          </w:tcPr>
          <w:p w14:paraId="0A17F42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Screening &amp; selection</w:t>
            </w:r>
          </w:p>
        </w:tc>
        <w:tc>
          <w:tcPr>
            <w:tcW w:w="0" w:type="auto"/>
            <w:hideMark/>
          </w:tcPr>
          <w:p w14:paraId="53FF5D4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6AB55F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760D123B" w14:textId="3A7C195C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6E816228" w14:textId="3F1F9AA2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49F9AF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A09722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76D8D2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0CCC71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hideMark/>
          </w:tcPr>
          <w:p w14:paraId="5AFF9B5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hideMark/>
          </w:tcPr>
          <w:p w14:paraId="1AF769D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F742F5" w:rsidRPr="004F57A0" w14:paraId="5DE0BE23" w14:textId="77777777" w:rsidTr="00F742F5">
        <w:tc>
          <w:tcPr>
            <w:tcW w:w="0" w:type="auto"/>
            <w:hideMark/>
          </w:tcPr>
          <w:p w14:paraId="347AFF9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Data extraction &amp; appraisal</w:t>
            </w:r>
          </w:p>
        </w:tc>
        <w:tc>
          <w:tcPr>
            <w:tcW w:w="0" w:type="auto"/>
            <w:hideMark/>
          </w:tcPr>
          <w:p w14:paraId="6DABCDA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2FE1174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7F0846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114479A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020B8CCE" w14:textId="2C3D1A1D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1025749C" w14:textId="67BF2D63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7F7456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342D1DA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hideMark/>
          </w:tcPr>
          <w:p w14:paraId="41D73A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hideMark/>
          </w:tcPr>
          <w:p w14:paraId="78DD53B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F742F5" w:rsidRPr="004F57A0" w14:paraId="2FD8744D" w14:textId="77777777" w:rsidTr="00F742F5">
        <w:tc>
          <w:tcPr>
            <w:tcW w:w="0" w:type="auto"/>
            <w:hideMark/>
          </w:tcPr>
          <w:p w14:paraId="11EB22E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Analysis &amp; synthesis</w:t>
            </w:r>
          </w:p>
        </w:tc>
        <w:tc>
          <w:tcPr>
            <w:tcW w:w="0" w:type="auto"/>
            <w:hideMark/>
          </w:tcPr>
          <w:p w14:paraId="04A6B7C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AE45E0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5F7F022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3C42E0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826AF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F18CCF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557B187C" w14:textId="5E89CE60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shd w:val="clear" w:color="auto" w:fill="156082" w:themeFill="accent1"/>
            <w:hideMark/>
          </w:tcPr>
          <w:p w14:paraId="6E672C34" w14:textId="2C47EE32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hideMark/>
          </w:tcPr>
          <w:p w14:paraId="0717BAF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hideMark/>
          </w:tcPr>
          <w:p w14:paraId="346C0A6B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F742F5" w:rsidRPr="004F57A0" w14:paraId="0595EF5B" w14:textId="77777777" w:rsidTr="00F742F5">
        <w:tc>
          <w:tcPr>
            <w:tcW w:w="0" w:type="auto"/>
            <w:hideMark/>
          </w:tcPr>
          <w:p w14:paraId="1DF2881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Draft writing</w:t>
            </w:r>
          </w:p>
        </w:tc>
        <w:tc>
          <w:tcPr>
            <w:tcW w:w="0" w:type="auto"/>
            <w:hideMark/>
          </w:tcPr>
          <w:p w14:paraId="7C5C87B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4CF66C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3A5A38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24801CDC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61DFE61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658A9C6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19E0C88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7538855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shd w:val="clear" w:color="auto" w:fill="156082" w:themeFill="accent1"/>
            <w:hideMark/>
          </w:tcPr>
          <w:p w14:paraId="5AA2174B" w14:textId="0BC55483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hideMark/>
          </w:tcPr>
          <w:p w14:paraId="1764802D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  <w:tr w:rsidR="00F742F5" w:rsidRPr="004F57A0" w14:paraId="23DE1AE4" w14:textId="77777777" w:rsidTr="00F742F5">
        <w:tc>
          <w:tcPr>
            <w:tcW w:w="0" w:type="auto"/>
            <w:hideMark/>
          </w:tcPr>
          <w:p w14:paraId="640C219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  <w:r w:rsidRPr="004F57A0"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  <w:t>Revision &amp; submission</w:t>
            </w:r>
          </w:p>
        </w:tc>
        <w:tc>
          <w:tcPr>
            <w:tcW w:w="0" w:type="auto"/>
            <w:hideMark/>
          </w:tcPr>
          <w:p w14:paraId="40718C26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5F1A7607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52EDDC9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1FF296F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4E550C0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1C57D64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0C342DE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DE934E3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366" w:type="dxa"/>
            <w:hideMark/>
          </w:tcPr>
          <w:p w14:paraId="469EB411" w14:textId="77777777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  <w:tc>
          <w:tcPr>
            <w:tcW w:w="1276" w:type="dxa"/>
            <w:shd w:val="clear" w:color="auto" w:fill="156082" w:themeFill="accent1"/>
            <w:hideMark/>
          </w:tcPr>
          <w:p w14:paraId="516ED494" w14:textId="75A310B8" w:rsidR="004F57A0" w:rsidRPr="004F57A0" w:rsidRDefault="004F57A0" w:rsidP="00456C25">
            <w:pPr>
              <w:jc w:val="both"/>
              <w:rPr>
                <w:rFonts w:eastAsia="Times New Roman"/>
                <w:kern w:val="0"/>
                <w:szCs w:val="22"/>
                <w:lang w:eastAsia="en-GB"/>
                <w14:ligatures w14:val="none"/>
              </w:rPr>
            </w:pPr>
          </w:p>
        </w:tc>
      </w:tr>
    </w:tbl>
    <w:p w14:paraId="25A7BCD4" w14:textId="77777777" w:rsidR="007607F2" w:rsidRPr="00456C25" w:rsidRDefault="007607F2" w:rsidP="00456C25">
      <w:pPr>
        <w:jc w:val="both"/>
        <w:rPr>
          <w:szCs w:val="22"/>
        </w:rPr>
      </w:pPr>
    </w:p>
    <w:p w14:paraId="4C173160" w14:textId="74495902" w:rsidR="008A42FB" w:rsidRPr="00AE6078" w:rsidRDefault="008A42FB" w:rsidP="00AE6078">
      <w:pPr>
        <w:pStyle w:val="Heading1"/>
      </w:pPr>
      <w:r w:rsidRPr="00AE6078">
        <w:lastRenderedPageBreak/>
        <w:t xml:space="preserve">7) Self-reflection </w:t>
      </w:r>
      <w:r w:rsidR="00F742F5" w:rsidRPr="00F742F5">
        <w:rPr>
          <w:highlight w:val="yellow"/>
        </w:rPr>
        <w:t>third person</w:t>
      </w:r>
    </w:p>
    <w:p w14:paraId="30CE096A" w14:textId="5740B91B" w:rsidR="008A42FB" w:rsidRPr="00456C25" w:rsidRDefault="008A42FB" w:rsidP="00456C25">
      <w:pPr>
        <w:pStyle w:val="NormalWeb"/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56C25">
        <w:rPr>
          <w:rFonts w:asciiTheme="minorBidi" w:hAnsiTheme="minorBidi" w:cstheme="minorBidi"/>
          <w:sz w:val="22"/>
          <w:szCs w:val="22"/>
        </w:rPr>
        <w:t xml:space="preserve">Strengths include literature searching, critical synthesis, and clear academic writing. Anticipated challenges are managing heterogeneity across measures and contexts. I aim to strengthen appraisal skills, particularly judging external validity and equity impacts. I may seek </w:t>
      </w:r>
      <w:r w:rsidR="00F742F5">
        <w:rPr>
          <w:rFonts w:asciiTheme="minorBidi" w:hAnsiTheme="minorBidi" w:cstheme="minorBidi"/>
          <w:sz w:val="22"/>
          <w:szCs w:val="22"/>
        </w:rPr>
        <w:t>lecturer</w:t>
      </w:r>
      <w:r w:rsidRPr="00456C25">
        <w:rPr>
          <w:rFonts w:asciiTheme="minorBidi" w:hAnsiTheme="minorBidi" w:cstheme="minorBidi"/>
          <w:sz w:val="22"/>
          <w:szCs w:val="22"/>
        </w:rPr>
        <w:t xml:space="preserve"> feedback on inclusion criteria and the balance between intervention evidence and policy analysis.</w:t>
      </w:r>
    </w:p>
    <w:p w14:paraId="26E72BDC" w14:textId="20A9A833" w:rsidR="008A42FB" w:rsidRDefault="00AE6078" w:rsidP="00AE6078">
      <w:pPr>
        <w:pStyle w:val="Heading1"/>
      </w:pPr>
      <w:r>
        <w:t>References</w:t>
      </w:r>
    </w:p>
    <w:p w14:paraId="67040169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Braun, V. and Clarke, V. (2006) ‘Using Thematic Analysis in Psychology’, </w:t>
      </w:r>
      <w:r>
        <w:rPr>
          <w:rFonts w:ascii="Arial" w:hAnsi="Arial" w:cs="Arial"/>
          <w:i/>
          <w:iCs/>
          <w:sz w:val="22"/>
          <w:szCs w:val="22"/>
        </w:rPr>
        <w:t>Qualitative Research in Psychology</w:t>
      </w:r>
      <w:r>
        <w:rPr>
          <w:rFonts w:ascii="Arial" w:hAnsi="Arial" w:cs="Arial"/>
          <w:sz w:val="22"/>
          <w:szCs w:val="22"/>
        </w:rPr>
        <w:t>, 3(2), pp. 77–101. Available at: https://doi.org/10.1191/1478088706qp063oa.</w:t>
      </w:r>
    </w:p>
    <w:p w14:paraId="1FB70A10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Courtin, E. and Knapp, M. (2017) ‘Social isolation, loneliness and health in old age: A scoping review’, </w:t>
      </w:r>
      <w:r>
        <w:rPr>
          <w:rFonts w:ascii="Arial" w:hAnsi="Arial" w:cs="Arial"/>
          <w:i/>
          <w:iCs/>
          <w:sz w:val="22"/>
          <w:szCs w:val="22"/>
        </w:rPr>
        <w:t>Health &amp; Social Care in the Community</w:t>
      </w:r>
      <w:r>
        <w:rPr>
          <w:rFonts w:ascii="Arial" w:hAnsi="Arial" w:cs="Arial"/>
          <w:sz w:val="22"/>
          <w:szCs w:val="22"/>
        </w:rPr>
        <w:t>, 25(3), pp. 799–812. Available at: https://doi.org/10.1111/hsc.12311.</w:t>
      </w:r>
    </w:p>
    <w:p w14:paraId="4C09D763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Coyle, C.E. and Dugan, E. (2012) ‘Social Isolation, Loneliness and Health Among Older Adults’, </w:t>
      </w:r>
      <w:r>
        <w:rPr>
          <w:rFonts w:ascii="Arial" w:hAnsi="Arial" w:cs="Arial"/>
          <w:i/>
          <w:iCs/>
          <w:sz w:val="22"/>
          <w:szCs w:val="22"/>
        </w:rPr>
        <w:t>Journal of Aging and Health</w:t>
      </w:r>
      <w:r>
        <w:rPr>
          <w:rFonts w:ascii="Arial" w:hAnsi="Arial" w:cs="Arial"/>
          <w:sz w:val="22"/>
          <w:szCs w:val="22"/>
        </w:rPr>
        <w:t>, 24(8), pp. 1346–1363. Available at: https://doi.org/10.1177/0898264312460275.</w:t>
      </w:r>
    </w:p>
    <w:p w14:paraId="3098C70F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Donovan, N.J. and Blazer, D. (2020) ‘Social isolation and loneliness in older adults: Review and commentary of a national academies report’, </w:t>
      </w:r>
      <w:r>
        <w:rPr>
          <w:rFonts w:ascii="Arial" w:hAnsi="Arial" w:cs="Arial"/>
          <w:i/>
          <w:iCs/>
          <w:sz w:val="22"/>
          <w:szCs w:val="22"/>
        </w:rPr>
        <w:t>The American Journal of Geriatric Psychiatry</w:t>
      </w:r>
      <w:r>
        <w:rPr>
          <w:rFonts w:ascii="Arial" w:hAnsi="Arial" w:cs="Arial"/>
          <w:sz w:val="22"/>
          <w:szCs w:val="22"/>
        </w:rPr>
        <w:t>, 28(12), pp. 1233–1244. Available at: https://doi.org/10.1016/j.jagp.2020.08.005.</w:t>
      </w:r>
    </w:p>
    <w:p w14:paraId="701958F9" w14:textId="77777777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Holt</w:t>
      </w:r>
      <w:r>
        <w:rPr>
          <w:rFonts w:ascii="Cambria Math" w:hAnsi="Cambria Math" w:cs="Cambria Math"/>
          <w:sz w:val="22"/>
          <w:szCs w:val="22"/>
        </w:rPr>
        <w:t>‐</w:t>
      </w:r>
      <w:r>
        <w:rPr>
          <w:rFonts w:ascii="Arial" w:hAnsi="Arial" w:cs="Arial"/>
          <w:sz w:val="22"/>
          <w:szCs w:val="22"/>
        </w:rPr>
        <w:t xml:space="preserve">Lunstad, J. (2024) ‘Social connection as a critical factor for mental and physical health: evidence, trends, challenges, and future implications’, </w:t>
      </w:r>
      <w:r>
        <w:rPr>
          <w:rFonts w:ascii="Arial" w:hAnsi="Arial" w:cs="Arial"/>
          <w:i/>
          <w:iCs/>
          <w:sz w:val="22"/>
          <w:szCs w:val="22"/>
        </w:rPr>
        <w:t>World Psychiatry</w:t>
      </w:r>
      <w:r>
        <w:rPr>
          <w:rFonts w:ascii="Arial" w:hAnsi="Arial" w:cs="Arial"/>
          <w:sz w:val="22"/>
          <w:szCs w:val="22"/>
        </w:rPr>
        <w:t>, 23(3), pp. 312–332. Available at: https://doi.org/10.1002/wps.21224.</w:t>
      </w:r>
    </w:p>
    <w:p w14:paraId="17773016" w14:textId="3450A85E" w:rsidR="00AE6078" w:rsidRDefault="00AE6078" w:rsidP="008C31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Luo, M. (2022) ‘Social isolation, loneliness, and depressive symptoms: A twelve-year population study of temporal dynamics’, </w:t>
      </w:r>
      <w:r>
        <w:rPr>
          <w:rFonts w:ascii="Arial" w:hAnsi="Arial" w:cs="Arial"/>
          <w:i/>
          <w:iCs/>
          <w:sz w:val="22"/>
          <w:szCs w:val="22"/>
        </w:rPr>
        <w:t>The Journals of Gerontology: Series B</w:t>
      </w:r>
      <w:r>
        <w:rPr>
          <w:rFonts w:ascii="Arial" w:hAnsi="Arial" w:cs="Arial"/>
          <w:sz w:val="22"/>
          <w:szCs w:val="22"/>
        </w:rPr>
        <w:t xml:space="preserve">, 78(2). Available at: </w:t>
      </w:r>
      <w:hyperlink r:id="rId6" w:history="1">
        <w:r w:rsidR="004417D3" w:rsidRPr="00767BBC">
          <w:rPr>
            <w:rStyle w:val="Hyperlink"/>
            <w:rFonts w:ascii="Arial" w:hAnsi="Arial" w:cs="Arial"/>
            <w:sz w:val="22"/>
            <w:szCs w:val="22"/>
          </w:rPr>
          <w:t>https://doi.org/10.1093/geronb/g</w:t>
        </w:r>
        <w:r w:rsidR="004417D3" w:rsidRPr="00767BBC">
          <w:rPr>
            <w:rStyle w:val="Hyperlink"/>
            <w:rFonts w:ascii="Arial" w:hAnsi="Arial" w:cs="Arial"/>
            <w:sz w:val="22"/>
            <w:szCs w:val="22"/>
          </w:rPr>
          <w:t>b</w:t>
        </w:r>
        <w:r w:rsidR="004417D3" w:rsidRPr="00767BBC">
          <w:rPr>
            <w:rStyle w:val="Hyperlink"/>
            <w:rFonts w:ascii="Arial" w:hAnsi="Arial" w:cs="Arial"/>
            <w:sz w:val="22"/>
            <w:szCs w:val="22"/>
          </w:rPr>
          <w:t>ac174</w:t>
        </w:r>
      </w:hyperlink>
      <w:r>
        <w:rPr>
          <w:rFonts w:ascii="Arial" w:hAnsi="Arial" w:cs="Arial"/>
          <w:sz w:val="22"/>
          <w:szCs w:val="22"/>
        </w:rPr>
        <w:t>.</w:t>
      </w:r>
    </w:p>
    <w:p w14:paraId="62AB29FE" w14:textId="1413C8CB" w:rsidR="004417D3" w:rsidRPr="004417D3" w:rsidRDefault="004417D3" w:rsidP="004417D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4417D3">
        <w:rPr>
          <w:rFonts w:ascii="Arial" w:hAnsi="Arial" w:cs="Arial"/>
          <w:sz w:val="22"/>
          <w:szCs w:val="22"/>
        </w:rPr>
        <w:t xml:space="preserve">University of Wales Trinity Saint David (2022) </w:t>
      </w:r>
      <w:r w:rsidRPr="004417D3">
        <w:rPr>
          <w:rStyle w:val="Emphasis"/>
          <w:rFonts w:ascii="Arial" w:eastAsiaTheme="majorEastAsia" w:hAnsi="Arial" w:cs="Arial"/>
          <w:sz w:val="22"/>
          <w:szCs w:val="22"/>
        </w:rPr>
        <w:t>Research ethics and integrity code of practice</w:t>
      </w:r>
      <w:r w:rsidRPr="004417D3">
        <w:rPr>
          <w:rFonts w:ascii="Arial" w:hAnsi="Arial" w:cs="Arial"/>
          <w:sz w:val="22"/>
          <w:szCs w:val="22"/>
        </w:rPr>
        <w:t>. University of Wales Trinity Saint David.</w:t>
      </w:r>
      <w:r>
        <w:rPr>
          <w:rFonts w:ascii="Arial" w:hAnsi="Arial" w:cs="Arial"/>
          <w:sz w:val="22"/>
          <w:szCs w:val="22"/>
        </w:rPr>
        <w:t xml:space="preserve"> </w:t>
      </w:r>
      <w:r w:rsidRPr="004417D3">
        <w:rPr>
          <w:rFonts w:ascii="Arial" w:hAnsi="Arial" w:cs="Arial"/>
          <w:sz w:val="22"/>
          <w:szCs w:val="22"/>
        </w:rPr>
        <w:t>Available at:</w:t>
      </w:r>
      <w:r w:rsidRPr="004417D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h</w:t>
      </w:r>
      <w:r w:rsidRPr="004417D3">
        <w:rPr>
          <w:rFonts w:ascii="Arial" w:hAnsi="Arial" w:cs="Arial"/>
          <w:sz w:val="22"/>
          <w:szCs w:val="22"/>
        </w:rPr>
        <w:t>ttps://www.uwtsd.ac.uk/research/research-integrity-and-ethics</w:t>
      </w:r>
      <w:r>
        <w:rPr>
          <w:rFonts w:ascii="Arial" w:hAnsi="Arial" w:cs="Arial"/>
          <w:sz w:val="22"/>
          <w:szCs w:val="22"/>
        </w:rPr>
        <w:t xml:space="preserve"> </w:t>
      </w:r>
      <w:r w:rsidRPr="004417D3">
        <w:rPr>
          <w:rFonts w:ascii="Arial" w:hAnsi="Arial" w:cs="Arial"/>
          <w:sz w:val="22"/>
          <w:szCs w:val="22"/>
        </w:rPr>
        <w:t>(Accessed: 13 October 2025).</w:t>
      </w:r>
    </w:p>
    <w:p w14:paraId="2F0413D1" w14:textId="77777777" w:rsidR="00AE6078" w:rsidRPr="00AE6078" w:rsidRDefault="00AE6078" w:rsidP="00AE6078"/>
    <w:sectPr w:rsidR="00AE6078" w:rsidRPr="00AE6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3914AA"/>
    <w:multiLevelType w:val="multilevel"/>
    <w:tmpl w:val="0770A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394C9B"/>
    <w:multiLevelType w:val="multilevel"/>
    <w:tmpl w:val="6324C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85261D"/>
    <w:multiLevelType w:val="multilevel"/>
    <w:tmpl w:val="D7209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163AC"/>
    <w:multiLevelType w:val="multilevel"/>
    <w:tmpl w:val="03089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FA1E96"/>
    <w:multiLevelType w:val="multilevel"/>
    <w:tmpl w:val="47A29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0292017">
    <w:abstractNumId w:val="1"/>
  </w:num>
  <w:num w:numId="2" w16cid:durableId="894241805">
    <w:abstractNumId w:val="2"/>
  </w:num>
  <w:num w:numId="3" w16cid:durableId="261692523">
    <w:abstractNumId w:val="3"/>
  </w:num>
  <w:num w:numId="4" w16cid:durableId="1081681284">
    <w:abstractNumId w:val="0"/>
  </w:num>
  <w:num w:numId="5" w16cid:durableId="6530295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663"/>
    <w:rsid w:val="000363C5"/>
    <w:rsid w:val="000622C5"/>
    <w:rsid w:val="00085AC1"/>
    <w:rsid w:val="000B743B"/>
    <w:rsid w:val="00284171"/>
    <w:rsid w:val="002A5235"/>
    <w:rsid w:val="00302EB8"/>
    <w:rsid w:val="00311173"/>
    <w:rsid w:val="00340028"/>
    <w:rsid w:val="003B4130"/>
    <w:rsid w:val="00417B0F"/>
    <w:rsid w:val="00437888"/>
    <w:rsid w:val="004417D3"/>
    <w:rsid w:val="00456C25"/>
    <w:rsid w:val="00461624"/>
    <w:rsid w:val="004F57A0"/>
    <w:rsid w:val="00591242"/>
    <w:rsid w:val="007607F2"/>
    <w:rsid w:val="007D1E64"/>
    <w:rsid w:val="007F4686"/>
    <w:rsid w:val="00804503"/>
    <w:rsid w:val="00837901"/>
    <w:rsid w:val="008A42FB"/>
    <w:rsid w:val="008C313B"/>
    <w:rsid w:val="009A0681"/>
    <w:rsid w:val="009B14D7"/>
    <w:rsid w:val="00AC0A4F"/>
    <w:rsid w:val="00AE6078"/>
    <w:rsid w:val="00BB265E"/>
    <w:rsid w:val="00BB2745"/>
    <w:rsid w:val="00BD51D2"/>
    <w:rsid w:val="00BE4882"/>
    <w:rsid w:val="00C927E8"/>
    <w:rsid w:val="00D95A10"/>
    <w:rsid w:val="00DE21AC"/>
    <w:rsid w:val="00E56250"/>
    <w:rsid w:val="00E908B4"/>
    <w:rsid w:val="00E91E66"/>
    <w:rsid w:val="00E947F1"/>
    <w:rsid w:val="00EC7D1A"/>
    <w:rsid w:val="00F06C7E"/>
    <w:rsid w:val="00F26663"/>
    <w:rsid w:val="00F742F5"/>
    <w:rsid w:val="00FB6C67"/>
    <w:rsid w:val="00FE7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9250F"/>
  <w15:chartTrackingRefBased/>
  <w15:docId w15:val="{2D48ECEE-1007-904F-9C21-346F0EA29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6663"/>
    <w:pPr>
      <w:spacing w:line="360" w:lineRule="auto"/>
    </w:pPr>
    <w:rPr>
      <w:rFonts w:asciiTheme="minorBidi" w:hAnsiTheme="minorBidi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6663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6663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666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666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666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666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666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666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6663"/>
    <w:rPr>
      <w:rFonts w:asciiTheme="minorBidi" w:eastAsiaTheme="majorEastAsia" w:hAnsiTheme="minorBidi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6663"/>
    <w:rPr>
      <w:rFonts w:asciiTheme="minorBidi" w:eastAsiaTheme="majorEastAsia" w:hAnsiTheme="minorBidi" w:cstheme="majorBidi"/>
      <w:b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66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66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66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66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66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66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66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66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666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66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66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6663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66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66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66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6663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66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8A42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A42FB"/>
    <w:rPr>
      <w:b/>
      <w:bCs/>
    </w:rPr>
  </w:style>
  <w:style w:type="character" w:styleId="Emphasis">
    <w:name w:val="Emphasis"/>
    <w:basedOn w:val="DefaultParagraphFont"/>
    <w:uiPriority w:val="20"/>
    <w:qFormat/>
    <w:rsid w:val="003B4130"/>
    <w:rPr>
      <w:i/>
      <w:iCs/>
    </w:rPr>
  </w:style>
  <w:style w:type="table" w:styleId="TableGrid">
    <w:name w:val="Table Grid"/>
    <w:basedOn w:val="TableNormal"/>
    <w:uiPriority w:val="39"/>
    <w:rsid w:val="000622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56C2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417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17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93/geronb/gbac174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C365982-87AE-BC45-9135-9A90F4501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6</Pages>
  <Words>974</Words>
  <Characters>5556</Characters>
  <Application>Microsoft Office Word</Application>
  <DocSecurity>0</DocSecurity>
  <Lines>46</Lines>
  <Paragraphs>13</Paragraphs>
  <ScaleCrop>false</ScaleCrop>
  <Company/>
  <LinksUpToDate>false</LinksUpToDate>
  <CharactersWithSpaces>6517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WORD FILE</cp:lastModifiedBy>
  <cp:revision>6</cp:revision>
  <dcterms:created xsi:type="dcterms:W3CDTF">2025-10-08T17:21:00Z</dcterms:created>
  <dcterms:modified xsi:type="dcterms:W3CDTF">2025-10-13T15:52:00Z</dcterms:modified>
</cp:coreProperties>
</file>