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F2DF7" w14:textId="77777777" w:rsidR="004A24CB" w:rsidRPr="004A24CB" w:rsidRDefault="004A24CB" w:rsidP="004A24CB">
      <w:pPr>
        <w:pStyle w:val="Header"/>
        <w:tabs>
          <w:tab w:val="clear" w:pos="4153"/>
          <w:tab w:val="clear" w:pos="8306"/>
        </w:tabs>
        <w:spacing w:line="276" w:lineRule="auto"/>
        <w:jc w:val="right"/>
        <w:rPr>
          <w:b/>
          <w:sz w:val="24"/>
          <w:szCs w:val="24"/>
        </w:rPr>
      </w:pPr>
      <w:r w:rsidRPr="004A24CB">
        <w:rPr>
          <w:noProof/>
          <w:sz w:val="24"/>
          <w:szCs w:val="24"/>
        </w:rPr>
        <w:drawing>
          <wp:anchor distT="0" distB="0" distL="114300" distR="114300" simplePos="0" relativeHeight="251659264" behindDoc="0" locked="0" layoutInCell="1" allowOverlap="1" wp14:anchorId="2997C544" wp14:editId="3E779B8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4A24CB">
        <w:rPr>
          <w:sz w:val="24"/>
          <w:szCs w:val="24"/>
        </w:rPr>
        <w:t xml:space="preserve"> </w:t>
      </w:r>
      <w:r w:rsidRPr="004A24CB">
        <w:rPr>
          <w:sz w:val="24"/>
          <w:szCs w:val="24"/>
        </w:rPr>
        <w:br w:type="textWrapping" w:clear="all"/>
      </w:r>
      <w:r w:rsidRPr="004A24CB">
        <w:rPr>
          <w:b/>
          <w:sz w:val="24"/>
          <w:szCs w:val="24"/>
        </w:rPr>
        <w:t>APPENDIX GA36d</w:t>
      </w:r>
    </w:p>
    <w:p w14:paraId="3DB359B6" w14:textId="77777777" w:rsidR="004A24CB" w:rsidRPr="004A24CB" w:rsidRDefault="004A24CB" w:rsidP="004A24CB">
      <w:pPr>
        <w:spacing w:line="276" w:lineRule="auto"/>
        <w:rPr>
          <w:rFonts w:ascii="Times New Roman" w:hAnsi="Times New Roman" w:cs="Times New Roman"/>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4A24CB" w:rsidRPr="004A24CB" w14:paraId="2EC22E3B" w14:textId="77777777" w:rsidTr="004A24CB">
        <w:tc>
          <w:tcPr>
            <w:tcW w:w="8624" w:type="dxa"/>
            <w:shd w:val="clear" w:color="auto" w:fill="C0C0C0"/>
          </w:tcPr>
          <w:p w14:paraId="2485740F" w14:textId="77777777" w:rsidR="004A24CB" w:rsidRPr="004A24CB" w:rsidRDefault="004A24CB" w:rsidP="004A24CB">
            <w:pPr>
              <w:pStyle w:val="Heading4"/>
              <w:spacing w:line="276" w:lineRule="auto"/>
              <w:rPr>
                <w:rFonts w:ascii="Times New Roman" w:hAnsi="Times New Roman" w:cs="Times New Roman"/>
                <w:b/>
              </w:rPr>
            </w:pPr>
            <w:r w:rsidRPr="004A24CB">
              <w:rPr>
                <w:rFonts w:ascii="Times New Roman" w:hAnsi="Times New Roman" w:cs="Times New Roman"/>
                <w:b/>
              </w:rPr>
              <w:t xml:space="preserve">LEVEL 7 ASSESSMENT SPECIFICATION </w:t>
            </w:r>
          </w:p>
        </w:tc>
      </w:tr>
    </w:tbl>
    <w:p w14:paraId="6A744B8C" w14:textId="77777777" w:rsidR="004A24CB" w:rsidRPr="004A24CB" w:rsidRDefault="004A24CB" w:rsidP="004A24CB">
      <w:pPr>
        <w:spacing w:line="276" w:lineRule="auto"/>
        <w:jc w:val="center"/>
        <w:rPr>
          <w:rFonts w:ascii="Times New Roman" w:hAnsi="Times New Roman" w:cs="Times New Roman"/>
          <w:b/>
          <w:i/>
        </w:rPr>
      </w:pPr>
    </w:p>
    <w:tbl>
      <w:tblPr>
        <w:tblW w:w="9922" w:type="dxa"/>
        <w:tblInd w:w="-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A24CB" w:rsidRPr="004A24CB" w14:paraId="3ABE4580" w14:textId="77777777" w:rsidTr="004A24CB">
        <w:tc>
          <w:tcPr>
            <w:tcW w:w="2093" w:type="dxa"/>
            <w:shd w:val="pct15" w:color="auto" w:fill="auto"/>
          </w:tcPr>
          <w:p w14:paraId="0A8329F5" w14:textId="77777777" w:rsidR="004A24CB" w:rsidRPr="004A24CB" w:rsidRDefault="004A24CB" w:rsidP="004A24CB">
            <w:pPr>
              <w:spacing w:before="120" w:after="120" w:line="276" w:lineRule="auto"/>
              <w:jc w:val="both"/>
              <w:rPr>
                <w:rFonts w:ascii="Times New Roman" w:hAnsi="Times New Roman" w:cs="Times New Roman"/>
                <w:b/>
              </w:rPr>
            </w:pPr>
            <w:r w:rsidRPr="004A24CB">
              <w:rPr>
                <w:rFonts w:ascii="Times New Roman" w:hAnsi="Times New Roman" w:cs="Times New Roman"/>
                <w:b/>
              </w:rPr>
              <w:t>Student name:</w:t>
            </w:r>
          </w:p>
        </w:tc>
        <w:tc>
          <w:tcPr>
            <w:tcW w:w="3293" w:type="dxa"/>
          </w:tcPr>
          <w:p w14:paraId="64ED454A" w14:textId="77777777" w:rsidR="004A24CB" w:rsidRPr="004A24CB" w:rsidRDefault="004A24CB" w:rsidP="004A24CB">
            <w:pPr>
              <w:spacing w:before="120" w:after="120" w:line="276" w:lineRule="auto"/>
              <w:jc w:val="both"/>
              <w:rPr>
                <w:rFonts w:ascii="Times New Roman" w:hAnsi="Times New Roman" w:cs="Times New Roman"/>
                <w:b/>
              </w:rPr>
            </w:pPr>
            <w:r w:rsidRPr="004A24CB">
              <w:rPr>
                <w:rFonts w:ascii="Times New Roman" w:hAnsi="Times New Roman" w:cs="Times New Roman"/>
                <w:b/>
              </w:rPr>
              <w:fldChar w:fldCharType="begin">
                <w:ffData>
                  <w:name w:val="Text2"/>
                  <w:enabled/>
                  <w:calcOnExit w:val="0"/>
                  <w:textInput/>
                </w:ffData>
              </w:fldChar>
            </w:r>
            <w:r w:rsidRPr="004A24CB">
              <w:rPr>
                <w:rFonts w:ascii="Times New Roman" w:hAnsi="Times New Roman" w:cs="Times New Roman"/>
                <w:b/>
              </w:rPr>
              <w:instrText xml:space="preserve"> FORMTEXT </w:instrText>
            </w:r>
            <w:r w:rsidRPr="004A24CB">
              <w:rPr>
                <w:rFonts w:ascii="Times New Roman" w:hAnsi="Times New Roman" w:cs="Times New Roman"/>
                <w:b/>
              </w:rPr>
            </w:r>
            <w:r w:rsidRPr="004A24CB">
              <w:rPr>
                <w:rFonts w:ascii="Times New Roman" w:hAnsi="Times New Roman" w:cs="Times New Roman"/>
                <w:b/>
              </w:rPr>
              <w:fldChar w:fldCharType="separate"/>
            </w:r>
            <w:r w:rsidRPr="004A24CB">
              <w:rPr>
                <w:rFonts w:ascii="Times New Roman" w:hAnsi="Times New Roman" w:cs="Times New Roman"/>
                <w:b/>
                <w:noProof/>
              </w:rPr>
              <w:t> </w:t>
            </w:r>
            <w:r w:rsidRPr="004A24CB">
              <w:rPr>
                <w:rFonts w:ascii="Times New Roman" w:hAnsi="Times New Roman" w:cs="Times New Roman"/>
                <w:b/>
                <w:noProof/>
              </w:rPr>
              <w:t> </w:t>
            </w:r>
            <w:r w:rsidRPr="004A24CB">
              <w:rPr>
                <w:rFonts w:ascii="Times New Roman" w:hAnsi="Times New Roman" w:cs="Times New Roman"/>
                <w:b/>
                <w:noProof/>
              </w:rPr>
              <w:t> </w:t>
            </w:r>
            <w:r w:rsidRPr="004A24CB">
              <w:rPr>
                <w:rFonts w:ascii="Times New Roman" w:hAnsi="Times New Roman" w:cs="Times New Roman"/>
                <w:b/>
                <w:noProof/>
              </w:rPr>
              <w:t> </w:t>
            </w:r>
            <w:r w:rsidRPr="004A24CB">
              <w:rPr>
                <w:rFonts w:ascii="Times New Roman" w:hAnsi="Times New Roman" w:cs="Times New Roman"/>
                <w:b/>
                <w:noProof/>
              </w:rPr>
              <w:t> </w:t>
            </w:r>
            <w:r w:rsidRPr="004A24CB">
              <w:rPr>
                <w:rFonts w:ascii="Times New Roman" w:hAnsi="Times New Roman" w:cs="Times New Roman"/>
                <w:b/>
              </w:rPr>
              <w:fldChar w:fldCharType="end"/>
            </w:r>
            <w:r w:rsidRPr="004A24CB">
              <w:rPr>
                <w:rFonts w:ascii="Times New Roman" w:hAnsi="Times New Roman" w:cs="Times New Roman"/>
                <w:b/>
              </w:rPr>
              <w:t xml:space="preserve">Vajra Chaitanya </w:t>
            </w:r>
            <w:proofErr w:type="spellStart"/>
            <w:r w:rsidRPr="004A24CB">
              <w:rPr>
                <w:rFonts w:ascii="Times New Roman" w:hAnsi="Times New Roman" w:cs="Times New Roman"/>
                <w:b/>
              </w:rPr>
              <w:t>Pondugula</w:t>
            </w:r>
            <w:proofErr w:type="spellEnd"/>
          </w:p>
        </w:tc>
        <w:tc>
          <w:tcPr>
            <w:tcW w:w="2268" w:type="dxa"/>
            <w:shd w:val="clear" w:color="auto" w:fill="D9D9D9"/>
          </w:tcPr>
          <w:p w14:paraId="7D8804F1" w14:textId="77777777" w:rsidR="004A24CB" w:rsidRPr="004A24CB" w:rsidRDefault="004A24CB" w:rsidP="004A24CB">
            <w:pPr>
              <w:spacing w:before="120" w:after="120" w:line="276" w:lineRule="auto"/>
              <w:jc w:val="both"/>
              <w:rPr>
                <w:rFonts w:ascii="Times New Roman" w:hAnsi="Times New Roman" w:cs="Times New Roman"/>
                <w:b/>
              </w:rPr>
            </w:pPr>
            <w:r w:rsidRPr="004A24CB">
              <w:rPr>
                <w:rFonts w:ascii="Times New Roman" w:hAnsi="Times New Roman" w:cs="Times New Roman"/>
                <w:b/>
              </w:rPr>
              <w:t>Student ID number:</w:t>
            </w:r>
          </w:p>
        </w:tc>
        <w:tc>
          <w:tcPr>
            <w:tcW w:w="2268" w:type="dxa"/>
          </w:tcPr>
          <w:p w14:paraId="66328251" w14:textId="0B038EE9" w:rsidR="004A24CB" w:rsidRPr="004A24CB" w:rsidRDefault="004A24CB" w:rsidP="004A24CB">
            <w:pPr>
              <w:spacing w:before="120" w:after="120" w:line="276" w:lineRule="auto"/>
              <w:rPr>
                <w:rFonts w:ascii="Times New Roman" w:hAnsi="Times New Roman" w:cs="Times New Roman"/>
                <w:b/>
              </w:rPr>
            </w:pPr>
            <w:r w:rsidRPr="004A24CB">
              <w:rPr>
                <w:rFonts w:ascii="Times New Roman" w:hAnsi="Times New Roman" w:cs="Times New Roman"/>
                <w:b/>
              </w:rPr>
              <w:t>2418439</w:t>
            </w:r>
          </w:p>
        </w:tc>
      </w:tr>
      <w:tr w:rsidR="004A24CB" w:rsidRPr="004A24CB" w14:paraId="46C0F674" w14:textId="77777777" w:rsidTr="004A24CB">
        <w:tc>
          <w:tcPr>
            <w:tcW w:w="2093" w:type="dxa"/>
            <w:shd w:val="pct15" w:color="auto" w:fill="auto"/>
          </w:tcPr>
          <w:p w14:paraId="307D24CE" w14:textId="77777777" w:rsidR="004A24CB" w:rsidRPr="004A24CB" w:rsidRDefault="004A24CB" w:rsidP="004A24CB">
            <w:pPr>
              <w:spacing w:before="120" w:after="120" w:line="276" w:lineRule="auto"/>
              <w:jc w:val="both"/>
              <w:rPr>
                <w:rFonts w:ascii="Times New Roman" w:hAnsi="Times New Roman" w:cs="Times New Roman"/>
                <w:b/>
              </w:rPr>
            </w:pPr>
            <w:r w:rsidRPr="004A24CB">
              <w:rPr>
                <w:rFonts w:ascii="Times New Roman" w:hAnsi="Times New Roman" w:cs="Times New Roman"/>
                <w:b/>
              </w:rPr>
              <w:t>Programme:</w:t>
            </w:r>
          </w:p>
        </w:tc>
        <w:tc>
          <w:tcPr>
            <w:tcW w:w="7829" w:type="dxa"/>
            <w:gridSpan w:val="3"/>
          </w:tcPr>
          <w:p w14:paraId="4BF9BC7D" w14:textId="77777777" w:rsidR="004A24CB" w:rsidRPr="004A24CB" w:rsidRDefault="004A24CB" w:rsidP="004A24CB">
            <w:pPr>
              <w:spacing w:before="120" w:after="120" w:line="276" w:lineRule="auto"/>
              <w:jc w:val="both"/>
              <w:rPr>
                <w:rFonts w:ascii="Times New Roman" w:hAnsi="Times New Roman" w:cs="Times New Roman"/>
                <w:b/>
              </w:rPr>
            </w:pPr>
            <w:r w:rsidRPr="004A24CB">
              <w:rPr>
                <w:rFonts w:ascii="Times New Roman" w:hAnsi="Times New Roman" w:cs="Times New Roman"/>
                <w:b/>
              </w:rPr>
              <w:t>MSc Lean and Agile Operations &amp; MSc Engineering Project Management</w:t>
            </w:r>
          </w:p>
        </w:tc>
      </w:tr>
      <w:tr w:rsidR="004A24CB" w:rsidRPr="004A24CB" w14:paraId="35084B3C" w14:textId="77777777" w:rsidTr="004A24CB">
        <w:tc>
          <w:tcPr>
            <w:tcW w:w="2093" w:type="dxa"/>
            <w:shd w:val="pct15" w:color="auto" w:fill="auto"/>
          </w:tcPr>
          <w:p w14:paraId="73BBA152" w14:textId="77777777" w:rsidR="004A24CB" w:rsidRPr="004A24CB" w:rsidRDefault="004A24CB" w:rsidP="004A24CB">
            <w:pPr>
              <w:spacing w:before="120" w:after="120" w:line="276" w:lineRule="auto"/>
              <w:jc w:val="both"/>
              <w:rPr>
                <w:rFonts w:ascii="Times New Roman" w:hAnsi="Times New Roman" w:cs="Times New Roman"/>
                <w:b/>
              </w:rPr>
            </w:pPr>
            <w:r w:rsidRPr="004A24CB">
              <w:rPr>
                <w:rFonts w:ascii="Times New Roman" w:hAnsi="Times New Roman" w:cs="Times New Roman"/>
                <w:b/>
              </w:rPr>
              <w:t>Module:</w:t>
            </w:r>
          </w:p>
        </w:tc>
        <w:tc>
          <w:tcPr>
            <w:tcW w:w="7829" w:type="dxa"/>
            <w:gridSpan w:val="3"/>
            <w:shd w:val="clear" w:color="auto" w:fill="auto"/>
          </w:tcPr>
          <w:p w14:paraId="0028B730" w14:textId="77777777" w:rsidR="004A24CB" w:rsidRPr="004A24CB" w:rsidRDefault="004A24CB" w:rsidP="004A24CB">
            <w:pPr>
              <w:spacing w:before="120" w:after="120" w:line="276" w:lineRule="auto"/>
              <w:jc w:val="both"/>
              <w:rPr>
                <w:rFonts w:ascii="Times New Roman" w:hAnsi="Times New Roman" w:cs="Times New Roman"/>
                <w:b/>
              </w:rPr>
            </w:pPr>
            <w:r w:rsidRPr="004A24CB">
              <w:rPr>
                <w:rFonts w:ascii="Times New Roman" w:hAnsi="Times New Roman" w:cs="Times New Roman"/>
                <w:b/>
              </w:rPr>
              <w:t>Procurement and Supply Chain Management</w:t>
            </w:r>
          </w:p>
        </w:tc>
      </w:tr>
      <w:tr w:rsidR="004A24CB" w:rsidRPr="004A24CB" w14:paraId="22949D65" w14:textId="77777777" w:rsidTr="004A24CB">
        <w:tc>
          <w:tcPr>
            <w:tcW w:w="2093" w:type="dxa"/>
            <w:shd w:val="pct15" w:color="auto" w:fill="auto"/>
          </w:tcPr>
          <w:p w14:paraId="1A3B0961" w14:textId="77777777" w:rsidR="004A24CB" w:rsidRPr="004A24CB" w:rsidRDefault="004A24CB" w:rsidP="004A24CB">
            <w:pPr>
              <w:spacing w:before="120" w:after="120" w:line="276" w:lineRule="auto"/>
              <w:jc w:val="both"/>
              <w:rPr>
                <w:rFonts w:ascii="Times New Roman" w:hAnsi="Times New Roman" w:cs="Times New Roman"/>
                <w:b/>
              </w:rPr>
            </w:pPr>
            <w:r w:rsidRPr="004A24CB">
              <w:rPr>
                <w:rFonts w:ascii="Times New Roman" w:hAnsi="Times New Roman" w:cs="Times New Roman"/>
                <w:b/>
              </w:rPr>
              <w:t>Module code:</w:t>
            </w:r>
          </w:p>
        </w:tc>
        <w:tc>
          <w:tcPr>
            <w:tcW w:w="3293" w:type="dxa"/>
          </w:tcPr>
          <w:p w14:paraId="65E38229" w14:textId="77777777" w:rsidR="004A24CB" w:rsidRPr="004A24CB" w:rsidRDefault="004A24CB" w:rsidP="004A24CB">
            <w:pPr>
              <w:spacing w:before="120" w:after="120" w:line="276" w:lineRule="auto"/>
              <w:jc w:val="both"/>
              <w:rPr>
                <w:rFonts w:ascii="Times New Roman" w:hAnsi="Times New Roman" w:cs="Times New Roman"/>
                <w:b/>
              </w:rPr>
            </w:pPr>
            <w:r w:rsidRPr="004A24CB">
              <w:rPr>
                <w:rFonts w:ascii="Times New Roman" w:hAnsi="Times New Roman" w:cs="Times New Roman"/>
                <w:b/>
              </w:rPr>
              <w:t>ACEA 7011</w:t>
            </w:r>
          </w:p>
        </w:tc>
        <w:tc>
          <w:tcPr>
            <w:tcW w:w="2268" w:type="dxa"/>
            <w:shd w:val="clear" w:color="auto" w:fill="D9D9D9"/>
          </w:tcPr>
          <w:p w14:paraId="64055A60" w14:textId="77777777" w:rsidR="004A24CB" w:rsidRPr="004A24CB" w:rsidRDefault="004A24CB" w:rsidP="004A24CB">
            <w:pPr>
              <w:pStyle w:val="Heading2"/>
              <w:spacing w:line="276" w:lineRule="auto"/>
              <w:rPr>
                <w:rFonts w:ascii="Times New Roman" w:hAnsi="Times New Roman" w:cs="Times New Roman"/>
                <w:sz w:val="24"/>
                <w:szCs w:val="24"/>
              </w:rPr>
            </w:pPr>
            <w:bookmarkStart w:id="0" w:name="_Toc204893217"/>
            <w:r w:rsidRPr="004A24CB">
              <w:rPr>
                <w:rFonts w:ascii="Times New Roman" w:hAnsi="Times New Roman" w:cs="Times New Roman"/>
                <w:sz w:val="24"/>
                <w:szCs w:val="24"/>
              </w:rPr>
              <w:t>Contribution to Overall Module Assessment (%):</w:t>
            </w:r>
            <w:bookmarkEnd w:id="0"/>
          </w:p>
        </w:tc>
        <w:tc>
          <w:tcPr>
            <w:tcW w:w="2268" w:type="dxa"/>
          </w:tcPr>
          <w:p w14:paraId="3C68FBE7" w14:textId="77777777" w:rsidR="004A24CB" w:rsidRPr="004A24CB" w:rsidRDefault="004A24CB" w:rsidP="004A24CB">
            <w:pPr>
              <w:spacing w:before="120" w:after="120" w:line="276" w:lineRule="auto"/>
              <w:jc w:val="both"/>
              <w:rPr>
                <w:rFonts w:ascii="Times New Roman" w:hAnsi="Times New Roman" w:cs="Times New Roman"/>
                <w:b/>
              </w:rPr>
            </w:pPr>
            <w:r w:rsidRPr="004A24CB">
              <w:rPr>
                <w:rFonts w:ascii="Times New Roman" w:hAnsi="Times New Roman" w:cs="Times New Roman"/>
                <w:b/>
              </w:rPr>
              <w:t>100%</w:t>
            </w:r>
          </w:p>
        </w:tc>
      </w:tr>
      <w:tr w:rsidR="004A24CB" w:rsidRPr="004A24CB" w14:paraId="4B5E234D" w14:textId="77777777" w:rsidTr="004A24CB">
        <w:tc>
          <w:tcPr>
            <w:tcW w:w="2093" w:type="dxa"/>
            <w:shd w:val="pct15" w:color="auto" w:fill="auto"/>
          </w:tcPr>
          <w:p w14:paraId="3A66E251" w14:textId="77777777" w:rsidR="004A24CB" w:rsidRPr="004A24CB" w:rsidRDefault="004A24CB" w:rsidP="004A24CB">
            <w:pPr>
              <w:spacing w:before="120" w:after="120" w:line="276" w:lineRule="auto"/>
              <w:jc w:val="both"/>
              <w:rPr>
                <w:rFonts w:ascii="Times New Roman" w:hAnsi="Times New Roman" w:cs="Times New Roman"/>
                <w:b/>
              </w:rPr>
            </w:pPr>
            <w:r w:rsidRPr="004A24CB">
              <w:rPr>
                <w:rFonts w:ascii="Times New Roman" w:hAnsi="Times New Roman" w:cs="Times New Roman"/>
                <w:b/>
              </w:rPr>
              <w:t>Lecturer:</w:t>
            </w:r>
          </w:p>
        </w:tc>
        <w:tc>
          <w:tcPr>
            <w:tcW w:w="3293" w:type="dxa"/>
          </w:tcPr>
          <w:p w14:paraId="180500DD" w14:textId="77777777" w:rsidR="004A24CB" w:rsidRPr="004A24CB" w:rsidRDefault="004A24CB" w:rsidP="004A24CB">
            <w:pPr>
              <w:spacing w:before="120" w:after="120" w:line="276" w:lineRule="auto"/>
              <w:jc w:val="both"/>
              <w:rPr>
                <w:rFonts w:ascii="Times New Roman" w:hAnsi="Times New Roman" w:cs="Times New Roman"/>
                <w:b/>
              </w:rPr>
            </w:pPr>
            <w:r w:rsidRPr="004A24CB">
              <w:rPr>
                <w:rFonts w:ascii="Times New Roman" w:hAnsi="Times New Roman" w:cs="Times New Roman"/>
                <w:b/>
              </w:rPr>
              <w:t>Andrew Thorn</w:t>
            </w:r>
          </w:p>
        </w:tc>
        <w:tc>
          <w:tcPr>
            <w:tcW w:w="2268" w:type="dxa"/>
            <w:shd w:val="clear" w:color="auto" w:fill="D9D9D9"/>
          </w:tcPr>
          <w:p w14:paraId="12FEE40C" w14:textId="77777777" w:rsidR="004A24CB" w:rsidRPr="004A24CB" w:rsidRDefault="004A24CB" w:rsidP="004A24CB">
            <w:pPr>
              <w:spacing w:before="120" w:after="120" w:line="276" w:lineRule="auto"/>
              <w:jc w:val="both"/>
              <w:rPr>
                <w:rFonts w:ascii="Times New Roman" w:hAnsi="Times New Roman" w:cs="Times New Roman"/>
                <w:b/>
              </w:rPr>
            </w:pPr>
            <w:r w:rsidRPr="004A24CB">
              <w:rPr>
                <w:rFonts w:ascii="Times New Roman" w:hAnsi="Times New Roman" w:cs="Times New Roman"/>
                <w:b/>
              </w:rPr>
              <w:t>Internal Verifier:</w:t>
            </w:r>
          </w:p>
        </w:tc>
        <w:tc>
          <w:tcPr>
            <w:tcW w:w="2268" w:type="dxa"/>
          </w:tcPr>
          <w:p w14:paraId="577F57F4" w14:textId="77777777" w:rsidR="004A24CB" w:rsidRPr="004A24CB" w:rsidRDefault="004A24CB" w:rsidP="004A24CB">
            <w:pPr>
              <w:spacing w:before="120" w:after="120" w:line="276" w:lineRule="auto"/>
              <w:jc w:val="both"/>
              <w:rPr>
                <w:rFonts w:ascii="Times New Roman" w:hAnsi="Times New Roman" w:cs="Times New Roman"/>
                <w:b/>
              </w:rPr>
            </w:pPr>
            <w:r w:rsidRPr="004A24CB">
              <w:rPr>
                <w:rFonts w:ascii="Times New Roman" w:hAnsi="Times New Roman" w:cs="Times New Roman"/>
                <w:b/>
              </w:rPr>
              <w:t>Kelvin Lake</w:t>
            </w:r>
          </w:p>
        </w:tc>
      </w:tr>
      <w:tr w:rsidR="004A24CB" w:rsidRPr="004A24CB" w14:paraId="2149CA88" w14:textId="77777777" w:rsidTr="004A24CB">
        <w:tc>
          <w:tcPr>
            <w:tcW w:w="2093" w:type="dxa"/>
            <w:shd w:val="pct15" w:color="auto" w:fill="auto"/>
          </w:tcPr>
          <w:p w14:paraId="757D1DE1" w14:textId="77777777" w:rsidR="004A24CB" w:rsidRPr="004A24CB" w:rsidRDefault="004A24CB" w:rsidP="004A24CB">
            <w:pPr>
              <w:spacing w:before="120" w:after="120" w:line="276" w:lineRule="auto"/>
              <w:jc w:val="both"/>
              <w:rPr>
                <w:rFonts w:ascii="Times New Roman" w:hAnsi="Times New Roman" w:cs="Times New Roman"/>
                <w:b/>
              </w:rPr>
            </w:pPr>
            <w:r w:rsidRPr="004A24CB">
              <w:rPr>
                <w:rFonts w:ascii="Times New Roman" w:hAnsi="Times New Roman" w:cs="Times New Roman"/>
                <w:b/>
              </w:rPr>
              <w:t>Assignment Title:</w:t>
            </w:r>
          </w:p>
        </w:tc>
        <w:tc>
          <w:tcPr>
            <w:tcW w:w="3293" w:type="dxa"/>
          </w:tcPr>
          <w:p w14:paraId="5BF049EE" w14:textId="77777777" w:rsidR="004A24CB" w:rsidRPr="004A24CB" w:rsidRDefault="004A24CB" w:rsidP="004A24CB">
            <w:pPr>
              <w:spacing w:before="120" w:after="120" w:line="276" w:lineRule="auto"/>
              <w:jc w:val="both"/>
              <w:rPr>
                <w:rFonts w:ascii="Times New Roman" w:hAnsi="Times New Roman" w:cs="Times New Roman"/>
                <w:b/>
              </w:rPr>
            </w:pPr>
            <w:r w:rsidRPr="004A24CB">
              <w:rPr>
                <w:rFonts w:ascii="Times New Roman" w:hAnsi="Times New Roman" w:cs="Times New Roman"/>
                <w:b/>
              </w:rPr>
              <w:t>Improving Supply chain Performance</w:t>
            </w:r>
          </w:p>
        </w:tc>
        <w:tc>
          <w:tcPr>
            <w:tcW w:w="2268" w:type="dxa"/>
            <w:shd w:val="pct15" w:color="auto" w:fill="auto"/>
          </w:tcPr>
          <w:p w14:paraId="2C511FC8" w14:textId="77777777" w:rsidR="004A24CB" w:rsidRPr="004A24CB" w:rsidRDefault="004A24CB" w:rsidP="004A24CB">
            <w:pPr>
              <w:spacing w:before="120" w:after="120" w:line="276" w:lineRule="auto"/>
              <w:jc w:val="both"/>
              <w:rPr>
                <w:rFonts w:ascii="Times New Roman" w:hAnsi="Times New Roman" w:cs="Times New Roman"/>
                <w:b/>
              </w:rPr>
            </w:pPr>
            <w:r w:rsidRPr="004A24CB">
              <w:rPr>
                <w:rFonts w:ascii="Times New Roman" w:hAnsi="Times New Roman" w:cs="Times New Roman"/>
                <w:b/>
              </w:rPr>
              <w:t>Word count (or equivalent):</w:t>
            </w:r>
          </w:p>
        </w:tc>
        <w:tc>
          <w:tcPr>
            <w:tcW w:w="2268" w:type="dxa"/>
          </w:tcPr>
          <w:p w14:paraId="3F3CF9D9" w14:textId="77777777" w:rsidR="004A24CB" w:rsidRPr="004A24CB" w:rsidRDefault="004A24CB" w:rsidP="004A24CB">
            <w:pPr>
              <w:spacing w:before="120" w:after="120" w:line="276" w:lineRule="auto"/>
              <w:jc w:val="both"/>
              <w:rPr>
                <w:rFonts w:ascii="Times New Roman" w:hAnsi="Times New Roman" w:cs="Times New Roman"/>
                <w:b/>
              </w:rPr>
            </w:pPr>
            <w:r w:rsidRPr="004A24CB">
              <w:rPr>
                <w:rFonts w:ascii="Times New Roman" w:hAnsi="Times New Roman" w:cs="Times New Roman"/>
                <w:b/>
              </w:rPr>
              <w:t>3,000</w:t>
            </w:r>
          </w:p>
        </w:tc>
      </w:tr>
      <w:tr w:rsidR="004A24CB" w:rsidRPr="004A24CB" w14:paraId="705358A7" w14:textId="77777777" w:rsidTr="004A24CB">
        <w:tc>
          <w:tcPr>
            <w:tcW w:w="2093" w:type="dxa"/>
            <w:shd w:val="pct15" w:color="auto" w:fill="auto"/>
          </w:tcPr>
          <w:p w14:paraId="26EB8EF0" w14:textId="77777777" w:rsidR="004A24CB" w:rsidRPr="004A24CB" w:rsidRDefault="004A24CB" w:rsidP="004A24CB">
            <w:pPr>
              <w:spacing w:before="120" w:after="120" w:line="276" w:lineRule="auto"/>
              <w:jc w:val="both"/>
              <w:rPr>
                <w:rFonts w:ascii="Times New Roman" w:hAnsi="Times New Roman" w:cs="Times New Roman"/>
                <w:b/>
              </w:rPr>
            </w:pPr>
            <w:r w:rsidRPr="004A24CB">
              <w:rPr>
                <w:rFonts w:ascii="Times New Roman" w:hAnsi="Times New Roman" w:cs="Times New Roman"/>
                <w:b/>
              </w:rPr>
              <w:t>Submission deadline:</w:t>
            </w:r>
          </w:p>
        </w:tc>
        <w:tc>
          <w:tcPr>
            <w:tcW w:w="3293" w:type="dxa"/>
            <w:shd w:val="clear" w:color="auto" w:fill="auto"/>
          </w:tcPr>
          <w:p w14:paraId="35D74443" w14:textId="77777777" w:rsidR="004A24CB" w:rsidRPr="004A24CB" w:rsidRDefault="004A24CB" w:rsidP="004A24CB">
            <w:pPr>
              <w:spacing w:before="120" w:after="120" w:line="276" w:lineRule="auto"/>
              <w:jc w:val="both"/>
              <w:rPr>
                <w:rFonts w:ascii="Times New Roman" w:hAnsi="Times New Roman" w:cs="Times New Roman"/>
                <w:b/>
              </w:rPr>
            </w:pPr>
            <w:r w:rsidRPr="004A24CB">
              <w:rPr>
                <w:rFonts w:ascii="Times New Roman" w:hAnsi="Times New Roman" w:cs="Times New Roman"/>
                <w:b/>
              </w:rPr>
              <w:t>31/07/2025</w:t>
            </w:r>
          </w:p>
        </w:tc>
        <w:tc>
          <w:tcPr>
            <w:tcW w:w="2268" w:type="dxa"/>
            <w:shd w:val="pct15" w:color="auto" w:fill="auto"/>
          </w:tcPr>
          <w:p w14:paraId="1E628539" w14:textId="77777777" w:rsidR="004A24CB" w:rsidRPr="004A24CB" w:rsidRDefault="004A24CB" w:rsidP="004A24CB">
            <w:pPr>
              <w:spacing w:before="120" w:after="120" w:line="276" w:lineRule="auto"/>
              <w:jc w:val="both"/>
              <w:rPr>
                <w:rFonts w:ascii="Times New Roman" w:hAnsi="Times New Roman" w:cs="Times New Roman"/>
                <w:b/>
              </w:rPr>
            </w:pPr>
            <w:r w:rsidRPr="004A24CB">
              <w:rPr>
                <w:rFonts w:ascii="Times New Roman" w:hAnsi="Times New Roman" w:cs="Times New Roman"/>
                <w:b/>
              </w:rPr>
              <w:t>Return date of provisional marks &amp; written feedback:</w:t>
            </w:r>
          </w:p>
        </w:tc>
        <w:tc>
          <w:tcPr>
            <w:tcW w:w="2268" w:type="dxa"/>
          </w:tcPr>
          <w:p w14:paraId="449DAF1A" w14:textId="77777777" w:rsidR="004A24CB" w:rsidRPr="004A24CB" w:rsidRDefault="004A24CB" w:rsidP="004A24CB">
            <w:pPr>
              <w:spacing w:before="120" w:after="120" w:line="276" w:lineRule="auto"/>
              <w:jc w:val="both"/>
              <w:rPr>
                <w:rFonts w:ascii="Times New Roman" w:hAnsi="Times New Roman" w:cs="Times New Roman"/>
                <w:b/>
              </w:rPr>
            </w:pPr>
            <w:r w:rsidRPr="004A24CB">
              <w:rPr>
                <w:rFonts w:ascii="Times New Roman" w:hAnsi="Times New Roman" w:cs="Times New Roman"/>
                <w:b/>
              </w:rPr>
              <w:t>01/09/2025</w:t>
            </w:r>
          </w:p>
        </w:tc>
      </w:tr>
      <w:tr w:rsidR="004A24CB" w:rsidRPr="004A24CB" w14:paraId="74BB283E" w14:textId="77777777" w:rsidTr="004A24CB">
        <w:tc>
          <w:tcPr>
            <w:tcW w:w="2093" w:type="dxa"/>
            <w:shd w:val="pct15" w:color="auto" w:fill="auto"/>
          </w:tcPr>
          <w:p w14:paraId="487CE133" w14:textId="77777777" w:rsidR="004A24CB" w:rsidRPr="004A24CB" w:rsidRDefault="004A24CB" w:rsidP="004A24CB">
            <w:pPr>
              <w:spacing w:before="120" w:after="120" w:line="276" w:lineRule="auto"/>
              <w:jc w:val="both"/>
              <w:rPr>
                <w:rFonts w:ascii="Times New Roman" w:hAnsi="Times New Roman" w:cs="Times New Roman"/>
                <w:b/>
              </w:rPr>
            </w:pPr>
            <w:r w:rsidRPr="004A24CB">
              <w:rPr>
                <w:rFonts w:ascii="Times New Roman" w:hAnsi="Times New Roman" w:cs="Times New Roman"/>
                <w:b/>
              </w:rPr>
              <w:t>Submission method:</w:t>
            </w:r>
          </w:p>
        </w:tc>
        <w:tc>
          <w:tcPr>
            <w:tcW w:w="7829" w:type="dxa"/>
            <w:gridSpan w:val="3"/>
            <w:shd w:val="clear" w:color="auto" w:fill="auto"/>
          </w:tcPr>
          <w:p w14:paraId="79D835F8" w14:textId="77777777" w:rsidR="004A24CB" w:rsidRPr="004A24CB" w:rsidRDefault="004A24CB" w:rsidP="004A24CB">
            <w:pPr>
              <w:spacing w:line="276" w:lineRule="auto"/>
              <w:rPr>
                <w:rFonts w:ascii="Times New Roman" w:hAnsi="Times New Roman" w:cs="Times New Roman"/>
              </w:rPr>
            </w:pPr>
            <w:r w:rsidRPr="004A24CB">
              <w:rPr>
                <w:rFonts w:ascii="Times New Roman" w:hAnsi="Times New Roman" w:cs="Times New Roman"/>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69B6021" w14:textId="77777777" w:rsidR="004A24CB" w:rsidRPr="004A24CB" w:rsidRDefault="004A24CB" w:rsidP="004A24CB">
            <w:pPr>
              <w:spacing w:before="120" w:after="120" w:line="276" w:lineRule="auto"/>
              <w:jc w:val="both"/>
              <w:rPr>
                <w:rFonts w:ascii="Times New Roman" w:hAnsi="Times New Roman" w:cs="Times New Roman"/>
                <w:b/>
              </w:rPr>
            </w:pPr>
            <w:r w:rsidRPr="004A24CB">
              <w:rPr>
                <w:rFonts w:ascii="Times New Roman" w:hAnsi="Times New Roman" w:cs="Times New Roman"/>
                <w:b/>
              </w:rPr>
              <w:t xml:space="preserve">Alternative submission method (if applicable): </w:t>
            </w:r>
          </w:p>
          <w:p w14:paraId="41C3C7B3" w14:textId="77777777" w:rsidR="004A24CB" w:rsidRPr="004A24CB" w:rsidRDefault="004A24CB" w:rsidP="004A24CB">
            <w:pPr>
              <w:spacing w:before="120" w:after="120" w:line="276" w:lineRule="auto"/>
              <w:jc w:val="both"/>
              <w:rPr>
                <w:rFonts w:ascii="Times New Roman" w:hAnsi="Times New Roman" w:cs="Times New Roman"/>
                <w:b/>
              </w:rPr>
            </w:pPr>
            <w:r w:rsidRPr="004A24CB">
              <w:rPr>
                <w:rFonts w:ascii="Times New Roman" w:hAnsi="Times New Roman" w:cs="Times New Roman"/>
                <w:b/>
              </w:rPr>
              <w:t>Late submission of the assessment will result in a late penalty mark:</w:t>
            </w:r>
          </w:p>
          <w:p w14:paraId="0ED105A8" w14:textId="77777777" w:rsidR="004A24CB" w:rsidRPr="004A24CB" w:rsidRDefault="004A24CB" w:rsidP="004A24CB">
            <w:pPr>
              <w:spacing w:before="120" w:after="120" w:line="276" w:lineRule="auto"/>
              <w:jc w:val="both"/>
              <w:rPr>
                <w:rFonts w:ascii="Times New Roman" w:hAnsi="Times New Roman" w:cs="Times New Roman"/>
              </w:rPr>
            </w:pPr>
            <w:r w:rsidRPr="004A24CB">
              <w:rPr>
                <w:rFonts w:ascii="Times New Roman" w:hAnsi="Times New Roman" w:cs="Times New Roman"/>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3D2B987" w14:textId="77777777" w:rsidR="004A24CB" w:rsidRPr="004A24CB" w:rsidRDefault="004A24CB" w:rsidP="004A24CB">
            <w:pPr>
              <w:spacing w:line="276" w:lineRule="auto"/>
              <w:rPr>
                <w:rFonts w:ascii="Times New Roman" w:hAnsi="Times New Roman" w:cs="Times New Roman"/>
              </w:rPr>
            </w:pPr>
            <w:r w:rsidRPr="004A24CB">
              <w:rPr>
                <w:rFonts w:ascii="Times New Roman" w:hAnsi="Times New Roman" w:cs="Times New Roman"/>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p w14:paraId="46242C0F" w14:textId="77777777" w:rsidR="004A24CB" w:rsidRPr="004A24CB" w:rsidRDefault="004A24CB" w:rsidP="004A24CB">
            <w:pPr>
              <w:spacing w:line="276" w:lineRule="auto"/>
              <w:rPr>
                <w:rFonts w:ascii="Times New Roman" w:hAnsi="Times New Roman" w:cs="Times New Roman"/>
              </w:rPr>
            </w:pPr>
          </w:p>
        </w:tc>
      </w:tr>
      <w:tr w:rsidR="004A24CB" w:rsidRPr="004A24CB" w14:paraId="0CE29938" w14:textId="77777777" w:rsidTr="004A24CB">
        <w:tc>
          <w:tcPr>
            <w:tcW w:w="2093" w:type="dxa"/>
            <w:shd w:val="pct15" w:color="auto" w:fill="auto"/>
          </w:tcPr>
          <w:p w14:paraId="4B03C8D6" w14:textId="77777777" w:rsidR="004A24CB" w:rsidRPr="004A24CB" w:rsidRDefault="004A24CB" w:rsidP="004A24CB">
            <w:pPr>
              <w:spacing w:before="120" w:after="120" w:line="276" w:lineRule="auto"/>
              <w:rPr>
                <w:rFonts w:ascii="Times New Roman" w:hAnsi="Times New Roman" w:cs="Times New Roman"/>
                <w:b/>
              </w:rPr>
            </w:pPr>
            <w:r w:rsidRPr="004A24CB">
              <w:rPr>
                <w:rFonts w:ascii="Times New Roman" w:hAnsi="Times New Roman" w:cs="Times New Roman"/>
                <w:b/>
              </w:rPr>
              <w:lastRenderedPageBreak/>
              <w:t>Academic honesty / referencing:</w:t>
            </w:r>
          </w:p>
        </w:tc>
        <w:tc>
          <w:tcPr>
            <w:tcW w:w="7829" w:type="dxa"/>
            <w:gridSpan w:val="3"/>
            <w:shd w:val="clear" w:color="auto" w:fill="auto"/>
          </w:tcPr>
          <w:p w14:paraId="6B3C8C63" w14:textId="77777777" w:rsidR="004A24CB" w:rsidRPr="004A24CB" w:rsidRDefault="004A24CB" w:rsidP="004A24CB">
            <w:pPr>
              <w:spacing w:before="120" w:after="120" w:line="276" w:lineRule="auto"/>
              <w:jc w:val="both"/>
              <w:rPr>
                <w:rFonts w:ascii="Times New Roman" w:hAnsi="Times New Roman" w:cs="Times New Roman"/>
              </w:rPr>
            </w:pPr>
            <w:r w:rsidRPr="004A24CB">
              <w:rPr>
                <w:rFonts w:ascii="Times New Roman" w:hAnsi="Times New Roman" w:cs="Times New Roman"/>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6C1CB882" w14:textId="77777777" w:rsidR="004A24CB" w:rsidRPr="004A24CB" w:rsidRDefault="004A24CB" w:rsidP="004A24CB">
      <w:pPr>
        <w:spacing w:line="276" w:lineRule="auto"/>
        <w:rPr>
          <w:rFonts w:ascii="Times New Roman" w:hAnsi="Times New Roman" w:cs="Times New Roman"/>
        </w:rPr>
      </w:pPr>
    </w:p>
    <w:p w14:paraId="6AF90E86" w14:textId="77777777" w:rsidR="004A24CB" w:rsidRPr="004A24CB" w:rsidRDefault="004A24CB" w:rsidP="004A24CB">
      <w:pPr>
        <w:spacing w:line="276" w:lineRule="auto"/>
        <w:rPr>
          <w:rFonts w:ascii="Times New Roman" w:hAnsi="Times New Roman" w:cs="Times New Roman"/>
          <w:b/>
        </w:rPr>
      </w:pPr>
    </w:p>
    <w:p w14:paraId="6FAF0D22" w14:textId="77777777" w:rsidR="004A24CB" w:rsidRPr="004A24CB" w:rsidRDefault="004A24CB" w:rsidP="004A24CB">
      <w:pPr>
        <w:spacing w:line="276" w:lineRule="auto"/>
        <w:jc w:val="both"/>
        <w:rPr>
          <w:rFonts w:ascii="Times New Roman" w:hAnsi="Times New Roman" w:cs="Times New Roman"/>
        </w:rPr>
      </w:pPr>
    </w:p>
    <w:p w14:paraId="67B07D38" w14:textId="77777777" w:rsidR="004A24CB" w:rsidRPr="004A24CB" w:rsidRDefault="004A24CB" w:rsidP="004A24CB">
      <w:pPr>
        <w:pStyle w:val="Heading1"/>
        <w:spacing w:line="276" w:lineRule="auto"/>
        <w:rPr>
          <w:rFonts w:ascii="Times New Roman" w:hAnsi="Times New Roman" w:cs="Times New Roman"/>
          <w:b/>
          <w:bCs/>
          <w:sz w:val="24"/>
          <w:szCs w:val="24"/>
        </w:rPr>
      </w:pPr>
    </w:p>
    <w:p w14:paraId="14C02662" w14:textId="77777777" w:rsidR="004A24CB" w:rsidRPr="004A24CB" w:rsidRDefault="004A24CB" w:rsidP="004A24CB">
      <w:pPr>
        <w:spacing w:line="276" w:lineRule="auto"/>
        <w:rPr>
          <w:rFonts w:ascii="Times New Roman" w:eastAsiaTheme="majorEastAsia" w:hAnsi="Times New Roman" w:cs="Times New Roman"/>
          <w:b/>
          <w:bCs/>
          <w:i/>
          <w:iCs/>
          <w:color w:val="2F5496" w:themeColor="accent1" w:themeShade="BF"/>
        </w:rPr>
      </w:pPr>
      <w:r w:rsidRPr="004A24CB">
        <w:rPr>
          <w:rFonts w:ascii="Times New Roman" w:hAnsi="Times New Roman" w:cs="Times New Roman"/>
          <w:b/>
          <w:bCs/>
          <w:i/>
          <w:iCs/>
        </w:rPr>
        <w:br w:type="page"/>
      </w:r>
    </w:p>
    <w:sdt>
      <w:sdtPr>
        <w:rPr>
          <w:rFonts w:ascii="Times New Roman" w:hAnsi="Times New Roman" w:cs="Times New Roman"/>
          <w:sz w:val="24"/>
          <w:szCs w:val="24"/>
        </w:rPr>
        <w:id w:val="-1744021845"/>
        <w:docPartObj>
          <w:docPartGallery w:val="Table of Contents"/>
          <w:docPartUnique/>
        </w:docPartObj>
      </w:sdtPr>
      <w:sdtEndPr>
        <w:rPr>
          <w:rFonts w:eastAsiaTheme="minorHAnsi"/>
          <w:b/>
          <w:bCs/>
          <w:noProof/>
          <w:color w:val="auto"/>
          <w:kern w:val="2"/>
          <w:lang w:val="en-IN"/>
          <w14:ligatures w14:val="standardContextual"/>
        </w:rPr>
      </w:sdtEndPr>
      <w:sdtContent>
        <w:p w14:paraId="69F93F86" w14:textId="08249396" w:rsidR="004A24CB" w:rsidRPr="004A24CB" w:rsidRDefault="004A24CB" w:rsidP="004A24CB">
          <w:pPr>
            <w:pStyle w:val="TOCHeading"/>
            <w:spacing w:line="276" w:lineRule="auto"/>
            <w:rPr>
              <w:rFonts w:ascii="Times New Roman" w:hAnsi="Times New Roman" w:cs="Times New Roman"/>
              <w:sz w:val="24"/>
              <w:szCs w:val="24"/>
            </w:rPr>
          </w:pPr>
          <w:r w:rsidRPr="004A24CB">
            <w:rPr>
              <w:rFonts w:ascii="Times New Roman" w:hAnsi="Times New Roman" w:cs="Times New Roman"/>
              <w:sz w:val="24"/>
              <w:szCs w:val="24"/>
            </w:rPr>
            <w:t>Table of Contents</w:t>
          </w:r>
        </w:p>
        <w:p w14:paraId="70A3CA50" w14:textId="1D48860C" w:rsidR="004A24CB" w:rsidRDefault="004A24CB">
          <w:pPr>
            <w:pStyle w:val="TOC2"/>
            <w:tabs>
              <w:tab w:val="right" w:leader="dot" w:pos="9016"/>
            </w:tabs>
            <w:rPr>
              <w:rFonts w:eastAsiaTheme="minorEastAsia"/>
              <w:noProof/>
              <w:lang w:eastAsia="en-IN"/>
            </w:rPr>
          </w:pPr>
          <w:r w:rsidRPr="004A24CB">
            <w:rPr>
              <w:rFonts w:ascii="Times New Roman" w:hAnsi="Times New Roman" w:cs="Times New Roman"/>
            </w:rPr>
            <w:fldChar w:fldCharType="begin"/>
          </w:r>
          <w:r w:rsidRPr="004A24CB">
            <w:rPr>
              <w:rFonts w:ascii="Times New Roman" w:hAnsi="Times New Roman" w:cs="Times New Roman"/>
            </w:rPr>
            <w:instrText xml:space="preserve"> TOC \o "1-3" \h \z \u </w:instrText>
          </w:r>
          <w:r w:rsidRPr="004A24CB">
            <w:rPr>
              <w:rFonts w:ascii="Times New Roman" w:hAnsi="Times New Roman" w:cs="Times New Roman"/>
            </w:rPr>
            <w:fldChar w:fldCharType="separate"/>
          </w:r>
          <w:hyperlink w:anchor="_Toc204893217" w:history="1">
            <w:r w:rsidRPr="004572CC">
              <w:rPr>
                <w:rStyle w:val="Hyperlink"/>
                <w:rFonts w:ascii="Times New Roman" w:hAnsi="Times New Roman" w:cs="Times New Roman"/>
                <w:noProof/>
              </w:rPr>
              <w:t>Contribution to Overall Module Assessment (%):</w:t>
            </w:r>
            <w:r>
              <w:rPr>
                <w:noProof/>
                <w:webHidden/>
              </w:rPr>
              <w:tab/>
            </w:r>
            <w:r>
              <w:rPr>
                <w:noProof/>
                <w:webHidden/>
              </w:rPr>
              <w:fldChar w:fldCharType="begin"/>
            </w:r>
            <w:r>
              <w:rPr>
                <w:noProof/>
                <w:webHidden/>
              </w:rPr>
              <w:instrText xml:space="preserve"> PAGEREF _Toc204893217 \h </w:instrText>
            </w:r>
            <w:r>
              <w:rPr>
                <w:noProof/>
                <w:webHidden/>
              </w:rPr>
            </w:r>
            <w:r>
              <w:rPr>
                <w:noProof/>
                <w:webHidden/>
              </w:rPr>
              <w:fldChar w:fldCharType="separate"/>
            </w:r>
            <w:r>
              <w:rPr>
                <w:noProof/>
                <w:webHidden/>
              </w:rPr>
              <w:t>1</w:t>
            </w:r>
            <w:r>
              <w:rPr>
                <w:noProof/>
                <w:webHidden/>
              </w:rPr>
              <w:fldChar w:fldCharType="end"/>
            </w:r>
          </w:hyperlink>
        </w:p>
        <w:p w14:paraId="56956316" w14:textId="1D1B2F06" w:rsidR="004A24CB" w:rsidRDefault="004A24CB">
          <w:pPr>
            <w:pStyle w:val="TOC1"/>
            <w:tabs>
              <w:tab w:val="right" w:leader="dot" w:pos="9016"/>
            </w:tabs>
            <w:rPr>
              <w:rFonts w:eastAsiaTheme="minorEastAsia"/>
              <w:noProof/>
              <w:lang w:eastAsia="en-IN"/>
            </w:rPr>
          </w:pPr>
          <w:hyperlink w:anchor="_Toc204893218" w:history="1">
            <w:r w:rsidRPr="004572CC">
              <w:rPr>
                <w:rStyle w:val="Hyperlink"/>
                <w:rFonts w:ascii="Times New Roman" w:hAnsi="Times New Roman" w:cs="Times New Roman"/>
                <w:b/>
                <w:bCs/>
                <w:i/>
                <w:iCs/>
                <w:noProof/>
              </w:rPr>
              <w:t>1. Introduction</w:t>
            </w:r>
            <w:r>
              <w:rPr>
                <w:noProof/>
                <w:webHidden/>
              </w:rPr>
              <w:tab/>
            </w:r>
            <w:r>
              <w:rPr>
                <w:noProof/>
                <w:webHidden/>
              </w:rPr>
              <w:fldChar w:fldCharType="begin"/>
            </w:r>
            <w:r>
              <w:rPr>
                <w:noProof/>
                <w:webHidden/>
              </w:rPr>
              <w:instrText xml:space="preserve"> PAGEREF _Toc204893218 \h </w:instrText>
            </w:r>
            <w:r>
              <w:rPr>
                <w:noProof/>
                <w:webHidden/>
              </w:rPr>
            </w:r>
            <w:r>
              <w:rPr>
                <w:noProof/>
                <w:webHidden/>
              </w:rPr>
              <w:fldChar w:fldCharType="separate"/>
            </w:r>
            <w:r>
              <w:rPr>
                <w:noProof/>
                <w:webHidden/>
              </w:rPr>
              <w:t>4</w:t>
            </w:r>
            <w:r>
              <w:rPr>
                <w:noProof/>
                <w:webHidden/>
              </w:rPr>
              <w:fldChar w:fldCharType="end"/>
            </w:r>
          </w:hyperlink>
        </w:p>
        <w:p w14:paraId="3C071EEE" w14:textId="72785EF3" w:rsidR="004A24CB" w:rsidRDefault="004A24CB">
          <w:pPr>
            <w:pStyle w:val="TOC1"/>
            <w:tabs>
              <w:tab w:val="right" w:leader="dot" w:pos="9016"/>
            </w:tabs>
            <w:rPr>
              <w:rFonts w:eastAsiaTheme="minorEastAsia"/>
              <w:noProof/>
              <w:lang w:eastAsia="en-IN"/>
            </w:rPr>
          </w:pPr>
          <w:hyperlink w:anchor="_Toc204893219" w:history="1">
            <w:r w:rsidRPr="004572CC">
              <w:rPr>
                <w:rStyle w:val="Hyperlink"/>
                <w:rFonts w:ascii="Times New Roman" w:hAnsi="Times New Roman" w:cs="Times New Roman"/>
                <w:b/>
                <w:bCs/>
                <w:noProof/>
              </w:rPr>
              <w:t>2. FMEA Table &amp; Analysis: Pfizer–BioNTech COVID-19 Vaccine Supply Chain</w:t>
            </w:r>
            <w:r>
              <w:rPr>
                <w:noProof/>
                <w:webHidden/>
              </w:rPr>
              <w:tab/>
            </w:r>
            <w:r>
              <w:rPr>
                <w:noProof/>
                <w:webHidden/>
              </w:rPr>
              <w:fldChar w:fldCharType="begin"/>
            </w:r>
            <w:r>
              <w:rPr>
                <w:noProof/>
                <w:webHidden/>
              </w:rPr>
              <w:instrText xml:space="preserve"> PAGEREF _Toc204893219 \h </w:instrText>
            </w:r>
            <w:r>
              <w:rPr>
                <w:noProof/>
                <w:webHidden/>
              </w:rPr>
            </w:r>
            <w:r>
              <w:rPr>
                <w:noProof/>
                <w:webHidden/>
              </w:rPr>
              <w:fldChar w:fldCharType="separate"/>
            </w:r>
            <w:r>
              <w:rPr>
                <w:noProof/>
                <w:webHidden/>
              </w:rPr>
              <w:t>4</w:t>
            </w:r>
            <w:r>
              <w:rPr>
                <w:noProof/>
                <w:webHidden/>
              </w:rPr>
              <w:fldChar w:fldCharType="end"/>
            </w:r>
          </w:hyperlink>
        </w:p>
        <w:p w14:paraId="783A656D" w14:textId="32B944CB" w:rsidR="004A24CB" w:rsidRDefault="004A24CB">
          <w:pPr>
            <w:pStyle w:val="TOC2"/>
            <w:tabs>
              <w:tab w:val="right" w:leader="dot" w:pos="9016"/>
            </w:tabs>
            <w:rPr>
              <w:rFonts w:eastAsiaTheme="minorEastAsia"/>
              <w:noProof/>
              <w:lang w:eastAsia="en-IN"/>
            </w:rPr>
          </w:pPr>
          <w:hyperlink w:anchor="_Toc204893220" w:history="1">
            <w:r w:rsidRPr="004572CC">
              <w:rPr>
                <w:rStyle w:val="Hyperlink"/>
                <w:rFonts w:ascii="Times New Roman" w:hAnsi="Times New Roman" w:cs="Times New Roman"/>
                <w:b/>
                <w:bCs/>
                <w:noProof/>
              </w:rPr>
              <w:t>2.1 FMEA Table for Pfizer–BioNTech Vaccine Supply Chain</w:t>
            </w:r>
            <w:r>
              <w:rPr>
                <w:noProof/>
                <w:webHidden/>
              </w:rPr>
              <w:tab/>
            </w:r>
            <w:r>
              <w:rPr>
                <w:noProof/>
                <w:webHidden/>
              </w:rPr>
              <w:fldChar w:fldCharType="begin"/>
            </w:r>
            <w:r>
              <w:rPr>
                <w:noProof/>
                <w:webHidden/>
              </w:rPr>
              <w:instrText xml:space="preserve"> PAGEREF _Toc204893220 \h </w:instrText>
            </w:r>
            <w:r>
              <w:rPr>
                <w:noProof/>
                <w:webHidden/>
              </w:rPr>
            </w:r>
            <w:r>
              <w:rPr>
                <w:noProof/>
                <w:webHidden/>
              </w:rPr>
              <w:fldChar w:fldCharType="separate"/>
            </w:r>
            <w:r>
              <w:rPr>
                <w:noProof/>
                <w:webHidden/>
              </w:rPr>
              <w:t>5</w:t>
            </w:r>
            <w:r>
              <w:rPr>
                <w:noProof/>
                <w:webHidden/>
              </w:rPr>
              <w:fldChar w:fldCharType="end"/>
            </w:r>
          </w:hyperlink>
        </w:p>
        <w:p w14:paraId="7352060C" w14:textId="39E6C225" w:rsidR="004A24CB" w:rsidRDefault="004A24CB">
          <w:pPr>
            <w:pStyle w:val="TOC2"/>
            <w:tabs>
              <w:tab w:val="right" w:leader="dot" w:pos="9016"/>
            </w:tabs>
            <w:rPr>
              <w:rFonts w:eastAsiaTheme="minorEastAsia"/>
              <w:noProof/>
              <w:lang w:eastAsia="en-IN"/>
            </w:rPr>
          </w:pPr>
          <w:hyperlink w:anchor="_Toc204893221" w:history="1">
            <w:r w:rsidRPr="004572CC">
              <w:rPr>
                <w:rStyle w:val="Hyperlink"/>
                <w:rFonts w:ascii="Times New Roman" w:hAnsi="Times New Roman" w:cs="Times New Roman"/>
                <w:b/>
                <w:bCs/>
                <w:noProof/>
              </w:rPr>
              <w:t>2.3 Risk Analysis: Severity, Patterns, and Key Takeaways</w:t>
            </w:r>
            <w:r>
              <w:rPr>
                <w:noProof/>
                <w:webHidden/>
              </w:rPr>
              <w:tab/>
            </w:r>
            <w:r>
              <w:rPr>
                <w:noProof/>
                <w:webHidden/>
              </w:rPr>
              <w:fldChar w:fldCharType="begin"/>
            </w:r>
            <w:r>
              <w:rPr>
                <w:noProof/>
                <w:webHidden/>
              </w:rPr>
              <w:instrText xml:space="preserve"> PAGEREF _Toc204893221 \h </w:instrText>
            </w:r>
            <w:r>
              <w:rPr>
                <w:noProof/>
                <w:webHidden/>
              </w:rPr>
            </w:r>
            <w:r>
              <w:rPr>
                <w:noProof/>
                <w:webHidden/>
              </w:rPr>
              <w:fldChar w:fldCharType="separate"/>
            </w:r>
            <w:r>
              <w:rPr>
                <w:noProof/>
                <w:webHidden/>
              </w:rPr>
              <w:t>6</w:t>
            </w:r>
            <w:r>
              <w:rPr>
                <w:noProof/>
                <w:webHidden/>
              </w:rPr>
              <w:fldChar w:fldCharType="end"/>
            </w:r>
          </w:hyperlink>
        </w:p>
        <w:p w14:paraId="2CBEF984" w14:textId="399D67D3" w:rsidR="004A24CB" w:rsidRDefault="004A24CB">
          <w:pPr>
            <w:pStyle w:val="TOC2"/>
            <w:tabs>
              <w:tab w:val="right" w:leader="dot" w:pos="9016"/>
            </w:tabs>
            <w:rPr>
              <w:rFonts w:eastAsiaTheme="minorEastAsia"/>
              <w:noProof/>
              <w:lang w:eastAsia="en-IN"/>
            </w:rPr>
          </w:pPr>
          <w:hyperlink w:anchor="_Toc204893222" w:history="1">
            <w:r w:rsidRPr="004572CC">
              <w:rPr>
                <w:rStyle w:val="Hyperlink"/>
                <w:rFonts w:ascii="Times New Roman" w:hAnsi="Times New Roman" w:cs="Times New Roman"/>
                <w:b/>
                <w:bCs/>
                <w:noProof/>
              </w:rPr>
              <w:t>2.4 Emerging Patterns and Resilience Insights</w:t>
            </w:r>
            <w:r>
              <w:rPr>
                <w:noProof/>
                <w:webHidden/>
              </w:rPr>
              <w:tab/>
            </w:r>
            <w:r>
              <w:rPr>
                <w:noProof/>
                <w:webHidden/>
              </w:rPr>
              <w:fldChar w:fldCharType="begin"/>
            </w:r>
            <w:r>
              <w:rPr>
                <w:noProof/>
                <w:webHidden/>
              </w:rPr>
              <w:instrText xml:space="preserve"> PAGEREF _Toc204893222 \h </w:instrText>
            </w:r>
            <w:r>
              <w:rPr>
                <w:noProof/>
                <w:webHidden/>
              </w:rPr>
            </w:r>
            <w:r>
              <w:rPr>
                <w:noProof/>
                <w:webHidden/>
              </w:rPr>
              <w:fldChar w:fldCharType="separate"/>
            </w:r>
            <w:r>
              <w:rPr>
                <w:noProof/>
                <w:webHidden/>
              </w:rPr>
              <w:t>6</w:t>
            </w:r>
            <w:r>
              <w:rPr>
                <w:noProof/>
                <w:webHidden/>
              </w:rPr>
              <w:fldChar w:fldCharType="end"/>
            </w:r>
          </w:hyperlink>
        </w:p>
        <w:p w14:paraId="3576F9DF" w14:textId="5EF487BA" w:rsidR="004A24CB" w:rsidRDefault="004A24CB">
          <w:pPr>
            <w:pStyle w:val="TOC1"/>
            <w:tabs>
              <w:tab w:val="right" w:leader="dot" w:pos="9016"/>
            </w:tabs>
            <w:rPr>
              <w:rFonts w:eastAsiaTheme="minorEastAsia"/>
              <w:noProof/>
              <w:lang w:eastAsia="en-IN"/>
            </w:rPr>
          </w:pPr>
          <w:hyperlink w:anchor="_Toc204893223" w:history="1">
            <w:r w:rsidRPr="004572CC">
              <w:rPr>
                <w:rStyle w:val="Hyperlink"/>
                <w:rFonts w:ascii="Times New Roman" w:hAnsi="Times New Roman" w:cs="Times New Roman"/>
                <w:b/>
                <w:bCs/>
                <w:noProof/>
              </w:rPr>
              <w:t>3. Six Steps Pfizer Took to Secure Its COVID-19 Vaccine Supply Chain</w:t>
            </w:r>
            <w:r>
              <w:rPr>
                <w:noProof/>
                <w:webHidden/>
              </w:rPr>
              <w:tab/>
            </w:r>
            <w:r>
              <w:rPr>
                <w:noProof/>
                <w:webHidden/>
              </w:rPr>
              <w:fldChar w:fldCharType="begin"/>
            </w:r>
            <w:r>
              <w:rPr>
                <w:noProof/>
                <w:webHidden/>
              </w:rPr>
              <w:instrText xml:space="preserve"> PAGEREF _Toc204893223 \h </w:instrText>
            </w:r>
            <w:r>
              <w:rPr>
                <w:noProof/>
                <w:webHidden/>
              </w:rPr>
            </w:r>
            <w:r>
              <w:rPr>
                <w:noProof/>
                <w:webHidden/>
              </w:rPr>
              <w:fldChar w:fldCharType="separate"/>
            </w:r>
            <w:r>
              <w:rPr>
                <w:noProof/>
                <w:webHidden/>
              </w:rPr>
              <w:t>7</w:t>
            </w:r>
            <w:r>
              <w:rPr>
                <w:noProof/>
                <w:webHidden/>
              </w:rPr>
              <w:fldChar w:fldCharType="end"/>
            </w:r>
          </w:hyperlink>
        </w:p>
        <w:p w14:paraId="305CAD57" w14:textId="573CB151" w:rsidR="004A24CB" w:rsidRDefault="004A24CB">
          <w:pPr>
            <w:pStyle w:val="TOC2"/>
            <w:tabs>
              <w:tab w:val="right" w:leader="dot" w:pos="9016"/>
            </w:tabs>
            <w:rPr>
              <w:rFonts w:eastAsiaTheme="minorEastAsia"/>
              <w:noProof/>
              <w:lang w:eastAsia="en-IN"/>
            </w:rPr>
          </w:pPr>
          <w:hyperlink w:anchor="_Toc204893224" w:history="1">
            <w:r w:rsidRPr="004572CC">
              <w:rPr>
                <w:rStyle w:val="Hyperlink"/>
                <w:rFonts w:ascii="Times New Roman" w:hAnsi="Times New Roman" w:cs="Times New Roman"/>
                <w:b/>
                <w:bCs/>
                <w:noProof/>
              </w:rPr>
              <w:t>3.1 Redundant Production Sites: Backup Facilities Across Continents</w:t>
            </w:r>
            <w:r>
              <w:rPr>
                <w:noProof/>
                <w:webHidden/>
              </w:rPr>
              <w:tab/>
            </w:r>
            <w:r>
              <w:rPr>
                <w:noProof/>
                <w:webHidden/>
              </w:rPr>
              <w:fldChar w:fldCharType="begin"/>
            </w:r>
            <w:r>
              <w:rPr>
                <w:noProof/>
                <w:webHidden/>
              </w:rPr>
              <w:instrText xml:space="preserve"> PAGEREF _Toc204893224 \h </w:instrText>
            </w:r>
            <w:r>
              <w:rPr>
                <w:noProof/>
                <w:webHidden/>
              </w:rPr>
            </w:r>
            <w:r>
              <w:rPr>
                <w:noProof/>
                <w:webHidden/>
              </w:rPr>
              <w:fldChar w:fldCharType="separate"/>
            </w:r>
            <w:r>
              <w:rPr>
                <w:noProof/>
                <w:webHidden/>
              </w:rPr>
              <w:t>7</w:t>
            </w:r>
            <w:r>
              <w:rPr>
                <w:noProof/>
                <w:webHidden/>
              </w:rPr>
              <w:fldChar w:fldCharType="end"/>
            </w:r>
          </w:hyperlink>
        </w:p>
        <w:p w14:paraId="6E72A776" w14:textId="091A95B1" w:rsidR="004A24CB" w:rsidRDefault="004A24CB">
          <w:pPr>
            <w:pStyle w:val="TOC2"/>
            <w:tabs>
              <w:tab w:val="right" w:leader="dot" w:pos="9016"/>
            </w:tabs>
            <w:rPr>
              <w:rFonts w:eastAsiaTheme="minorEastAsia"/>
              <w:noProof/>
              <w:lang w:eastAsia="en-IN"/>
            </w:rPr>
          </w:pPr>
          <w:hyperlink w:anchor="_Toc204893225" w:history="1">
            <w:r w:rsidRPr="004572CC">
              <w:rPr>
                <w:rStyle w:val="Hyperlink"/>
                <w:rFonts w:ascii="Times New Roman" w:hAnsi="Times New Roman" w:cs="Times New Roman"/>
                <w:b/>
                <w:bCs/>
                <w:noProof/>
              </w:rPr>
              <w:t>3.2 Digital Cold Chain Monitoring: Real-Time Visibility and IoT Integration</w:t>
            </w:r>
            <w:r>
              <w:rPr>
                <w:noProof/>
                <w:webHidden/>
              </w:rPr>
              <w:tab/>
            </w:r>
            <w:r>
              <w:rPr>
                <w:noProof/>
                <w:webHidden/>
              </w:rPr>
              <w:fldChar w:fldCharType="begin"/>
            </w:r>
            <w:r>
              <w:rPr>
                <w:noProof/>
                <w:webHidden/>
              </w:rPr>
              <w:instrText xml:space="preserve"> PAGEREF _Toc204893225 \h </w:instrText>
            </w:r>
            <w:r>
              <w:rPr>
                <w:noProof/>
                <w:webHidden/>
              </w:rPr>
            </w:r>
            <w:r>
              <w:rPr>
                <w:noProof/>
                <w:webHidden/>
              </w:rPr>
              <w:fldChar w:fldCharType="separate"/>
            </w:r>
            <w:r>
              <w:rPr>
                <w:noProof/>
                <w:webHidden/>
              </w:rPr>
              <w:t>8</w:t>
            </w:r>
            <w:r>
              <w:rPr>
                <w:noProof/>
                <w:webHidden/>
              </w:rPr>
              <w:fldChar w:fldCharType="end"/>
            </w:r>
          </w:hyperlink>
        </w:p>
        <w:p w14:paraId="3F8F574C" w14:textId="3CF3E821" w:rsidR="004A24CB" w:rsidRDefault="004A24CB">
          <w:pPr>
            <w:pStyle w:val="TOC2"/>
            <w:tabs>
              <w:tab w:val="right" w:leader="dot" w:pos="9016"/>
            </w:tabs>
            <w:rPr>
              <w:rFonts w:eastAsiaTheme="minorEastAsia"/>
              <w:noProof/>
              <w:lang w:eastAsia="en-IN"/>
            </w:rPr>
          </w:pPr>
          <w:hyperlink w:anchor="_Toc204893226" w:history="1">
            <w:r w:rsidRPr="004572CC">
              <w:rPr>
                <w:rStyle w:val="Hyperlink"/>
                <w:rFonts w:ascii="Times New Roman" w:hAnsi="Times New Roman" w:cs="Times New Roman"/>
                <w:b/>
                <w:bCs/>
                <w:noProof/>
              </w:rPr>
              <w:t>3.3  Strategic Government Alliances: Leveraging Military and Regulatory Partnerships</w:t>
            </w:r>
            <w:r>
              <w:rPr>
                <w:noProof/>
                <w:webHidden/>
              </w:rPr>
              <w:tab/>
            </w:r>
            <w:r>
              <w:rPr>
                <w:noProof/>
                <w:webHidden/>
              </w:rPr>
              <w:fldChar w:fldCharType="begin"/>
            </w:r>
            <w:r>
              <w:rPr>
                <w:noProof/>
                <w:webHidden/>
              </w:rPr>
              <w:instrText xml:space="preserve"> PAGEREF _Toc204893226 \h </w:instrText>
            </w:r>
            <w:r>
              <w:rPr>
                <w:noProof/>
                <w:webHidden/>
              </w:rPr>
            </w:r>
            <w:r>
              <w:rPr>
                <w:noProof/>
                <w:webHidden/>
              </w:rPr>
              <w:fldChar w:fldCharType="separate"/>
            </w:r>
            <w:r>
              <w:rPr>
                <w:noProof/>
                <w:webHidden/>
              </w:rPr>
              <w:t>9</w:t>
            </w:r>
            <w:r>
              <w:rPr>
                <w:noProof/>
                <w:webHidden/>
              </w:rPr>
              <w:fldChar w:fldCharType="end"/>
            </w:r>
          </w:hyperlink>
        </w:p>
        <w:p w14:paraId="7914DB25" w14:textId="17A5FF30" w:rsidR="004A24CB" w:rsidRDefault="004A24CB">
          <w:pPr>
            <w:pStyle w:val="TOC2"/>
            <w:tabs>
              <w:tab w:val="right" w:leader="dot" w:pos="9016"/>
            </w:tabs>
            <w:rPr>
              <w:rFonts w:eastAsiaTheme="minorEastAsia"/>
              <w:noProof/>
              <w:lang w:eastAsia="en-IN"/>
            </w:rPr>
          </w:pPr>
          <w:hyperlink w:anchor="_Toc204893227" w:history="1">
            <w:r w:rsidRPr="004572CC">
              <w:rPr>
                <w:rStyle w:val="Hyperlink"/>
                <w:rFonts w:ascii="Times New Roman" w:hAnsi="Times New Roman" w:cs="Times New Roman"/>
                <w:b/>
                <w:bCs/>
                <w:noProof/>
              </w:rPr>
              <w:t>3.4 Inventory Control of Raw Materials: Securing Critical Inputs</w:t>
            </w:r>
            <w:r>
              <w:rPr>
                <w:noProof/>
                <w:webHidden/>
              </w:rPr>
              <w:tab/>
            </w:r>
            <w:r>
              <w:rPr>
                <w:noProof/>
                <w:webHidden/>
              </w:rPr>
              <w:fldChar w:fldCharType="begin"/>
            </w:r>
            <w:r>
              <w:rPr>
                <w:noProof/>
                <w:webHidden/>
              </w:rPr>
              <w:instrText xml:space="preserve"> PAGEREF _Toc204893227 \h </w:instrText>
            </w:r>
            <w:r>
              <w:rPr>
                <w:noProof/>
                <w:webHidden/>
              </w:rPr>
            </w:r>
            <w:r>
              <w:rPr>
                <w:noProof/>
                <w:webHidden/>
              </w:rPr>
              <w:fldChar w:fldCharType="separate"/>
            </w:r>
            <w:r>
              <w:rPr>
                <w:noProof/>
                <w:webHidden/>
              </w:rPr>
              <w:t>10</w:t>
            </w:r>
            <w:r>
              <w:rPr>
                <w:noProof/>
                <w:webHidden/>
              </w:rPr>
              <w:fldChar w:fldCharType="end"/>
            </w:r>
          </w:hyperlink>
        </w:p>
        <w:p w14:paraId="302800CB" w14:textId="43C5FA18" w:rsidR="004A24CB" w:rsidRDefault="004A24CB">
          <w:pPr>
            <w:pStyle w:val="TOC2"/>
            <w:tabs>
              <w:tab w:val="right" w:leader="dot" w:pos="9016"/>
            </w:tabs>
            <w:rPr>
              <w:rFonts w:eastAsiaTheme="minorEastAsia"/>
              <w:noProof/>
              <w:lang w:eastAsia="en-IN"/>
            </w:rPr>
          </w:pPr>
          <w:hyperlink w:anchor="_Toc204893228" w:history="1">
            <w:r w:rsidRPr="004572CC">
              <w:rPr>
                <w:rStyle w:val="Hyperlink"/>
                <w:rFonts w:ascii="Times New Roman" w:hAnsi="Times New Roman" w:cs="Times New Roman"/>
                <w:b/>
                <w:bCs/>
                <w:noProof/>
              </w:rPr>
              <w:t>3.5 Scenario Testing and Rapid Deployment Plans: Preparedness Through Simulation</w:t>
            </w:r>
            <w:r>
              <w:rPr>
                <w:noProof/>
                <w:webHidden/>
              </w:rPr>
              <w:tab/>
            </w:r>
            <w:r>
              <w:rPr>
                <w:noProof/>
                <w:webHidden/>
              </w:rPr>
              <w:fldChar w:fldCharType="begin"/>
            </w:r>
            <w:r>
              <w:rPr>
                <w:noProof/>
                <w:webHidden/>
              </w:rPr>
              <w:instrText xml:space="preserve"> PAGEREF _Toc204893228 \h </w:instrText>
            </w:r>
            <w:r>
              <w:rPr>
                <w:noProof/>
                <w:webHidden/>
              </w:rPr>
            </w:r>
            <w:r>
              <w:rPr>
                <w:noProof/>
                <w:webHidden/>
              </w:rPr>
              <w:fldChar w:fldCharType="separate"/>
            </w:r>
            <w:r>
              <w:rPr>
                <w:noProof/>
                <w:webHidden/>
              </w:rPr>
              <w:t>11</w:t>
            </w:r>
            <w:r>
              <w:rPr>
                <w:noProof/>
                <w:webHidden/>
              </w:rPr>
              <w:fldChar w:fldCharType="end"/>
            </w:r>
          </w:hyperlink>
        </w:p>
        <w:p w14:paraId="09B34A62" w14:textId="48C59FB4" w:rsidR="004A24CB" w:rsidRDefault="004A24CB">
          <w:pPr>
            <w:pStyle w:val="TOC2"/>
            <w:tabs>
              <w:tab w:val="right" w:leader="dot" w:pos="9016"/>
            </w:tabs>
            <w:rPr>
              <w:rFonts w:eastAsiaTheme="minorEastAsia"/>
              <w:noProof/>
              <w:lang w:eastAsia="en-IN"/>
            </w:rPr>
          </w:pPr>
          <w:hyperlink w:anchor="_Toc204893229" w:history="1">
            <w:r w:rsidRPr="004572CC">
              <w:rPr>
                <w:rStyle w:val="Hyperlink"/>
                <w:rFonts w:ascii="Times New Roman" w:hAnsi="Times New Roman" w:cs="Times New Roman"/>
                <w:b/>
                <w:bCs/>
                <w:noProof/>
              </w:rPr>
              <w:t>3.6 Collaborative Risk Contracts: Shared Accountability with Logistics Providers</w:t>
            </w:r>
            <w:r>
              <w:rPr>
                <w:noProof/>
                <w:webHidden/>
              </w:rPr>
              <w:tab/>
            </w:r>
            <w:r>
              <w:rPr>
                <w:noProof/>
                <w:webHidden/>
              </w:rPr>
              <w:fldChar w:fldCharType="begin"/>
            </w:r>
            <w:r>
              <w:rPr>
                <w:noProof/>
                <w:webHidden/>
              </w:rPr>
              <w:instrText xml:space="preserve"> PAGEREF _Toc204893229 \h </w:instrText>
            </w:r>
            <w:r>
              <w:rPr>
                <w:noProof/>
                <w:webHidden/>
              </w:rPr>
            </w:r>
            <w:r>
              <w:rPr>
                <w:noProof/>
                <w:webHidden/>
              </w:rPr>
              <w:fldChar w:fldCharType="separate"/>
            </w:r>
            <w:r>
              <w:rPr>
                <w:noProof/>
                <w:webHidden/>
              </w:rPr>
              <w:t>11</w:t>
            </w:r>
            <w:r>
              <w:rPr>
                <w:noProof/>
                <w:webHidden/>
              </w:rPr>
              <w:fldChar w:fldCharType="end"/>
            </w:r>
          </w:hyperlink>
        </w:p>
        <w:p w14:paraId="3E3954E3" w14:textId="0EFB899F" w:rsidR="004A24CB" w:rsidRDefault="004A24CB">
          <w:pPr>
            <w:pStyle w:val="TOC2"/>
            <w:tabs>
              <w:tab w:val="right" w:leader="dot" w:pos="9016"/>
            </w:tabs>
            <w:rPr>
              <w:rFonts w:eastAsiaTheme="minorEastAsia"/>
              <w:noProof/>
              <w:lang w:eastAsia="en-IN"/>
            </w:rPr>
          </w:pPr>
          <w:hyperlink w:anchor="_Toc204893230" w:history="1">
            <w:r w:rsidRPr="004572CC">
              <w:rPr>
                <w:rStyle w:val="Hyperlink"/>
                <w:rFonts w:ascii="Times New Roman" w:hAnsi="Times New Roman" w:cs="Times New Roman"/>
                <w:b/>
                <w:bCs/>
                <w:noProof/>
              </w:rPr>
              <w:t>Future Directions</w:t>
            </w:r>
            <w:r>
              <w:rPr>
                <w:noProof/>
                <w:webHidden/>
              </w:rPr>
              <w:tab/>
            </w:r>
            <w:r>
              <w:rPr>
                <w:noProof/>
                <w:webHidden/>
              </w:rPr>
              <w:fldChar w:fldCharType="begin"/>
            </w:r>
            <w:r>
              <w:rPr>
                <w:noProof/>
                <w:webHidden/>
              </w:rPr>
              <w:instrText xml:space="preserve"> PAGEREF _Toc204893230 \h </w:instrText>
            </w:r>
            <w:r>
              <w:rPr>
                <w:noProof/>
                <w:webHidden/>
              </w:rPr>
            </w:r>
            <w:r>
              <w:rPr>
                <w:noProof/>
                <w:webHidden/>
              </w:rPr>
              <w:fldChar w:fldCharType="separate"/>
            </w:r>
            <w:r>
              <w:rPr>
                <w:noProof/>
                <w:webHidden/>
              </w:rPr>
              <w:t>12</w:t>
            </w:r>
            <w:r>
              <w:rPr>
                <w:noProof/>
                <w:webHidden/>
              </w:rPr>
              <w:fldChar w:fldCharType="end"/>
            </w:r>
          </w:hyperlink>
        </w:p>
        <w:p w14:paraId="387A66A7" w14:textId="14E2B0FC" w:rsidR="004A24CB" w:rsidRDefault="004A24CB">
          <w:pPr>
            <w:pStyle w:val="TOC1"/>
            <w:tabs>
              <w:tab w:val="right" w:leader="dot" w:pos="9016"/>
            </w:tabs>
            <w:rPr>
              <w:rFonts w:eastAsiaTheme="minorEastAsia"/>
              <w:noProof/>
              <w:lang w:eastAsia="en-IN"/>
            </w:rPr>
          </w:pPr>
          <w:hyperlink w:anchor="_Toc204893231" w:history="1">
            <w:r w:rsidRPr="004572CC">
              <w:rPr>
                <w:rStyle w:val="Hyperlink"/>
                <w:rFonts w:ascii="Times New Roman" w:hAnsi="Times New Roman" w:cs="Times New Roman"/>
                <w:b/>
                <w:bCs/>
                <w:noProof/>
              </w:rPr>
              <w:t>Conclusion &amp; Future Work</w:t>
            </w:r>
            <w:r>
              <w:rPr>
                <w:noProof/>
                <w:webHidden/>
              </w:rPr>
              <w:tab/>
            </w:r>
            <w:r>
              <w:rPr>
                <w:noProof/>
                <w:webHidden/>
              </w:rPr>
              <w:fldChar w:fldCharType="begin"/>
            </w:r>
            <w:r>
              <w:rPr>
                <w:noProof/>
                <w:webHidden/>
              </w:rPr>
              <w:instrText xml:space="preserve"> PAGEREF _Toc204893231 \h </w:instrText>
            </w:r>
            <w:r>
              <w:rPr>
                <w:noProof/>
                <w:webHidden/>
              </w:rPr>
            </w:r>
            <w:r>
              <w:rPr>
                <w:noProof/>
                <w:webHidden/>
              </w:rPr>
              <w:fldChar w:fldCharType="separate"/>
            </w:r>
            <w:r>
              <w:rPr>
                <w:noProof/>
                <w:webHidden/>
              </w:rPr>
              <w:t>13</w:t>
            </w:r>
            <w:r>
              <w:rPr>
                <w:noProof/>
                <w:webHidden/>
              </w:rPr>
              <w:fldChar w:fldCharType="end"/>
            </w:r>
          </w:hyperlink>
        </w:p>
        <w:p w14:paraId="4AC0D482" w14:textId="1003F44C" w:rsidR="004A24CB" w:rsidRDefault="004A24CB">
          <w:pPr>
            <w:pStyle w:val="TOC1"/>
            <w:tabs>
              <w:tab w:val="right" w:leader="dot" w:pos="9016"/>
            </w:tabs>
            <w:rPr>
              <w:rFonts w:eastAsiaTheme="minorEastAsia"/>
              <w:noProof/>
              <w:lang w:eastAsia="en-IN"/>
            </w:rPr>
          </w:pPr>
          <w:hyperlink w:anchor="_Toc204893232" w:history="1">
            <w:r w:rsidRPr="004572CC">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_Toc204893232 \h </w:instrText>
            </w:r>
            <w:r>
              <w:rPr>
                <w:noProof/>
                <w:webHidden/>
              </w:rPr>
            </w:r>
            <w:r>
              <w:rPr>
                <w:noProof/>
                <w:webHidden/>
              </w:rPr>
              <w:fldChar w:fldCharType="separate"/>
            </w:r>
            <w:r>
              <w:rPr>
                <w:noProof/>
                <w:webHidden/>
              </w:rPr>
              <w:t>14</w:t>
            </w:r>
            <w:r>
              <w:rPr>
                <w:noProof/>
                <w:webHidden/>
              </w:rPr>
              <w:fldChar w:fldCharType="end"/>
            </w:r>
          </w:hyperlink>
        </w:p>
        <w:p w14:paraId="1A06E42E" w14:textId="62A54FC6" w:rsidR="004A24CB" w:rsidRPr="004A24CB" w:rsidRDefault="004A24CB" w:rsidP="004A24CB">
          <w:pPr>
            <w:spacing w:line="276" w:lineRule="auto"/>
            <w:rPr>
              <w:rFonts w:ascii="Times New Roman" w:hAnsi="Times New Roman" w:cs="Times New Roman"/>
            </w:rPr>
          </w:pPr>
          <w:r w:rsidRPr="004A24CB">
            <w:rPr>
              <w:rFonts w:ascii="Times New Roman" w:hAnsi="Times New Roman" w:cs="Times New Roman"/>
              <w:b/>
              <w:bCs/>
              <w:noProof/>
            </w:rPr>
            <w:fldChar w:fldCharType="end"/>
          </w:r>
        </w:p>
      </w:sdtContent>
    </w:sdt>
    <w:p w14:paraId="07330BD6" w14:textId="77777777" w:rsidR="004A24CB" w:rsidRPr="004A24CB" w:rsidRDefault="004A24CB" w:rsidP="004A24CB">
      <w:pPr>
        <w:pStyle w:val="Heading1"/>
        <w:spacing w:line="276" w:lineRule="auto"/>
        <w:rPr>
          <w:rFonts w:ascii="Times New Roman" w:hAnsi="Times New Roman" w:cs="Times New Roman"/>
          <w:b/>
          <w:bCs/>
          <w:sz w:val="24"/>
          <w:szCs w:val="24"/>
        </w:rPr>
      </w:pPr>
    </w:p>
    <w:p w14:paraId="2A7EAD61" w14:textId="77777777" w:rsidR="004A24CB" w:rsidRPr="004A24CB" w:rsidRDefault="004A24CB" w:rsidP="004A24CB">
      <w:pPr>
        <w:spacing w:line="276" w:lineRule="auto"/>
        <w:rPr>
          <w:rFonts w:ascii="Times New Roman" w:eastAsiaTheme="majorEastAsia" w:hAnsi="Times New Roman" w:cs="Times New Roman"/>
          <w:b/>
          <w:bCs/>
          <w:i/>
          <w:iCs/>
          <w:color w:val="2F5496" w:themeColor="accent1" w:themeShade="BF"/>
        </w:rPr>
      </w:pPr>
      <w:r w:rsidRPr="004A24CB">
        <w:rPr>
          <w:rFonts w:ascii="Times New Roman" w:hAnsi="Times New Roman" w:cs="Times New Roman"/>
          <w:b/>
          <w:bCs/>
          <w:i/>
          <w:iCs/>
        </w:rPr>
        <w:br w:type="page"/>
      </w:r>
    </w:p>
    <w:p w14:paraId="53C9A549" w14:textId="4C59C245" w:rsidR="008F4A88" w:rsidRPr="004A24CB" w:rsidRDefault="008F4A88" w:rsidP="004A24CB">
      <w:pPr>
        <w:pStyle w:val="Heading1"/>
        <w:spacing w:line="276" w:lineRule="auto"/>
        <w:rPr>
          <w:rFonts w:ascii="Times New Roman" w:hAnsi="Times New Roman" w:cs="Times New Roman"/>
          <w:b/>
          <w:bCs/>
          <w:i/>
          <w:iCs/>
          <w:sz w:val="24"/>
          <w:szCs w:val="24"/>
        </w:rPr>
      </w:pPr>
      <w:bookmarkStart w:id="1" w:name="_Toc204893218"/>
      <w:r w:rsidRPr="004A24CB">
        <w:rPr>
          <w:rFonts w:ascii="Times New Roman" w:hAnsi="Times New Roman" w:cs="Times New Roman"/>
          <w:b/>
          <w:bCs/>
          <w:i/>
          <w:iCs/>
          <w:sz w:val="24"/>
          <w:szCs w:val="24"/>
        </w:rPr>
        <w:lastRenderedPageBreak/>
        <w:t xml:space="preserve">1. </w:t>
      </w:r>
      <w:r w:rsidRPr="004A24CB">
        <w:rPr>
          <w:rFonts w:ascii="Times New Roman" w:hAnsi="Times New Roman" w:cs="Times New Roman"/>
          <w:b/>
          <w:bCs/>
          <w:i/>
          <w:iCs/>
          <w:sz w:val="24"/>
          <w:szCs w:val="24"/>
        </w:rPr>
        <w:t>Introduction</w:t>
      </w:r>
      <w:bookmarkEnd w:id="1"/>
    </w:p>
    <w:p w14:paraId="79D6D2BC" w14:textId="77777777" w:rsidR="008F4A88" w:rsidRPr="004A24CB" w:rsidRDefault="008F4A88" w:rsidP="004A24CB">
      <w:pPr>
        <w:pStyle w:val="NoSpacing"/>
        <w:spacing w:line="276" w:lineRule="auto"/>
        <w:rPr>
          <w:rFonts w:ascii="Times New Roman" w:hAnsi="Times New Roman" w:cs="Times New Roman"/>
        </w:rPr>
      </w:pPr>
      <w:r w:rsidRPr="004A24CB">
        <w:rPr>
          <w:rFonts w:ascii="Times New Roman" w:hAnsi="Times New Roman" w:cs="Times New Roman"/>
        </w:rPr>
        <w:t>The arrival of COVID-19 in late 2019 triggered an unparalleled global rush to develop, manufacture, and distribute safe and effective vaccines at scale (WHO, 2022). Among the most significant breakthroughs was the Pfizer–BioNTech COVID-19 vaccine (BNT162b2), notable for both its scientific innovation—using mRNA technology—and the monumental logistical challenges it posed (Polack et al., 2020). The urgency to immunise billions worldwide upended conventional supply chain paradigms, making vaccine logistics not just a matter of efficiency, but of global public health and security (Shih, 2021).</w:t>
      </w:r>
    </w:p>
    <w:p w14:paraId="415F61BF" w14:textId="77777777" w:rsidR="008F4A88" w:rsidRPr="004A24CB" w:rsidRDefault="008F4A88" w:rsidP="004A24CB">
      <w:pPr>
        <w:pStyle w:val="NoSpacing"/>
        <w:spacing w:line="276" w:lineRule="auto"/>
        <w:rPr>
          <w:rFonts w:ascii="Times New Roman" w:hAnsi="Times New Roman" w:cs="Times New Roman"/>
        </w:rPr>
      </w:pPr>
      <w:r w:rsidRPr="004A24CB">
        <w:rPr>
          <w:rFonts w:ascii="Times New Roman" w:hAnsi="Times New Roman" w:cs="Times New Roman"/>
        </w:rPr>
        <w:t>What set Pfizer–BioNTech apart was the partnership between two firms—Pfizer, headquartered in the US, and BioNTech, based in Germany—leveraging manufacturing sites in multiple countries, notably Belgium, to achieve rapid, cross-continental vaccination (Sparrow &amp; Dart, 2021). This collaborative, multinational supply chain underscored the importance of reliability and agility, as doses had to traverse borders under ultra-cold conditions, contend with shifting regulatory landscapes, and respond to unpredictable global demand (McKinsey, 2021).</w:t>
      </w:r>
    </w:p>
    <w:p w14:paraId="0335A226" w14:textId="77777777" w:rsidR="008F4A88" w:rsidRPr="004A24CB" w:rsidRDefault="008F4A88" w:rsidP="004A24CB">
      <w:pPr>
        <w:pStyle w:val="NoSpacing"/>
        <w:spacing w:line="276" w:lineRule="auto"/>
        <w:rPr>
          <w:rFonts w:ascii="Times New Roman" w:hAnsi="Times New Roman" w:cs="Times New Roman"/>
        </w:rPr>
      </w:pPr>
      <w:r w:rsidRPr="004A24CB">
        <w:rPr>
          <w:rFonts w:ascii="Times New Roman" w:hAnsi="Times New Roman" w:cs="Times New Roman"/>
        </w:rPr>
        <w:t>However, such a complex supply chain introduced significant risks, including raw material shortages, cold chain failures, transportation disruption, and geopolitical export controls (Mollenkopf et al., 2022). Failure at any point could jeopardize not just business objectives, but millions of lives. This context underscores the critical need for structured risk identification and management.</w:t>
      </w:r>
    </w:p>
    <w:p w14:paraId="3B9A4367" w14:textId="77777777" w:rsidR="008F4A88" w:rsidRPr="004A24CB" w:rsidRDefault="008F4A88" w:rsidP="004A24CB">
      <w:pPr>
        <w:pStyle w:val="NoSpacing"/>
        <w:spacing w:line="276" w:lineRule="auto"/>
        <w:rPr>
          <w:rFonts w:ascii="Times New Roman" w:hAnsi="Times New Roman" w:cs="Times New Roman"/>
        </w:rPr>
      </w:pPr>
      <w:r w:rsidRPr="004A24CB">
        <w:rPr>
          <w:rFonts w:ascii="Times New Roman" w:hAnsi="Times New Roman" w:cs="Times New Roman"/>
        </w:rPr>
        <w:t>In this assignment, I will systematically analyse the failure modes associated with the Pfizer–BioNTech vaccine supply chain using Failure Modes and Effects Analysis (FMEA)—a methodology emphasising risk prioritisation and process evaluation (Stamatis, 2003). Building upon this, I will develop resilience strategies tailored to the case, demonstrating how pharmaceutical supply chains can be made robust in the face of future disruptions.</w:t>
      </w:r>
    </w:p>
    <w:p w14:paraId="144027B8" w14:textId="77777777" w:rsidR="008F4A88" w:rsidRPr="004A24CB" w:rsidRDefault="008F4A88" w:rsidP="004A24CB">
      <w:pPr>
        <w:pStyle w:val="NoSpacing"/>
        <w:spacing w:line="276" w:lineRule="auto"/>
        <w:rPr>
          <w:rFonts w:ascii="Times New Roman" w:hAnsi="Times New Roman" w:cs="Times New Roman"/>
        </w:rPr>
      </w:pPr>
    </w:p>
    <w:p w14:paraId="53E974E3" w14:textId="77777777" w:rsidR="008F4A88" w:rsidRPr="004A24CB" w:rsidRDefault="008F4A88" w:rsidP="004A24CB">
      <w:pPr>
        <w:pStyle w:val="NoSpacing"/>
        <w:spacing w:line="276" w:lineRule="auto"/>
        <w:rPr>
          <w:rFonts w:ascii="Times New Roman" w:hAnsi="Times New Roman" w:cs="Times New Roman"/>
        </w:rPr>
      </w:pPr>
    </w:p>
    <w:p w14:paraId="5C7A8285" w14:textId="77777777" w:rsidR="008F4A88" w:rsidRPr="004A24CB" w:rsidRDefault="008F4A88" w:rsidP="004A24CB">
      <w:pPr>
        <w:pStyle w:val="Heading1"/>
        <w:spacing w:line="276" w:lineRule="auto"/>
        <w:rPr>
          <w:rFonts w:ascii="Times New Roman" w:hAnsi="Times New Roman" w:cs="Times New Roman"/>
          <w:b/>
          <w:bCs/>
          <w:sz w:val="24"/>
          <w:szCs w:val="24"/>
        </w:rPr>
      </w:pPr>
      <w:bookmarkStart w:id="2" w:name="_Toc204893219"/>
      <w:r w:rsidRPr="004A24CB">
        <w:rPr>
          <w:rFonts w:ascii="Times New Roman" w:hAnsi="Times New Roman" w:cs="Times New Roman"/>
          <w:b/>
          <w:bCs/>
          <w:sz w:val="24"/>
          <w:szCs w:val="24"/>
        </w:rPr>
        <w:t>2. FMEA Table &amp; Analysis: Pfizer–BioNTech COVID-19 Vaccine Supply Chain</w:t>
      </w:r>
      <w:bookmarkEnd w:id="2"/>
    </w:p>
    <w:p w14:paraId="62EE0095" w14:textId="77777777" w:rsidR="008F4A88" w:rsidRPr="004A24CB"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The Pfizer–BioNTech vaccine supply chain represents one of the most ambitious and complex logistical undertakings in modern history, operating under immense pressure and global scrutiny (McKinsey &amp; Company, 2021; Mollenkopf et al., 2022). Unlike traditional pharmaceutical supply chains, it had to manage unprecedented global scale, urgency, and technical complexity. This section presents a Failure Modes and Effects Analysis (FMEA) table to identify key risks, examine their potential impacts and causes, and outline strategies for mitigation. The table is followed by a critical analysis exploring which risks pose the greatest threat, what patterns emerge, and how these insights inform supply chain resilience.</w:t>
      </w:r>
    </w:p>
    <w:p w14:paraId="7A61D402" w14:textId="77777777" w:rsidR="008F4A88" w:rsidRPr="004A24CB" w:rsidRDefault="008F4A88" w:rsidP="004A24CB">
      <w:pPr>
        <w:pStyle w:val="NoSpacing"/>
        <w:spacing w:line="276" w:lineRule="auto"/>
        <w:rPr>
          <w:rFonts w:ascii="Times New Roman" w:hAnsi="Times New Roman" w:cs="Times New Roman"/>
        </w:rPr>
      </w:pPr>
    </w:p>
    <w:p w14:paraId="65B19FFF" w14:textId="77777777" w:rsidR="008F4A88" w:rsidRPr="004A24CB" w:rsidRDefault="008F4A88" w:rsidP="004A24CB">
      <w:pPr>
        <w:pStyle w:val="NoSpacing"/>
        <w:spacing w:line="276" w:lineRule="auto"/>
        <w:rPr>
          <w:rFonts w:ascii="Times New Roman" w:hAnsi="Times New Roman" w:cs="Times New Roman"/>
        </w:rPr>
      </w:pPr>
    </w:p>
    <w:p w14:paraId="2DBC574B" w14:textId="77777777" w:rsidR="008F4A88" w:rsidRPr="004A24CB" w:rsidRDefault="008F4A88" w:rsidP="004A24CB">
      <w:pPr>
        <w:pStyle w:val="NoSpacing"/>
        <w:spacing w:line="276" w:lineRule="auto"/>
        <w:rPr>
          <w:rFonts w:ascii="Times New Roman" w:hAnsi="Times New Roman" w:cs="Times New Roman"/>
        </w:rPr>
      </w:pPr>
    </w:p>
    <w:p w14:paraId="63F12C30" w14:textId="77777777" w:rsidR="008F4A88" w:rsidRPr="004A24CB" w:rsidRDefault="008F4A88" w:rsidP="004A24CB">
      <w:pPr>
        <w:pStyle w:val="NoSpacing"/>
        <w:spacing w:line="276" w:lineRule="auto"/>
        <w:rPr>
          <w:rFonts w:ascii="Times New Roman" w:hAnsi="Times New Roman" w:cs="Times New Roman"/>
        </w:rPr>
      </w:pPr>
    </w:p>
    <w:p w14:paraId="4925EEEF" w14:textId="77777777" w:rsidR="008F4A88" w:rsidRPr="004A24CB" w:rsidRDefault="008F4A88" w:rsidP="004A24CB">
      <w:pPr>
        <w:pStyle w:val="NoSpacing"/>
        <w:spacing w:line="276" w:lineRule="auto"/>
        <w:rPr>
          <w:rFonts w:ascii="Times New Roman" w:hAnsi="Times New Roman" w:cs="Times New Roman"/>
        </w:rPr>
      </w:pPr>
    </w:p>
    <w:p w14:paraId="35AAD5A6" w14:textId="77777777" w:rsidR="008F4A88" w:rsidRPr="004A24CB" w:rsidRDefault="008F4A88" w:rsidP="004A24CB">
      <w:pPr>
        <w:pStyle w:val="NoSpacing"/>
        <w:spacing w:line="276" w:lineRule="auto"/>
        <w:rPr>
          <w:rFonts w:ascii="Times New Roman" w:hAnsi="Times New Roman" w:cs="Times New Roman"/>
        </w:rPr>
      </w:pPr>
    </w:p>
    <w:p w14:paraId="3BBFEEE7" w14:textId="77777777" w:rsidR="008F4A88" w:rsidRPr="004A24CB" w:rsidRDefault="008F4A88" w:rsidP="004A24CB">
      <w:pPr>
        <w:pStyle w:val="NoSpacing"/>
        <w:spacing w:line="276" w:lineRule="auto"/>
        <w:rPr>
          <w:rFonts w:ascii="Times New Roman" w:hAnsi="Times New Roman" w:cs="Times New Roman"/>
        </w:rPr>
      </w:pPr>
    </w:p>
    <w:p w14:paraId="34D344A6" w14:textId="77777777" w:rsidR="008F4A88" w:rsidRPr="004A24CB" w:rsidRDefault="008F4A88" w:rsidP="004A24CB">
      <w:pPr>
        <w:pStyle w:val="NoSpacing"/>
        <w:spacing w:line="276" w:lineRule="auto"/>
        <w:rPr>
          <w:rFonts w:ascii="Times New Roman" w:hAnsi="Times New Roman" w:cs="Times New Roman"/>
        </w:rPr>
      </w:pPr>
    </w:p>
    <w:p w14:paraId="41B944A1" w14:textId="77777777" w:rsidR="008F4A88" w:rsidRPr="008F4A88" w:rsidRDefault="008F4A88" w:rsidP="004A24CB">
      <w:pPr>
        <w:pStyle w:val="NoSpacing"/>
        <w:spacing w:line="276" w:lineRule="auto"/>
        <w:rPr>
          <w:rFonts w:ascii="Times New Roman" w:hAnsi="Times New Roman" w:cs="Times New Roman"/>
        </w:rPr>
      </w:pPr>
    </w:p>
    <w:p w14:paraId="5F992CEB" w14:textId="1B727FD2" w:rsidR="008F4A88" w:rsidRPr="004A24CB" w:rsidRDefault="008F4A88" w:rsidP="004A24CB">
      <w:pPr>
        <w:pStyle w:val="Heading2"/>
        <w:spacing w:line="276" w:lineRule="auto"/>
        <w:rPr>
          <w:rFonts w:ascii="Times New Roman" w:hAnsi="Times New Roman" w:cs="Times New Roman"/>
          <w:b/>
          <w:bCs/>
          <w:sz w:val="24"/>
          <w:szCs w:val="24"/>
        </w:rPr>
      </w:pPr>
      <w:bookmarkStart w:id="3" w:name="_Toc204893220"/>
      <w:r w:rsidRPr="004A24CB">
        <w:rPr>
          <w:rFonts w:ascii="Times New Roman" w:hAnsi="Times New Roman" w:cs="Times New Roman"/>
          <w:b/>
          <w:bCs/>
          <w:sz w:val="24"/>
          <w:szCs w:val="24"/>
        </w:rPr>
        <w:t xml:space="preserve">2.1 </w:t>
      </w:r>
      <w:r w:rsidRPr="004A24CB">
        <w:rPr>
          <w:rFonts w:ascii="Times New Roman" w:hAnsi="Times New Roman" w:cs="Times New Roman"/>
          <w:b/>
          <w:bCs/>
          <w:sz w:val="24"/>
          <w:szCs w:val="24"/>
        </w:rPr>
        <w:t>FMEA Table for Pfizer–BioNTech Vaccine Supply Chain</w:t>
      </w:r>
      <w:bookmarkEnd w:id="3"/>
    </w:p>
    <w:tbl>
      <w:tblPr>
        <w:tblStyle w:val="TableGrid"/>
        <w:tblW w:w="0" w:type="auto"/>
        <w:tblLook w:val="04A0" w:firstRow="1" w:lastRow="0" w:firstColumn="1" w:lastColumn="0" w:noHBand="0" w:noVBand="1"/>
      </w:tblPr>
      <w:tblGrid>
        <w:gridCol w:w="1696"/>
        <w:gridCol w:w="1908"/>
        <w:gridCol w:w="1921"/>
        <w:gridCol w:w="454"/>
        <w:gridCol w:w="401"/>
        <w:gridCol w:w="388"/>
        <w:gridCol w:w="706"/>
        <w:gridCol w:w="1542"/>
      </w:tblGrid>
      <w:tr w:rsidR="008F4A88" w:rsidRPr="008F4A88" w14:paraId="04D7D81E" w14:textId="77777777" w:rsidTr="008F4A88">
        <w:tc>
          <w:tcPr>
            <w:tcW w:w="0" w:type="auto"/>
            <w:hideMark/>
          </w:tcPr>
          <w:p w14:paraId="125D1694" w14:textId="77777777" w:rsidR="008F4A88" w:rsidRPr="008F4A88" w:rsidRDefault="008F4A88" w:rsidP="004A24CB">
            <w:pPr>
              <w:pStyle w:val="NoSpacing"/>
              <w:spacing w:line="276" w:lineRule="auto"/>
              <w:rPr>
                <w:rFonts w:ascii="Times New Roman" w:hAnsi="Times New Roman" w:cs="Times New Roman"/>
                <w:b/>
                <w:bCs/>
              </w:rPr>
            </w:pPr>
            <w:r w:rsidRPr="008F4A88">
              <w:rPr>
                <w:rFonts w:ascii="Times New Roman" w:hAnsi="Times New Roman" w:cs="Times New Roman"/>
                <w:b/>
                <w:bCs/>
              </w:rPr>
              <w:t>Failure Mode</w:t>
            </w:r>
          </w:p>
        </w:tc>
        <w:tc>
          <w:tcPr>
            <w:tcW w:w="0" w:type="auto"/>
            <w:hideMark/>
          </w:tcPr>
          <w:p w14:paraId="1837F220" w14:textId="77777777" w:rsidR="008F4A88" w:rsidRPr="008F4A88" w:rsidRDefault="008F4A88" w:rsidP="004A24CB">
            <w:pPr>
              <w:pStyle w:val="NoSpacing"/>
              <w:spacing w:line="276" w:lineRule="auto"/>
              <w:rPr>
                <w:rFonts w:ascii="Times New Roman" w:hAnsi="Times New Roman" w:cs="Times New Roman"/>
                <w:b/>
                <w:bCs/>
              </w:rPr>
            </w:pPr>
            <w:r w:rsidRPr="008F4A88">
              <w:rPr>
                <w:rFonts w:ascii="Times New Roman" w:hAnsi="Times New Roman" w:cs="Times New Roman"/>
                <w:b/>
                <w:bCs/>
              </w:rPr>
              <w:t>Effect on Supply Chain</w:t>
            </w:r>
          </w:p>
        </w:tc>
        <w:tc>
          <w:tcPr>
            <w:tcW w:w="0" w:type="auto"/>
            <w:hideMark/>
          </w:tcPr>
          <w:p w14:paraId="35507E9B" w14:textId="77777777" w:rsidR="008F4A88" w:rsidRPr="008F4A88" w:rsidRDefault="008F4A88" w:rsidP="004A24CB">
            <w:pPr>
              <w:pStyle w:val="NoSpacing"/>
              <w:spacing w:line="276" w:lineRule="auto"/>
              <w:rPr>
                <w:rFonts w:ascii="Times New Roman" w:hAnsi="Times New Roman" w:cs="Times New Roman"/>
                <w:b/>
                <w:bCs/>
              </w:rPr>
            </w:pPr>
            <w:r w:rsidRPr="008F4A88">
              <w:rPr>
                <w:rFonts w:ascii="Times New Roman" w:hAnsi="Times New Roman" w:cs="Times New Roman"/>
                <w:b/>
                <w:bCs/>
              </w:rPr>
              <w:t>Cause(s)</w:t>
            </w:r>
          </w:p>
        </w:tc>
        <w:tc>
          <w:tcPr>
            <w:tcW w:w="0" w:type="auto"/>
            <w:hideMark/>
          </w:tcPr>
          <w:p w14:paraId="6C15D700" w14:textId="77777777" w:rsidR="008F4A88" w:rsidRPr="008F4A88" w:rsidRDefault="008F4A88" w:rsidP="004A24CB">
            <w:pPr>
              <w:pStyle w:val="NoSpacing"/>
              <w:spacing w:line="276" w:lineRule="auto"/>
              <w:rPr>
                <w:rFonts w:ascii="Times New Roman" w:hAnsi="Times New Roman" w:cs="Times New Roman"/>
                <w:b/>
                <w:bCs/>
              </w:rPr>
            </w:pPr>
            <w:r w:rsidRPr="008F4A88">
              <w:rPr>
                <w:rFonts w:ascii="Times New Roman" w:hAnsi="Times New Roman" w:cs="Times New Roman"/>
                <w:b/>
                <w:bCs/>
              </w:rPr>
              <w:t>S</w:t>
            </w:r>
          </w:p>
        </w:tc>
        <w:tc>
          <w:tcPr>
            <w:tcW w:w="0" w:type="auto"/>
            <w:hideMark/>
          </w:tcPr>
          <w:p w14:paraId="1CE5FAE9" w14:textId="77777777" w:rsidR="008F4A88" w:rsidRPr="008F4A88" w:rsidRDefault="008F4A88" w:rsidP="004A24CB">
            <w:pPr>
              <w:pStyle w:val="NoSpacing"/>
              <w:spacing w:line="276" w:lineRule="auto"/>
              <w:rPr>
                <w:rFonts w:ascii="Times New Roman" w:hAnsi="Times New Roman" w:cs="Times New Roman"/>
                <w:b/>
                <w:bCs/>
              </w:rPr>
            </w:pPr>
            <w:r w:rsidRPr="008F4A88">
              <w:rPr>
                <w:rFonts w:ascii="Times New Roman" w:hAnsi="Times New Roman" w:cs="Times New Roman"/>
                <w:b/>
                <w:bCs/>
              </w:rPr>
              <w:t>O</w:t>
            </w:r>
          </w:p>
        </w:tc>
        <w:tc>
          <w:tcPr>
            <w:tcW w:w="0" w:type="auto"/>
            <w:hideMark/>
          </w:tcPr>
          <w:p w14:paraId="3DD7834D" w14:textId="77777777" w:rsidR="008F4A88" w:rsidRPr="008F4A88" w:rsidRDefault="008F4A88" w:rsidP="004A24CB">
            <w:pPr>
              <w:pStyle w:val="NoSpacing"/>
              <w:spacing w:line="276" w:lineRule="auto"/>
              <w:rPr>
                <w:rFonts w:ascii="Times New Roman" w:hAnsi="Times New Roman" w:cs="Times New Roman"/>
                <w:b/>
                <w:bCs/>
              </w:rPr>
            </w:pPr>
            <w:r w:rsidRPr="008F4A88">
              <w:rPr>
                <w:rFonts w:ascii="Times New Roman" w:hAnsi="Times New Roman" w:cs="Times New Roman"/>
                <w:b/>
                <w:bCs/>
              </w:rPr>
              <w:t>D</w:t>
            </w:r>
          </w:p>
        </w:tc>
        <w:tc>
          <w:tcPr>
            <w:tcW w:w="0" w:type="auto"/>
            <w:hideMark/>
          </w:tcPr>
          <w:p w14:paraId="0FD505D4" w14:textId="77777777" w:rsidR="008F4A88" w:rsidRPr="008F4A88" w:rsidRDefault="008F4A88" w:rsidP="004A24CB">
            <w:pPr>
              <w:pStyle w:val="NoSpacing"/>
              <w:spacing w:line="276" w:lineRule="auto"/>
              <w:rPr>
                <w:rFonts w:ascii="Times New Roman" w:hAnsi="Times New Roman" w:cs="Times New Roman"/>
                <w:b/>
                <w:bCs/>
              </w:rPr>
            </w:pPr>
            <w:r w:rsidRPr="008F4A88">
              <w:rPr>
                <w:rFonts w:ascii="Times New Roman" w:hAnsi="Times New Roman" w:cs="Times New Roman"/>
                <w:b/>
                <w:bCs/>
              </w:rPr>
              <w:t>RPN</w:t>
            </w:r>
          </w:p>
        </w:tc>
        <w:tc>
          <w:tcPr>
            <w:tcW w:w="0" w:type="auto"/>
            <w:hideMark/>
          </w:tcPr>
          <w:p w14:paraId="7A4D5C38" w14:textId="77777777" w:rsidR="008F4A88" w:rsidRPr="008F4A88" w:rsidRDefault="008F4A88" w:rsidP="004A24CB">
            <w:pPr>
              <w:pStyle w:val="NoSpacing"/>
              <w:spacing w:line="276" w:lineRule="auto"/>
              <w:rPr>
                <w:rFonts w:ascii="Times New Roman" w:hAnsi="Times New Roman" w:cs="Times New Roman"/>
                <w:b/>
                <w:bCs/>
              </w:rPr>
            </w:pPr>
            <w:r w:rsidRPr="008F4A88">
              <w:rPr>
                <w:rFonts w:ascii="Times New Roman" w:hAnsi="Times New Roman" w:cs="Times New Roman"/>
                <w:b/>
                <w:bCs/>
              </w:rPr>
              <w:t>Mitigation Strategies</w:t>
            </w:r>
          </w:p>
        </w:tc>
      </w:tr>
      <w:tr w:rsidR="008F4A88" w:rsidRPr="008F4A88" w14:paraId="636004FE" w14:textId="77777777" w:rsidTr="008F4A88">
        <w:tc>
          <w:tcPr>
            <w:tcW w:w="0" w:type="auto"/>
            <w:hideMark/>
          </w:tcPr>
          <w:p w14:paraId="678AAF78"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Cold chain break</w:t>
            </w:r>
          </w:p>
        </w:tc>
        <w:tc>
          <w:tcPr>
            <w:tcW w:w="0" w:type="auto"/>
            <w:hideMark/>
          </w:tcPr>
          <w:p w14:paraId="4E7A6DC1"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Vaccine spoilage</w:t>
            </w:r>
          </w:p>
        </w:tc>
        <w:tc>
          <w:tcPr>
            <w:tcW w:w="0" w:type="auto"/>
            <w:hideMark/>
          </w:tcPr>
          <w:p w14:paraId="49D152D0"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Equipment/power failure, improper handling</w:t>
            </w:r>
          </w:p>
        </w:tc>
        <w:tc>
          <w:tcPr>
            <w:tcW w:w="0" w:type="auto"/>
            <w:hideMark/>
          </w:tcPr>
          <w:p w14:paraId="7E62DD43"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10</w:t>
            </w:r>
          </w:p>
        </w:tc>
        <w:tc>
          <w:tcPr>
            <w:tcW w:w="0" w:type="auto"/>
            <w:hideMark/>
          </w:tcPr>
          <w:p w14:paraId="31CF3C2A"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5</w:t>
            </w:r>
          </w:p>
        </w:tc>
        <w:tc>
          <w:tcPr>
            <w:tcW w:w="0" w:type="auto"/>
            <w:hideMark/>
          </w:tcPr>
          <w:p w14:paraId="7643F597"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4</w:t>
            </w:r>
          </w:p>
        </w:tc>
        <w:tc>
          <w:tcPr>
            <w:tcW w:w="0" w:type="auto"/>
            <w:hideMark/>
          </w:tcPr>
          <w:p w14:paraId="283195FF"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200</w:t>
            </w:r>
          </w:p>
        </w:tc>
        <w:tc>
          <w:tcPr>
            <w:tcW w:w="0" w:type="auto"/>
            <w:hideMark/>
          </w:tcPr>
          <w:p w14:paraId="11542018"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IoT sensors, backup freezers, staff training</w:t>
            </w:r>
          </w:p>
        </w:tc>
      </w:tr>
      <w:tr w:rsidR="008F4A88" w:rsidRPr="008F4A88" w14:paraId="340ECC41" w14:textId="77777777" w:rsidTr="008F4A88">
        <w:tc>
          <w:tcPr>
            <w:tcW w:w="0" w:type="auto"/>
            <w:hideMark/>
          </w:tcPr>
          <w:p w14:paraId="75AC8107"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Raw material shortage</w:t>
            </w:r>
          </w:p>
        </w:tc>
        <w:tc>
          <w:tcPr>
            <w:tcW w:w="0" w:type="auto"/>
            <w:hideMark/>
          </w:tcPr>
          <w:p w14:paraId="75DED3F0"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Production delay</w:t>
            </w:r>
          </w:p>
        </w:tc>
        <w:tc>
          <w:tcPr>
            <w:tcW w:w="0" w:type="auto"/>
            <w:hideMark/>
          </w:tcPr>
          <w:p w14:paraId="00759BB2"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Lipid nanoparticle scarcity, API bottlenecks</w:t>
            </w:r>
          </w:p>
        </w:tc>
        <w:tc>
          <w:tcPr>
            <w:tcW w:w="0" w:type="auto"/>
            <w:hideMark/>
          </w:tcPr>
          <w:p w14:paraId="3AE2B8BB"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9</w:t>
            </w:r>
          </w:p>
        </w:tc>
        <w:tc>
          <w:tcPr>
            <w:tcW w:w="0" w:type="auto"/>
            <w:hideMark/>
          </w:tcPr>
          <w:p w14:paraId="26D5B933"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6</w:t>
            </w:r>
          </w:p>
        </w:tc>
        <w:tc>
          <w:tcPr>
            <w:tcW w:w="0" w:type="auto"/>
            <w:hideMark/>
          </w:tcPr>
          <w:p w14:paraId="702EA19B"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5</w:t>
            </w:r>
          </w:p>
        </w:tc>
        <w:tc>
          <w:tcPr>
            <w:tcW w:w="0" w:type="auto"/>
            <w:hideMark/>
          </w:tcPr>
          <w:p w14:paraId="47FAAD78"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270</w:t>
            </w:r>
          </w:p>
        </w:tc>
        <w:tc>
          <w:tcPr>
            <w:tcW w:w="0" w:type="auto"/>
            <w:hideMark/>
          </w:tcPr>
          <w:p w14:paraId="76DDBFAA"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Multi-sourcing, strategic stockpiles</w:t>
            </w:r>
          </w:p>
        </w:tc>
      </w:tr>
      <w:tr w:rsidR="008F4A88" w:rsidRPr="008F4A88" w14:paraId="307F3AB9" w14:textId="77777777" w:rsidTr="008F4A88">
        <w:tc>
          <w:tcPr>
            <w:tcW w:w="0" w:type="auto"/>
            <w:hideMark/>
          </w:tcPr>
          <w:p w14:paraId="36BE97E1"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Border/export restrictions</w:t>
            </w:r>
          </w:p>
        </w:tc>
        <w:tc>
          <w:tcPr>
            <w:tcW w:w="0" w:type="auto"/>
            <w:hideMark/>
          </w:tcPr>
          <w:p w14:paraId="48D56A67"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Delivery delays</w:t>
            </w:r>
          </w:p>
        </w:tc>
        <w:tc>
          <w:tcPr>
            <w:tcW w:w="0" w:type="auto"/>
            <w:hideMark/>
          </w:tcPr>
          <w:p w14:paraId="3E5FDF30"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Regulatory changes, trade policy shifts</w:t>
            </w:r>
          </w:p>
        </w:tc>
        <w:tc>
          <w:tcPr>
            <w:tcW w:w="0" w:type="auto"/>
            <w:hideMark/>
          </w:tcPr>
          <w:p w14:paraId="7F02123F"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8</w:t>
            </w:r>
          </w:p>
        </w:tc>
        <w:tc>
          <w:tcPr>
            <w:tcW w:w="0" w:type="auto"/>
            <w:hideMark/>
          </w:tcPr>
          <w:p w14:paraId="0D82E49D"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5</w:t>
            </w:r>
          </w:p>
        </w:tc>
        <w:tc>
          <w:tcPr>
            <w:tcW w:w="0" w:type="auto"/>
            <w:hideMark/>
          </w:tcPr>
          <w:p w14:paraId="718919E6"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6</w:t>
            </w:r>
          </w:p>
        </w:tc>
        <w:tc>
          <w:tcPr>
            <w:tcW w:w="0" w:type="auto"/>
            <w:hideMark/>
          </w:tcPr>
          <w:p w14:paraId="33B3759B"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240</w:t>
            </w:r>
          </w:p>
        </w:tc>
        <w:tc>
          <w:tcPr>
            <w:tcW w:w="0" w:type="auto"/>
            <w:hideMark/>
          </w:tcPr>
          <w:p w14:paraId="06B38844"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Advance contracts, diplomatic engagement</w:t>
            </w:r>
          </w:p>
        </w:tc>
      </w:tr>
      <w:tr w:rsidR="008F4A88" w:rsidRPr="008F4A88" w14:paraId="74EEBC5D" w14:textId="77777777" w:rsidTr="008F4A88">
        <w:tc>
          <w:tcPr>
            <w:tcW w:w="0" w:type="auto"/>
            <w:hideMark/>
          </w:tcPr>
          <w:p w14:paraId="1BFC9085"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Transportation disruption</w:t>
            </w:r>
          </w:p>
        </w:tc>
        <w:tc>
          <w:tcPr>
            <w:tcW w:w="0" w:type="auto"/>
            <w:hideMark/>
          </w:tcPr>
          <w:p w14:paraId="4340F277"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Missed deliveries</w:t>
            </w:r>
          </w:p>
        </w:tc>
        <w:tc>
          <w:tcPr>
            <w:tcW w:w="0" w:type="auto"/>
            <w:hideMark/>
          </w:tcPr>
          <w:p w14:paraId="2DA2A941"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Weather events, logistics provider failures</w:t>
            </w:r>
          </w:p>
        </w:tc>
        <w:tc>
          <w:tcPr>
            <w:tcW w:w="0" w:type="auto"/>
            <w:hideMark/>
          </w:tcPr>
          <w:p w14:paraId="5443FD47"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8</w:t>
            </w:r>
          </w:p>
        </w:tc>
        <w:tc>
          <w:tcPr>
            <w:tcW w:w="0" w:type="auto"/>
            <w:hideMark/>
          </w:tcPr>
          <w:p w14:paraId="4F585E64"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4</w:t>
            </w:r>
          </w:p>
        </w:tc>
        <w:tc>
          <w:tcPr>
            <w:tcW w:w="0" w:type="auto"/>
            <w:hideMark/>
          </w:tcPr>
          <w:p w14:paraId="0C29F4C1"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4</w:t>
            </w:r>
          </w:p>
        </w:tc>
        <w:tc>
          <w:tcPr>
            <w:tcW w:w="0" w:type="auto"/>
            <w:hideMark/>
          </w:tcPr>
          <w:p w14:paraId="409F3C19"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128</w:t>
            </w:r>
          </w:p>
        </w:tc>
        <w:tc>
          <w:tcPr>
            <w:tcW w:w="0" w:type="auto"/>
            <w:hideMark/>
          </w:tcPr>
          <w:p w14:paraId="37D15676"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Contingency routing, multimodal logistics</w:t>
            </w:r>
          </w:p>
        </w:tc>
      </w:tr>
      <w:tr w:rsidR="008F4A88" w:rsidRPr="008F4A88" w14:paraId="05020358" w14:textId="77777777" w:rsidTr="008F4A88">
        <w:tc>
          <w:tcPr>
            <w:tcW w:w="0" w:type="auto"/>
            <w:hideMark/>
          </w:tcPr>
          <w:p w14:paraId="05BD3147"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Data/cyber breach</w:t>
            </w:r>
          </w:p>
        </w:tc>
        <w:tc>
          <w:tcPr>
            <w:tcW w:w="0" w:type="auto"/>
            <w:hideMark/>
          </w:tcPr>
          <w:p w14:paraId="46181D13"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Supply interruption</w:t>
            </w:r>
          </w:p>
        </w:tc>
        <w:tc>
          <w:tcPr>
            <w:tcW w:w="0" w:type="auto"/>
            <w:hideMark/>
          </w:tcPr>
          <w:p w14:paraId="26204928"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Hacking, ransomware</w:t>
            </w:r>
          </w:p>
        </w:tc>
        <w:tc>
          <w:tcPr>
            <w:tcW w:w="0" w:type="auto"/>
            <w:hideMark/>
          </w:tcPr>
          <w:p w14:paraId="3FA3428C"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8</w:t>
            </w:r>
          </w:p>
        </w:tc>
        <w:tc>
          <w:tcPr>
            <w:tcW w:w="0" w:type="auto"/>
            <w:hideMark/>
          </w:tcPr>
          <w:p w14:paraId="753CC57B"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3</w:t>
            </w:r>
          </w:p>
        </w:tc>
        <w:tc>
          <w:tcPr>
            <w:tcW w:w="0" w:type="auto"/>
            <w:hideMark/>
          </w:tcPr>
          <w:p w14:paraId="3770EA9B"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4</w:t>
            </w:r>
          </w:p>
        </w:tc>
        <w:tc>
          <w:tcPr>
            <w:tcW w:w="0" w:type="auto"/>
            <w:hideMark/>
          </w:tcPr>
          <w:p w14:paraId="01E51DF2"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96</w:t>
            </w:r>
          </w:p>
        </w:tc>
        <w:tc>
          <w:tcPr>
            <w:tcW w:w="0" w:type="auto"/>
            <w:hideMark/>
          </w:tcPr>
          <w:p w14:paraId="4DBA7407"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Robust cybersecurity, regular system audits</w:t>
            </w:r>
          </w:p>
        </w:tc>
      </w:tr>
      <w:tr w:rsidR="008F4A88" w:rsidRPr="008F4A88" w14:paraId="391658AE" w14:textId="77777777" w:rsidTr="008F4A88">
        <w:tc>
          <w:tcPr>
            <w:tcW w:w="0" w:type="auto"/>
            <w:hideMark/>
          </w:tcPr>
          <w:p w14:paraId="3947066F"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Staff shortage/illness</w:t>
            </w:r>
          </w:p>
        </w:tc>
        <w:tc>
          <w:tcPr>
            <w:tcW w:w="0" w:type="auto"/>
            <w:hideMark/>
          </w:tcPr>
          <w:p w14:paraId="74CEA464"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Reduced throughput</w:t>
            </w:r>
          </w:p>
        </w:tc>
        <w:tc>
          <w:tcPr>
            <w:tcW w:w="0" w:type="auto"/>
            <w:hideMark/>
          </w:tcPr>
          <w:p w14:paraId="368588E3"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Pandemic-related absenteeism</w:t>
            </w:r>
          </w:p>
        </w:tc>
        <w:tc>
          <w:tcPr>
            <w:tcW w:w="0" w:type="auto"/>
            <w:hideMark/>
          </w:tcPr>
          <w:p w14:paraId="3BE15058"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7</w:t>
            </w:r>
          </w:p>
        </w:tc>
        <w:tc>
          <w:tcPr>
            <w:tcW w:w="0" w:type="auto"/>
            <w:hideMark/>
          </w:tcPr>
          <w:p w14:paraId="4DD41EAD"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5</w:t>
            </w:r>
          </w:p>
        </w:tc>
        <w:tc>
          <w:tcPr>
            <w:tcW w:w="0" w:type="auto"/>
            <w:hideMark/>
          </w:tcPr>
          <w:p w14:paraId="5DA9C377"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5</w:t>
            </w:r>
          </w:p>
        </w:tc>
        <w:tc>
          <w:tcPr>
            <w:tcW w:w="0" w:type="auto"/>
            <w:hideMark/>
          </w:tcPr>
          <w:p w14:paraId="54BC864B"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175</w:t>
            </w:r>
          </w:p>
        </w:tc>
        <w:tc>
          <w:tcPr>
            <w:tcW w:w="0" w:type="auto"/>
            <w:hideMark/>
          </w:tcPr>
          <w:p w14:paraId="5F78D1D2"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 xml:space="preserve">Cross-training, flexible </w:t>
            </w:r>
            <w:proofErr w:type="spellStart"/>
            <w:r w:rsidRPr="008F4A88">
              <w:rPr>
                <w:rFonts w:ascii="Times New Roman" w:hAnsi="Times New Roman" w:cs="Times New Roman"/>
              </w:rPr>
              <w:t>labor</w:t>
            </w:r>
            <w:proofErr w:type="spellEnd"/>
            <w:r w:rsidRPr="008F4A88">
              <w:rPr>
                <w:rFonts w:ascii="Times New Roman" w:hAnsi="Times New Roman" w:cs="Times New Roman"/>
              </w:rPr>
              <w:t xml:space="preserve"> contracts</w:t>
            </w:r>
          </w:p>
        </w:tc>
      </w:tr>
      <w:tr w:rsidR="008F4A88" w:rsidRPr="008F4A88" w14:paraId="6F691DE7" w14:textId="77777777" w:rsidTr="008F4A88">
        <w:tc>
          <w:tcPr>
            <w:tcW w:w="0" w:type="auto"/>
            <w:hideMark/>
          </w:tcPr>
          <w:p w14:paraId="2954DA90"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Packaging integrity failure</w:t>
            </w:r>
          </w:p>
        </w:tc>
        <w:tc>
          <w:tcPr>
            <w:tcW w:w="0" w:type="auto"/>
            <w:hideMark/>
          </w:tcPr>
          <w:p w14:paraId="37518780"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Vaccine spoilage</w:t>
            </w:r>
          </w:p>
        </w:tc>
        <w:tc>
          <w:tcPr>
            <w:tcW w:w="0" w:type="auto"/>
            <w:hideMark/>
          </w:tcPr>
          <w:p w14:paraId="4DC81463"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Material defects, poor handling</w:t>
            </w:r>
          </w:p>
        </w:tc>
        <w:tc>
          <w:tcPr>
            <w:tcW w:w="0" w:type="auto"/>
            <w:hideMark/>
          </w:tcPr>
          <w:p w14:paraId="0FC30078"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9</w:t>
            </w:r>
          </w:p>
        </w:tc>
        <w:tc>
          <w:tcPr>
            <w:tcW w:w="0" w:type="auto"/>
            <w:hideMark/>
          </w:tcPr>
          <w:p w14:paraId="46F5C1A7"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2</w:t>
            </w:r>
          </w:p>
        </w:tc>
        <w:tc>
          <w:tcPr>
            <w:tcW w:w="0" w:type="auto"/>
            <w:hideMark/>
          </w:tcPr>
          <w:p w14:paraId="5D12F723"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4</w:t>
            </w:r>
          </w:p>
        </w:tc>
        <w:tc>
          <w:tcPr>
            <w:tcW w:w="0" w:type="auto"/>
            <w:hideMark/>
          </w:tcPr>
          <w:p w14:paraId="3B9FE0E4"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72</w:t>
            </w:r>
          </w:p>
        </w:tc>
        <w:tc>
          <w:tcPr>
            <w:tcW w:w="0" w:type="auto"/>
            <w:hideMark/>
          </w:tcPr>
          <w:p w14:paraId="7F83693C"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Quality audits, supplier screening</w:t>
            </w:r>
          </w:p>
        </w:tc>
      </w:tr>
      <w:tr w:rsidR="008F4A88" w:rsidRPr="008F4A88" w14:paraId="1F46AE12" w14:textId="77777777" w:rsidTr="008F4A88">
        <w:tc>
          <w:tcPr>
            <w:tcW w:w="0" w:type="auto"/>
            <w:hideMark/>
          </w:tcPr>
          <w:p w14:paraId="2EAD118B"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Temperature alarm failure</w:t>
            </w:r>
          </w:p>
        </w:tc>
        <w:tc>
          <w:tcPr>
            <w:tcW w:w="0" w:type="auto"/>
            <w:hideMark/>
          </w:tcPr>
          <w:p w14:paraId="4086C741"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Delayed response/spoilage</w:t>
            </w:r>
          </w:p>
        </w:tc>
        <w:tc>
          <w:tcPr>
            <w:tcW w:w="0" w:type="auto"/>
            <w:hideMark/>
          </w:tcPr>
          <w:p w14:paraId="0D96E694"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Sensor malfunction, human error</w:t>
            </w:r>
          </w:p>
        </w:tc>
        <w:tc>
          <w:tcPr>
            <w:tcW w:w="0" w:type="auto"/>
            <w:hideMark/>
          </w:tcPr>
          <w:p w14:paraId="711866B2"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10</w:t>
            </w:r>
          </w:p>
        </w:tc>
        <w:tc>
          <w:tcPr>
            <w:tcW w:w="0" w:type="auto"/>
            <w:hideMark/>
          </w:tcPr>
          <w:p w14:paraId="5028BDF0"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2</w:t>
            </w:r>
          </w:p>
        </w:tc>
        <w:tc>
          <w:tcPr>
            <w:tcW w:w="0" w:type="auto"/>
            <w:hideMark/>
          </w:tcPr>
          <w:p w14:paraId="460B8305"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6</w:t>
            </w:r>
          </w:p>
        </w:tc>
        <w:tc>
          <w:tcPr>
            <w:tcW w:w="0" w:type="auto"/>
            <w:hideMark/>
          </w:tcPr>
          <w:p w14:paraId="42AE20B2"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120</w:t>
            </w:r>
          </w:p>
        </w:tc>
        <w:tc>
          <w:tcPr>
            <w:tcW w:w="0" w:type="auto"/>
            <w:hideMark/>
          </w:tcPr>
          <w:p w14:paraId="2D292A40"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Redundant alert systems, remote monitoring</w:t>
            </w:r>
          </w:p>
        </w:tc>
      </w:tr>
    </w:tbl>
    <w:p w14:paraId="7590B3B0"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b/>
          <w:bCs/>
        </w:rPr>
        <w:t>S = Severity, O = Occurrence, D = Detection; RPN = S × O × D</w:t>
      </w:r>
      <w:r w:rsidRPr="008F4A88">
        <w:rPr>
          <w:rFonts w:ascii="Times New Roman" w:hAnsi="Times New Roman" w:cs="Times New Roman"/>
        </w:rPr>
        <w:t xml:space="preserve"> (Stamatis, 2003)</w:t>
      </w:r>
    </w:p>
    <w:p w14:paraId="4B4A6E42" w14:textId="7DAD32EF" w:rsidR="008F4A88" w:rsidRPr="008F4A88" w:rsidRDefault="008F4A88" w:rsidP="004A24CB">
      <w:pPr>
        <w:pStyle w:val="NoSpacing"/>
        <w:spacing w:line="276" w:lineRule="auto"/>
        <w:rPr>
          <w:rFonts w:ascii="Times New Roman" w:hAnsi="Times New Roman" w:cs="Times New Roman"/>
        </w:rPr>
      </w:pPr>
    </w:p>
    <w:p w14:paraId="0174B59E" w14:textId="57410377" w:rsidR="008F4A88" w:rsidRPr="004A24CB" w:rsidRDefault="008F4A88" w:rsidP="004A24CB">
      <w:pPr>
        <w:pStyle w:val="Heading2"/>
        <w:spacing w:line="276" w:lineRule="auto"/>
        <w:rPr>
          <w:rFonts w:ascii="Times New Roman" w:hAnsi="Times New Roman" w:cs="Times New Roman"/>
          <w:b/>
          <w:bCs/>
          <w:sz w:val="24"/>
          <w:szCs w:val="24"/>
        </w:rPr>
      </w:pPr>
      <w:bookmarkStart w:id="4" w:name="_Toc204893221"/>
      <w:r w:rsidRPr="004A24CB">
        <w:rPr>
          <w:rFonts w:ascii="Times New Roman" w:hAnsi="Times New Roman" w:cs="Times New Roman"/>
          <w:b/>
          <w:bCs/>
          <w:sz w:val="24"/>
          <w:szCs w:val="24"/>
        </w:rPr>
        <w:lastRenderedPageBreak/>
        <w:t xml:space="preserve">2.3 </w:t>
      </w:r>
      <w:r w:rsidRPr="004A24CB">
        <w:rPr>
          <w:rFonts w:ascii="Times New Roman" w:hAnsi="Times New Roman" w:cs="Times New Roman"/>
          <w:b/>
          <w:bCs/>
          <w:sz w:val="24"/>
          <w:szCs w:val="24"/>
        </w:rPr>
        <w:t>Risk Analysis: Severity, Patterns, and Key Takeaways</w:t>
      </w:r>
      <w:bookmarkEnd w:id="4"/>
    </w:p>
    <w:p w14:paraId="7568277E"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b/>
          <w:bCs/>
        </w:rPr>
        <w:t>1. Raw Material Shortages (RPN: 270)</w:t>
      </w:r>
      <w:r w:rsidRPr="008F4A88">
        <w:rPr>
          <w:rFonts w:ascii="Times New Roman" w:hAnsi="Times New Roman" w:cs="Times New Roman"/>
        </w:rPr>
        <w:br/>
        <w:t>This emerged as the highest-priority risk. Global demand for specialized components—particularly lipid nanoparticles and mRNA precursors—exceeded supply, creating bottlenecks that could halt production entirely (Mollenkopf et al., 2022). The concentrated nature of suppliers further magnified vulnerability.</w:t>
      </w:r>
      <w:r w:rsidRPr="008F4A88">
        <w:rPr>
          <w:rFonts w:ascii="Times New Roman" w:hAnsi="Times New Roman" w:cs="Times New Roman"/>
        </w:rPr>
        <w:br/>
      </w:r>
      <w:r w:rsidRPr="008F4A88">
        <w:rPr>
          <w:rFonts w:ascii="Times New Roman" w:hAnsi="Times New Roman" w:cs="Times New Roman"/>
          <w:i/>
          <w:iCs/>
        </w:rPr>
        <w:t>Mitigation efforts</w:t>
      </w:r>
      <w:r w:rsidRPr="008F4A88">
        <w:rPr>
          <w:rFonts w:ascii="Times New Roman" w:hAnsi="Times New Roman" w:cs="Times New Roman"/>
        </w:rPr>
        <w:t xml:space="preserve"> included multi-sourcing, vertical integration, and investment in raw material stockpiles (BioNTech, 2021).</w:t>
      </w:r>
    </w:p>
    <w:p w14:paraId="37BFF659"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b/>
          <w:bCs/>
        </w:rPr>
        <w:t>2. Border and Export Restrictions (RPN: 240)</w:t>
      </w:r>
      <w:r w:rsidRPr="008F4A88">
        <w:rPr>
          <w:rFonts w:ascii="Times New Roman" w:hAnsi="Times New Roman" w:cs="Times New Roman"/>
        </w:rPr>
        <w:br/>
        <w:t xml:space="preserve">Geopolitical and regulatory factors—such as the U.S. </w:t>
      </w:r>
      <w:proofErr w:type="spellStart"/>
      <w:r w:rsidRPr="008F4A88">
        <w:rPr>
          <w:rFonts w:ascii="Times New Roman" w:hAnsi="Times New Roman" w:cs="Times New Roman"/>
        </w:rPr>
        <w:t>Defense</w:t>
      </w:r>
      <w:proofErr w:type="spellEnd"/>
      <w:r w:rsidRPr="008F4A88">
        <w:rPr>
          <w:rFonts w:ascii="Times New Roman" w:hAnsi="Times New Roman" w:cs="Times New Roman"/>
        </w:rPr>
        <w:t xml:space="preserve"> Production Act or EU export controls—disrupted cross-border vaccine shipments, despite sound logistics planning (McKinsey &amp; Company, 2021).</w:t>
      </w:r>
      <w:r w:rsidRPr="008F4A88">
        <w:rPr>
          <w:rFonts w:ascii="Times New Roman" w:hAnsi="Times New Roman" w:cs="Times New Roman"/>
        </w:rPr>
        <w:br/>
      </w:r>
      <w:r w:rsidRPr="008F4A88">
        <w:rPr>
          <w:rFonts w:ascii="Times New Roman" w:hAnsi="Times New Roman" w:cs="Times New Roman"/>
          <w:i/>
          <w:iCs/>
        </w:rPr>
        <w:t>Mitigation strategies</w:t>
      </w:r>
      <w:r w:rsidRPr="008F4A88">
        <w:rPr>
          <w:rFonts w:ascii="Times New Roman" w:hAnsi="Times New Roman" w:cs="Times New Roman"/>
        </w:rPr>
        <w:t xml:space="preserve"> involved advance purchase agreements, diplomatic coordination, and scenario planning.</w:t>
      </w:r>
    </w:p>
    <w:p w14:paraId="5A5A9729"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b/>
          <w:bCs/>
        </w:rPr>
        <w:t>3. Cold Chain Breaks (RPN: 200)</w:t>
      </w:r>
      <w:r w:rsidRPr="008F4A88">
        <w:rPr>
          <w:rFonts w:ascii="Times New Roman" w:hAnsi="Times New Roman" w:cs="Times New Roman"/>
        </w:rPr>
        <w:br/>
        <w:t>The requirement to store the vaccine at −70°C posed a well-documented challenge, with any failure risking spoilage and public trust (Polack et al., 2020).</w:t>
      </w:r>
      <w:r w:rsidRPr="008F4A88">
        <w:rPr>
          <w:rFonts w:ascii="Times New Roman" w:hAnsi="Times New Roman" w:cs="Times New Roman"/>
        </w:rPr>
        <w:br/>
      </w:r>
      <w:r w:rsidRPr="008F4A88">
        <w:rPr>
          <w:rFonts w:ascii="Times New Roman" w:hAnsi="Times New Roman" w:cs="Times New Roman"/>
          <w:i/>
          <w:iCs/>
        </w:rPr>
        <w:t>Mitigation measures</w:t>
      </w:r>
      <w:r w:rsidRPr="008F4A88">
        <w:rPr>
          <w:rFonts w:ascii="Times New Roman" w:hAnsi="Times New Roman" w:cs="Times New Roman"/>
        </w:rPr>
        <w:t xml:space="preserve"> such as real-time temperature tracking via IoT, redundant freezer systems, and comprehensive training were highly effective (Pfizer, 2021).</w:t>
      </w:r>
    </w:p>
    <w:p w14:paraId="6065F023"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b/>
          <w:bCs/>
        </w:rPr>
        <w:t>4. Staff Shortages (RPN: 175)</w:t>
      </w:r>
      <w:r w:rsidRPr="008F4A88">
        <w:rPr>
          <w:rFonts w:ascii="Times New Roman" w:hAnsi="Times New Roman" w:cs="Times New Roman"/>
        </w:rPr>
        <w:br/>
        <w:t>The pandemic itself became a risk to operations, with illness and lockdowns affecting workforce availability at critical points in the supply chain.</w:t>
      </w:r>
      <w:r w:rsidRPr="008F4A88">
        <w:rPr>
          <w:rFonts w:ascii="Times New Roman" w:hAnsi="Times New Roman" w:cs="Times New Roman"/>
        </w:rPr>
        <w:br/>
      </w:r>
      <w:r w:rsidRPr="008F4A88">
        <w:rPr>
          <w:rFonts w:ascii="Times New Roman" w:hAnsi="Times New Roman" w:cs="Times New Roman"/>
          <w:i/>
          <w:iCs/>
        </w:rPr>
        <w:t>Mitigation included</w:t>
      </w:r>
      <w:r w:rsidRPr="008F4A88">
        <w:rPr>
          <w:rFonts w:ascii="Times New Roman" w:hAnsi="Times New Roman" w:cs="Times New Roman"/>
        </w:rPr>
        <w:t xml:space="preserve"> staff cross-training, flexible scheduling, and third-party </w:t>
      </w:r>
      <w:proofErr w:type="spellStart"/>
      <w:r w:rsidRPr="008F4A88">
        <w:rPr>
          <w:rFonts w:ascii="Times New Roman" w:hAnsi="Times New Roman" w:cs="Times New Roman"/>
        </w:rPr>
        <w:t>labor</w:t>
      </w:r>
      <w:proofErr w:type="spellEnd"/>
      <w:r w:rsidRPr="008F4A88">
        <w:rPr>
          <w:rFonts w:ascii="Times New Roman" w:hAnsi="Times New Roman" w:cs="Times New Roman"/>
        </w:rPr>
        <w:t xml:space="preserve"> contracts.</w:t>
      </w:r>
    </w:p>
    <w:p w14:paraId="41BA4C4D"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b/>
          <w:bCs/>
        </w:rPr>
        <w:t>5. Transportation Disruptions (RPN: 128)</w:t>
      </w:r>
      <w:r w:rsidRPr="008F4A88">
        <w:rPr>
          <w:rFonts w:ascii="Times New Roman" w:hAnsi="Times New Roman" w:cs="Times New Roman"/>
        </w:rPr>
        <w:br/>
        <w:t>Weather events and occasional logistics errors led to delays, particularly in last-mile delivery. Although not frequent, such disruptions had high stakes due to the product’s short viability window.</w:t>
      </w:r>
      <w:r w:rsidRPr="008F4A88">
        <w:rPr>
          <w:rFonts w:ascii="Times New Roman" w:hAnsi="Times New Roman" w:cs="Times New Roman"/>
        </w:rPr>
        <w:br/>
      </w:r>
      <w:r w:rsidRPr="008F4A88">
        <w:rPr>
          <w:rFonts w:ascii="Times New Roman" w:hAnsi="Times New Roman" w:cs="Times New Roman"/>
          <w:i/>
          <w:iCs/>
        </w:rPr>
        <w:t>Response strategies</w:t>
      </w:r>
      <w:r w:rsidRPr="008F4A88">
        <w:rPr>
          <w:rFonts w:ascii="Times New Roman" w:hAnsi="Times New Roman" w:cs="Times New Roman"/>
        </w:rPr>
        <w:t xml:space="preserve"> included route diversification, multimodal transport options, and collaborative risk-sharing with logistics providers (DHL, 2021).</w:t>
      </w:r>
    </w:p>
    <w:p w14:paraId="230DFACB"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b/>
          <w:bCs/>
        </w:rPr>
        <w:t>6. Lower-Ranked Risks</w:t>
      </w:r>
      <w:r w:rsidRPr="008F4A88">
        <w:rPr>
          <w:rFonts w:ascii="Times New Roman" w:hAnsi="Times New Roman" w:cs="Times New Roman"/>
        </w:rPr>
        <w:br/>
        <w:t>While data breaches, packaging failures, and sensor alert malfunctions had lower RPNs, they still posed critical challenges if left unmanaged. Strong digital infrastructure and supplier vetting were key in containing these risks.</w:t>
      </w:r>
    </w:p>
    <w:p w14:paraId="6A5B08E6" w14:textId="1F21E011" w:rsidR="008F4A88" w:rsidRPr="008F4A88" w:rsidRDefault="008F4A88" w:rsidP="004A24CB">
      <w:pPr>
        <w:pStyle w:val="NoSpacing"/>
        <w:spacing w:line="276" w:lineRule="auto"/>
        <w:rPr>
          <w:rFonts w:ascii="Times New Roman" w:hAnsi="Times New Roman" w:cs="Times New Roman"/>
        </w:rPr>
      </w:pPr>
    </w:p>
    <w:p w14:paraId="41714083" w14:textId="45DB1E59" w:rsidR="008F4A88" w:rsidRPr="004A24CB" w:rsidRDefault="008F4A88" w:rsidP="004A24CB">
      <w:pPr>
        <w:pStyle w:val="Heading2"/>
        <w:spacing w:line="276" w:lineRule="auto"/>
        <w:rPr>
          <w:rFonts w:ascii="Times New Roman" w:hAnsi="Times New Roman" w:cs="Times New Roman"/>
          <w:b/>
          <w:bCs/>
          <w:sz w:val="24"/>
          <w:szCs w:val="24"/>
        </w:rPr>
      </w:pPr>
      <w:bookmarkStart w:id="5" w:name="_Toc204893222"/>
      <w:r w:rsidRPr="004A24CB">
        <w:rPr>
          <w:rFonts w:ascii="Times New Roman" w:hAnsi="Times New Roman" w:cs="Times New Roman"/>
          <w:b/>
          <w:bCs/>
          <w:sz w:val="24"/>
          <w:szCs w:val="24"/>
        </w:rPr>
        <w:t xml:space="preserve">2.4 </w:t>
      </w:r>
      <w:r w:rsidRPr="004A24CB">
        <w:rPr>
          <w:rFonts w:ascii="Times New Roman" w:hAnsi="Times New Roman" w:cs="Times New Roman"/>
          <w:b/>
          <w:bCs/>
          <w:sz w:val="24"/>
          <w:szCs w:val="24"/>
        </w:rPr>
        <w:t>Emerging Patterns and Resilience Insights</w:t>
      </w:r>
      <w:bookmarkEnd w:id="5"/>
    </w:p>
    <w:p w14:paraId="30C4BD14"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Several key themes surface from the FMEA:</w:t>
      </w:r>
    </w:p>
    <w:p w14:paraId="069679CB" w14:textId="77777777" w:rsidR="008F4A88" w:rsidRPr="008F4A88" w:rsidRDefault="008F4A88" w:rsidP="004A24CB">
      <w:pPr>
        <w:pStyle w:val="NoSpacing"/>
        <w:numPr>
          <w:ilvl w:val="0"/>
          <w:numId w:val="2"/>
        </w:numPr>
        <w:spacing w:line="276" w:lineRule="auto"/>
        <w:rPr>
          <w:rFonts w:ascii="Times New Roman" w:hAnsi="Times New Roman" w:cs="Times New Roman"/>
        </w:rPr>
      </w:pPr>
      <w:r w:rsidRPr="008F4A88">
        <w:rPr>
          <w:rFonts w:ascii="Times New Roman" w:hAnsi="Times New Roman" w:cs="Times New Roman"/>
          <w:b/>
          <w:bCs/>
        </w:rPr>
        <w:t>Global Interdependency:</w:t>
      </w:r>
      <w:r w:rsidRPr="008F4A88">
        <w:rPr>
          <w:rFonts w:ascii="Times New Roman" w:hAnsi="Times New Roman" w:cs="Times New Roman"/>
        </w:rPr>
        <w:t xml:space="preserve"> High-severity risks are linked to globally dispersed nodes—such as raw material sourcing in Asia, production in Europe, and distribution worldwide. A disruption in one region can ripple through the entire chain.</w:t>
      </w:r>
    </w:p>
    <w:p w14:paraId="55CB05D6" w14:textId="77777777" w:rsidR="008F4A88" w:rsidRPr="008F4A88" w:rsidRDefault="008F4A88" w:rsidP="004A24CB">
      <w:pPr>
        <w:pStyle w:val="NoSpacing"/>
        <w:numPr>
          <w:ilvl w:val="0"/>
          <w:numId w:val="2"/>
        </w:numPr>
        <w:spacing w:line="276" w:lineRule="auto"/>
        <w:rPr>
          <w:rFonts w:ascii="Times New Roman" w:hAnsi="Times New Roman" w:cs="Times New Roman"/>
        </w:rPr>
      </w:pPr>
      <w:r w:rsidRPr="008F4A88">
        <w:rPr>
          <w:rFonts w:ascii="Times New Roman" w:hAnsi="Times New Roman" w:cs="Times New Roman"/>
          <w:b/>
          <w:bCs/>
        </w:rPr>
        <w:t>Geopolitical Complexity:</w:t>
      </w:r>
      <w:r w:rsidRPr="008F4A88">
        <w:rPr>
          <w:rFonts w:ascii="Times New Roman" w:hAnsi="Times New Roman" w:cs="Times New Roman"/>
        </w:rPr>
        <w:t xml:space="preserve"> Export controls and shifting regulations are among the least predictable risks. Mitigation requires active policy engagement and contingency contracts—not just operational improvements.</w:t>
      </w:r>
    </w:p>
    <w:p w14:paraId="68ABB935" w14:textId="77777777" w:rsidR="008F4A88" w:rsidRPr="008F4A88" w:rsidRDefault="008F4A88" w:rsidP="004A24CB">
      <w:pPr>
        <w:pStyle w:val="NoSpacing"/>
        <w:numPr>
          <w:ilvl w:val="0"/>
          <w:numId w:val="2"/>
        </w:numPr>
        <w:spacing w:line="276" w:lineRule="auto"/>
        <w:rPr>
          <w:rFonts w:ascii="Times New Roman" w:hAnsi="Times New Roman" w:cs="Times New Roman"/>
        </w:rPr>
      </w:pPr>
      <w:r w:rsidRPr="008F4A88">
        <w:rPr>
          <w:rFonts w:ascii="Times New Roman" w:hAnsi="Times New Roman" w:cs="Times New Roman"/>
          <w:b/>
          <w:bCs/>
        </w:rPr>
        <w:lastRenderedPageBreak/>
        <w:t>Technology as an Enabler:</w:t>
      </w:r>
      <w:r w:rsidRPr="008F4A88">
        <w:rPr>
          <w:rFonts w:ascii="Times New Roman" w:hAnsi="Times New Roman" w:cs="Times New Roman"/>
        </w:rPr>
        <w:t xml:space="preserve"> Real-time data from cold chain monitoring and centralized dashboards improved responsiveness, minimizing spoilage risk and enhancing visibility (Pfizer, 2021).</w:t>
      </w:r>
    </w:p>
    <w:p w14:paraId="1EED179F" w14:textId="77777777" w:rsidR="008F4A88" w:rsidRPr="008F4A88" w:rsidRDefault="008F4A88" w:rsidP="004A24CB">
      <w:pPr>
        <w:pStyle w:val="NoSpacing"/>
        <w:numPr>
          <w:ilvl w:val="0"/>
          <w:numId w:val="2"/>
        </w:numPr>
        <w:spacing w:line="276" w:lineRule="auto"/>
        <w:rPr>
          <w:rFonts w:ascii="Times New Roman" w:hAnsi="Times New Roman" w:cs="Times New Roman"/>
        </w:rPr>
      </w:pPr>
      <w:r w:rsidRPr="008F4A88">
        <w:rPr>
          <w:rFonts w:ascii="Times New Roman" w:hAnsi="Times New Roman" w:cs="Times New Roman"/>
          <w:b/>
          <w:bCs/>
        </w:rPr>
        <w:t>The Human Factor:</w:t>
      </w:r>
      <w:r w:rsidRPr="008F4A88">
        <w:rPr>
          <w:rFonts w:ascii="Times New Roman" w:hAnsi="Times New Roman" w:cs="Times New Roman"/>
        </w:rPr>
        <w:t xml:space="preserve"> Workforce availability was underestimated early in the pandemic. In hindsight, a resilient supply chain requires not just digital tools but also a healthy, adaptable </w:t>
      </w:r>
      <w:proofErr w:type="spellStart"/>
      <w:r w:rsidRPr="008F4A88">
        <w:rPr>
          <w:rFonts w:ascii="Times New Roman" w:hAnsi="Times New Roman" w:cs="Times New Roman"/>
        </w:rPr>
        <w:t>labor</w:t>
      </w:r>
      <w:proofErr w:type="spellEnd"/>
      <w:r w:rsidRPr="008F4A88">
        <w:rPr>
          <w:rFonts w:ascii="Times New Roman" w:hAnsi="Times New Roman" w:cs="Times New Roman"/>
        </w:rPr>
        <w:t xml:space="preserve"> force.</w:t>
      </w:r>
    </w:p>
    <w:p w14:paraId="08B001C9" w14:textId="77777777" w:rsidR="008F4A88" w:rsidRPr="008F4A88" w:rsidRDefault="008F4A88" w:rsidP="004A24CB">
      <w:pPr>
        <w:pStyle w:val="NoSpacing"/>
        <w:numPr>
          <w:ilvl w:val="0"/>
          <w:numId w:val="2"/>
        </w:numPr>
        <w:spacing w:line="276" w:lineRule="auto"/>
        <w:rPr>
          <w:rFonts w:ascii="Times New Roman" w:hAnsi="Times New Roman" w:cs="Times New Roman"/>
        </w:rPr>
      </w:pPr>
      <w:r w:rsidRPr="008F4A88">
        <w:rPr>
          <w:rFonts w:ascii="Times New Roman" w:hAnsi="Times New Roman" w:cs="Times New Roman"/>
          <w:b/>
          <w:bCs/>
        </w:rPr>
        <w:t>“Barbell” Risk Profile:</w:t>
      </w:r>
      <w:r w:rsidRPr="008F4A88">
        <w:rPr>
          <w:rFonts w:ascii="Times New Roman" w:hAnsi="Times New Roman" w:cs="Times New Roman"/>
        </w:rPr>
        <w:t xml:space="preserve"> High risks clustered at the two ends of the chain—upstream raw materials and downstream delivery—while midstream activities like fill-finish and warehousing were relatively well-controlled.</w:t>
      </w:r>
    </w:p>
    <w:p w14:paraId="63413962" w14:textId="77777777" w:rsidR="008F4A88" w:rsidRPr="008F4A88" w:rsidRDefault="008F4A88" w:rsidP="004A24CB">
      <w:pPr>
        <w:pStyle w:val="NoSpacing"/>
        <w:numPr>
          <w:ilvl w:val="0"/>
          <w:numId w:val="2"/>
        </w:numPr>
        <w:spacing w:line="276" w:lineRule="auto"/>
        <w:rPr>
          <w:rFonts w:ascii="Times New Roman" w:hAnsi="Times New Roman" w:cs="Times New Roman"/>
        </w:rPr>
      </w:pPr>
      <w:r w:rsidRPr="008F4A88">
        <w:rPr>
          <w:rFonts w:ascii="Times New Roman" w:hAnsi="Times New Roman" w:cs="Times New Roman"/>
          <w:b/>
          <w:bCs/>
        </w:rPr>
        <w:t>Resilience Through Redundancy and Agility:</w:t>
      </w:r>
      <w:r w:rsidRPr="008F4A88">
        <w:rPr>
          <w:rFonts w:ascii="Times New Roman" w:hAnsi="Times New Roman" w:cs="Times New Roman"/>
        </w:rPr>
        <w:t xml:space="preserve"> The most successful mitigation approaches combined strategic stockpiles, digital infrastructure, modular logistics, and cross-border collaboration. These layered </w:t>
      </w:r>
      <w:proofErr w:type="spellStart"/>
      <w:r w:rsidRPr="008F4A88">
        <w:rPr>
          <w:rFonts w:ascii="Times New Roman" w:hAnsi="Times New Roman" w:cs="Times New Roman"/>
        </w:rPr>
        <w:t>defenses</w:t>
      </w:r>
      <w:proofErr w:type="spellEnd"/>
      <w:r w:rsidRPr="008F4A88">
        <w:rPr>
          <w:rFonts w:ascii="Times New Roman" w:hAnsi="Times New Roman" w:cs="Times New Roman"/>
        </w:rPr>
        <w:t xml:space="preserve"> proved essential under extreme conditions.</w:t>
      </w:r>
    </w:p>
    <w:p w14:paraId="58435BBD" w14:textId="77777777" w:rsidR="008F4A88" w:rsidRPr="008F4A88" w:rsidRDefault="008F4A88" w:rsidP="004A24CB">
      <w:pPr>
        <w:pStyle w:val="NoSpacing"/>
        <w:spacing w:line="276" w:lineRule="auto"/>
        <w:rPr>
          <w:rFonts w:ascii="Times New Roman" w:hAnsi="Times New Roman" w:cs="Times New Roman"/>
        </w:rPr>
      </w:pPr>
      <w:r w:rsidRPr="008F4A88">
        <w:rPr>
          <w:rFonts w:ascii="Times New Roman" w:hAnsi="Times New Roman" w:cs="Times New Roman"/>
        </w:rPr>
        <w:t>Overall, this FMEA analysis demonstrates the importance of combining technological, operational, and policy-level strategies to build resilience into high-stakes global supply chains.</w:t>
      </w:r>
    </w:p>
    <w:p w14:paraId="3C16D893" w14:textId="77777777" w:rsidR="008F4A88" w:rsidRPr="004A24CB" w:rsidRDefault="008F4A88" w:rsidP="004A24CB">
      <w:pPr>
        <w:pStyle w:val="NoSpacing"/>
        <w:spacing w:line="276" w:lineRule="auto"/>
        <w:rPr>
          <w:rFonts w:ascii="Times New Roman" w:hAnsi="Times New Roman" w:cs="Times New Roman"/>
        </w:rPr>
      </w:pPr>
    </w:p>
    <w:p w14:paraId="481185E0" w14:textId="216FE59F" w:rsidR="00D22A77" w:rsidRPr="004A24CB" w:rsidRDefault="00D22A77" w:rsidP="004A24CB">
      <w:pPr>
        <w:pStyle w:val="Heading1"/>
        <w:spacing w:line="276" w:lineRule="auto"/>
        <w:rPr>
          <w:rFonts w:ascii="Times New Roman" w:hAnsi="Times New Roman" w:cs="Times New Roman"/>
          <w:b/>
          <w:bCs/>
          <w:sz w:val="24"/>
          <w:szCs w:val="24"/>
        </w:rPr>
      </w:pPr>
      <w:bookmarkStart w:id="6" w:name="_Toc204893223"/>
      <w:r w:rsidRPr="004A24CB">
        <w:rPr>
          <w:rFonts w:ascii="Times New Roman" w:hAnsi="Times New Roman" w:cs="Times New Roman"/>
          <w:b/>
          <w:bCs/>
          <w:sz w:val="24"/>
          <w:szCs w:val="24"/>
        </w:rPr>
        <w:t xml:space="preserve">3. </w:t>
      </w:r>
      <w:r w:rsidRPr="004A24CB">
        <w:rPr>
          <w:rFonts w:ascii="Times New Roman" w:hAnsi="Times New Roman" w:cs="Times New Roman"/>
          <w:b/>
          <w:bCs/>
          <w:sz w:val="24"/>
          <w:szCs w:val="24"/>
        </w:rPr>
        <w:t>Six Steps Pfizer Took to Secure Its COVID-19 Vaccine Supply Chain</w:t>
      </w:r>
      <w:bookmarkEnd w:id="6"/>
    </w:p>
    <w:p w14:paraId="67B0D1DA" w14:textId="48C65023" w:rsidR="00376ABE" w:rsidRPr="004A24CB" w:rsidRDefault="00376ABE" w:rsidP="004A24CB">
      <w:pPr>
        <w:pStyle w:val="NoSpacing"/>
        <w:spacing w:line="276" w:lineRule="auto"/>
        <w:rPr>
          <w:rFonts w:ascii="Times New Roman" w:hAnsi="Times New Roman" w:cs="Times New Roman"/>
        </w:rPr>
      </w:pPr>
      <w:r w:rsidRPr="004A24CB">
        <w:rPr>
          <w:rFonts w:ascii="Times New Roman" w:hAnsi="Times New Roman" w:cs="Times New Roman"/>
        </w:rPr>
        <w:t>The unprecedented global rollout of the Pfizer–BioNTech COVID-19 vaccine required not only scientific innovation but also a reimagining of supply chain resilience. Traditional pharmaceutical logistics were ill-prepared for the scale, speed, and complexity of a pandemic response. Through a combination of operational agility, digital transformation, and unprecedented collaboration, Pfizer–BioNTech established new benchmarks for supply chain resilience (McKinsey &amp; Company, 2021). This section critically analyses six interconnected strategies that addressed specific vulnerabilities in the Pfizer–BioNTech vaccine supply chai</w:t>
      </w:r>
      <w:r w:rsidRPr="004A24CB">
        <w:rPr>
          <w:rFonts w:ascii="Times New Roman" w:hAnsi="Times New Roman" w:cs="Times New Roman"/>
        </w:rPr>
        <w:t>n.</w:t>
      </w:r>
    </w:p>
    <w:p w14:paraId="221176F1" w14:textId="77777777" w:rsidR="00376ABE" w:rsidRPr="004A24CB" w:rsidRDefault="00376ABE" w:rsidP="004A24CB">
      <w:pPr>
        <w:pStyle w:val="NoSpacing"/>
        <w:spacing w:line="276" w:lineRule="auto"/>
        <w:rPr>
          <w:rFonts w:ascii="Times New Roman" w:hAnsi="Times New Roman" w:cs="Times New Roman"/>
          <w:b/>
          <w:bCs/>
        </w:rPr>
      </w:pPr>
    </w:p>
    <w:p w14:paraId="0A5F7219" w14:textId="73D7FEE7" w:rsidR="00376ABE" w:rsidRPr="004A24CB" w:rsidRDefault="00376ABE" w:rsidP="004A24CB">
      <w:pPr>
        <w:pStyle w:val="Heading2"/>
        <w:spacing w:line="276" w:lineRule="auto"/>
        <w:rPr>
          <w:rFonts w:ascii="Times New Roman" w:hAnsi="Times New Roman" w:cs="Times New Roman"/>
          <w:b/>
          <w:bCs/>
          <w:sz w:val="24"/>
          <w:szCs w:val="24"/>
        </w:rPr>
      </w:pPr>
      <w:bookmarkStart w:id="7" w:name="_Toc204893224"/>
      <w:r w:rsidRPr="004A24CB">
        <w:rPr>
          <w:rFonts w:ascii="Times New Roman" w:hAnsi="Times New Roman" w:cs="Times New Roman"/>
          <w:b/>
          <w:bCs/>
          <w:sz w:val="24"/>
          <w:szCs w:val="24"/>
        </w:rPr>
        <w:t xml:space="preserve">3.1 </w:t>
      </w:r>
      <w:r w:rsidRPr="004A24CB">
        <w:rPr>
          <w:rFonts w:ascii="Times New Roman" w:hAnsi="Times New Roman" w:cs="Times New Roman"/>
          <w:b/>
          <w:bCs/>
          <w:sz w:val="24"/>
          <w:szCs w:val="24"/>
        </w:rPr>
        <w:t>Redundant Production Sites: Backup Facilities Across Continents</w:t>
      </w:r>
      <w:bookmarkEnd w:id="7"/>
    </w:p>
    <w:p w14:paraId="0AA8F031"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b/>
          <w:bCs/>
        </w:rPr>
        <w:t>Context and Challenge</w:t>
      </w:r>
      <w:r w:rsidRPr="00376ABE">
        <w:rPr>
          <w:rFonts w:ascii="Times New Roman" w:hAnsi="Times New Roman" w:cs="Times New Roman"/>
        </w:rPr>
        <w:br/>
        <w:t>Pharmaceutical manufacturing usually relies on centralizing production to save costs through economies of scale. But this creates a major vulnerability—if one facility goes down, the whole supply chain can be disrupted. For Pfizer–BioNTech, the challenge was twofold: they needed to scale up vaccine production incredibly fast, while also making sure that localized problems—like COVID outbreaks, political issues, or infrastructure breakdowns—wouldn’t halt the entire operation (Mollenkopf et al., 2022).</w:t>
      </w:r>
    </w:p>
    <w:p w14:paraId="0E1349BE"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b/>
          <w:bCs/>
        </w:rPr>
        <w:t>Strategy and Implementation</w:t>
      </w:r>
      <w:r w:rsidRPr="00376ABE">
        <w:rPr>
          <w:rFonts w:ascii="Times New Roman" w:hAnsi="Times New Roman" w:cs="Times New Roman"/>
        </w:rPr>
        <w:br/>
        <w:t xml:space="preserve">To tackle this, Pfizer and BioNTech set up multiple production sites spread across the US, Germany, and Belgium (BioNTech, 2021; Pfizer, 2021). This geographic redundancy meant that if one factory had to pause production, others could pick up the slack. For instance, the Kalamazoo site in the US and the </w:t>
      </w:r>
      <w:proofErr w:type="spellStart"/>
      <w:r w:rsidRPr="00376ABE">
        <w:rPr>
          <w:rFonts w:ascii="Times New Roman" w:hAnsi="Times New Roman" w:cs="Times New Roman"/>
        </w:rPr>
        <w:t>Puurs</w:t>
      </w:r>
      <w:proofErr w:type="spellEnd"/>
      <w:r w:rsidRPr="00376ABE">
        <w:rPr>
          <w:rFonts w:ascii="Times New Roman" w:hAnsi="Times New Roman" w:cs="Times New Roman"/>
        </w:rPr>
        <w:t xml:space="preserve"> plant in Belgium focused on the final formulation and packaging, while BioNTech’s German facilities handled the mRNA synthesis process </w:t>
      </w:r>
      <w:r w:rsidRPr="00376ABE">
        <w:rPr>
          <w:rFonts w:ascii="Times New Roman" w:hAnsi="Times New Roman" w:cs="Times New Roman"/>
        </w:rPr>
        <w:lastRenderedPageBreak/>
        <w:t>(Sparrow &amp; Dart, 2021). This setup not only reduced dependency on a single location but also made it easier to respond quickly to different regional demands.</w:t>
      </w:r>
    </w:p>
    <w:p w14:paraId="1500AB82" w14:textId="6DC8FACE"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 xml:space="preserve">Of course, having backup plants isn’t cheap. It means duplicating equipment, managing more complex coordination, and ensuring consistent quality across sites. But as </w:t>
      </w:r>
      <w:proofErr w:type="spellStart"/>
      <w:r w:rsidRPr="00376ABE">
        <w:rPr>
          <w:rFonts w:ascii="Times New Roman" w:hAnsi="Times New Roman" w:cs="Times New Roman"/>
        </w:rPr>
        <w:t>Sheffi</w:t>
      </w:r>
      <w:proofErr w:type="spellEnd"/>
      <w:r w:rsidRPr="00376ABE">
        <w:rPr>
          <w:rFonts w:ascii="Times New Roman" w:hAnsi="Times New Roman" w:cs="Times New Roman"/>
        </w:rPr>
        <w:t xml:space="preserve"> (2005) points out, redundancy is a key element of building supply chain resilience—it turns what could be a disaster into something manageable. Pfizer and BioNTech’s approach also reflects Christopher and Peck’s (2004) idea of a “multi-local” network, which strikes a balance between global efficiency and local responsiveness.</w:t>
      </w:r>
    </w:p>
    <w:p w14:paraId="55C05784" w14:textId="77777777" w:rsidR="00376ABE" w:rsidRPr="004A24CB"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b/>
          <w:bCs/>
        </w:rPr>
        <w:t>Evaluation</w:t>
      </w:r>
      <w:r w:rsidRPr="00376ABE">
        <w:rPr>
          <w:rFonts w:ascii="Times New Roman" w:hAnsi="Times New Roman" w:cs="Times New Roman"/>
        </w:rPr>
        <w:br/>
        <w:t>Overall, this strategy worked very well, helping Pfizer–BioNTech adapt swiftly as global needs shifted. That said, it required substantial upfront investment and continuous management effort. Looking ahead, it would be useful to study how companies can best balance the cost of redundancy with efficiency, especially in the pharmaceutical sector post-pandemic.</w:t>
      </w:r>
    </w:p>
    <w:p w14:paraId="50D1D297" w14:textId="77777777" w:rsidR="00376ABE" w:rsidRPr="00376ABE" w:rsidRDefault="00376ABE" w:rsidP="004A24CB">
      <w:pPr>
        <w:pStyle w:val="NoSpacing"/>
        <w:spacing w:line="276" w:lineRule="auto"/>
        <w:rPr>
          <w:rFonts w:ascii="Times New Roman" w:hAnsi="Times New Roman" w:cs="Times New Roman"/>
        </w:rPr>
      </w:pPr>
    </w:p>
    <w:p w14:paraId="38564D81" w14:textId="1C88BCE8" w:rsidR="00376ABE" w:rsidRPr="004A24CB" w:rsidRDefault="00376ABE" w:rsidP="004A24CB">
      <w:pPr>
        <w:pStyle w:val="Heading2"/>
        <w:spacing w:line="276" w:lineRule="auto"/>
        <w:rPr>
          <w:rFonts w:ascii="Times New Roman" w:hAnsi="Times New Roman" w:cs="Times New Roman"/>
          <w:b/>
          <w:bCs/>
          <w:sz w:val="24"/>
          <w:szCs w:val="24"/>
        </w:rPr>
      </w:pPr>
      <w:bookmarkStart w:id="8" w:name="_Toc204893225"/>
      <w:r w:rsidRPr="004A24CB">
        <w:rPr>
          <w:rFonts w:ascii="Times New Roman" w:hAnsi="Times New Roman" w:cs="Times New Roman"/>
          <w:b/>
          <w:bCs/>
          <w:sz w:val="24"/>
          <w:szCs w:val="24"/>
        </w:rPr>
        <w:t xml:space="preserve">3.2 </w:t>
      </w:r>
      <w:r w:rsidRPr="004A24CB">
        <w:rPr>
          <w:rFonts w:ascii="Times New Roman" w:hAnsi="Times New Roman" w:cs="Times New Roman"/>
          <w:b/>
          <w:bCs/>
          <w:sz w:val="24"/>
          <w:szCs w:val="24"/>
        </w:rPr>
        <w:t>Digital Cold Chain Monitoring: Real-Time Visibility and IoT Integration</w:t>
      </w:r>
      <w:bookmarkEnd w:id="8"/>
    </w:p>
    <w:p w14:paraId="61E8145E"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b/>
          <w:bCs/>
        </w:rPr>
        <w:t>Context and Challenge</w:t>
      </w:r>
      <w:r w:rsidRPr="00376ABE">
        <w:rPr>
          <w:rFonts w:ascii="Times New Roman" w:hAnsi="Times New Roman" w:cs="Times New Roman"/>
        </w:rPr>
        <w:br/>
        <w:t>The Pfizer–BioNTech COVID-19 vaccine posed a unique logistical challenge because it requires ultra-cold storage conditions, specifically around –70°C, to maintain the stability and efficacy of the mRNA (Polack et al., 2020). This temperature sensitivity made the “last mile” distribution phase particularly vulnerable, especially in regions with underdeveloped cold chain infrastructure or limited resources. Even brief temperature excursions could result in the loss of entire vaccine batches, leading to wastage, delays, and public health risks (Polack et al., 2020). Maintaining these strict temperature controls in real-world conditions, across thousands of miles and multiple handoffs, was unprecedented in scale and complexity.</w:t>
      </w:r>
    </w:p>
    <w:p w14:paraId="1F62576E"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b/>
          <w:bCs/>
        </w:rPr>
        <w:t>Strategy and Implementation</w:t>
      </w:r>
      <w:r w:rsidRPr="00376ABE">
        <w:rPr>
          <w:rFonts w:ascii="Times New Roman" w:hAnsi="Times New Roman" w:cs="Times New Roman"/>
        </w:rPr>
        <w:br/>
        <w:t>In response, Pfizer implemented a cutting-edge digital cold chain monitoring system grounded in Internet of Things (IoT) technology. Every shipment was embedded with sensors capable of tracking temperature and location in real time, transmitting this data continuously to centralized monitoring platforms (Pfizer, 2021). This setup provided end-to-end visibility over shipments, enabling Pfizer’s logistics and quality control teams to intervene proactively if any shipment risked deviating from the required temperature range. Complementing the technological deployment, Pfizer invested heavily in staff training, ensuring personnel at all stages of handling understood how to operate the system and respond to alerts promptly. Furthermore, contingency plans were developed to address equipment malfunctions, power outages, or connectivity issues, adding layers of operational robustness (Pfizer, 2021).</w:t>
      </w:r>
    </w:p>
    <w:p w14:paraId="1AC0E56A"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b/>
          <w:bCs/>
        </w:rPr>
        <w:t>Critical Analysis</w:t>
      </w:r>
      <w:r w:rsidRPr="00376ABE">
        <w:rPr>
          <w:rFonts w:ascii="Times New Roman" w:hAnsi="Times New Roman" w:cs="Times New Roman"/>
        </w:rPr>
        <w:br/>
        <w:t xml:space="preserve">The application of digital cold chain monitoring exemplifies the integration of Industry 4.0 technologies—specifically IoT, big data analytics, and real-time visibility—into pharmaceutical supply chains, which are traditionally conservative and risk-averse (Ivanov et al., 2019). Ivanov et al. (2019) highlight that such visibility tools are crucial for mitigating risks associated with complex, global supply chains, allowing firms to respond quickly to disruptions and maintain product integrity. However, the Pfizer case also underscores the </w:t>
      </w:r>
      <w:r w:rsidRPr="00376ABE">
        <w:rPr>
          <w:rFonts w:ascii="Times New Roman" w:hAnsi="Times New Roman" w:cs="Times New Roman"/>
        </w:rPr>
        <w:lastRenderedPageBreak/>
        <w:t>critical role of human factors. As DHL’s analysis of pandemic logistics shows, technology alone cannot guarantee success; it must be paired with well-trained personnel and clear operational protocols to be truly effective (DHL, 2021). The technology acts as an enabler, but human judgment and rapid decision-making remain indispensable.</w:t>
      </w:r>
    </w:p>
    <w:p w14:paraId="752DCDCD"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Moreover, the system’s reliance on continuous data transmission and cloud-based platforms introduces cybersecurity and data privacy considerations, which must be managed carefully to maintain trust and compliance (Ivanov et al., 2019). Additionally, the cost implications of deploying such sophisticated technology across a global supply chain are non-trivial, especially for smaller pharmaceutical companies or vaccines with less demanding cold chain requirements.</w:t>
      </w:r>
    </w:p>
    <w:p w14:paraId="793D1772"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b/>
          <w:bCs/>
        </w:rPr>
        <w:t>Evaluation</w:t>
      </w:r>
      <w:r w:rsidRPr="00376ABE">
        <w:rPr>
          <w:rFonts w:ascii="Times New Roman" w:hAnsi="Times New Roman" w:cs="Times New Roman"/>
        </w:rPr>
        <w:br/>
        <w:t>Overall, Pfizer’s digital cold chain monitoring significantly reduced vaccine spoilage rates and built confidence among regulators, distribution partners, and vaccine recipients, demonstrating how technological innovation can directly enhance supply chain resilience (Pfizer, 2021; Polack et al., 2020). This real-time monitoring system allowed Pfizer to address temperature excursions immediately rather than reacting after damage had occurred, thus preserving precious vaccine doses during a critical global health emergency.</w:t>
      </w:r>
    </w:p>
    <w:p w14:paraId="37B978DC"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However, these gains came with considerable investments in hardware (sensors, GPS modules), software infrastructure (monitoring platforms, data analytics), and human capital (training and contingency planning). To build on this success, future vaccine supply chains should explore the adoption of open standards for IoT devices and platforms, fostering interoperability among different technology providers and logistical partners. This would help reduce costs and streamline collaboration across borders and organizations (Ivanov et al., 2019).</w:t>
      </w:r>
    </w:p>
    <w:p w14:paraId="615E60EB"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In addition, further research could evaluate the long-term impact of digital cold chain technologies on routine pharmaceutical logistics beyond crisis conditions. Questions remain about how these systems can be scaled sustainably and integrated with other emerging technologies such as blockchain for enhanced traceability and trust.</w:t>
      </w:r>
    </w:p>
    <w:p w14:paraId="15824973" w14:textId="77777777" w:rsidR="00376ABE" w:rsidRPr="004A24CB" w:rsidRDefault="00376ABE" w:rsidP="004A24CB">
      <w:pPr>
        <w:pStyle w:val="NoSpacing"/>
        <w:spacing w:line="276" w:lineRule="auto"/>
        <w:rPr>
          <w:rFonts w:ascii="Times New Roman" w:hAnsi="Times New Roman" w:cs="Times New Roman"/>
        </w:rPr>
      </w:pPr>
    </w:p>
    <w:p w14:paraId="3353F25F" w14:textId="53827A9B" w:rsidR="00376ABE" w:rsidRPr="004A24CB" w:rsidRDefault="00376ABE" w:rsidP="004A24CB">
      <w:pPr>
        <w:pStyle w:val="Heading2"/>
        <w:spacing w:line="276" w:lineRule="auto"/>
        <w:rPr>
          <w:rFonts w:ascii="Times New Roman" w:hAnsi="Times New Roman" w:cs="Times New Roman"/>
          <w:b/>
          <w:bCs/>
          <w:sz w:val="24"/>
          <w:szCs w:val="24"/>
        </w:rPr>
      </w:pPr>
      <w:bookmarkStart w:id="9" w:name="_Toc204893226"/>
      <w:r w:rsidRPr="004A24CB">
        <w:rPr>
          <w:rFonts w:ascii="Times New Roman" w:hAnsi="Times New Roman" w:cs="Times New Roman"/>
          <w:b/>
          <w:bCs/>
          <w:sz w:val="24"/>
          <w:szCs w:val="24"/>
        </w:rPr>
        <w:t>3.</w:t>
      </w:r>
      <w:r w:rsidRPr="004A24CB">
        <w:rPr>
          <w:rFonts w:ascii="Times New Roman" w:hAnsi="Times New Roman" w:cs="Times New Roman"/>
          <w:b/>
          <w:bCs/>
          <w:sz w:val="24"/>
          <w:szCs w:val="24"/>
        </w:rPr>
        <w:t xml:space="preserve">3 </w:t>
      </w:r>
      <w:r w:rsidRPr="004A24CB">
        <w:rPr>
          <w:rFonts w:ascii="Times New Roman" w:hAnsi="Times New Roman" w:cs="Times New Roman"/>
          <w:b/>
          <w:bCs/>
          <w:sz w:val="24"/>
          <w:szCs w:val="24"/>
        </w:rPr>
        <w:t xml:space="preserve"> Strategic Government Alliances: Leveraging Military and Regulatory Partnerships</w:t>
      </w:r>
      <w:bookmarkEnd w:id="9"/>
    </w:p>
    <w:p w14:paraId="3685F08B"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Context and Challenge</w:t>
      </w:r>
    </w:p>
    <w:p w14:paraId="4B69C9A8"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The unprecedented scale and urgency of the Pfizer–BioNTech vaccine rollout quickly overwhelmed the capabilities of any single private company. Governments, with their regulatory authority, customs controls, and sometimes access to military logistics, held crucial levers that could either facilitate or obstruct the distribution effort (McKinsey &amp; Company, 2021). Navigating these levers effectively was essential to avoid bottlenecks that would delay vaccination timelines and impact public health outcomes.</w:t>
      </w:r>
    </w:p>
    <w:p w14:paraId="3469FE9C" w14:textId="77777777" w:rsidR="00376ABE" w:rsidRPr="00376ABE" w:rsidRDefault="00376ABE" w:rsidP="004A24CB">
      <w:pPr>
        <w:pStyle w:val="NoSpacing"/>
        <w:spacing w:line="276" w:lineRule="auto"/>
        <w:rPr>
          <w:rFonts w:ascii="Times New Roman" w:hAnsi="Times New Roman" w:cs="Times New Roman"/>
        </w:rPr>
      </w:pPr>
    </w:p>
    <w:p w14:paraId="61597293"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Strategy and Implementation</w:t>
      </w:r>
    </w:p>
    <w:p w14:paraId="3F8D4B51"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 xml:space="preserve">Pfizer’s collaboration with government entities was exemplified by its engagement with the US Operation Warp Speed program. This partnership granted access to military logistical support, enabling priority transport, warehousing, and distribution channels that would be unavailable through commercial networks alone (Slaoui &amp; Hepburn, 2021). In Europe, </w:t>
      </w:r>
      <w:r w:rsidRPr="00376ABE">
        <w:rPr>
          <w:rFonts w:ascii="Times New Roman" w:hAnsi="Times New Roman" w:cs="Times New Roman"/>
        </w:rPr>
        <w:lastRenderedPageBreak/>
        <w:t>accelerated regulatory reviews shortened the time to approval, while harmonized customs procedures reduced delays at borders—both crucial to ensuring timely delivery to diverse markets. These government alliances not only enhanced operational capacity but also improved predictability in delivery schedules, a critical factor when managing perishable ultra-cold vaccines.</w:t>
      </w:r>
    </w:p>
    <w:p w14:paraId="2A8F3B11" w14:textId="77777777" w:rsidR="00376ABE" w:rsidRPr="00376ABE" w:rsidRDefault="00376ABE" w:rsidP="004A24CB">
      <w:pPr>
        <w:pStyle w:val="NoSpacing"/>
        <w:spacing w:line="276" w:lineRule="auto"/>
        <w:rPr>
          <w:rFonts w:ascii="Times New Roman" w:hAnsi="Times New Roman" w:cs="Times New Roman"/>
        </w:rPr>
      </w:pPr>
    </w:p>
    <w:p w14:paraId="53D9D071"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Critical Analysis</w:t>
      </w:r>
    </w:p>
    <w:p w14:paraId="661E7403"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The benefits of government-industry collaboration during crises are well documented (Jaffe &amp; Osterholm, 2021). However, such partnerships can be fraught with tensions regarding transparency, equity, and national sovereignty. Pfizer’s experience highlights that while these alliances can significantly boost resilience, they require clear governance frameworks to mitigate conflicts of interest and ensure equitable access (Shih, 2021). Without robust oversight, such partnerships risk exacerbating disparities between countries or regions, especially in global health emergencies.</w:t>
      </w:r>
    </w:p>
    <w:p w14:paraId="395585AF" w14:textId="77777777" w:rsidR="00376ABE" w:rsidRPr="00376ABE" w:rsidRDefault="00376ABE" w:rsidP="004A24CB">
      <w:pPr>
        <w:pStyle w:val="NoSpacing"/>
        <w:spacing w:line="276" w:lineRule="auto"/>
        <w:rPr>
          <w:rFonts w:ascii="Times New Roman" w:hAnsi="Times New Roman" w:cs="Times New Roman"/>
        </w:rPr>
      </w:pPr>
    </w:p>
    <w:p w14:paraId="20F66850"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Evaluation</w:t>
      </w:r>
    </w:p>
    <w:p w14:paraId="280C8175"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Strategic alliances with governments were indispensable in meeting the surge in global vaccine demand. For future pandemics, pharmaceutical firms should formalize mechanisms that facilitate rapid and transparent public-private collaboration, thereby institutionalizing resilience and preparedness (McKinsey &amp; Company, 2021).</w:t>
      </w:r>
    </w:p>
    <w:p w14:paraId="02CF286B" w14:textId="77777777" w:rsidR="00376ABE" w:rsidRPr="00376ABE" w:rsidRDefault="00376ABE" w:rsidP="004A24CB">
      <w:pPr>
        <w:pStyle w:val="NoSpacing"/>
        <w:spacing w:line="276" w:lineRule="auto"/>
        <w:rPr>
          <w:rFonts w:ascii="Times New Roman" w:hAnsi="Times New Roman" w:cs="Times New Roman"/>
        </w:rPr>
      </w:pPr>
    </w:p>
    <w:p w14:paraId="604E4C36" w14:textId="017E8942" w:rsidR="00376ABE" w:rsidRPr="004A24CB" w:rsidRDefault="00376ABE" w:rsidP="004A24CB">
      <w:pPr>
        <w:pStyle w:val="Heading2"/>
        <w:spacing w:line="276" w:lineRule="auto"/>
        <w:rPr>
          <w:rFonts w:ascii="Times New Roman" w:hAnsi="Times New Roman" w:cs="Times New Roman"/>
          <w:b/>
          <w:bCs/>
          <w:sz w:val="24"/>
          <w:szCs w:val="24"/>
        </w:rPr>
      </w:pPr>
      <w:bookmarkStart w:id="10" w:name="_Toc204893227"/>
      <w:r w:rsidRPr="004A24CB">
        <w:rPr>
          <w:rFonts w:ascii="Times New Roman" w:hAnsi="Times New Roman" w:cs="Times New Roman"/>
          <w:b/>
          <w:bCs/>
          <w:sz w:val="24"/>
          <w:szCs w:val="24"/>
        </w:rPr>
        <w:t xml:space="preserve">3.4 </w:t>
      </w:r>
      <w:r w:rsidRPr="004A24CB">
        <w:rPr>
          <w:rFonts w:ascii="Times New Roman" w:hAnsi="Times New Roman" w:cs="Times New Roman"/>
          <w:b/>
          <w:bCs/>
          <w:sz w:val="24"/>
          <w:szCs w:val="24"/>
        </w:rPr>
        <w:t>Inventory Control of Raw Materials: Securing Critical Inputs</w:t>
      </w:r>
      <w:bookmarkEnd w:id="10"/>
    </w:p>
    <w:p w14:paraId="36CEAE6E"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Context and Challenge</w:t>
      </w:r>
    </w:p>
    <w:p w14:paraId="32067147"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The Pfizer–BioNTech vaccine depends on highly specialized raw materials, including lipid nanoparticles and mRNA precursors, which are scarce and complex to manufacture. Early in the pandemic, global shortages threatened Pfizer’s ability to scale production rapidly (Mollenkopf et al., 2022). Ensuring a reliable supply of these inputs was vital to avoid production delays.</w:t>
      </w:r>
    </w:p>
    <w:p w14:paraId="3C3476ED" w14:textId="77777777" w:rsidR="00376ABE" w:rsidRPr="00376ABE" w:rsidRDefault="00376ABE" w:rsidP="004A24CB">
      <w:pPr>
        <w:pStyle w:val="NoSpacing"/>
        <w:spacing w:line="276" w:lineRule="auto"/>
        <w:rPr>
          <w:rFonts w:ascii="Times New Roman" w:hAnsi="Times New Roman" w:cs="Times New Roman"/>
        </w:rPr>
      </w:pPr>
    </w:p>
    <w:p w14:paraId="43C33C89"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Strategy and Implementation</w:t>
      </w:r>
    </w:p>
    <w:p w14:paraId="33F636D3"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Pfizer–BioNTech adopted a multi-pronged approach: securing long-term contracts with multiple suppliers to reduce dependency on single sources, and vertically integrating some critical manufacturing steps to gain greater control over the supply chain (BioNTech, 2021). The company balanced bulk purchasing and strategic stockpiling with real-time inventory tracking, avoiding the pitfalls of both overstocking—which ties up capital and risks wastage—and understocking, which could halt production.</w:t>
      </w:r>
    </w:p>
    <w:p w14:paraId="07A21B71" w14:textId="77777777" w:rsidR="00376ABE" w:rsidRPr="00376ABE" w:rsidRDefault="00376ABE" w:rsidP="004A24CB">
      <w:pPr>
        <w:pStyle w:val="NoSpacing"/>
        <w:spacing w:line="276" w:lineRule="auto"/>
        <w:rPr>
          <w:rFonts w:ascii="Times New Roman" w:hAnsi="Times New Roman" w:cs="Times New Roman"/>
        </w:rPr>
      </w:pPr>
    </w:p>
    <w:p w14:paraId="710368E8"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Critical Analysis</w:t>
      </w:r>
    </w:p>
    <w:p w14:paraId="2ADC8897"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 xml:space="preserve">This inventory strategy reflects the “just-in-case” philosophy advocated by Christopher and Peck (2004) for managing risks in high-stakes supply chains. It embraces redundancy to build resilience but also raises the classic tension with lean operations aimed at efficiency. Tang (2006) argues that incorporating dynamic risk assessment tools can help firms continuously </w:t>
      </w:r>
      <w:r w:rsidRPr="00376ABE">
        <w:rPr>
          <w:rFonts w:ascii="Times New Roman" w:hAnsi="Times New Roman" w:cs="Times New Roman"/>
        </w:rPr>
        <w:lastRenderedPageBreak/>
        <w:t>adjust inventory policies based on evolving risk profiles, striking a better balance between resilience and cost.</w:t>
      </w:r>
    </w:p>
    <w:p w14:paraId="6970C984" w14:textId="77777777" w:rsidR="00376ABE" w:rsidRPr="00376ABE" w:rsidRDefault="00376ABE" w:rsidP="004A24CB">
      <w:pPr>
        <w:pStyle w:val="NoSpacing"/>
        <w:spacing w:line="276" w:lineRule="auto"/>
        <w:rPr>
          <w:rFonts w:ascii="Times New Roman" w:hAnsi="Times New Roman" w:cs="Times New Roman"/>
        </w:rPr>
      </w:pPr>
    </w:p>
    <w:p w14:paraId="26EFC3CB"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Evaluation</w:t>
      </w:r>
    </w:p>
    <w:p w14:paraId="5736F95E"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Pfizer’s proactive inventory management was a cornerstone enabling rapid production scale-up. Moving forward, integrating advanced analytics and AI-driven forecasting could enhance the agility and accuracy of inventory control in pharmaceutical supply chains (Mollenkopf et al., 2022).</w:t>
      </w:r>
    </w:p>
    <w:p w14:paraId="730974F2" w14:textId="77777777" w:rsidR="00376ABE" w:rsidRPr="00376ABE" w:rsidRDefault="00376ABE" w:rsidP="004A24CB">
      <w:pPr>
        <w:pStyle w:val="NoSpacing"/>
        <w:spacing w:line="276" w:lineRule="auto"/>
        <w:rPr>
          <w:rFonts w:ascii="Times New Roman" w:hAnsi="Times New Roman" w:cs="Times New Roman"/>
        </w:rPr>
      </w:pPr>
    </w:p>
    <w:p w14:paraId="4CD85409" w14:textId="46201CCC" w:rsidR="00376ABE" w:rsidRPr="004A24CB" w:rsidRDefault="00376ABE" w:rsidP="004A24CB">
      <w:pPr>
        <w:pStyle w:val="Heading2"/>
        <w:spacing w:line="276" w:lineRule="auto"/>
        <w:rPr>
          <w:rFonts w:ascii="Times New Roman" w:hAnsi="Times New Roman" w:cs="Times New Roman"/>
          <w:b/>
          <w:bCs/>
          <w:sz w:val="24"/>
          <w:szCs w:val="24"/>
        </w:rPr>
      </w:pPr>
      <w:bookmarkStart w:id="11" w:name="_Toc204893228"/>
      <w:r w:rsidRPr="004A24CB">
        <w:rPr>
          <w:rFonts w:ascii="Times New Roman" w:hAnsi="Times New Roman" w:cs="Times New Roman"/>
          <w:b/>
          <w:bCs/>
          <w:sz w:val="24"/>
          <w:szCs w:val="24"/>
        </w:rPr>
        <w:t>3.</w:t>
      </w:r>
      <w:r w:rsidRPr="004A24CB">
        <w:rPr>
          <w:rFonts w:ascii="Times New Roman" w:hAnsi="Times New Roman" w:cs="Times New Roman"/>
          <w:b/>
          <w:bCs/>
          <w:sz w:val="24"/>
          <w:szCs w:val="24"/>
        </w:rPr>
        <w:t>5</w:t>
      </w:r>
      <w:r w:rsidRPr="004A24CB">
        <w:rPr>
          <w:rFonts w:ascii="Times New Roman" w:hAnsi="Times New Roman" w:cs="Times New Roman"/>
          <w:b/>
          <w:bCs/>
          <w:sz w:val="24"/>
          <w:szCs w:val="24"/>
        </w:rPr>
        <w:t xml:space="preserve"> </w:t>
      </w:r>
      <w:r w:rsidRPr="004A24CB">
        <w:rPr>
          <w:rFonts w:ascii="Times New Roman" w:hAnsi="Times New Roman" w:cs="Times New Roman"/>
          <w:b/>
          <w:bCs/>
          <w:sz w:val="24"/>
          <w:szCs w:val="24"/>
        </w:rPr>
        <w:t>Scenario Testing and Rapid Deployment Plans: Preparedness Through Simulation</w:t>
      </w:r>
      <w:bookmarkEnd w:id="11"/>
    </w:p>
    <w:p w14:paraId="221CBB4F"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Context and Challenge</w:t>
      </w:r>
    </w:p>
    <w:p w14:paraId="434A779A"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The pandemic environment was characterized by extreme uncertainty—ranging from border closures to export bans and volatile demand. Pfizer needed to be agile and prepared to respond swiftly to disruptions that could jeopardize vaccine availability (Shih, 2021).</w:t>
      </w:r>
    </w:p>
    <w:p w14:paraId="1ADB27BD" w14:textId="77777777" w:rsidR="00376ABE" w:rsidRPr="00376ABE" w:rsidRDefault="00376ABE" w:rsidP="004A24CB">
      <w:pPr>
        <w:pStyle w:val="NoSpacing"/>
        <w:spacing w:line="276" w:lineRule="auto"/>
        <w:rPr>
          <w:rFonts w:ascii="Times New Roman" w:hAnsi="Times New Roman" w:cs="Times New Roman"/>
        </w:rPr>
      </w:pPr>
    </w:p>
    <w:p w14:paraId="64903A80"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Strategy and Implementation</w:t>
      </w:r>
    </w:p>
    <w:p w14:paraId="0C212D39"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Pfizer–BioNTech regularly conducted scenario testing exercises simulating various disruptions, such as EU export restrictions or congestion at US ports. These stress tests informed the creation of rapid deployment playbooks, which detailed contingency routes, resource reallocations, and communication protocols. Such rehearsals ensured the organization was not only reactive but also anticipatory, with clear procedures for rapid adaptation (Pfizer, 2021).</w:t>
      </w:r>
    </w:p>
    <w:p w14:paraId="6FD0ACAF" w14:textId="77777777" w:rsidR="00376ABE" w:rsidRPr="00376ABE" w:rsidRDefault="00376ABE" w:rsidP="004A24CB">
      <w:pPr>
        <w:pStyle w:val="NoSpacing"/>
        <w:spacing w:line="276" w:lineRule="auto"/>
        <w:rPr>
          <w:rFonts w:ascii="Times New Roman" w:hAnsi="Times New Roman" w:cs="Times New Roman"/>
        </w:rPr>
      </w:pPr>
    </w:p>
    <w:p w14:paraId="337DB2A1"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Critical Analysis</w:t>
      </w:r>
    </w:p>
    <w:p w14:paraId="783AAA78"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Scenario planning is a well-established method to build supply chain resilience (</w:t>
      </w:r>
      <w:proofErr w:type="spellStart"/>
      <w:r w:rsidRPr="00376ABE">
        <w:rPr>
          <w:rFonts w:ascii="Times New Roman" w:hAnsi="Times New Roman" w:cs="Times New Roman"/>
        </w:rPr>
        <w:t>Sheffi</w:t>
      </w:r>
      <w:proofErr w:type="spellEnd"/>
      <w:r w:rsidRPr="00376ABE">
        <w:rPr>
          <w:rFonts w:ascii="Times New Roman" w:hAnsi="Times New Roman" w:cs="Times New Roman"/>
        </w:rPr>
        <w:t>, 2005). The Pfizer example highlights that having plans is insufficient without rigorous stress-testing under realistic conditions. This aligns with Kayes’s (2015) “preparedness paradox,” which posits that organizations investing in invisible but critical preparations are best positioned to navigate unforeseen crises. Yet, these exercises require sustained leadership commitment and resources to maintain relevance and effectiveness over time.</w:t>
      </w:r>
    </w:p>
    <w:p w14:paraId="7DAAB194" w14:textId="77777777" w:rsidR="00376ABE" w:rsidRPr="00376ABE" w:rsidRDefault="00376ABE" w:rsidP="004A24CB">
      <w:pPr>
        <w:pStyle w:val="NoSpacing"/>
        <w:spacing w:line="276" w:lineRule="auto"/>
        <w:rPr>
          <w:rFonts w:ascii="Times New Roman" w:hAnsi="Times New Roman" w:cs="Times New Roman"/>
        </w:rPr>
      </w:pPr>
    </w:p>
    <w:p w14:paraId="186B81DD"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Evaluation</w:t>
      </w:r>
    </w:p>
    <w:p w14:paraId="6F61C1F1"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The scenario testing and rapid deployment plans enhanced Pfizer’s operational agility significantly. To maintain resilience, organizations should embed such exercises into routine management processes, ensuring preparedness evolves alongside changing external conditions (Shih, 2021).</w:t>
      </w:r>
    </w:p>
    <w:p w14:paraId="145A1F68" w14:textId="77777777" w:rsidR="00376ABE" w:rsidRPr="00376ABE" w:rsidRDefault="00376ABE" w:rsidP="004A24CB">
      <w:pPr>
        <w:pStyle w:val="NoSpacing"/>
        <w:spacing w:line="276" w:lineRule="auto"/>
        <w:rPr>
          <w:rFonts w:ascii="Times New Roman" w:hAnsi="Times New Roman" w:cs="Times New Roman"/>
        </w:rPr>
      </w:pPr>
    </w:p>
    <w:p w14:paraId="60739F23" w14:textId="43750EA3" w:rsidR="00376ABE" w:rsidRPr="004A24CB" w:rsidRDefault="00376ABE" w:rsidP="004A24CB">
      <w:pPr>
        <w:pStyle w:val="Heading2"/>
        <w:spacing w:line="276" w:lineRule="auto"/>
        <w:rPr>
          <w:rFonts w:ascii="Times New Roman" w:hAnsi="Times New Roman" w:cs="Times New Roman"/>
          <w:b/>
          <w:bCs/>
          <w:sz w:val="24"/>
          <w:szCs w:val="24"/>
        </w:rPr>
      </w:pPr>
      <w:bookmarkStart w:id="12" w:name="_Toc204893229"/>
      <w:r w:rsidRPr="004A24CB">
        <w:rPr>
          <w:rFonts w:ascii="Times New Roman" w:hAnsi="Times New Roman" w:cs="Times New Roman"/>
          <w:b/>
          <w:bCs/>
          <w:sz w:val="24"/>
          <w:szCs w:val="24"/>
        </w:rPr>
        <w:t xml:space="preserve">3.6 </w:t>
      </w:r>
      <w:r w:rsidRPr="004A24CB">
        <w:rPr>
          <w:rFonts w:ascii="Times New Roman" w:hAnsi="Times New Roman" w:cs="Times New Roman"/>
          <w:b/>
          <w:bCs/>
          <w:sz w:val="24"/>
          <w:szCs w:val="24"/>
        </w:rPr>
        <w:t>Collaborative Risk Contracts: Shared Accountability with Logistics Providers</w:t>
      </w:r>
      <w:bookmarkEnd w:id="12"/>
    </w:p>
    <w:p w14:paraId="4EACF10F"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Context and Challenge</w:t>
      </w:r>
    </w:p>
    <w:p w14:paraId="5BA8A324"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The last stage of vaccine delivery often involves third-party logistics (3PL) providers, introducing risks such as shipment delays, mishandling, or diversion. Managing these risks required more than traditional transactional contracts (DHL, 2021).</w:t>
      </w:r>
    </w:p>
    <w:p w14:paraId="6F877BFC" w14:textId="77777777" w:rsidR="00376ABE" w:rsidRPr="00376ABE" w:rsidRDefault="00376ABE" w:rsidP="004A24CB">
      <w:pPr>
        <w:pStyle w:val="NoSpacing"/>
        <w:spacing w:line="276" w:lineRule="auto"/>
        <w:rPr>
          <w:rFonts w:ascii="Times New Roman" w:hAnsi="Times New Roman" w:cs="Times New Roman"/>
        </w:rPr>
      </w:pPr>
    </w:p>
    <w:p w14:paraId="3BAC5F91"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Strategy and Implementation</w:t>
      </w:r>
    </w:p>
    <w:p w14:paraId="5EDB229A"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Pfizer–BioNTech established collaborative risk contracts with major logistics partners like DHL and UPS. These contracts featured shared key performance indicators (KPIs), contingency clauses for handling disruptions, and aligned incentives aimed at on-time, damage-free delivery. Unlike conventional service agreements, these partnerships embedded joint problem-solving and continuous improvement mechanisms, fostering a relationship based on trust and mutual accountability (Pfizer, 2021).</w:t>
      </w:r>
    </w:p>
    <w:p w14:paraId="17CB617D" w14:textId="77777777" w:rsidR="00376ABE" w:rsidRPr="00376ABE" w:rsidRDefault="00376ABE" w:rsidP="004A24CB">
      <w:pPr>
        <w:pStyle w:val="NoSpacing"/>
        <w:spacing w:line="276" w:lineRule="auto"/>
        <w:rPr>
          <w:rFonts w:ascii="Times New Roman" w:hAnsi="Times New Roman" w:cs="Times New Roman"/>
        </w:rPr>
      </w:pPr>
    </w:p>
    <w:p w14:paraId="7067AF54"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Critical Analysis</w:t>
      </w:r>
    </w:p>
    <w:p w14:paraId="54BE2F30"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This approach reflects the principles of relational contracting, where parties share risks and rewards to improve overall performance (Macneil, 1978; Poppo &amp; Zenger, 2002). In high-pressure, time-sensitive environments such as pandemic vaccine delivery, such collaboration significantly boosts end-to-end reliability. However, it demands transparency, robust performance monitoring, and a cultural shift toward partnership rather than adversarial negotiation.</w:t>
      </w:r>
    </w:p>
    <w:p w14:paraId="1F252014" w14:textId="77777777" w:rsidR="00376ABE" w:rsidRPr="00376ABE" w:rsidRDefault="00376ABE" w:rsidP="004A24CB">
      <w:pPr>
        <w:pStyle w:val="NoSpacing"/>
        <w:spacing w:line="276" w:lineRule="auto"/>
        <w:rPr>
          <w:rFonts w:ascii="Times New Roman" w:hAnsi="Times New Roman" w:cs="Times New Roman"/>
        </w:rPr>
      </w:pPr>
    </w:p>
    <w:p w14:paraId="6E4C585C"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Evaluation</w:t>
      </w:r>
    </w:p>
    <w:p w14:paraId="01E6AB00"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Collaborative risk contracts improved delivery reliability and created a platform for ongoing innovation. Future research could examine how scalable these models are across different sectors and regulatory environments, potentially offering a blueprint for resilience in other critical supply chains (DHL, 2021).</w:t>
      </w:r>
    </w:p>
    <w:p w14:paraId="093ACFEF" w14:textId="77777777" w:rsidR="00376ABE" w:rsidRPr="00376ABE" w:rsidRDefault="00376ABE" w:rsidP="004A24CB">
      <w:pPr>
        <w:pStyle w:val="NoSpacing"/>
        <w:spacing w:line="276" w:lineRule="auto"/>
        <w:rPr>
          <w:rFonts w:ascii="Times New Roman" w:hAnsi="Times New Roman" w:cs="Times New Roman"/>
        </w:rPr>
      </w:pPr>
    </w:p>
    <w:p w14:paraId="3047A865"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Synthesis and Critical Reflection</w:t>
      </w:r>
    </w:p>
    <w:p w14:paraId="4813E760"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Collectively, these six strategies—redundant production sites, digital cold chain monitoring, strategic government alliances, inventory control, scenario testing, and collaborative contracting—transformed the Pfizer–BioNTech supply chain into one of the most resilient and adaptive systems in modern logistics. This was not an ad hoc response but a systemic reengineering grounded in academic research and industry best practice (</w:t>
      </w:r>
      <w:proofErr w:type="spellStart"/>
      <w:r w:rsidRPr="00376ABE">
        <w:rPr>
          <w:rFonts w:ascii="Times New Roman" w:hAnsi="Times New Roman" w:cs="Times New Roman"/>
        </w:rPr>
        <w:t>Sheffi</w:t>
      </w:r>
      <w:proofErr w:type="spellEnd"/>
      <w:r w:rsidRPr="00376ABE">
        <w:rPr>
          <w:rFonts w:ascii="Times New Roman" w:hAnsi="Times New Roman" w:cs="Times New Roman"/>
        </w:rPr>
        <w:t>, 2005; Christopher &amp; Peck, 2004).</w:t>
      </w:r>
    </w:p>
    <w:p w14:paraId="3EA01D69" w14:textId="77777777" w:rsidR="00376ABE" w:rsidRPr="00376ABE" w:rsidRDefault="00376ABE" w:rsidP="004A24CB">
      <w:pPr>
        <w:pStyle w:val="NoSpacing"/>
        <w:spacing w:line="276" w:lineRule="auto"/>
        <w:rPr>
          <w:rFonts w:ascii="Times New Roman" w:hAnsi="Times New Roman" w:cs="Times New Roman"/>
        </w:rPr>
      </w:pPr>
    </w:p>
    <w:p w14:paraId="568C0A6F" w14:textId="1F952AE6" w:rsidR="00376ABE" w:rsidRPr="004A24CB" w:rsidRDefault="00376ABE" w:rsidP="004A24CB">
      <w:pPr>
        <w:pStyle w:val="NoSpacing"/>
        <w:spacing w:line="276" w:lineRule="auto"/>
        <w:rPr>
          <w:rFonts w:ascii="Times New Roman" w:hAnsi="Times New Roman" w:cs="Times New Roman"/>
        </w:rPr>
      </w:pPr>
      <w:r w:rsidRPr="004A24CB">
        <w:rPr>
          <w:rFonts w:ascii="Times New Roman" w:hAnsi="Times New Roman" w:cs="Times New Roman"/>
        </w:rPr>
        <w:t>Yet, these strategies also surface inherent trade-offs: redundancy versus cost, agility versus control, collaboration versus competition. The Pfizer–BioNTech case suggests that supply chain resilience is a dynamic capability, not a static state. It demands continuous investment, learning, and adaptation—especially as external conditions evolve in complexity and uncertainty. Future pharmaceutical supply chains must embed such adaptive frameworks to prepare for the next global health emergency.</w:t>
      </w:r>
    </w:p>
    <w:p w14:paraId="71C29908" w14:textId="77777777" w:rsidR="00376ABE" w:rsidRPr="004A24CB" w:rsidRDefault="00376ABE" w:rsidP="004A24CB">
      <w:pPr>
        <w:pStyle w:val="NoSpacing"/>
        <w:spacing w:line="276" w:lineRule="auto"/>
        <w:rPr>
          <w:rFonts w:ascii="Times New Roman" w:hAnsi="Times New Roman" w:cs="Times New Roman"/>
        </w:rPr>
      </w:pPr>
    </w:p>
    <w:p w14:paraId="2B51B0F6" w14:textId="77777777" w:rsidR="00376ABE" w:rsidRPr="004A24CB" w:rsidRDefault="00376ABE" w:rsidP="004A24CB">
      <w:pPr>
        <w:pStyle w:val="NoSpacing"/>
        <w:spacing w:line="276" w:lineRule="auto"/>
        <w:rPr>
          <w:rFonts w:ascii="Times New Roman" w:hAnsi="Times New Roman" w:cs="Times New Roman"/>
        </w:rPr>
      </w:pPr>
    </w:p>
    <w:p w14:paraId="6A99A059" w14:textId="77777777" w:rsidR="00376ABE" w:rsidRPr="004A24CB" w:rsidRDefault="00376ABE" w:rsidP="004A24CB">
      <w:pPr>
        <w:pStyle w:val="Heading2"/>
        <w:spacing w:line="276" w:lineRule="auto"/>
        <w:rPr>
          <w:rFonts w:ascii="Times New Roman" w:hAnsi="Times New Roman" w:cs="Times New Roman"/>
          <w:b/>
          <w:bCs/>
          <w:sz w:val="24"/>
          <w:szCs w:val="24"/>
        </w:rPr>
      </w:pPr>
      <w:bookmarkStart w:id="13" w:name="_Toc204893230"/>
      <w:r w:rsidRPr="004A24CB">
        <w:rPr>
          <w:rFonts w:ascii="Times New Roman" w:hAnsi="Times New Roman" w:cs="Times New Roman"/>
          <w:b/>
          <w:bCs/>
          <w:sz w:val="24"/>
          <w:szCs w:val="24"/>
        </w:rPr>
        <w:t>Future Directions</w:t>
      </w:r>
      <w:bookmarkEnd w:id="13"/>
    </w:p>
    <w:p w14:paraId="22A96EE5"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 xml:space="preserve">The COVID-19 pandemic has irrevocably transformed pharmaceutical supply chain management, underscoring the urgent need to institutionalize the hard-earned lessons from </w:t>
      </w:r>
      <w:r w:rsidRPr="00376ABE">
        <w:rPr>
          <w:rFonts w:ascii="Times New Roman" w:hAnsi="Times New Roman" w:cs="Times New Roman"/>
        </w:rPr>
        <w:lastRenderedPageBreak/>
        <w:t>the Pfizer–BioNTech experience. Going forward, companies must make resilience a foundational, ongoing commitment rather than a reactive response.</w:t>
      </w:r>
    </w:p>
    <w:p w14:paraId="591004A2"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 xml:space="preserve">First, investing in </w:t>
      </w:r>
      <w:r w:rsidRPr="00376ABE">
        <w:rPr>
          <w:rFonts w:ascii="Times New Roman" w:hAnsi="Times New Roman" w:cs="Times New Roman"/>
          <w:b/>
          <w:bCs/>
        </w:rPr>
        <w:t>digital infrastructure</w:t>
      </w:r>
      <w:r w:rsidRPr="00376ABE">
        <w:rPr>
          <w:rFonts w:ascii="Times New Roman" w:hAnsi="Times New Roman" w:cs="Times New Roman"/>
        </w:rPr>
        <w:t xml:space="preserve"> will be paramount. Real-time data visibility through IoT devices, AI-driven analytics for demand forecasting, and blockchain for traceability can create supply chains that are both transparent and agile (Ivanov et al., 2019). These technologies will enable faster detection of disruptions and more informed decision-making, reducing reliance on static or fragmented information flows.</w:t>
      </w:r>
    </w:p>
    <w:p w14:paraId="568E9297"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 xml:space="preserve">Second, firms should build </w:t>
      </w:r>
      <w:r w:rsidRPr="00376ABE">
        <w:rPr>
          <w:rFonts w:ascii="Times New Roman" w:hAnsi="Times New Roman" w:cs="Times New Roman"/>
          <w:b/>
          <w:bCs/>
        </w:rPr>
        <w:t>flexible and redundant networks</w:t>
      </w:r>
      <w:r w:rsidRPr="00376ABE">
        <w:rPr>
          <w:rFonts w:ascii="Times New Roman" w:hAnsi="Times New Roman" w:cs="Times New Roman"/>
        </w:rPr>
        <w:t xml:space="preserve"> that balance efficiency with risk mitigation. The Pfizer–BioNTech case demonstrated the value of geographically dispersed production and diversified supplier bases (Christopher &amp; Peck, 2004). Future networks should incorporate modular, scalable facilities that can be rapidly repurposed or expanded in response to fluctuating demand.</w:t>
      </w:r>
    </w:p>
    <w:p w14:paraId="369A9F98"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 xml:space="preserve">Third, </w:t>
      </w:r>
      <w:r w:rsidRPr="00376ABE">
        <w:rPr>
          <w:rFonts w:ascii="Times New Roman" w:hAnsi="Times New Roman" w:cs="Times New Roman"/>
          <w:b/>
          <w:bCs/>
        </w:rPr>
        <w:t>proactive engagement with regulators and governments</w:t>
      </w:r>
      <w:r w:rsidRPr="00376ABE">
        <w:rPr>
          <w:rFonts w:ascii="Times New Roman" w:hAnsi="Times New Roman" w:cs="Times New Roman"/>
        </w:rPr>
        <w:t xml:space="preserve"> must be institutionalized to streamline approvals, customs processes, and distribution logistics. Early, transparent dialogue can </w:t>
      </w:r>
      <w:proofErr w:type="spellStart"/>
      <w:r w:rsidRPr="00376ABE">
        <w:rPr>
          <w:rFonts w:ascii="Times New Roman" w:hAnsi="Times New Roman" w:cs="Times New Roman"/>
        </w:rPr>
        <w:t>preempt</w:t>
      </w:r>
      <w:proofErr w:type="spellEnd"/>
      <w:r w:rsidRPr="00376ABE">
        <w:rPr>
          <w:rFonts w:ascii="Times New Roman" w:hAnsi="Times New Roman" w:cs="Times New Roman"/>
        </w:rPr>
        <w:t xml:space="preserve"> bottlenecks and promote equitable access across regions (Shih, 2021). Developing formal public-private frameworks for crisis collaboration will facilitate faster, more coordinated responses to future emergencies.</w:t>
      </w:r>
    </w:p>
    <w:p w14:paraId="64E963E8"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 xml:space="preserve">Finally, organizations must cultivate a </w:t>
      </w:r>
      <w:r w:rsidRPr="00376ABE">
        <w:rPr>
          <w:rFonts w:ascii="Times New Roman" w:hAnsi="Times New Roman" w:cs="Times New Roman"/>
          <w:b/>
          <w:bCs/>
        </w:rPr>
        <w:t>culture of preparedness</w:t>
      </w:r>
      <w:r w:rsidRPr="00376ABE">
        <w:rPr>
          <w:rFonts w:ascii="Times New Roman" w:hAnsi="Times New Roman" w:cs="Times New Roman"/>
        </w:rPr>
        <w:t>—embedding scenario testing, continuous learning, and risk management into routine operations (</w:t>
      </w:r>
      <w:proofErr w:type="spellStart"/>
      <w:r w:rsidRPr="00376ABE">
        <w:rPr>
          <w:rFonts w:ascii="Times New Roman" w:hAnsi="Times New Roman" w:cs="Times New Roman"/>
        </w:rPr>
        <w:t>Sheffi</w:t>
      </w:r>
      <w:proofErr w:type="spellEnd"/>
      <w:r w:rsidRPr="00376ABE">
        <w:rPr>
          <w:rFonts w:ascii="Times New Roman" w:hAnsi="Times New Roman" w:cs="Times New Roman"/>
        </w:rPr>
        <w:t>, 2005). This cultural shift requires leadership commitment and ongoing investment to ensure that resilience capabilities do not erode once the immediate crisis passes.</w:t>
      </w:r>
    </w:p>
    <w:p w14:paraId="68AAA561"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The World Health Organization (2022) cautions that the next global health emergency could present even greater complexity and scale. Pharmaceutical supply chains cannot afford complacency. Resilience must be baked into their DNA, evolving continuously to meet an uncertain future.</w:t>
      </w:r>
    </w:p>
    <w:p w14:paraId="7E5619F3" w14:textId="77777777" w:rsidR="00376ABE" w:rsidRPr="004A24CB" w:rsidRDefault="00376ABE" w:rsidP="004A24CB">
      <w:pPr>
        <w:pStyle w:val="NoSpacing"/>
        <w:spacing w:line="276" w:lineRule="auto"/>
        <w:rPr>
          <w:rFonts w:ascii="Times New Roman" w:hAnsi="Times New Roman" w:cs="Times New Roman"/>
        </w:rPr>
      </w:pPr>
    </w:p>
    <w:p w14:paraId="3EDF7149" w14:textId="77777777" w:rsidR="00376ABE" w:rsidRPr="004A24CB" w:rsidRDefault="00376ABE" w:rsidP="004A24CB">
      <w:pPr>
        <w:pStyle w:val="NoSpacing"/>
        <w:spacing w:line="276" w:lineRule="auto"/>
        <w:rPr>
          <w:rFonts w:ascii="Times New Roman" w:hAnsi="Times New Roman" w:cs="Times New Roman"/>
        </w:rPr>
      </w:pPr>
    </w:p>
    <w:p w14:paraId="66AB4B66" w14:textId="77777777" w:rsidR="00376ABE" w:rsidRPr="004A24CB" w:rsidRDefault="00376ABE" w:rsidP="004A24CB">
      <w:pPr>
        <w:pStyle w:val="Heading1"/>
        <w:spacing w:line="276" w:lineRule="auto"/>
        <w:rPr>
          <w:rFonts w:ascii="Times New Roman" w:hAnsi="Times New Roman" w:cs="Times New Roman"/>
          <w:b/>
          <w:bCs/>
          <w:sz w:val="24"/>
          <w:szCs w:val="24"/>
        </w:rPr>
      </w:pPr>
      <w:bookmarkStart w:id="14" w:name="_Toc204893231"/>
      <w:r w:rsidRPr="004A24CB">
        <w:rPr>
          <w:rFonts w:ascii="Times New Roman" w:hAnsi="Times New Roman" w:cs="Times New Roman"/>
          <w:b/>
          <w:bCs/>
          <w:sz w:val="24"/>
          <w:szCs w:val="24"/>
        </w:rPr>
        <w:t>Conclusion &amp; Future Work</w:t>
      </w:r>
      <w:bookmarkEnd w:id="14"/>
    </w:p>
    <w:p w14:paraId="547883FC"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The experience of the Pfizer–BioNTech COVID-19 vaccine supply chain demonstrates that pharmaceutical logistics, while inherently fragile due to global dependencies, temperature sensitivity, and regulatory complexity, are also highly transformable when faced with existential challenges (Mollenkopf et al., 2022). The pandemic exposed and, in many cases, stretched the limits of conventional just-in-time paradigms, revealing the need for both agility and robustness.</w:t>
      </w:r>
    </w:p>
    <w:p w14:paraId="2E6C4505"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 xml:space="preserve">Through layered strategies—such as redundant manufacturing sites, real-time digital cold chain monitoring, collaborative government alliances, proactive inventory management, scenario-based planning, and risk-sharing contracts—Pfizer–BioNTech built a flexible and resilient system capable of responding to unpredictable shocks (Pfizer, 2021; McKinsey &amp; Company, 2021). Digital transformation proved critical: IoT-based cold chain visibility curtailed spoilage risk, while advanced data analytics enabled swift decision-making amid shifting demand and border restrictions (Ivanov et al., 2019). Equally vital was political agility, with supply success heavily dependent on proactive engagement with regulatory </w:t>
      </w:r>
      <w:r w:rsidRPr="00376ABE">
        <w:rPr>
          <w:rFonts w:ascii="Times New Roman" w:hAnsi="Times New Roman" w:cs="Times New Roman"/>
        </w:rPr>
        <w:lastRenderedPageBreak/>
        <w:t>bodies and governments for customs, military logistics, and emergency approvals (Slaoui &amp; Hepburn, 2021).</w:t>
      </w:r>
    </w:p>
    <w:p w14:paraId="0AA0AEEE"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Moving forward, the pharmaceutical supply chain sector must institutionalize the adaptive practices learned during COVID-19. This includes investing continually in digital infrastructure, building multi-local networks for capacity redundancy, and fostering relational contracts with upstream and downstream partners (Christopher &amp; Peck, 2004). Scenario-based training and proactive risk management should become routine, not emergency measures.</w:t>
      </w:r>
    </w:p>
    <w:p w14:paraId="51639955" w14:textId="77777777" w:rsidR="00376ABE" w:rsidRPr="00376ABE" w:rsidRDefault="00376ABE" w:rsidP="004A24CB">
      <w:pPr>
        <w:pStyle w:val="NoSpacing"/>
        <w:spacing w:line="276" w:lineRule="auto"/>
        <w:rPr>
          <w:rFonts w:ascii="Times New Roman" w:hAnsi="Times New Roman" w:cs="Times New Roman"/>
        </w:rPr>
      </w:pPr>
      <w:r w:rsidRPr="00376ABE">
        <w:rPr>
          <w:rFonts w:ascii="Times New Roman" w:hAnsi="Times New Roman" w:cs="Times New Roman"/>
        </w:rPr>
        <w:t>Future pharmaceutical supply chains will increasingly blend digital agility with political and operational flexibility. The lessons from Pfizer–BioNTech highlight a paradigm shift from static, efficiency-driven models to dynamic, risk-aware ecosystems, able to withstand public health emergencies and future uncertainties (</w:t>
      </w:r>
      <w:proofErr w:type="spellStart"/>
      <w:r w:rsidRPr="00376ABE">
        <w:rPr>
          <w:rFonts w:ascii="Times New Roman" w:hAnsi="Times New Roman" w:cs="Times New Roman"/>
        </w:rPr>
        <w:t>Sheffi</w:t>
      </w:r>
      <w:proofErr w:type="spellEnd"/>
      <w:r w:rsidRPr="00376ABE">
        <w:rPr>
          <w:rFonts w:ascii="Times New Roman" w:hAnsi="Times New Roman" w:cs="Times New Roman"/>
        </w:rPr>
        <w:t>, 2005). Research and industry practice should now focus on embedding these advances, ensuring that supply chains remain robust not just in crisis, but as a new standard for global health logistics.</w:t>
      </w:r>
    </w:p>
    <w:p w14:paraId="1F4F824F" w14:textId="77777777" w:rsidR="00376ABE" w:rsidRPr="004A24CB" w:rsidRDefault="00376ABE" w:rsidP="004A24CB">
      <w:pPr>
        <w:pStyle w:val="NoSpacing"/>
        <w:spacing w:line="276" w:lineRule="auto"/>
        <w:rPr>
          <w:rFonts w:ascii="Times New Roman" w:hAnsi="Times New Roman" w:cs="Times New Roman"/>
        </w:rPr>
      </w:pPr>
    </w:p>
    <w:p w14:paraId="4DC2710D" w14:textId="77777777" w:rsidR="00376ABE" w:rsidRPr="004A24CB" w:rsidRDefault="00376ABE" w:rsidP="004A24CB">
      <w:pPr>
        <w:pStyle w:val="NoSpacing"/>
        <w:spacing w:line="276" w:lineRule="auto"/>
        <w:rPr>
          <w:rFonts w:ascii="Times New Roman" w:hAnsi="Times New Roman" w:cs="Times New Roman"/>
        </w:rPr>
      </w:pPr>
    </w:p>
    <w:p w14:paraId="0F5A7307" w14:textId="390DCF4D" w:rsidR="00376ABE" w:rsidRPr="004A24CB" w:rsidRDefault="00376ABE" w:rsidP="004A24CB">
      <w:pPr>
        <w:pStyle w:val="Heading1"/>
        <w:spacing w:line="276" w:lineRule="auto"/>
        <w:rPr>
          <w:rFonts w:ascii="Times New Roman" w:hAnsi="Times New Roman" w:cs="Times New Roman"/>
          <w:b/>
          <w:bCs/>
          <w:sz w:val="24"/>
          <w:szCs w:val="24"/>
        </w:rPr>
      </w:pPr>
      <w:bookmarkStart w:id="15" w:name="_Toc204893232"/>
      <w:r w:rsidRPr="004A24CB">
        <w:rPr>
          <w:rFonts w:ascii="Times New Roman" w:hAnsi="Times New Roman" w:cs="Times New Roman"/>
          <w:b/>
          <w:bCs/>
          <w:sz w:val="24"/>
          <w:szCs w:val="24"/>
        </w:rPr>
        <w:t>References</w:t>
      </w:r>
      <w:bookmarkEnd w:id="15"/>
    </w:p>
    <w:p w14:paraId="45A35081" w14:textId="77777777" w:rsidR="004A24CB" w:rsidRPr="004A24CB" w:rsidRDefault="004A24CB" w:rsidP="004A24CB">
      <w:pPr>
        <w:pStyle w:val="ListParagraph"/>
        <w:numPr>
          <w:ilvl w:val="0"/>
          <w:numId w:val="3"/>
        </w:numPr>
        <w:spacing w:line="276" w:lineRule="auto"/>
        <w:rPr>
          <w:rFonts w:ascii="Times New Roman" w:hAnsi="Times New Roman" w:cs="Times New Roman"/>
        </w:rPr>
      </w:pPr>
      <w:r w:rsidRPr="004A24CB">
        <w:rPr>
          <w:rFonts w:ascii="Times New Roman" w:hAnsi="Times New Roman" w:cs="Times New Roman"/>
        </w:rPr>
        <w:t>BioNTech (2021) </w:t>
      </w:r>
      <w:r w:rsidRPr="004A24CB">
        <w:rPr>
          <w:rFonts w:ascii="Times New Roman" w:hAnsi="Times New Roman" w:cs="Times New Roman"/>
          <w:i/>
          <w:iCs/>
        </w:rPr>
        <w:t>Annual Report 2021</w:t>
      </w:r>
      <w:r w:rsidRPr="004A24CB">
        <w:rPr>
          <w:rFonts w:ascii="Times New Roman" w:hAnsi="Times New Roman" w:cs="Times New Roman"/>
        </w:rPr>
        <w:t>. BioNTech SE.</w:t>
      </w:r>
    </w:p>
    <w:p w14:paraId="25543B8F" w14:textId="77777777" w:rsidR="004A24CB" w:rsidRPr="004A24CB" w:rsidRDefault="004A24CB" w:rsidP="004A24CB">
      <w:pPr>
        <w:pStyle w:val="ListParagraph"/>
        <w:numPr>
          <w:ilvl w:val="0"/>
          <w:numId w:val="3"/>
        </w:numPr>
        <w:spacing w:line="276" w:lineRule="auto"/>
        <w:rPr>
          <w:rFonts w:ascii="Times New Roman" w:hAnsi="Times New Roman" w:cs="Times New Roman"/>
        </w:rPr>
      </w:pPr>
      <w:r w:rsidRPr="004A24CB">
        <w:rPr>
          <w:rFonts w:ascii="Times New Roman" w:hAnsi="Times New Roman" w:cs="Times New Roman"/>
        </w:rPr>
        <w:t>Christopher, M. &amp; Peck, H. (2004) ‘Building the resilient supply chain’, International Journal of Logistics Management, 15(2), pp. 1–14.</w:t>
      </w:r>
    </w:p>
    <w:p w14:paraId="2B7D967F" w14:textId="77777777" w:rsidR="004A24CB" w:rsidRPr="004A24CB" w:rsidRDefault="004A24CB" w:rsidP="004A24CB">
      <w:pPr>
        <w:pStyle w:val="ListParagraph"/>
        <w:numPr>
          <w:ilvl w:val="0"/>
          <w:numId w:val="3"/>
        </w:numPr>
        <w:spacing w:line="276" w:lineRule="auto"/>
        <w:rPr>
          <w:rFonts w:ascii="Times New Roman" w:hAnsi="Times New Roman" w:cs="Times New Roman"/>
        </w:rPr>
      </w:pPr>
      <w:r w:rsidRPr="004A24CB">
        <w:rPr>
          <w:rFonts w:ascii="Times New Roman" w:hAnsi="Times New Roman" w:cs="Times New Roman"/>
        </w:rPr>
        <w:t>DHL (2021) </w:t>
      </w:r>
      <w:r w:rsidRPr="004A24CB">
        <w:rPr>
          <w:rFonts w:ascii="Times New Roman" w:hAnsi="Times New Roman" w:cs="Times New Roman"/>
          <w:i/>
          <w:iCs/>
        </w:rPr>
        <w:t>Delivering Pandemic Resilience: Partnering for COVID-19 Vaccine Logistics</w:t>
      </w:r>
      <w:r w:rsidRPr="004A24CB">
        <w:rPr>
          <w:rFonts w:ascii="Times New Roman" w:hAnsi="Times New Roman" w:cs="Times New Roman"/>
        </w:rPr>
        <w:t>. DHL.</w:t>
      </w:r>
    </w:p>
    <w:p w14:paraId="0C034CCC" w14:textId="77777777" w:rsidR="004A24CB" w:rsidRPr="004A24CB" w:rsidRDefault="004A24CB" w:rsidP="004A24CB">
      <w:pPr>
        <w:pStyle w:val="ListParagraph"/>
        <w:numPr>
          <w:ilvl w:val="0"/>
          <w:numId w:val="3"/>
        </w:numPr>
        <w:spacing w:line="276" w:lineRule="auto"/>
        <w:rPr>
          <w:rFonts w:ascii="Times New Roman" w:hAnsi="Times New Roman" w:cs="Times New Roman"/>
        </w:rPr>
      </w:pPr>
      <w:r w:rsidRPr="004A24CB">
        <w:rPr>
          <w:rFonts w:ascii="Times New Roman" w:hAnsi="Times New Roman" w:cs="Times New Roman"/>
        </w:rPr>
        <w:t xml:space="preserve">Ivanov, D., </w:t>
      </w:r>
      <w:proofErr w:type="spellStart"/>
      <w:r w:rsidRPr="004A24CB">
        <w:rPr>
          <w:rFonts w:ascii="Times New Roman" w:hAnsi="Times New Roman" w:cs="Times New Roman"/>
        </w:rPr>
        <w:t>Dolgui</w:t>
      </w:r>
      <w:proofErr w:type="spellEnd"/>
      <w:r w:rsidRPr="004A24CB">
        <w:rPr>
          <w:rFonts w:ascii="Times New Roman" w:hAnsi="Times New Roman" w:cs="Times New Roman"/>
        </w:rPr>
        <w:t>, A. &amp; Sokolov, B. (2019) ‘The impact of digital technology and Industry 4.0 on the ripple effect and supply chain risk analytics’, International Journal of Production Research, 57(3), pp. 829–846.</w:t>
      </w:r>
    </w:p>
    <w:p w14:paraId="75A5EC99" w14:textId="77777777" w:rsidR="004A24CB" w:rsidRPr="004A24CB" w:rsidRDefault="004A24CB" w:rsidP="004A24CB">
      <w:pPr>
        <w:pStyle w:val="ListParagraph"/>
        <w:numPr>
          <w:ilvl w:val="0"/>
          <w:numId w:val="3"/>
        </w:numPr>
        <w:spacing w:line="276" w:lineRule="auto"/>
        <w:rPr>
          <w:rFonts w:ascii="Times New Roman" w:hAnsi="Times New Roman" w:cs="Times New Roman"/>
        </w:rPr>
      </w:pPr>
      <w:r w:rsidRPr="004A24CB">
        <w:rPr>
          <w:rFonts w:ascii="Times New Roman" w:hAnsi="Times New Roman" w:cs="Times New Roman"/>
        </w:rPr>
        <w:t>Jaffe, S. &amp; Osterholm, M. (2021) ‘Preparing for the next pandemic’, Foreign Affairs, 100(2), pp. 94–106.</w:t>
      </w:r>
    </w:p>
    <w:p w14:paraId="79729626" w14:textId="77777777" w:rsidR="004A24CB" w:rsidRPr="004A24CB" w:rsidRDefault="004A24CB" w:rsidP="004A24CB">
      <w:pPr>
        <w:pStyle w:val="ListParagraph"/>
        <w:numPr>
          <w:ilvl w:val="0"/>
          <w:numId w:val="3"/>
        </w:numPr>
        <w:spacing w:line="276" w:lineRule="auto"/>
        <w:rPr>
          <w:rFonts w:ascii="Times New Roman" w:hAnsi="Times New Roman" w:cs="Times New Roman"/>
        </w:rPr>
      </w:pPr>
      <w:r w:rsidRPr="004A24CB">
        <w:rPr>
          <w:rFonts w:ascii="Times New Roman" w:hAnsi="Times New Roman" w:cs="Times New Roman"/>
        </w:rPr>
        <w:t>Kayes, D.C. (2015) </w:t>
      </w:r>
      <w:r w:rsidRPr="004A24CB">
        <w:rPr>
          <w:rFonts w:ascii="Times New Roman" w:hAnsi="Times New Roman" w:cs="Times New Roman"/>
          <w:i/>
          <w:iCs/>
        </w:rPr>
        <w:t>Organizational resilience: How learning sustains organizations in crisis, disaster, and breakdown</w:t>
      </w:r>
      <w:r w:rsidRPr="004A24CB">
        <w:rPr>
          <w:rFonts w:ascii="Times New Roman" w:hAnsi="Times New Roman" w:cs="Times New Roman"/>
        </w:rPr>
        <w:t>. Oxford: Oxford University Press.</w:t>
      </w:r>
    </w:p>
    <w:p w14:paraId="3BF737A6" w14:textId="77777777" w:rsidR="004A24CB" w:rsidRPr="004A24CB" w:rsidRDefault="004A24CB" w:rsidP="004A24CB">
      <w:pPr>
        <w:pStyle w:val="ListParagraph"/>
        <w:numPr>
          <w:ilvl w:val="0"/>
          <w:numId w:val="3"/>
        </w:numPr>
        <w:spacing w:line="276" w:lineRule="auto"/>
        <w:rPr>
          <w:rFonts w:ascii="Times New Roman" w:hAnsi="Times New Roman" w:cs="Times New Roman"/>
        </w:rPr>
      </w:pPr>
      <w:r w:rsidRPr="004A24CB">
        <w:rPr>
          <w:rFonts w:ascii="Times New Roman" w:hAnsi="Times New Roman" w:cs="Times New Roman"/>
        </w:rPr>
        <w:t>Macneil, I. R. (1978) ‘Contracts: Adjustment of long-term economic relations under classical, neoclassical, and relational contract law’, Northwestern University Law Review, 72, pp. 854–906.</w:t>
      </w:r>
    </w:p>
    <w:p w14:paraId="161EC149" w14:textId="77777777" w:rsidR="004A24CB" w:rsidRPr="004A24CB" w:rsidRDefault="004A24CB" w:rsidP="004A24CB">
      <w:pPr>
        <w:pStyle w:val="ListParagraph"/>
        <w:numPr>
          <w:ilvl w:val="0"/>
          <w:numId w:val="3"/>
        </w:numPr>
        <w:spacing w:line="276" w:lineRule="auto"/>
        <w:rPr>
          <w:rFonts w:ascii="Times New Roman" w:hAnsi="Times New Roman" w:cs="Times New Roman"/>
        </w:rPr>
      </w:pPr>
      <w:r w:rsidRPr="004A24CB">
        <w:rPr>
          <w:rFonts w:ascii="Times New Roman" w:hAnsi="Times New Roman" w:cs="Times New Roman"/>
        </w:rPr>
        <w:t>McKinsey &amp; Company (2021) </w:t>
      </w:r>
      <w:r w:rsidRPr="004A24CB">
        <w:rPr>
          <w:rFonts w:ascii="Times New Roman" w:hAnsi="Times New Roman" w:cs="Times New Roman"/>
          <w:i/>
          <w:iCs/>
        </w:rPr>
        <w:t>Building a More Resilient Vaccine Supply Chain</w:t>
      </w:r>
      <w:r w:rsidRPr="004A24CB">
        <w:rPr>
          <w:rFonts w:ascii="Times New Roman" w:hAnsi="Times New Roman" w:cs="Times New Roman"/>
        </w:rPr>
        <w:t>. Available at: </w:t>
      </w:r>
      <w:hyperlink r:id="rId10" w:tgtFrame="_blank" w:history="1">
        <w:r w:rsidRPr="004A24CB">
          <w:rPr>
            <w:rStyle w:val="Hyperlink"/>
            <w:rFonts w:ascii="Times New Roman" w:hAnsi="Times New Roman" w:cs="Times New Roman"/>
          </w:rPr>
          <w:t>https://www.mckinsey.com/industries/life-sciences/our-insights/building-a-more-resilient-vaccine-supply-chain</w:t>
        </w:r>
      </w:hyperlink>
      <w:r w:rsidRPr="004A24CB">
        <w:rPr>
          <w:rFonts w:ascii="Times New Roman" w:hAnsi="Times New Roman" w:cs="Times New Roman"/>
        </w:rPr>
        <w:t> (Accessed: 31 July 2025).</w:t>
      </w:r>
    </w:p>
    <w:p w14:paraId="34E9C92A" w14:textId="77777777" w:rsidR="004A24CB" w:rsidRPr="004A24CB" w:rsidRDefault="004A24CB" w:rsidP="004A24CB">
      <w:pPr>
        <w:pStyle w:val="ListParagraph"/>
        <w:numPr>
          <w:ilvl w:val="0"/>
          <w:numId w:val="3"/>
        </w:numPr>
        <w:spacing w:line="276" w:lineRule="auto"/>
        <w:rPr>
          <w:rFonts w:ascii="Times New Roman" w:hAnsi="Times New Roman" w:cs="Times New Roman"/>
        </w:rPr>
      </w:pPr>
      <w:r w:rsidRPr="004A24CB">
        <w:rPr>
          <w:rFonts w:ascii="Times New Roman" w:hAnsi="Times New Roman" w:cs="Times New Roman"/>
        </w:rPr>
        <w:t xml:space="preserve">Mollenkopf, D., Stolze, H., Tate, W.L. &amp; </w:t>
      </w:r>
      <w:proofErr w:type="spellStart"/>
      <w:r w:rsidRPr="004A24CB">
        <w:rPr>
          <w:rFonts w:ascii="Times New Roman" w:hAnsi="Times New Roman" w:cs="Times New Roman"/>
        </w:rPr>
        <w:t>Ueltschy</w:t>
      </w:r>
      <w:proofErr w:type="spellEnd"/>
      <w:r w:rsidRPr="004A24CB">
        <w:rPr>
          <w:rFonts w:ascii="Times New Roman" w:hAnsi="Times New Roman" w:cs="Times New Roman"/>
        </w:rPr>
        <w:t>, M. (2022) ‘Supply chain resilience in the face of global disruption: Empirical evidence from the COVID-19 pandemic’, Transportation Journal, 61(2), pp. 109–121.</w:t>
      </w:r>
    </w:p>
    <w:p w14:paraId="07D71A37" w14:textId="77777777" w:rsidR="004A24CB" w:rsidRPr="004A24CB" w:rsidRDefault="004A24CB" w:rsidP="004A24CB">
      <w:pPr>
        <w:pStyle w:val="ListParagraph"/>
        <w:numPr>
          <w:ilvl w:val="0"/>
          <w:numId w:val="3"/>
        </w:numPr>
        <w:spacing w:line="276" w:lineRule="auto"/>
        <w:rPr>
          <w:rFonts w:ascii="Times New Roman" w:hAnsi="Times New Roman" w:cs="Times New Roman"/>
        </w:rPr>
      </w:pPr>
      <w:r w:rsidRPr="004A24CB">
        <w:rPr>
          <w:rFonts w:ascii="Times New Roman" w:hAnsi="Times New Roman" w:cs="Times New Roman"/>
        </w:rPr>
        <w:t>Pfizer (2021) </w:t>
      </w:r>
      <w:r w:rsidRPr="004A24CB">
        <w:rPr>
          <w:rFonts w:ascii="Times New Roman" w:hAnsi="Times New Roman" w:cs="Times New Roman"/>
          <w:i/>
          <w:iCs/>
        </w:rPr>
        <w:t>COVID-19 Vaccine U.S. Distribution Fact Sheet</w:t>
      </w:r>
      <w:r w:rsidRPr="004A24CB">
        <w:rPr>
          <w:rFonts w:ascii="Times New Roman" w:hAnsi="Times New Roman" w:cs="Times New Roman"/>
        </w:rPr>
        <w:t>. Pfizer Inc.</w:t>
      </w:r>
    </w:p>
    <w:p w14:paraId="62156E2B" w14:textId="77777777" w:rsidR="004A24CB" w:rsidRPr="004A24CB" w:rsidRDefault="004A24CB" w:rsidP="004A24CB">
      <w:pPr>
        <w:pStyle w:val="ListParagraph"/>
        <w:numPr>
          <w:ilvl w:val="0"/>
          <w:numId w:val="3"/>
        </w:numPr>
        <w:spacing w:line="276" w:lineRule="auto"/>
        <w:rPr>
          <w:rFonts w:ascii="Times New Roman" w:hAnsi="Times New Roman" w:cs="Times New Roman"/>
        </w:rPr>
      </w:pPr>
      <w:r w:rsidRPr="004A24CB">
        <w:rPr>
          <w:rFonts w:ascii="Times New Roman" w:hAnsi="Times New Roman" w:cs="Times New Roman"/>
        </w:rPr>
        <w:t>Polack, F.P., Thomas, S.J., Kitchin, N. et al. (2020) ‘Safety and efficacy of the BNT162b2 mRNA COVID-19 vaccine’, New England Journal of Medicine, 383(27), pp. 2603–2615.</w:t>
      </w:r>
    </w:p>
    <w:p w14:paraId="6B305EAE" w14:textId="77777777" w:rsidR="004A24CB" w:rsidRPr="004A24CB" w:rsidRDefault="004A24CB" w:rsidP="004A24CB">
      <w:pPr>
        <w:pStyle w:val="ListParagraph"/>
        <w:numPr>
          <w:ilvl w:val="0"/>
          <w:numId w:val="3"/>
        </w:numPr>
        <w:spacing w:line="276" w:lineRule="auto"/>
        <w:rPr>
          <w:rFonts w:ascii="Times New Roman" w:hAnsi="Times New Roman" w:cs="Times New Roman"/>
        </w:rPr>
      </w:pPr>
      <w:r w:rsidRPr="004A24CB">
        <w:rPr>
          <w:rFonts w:ascii="Times New Roman" w:hAnsi="Times New Roman" w:cs="Times New Roman"/>
        </w:rPr>
        <w:lastRenderedPageBreak/>
        <w:t>Poppo, L. &amp; Zenger, T. (2002) ‘Do formal contracts and relational governance function as substitutes or complements?’, Strategic Management Journal, 23(8), pp. 707–725.</w:t>
      </w:r>
    </w:p>
    <w:p w14:paraId="39AD2B1A" w14:textId="77777777" w:rsidR="004A24CB" w:rsidRPr="004A24CB" w:rsidRDefault="004A24CB" w:rsidP="004A24CB">
      <w:pPr>
        <w:pStyle w:val="ListParagraph"/>
        <w:numPr>
          <w:ilvl w:val="0"/>
          <w:numId w:val="3"/>
        </w:numPr>
        <w:spacing w:line="276" w:lineRule="auto"/>
        <w:rPr>
          <w:rFonts w:ascii="Times New Roman" w:hAnsi="Times New Roman" w:cs="Times New Roman"/>
        </w:rPr>
      </w:pPr>
      <w:proofErr w:type="spellStart"/>
      <w:r w:rsidRPr="004A24CB">
        <w:rPr>
          <w:rFonts w:ascii="Times New Roman" w:hAnsi="Times New Roman" w:cs="Times New Roman"/>
        </w:rPr>
        <w:t>Sheffi</w:t>
      </w:r>
      <w:proofErr w:type="spellEnd"/>
      <w:r w:rsidRPr="004A24CB">
        <w:rPr>
          <w:rFonts w:ascii="Times New Roman" w:hAnsi="Times New Roman" w:cs="Times New Roman"/>
        </w:rPr>
        <w:t>, Y. (2005) </w:t>
      </w:r>
      <w:r w:rsidRPr="004A24CB">
        <w:rPr>
          <w:rFonts w:ascii="Times New Roman" w:hAnsi="Times New Roman" w:cs="Times New Roman"/>
          <w:i/>
          <w:iCs/>
        </w:rPr>
        <w:t>The resilient enterprise: Overcoming vulnerability for competitive advantage</w:t>
      </w:r>
      <w:r w:rsidRPr="004A24CB">
        <w:rPr>
          <w:rFonts w:ascii="Times New Roman" w:hAnsi="Times New Roman" w:cs="Times New Roman"/>
        </w:rPr>
        <w:t>. Cambridge, MA: MIT Press.</w:t>
      </w:r>
    </w:p>
    <w:p w14:paraId="435B61E2" w14:textId="77777777" w:rsidR="004A24CB" w:rsidRPr="004A24CB" w:rsidRDefault="004A24CB" w:rsidP="004A24CB">
      <w:pPr>
        <w:pStyle w:val="ListParagraph"/>
        <w:numPr>
          <w:ilvl w:val="0"/>
          <w:numId w:val="3"/>
        </w:numPr>
        <w:spacing w:line="276" w:lineRule="auto"/>
        <w:rPr>
          <w:rFonts w:ascii="Times New Roman" w:hAnsi="Times New Roman" w:cs="Times New Roman"/>
        </w:rPr>
      </w:pPr>
      <w:r w:rsidRPr="004A24CB">
        <w:rPr>
          <w:rFonts w:ascii="Times New Roman" w:hAnsi="Times New Roman" w:cs="Times New Roman"/>
        </w:rPr>
        <w:t>Shih, W.C. (2021) ‘Is it time to rethink globalized supply chains?’, Harvard Business Review, May–June.</w:t>
      </w:r>
    </w:p>
    <w:p w14:paraId="23C6E1FC" w14:textId="77777777" w:rsidR="004A24CB" w:rsidRPr="004A24CB" w:rsidRDefault="004A24CB" w:rsidP="004A24CB">
      <w:pPr>
        <w:pStyle w:val="ListParagraph"/>
        <w:numPr>
          <w:ilvl w:val="0"/>
          <w:numId w:val="3"/>
        </w:numPr>
        <w:spacing w:line="276" w:lineRule="auto"/>
        <w:rPr>
          <w:rFonts w:ascii="Times New Roman" w:hAnsi="Times New Roman" w:cs="Times New Roman"/>
        </w:rPr>
      </w:pPr>
      <w:r w:rsidRPr="004A24CB">
        <w:rPr>
          <w:rFonts w:ascii="Times New Roman" w:hAnsi="Times New Roman" w:cs="Times New Roman"/>
        </w:rPr>
        <w:t>Slaoui, M. &amp; Hepburn, M. (2021) ‘Developing safe and effective Covid vaccines — Operation Warp Speed’s strategy and approach’, New England Journal of Medicine, 383(18), pp. 1701–1703.</w:t>
      </w:r>
    </w:p>
    <w:p w14:paraId="1FD853F2" w14:textId="77777777" w:rsidR="004A24CB" w:rsidRPr="004A24CB" w:rsidRDefault="004A24CB" w:rsidP="004A24CB">
      <w:pPr>
        <w:pStyle w:val="ListParagraph"/>
        <w:numPr>
          <w:ilvl w:val="0"/>
          <w:numId w:val="3"/>
        </w:numPr>
        <w:spacing w:line="276" w:lineRule="auto"/>
        <w:rPr>
          <w:rFonts w:ascii="Times New Roman" w:hAnsi="Times New Roman" w:cs="Times New Roman"/>
        </w:rPr>
      </w:pPr>
      <w:r w:rsidRPr="004A24CB">
        <w:rPr>
          <w:rFonts w:ascii="Times New Roman" w:hAnsi="Times New Roman" w:cs="Times New Roman"/>
        </w:rPr>
        <w:t>Sparrow, A. &amp; Dart, J. (2021) ‘The race for the vaccine’, Nature, 589, pp. 330–333.</w:t>
      </w:r>
    </w:p>
    <w:p w14:paraId="491924C2" w14:textId="77777777" w:rsidR="004A24CB" w:rsidRPr="004A24CB" w:rsidRDefault="004A24CB" w:rsidP="004A24CB">
      <w:pPr>
        <w:pStyle w:val="ListParagraph"/>
        <w:numPr>
          <w:ilvl w:val="0"/>
          <w:numId w:val="3"/>
        </w:numPr>
        <w:spacing w:line="276" w:lineRule="auto"/>
        <w:rPr>
          <w:rFonts w:ascii="Times New Roman" w:hAnsi="Times New Roman" w:cs="Times New Roman"/>
        </w:rPr>
      </w:pPr>
      <w:r w:rsidRPr="004A24CB">
        <w:rPr>
          <w:rFonts w:ascii="Times New Roman" w:hAnsi="Times New Roman" w:cs="Times New Roman"/>
        </w:rPr>
        <w:t>Stamatis, D.H. (2003) </w:t>
      </w:r>
      <w:r w:rsidRPr="004A24CB">
        <w:rPr>
          <w:rFonts w:ascii="Times New Roman" w:hAnsi="Times New Roman" w:cs="Times New Roman"/>
          <w:i/>
          <w:iCs/>
        </w:rPr>
        <w:t>Failure mode and effect analysis: FMEA from theory to execution</w:t>
      </w:r>
      <w:r w:rsidRPr="004A24CB">
        <w:rPr>
          <w:rFonts w:ascii="Times New Roman" w:hAnsi="Times New Roman" w:cs="Times New Roman"/>
        </w:rPr>
        <w:t xml:space="preserve">. 2nd </w:t>
      </w:r>
      <w:proofErr w:type="spellStart"/>
      <w:r w:rsidRPr="004A24CB">
        <w:rPr>
          <w:rFonts w:ascii="Times New Roman" w:hAnsi="Times New Roman" w:cs="Times New Roman"/>
        </w:rPr>
        <w:t>edn</w:t>
      </w:r>
      <w:proofErr w:type="spellEnd"/>
      <w:r w:rsidRPr="004A24CB">
        <w:rPr>
          <w:rFonts w:ascii="Times New Roman" w:hAnsi="Times New Roman" w:cs="Times New Roman"/>
        </w:rPr>
        <w:t>. Milwaukee, WI: ASQ Quality Press.</w:t>
      </w:r>
    </w:p>
    <w:p w14:paraId="64A40901" w14:textId="77777777" w:rsidR="004A24CB" w:rsidRPr="004A24CB" w:rsidRDefault="004A24CB" w:rsidP="004A24CB">
      <w:pPr>
        <w:pStyle w:val="ListParagraph"/>
        <w:numPr>
          <w:ilvl w:val="0"/>
          <w:numId w:val="3"/>
        </w:numPr>
        <w:spacing w:line="276" w:lineRule="auto"/>
        <w:rPr>
          <w:rFonts w:ascii="Times New Roman" w:hAnsi="Times New Roman" w:cs="Times New Roman"/>
        </w:rPr>
      </w:pPr>
      <w:r w:rsidRPr="004A24CB">
        <w:rPr>
          <w:rFonts w:ascii="Times New Roman" w:hAnsi="Times New Roman" w:cs="Times New Roman"/>
        </w:rPr>
        <w:t>Tang, C.S. (2006) ‘Robust strategies for mitigating supply chain disruptions’, International Journal of Logistics: Research and Applications, 9(1), pp. 33–45.</w:t>
      </w:r>
    </w:p>
    <w:p w14:paraId="03FA661A" w14:textId="77777777" w:rsidR="004A24CB" w:rsidRPr="004A24CB" w:rsidRDefault="004A24CB" w:rsidP="004A24CB">
      <w:pPr>
        <w:pStyle w:val="ListParagraph"/>
        <w:numPr>
          <w:ilvl w:val="0"/>
          <w:numId w:val="3"/>
        </w:numPr>
        <w:spacing w:line="276" w:lineRule="auto"/>
        <w:rPr>
          <w:rFonts w:ascii="Times New Roman" w:hAnsi="Times New Roman" w:cs="Times New Roman"/>
        </w:rPr>
      </w:pPr>
      <w:r w:rsidRPr="004A24CB">
        <w:rPr>
          <w:rFonts w:ascii="Times New Roman" w:hAnsi="Times New Roman" w:cs="Times New Roman"/>
        </w:rPr>
        <w:t>World Health Organization (WHO) (2022) </w:t>
      </w:r>
      <w:r w:rsidRPr="004A24CB">
        <w:rPr>
          <w:rFonts w:ascii="Times New Roman" w:hAnsi="Times New Roman" w:cs="Times New Roman"/>
          <w:i/>
          <w:iCs/>
        </w:rPr>
        <w:t>COVID-19 vaccine introduction and deployment</w:t>
      </w:r>
      <w:r w:rsidRPr="004A24CB">
        <w:rPr>
          <w:rFonts w:ascii="Times New Roman" w:hAnsi="Times New Roman" w:cs="Times New Roman"/>
        </w:rPr>
        <w:t>. WHO. Available at: </w:t>
      </w:r>
      <w:hyperlink r:id="rId11" w:tgtFrame="_blank" w:history="1">
        <w:r w:rsidRPr="004A24CB">
          <w:rPr>
            <w:rStyle w:val="Hyperlink"/>
            <w:rFonts w:ascii="Times New Roman" w:hAnsi="Times New Roman" w:cs="Times New Roman"/>
          </w:rPr>
          <w:t>https://www.who.int/initiatives/act-accelerator/covid-19-vaccine-introduction-and-deployment</w:t>
        </w:r>
      </w:hyperlink>
      <w:r w:rsidRPr="004A24CB">
        <w:rPr>
          <w:rFonts w:ascii="Times New Roman" w:hAnsi="Times New Roman" w:cs="Times New Roman"/>
        </w:rPr>
        <w:t> (Accessed: 31 July 2025).</w:t>
      </w:r>
    </w:p>
    <w:p w14:paraId="428D8923" w14:textId="77777777" w:rsidR="00376ABE" w:rsidRPr="004A24CB" w:rsidRDefault="00376ABE" w:rsidP="004A24CB">
      <w:pPr>
        <w:spacing w:line="276" w:lineRule="auto"/>
        <w:rPr>
          <w:rFonts w:ascii="Times New Roman" w:hAnsi="Times New Roman" w:cs="Times New Roman"/>
        </w:rPr>
      </w:pPr>
    </w:p>
    <w:sectPr w:rsidR="00376ABE" w:rsidRPr="004A24CB" w:rsidSect="004A24C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C59170" w14:textId="77777777" w:rsidR="0077269C" w:rsidRDefault="0077269C" w:rsidP="004A24CB">
      <w:pPr>
        <w:spacing w:after="0" w:line="240" w:lineRule="auto"/>
      </w:pPr>
      <w:r>
        <w:separator/>
      </w:r>
    </w:p>
  </w:endnote>
  <w:endnote w:type="continuationSeparator" w:id="0">
    <w:p w14:paraId="1E137211" w14:textId="77777777" w:rsidR="0077269C" w:rsidRDefault="0077269C" w:rsidP="004A24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E2808" w14:textId="77777777" w:rsidR="004A24CB" w:rsidRDefault="004A24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0342781"/>
      <w:docPartObj>
        <w:docPartGallery w:val="Page Numbers (Bottom of Page)"/>
        <w:docPartUnique/>
      </w:docPartObj>
    </w:sdtPr>
    <w:sdtEndPr>
      <w:rPr>
        <w:noProof/>
      </w:rPr>
    </w:sdtEndPr>
    <w:sdtContent>
      <w:p w14:paraId="339F738F" w14:textId="32DACEA1" w:rsidR="004A24CB" w:rsidRDefault="004A24C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9FCE93" w14:textId="77777777" w:rsidR="004A24CB" w:rsidRDefault="004A24C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F319F" w14:textId="77777777" w:rsidR="004A24CB" w:rsidRDefault="004A24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4EE9B" w14:textId="77777777" w:rsidR="0077269C" w:rsidRDefault="0077269C" w:rsidP="004A24CB">
      <w:pPr>
        <w:spacing w:after="0" w:line="240" w:lineRule="auto"/>
      </w:pPr>
      <w:r>
        <w:separator/>
      </w:r>
    </w:p>
  </w:footnote>
  <w:footnote w:type="continuationSeparator" w:id="0">
    <w:p w14:paraId="6E22ADC0" w14:textId="77777777" w:rsidR="0077269C" w:rsidRDefault="0077269C" w:rsidP="004A24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D4818" w14:textId="77777777" w:rsidR="004A24CB" w:rsidRDefault="004A24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A0536" w14:textId="77777777" w:rsidR="004A24CB" w:rsidRDefault="004A24C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319FE" w14:textId="77777777" w:rsidR="004A24CB" w:rsidRDefault="004A24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C122E"/>
    <w:multiLevelType w:val="hybridMultilevel"/>
    <w:tmpl w:val="6884F4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6B37341"/>
    <w:multiLevelType w:val="hybridMultilevel"/>
    <w:tmpl w:val="A8C63D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2326243"/>
    <w:multiLevelType w:val="multilevel"/>
    <w:tmpl w:val="DA1AD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4494039">
    <w:abstractNumId w:val="1"/>
  </w:num>
  <w:num w:numId="2" w16cid:durableId="592397517">
    <w:abstractNumId w:val="2"/>
  </w:num>
  <w:num w:numId="3" w16cid:durableId="1755928588">
    <w:abstractNumId w:val="0"/>
  </w:num>
  <w:num w:numId="4" w16cid:durableId="17036299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A88"/>
    <w:rsid w:val="00376ABE"/>
    <w:rsid w:val="004A24CB"/>
    <w:rsid w:val="0077269C"/>
    <w:rsid w:val="008F4A88"/>
    <w:rsid w:val="00D22A77"/>
    <w:rsid w:val="00FE42E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9D464C"/>
  <w15:chartTrackingRefBased/>
  <w15:docId w15:val="{57E45E30-13E6-43E5-B5F5-CBFC1A102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4A8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F4A8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F4A8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F4A8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F4A8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F4A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4A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4A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4A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4A8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F4A8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F4A8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F4A8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F4A8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F4A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4A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4A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4A88"/>
    <w:rPr>
      <w:rFonts w:eastAsiaTheme="majorEastAsia" w:cstheme="majorBidi"/>
      <w:color w:val="272727" w:themeColor="text1" w:themeTint="D8"/>
    </w:rPr>
  </w:style>
  <w:style w:type="paragraph" w:styleId="Title">
    <w:name w:val="Title"/>
    <w:basedOn w:val="Normal"/>
    <w:next w:val="Normal"/>
    <w:link w:val="TitleChar"/>
    <w:uiPriority w:val="10"/>
    <w:qFormat/>
    <w:rsid w:val="008F4A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4A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4A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4A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4A88"/>
    <w:pPr>
      <w:spacing w:before="160"/>
      <w:jc w:val="center"/>
    </w:pPr>
    <w:rPr>
      <w:i/>
      <w:iCs/>
      <w:color w:val="404040" w:themeColor="text1" w:themeTint="BF"/>
    </w:rPr>
  </w:style>
  <w:style w:type="character" w:customStyle="1" w:styleId="QuoteChar">
    <w:name w:val="Quote Char"/>
    <w:basedOn w:val="DefaultParagraphFont"/>
    <w:link w:val="Quote"/>
    <w:uiPriority w:val="29"/>
    <w:rsid w:val="008F4A88"/>
    <w:rPr>
      <w:i/>
      <w:iCs/>
      <w:color w:val="404040" w:themeColor="text1" w:themeTint="BF"/>
    </w:rPr>
  </w:style>
  <w:style w:type="paragraph" w:styleId="ListParagraph">
    <w:name w:val="List Paragraph"/>
    <w:basedOn w:val="Normal"/>
    <w:uiPriority w:val="34"/>
    <w:qFormat/>
    <w:rsid w:val="008F4A88"/>
    <w:pPr>
      <w:ind w:left="720"/>
      <w:contextualSpacing/>
    </w:pPr>
  </w:style>
  <w:style w:type="character" w:styleId="IntenseEmphasis">
    <w:name w:val="Intense Emphasis"/>
    <w:basedOn w:val="DefaultParagraphFont"/>
    <w:uiPriority w:val="21"/>
    <w:qFormat/>
    <w:rsid w:val="008F4A88"/>
    <w:rPr>
      <w:i/>
      <w:iCs/>
      <w:color w:val="2F5496" w:themeColor="accent1" w:themeShade="BF"/>
    </w:rPr>
  </w:style>
  <w:style w:type="paragraph" w:styleId="IntenseQuote">
    <w:name w:val="Intense Quote"/>
    <w:basedOn w:val="Normal"/>
    <w:next w:val="Normal"/>
    <w:link w:val="IntenseQuoteChar"/>
    <w:uiPriority w:val="30"/>
    <w:qFormat/>
    <w:rsid w:val="008F4A8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F4A88"/>
    <w:rPr>
      <w:i/>
      <w:iCs/>
      <w:color w:val="2F5496" w:themeColor="accent1" w:themeShade="BF"/>
    </w:rPr>
  </w:style>
  <w:style w:type="character" w:styleId="IntenseReference">
    <w:name w:val="Intense Reference"/>
    <w:basedOn w:val="DefaultParagraphFont"/>
    <w:uiPriority w:val="32"/>
    <w:qFormat/>
    <w:rsid w:val="008F4A88"/>
    <w:rPr>
      <w:b/>
      <w:bCs/>
      <w:smallCaps/>
      <w:color w:val="2F5496" w:themeColor="accent1" w:themeShade="BF"/>
      <w:spacing w:val="5"/>
    </w:rPr>
  </w:style>
  <w:style w:type="paragraph" w:styleId="NoSpacing">
    <w:name w:val="No Spacing"/>
    <w:uiPriority w:val="1"/>
    <w:qFormat/>
    <w:rsid w:val="008F4A88"/>
    <w:pPr>
      <w:spacing w:after="0" w:line="240" w:lineRule="auto"/>
    </w:pPr>
  </w:style>
  <w:style w:type="table" w:styleId="TableGrid">
    <w:name w:val="Table Grid"/>
    <w:basedOn w:val="TableNormal"/>
    <w:uiPriority w:val="39"/>
    <w:rsid w:val="008F4A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A24CB"/>
    <w:rPr>
      <w:color w:val="0563C1" w:themeColor="hyperlink"/>
      <w:u w:val="single"/>
    </w:rPr>
  </w:style>
  <w:style w:type="character" w:styleId="UnresolvedMention">
    <w:name w:val="Unresolved Mention"/>
    <w:basedOn w:val="DefaultParagraphFont"/>
    <w:uiPriority w:val="99"/>
    <w:semiHidden/>
    <w:unhideWhenUsed/>
    <w:rsid w:val="004A24CB"/>
    <w:rPr>
      <w:color w:val="605E5C"/>
      <w:shd w:val="clear" w:color="auto" w:fill="E1DFDD"/>
    </w:rPr>
  </w:style>
  <w:style w:type="paragraph" w:styleId="TOCHeading">
    <w:name w:val="TOC Heading"/>
    <w:basedOn w:val="Heading1"/>
    <w:next w:val="Normal"/>
    <w:uiPriority w:val="39"/>
    <w:unhideWhenUsed/>
    <w:qFormat/>
    <w:rsid w:val="004A24C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A24CB"/>
    <w:pPr>
      <w:spacing w:after="100"/>
    </w:pPr>
  </w:style>
  <w:style w:type="paragraph" w:styleId="TOC2">
    <w:name w:val="toc 2"/>
    <w:basedOn w:val="Normal"/>
    <w:next w:val="Normal"/>
    <w:autoRedefine/>
    <w:uiPriority w:val="39"/>
    <w:unhideWhenUsed/>
    <w:rsid w:val="004A24CB"/>
    <w:pPr>
      <w:spacing w:after="100"/>
      <w:ind w:left="240"/>
    </w:pPr>
  </w:style>
  <w:style w:type="paragraph" w:styleId="Header">
    <w:name w:val="header"/>
    <w:basedOn w:val="Normal"/>
    <w:link w:val="HeaderChar"/>
    <w:rsid w:val="004A24CB"/>
    <w:pPr>
      <w:tabs>
        <w:tab w:val="center" w:pos="4153"/>
        <w:tab w:val="right" w:pos="8306"/>
      </w:tabs>
      <w:spacing w:after="0" w:line="240" w:lineRule="auto"/>
    </w:pPr>
    <w:rPr>
      <w:rFonts w:ascii="Times New Roman" w:eastAsia="Times New Roman" w:hAnsi="Times New Roman" w:cs="Times New Roman"/>
      <w:kern w:val="0"/>
      <w:sz w:val="20"/>
      <w:szCs w:val="20"/>
      <w:lang w:val="en-GB" w:eastAsia="en-GB"/>
      <w14:ligatures w14:val="none"/>
    </w:rPr>
  </w:style>
  <w:style w:type="character" w:customStyle="1" w:styleId="HeaderChar">
    <w:name w:val="Header Char"/>
    <w:basedOn w:val="DefaultParagraphFont"/>
    <w:link w:val="Header"/>
    <w:rsid w:val="004A24CB"/>
    <w:rPr>
      <w:rFonts w:ascii="Times New Roman" w:eastAsia="Times New Roman" w:hAnsi="Times New Roman" w:cs="Times New Roman"/>
      <w:kern w:val="0"/>
      <w:sz w:val="20"/>
      <w:szCs w:val="20"/>
      <w:lang w:val="en-GB" w:eastAsia="en-GB"/>
      <w14:ligatures w14:val="none"/>
    </w:rPr>
  </w:style>
  <w:style w:type="paragraph" w:styleId="Footer">
    <w:name w:val="footer"/>
    <w:basedOn w:val="Normal"/>
    <w:link w:val="FooterChar"/>
    <w:uiPriority w:val="99"/>
    <w:unhideWhenUsed/>
    <w:rsid w:val="004A24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24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130519">
      <w:bodyDiv w:val="1"/>
      <w:marLeft w:val="0"/>
      <w:marRight w:val="0"/>
      <w:marTop w:val="0"/>
      <w:marBottom w:val="0"/>
      <w:divBdr>
        <w:top w:val="none" w:sz="0" w:space="0" w:color="auto"/>
        <w:left w:val="none" w:sz="0" w:space="0" w:color="auto"/>
        <w:bottom w:val="none" w:sz="0" w:space="0" w:color="auto"/>
        <w:right w:val="none" w:sz="0" w:space="0" w:color="auto"/>
      </w:divBdr>
    </w:div>
    <w:div w:id="168906664">
      <w:bodyDiv w:val="1"/>
      <w:marLeft w:val="0"/>
      <w:marRight w:val="0"/>
      <w:marTop w:val="0"/>
      <w:marBottom w:val="0"/>
      <w:divBdr>
        <w:top w:val="none" w:sz="0" w:space="0" w:color="auto"/>
        <w:left w:val="none" w:sz="0" w:space="0" w:color="auto"/>
        <w:bottom w:val="none" w:sz="0" w:space="0" w:color="auto"/>
        <w:right w:val="none" w:sz="0" w:space="0" w:color="auto"/>
      </w:divBdr>
    </w:div>
    <w:div w:id="231238546">
      <w:bodyDiv w:val="1"/>
      <w:marLeft w:val="0"/>
      <w:marRight w:val="0"/>
      <w:marTop w:val="0"/>
      <w:marBottom w:val="0"/>
      <w:divBdr>
        <w:top w:val="none" w:sz="0" w:space="0" w:color="auto"/>
        <w:left w:val="none" w:sz="0" w:space="0" w:color="auto"/>
        <w:bottom w:val="none" w:sz="0" w:space="0" w:color="auto"/>
        <w:right w:val="none" w:sz="0" w:space="0" w:color="auto"/>
      </w:divBdr>
    </w:div>
    <w:div w:id="244606288">
      <w:bodyDiv w:val="1"/>
      <w:marLeft w:val="0"/>
      <w:marRight w:val="0"/>
      <w:marTop w:val="0"/>
      <w:marBottom w:val="0"/>
      <w:divBdr>
        <w:top w:val="none" w:sz="0" w:space="0" w:color="auto"/>
        <w:left w:val="none" w:sz="0" w:space="0" w:color="auto"/>
        <w:bottom w:val="none" w:sz="0" w:space="0" w:color="auto"/>
        <w:right w:val="none" w:sz="0" w:space="0" w:color="auto"/>
      </w:divBdr>
    </w:div>
    <w:div w:id="502748710">
      <w:bodyDiv w:val="1"/>
      <w:marLeft w:val="0"/>
      <w:marRight w:val="0"/>
      <w:marTop w:val="0"/>
      <w:marBottom w:val="0"/>
      <w:divBdr>
        <w:top w:val="none" w:sz="0" w:space="0" w:color="auto"/>
        <w:left w:val="none" w:sz="0" w:space="0" w:color="auto"/>
        <w:bottom w:val="none" w:sz="0" w:space="0" w:color="auto"/>
        <w:right w:val="none" w:sz="0" w:space="0" w:color="auto"/>
      </w:divBdr>
    </w:div>
    <w:div w:id="576324989">
      <w:bodyDiv w:val="1"/>
      <w:marLeft w:val="0"/>
      <w:marRight w:val="0"/>
      <w:marTop w:val="0"/>
      <w:marBottom w:val="0"/>
      <w:divBdr>
        <w:top w:val="none" w:sz="0" w:space="0" w:color="auto"/>
        <w:left w:val="none" w:sz="0" w:space="0" w:color="auto"/>
        <w:bottom w:val="none" w:sz="0" w:space="0" w:color="auto"/>
        <w:right w:val="none" w:sz="0" w:space="0" w:color="auto"/>
      </w:divBdr>
    </w:div>
    <w:div w:id="591202887">
      <w:bodyDiv w:val="1"/>
      <w:marLeft w:val="0"/>
      <w:marRight w:val="0"/>
      <w:marTop w:val="0"/>
      <w:marBottom w:val="0"/>
      <w:divBdr>
        <w:top w:val="none" w:sz="0" w:space="0" w:color="auto"/>
        <w:left w:val="none" w:sz="0" w:space="0" w:color="auto"/>
        <w:bottom w:val="none" w:sz="0" w:space="0" w:color="auto"/>
        <w:right w:val="none" w:sz="0" w:space="0" w:color="auto"/>
      </w:divBdr>
    </w:div>
    <w:div w:id="613751890">
      <w:bodyDiv w:val="1"/>
      <w:marLeft w:val="0"/>
      <w:marRight w:val="0"/>
      <w:marTop w:val="0"/>
      <w:marBottom w:val="0"/>
      <w:divBdr>
        <w:top w:val="none" w:sz="0" w:space="0" w:color="auto"/>
        <w:left w:val="none" w:sz="0" w:space="0" w:color="auto"/>
        <w:bottom w:val="none" w:sz="0" w:space="0" w:color="auto"/>
        <w:right w:val="none" w:sz="0" w:space="0" w:color="auto"/>
      </w:divBdr>
    </w:div>
    <w:div w:id="638461925">
      <w:bodyDiv w:val="1"/>
      <w:marLeft w:val="0"/>
      <w:marRight w:val="0"/>
      <w:marTop w:val="0"/>
      <w:marBottom w:val="0"/>
      <w:divBdr>
        <w:top w:val="none" w:sz="0" w:space="0" w:color="auto"/>
        <w:left w:val="none" w:sz="0" w:space="0" w:color="auto"/>
        <w:bottom w:val="none" w:sz="0" w:space="0" w:color="auto"/>
        <w:right w:val="none" w:sz="0" w:space="0" w:color="auto"/>
      </w:divBdr>
    </w:div>
    <w:div w:id="762579464">
      <w:bodyDiv w:val="1"/>
      <w:marLeft w:val="0"/>
      <w:marRight w:val="0"/>
      <w:marTop w:val="0"/>
      <w:marBottom w:val="0"/>
      <w:divBdr>
        <w:top w:val="none" w:sz="0" w:space="0" w:color="auto"/>
        <w:left w:val="none" w:sz="0" w:space="0" w:color="auto"/>
        <w:bottom w:val="none" w:sz="0" w:space="0" w:color="auto"/>
        <w:right w:val="none" w:sz="0" w:space="0" w:color="auto"/>
      </w:divBdr>
    </w:div>
    <w:div w:id="763959745">
      <w:bodyDiv w:val="1"/>
      <w:marLeft w:val="0"/>
      <w:marRight w:val="0"/>
      <w:marTop w:val="0"/>
      <w:marBottom w:val="0"/>
      <w:divBdr>
        <w:top w:val="none" w:sz="0" w:space="0" w:color="auto"/>
        <w:left w:val="none" w:sz="0" w:space="0" w:color="auto"/>
        <w:bottom w:val="none" w:sz="0" w:space="0" w:color="auto"/>
        <w:right w:val="none" w:sz="0" w:space="0" w:color="auto"/>
      </w:divBdr>
      <w:divsChild>
        <w:div w:id="142434656">
          <w:marLeft w:val="0"/>
          <w:marRight w:val="0"/>
          <w:marTop w:val="0"/>
          <w:marBottom w:val="0"/>
          <w:divBdr>
            <w:top w:val="none" w:sz="0" w:space="0" w:color="auto"/>
            <w:left w:val="none" w:sz="0" w:space="0" w:color="auto"/>
            <w:bottom w:val="none" w:sz="0" w:space="0" w:color="auto"/>
            <w:right w:val="none" w:sz="0" w:space="0" w:color="auto"/>
          </w:divBdr>
          <w:divsChild>
            <w:div w:id="43482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194318">
      <w:bodyDiv w:val="1"/>
      <w:marLeft w:val="0"/>
      <w:marRight w:val="0"/>
      <w:marTop w:val="0"/>
      <w:marBottom w:val="0"/>
      <w:divBdr>
        <w:top w:val="none" w:sz="0" w:space="0" w:color="auto"/>
        <w:left w:val="none" w:sz="0" w:space="0" w:color="auto"/>
        <w:bottom w:val="none" w:sz="0" w:space="0" w:color="auto"/>
        <w:right w:val="none" w:sz="0" w:space="0" w:color="auto"/>
      </w:divBdr>
    </w:div>
    <w:div w:id="897398201">
      <w:bodyDiv w:val="1"/>
      <w:marLeft w:val="0"/>
      <w:marRight w:val="0"/>
      <w:marTop w:val="0"/>
      <w:marBottom w:val="0"/>
      <w:divBdr>
        <w:top w:val="none" w:sz="0" w:space="0" w:color="auto"/>
        <w:left w:val="none" w:sz="0" w:space="0" w:color="auto"/>
        <w:bottom w:val="none" w:sz="0" w:space="0" w:color="auto"/>
        <w:right w:val="none" w:sz="0" w:space="0" w:color="auto"/>
      </w:divBdr>
    </w:div>
    <w:div w:id="964192578">
      <w:bodyDiv w:val="1"/>
      <w:marLeft w:val="0"/>
      <w:marRight w:val="0"/>
      <w:marTop w:val="0"/>
      <w:marBottom w:val="0"/>
      <w:divBdr>
        <w:top w:val="none" w:sz="0" w:space="0" w:color="auto"/>
        <w:left w:val="none" w:sz="0" w:space="0" w:color="auto"/>
        <w:bottom w:val="none" w:sz="0" w:space="0" w:color="auto"/>
        <w:right w:val="none" w:sz="0" w:space="0" w:color="auto"/>
      </w:divBdr>
    </w:div>
    <w:div w:id="1002587418">
      <w:bodyDiv w:val="1"/>
      <w:marLeft w:val="0"/>
      <w:marRight w:val="0"/>
      <w:marTop w:val="0"/>
      <w:marBottom w:val="0"/>
      <w:divBdr>
        <w:top w:val="none" w:sz="0" w:space="0" w:color="auto"/>
        <w:left w:val="none" w:sz="0" w:space="0" w:color="auto"/>
        <w:bottom w:val="none" w:sz="0" w:space="0" w:color="auto"/>
        <w:right w:val="none" w:sz="0" w:space="0" w:color="auto"/>
      </w:divBdr>
    </w:div>
    <w:div w:id="1036465706">
      <w:bodyDiv w:val="1"/>
      <w:marLeft w:val="0"/>
      <w:marRight w:val="0"/>
      <w:marTop w:val="0"/>
      <w:marBottom w:val="0"/>
      <w:divBdr>
        <w:top w:val="none" w:sz="0" w:space="0" w:color="auto"/>
        <w:left w:val="none" w:sz="0" w:space="0" w:color="auto"/>
        <w:bottom w:val="none" w:sz="0" w:space="0" w:color="auto"/>
        <w:right w:val="none" w:sz="0" w:space="0" w:color="auto"/>
      </w:divBdr>
    </w:div>
    <w:div w:id="1256750143">
      <w:bodyDiv w:val="1"/>
      <w:marLeft w:val="0"/>
      <w:marRight w:val="0"/>
      <w:marTop w:val="0"/>
      <w:marBottom w:val="0"/>
      <w:divBdr>
        <w:top w:val="none" w:sz="0" w:space="0" w:color="auto"/>
        <w:left w:val="none" w:sz="0" w:space="0" w:color="auto"/>
        <w:bottom w:val="none" w:sz="0" w:space="0" w:color="auto"/>
        <w:right w:val="none" w:sz="0" w:space="0" w:color="auto"/>
      </w:divBdr>
      <w:divsChild>
        <w:div w:id="1316374474">
          <w:marLeft w:val="0"/>
          <w:marRight w:val="0"/>
          <w:marTop w:val="0"/>
          <w:marBottom w:val="0"/>
          <w:divBdr>
            <w:top w:val="none" w:sz="0" w:space="0" w:color="auto"/>
            <w:left w:val="none" w:sz="0" w:space="0" w:color="auto"/>
            <w:bottom w:val="none" w:sz="0" w:space="0" w:color="auto"/>
            <w:right w:val="none" w:sz="0" w:space="0" w:color="auto"/>
          </w:divBdr>
          <w:divsChild>
            <w:div w:id="176961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ho.int/initiatives/act-accelerator/covid-19-vaccine-introduction-and-deploymen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mckinsey.com/industries/life-sciences/our-insights/building-a-more-resilient-vaccine-supply-chai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EC7981-2152-497D-8CD7-17BDD368D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15</Pages>
  <Words>4485</Words>
  <Characters>29139</Characters>
  <Application>Microsoft Office Word</Application>
  <DocSecurity>0</DocSecurity>
  <Lines>662</Lines>
  <Paragraphs>234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chaitanya</dc:creator>
  <cp:keywords/>
  <dc:description/>
  <cp:lastModifiedBy>babithasai yadla</cp:lastModifiedBy>
  <cp:revision>1</cp:revision>
  <dcterms:created xsi:type="dcterms:W3CDTF">2025-07-31T20:00:00Z</dcterms:created>
  <dcterms:modified xsi:type="dcterms:W3CDTF">2025-07-31T21:27:00Z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7dbdaf66-8a59-4271-8f2d-79a52fd1f8fd</vt:lpwstr>
  </property>
</Properties>
</file>