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418AAF" w14:textId="2DC44F98" w:rsidR="00F2180C" w:rsidRDefault="00F2180C" w:rsidP="00F2180C">
      <w:pPr>
        <w:spacing w:line="360" w:lineRule="auto"/>
        <w:rPr>
          <w:rFonts w:ascii="Times New Roman" w:hAnsi="Times New Roman" w:cs="Times New Roman"/>
        </w:rPr>
      </w:pPr>
    </w:p>
    <w:p w14:paraId="5C9590F1" w14:textId="70E64DD5" w:rsidR="00CB2247" w:rsidRDefault="00CB2247" w:rsidP="00F2180C">
      <w:pPr>
        <w:spacing w:line="360" w:lineRule="auto"/>
        <w:rPr>
          <w:rFonts w:ascii="Times New Roman" w:hAnsi="Times New Roman" w:cs="Times New Roman"/>
        </w:rPr>
      </w:pPr>
    </w:p>
    <w:p w14:paraId="59724931" w14:textId="77777777" w:rsidR="00F2180C" w:rsidRPr="001A5A7A" w:rsidRDefault="00F2180C" w:rsidP="00A86865">
      <w:pPr>
        <w:spacing w:line="360" w:lineRule="auto"/>
        <w:jc w:val="center"/>
        <w:rPr>
          <w:rFonts w:ascii="Times New Roman" w:hAnsi="Times New Roman" w:cs="Times New Roman"/>
          <w:b/>
          <w:sz w:val="32"/>
          <w:szCs w:val="32"/>
          <w:u w:val="single"/>
        </w:rPr>
      </w:pPr>
      <w:r w:rsidRPr="001A5A7A">
        <w:rPr>
          <w:rFonts w:ascii="Times New Roman" w:hAnsi="Times New Roman" w:cs="Times New Roman"/>
          <w:b/>
          <w:sz w:val="32"/>
          <w:szCs w:val="32"/>
          <w:u w:val="single"/>
        </w:rPr>
        <w:t>Executive Summary</w:t>
      </w:r>
    </w:p>
    <w:p w14:paraId="3433CC34" w14:textId="2091467F" w:rsidR="00F2180C" w:rsidRPr="00F2180C" w:rsidRDefault="005B3DD8" w:rsidP="00F2180C">
      <w:pPr>
        <w:spacing w:line="360" w:lineRule="auto"/>
        <w:jc w:val="both"/>
        <w:rPr>
          <w:rFonts w:ascii="Times New Roman" w:hAnsi="Times New Roman" w:cs="Times New Roman"/>
        </w:rPr>
      </w:pPr>
      <w:r>
        <w:rPr>
          <w:rFonts w:ascii="Times New Roman" w:hAnsi="Times New Roman" w:cs="Times New Roman"/>
        </w:rPr>
        <w:t>World</w:t>
      </w:r>
      <w:r w:rsidR="00F2180C" w:rsidRPr="00F2180C">
        <w:rPr>
          <w:rFonts w:ascii="Times New Roman" w:hAnsi="Times New Roman" w:cs="Times New Roman"/>
        </w:rPr>
        <w:t xml:space="preserve"> is </w:t>
      </w:r>
      <w:r w:rsidR="002E4EB7">
        <w:rPr>
          <w:rFonts w:ascii="Times New Roman" w:hAnsi="Times New Roman" w:cs="Times New Roman"/>
        </w:rPr>
        <w:t>witnessing</w:t>
      </w:r>
      <w:r w:rsidR="00F2180C" w:rsidRPr="00F2180C">
        <w:rPr>
          <w:rFonts w:ascii="Times New Roman" w:hAnsi="Times New Roman" w:cs="Times New Roman"/>
        </w:rPr>
        <w:t xml:space="preserve"> the positive impact of globalization in different aspects of human life and businesses over the past three decades. Globalization is not only helping businesses to grow around the world but it </w:t>
      </w:r>
      <w:r w:rsidR="002E4EB7">
        <w:rPr>
          <w:rFonts w:ascii="Times New Roman" w:hAnsi="Times New Roman" w:cs="Times New Roman"/>
        </w:rPr>
        <w:t xml:space="preserve">is </w:t>
      </w:r>
      <w:r w:rsidR="00F2180C" w:rsidRPr="00F2180C">
        <w:rPr>
          <w:rFonts w:ascii="Times New Roman" w:hAnsi="Times New Roman" w:cs="Times New Roman"/>
        </w:rPr>
        <w:t xml:space="preserve">also helping immensely in human development. Diversity is one the blessings that has emerged through globalization </w:t>
      </w:r>
      <w:r w:rsidR="002E4EB7">
        <w:rPr>
          <w:rFonts w:ascii="Times New Roman" w:hAnsi="Times New Roman" w:cs="Times New Roman"/>
        </w:rPr>
        <w:t>which,</w:t>
      </w:r>
      <w:r w:rsidR="00F2180C" w:rsidRPr="00F2180C">
        <w:rPr>
          <w:rFonts w:ascii="Times New Roman" w:hAnsi="Times New Roman" w:cs="Times New Roman"/>
        </w:rPr>
        <w:t xml:space="preserve"> gave human the opportunity to display their talent by working under the same roof with people from different race, ethnicity, religion, age group and gender. Aetna is one of those company that considers diversity as the core value of </w:t>
      </w:r>
      <w:r w:rsidR="002E4EB7">
        <w:rPr>
          <w:rFonts w:ascii="Times New Roman" w:hAnsi="Times New Roman" w:cs="Times New Roman"/>
        </w:rPr>
        <w:t xml:space="preserve">the </w:t>
      </w:r>
      <w:r w:rsidR="00F2180C" w:rsidRPr="00F2180C">
        <w:rPr>
          <w:rFonts w:ascii="Times New Roman" w:hAnsi="Times New Roman" w:cs="Times New Roman"/>
        </w:rPr>
        <w:t xml:space="preserve">business and the most important element of the organization’s culture. Aetna which is one of the largest and prominent international health benefit provider in the world, carrying its heritage of providing health care benefits for over 160 years. However, recently the management of Aetna is concerned about some people management issues that needs to be addressed and </w:t>
      </w:r>
      <w:r w:rsidR="00C5557F">
        <w:rPr>
          <w:rFonts w:ascii="Times New Roman" w:hAnsi="Times New Roman" w:cs="Times New Roman"/>
        </w:rPr>
        <w:t xml:space="preserve">to </w:t>
      </w:r>
      <w:r w:rsidR="00F2180C" w:rsidRPr="00F2180C">
        <w:rPr>
          <w:rFonts w:ascii="Times New Roman" w:hAnsi="Times New Roman" w:cs="Times New Roman"/>
        </w:rPr>
        <w:t>take necessary steps to get those resolved to the earliest. This report focuses on in-depth research and findings of key people management issues at Aetna US division. The focused issues are diversity in Aetna recruitment and retention policies, as well as diversity in Aetna work-life balance policies. A thorough review of the literatures on the mentioned topics have been done and discussed accordingly in this report. A detailed analysis with related argument</w:t>
      </w:r>
      <w:r w:rsidR="00E44F34">
        <w:rPr>
          <w:rFonts w:ascii="Times New Roman" w:hAnsi="Times New Roman" w:cs="Times New Roman"/>
        </w:rPr>
        <w:t>s</w:t>
      </w:r>
      <w:r w:rsidR="00F2180C" w:rsidRPr="00F2180C">
        <w:rPr>
          <w:rFonts w:ascii="Times New Roman" w:hAnsi="Times New Roman" w:cs="Times New Roman"/>
        </w:rPr>
        <w:t xml:space="preserve"> and judgement</w:t>
      </w:r>
      <w:r w:rsidR="00E44F34">
        <w:rPr>
          <w:rFonts w:ascii="Times New Roman" w:hAnsi="Times New Roman" w:cs="Times New Roman"/>
        </w:rPr>
        <w:t>s</w:t>
      </w:r>
      <w:r w:rsidR="00F2180C" w:rsidRPr="00F2180C">
        <w:rPr>
          <w:rFonts w:ascii="Times New Roman" w:hAnsi="Times New Roman" w:cs="Times New Roman"/>
        </w:rPr>
        <w:t xml:space="preserve"> on the topics have been added in this report. As it is important to observe how other companies are dealing with employee recruitment-retention and work-life balance policies with successful strategies, this report also highlights and compares Aetna’s recruitment-retention and work-life balance policies with the other companies. Finally, based on all the analysis, findings and discussion; selected recommendations have been made that can help the company to overcome the current challenges.</w:t>
      </w:r>
    </w:p>
    <w:p w14:paraId="422DA9A7" w14:textId="77777777" w:rsidR="00F2180C" w:rsidRPr="00F2180C" w:rsidRDefault="00F2180C" w:rsidP="00F2180C">
      <w:pPr>
        <w:spacing w:line="360" w:lineRule="auto"/>
        <w:rPr>
          <w:rFonts w:ascii="Times New Roman" w:hAnsi="Times New Roman" w:cs="Times New Roman"/>
        </w:rPr>
      </w:pPr>
    </w:p>
    <w:p w14:paraId="6CD23F6F" w14:textId="77777777" w:rsidR="00F2180C" w:rsidRPr="00F2180C" w:rsidRDefault="00F2180C" w:rsidP="00F2180C">
      <w:pPr>
        <w:spacing w:line="360" w:lineRule="auto"/>
        <w:rPr>
          <w:rFonts w:ascii="Times New Roman" w:hAnsi="Times New Roman" w:cs="Times New Roman"/>
        </w:rPr>
      </w:pPr>
    </w:p>
    <w:p w14:paraId="58D8885F" w14:textId="77777777" w:rsidR="00F2180C" w:rsidRPr="00F2180C" w:rsidRDefault="00F2180C" w:rsidP="00F2180C">
      <w:pPr>
        <w:spacing w:line="360" w:lineRule="auto"/>
        <w:rPr>
          <w:rFonts w:ascii="Times New Roman" w:hAnsi="Times New Roman" w:cs="Times New Roman"/>
        </w:rPr>
      </w:pPr>
    </w:p>
    <w:p w14:paraId="05F498E1" w14:textId="77777777" w:rsidR="00F2180C" w:rsidRPr="00F2180C" w:rsidRDefault="00F2180C" w:rsidP="00F2180C">
      <w:pPr>
        <w:spacing w:line="360" w:lineRule="auto"/>
        <w:rPr>
          <w:rFonts w:ascii="Times New Roman" w:hAnsi="Times New Roman" w:cs="Times New Roman"/>
        </w:rPr>
      </w:pPr>
    </w:p>
    <w:p w14:paraId="1399A697" w14:textId="77777777" w:rsidR="00F2180C" w:rsidRPr="00F2180C" w:rsidRDefault="00F2180C" w:rsidP="00F2180C">
      <w:pPr>
        <w:spacing w:line="360" w:lineRule="auto"/>
        <w:rPr>
          <w:rFonts w:ascii="Times New Roman" w:hAnsi="Times New Roman" w:cs="Times New Roman"/>
        </w:rPr>
      </w:pPr>
    </w:p>
    <w:p w14:paraId="0898A0D6" w14:textId="77777777" w:rsidR="00F2180C" w:rsidRPr="00F2180C" w:rsidRDefault="00F2180C" w:rsidP="00F2180C">
      <w:pPr>
        <w:spacing w:line="360" w:lineRule="auto"/>
        <w:rPr>
          <w:rFonts w:ascii="Times New Roman" w:hAnsi="Times New Roman" w:cs="Times New Roman"/>
        </w:rPr>
      </w:pPr>
    </w:p>
    <w:p w14:paraId="625EEB23" w14:textId="77777777" w:rsidR="00F2180C" w:rsidRPr="00F2180C" w:rsidRDefault="00F2180C" w:rsidP="00F2180C">
      <w:pPr>
        <w:spacing w:line="360" w:lineRule="auto"/>
        <w:rPr>
          <w:rFonts w:ascii="Times New Roman" w:hAnsi="Times New Roman" w:cs="Times New Roman"/>
        </w:rPr>
      </w:pPr>
    </w:p>
    <w:p w14:paraId="3458E43D" w14:textId="77777777" w:rsidR="00F2180C" w:rsidRPr="00F2180C" w:rsidRDefault="00F2180C" w:rsidP="00F2180C">
      <w:pPr>
        <w:spacing w:line="360" w:lineRule="auto"/>
        <w:rPr>
          <w:rFonts w:ascii="Times New Roman" w:hAnsi="Times New Roman" w:cs="Times New Roman"/>
        </w:rPr>
      </w:pPr>
    </w:p>
    <w:p w14:paraId="5871E1A7" w14:textId="77777777" w:rsidR="00F2180C" w:rsidRPr="00F2180C" w:rsidRDefault="00F2180C" w:rsidP="00F2180C">
      <w:pPr>
        <w:spacing w:line="360" w:lineRule="auto"/>
        <w:rPr>
          <w:rFonts w:ascii="Times New Roman" w:hAnsi="Times New Roman" w:cs="Times New Roman"/>
        </w:rPr>
      </w:pPr>
    </w:p>
    <w:sdt>
      <w:sdtPr>
        <w:rPr>
          <w:rFonts w:asciiTheme="minorHAnsi" w:eastAsiaTheme="minorEastAsia" w:hAnsiTheme="minorHAnsi" w:cstheme="minorBidi"/>
          <w:color w:val="auto"/>
          <w:sz w:val="24"/>
          <w:szCs w:val="24"/>
          <w:lang w:val="en-GB"/>
        </w:rPr>
        <w:id w:val="-1397899071"/>
        <w:docPartObj>
          <w:docPartGallery w:val="Table of Contents"/>
          <w:docPartUnique/>
        </w:docPartObj>
      </w:sdtPr>
      <w:sdtEndPr>
        <w:rPr>
          <w:b/>
          <w:bCs/>
          <w:noProof/>
        </w:rPr>
      </w:sdtEndPr>
      <w:sdtContent>
        <w:p w14:paraId="7D8686C6" w14:textId="68FD3E96" w:rsidR="002E2A1E" w:rsidRPr="002E2A1E" w:rsidRDefault="002E2A1E" w:rsidP="002E2A1E">
          <w:pPr>
            <w:pStyle w:val="TOCHeading"/>
            <w:jc w:val="center"/>
            <w:rPr>
              <w:b/>
              <w:u w:val="single"/>
            </w:rPr>
          </w:pPr>
          <w:r w:rsidRPr="002E2A1E">
            <w:rPr>
              <w:b/>
              <w:u w:val="single"/>
            </w:rPr>
            <w:t>Table of Contents</w:t>
          </w:r>
        </w:p>
        <w:p w14:paraId="10502663" w14:textId="0031264F" w:rsidR="002E2A1E" w:rsidRDefault="002E2A1E">
          <w:pPr>
            <w:pStyle w:val="TOC1"/>
            <w:tabs>
              <w:tab w:val="left" w:pos="480"/>
              <w:tab w:val="right" w:leader="dot" w:pos="8296"/>
            </w:tabs>
            <w:rPr>
              <w:b w:val="0"/>
              <w:bCs w:val="0"/>
              <w:noProof/>
              <w:sz w:val="24"/>
              <w:szCs w:val="24"/>
            </w:rPr>
          </w:pPr>
          <w:r>
            <w:rPr>
              <w:b w:val="0"/>
              <w:bCs w:val="0"/>
            </w:rPr>
            <w:fldChar w:fldCharType="begin"/>
          </w:r>
          <w:r>
            <w:instrText xml:space="preserve"> TOC \o "1-3" \h \z \u </w:instrText>
          </w:r>
          <w:r>
            <w:rPr>
              <w:b w:val="0"/>
              <w:bCs w:val="0"/>
            </w:rPr>
            <w:fldChar w:fldCharType="separate"/>
          </w:r>
          <w:hyperlink w:anchor="_Toc534630516" w:history="1">
            <w:r w:rsidRPr="00CD7CB7">
              <w:rPr>
                <w:rStyle w:val="Hyperlink"/>
                <w:noProof/>
              </w:rPr>
              <w:t>1)</w:t>
            </w:r>
            <w:r>
              <w:rPr>
                <w:b w:val="0"/>
                <w:bCs w:val="0"/>
                <w:noProof/>
                <w:sz w:val="24"/>
                <w:szCs w:val="24"/>
              </w:rPr>
              <w:tab/>
            </w:r>
            <w:r w:rsidRPr="00CD7CB7">
              <w:rPr>
                <w:rStyle w:val="Hyperlink"/>
                <w:noProof/>
              </w:rPr>
              <w:t>Introduction:</w:t>
            </w:r>
            <w:r>
              <w:rPr>
                <w:noProof/>
                <w:webHidden/>
              </w:rPr>
              <w:tab/>
            </w:r>
            <w:r>
              <w:rPr>
                <w:noProof/>
                <w:webHidden/>
              </w:rPr>
              <w:fldChar w:fldCharType="begin"/>
            </w:r>
            <w:r>
              <w:rPr>
                <w:noProof/>
                <w:webHidden/>
              </w:rPr>
              <w:instrText xml:space="preserve"> PAGEREF _Toc534630516 \h </w:instrText>
            </w:r>
            <w:r>
              <w:rPr>
                <w:noProof/>
                <w:webHidden/>
              </w:rPr>
            </w:r>
            <w:r>
              <w:rPr>
                <w:noProof/>
                <w:webHidden/>
              </w:rPr>
              <w:fldChar w:fldCharType="separate"/>
            </w:r>
            <w:r>
              <w:rPr>
                <w:noProof/>
                <w:webHidden/>
              </w:rPr>
              <w:t>4</w:t>
            </w:r>
            <w:r>
              <w:rPr>
                <w:noProof/>
                <w:webHidden/>
              </w:rPr>
              <w:fldChar w:fldCharType="end"/>
            </w:r>
          </w:hyperlink>
        </w:p>
        <w:p w14:paraId="6DDD690C" w14:textId="3D413A26" w:rsidR="002E2A1E" w:rsidRDefault="008E2CFC">
          <w:pPr>
            <w:pStyle w:val="TOC1"/>
            <w:tabs>
              <w:tab w:val="left" w:pos="480"/>
              <w:tab w:val="right" w:leader="dot" w:pos="8296"/>
            </w:tabs>
            <w:rPr>
              <w:b w:val="0"/>
              <w:bCs w:val="0"/>
              <w:noProof/>
              <w:sz w:val="24"/>
              <w:szCs w:val="24"/>
            </w:rPr>
          </w:pPr>
          <w:hyperlink w:anchor="_Toc534630517" w:history="1">
            <w:r w:rsidR="002E2A1E" w:rsidRPr="00CD7CB7">
              <w:rPr>
                <w:rStyle w:val="Hyperlink"/>
                <w:noProof/>
              </w:rPr>
              <w:t>2)</w:t>
            </w:r>
            <w:r w:rsidR="002E2A1E">
              <w:rPr>
                <w:b w:val="0"/>
                <w:bCs w:val="0"/>
                <w:noProof/>
                <w:sz w:val="24"/>
                <w:szCs w:val="24"/>
              </w:rPr>
              <w:tab/>
            </w:r>
            <w:r w:rsidR="002E2A1E" w:rsidRPr="00CD7CB7">
              <w:rPr>
                <w:rStyle w:val="Hyperlink"/>
                <w:noProof/>
              </w:rPr>
              <w:t>Literature Review:</w:t>
            </w:r>
            <w:r w:rsidR="002E2A1E">
              <w:rPr>
                <w:noProof/>
                <w:webHidden/>
              </w:rPr>
              <w:tab/>
            </w:r>
            <w:r w:rsidR="002E2A1E">
              <w:rPr>
                <w:noProof/>
                <w:webHidden/>
              </w:rPr>
              <w:fldChar w:fldCharType="begin"/>
            </w:r>
            <w:r w:rsidR="002E2A1E">
              <w:rPr>
                <w:noProof/>
                <w:webHidden/>
              </w:rPr>
              <w:instrText xml:space="preserve"> PAGEREF _Toc534630517 \h </w:instrText>
            </w:r>
            <w:r w:rsidR="002E2A1E">
              <w:rPr>
                <w:noProof/>
                <w:webHidden/>
              </w:rPr>
            </w:r>
            <w:r w:rsidR="002E2A1E">
              <w:rPr>
                <w:noProof/>
                <w:webHidden/>
              </w:rPr>
              <w:fldChar w:fldCharType="separate"/>
            </w:r>
            <w:r w:rsidR="002E2A1E">
              <w:rPr>
                <w:noProof/>
                <w:webHidden/>
              </w:rPr>
              <w:t>6</w:t>
            </w:r>
            <w:r w:rsidR="002E2A1E">
              <w:rPr>
                <w:noProof/>
                <w:webHidden/>
              </w:rPr>
              <w:fldChar w:fldCharType="end"/>
            </w:r>
          </w:hyperlink>
        </w:p>
        <w:p w14:paraId="6213DD54" w14:textId="430880D6" w:rsidR="002E2A1E" w:rsidRDefault="008E2CFC">
          <w:pPr>
            <w:pStyle w:val="TOC2"/>
            <w:tabs>
              <w:tab w:val="right" w:leader="dot" w:pos="8296"/>
            </w:tabs>
            <w:rPr>
              <w:i w:val="0"/>
              <w:iCs w:val="0"/>
              <w:noProof/>
              <w:sz w:val="24"/>
              <w:szCs w:val="24"/>
            </w:rPr>
          </w:pPr>
          <w:hyperlink w:anchor="_Toc534630518" w:history="1">
            <w:r w:rsidR="002E2A1E" w:rsidRPr="00CD7CB7">
              <w:rPr>
                <w:rStyle w:val="Hyperlink"/>
                <w:noProof/>
              </w:rPr>
              <w:t>2.1) Employee Recruitment and Retention:</w:t>
            </w:r>
            <w:r w:rsidR="002E2A1E">
              <w:rPr>
                <w:noProof/>
                <w:webHidden/>
              </w:rPr>
              <w:tab/>
            </w:r>
            <w:r w:rsidR="002E2A1E">
              <w:rPr>
                <w:noProof/>
                <w:webHidden/>
              </w:rPr>
              <w:fldChar w:fldCharType="begin"/>
            </w:r>
            <w:r w:rsidR="002E2A1E">
              <w:rPr>
                <w:noProof/>
                <w:webHidden/>
              </w:rPr>
              <w:instrText xml:space="preserve"> PAGEREF _Toc534630518 \h </w:instrText>
            </w:r>
            <w:r w:rsidR="002E2A1E">
              <w:rPr>
                <w:noProof/>
                <w:webHidden/>
              </w:rPr>
            </w:r>
            <w:r w:rsidR="002E2A1E">
              <w:rPr>
                <w:noProof/>
                <w:webHidden/>
              </w:rPr>
              <w:fldChar w:fldCharType="separate"/>
            </w:r>
            <w:r w:rsidR="002E2A1E">
              <w:rPr>
                <w:noProof/>
                <w:webHidden/>
              </w:rPr>
              <w:t>6</w:t>
            </w:r>
            <w:r w:rsidR="002E2A1E">
              <w:rPr>
                <w:noProof/>
                <w:webHidden/>
              </w:rPr>
              <w:fldChar w:fldCharType="end"/>
            </w:r>
          </w:hyperlink>
        </w:p>
        <w:p w14:paraId="2F1ED5FB" w14:textId="145C671D" w:rsidR="002E2A1E" w:rsidRDefault="008E2CFC">
          <w:pPr>
            <w:pStyle w:val="TOC2"/>
            <w:tabs>
              <w:tab w:val="right" w:leader="dot" w:pos="8296"/>
            </w:tabs>
            <w:rPr>
              <w:i w:val="0"/>
              <w:iCs w:val="0"/>
              <w:noProof/>
              <w:sz w:val="24"/>
              <w:szCs w:val="24"/>
            </w:rPr>
          </w:pPr>
          <w:hyperlink w:anchor="_Toc534630519" w:history="1">
            <w:r w:rsidR="002E2A1E" w:rsidRPr="00CD7CB7">
              <w:rPr>
                <w:rStyle w:val="Hyperlink"/>
                <w:noProof/>
              </w:rPr>
              <w:t>2.2) Work-Life Balance:</w:t>
            </w:r>
            <w:r w:rsidR="002E2A1E">
              <w:rPr>
                <w:noProof/>
                <w:webHidden/>
              </w:rPr>
              <w:tab/>
            </w:r>
            <w:r w:rsidR="002E2A1E">
              <w:rPr>
                <w:noProof/>
                <w:webHidden/>
              </w:rPr>
              <w:fldChar w:fldCharType="begin"/>
            </w:r>
            <w:r w:rsidR="002E2A1E">
              <w:rPr>
                <w:noProof/>
                <w:webHidden/>
              </w:rPr>
              <w:instrText xml:space="preserve"> PAGEREF _Toc534630519 \h </w:instrText>
            </w:r>
            <w:r w:rsidR="002E2A1E">
              <w:rPr>
                <w:noProof/>
                <w:webHidden/>
              </w:rPr>
            </w:r>
            <w:r w:rsidR="002E2A1E">
              <w:rPr>
                <w:noProof/>
                <w:webHidden/>
              </w:rPr>
              <w:fldChar w:fldCharType="separate"/>
            </w:r>
            <w:r w:rsidR="002E2A1E">
              <w:rPr>
                <w:noProof/>
                <w:webHidden/>
              </w:rPr>
              <w:t>7</w:t>
            </w:r>
            <w:r w:rsidR="002E2A1E">
              <w:rPr>
                <w:noProof/>
                <w:webHidden/>
              </w:rPr>
              <w:fldChar w:fldCharType="end"/>
            </w:r>
          </w:hyperlink>
        </w:p>
        <w:p w14:paraId="4D03B854" w14:textId="3D2B1794" w:rsidR="002E2A1E" w:rsidRDefault="008E2CFC">
          <w:pPr>
            <w:pStyle w:val="TOC2"/>
            <w:tabs>
              <w:tab w:val="right" w:leader="dot" w:pos="8296"/>
            </w:tabs>
            <w:rPr>
              <w:i w:val="0"/>
              <w:iCs w:val="0"/>
              <w:noProof/>
              <w:sz w:val="24"/>
              <w:szCs w:val="24"/>
            </w:rPr>
          </w:pPr>
          <w:hyperlink w:anchor="_Toc534630520" w:history="1">
            <w:r w:rsidR="002E2A1E" w:rsidRPr="00CD7CB7">
              <w:rPr>
                <w:rStyle w:val="Hyperlink"/>
                <w:noProof/>
              </w:rPr>
              <w:t>2.3) Work-Place Diversity:</w:t>
            </w:r>
            <w:r w:rsidR="002E2A1E">
              <w:rPr>
                <w:noProof/>
                <w:webHidden/>
              </w:rPr>
              <w:tab/>
            </w:r>
            <w:r w:rsidR="002E2A1E">
              <w:rPr>
                <w:noProof/>
                <w:webHidden/>
              </w:rPr>
              <w:fldChar w:fldCharType="begin"/>
            </w:r>
            <w:r w:rsidR="002E2A1E">
              <w:rPr>
                <w:noProof/>
                <w:webHidden/>
              </w:rPr>
              <w:instrText xml:space="preserve"> PAGEREF _Toc534630520 \h </w:instrText>
            </w:r>
            <w:r w:rsidR="002E2A1E">
              <w:rPr>
                <w:noProof/>
                <w:webHidden/>
              </w:rPr>
            </w:r>
            <w:r w:rsidR="002E2A1E">
              <w:rPr>
                <w:noProof/>
                <w:webHidden/>
              </w:rPr>
              <w:fldChar w:fldCharType="separate"/>
            </w:r>
            <w:r w:rsidR="002E2A1E">
              <w:rPr>
                <w:noProof/>
                <w:webHidden/>
              </w:rPr>
              <w:t>8</w:t>
            </w:r>
            <w:r w:rsidR="002E2A1E">
              <w:rPr>
                <w:noProof/>
                <w:webHidden/>
              </w:rPr>
              <w:fldChar w:fldCharType="end"/>
            </w:r>
          </w:hyperlink>
        </w:p>
        <w:p w14:paraId="22C3468F" w14:textId="5ABCDA7C" w:rsidR="002E2A1E" w:rsidRDefault="008E2CFC">
          <w:pPr>
            <w:pStyle w:val="TOC1"/>
            <w:tabs>
              <w:tab w:val="left" w:pos="480"/>
              <w:tab w:val="right" w:leader="dot" w:pos="8296"/>
            </w:tabs>
            <w:rPr>
              <w:b w:val="0"/>
              <w:bCs w:val="0"/>
              <w:noProof/>
              <w:sz w:val="24"/>
              <w:szCs w:val="24"/>
            </w:rPr>
          </w:pPr>
          <w:hyperlink w:anchor="_Toc534630521" w:history="1">
            <w:r w:rsidR="002E2A1E" w:rsidRPr="00CD7CB7">
              <w:rPr>
                <w:rStyle w:val="Hyperlink"/>
                <w:noProof/>
              </w:rPr>
              <w:t>3)</w:t>
            </w:r>
            <w:r w:rsidR="002E2A1E">
              <w:rPr>
                <w:b w:val="0"/>
                <w:bCs w:val="0"/>
                <w:noProof/>
                <w:sz w:val="24"/>
                <w:szCs w:val="24"/>
              </w:rPr>
              <w:tab/>
            </w:r>
            <w:r w:rsidR="002E2A1E" w:rsidRPr="00CD7CB7">
              <w:rPr>
                <w:rStyle w:val="Hyperlink"/>
                <w:noProof/>
              </w:rPr>
              <w:t>Analysis of the Selected People Management Issues:</w:t>
            </w:r>
            <w:r w:rsidR="002E2A1E">
              <w:rPr>
                <w:noProof/>
                <w:webHidden/>
              </w:rPr>
              <w:tab/>
            </w:r>
            <w:r w:rsidR="002E2A1E">
              <w:rPr>
                <w:noProof/>
                <w:webHidden/>
              </w:rPr>
              <w:fldChar w:fldCharType="begin"/>
            </w:r>
            <w:r w:rsidR="002E2A1E">
              <w:rPr>
                <w:noProof/>
                <w:webHidden/>
              </w:rPr>
              <w:instrText xml:space="preserve"> PAGEREF _Toc534630521 \h </w:instrText>
            </w:r>
            <w:r w:rsidR="002E2A1E">
              <w:rPr>
                <w:noProof/>
                <w:webHidden/>
              </w:rPr>
            </w:r>
            <w:r w:rsidR="002E2A1E">
              <w:rPr>
                <w:noProof/>
                <w:webHidden/>
              </w:rPr>
              <w:fldChar w:fldCharType="separate"/>
            </w:r>
            <w:r w:rsidR="002E2A1E">
              <w:rPr>
                <w:noProof/>
                <w:webHidden/>
              </w:rPr>
              <w:t>10</w:t>
            </w:r>
            <w:r w:rsidR="002E2A1E">
              <w:rPr>
                <w:noProof/>
                <w:webHidden/>
              </w:rPr>
              <w:fldChar w:fldCharType="end"/>
            </w:r>
          </w:hyperlink>
        </w:p>
        <w:p w14:paraId="38769FD6" w14:textId="0CB0777D" w:rsidR="002E2A1E" w:rsidRDefault="008E2CFC">
          <w:pPr>
            <w:pStyle w:val="TOC2"/>
            <w:tabs>
              <w:tab w:val="right" w:leader="dot" w:pos="8296"/>
            </w:tabs>
            <w:rPr>
              <w:i w:val="0"/>
              <w:iCs w:val="0"/>
              <w:noProof/>
              <w:sz w:val="24"/>
              <w:szCs w:val="24"/>
            </w:rPr>
          </w:pPr>
          <w:hyperlink w:anchor="_Toc534630522" w:history="1">
            <w:r w:rsidR="002E2A1E" w:rsidRPr="00CD7CB7">
              <w:rPr>
                <w:rStyle w:val="Hyperlink"/>
                <w:noProof/>
              </w:rPr>
              <w:t>3.1) Diversity in Employee Recruitment and Retention</w:t>
            </w:r>
            <w:r w:rsidR="002E2A1E">
              <w:rPr>
                <w:noProof/>
                <w:webHidden/>
              </w:rPr>
              <w:tab/>
            </w:r>
            <w:r w:rsidR="002E2A1E">
              <w:rPr>
                <w:noProof/>
                <w:webHidden/>
              </w:rPr>
              <w:fldChar w:fldCharType="begin"/>
            </w:r>
            <w:r w:rsidR="002E2A1E">
              <w:rPr>
                <w:noProof/>
                <w:webHidden/>
              </w:rPr>
              <w:instrText xml:space="preserve"> PAGEREF _Toc534630522 \h </w:instrText>
            </w:r>
            <w:r w:rsidR="002E2A1E">
              <w:rPr>
                <w:noProof/>
                <w:webHidden/>
              </w:rPr>
            </w:r>
            <w:r w:rsidR="002E2A1E">
              <w:rPr>
                <w:noProof/>
                <w:webHidden/>
              </w:rPr>
              <w:fldChar w:fldCharType="separate"/>
            </w:r>
            <w:r w:rsidR="002E2A1E">
              <w:rPr>
                <w:noProof/>
                <w:webHidden/>
              </w:rPr>
              <w:t>10</w:t>
            </w:r>
            <w:r w:rsidR="002E2A1E">
              <w:rPr>
                <w:noProof/>
                <w:webHidden/>
              </w:rPr>
              <w:fldChar w:fldCharType="end"/>
            </w:r>
          </w:hyperlink>
        </w:p>
        <w:p w14:paraId="39DE9DF3" w14:textId="7CB42CE5" w:rsidR="002E2A1E" w:rsidRDefault="008E2CFC">
          <w:pPr>
            <w:pStyle w:val="TOC2"/>
            <w:tabs>
              <w:tab w:val="right" w:leader="dot" w:pos="8296"/>
            </w:tabs>
            <w:rPr>
              <w:i w:val="0"/>
              <w:iCs w:val="0"/>
              <w:noProof/>
              <w:sz w:val="24"/>
              <w:szCs w:val="24"/>
            </w:rPr>
          </w:pPr>
          <w:hyperlink w:anchor="_Toc534630523" w:history="1">
            <w:r w:rsidR="002E2A1E" w:rsidRPr="00CD7CB7">
              <w:rPr>
                <w:rStyle w:val="Hyperlink"/>
                <w:noProof/>
              </w:rPr>
              <w:t>3.2) Comparison of the Recruitment and Retention Strategies with Other Companies:</w:t>
            </w:r>
            <w:r w:rsidR="002E2A1E">
              <w:rPr>
                <w:noProof/>
                <w:webHidden/>
              </w:rPr>
              <w:tab/>
            </w:r>
            <w:r w:rsidR="002E2A1E">
              <w:rPr>
                <w:noProof/>
                <w:webHidden/>
              </w:rPr>
              <w:fldChar w:fldCharType="begin"/>
            </w:r>
            <w:r w:rsidR="002E2A1E">
              <w:rPr>
                <w:noProof/>
                <w:webHidden/>
              </w:rPr>
              <w:instrText xml:space="preserve"> PAGEREF _Toc534630523 \h </w:instrText>
            </w:r>
            <w:r w:rsidR="002E2A1E">
              <w:rPr>
                <w:noProof/>
                <w:webHidden/>
              </w:rPr>
            </w:r>
            <w:r w:rsidR="002E2A1E">
              <w:rPr>
                <w:noProof/>
                <w:webHidden/>
              </w:rPr>
              <w:fldChar w:fldCharType="separate"/>
            </w:r>
            <w:r w:rsidR="002E2A1E">
              <w:rPr>
                <w:noProof/>
                <w:webHidden/>
              </w:rPr>
              <w:t>15</w:t>
            </w:r>
            <w:r w:rsidR="002E2A1E">
              <w:rPr>
                <w:noProof/>
                <w:webHidden/>
              </w:rPr>
              <w:fldChar w:fldCharType="end"/>
            </w:r>
          </w:hyperlink>
        </w:p>
        <w:p w14:paraId="2C5E3883" w14:textId="6D9E894A" w:rsidR="002E2A1E" w:rsidRDefault="008E2CFC">
          <w:pPr>
            <w:pStyle w:val="TOC2"/>
            <w:tabs>
              <w:tab w:val="right" w:leader="dot" w:pos="8296"/>
            </w:tabs>
            <w:rPr>
              <w:i w:val="0"/>
              <w:iCs w:val="0"/>
              <w:noProof/>
              <w:sz w:val="24"/>
              <w:szCs w:val="24"/>
            </w:rPr>
          </w:pPr>
          <w:hyperlink w:anchor="_Toc534630524" w:history="1">
            <w:r w:rsidR="002E2A1E" w:rsidRPr="00CD7CB7">
              <w:rPr>
                <w:rStyle w:val="Hyperlink"/>
                <w:noProof/>
              </w:rPr>
              <w:t>3.3) Diversity in Employee Work-Life Balance</w:t>
            </w:r>
            <w:r w:rsidR="002E2A1E">
              <w:rPr>
                <w:noProof/>
                <w:webHidden/>
              </w:rPr>
              <w:tab/>
            </w:r>
            <w:r w:rsidR="002E2A1E">
              <w:rPr>
                <w:noProof/>
                <w:webHidden/>
              </w:rPr>
              <w:fldChar w:fldCharType="begin"/>
            </w:r>
            <w:r w:rsidR="002E2A1E">
              <w:rPr>
                <w:noProof/>
                <w:webHidden/>
              </w:rPr>
              <w:instrText xml:space="preserve"> PAGEREF _Toc534630524 \h </w:instrText>
            </w:r>
            <w:r w:rsidR="002E2A1E">
              <w:rPr>
                <w:noProof/>
                <w:webHidden/>
              </w:rPr>
            </w:r>
            <w:r w:rsidR="002E2A1E">
              <w:rPr>
                <w:noProof/>
                <w:webHidden/>
              </w:rPr>
              <w:fldChar w:fldCharType="separate"/>
            </w:r>
            <w:r w:rsidR="002E2A1E">
              <w:rPr>
                <w:noProof/>
                <w:webHidden/>
              </w:rPr>
              <w:t>19</w:t>
            </w:r>
            <w:r w:rsidR="002E2A1E">
              <w:rPr>
                <w:noProof/>
                <w:webHidden/>
              </w:rPr>
              <w:fldChar w:fldCharType="end"/>
            </w:r>
          </w:hyperlink>
        </w:p>
        <w:p w14:paraId="35AACD23" w14:textId="7F9E576C" w:rsidR="002E2A1E" w:rsidRDefault="008E2CFC">
          <w:pPr>
            <w:pStyle w:val="TOC2"/>
            <w:tabs>
              <w:tab w:val="right" w:leader="dot" w:pos="8296"/>
            </w:tabs>
            <w:rPr>
              <w:i w:val="0"/>
              <w:iCs w:val="0"/>
              <w:noProof/>
              <w:sz w:val="24"/>
              <w:szCs w:val="24"/>
            </w:rPr>
          </w:pPr>
          <w:hyperlink w:anchor="_Toc534630525" w:history="1">
            <w:r w:rsidR="002E2A1E" w:rsidRPr="00CD7CB7">
              <w:rPr>
                <w:rStyle w:val="Hyperlink"/>
                <w:noProof/>
              </w:rPr>
              <w:t>3.4) Comparison of the Work-Life Balance Strategies with Other Companies:</w:t>
            </w:r>
            <w:r w:rsidR="002E2A1E">
              <w:rPr>
                <w:noProof/>
                <w:webHidden/>
              </w:rPr>
              <w:tab/>
            </w:r>
            <w:r w:rsidR="002E2A1E">
              <w:rPr>
                <w:noProof/>
                <w:webHidden/>
              </w:rPr>
              <w:fldChar w:fldCharType="begin"/>
            </w:r>
            <w:r w:rsidR="002E2A1E">
              <w:rPr>
                <w:noProof/>
                <w:webHidden/>
              </w:rPr>
              <w:instrText xml:space="preserve"> PAGEREF _Toc534630525 \h </w:instrText>
            </w:r>
            <w:r w:rsidR="002E2A1E">
              <w:rPr>
                <w:noProof/>
                <w:webHidden/>
              </w:rPr>
            </w:r>
            <w:r w:rsidR="002E2A1E">
              <w:rPr>
                <w:noProof/>
                <w:webHidden/>
              </w:rPr>
              <w:fldChar w:fldCharType="separate"/>
            </w:r>
            <w:r w:rsidR="002E2A1E">
              <w:rPr>
                <w:noProof/>
                <w:webHidden/>
              </w:rPr>
              <w:t>26</w:t>
            </w:r>
            <w:r w:rsidR="002E2A1E">
              <w:rPr>
                <w:noProof/>
                <w:webHidden/>
              </w:rPr>
              <w:fldChar w:fldCharType="end"/>
            </w:r>
          </w:hyperlink>
        </w:p>
        <w:p w14:paraId="748C7F7E" w14:textId="56A362C8" w:rsidR="002E2A1E" w:rsidRDefault="008E2CFC">
          <w:pPr>
            <w:pStyle w:val="TOC1"/>
            <w:tabs>
              <w:tab w:val="left" w:pos="480"/>
              <w:tab w:val="right" w:leader="dot" w:pos="8296"/>
            </w:tabs>
            <w:rPr>
              <w:b w:val="0"/>
              <w:bCs w:val="0"/>
              <w:noProof/>
              <w:sz w:val="24"/>
              <w:szCs w:val="24"/>
            </w:rPr>
          </w:pPr>
          <w:hyperlink w:anchor="_Toc534630526" w:history="1">
            <w:r w:rsidR="002E2A1E" w:rsidRPr="00CD7CB7">
              <w:rPr>
                <w:rStyle w:val="Hyperlink"/>
                <w:noProof/>
              </w:rPr>
              <w:t>4)</w:t>
            </w:r>
            <w:r w:rsidR="002E2A1E">
              <w:rPr>
                <w:b w:val="0"/>
                <w:bCs w:val="0"/>
                <w:noProof/>
                <w:sz w:val="24"/>
                <w:szCs w:val="24"/>
              </w:rPr>
              <w:tab/>
            </w:r>
            <w:r w:rsidR="002E2A1E" w:rsidRPr="00CD7CB7">
              <w:rPr>
                <w:rStyle w:val="Hyperlink"/>
                <w:noProof/>
              </w:rPr>
              <w:t>Recommendations:</w:t>
            </w:r>
            <w:r w:rsidR="002E2A1E">
              <w:rPr>
                <w:noProof/>
                <w:webHidden/>
              </w:rPr>
              <w:tab/>
            </w:r>
            <w:r w:rsidR="002E2A1E">
              <w:rPr>
                <w:noProof/>
                <w:webHidden/>
              </w:rPr>
              <w:fldChar w:fldCharType="begin"/>
            </w:r>
            <w:r w:rsidR="002E2A1E">
              <w:rPr>
                <w:noProof/>
                <w:webHidden/>
              </w:rPr>
              <w:instrText xml:space="preserve"> PAGEREF _Toc534630526 \h </w:instrText>
            </w:r>
            <w:r w:rsidR="002E2A1E">
              <w:rPr>
                <w:noProof/>
                <w:webHidden/>
              </w:rPr>
            </w:r>
            <w:r w:rsidR="002E2A1E">
              <w:rPr>
                <w:noProof/>
                <w:webHidden/>
              </w:rPr>
              <w:fldChar w:fldCharType="separate"/>
            </w:r>
            <w:r w:rsidR="002E2A1E">
              <w:rPr>
                <w:noProof/>
                <w:webHidden/>
              </w:rPr>
              <w:t>30</w:t>
            </w:r>
            <w:r w:rsidR="002E2A1E">
              <w:rPr>
                <w:noProof/>
                <w:webHidden/>
              </w:rPr>
              <w:fldChar w:fldCharType="end"/>
            </w:r>
          </w:hyperlink>
        </w:p>
        <w:p w14:paraId="4D04056D" w14:textId="4DB8F067" w:rsidR="002E2A1E" w:rsidRDefault="008E2CFC">
          <w:pPr>
            <w:pStyle w:val="TOC2"/>
            <w:tabs>
              <w:tab w:val="right" w:leader="dot" w:pos="8296"/>
            </w:tabs>
            <w:rPr>
              <w:i w:val="0"/>
              <w:iCs w:val="0"/>
              <w:noProof/>
              <w:sz w:val="24"/>
              <w:szCs w:val="24"/>
            </w:rPr>
          </w:pPr>
          <w:hyperlink w:anchor="_Toc534630527" w:history="1">
            <w:r w:rsidR="002E2A1E" w:rsidRPr="00CD7CB7">
              <w:rPr>
                <w:rStyle w:val="Hyperlink"/>
                <w:noProof/>
              </w:rPr>
              <w:t>4.1) Recruitment Process:</w:t>
            </w:r>
            <w:r w:rsidR="002E2A1E">
              <w:rPr>
                <w:noProof/>
                <w:webHidden/>
              </w:rPr>
              <w:tab/>
            </w:r>
            <w:r w:rsidR="002E2A1E">
              <w:rPr>
                <w:noProof/>
                <w:webHidden/>
              </w:rPr>
              <w:fldChar w:fldCharType="begin"/>
            </w:r>
            <w:r w:rsidR="002E2A1E">
              <w:rPr>
                <w:noProof/>
                <w:webHidden/>
              </w:rPr>
              <w:instrText xml:space="preserve"> PAGEREF _Toc534630527 \h </w:instrText>
            </w:r>
            <w:r w:rsidR="002E2A1E">
              <w:rPr>
                <w:noProof/>
                <w:webHidden/>
              </w:rPr>
            </w:r>
            <w:r w:rsidR="002E2A1E">
              <w:rPr>
                <w:noProof/>
                <w:webHidden/>
              </w:rPr>
              <w:fldChar w:fldCharType="separate"/>
            </w:r>
            <w:r w:rsidR="002E2A1E">
              <w:rPr>
                <w:noProof/>
                <w:webHidden/>
              </w:rPr>
              <w:t>30</w:t>
            </w:r>
            <w:r w:rsidR="002E2A1E">
              <w:rPr>
                <w:noProof/>
                <w:webHidden/>
              </w:rPr>
              <w:fldChar w:fldCharType="end"/>
            </w:r>
          </w:hyperlink>
        </w:p>
        <w:p w14:paraId="2E50FBCB" w14:textId="280E8597" w:rsidR="002E2A1E" w:rsidRDefault="008E2CFC">
          <w:pPr>
            <w:pStyle w:val="TOC2"/>
            <w:tabs>
              <w:tab w:val="right" w:leader="dot" w:pos="8296"/>
            </w:tabs>
            <w:rPr>
              <w:i w:val="0"/>
              <w:iCs w:val="0"/>
              <w:noProof/>
              <w:sz w:val="24"/>
              <w:szCs w:val="24"/>
            </w:rPr>
          </w:pPr>
          <w:hyperlink w:anchor="_Toc534630528" w:history="1">
            <w:r w:rsidR="002E2A1E" w:rsidRPr="00CD7CB7">
              <w:rPr>
                <w:rStyle w:val="Hyperlink"/>
                <w:noProof/>
              </w:rPr>
              <w:t>4.2) Gender Equality:</w:t>
            </w:r>
            <w:r w:rsidR="002E2A1E">
              <w:rPr>
                <w:noProof/>
                <w:webHidden/>
              </w:rPr>
              <w:tab/>
            </w:r>
            <w:r w:rsidR="002E2A1E">
              <w:rPr>
                <w:noProof/>
                <w:webHidden/>
              </w:rPr>
              <w:fldChar w:fldCharType="begin"/>
            </w:r>
            <w:r w:rsidR="002E2A1E">
              <w:rPr>
                <w:noProof/>
                <w:webHidden/>
              </w:rPr>
              <w:instrText xml:space="preserve"> PAGEREF _Toc534630528 \h </w:instrText>
            </w:r>
            <w:r w:rsidR="002E2A1E">
              <w:rPr>
                <w:noProof/>
                <w:webHidden/>
              </w:rPr>
            </w:r>
            <w:r w:rsidR="002E2A1E">
              <w:rPr>
                <w:noProof/>
                <w:webHidden/>
              </w:rPr>
              <w:fldChar w:fldCharType="separate"/>
            </w:r>
            <w:r w:rsidR="002E2A1E">
              <w:rPr>
                <w:noProof/>
                <w:webHidden/>
              </w:rPr>
              <w:t>30</w:t>
            </w:r>
            <w:r w:rsidR="002E2A1E">
              <w:rPr>
                <w:noProof/>
                <w:webHidden/>
              </w:rPr>
              <w:fldChar w:fldCharType="end"/>
            </w:r>
          </w:hyperlink>
        </w:p>
        <w:p w14:paraId="73D86260" w14:textId="642F8A08" w:rsidR="002E2A1E" w:rsidRDefault="008E2CFC">
          <w:pPr>
            <w:pStyle w:val="TOC2"/>
            <w:tabs>
              <w:tab w:val="right" w:leader="dot" w:pos="8296"/>
            </w:tabs>
            <w:rPr>
              <w:i w:val="0"/>
              <w:iCs w:val="0"/>
              <w:noProof/>
              <w:sz w:val="24"/>
              <w:szCs w:val="24"/>
            </w:rPr>
          </w:pPr>
          <w:hyperlink w:anchor="_Toc534630529" w:history="1">
            <w:r w:rsidR="002E2A1E" w:rsidRPr="00CD7CB7">
              <w:rPr>
                <w:rStyle w:val="Hyperlink"/>
                <w:noProof/>
              </w:rPr>
              <w:t>4.3) Work-Life Balance for Retention:</w:t>
            </w:r>
            <w:r w:rsidR="002E2A1E">
              <w:rPr>
                <w:noProof/>
                <w:webHidden/>
              </w:rPr>
              <w:tab/>
            </w:r>
            <w:r w:rsidR="002E2A1E">
              <w:rPr>
                <w:noProof/>
                <w:webHidden/>
              </w:rPr>
              <w:fldChar w:fldCharType="begin"/>
            </w:r>
            <w:r w:rsidR="002E2A1E">
              <w:rPr>
                <w:noProof/>
                <w:webHidden/>
              </w:rPr>
              <w:instrText xml:space="preserve"> PAGEREF _Toc534630529 \h </w:instrText>
            </w:r>
            <w:r w:rsidR="002E2A1E">
              <w:rPr>
                <w:noProof/>
                <w:webHidden/>
              </w:rPr>
            </w:r>
            <w:r w:rsidR="002E2A1E">
              <w:rPr>
                <w:noProof/>
                <w:webHidden/>
              </w:rPr>
              <w:fldChar w:fldCharType="separate"/>
            </w:r>
            <w:r w:rsidR="002E2A1E">
              <w:rPr>
                <w:noProof/>
                <w:webHidden/>
              </w:rPr>
              <w:t>31</w:t>
            </w:r>
            <w:r w:rsidR="002E2A1E">
              <w:rPr>
                <w:noProof/>
                <w:webHidden/>
              </w:rPr>
              <w:fldChar w:fldCharType="end"/>
            </w:r>
          </w:hyperlink>
        </w:p>
        <w:p w14:paraId="4F42EF97" w14:textId="7FD58FB0" w:rsidR="002E2A1E" w:rsidRDefault="008E2CFC">
          <w:pPr>
            <w:pStyle w:val="TOC1"/>
            <w:tabs>
              <w:tab w:val="left" w:pos="480"/>
              <w:tab w:val="right" w:leader="dot" w:pos="8296"/>
            </w:tabs>
            <w:rPr>
              <w:b w:val="0"/>
              <w:bCs w:val="0"/>
              <w:noProof/>
              <w:sz w:val="24"/>
              <w:szCs w:val="24"/>
            </w:rPr>
          </w:pPr>
          <w:hyperlink w:anchor="_Toc534630530" w:history="1">
            <w:r w:rsidR="002E2A1E" w:rsidRPr="00CD7CB7">
              <w:rPr>
                <w:rStyle w:val="Hyperlink"/>
                <w:noProof/>
              </w:rPr>
              <w:t>5)</w:t>
            </w:r>
            <w:r w:rsidR="002E2A1E">
              <w:rPr>
                <w:b w:val="0"/>
                <w:bCs w:val="0"/>
                <w:noProof/>
                <w:sz w:val="24"/>
                <w:szCs w:val="24"/>
              </w:rPr>
              <w:tab/>
            </w:r>
            <w:r w:rsidR="002E2A1E" w:rsidRPr="00CD7CB7">
              <w:rPr>
                <w:rStyle w:val="Hyperlink"/>
                <w:noProof/>
              </w:rPr>
              <w:t>Conclusion:</w:t>
            </w:r>
            <w:r w:rsidR="002E2A1E">
              <w:rPr>
                <w:noProof/>
                <w:webHidden/>
              </w:rPr>
              <w:tab/>
            </w:r>
            <w:r w:rsidR="002E2A1E">
              <w:rPr>
                <w:noProof/>
                <w:webHidden/>
              </w:rPr>
              <w:fldChar w:fldCharType="begin"/>
            </w:r>
            <w:r w:rsidR="002E2A1E">
              <w:rPr>
                <w:noProof/>
                <w:webHidden/>
              </w:rPr>
              <w:instrText xml:space="preserve"> PAGEREF _Toc534630530 \h </w:instrText>
            </w:r>
            <w:r w:rsidR="002E2A1E">
              <w:rPr>
                <w:noProof/>
                <w:webHidden/>
              </w:rPr>
            </w:r>
            <w:r w:rsidR="002E2A1E">
              <w:rPr>
                <w:noProof/>
                <w:webHidden/>
              </w:rPr>
              <w:fldChar w:fldCharType="separate"/>
            </w:r>
            <w:r w:rsidR="002E2A1E">
              <w:rPr>
                <w:noProof/>
                <w:webHidden/>
              </w:rPr>
              <w:t>32</w:t>
            </w:r>
            <w:r w:rsidR="002E2A1E">
              <w:rPr>
                <w:noProof/>
                <w:webHidden/>
              </w:rPr>
              <w:fldChar w:fldCharType="end"/>
            </w:r>
          </w:hyperlink>
        </w:p>
        <w:p w14:paraId="55EE514A" w14:textId="40B5193F" w:rsidR="002E2A1E" w:rsidRDefault="008E2CFC">
          <w:pPr>
            <w:pStyle w:val="TOC1"/>
            <w:tabs>
              <w:tab w:val="left" w:pos="480"/>
              <w:tab w:val="right" w:leader="dot" w:pos="8296"/>
            </w:tabs>
            <w:rPr>
              <w:b w:val="0"/>
              <w:bCs w:val="0"/>
              <w:noProof/>
              <w:sz w:val="24"/>
              <w:szCs w:val="24"/>
            </w:rPr>
          </w:pPr>
          <w:hyperlink w:anchor="_Toc534630531" w:history="1">
            <w:r w:rsidR="002E2A1E" w:rsidRPr="00CD7CB7">
              <w:rPr>
                <w:rStyle w:val="Hyperlink"/>
                <w:noProof/>
              </w:rPr>
              <w:t>6)</w:t>
            </w:r>
            <w:r w:rsidR="002E2A1E">
              <w:rPr>
                <w:b w:val="0"/>
                <w:bCs w:val="0"/>
                <w:noProof/>
                <w:sz w:val="24"/>
                <w:szCs w:val="24"/>
              </w:rPr>
              <w:tab/>
            </w:r>
            <w:r w:rsidR="002E2A1E" w:rsidRPr="00CD7CB7">
              <w:rPr>
                <w:rStyle w:val="Hyperlink"/>
                <w:noProof/>
              </w:rPr>
              <w:t>References:</w:t>
            </w:r>
            <w:r w:rsidR="002E2A1E">
              <w:rPr>
                <w:noProof/>
                <w:webHidden/>
              </w:rPr>
              <w:tab/>
            </w:r>
            <w:r w:rsidR="002E2A1E">
              <w:rPr>
                <w:noProof/>
                <w:webHidden/>
              </w:rPr>
              <w:fldChar w:fldCharType="begin"/>
            </w:r>
            <w:r w:rsidR="002E2A1E">
              <w:rPr>
                <w:noProof/>
                <w:webHidden/>
              </w:rPr>
              <w:instrText xml:space="preserve"> PAGEREF _Toc534630531 \h </w:instrText>
            </w:r>
            <w:r w:rsidR="002E2A1E">
              <w:rPr>
                <w:noProof/>
                <w:webHidden/>
              </w:rPr>
            </w:r>
            <w:r w:rsidR="002E2A1E">
              <w:rPr>
                <w:noProof/>
                <w:webHidden/>
              </w:rPr>
              <w:fldChar w:fldCharType="separate"/>
            </w:r>
            <w:r w:rsidR="002E2A1E">
              <w:rPr>
                <w:noProof/>
                <w:webHidden/>
              </w:rPr>
              <w:t>33</w:t>
            </w:r>
            <w:r w:rsidR="002E2A1E">
              <w:rPr>
                <w:noProof/>
                <w:webHidden/>
              </w:rPr>
              <w:fldChar w:fldCharType="end"/>
            </w:r>
          </w:hyperlink>
        </w:p>
        <w:p w14:paraId="2CED4647" w14:textId="7E9659BA" w:rsidR="002E2A1E" w:rsidRDefault="002E2A1E">
          <w:r>
            <w:rPr>
              <w:b/>
              <w:bCs/>
              <w:noProof/>
            </w:rPr>
            <w:fldChar w:fldCharType="end"/>
          </w:r>
        </w:p>
      </w:sdtContent>
    </w:sdt>
    <w:p w14:paraId="4C707155" w14:textId="77777777" w:rsidR="00A47BC8" w:rsidRDefault="00A47BC8" w:rsidP="001A5A7A">
      <w:pPr>
        <w:spacing w:line="360" w:lineRule="auto"/>
        <w:jc w:val="center"/>
        <w:rPr>
          <w:rFonts w:ascii="Times New Roman" w:hAnsi="Times New Roman" w:cs="Times New Roman"/>
          <w:b/>
          <w:sz w:val="32"/>
          <w:szCs w:val="32"/>
          <w:u w:val="single"/>
        </w:rPr>
      </w:pPr>
    </w:p>
    <w:p w14:paraId="16200A79" w14:textId="77777777" w:rsidR="00A47BC8" w:rsidRDefault="00A47BC8" w:rsidP="001A5A7A">
      <w:pPr>
        <w:spacing w:line="360" w:lineRule="auto"/>
        <w:jc w:val="center"/>
        <w:rPr>
          <w:rFonts w:ascii="Times New Roman" w:hAnsi="Times New Roman" w:cs="Times New Roman"/>
          <w:b/>
          <w:sz w:val="32"/>
          <w:szCs w:val="32"/>
          <w:u w:val="single"/>
        </w:rPr>
      </w:pPr>
    </w:p>
    <w:p w14:paraId="096101FF" w14:textId="77777777" w:rsidR="00A47BC8" w:rsidRDefault="00A47BC8" w:rsidP="001A5A7A">
      <w:pPr>
        <w:spacing w:line="360" w:lineRule="auto"/>
        <w:jc w:val="center"/>
        <w:rPr>
          <w:rFonts w:ascii="Times New Roman" w:hAnsi="Times New Roman" w:cs="Times New Roman"/>
          <w:b/>
          <w:sz w:val="32"/>
          <w:szCs w:val="32"/>
          <w:u w:val="single"/>
        </w:rPr>
      </w:pPr>
    </w:p>
    <w:p w14:paraId="42EE4F55" w14:textId="77777777" w:rsidR="00A47BC8" w:rsidRDefault="00A47BC8" w:rsidP="001A5A7A">
      <w:pPr>
        <w:spacing w:line="360" w:lineRule="auto"/>
        <w:jc w:val="center"/>
        <w:rPr>
          <w:rFonts w:ascii="Times New Roman" w:hAnsi="Times New Roman" w:cs="Times New Roman"/>
          <w:b/>
          <w:sz w:val="32"/>
          <w:szCs w:val="32"/>
          <w:u w:val="single"/>
        </w:rPr>
      </w:pPr>
    </w:p>
    <w:p w14:paraId="2C5AFE36" w14:textId="77777777" w:rsidR="00A47BC8" w:rsidRDefault="00A47BC8" w:rsidP="001A5A7A">
      <w:pPr>
        <w:spacing w:line="360" w:lineRule="auto"/>
        <w:jc w:val="center"/>
        <w:rPr>
          <w:rFonts w:ascii="Times New Roman" w:hAnsi="Times New Roman" w:cs="Times New Roman"/>
          <w:b/>
          <w:sz w:val="32"/>
          <w:szCs w:val="32"/>
          <w:u w:val="single"/>
        </w:rPr>
      </w:pPr>
    </w:p>
    <w:p w14:paraId="0BBA4BC1" w14:textId="77777777" w:rsidR="00A47BC8" w:rsidRDefault="00A47BC8" w:rsidP="001A5A7A">
      <w:pPr>
        <w:spacing w:line="360" w:lineRule="auto"/>
        <w:jc w:val="center"/>
        <w:rPr>
          <w:rFonts w:ascii="Times New Roman" w:hAnsi="Times New Roman" w:cs="Times New Roman"/>
          <w:b/>
          <w:sz w:val="32"/>
          <w:szCs w:val="32"/>
          <w:u w:val="single"/>
        </w:rPr>
      </w:pPr>
    </w:p>
    <w:p w14:paraId="5C578351" w14:textId="77777777" w:rsidR="00A47BC8" w:rsidRDefault="00A47BC8" w:rsidP="001A5A7A">
      <w:pPr>
        <w:spacing w:line="360" w:lineRule="auto"/>
        <w:jc w:val="center"/>
        <w:rPr>
          <w:rFonts w:ascii="Times New Roman" w:hAnsi="Times New Roman" w:cs="Times New Roman"/>
          <w:b/>
          <w:sz w:val="32"/>
          <w:szCs w:val="32"/>
          <w:u w:val="single"/>
        </w:rPr>
      </w:pPr>
    </w:p>
    <w:p w14:paraId="0447EDCF" w14:textId="77777777" w:rsidR="00A47BC8" w:rsidRDefault="00A47BC8" w:rsidP="001A5A7A">
      <w:pPr>
        <w:spacing w:line="360" w:lineRule="auto"/>
        <w:jc w:val="center"/>
        <w:rPr>
          <w:rFonts w:ascii="Times New Roman" w:hAnsi="Times New Roman" w:cs="Times New Roman"/>
          <w:b/>
          <w:sz w:val="32"/>
          <w:szCs w:val="32"/>
          <w:u w:val="single"/>
        </w:rPr>
      </w:pPr>
    </w:p>
    <w:p w14:paraId="3E5DC774" w14:textId="77777777" w:rsidR="00A47BC8" w:rsidRDefault="00A47BC8" w:rsidP="001A5A7A">
      <w:pPr>
        <w:spacing w:line="360" w:lineRule="auto"/>
        <w:jc w:val="center"/>
        <w:rPr>
          <w:rFonts w:ascii="Times New Roman" w:hAnsi="Times New Roman" w:cs="Times New Roman"/>
          <w:b/>
          <w:sz w:val="32"/>
          <w:szCs w:val="32"/>
          <w:u w:val="single"/>
        </w:rPr>
      </w:pPr>
    </w:p>
    <w:p w14:paraId="1F95D02F" w14:textId="77777777" w:rsidR="00A47BC8" w:rsidRDefault="00A47BC8" w:rsidP="001A5A7A">
      <w:pPr>
        <w:spacing w:line="360" w:lineRule="auto"/>
        <w:jc w:val="center"/>
        <w:rPr>
          <w:rFonts w:ascii="Times New Roman" w:hAnsi="Times New Roman" w:cs="Times New Roman"/>
          <w:b/>
          <w:sz w:val="32"/>
          <w:szCs w:val="32"/>
          <w:u w:val="single"/>
        </w:rPr>
      </w:pPr>
    </w:p>
    <w:p w14:paraId="7958AA5F" w14:textId="77777777" w:rsidR="00A47BC8" w:rsidRDefault="00A47BC8" w:rsidP="001A5A7A">
      <w:pPr>
        <w:spacing w:line="360" w:lineRule="auto"/>
        <w:jc w:val="center"/>
        <w:rPr>
          <w:rFonts w:ascii="Times New Roman" w:hAnsi="Times New Roman" w:cs="Times New Roman"/>
          <w:b/>
          <w:sz w:val="32"/>
          <w:szCs w:val="32"/>
          <w:u w:val="single"/>
        </w:rPr>
      </w:pPr>
    </w:p>
    <w:p w14:paraId="02C6E944" w14:textId="77777777" w:rsidR="00A47BC8" w:rsidRDefault="00A47BC8" w:rsidP="00A77CAA">
      <w:pPr>
        <w:spacing w:line="360" w:lineRule="auto"/>
        <w:rPr>
          <w:rFonts w:ascii="Times New Roman" w:hAnsi="Times New Roman" w:cs="Times New Roman"/>
          <w:b/>
          <w:sz w:val="32"/>
          <w:szCs w:val="32"/>
          <w:u w:val="single"/>
        </w:rPr>
      </w:pPr>
    </w:p>
    <w:p w14:paraId="79A7E897" w14:textId="1DCDFF46" w:rsidR="00F2180C" w:rsidRPr="001A5A7A" w:rsidRDefault="00F2180C" w:rsidP="001A5A7A">
      <w:pPr>
        <w:spacing w:line="360" w:lineRule="auto"/>
        <w:jc w:val="center"/>
        <w:rPr>
          <w:rFonts w:ascii="Times New Roman" w:hAnsi="Times New Roman" w:cs="Times New Roman"/>
          <w:b/>
          <w:sz w:val="32"/>
          <w:szCs w:val="32"/>
          <w:u w:val="single"/>
        </w:rPr>
      </w:pPr>
      <w:r w:rsidRPr="001A5A7A">
        <w:rPr>
          <w:rFonts w:ascii="Times New Roman" w:hAnsi="Times New Roman" w:cs="Times New Roman"/>
          <w:b/>
          <w:sz w:val="32"/>
          <w:szCs w:val="32"/>
          <w:u w:val="single"/>
        </w:rPr>
        <w:t>Aetna</w:t>
      </w:r>
      <w:r w:rsidR="001A5A7A" w:rsidRPr="001A5A7A">
        <w:rPr>
          <w:rFonts w:ascii="Times New Roman" w:hAnsi="Times New Roman" w:cs="Times New Roman"/>
          <w:b/>
          <w:sz w:val="32"/>
          <w:szCs w:val="32"/>
          <w:u w:val="single"/>
        </w:rPr>
        <w:t>’s</w:t>
      </w:r>
      <w:r w:rsidRPr="001A5A7A">
        <w:rPr>
          <w:rFonts w:ascii="Times New Roman" w:hAnsi="Times New Roman" w:cs="Times New Roman"/>
          <w:b/>
          <w:sz w:val="32"/>
          <w:szCs w:val="32"/>
          <w:u w:val="single"/>
        </w:rPr>
        <w:t xml:space="preserve"> People Management</w:t>
      </w:r>
    </w:p>
    <w:p w14:paraId="4CF4B5F0" w14:textId="7C38688B" w:rsidR="00F2180C" w:rsidRPr="001A5A7A" w:rsidRDefault="00F2180C" w:rsidP="001A5A7A">
      <w:pPr>
        <w:pStyle w:val="Heading1"/>
        <w:numPr>
          <w:ilvl w:val="0"/>
          <w:numId w:val="44"/>
        </w:numPr>
        <w:rPr>
          <w:rFonts w:eastAsia="Times New Roman"/>
          <w:sz w:val="28"/>
          <w:szCs w:val="28"/>
          <w:u w:val="single"/>
        </w:rPr>
      </w:pPr>
      <w:bookmarkStart w:id="0" w:name="_Toc534629758"/>
      <w:bookmarkStart w:id="1" w:name="_Toc534630159"/>
      <w:bookmarkStart w:id="2" w:name="_Toc534630190"/>
      <w:bookmarkStart w:id="3" w:name="_Toc534630225"/>
      <w:bookmarkStart w:id="4" w:name="_Toc534630516"/>
      <w:r w:rsidRPr="001A5A7A">
        <w:rPr>
          <w:sz w:val="28"/>
          <w:szCs w:val="28"/>
          <w:u w:val="single"/>
        </w:rPr>
        <w:t>Introduction:</w:t>
      </w:r>
      <w:bookmarkEnd w:id="0"/>
      <w:bookmarkEnd w:id="1"/>
      <w:bookmarkEnd w:id="2"/>
      <w:bookmarkEnd w:id="3"/>
      <w:bookmarkEnd w:id="4"/>
      <w:r w:rsidRPr="001A5A7A">
        <w:rPr>
          <w:sz w:val="28"/>
          <w:szCs w:val="28"/>
          <w:u w:val="single"/>
        </w:rPr>
        <w:t xml:space="preserve"> </w:t>
      </w:r>
    </w:p>
    <w:p w14:paraId="3992D43A" w14:textId="4316DFA8" w:rsidR="00F2180C" w:rsidRPr="00F2180C" w:rsidRDefault="00F2180C" w:rsidP="00C523E7">
      <w:pPr>
        <w:spacing w:line="360" w:lineRule="auto"/>
        <w:jc w:val="both"/>
        <w:rPr>
          <w:rFonts w:ascii="Times New Roman" w:eastAsia="Times New Roman" w:hAnsi="Times New Roman" w:cs="Times New Roman"/>
        </w:rPr>
      </w:pPr>
      <w:r w:rsidRPr="00F2180C">
        <w:rPr>
          <w:rFonts w:ascii="Times New Roman" w:hAnsi="Times New Roman" w:cs="Times New Roman"/>
        </w:rPr>
        <w:t xml:space="preserve">Aetna is one of the Fortune 100 listed US based company which is recognized as one of the largest and prominent international health benefit provider in the world. This company carries a heritage of 160 years of providing health care benefits worldwide. The headquarter of Aetna is located at Hartford, Connecticut, United States. Currently there are over 40,000 employees working at Aetna who are providing health benefits to over 800,000 Aetna members around the world (Aetna, 2018). </w:t>
      </w:r>
    </w:p>
    <w:p w14:paraId="50E49A26" w14:textId="77777777" w:rsidR="00F2180C" w:rsidRPr="00F2180C" w:rsidRDefault="00F2180C" w:rsidP="00C523E7">
      <w:pPr>
        <w:pStyle w:val="ListParagraph"/>
        <w:spacing w:line="360" w:lineRule="auto"/>
        <w:jc w:val="both"/>
        <w:rPr>
          <w:rFonts w:ascii="Times New Roman" w:hAnsi="Times New Roman" w:cs="Times New Roman"/>
        </w:rPr>
      </w:pPr>
    </w:p>
    <w:p w14:paraId="6CFA7EEA" w14:textId="3E769C5A" w:rsidR="00F2180C" w:rsidRPr="00F2180C" w:rsidRDefault="00F2180C" w:rsidP="00C523E7">
      <w:pPr>
        <w:spacing w:line="360" w:lineRule="auto"/>
        <w:jc w:val="both"/>
        <w:rPr>
          <w:rFonts w:ascii="Times New Roman" w:hAnsi="Times New Roman" w:cs="Times New Roman"/>
        </w:rPr>
      </w:pPr>
      <w:r w:rsidRPr="00F2180C">
        <w:rPr>
          <w:rFonts w:ascii="Times New Roman" w:hAnsi="Times New Roman" w:cs="Times New Roman"/>
        </w:rPr>
        <w:t xml:space="preserve">The most notable aspect about Aetna is its seriousness and sincerity about cultivating diversity at workplace. Diversity is considered as the core value of Aetna’s business, as well as the most important element of Aetna’s culture. Surprisingly, about 75% of Aetna’s employees are women and among them, 64% holds management position. However, one might think of Aetna being a gender biased organization due to the huge difference in number of male and female employee working for Aetna. But the gender pay gap result of 2018 shows that the proportion of  bonus received payments by the end of 2017 for women was 90.1% and for men it was 88%. Which is almost equal. Not only that, 32% of Aetna employees are people from </w:t>
      </w:r>
      <w:r w:rsidR="00743E87" w:rsidRPr="00F2180C">
        <w:rPr>
          <w:rFonts w:ascii="Times New Roman" w:hAnsi="Times New Roman" w:cs="Times New Roman"/>
        </w:rPr>
        <w:t>colour</w:t>
      </w:r>
      <w:r w:rsidRPr="00F2180C">
        <w:rPr>
          <w:rFonts w:ascii="Times New Roman" w:hAnsi="Times New Roman" w:cs="Times New Roman"/>
        </w:rPr>
        <w:t xml:space="preserve"> and 4% of the employees have been identified as Lesbian, gay, bisexual and transgender (LGBT) (Aetna, 2018). </w:t>
      </w:r>
    </w:p>
    <w:p w14:paraId="4F8062C7" w14:textId="77777777" w:rsidR="00F2180C" w:rsidRDefault="00F2180C" w:rsidP="00C523E7">
      <w:pPr>
        <w:spacing w:line="360" w:lineRule="auto"/>
        <w:jc w:val="both"/>
        <w:rPr>
          <w:rFonts w:ascii="Times New Roman" w:hAnsi="Times New Roman" w:cs="Times New Roman"/>
        </w:rPr>
      </w:pPr>
    </w:p>
    <w:p w14:paraId="1F0C0CA5" w14:textId="01B8E993" w:rsidR="00F2180C" w:rsidRPr="00F2180C" w:rsidRDefault="00F2180C" w:rsidP="00C523E7">
      <w:pPr>
        <w:spacing w:line="360" w:lineRule="auto"/>
        <w:jc w:val="both"/>
        <w:rPr>
          <w:rFonts w:ascii="Times New Roman" w:hAnsi="Times New Roman" w:cs="Times New Roman"/>
        </w:rPr>
      </w:pPr>
      <w:r w:rsidRPr="00F2180C">
        <w:rPr>
          <w:rFonts w:ascii="Times New Roman" w:hAnsi="Times New Roman" w:cs="Times New Roman"/>
        </w:rPr>
        <w:t xml:space="preserve">Aetna has six employee networks. These are Aetna African American Employee Network (AAEN), Aetna Hispanic Network (AHN), Aetna Network of Lesbian, Gay, Bisexual and Transgender (Angle), Asian American Network (Asia-Net), Aetna Women’s Network (AWN) and Aetna’s Working Mother’ network (AWMN). All these networks show Aetna’s open handed welcome to diversity (Aetna Annual Diversity Report, 2006). Similarly, Aetna formed 15 Employee Resource Groups (ERG)s which includes employees from different gender, race, ethnicity, </w:t>
      </w:r>
      <w:r w:rsidR="00743E87">
        <w:rPr>
          <w:rFonts w:ascii="Times New Roman" w:hAnsi="Times New Roman" w:cs="Times New Roman"/>
        </w:rPr>
        <w:t xml:space="preserve">religion, </w:t>
      </w:r>
      <w:r w:rsidRPr="00F2180C">
        <w:rPr>
          <w:rFonts w:ascii="Times New Roman" w:hAnsi="Times New Roman" w:cs="Times New Roman"/>
        </w:rPr>
        <w:t xml:space="preserve">geography and multi-generation work force (Aetna Annual Diversity Report, 2008). </w:t>
      </w:r>
      <w:r w:rsidRPr="00F2180C">
        <w:rPr>
          <w:rFonts w:ascii="Times New Roman" w:hAnsi="Times New Roman" w:cs="Times New Roman"/>
        </w:rPr>
        <w:lastRenderedPageBreak/>
        <w:t xml:space="preserve">On the other hand, Aetna’s diversity is not only focused on its employees. Aetna started fostering supplier diversity as well. National organizations such as National Minority Supplier Development Council (NMSDC), Women’s Business Enterprise National Council (WBENC) and The Conference Board’s Council on Supplier Diversity works as direct supplier of Aetna (Aetna Annual Diversity Report, 2006). </w:t>
      </w:r>
    </w:p>
    <w:p w14:paraId="3F76FC92" w14:textId="77777777" w:rsidR="00F2180C" w:rsidRPr="00743E87" w:rsidRDefault="00F2180C" w:rsidP="00743E87">
      <w:pPr>
        <w:spacing w:line="360" w:lineRule="auto"/>
        <w:jc w:val="both"/>
        <w:rPr>
          <w:rFonts w:ascii="Times New Roman" w:hAnsi="Times New Roman" w:cs="Times New Roman"/>
        </w:rPr>
      </w:pPr>
    </w:p>
    <w:p w14:paraId="6F71C133" w14:textId="5A5C527B" w:rsidR="001A5A7A" w:rsidRDefault="00F2180C" w:rsidP="004239C7">
      <w:pPr>
        <w:spacing w:line="360" w:lineRule="auto"/>
        <w:jc w:val="both"/>
        <w:rPr>
          <w:rFonts w:ascii="Times New Roman" w:hAnsi="Times New Roman" w:cs="Times New Roman"/>
        </w:rPr>
      </w:pPr>
      <w:r w:rsidRPr="00F2180C">
        <w:rPr>
          <w:rFonts w:ascii="Times New Roman" w:hAnsi="Times New Roman" w:cs="Times New Roman"/>
        </w:rPr>
        <w:t xml:space="preserve">This report will focus on highlighting the benefits of amending, adding and retaining Aetna diversity policies in context to Aetna USA only. However, this report will only emphasize on two people management (HR) issues in relation with diversity. One is Diversity in employee recruitment and retention and other one is Diversity in employee work-life balance. This report will aim to </w:t>
      </w:r>
      <w:r w:rsidR="00726D46" w:rsidRPr="00F2180C">
        <w:rPr>
          <w:rFonts w:ascii="Times New Roman" w:hAnsi="Times New Roman" w:cs="Times New Roman"/>
        </w:rPr>
        <w:t>analyse</w:t>
      </w:r>
      <w:r w:rsidRPr="00F2180C">
        <w:rPr>
          <w:rFonts w:ascii="Times New Roman" w:hAnsi="Times New Roman" w:cs="Times New Roman"/>
        </w:rPr>
        <w:t xml:space="preserve"> the current Aetna diversity policies, evaluate future potential opportunities and provide recommendations for the successful implementation of Aetna people management policies. </w:t>
      </w:r>
    </w:p>
    <w:p w14:paraId="78DFE1F1" w14:textId="4C2AB09F" w:rsidR="001A5A7A" w:rsidRDefault="001A5A7A" w:rsidP="00F2180C">
      <w:pPr>
        <w:spacing w:line="360" w:lineRule="auto"/>
        <w:rPr>
          <w:rFonts w:ascii="Times New Roman" w:hAnsi="Times New Roman" w:cs="Times New Roman"/>
        </w:rPr>
      </w:pPr>
    </w:p>
    <w:p w14:paraId="1CC68ED8" w14:textId="0862A819" w:rsidR="00BA4B55" w:rsidRDefault="00BA4B55" w:rsidP="00F2180C">
      <w:pPr>
        <w:spacing w:line="360" w:lineRule="auto"/>
        <w:rPr>
          <w:rFonts w:ascii="Times New Roman" w:hAnsi="Times New Roman" w:cs="Times New Roman"/>
        </w:rPr>
      </w:pPr>
    </w:p>
    <w:p w14:paraId="4BD78054" w14:textId="77777777" w:rsidR="00BA4B55" w:rsidRPr="00F2180C" w:rsidRDefault="00BA4B55" w:rsidP="00F2180C">
      <w:pPr>
        <w:spacing w:line="360" w:lineRule="auto"/>
        <w:rPr>
          <w:rFonts w:ascii="Times New Roman" w:hAnsi="Times New Roman" w:cs="Times New Roman"/>
        </w:rPr>
      </w:pPr>
    </w:p>
    <w:p w14:paraId="1B33258B" w14:textId="36DDDE0B" w:rsidR="00F2180C" w:rsidRPr="001A5A7A" w:rsidRDefault="00F2180C" w:rsidP="001A5A7A">
      <w:pPr>
        <w:pStyle w:val="Heading1"/>
        <w:numPr>
          <w:ilvl w:val="0"/>
          <w:numId w:val="44"/>
        </w:numPr>
        <w:rPr>
          <w:sz w:val="28"/>
          <w:szCs w:val="28"/>
          <w:u w:val="single"/>
        </w:rPr>
      </w:pPr>
      <w:bookmarkStart w:id="5" w:name="_Toc534629759"/>
      <w:bookmarkStart w:id="6" w:name="_Toc534630160"/>
      <w:bookmarkStart w:id="7" w:name="_Toc534630191"/>
      <w:bookmarkStart w:id="8" w:name="_Toc534630226"/>
      <w:bookmarkStart w:id="9" w:name="_Toc534630517"/>
      <w:r w:rsidRPr="001A5A7A">
        <w:rPr>
          <w:sz w:val="28"/>
          <w:szCs w:val="28"/>
          <w:u w:val="single"/>
        </w:rPr>
        <w:t>Literature Revie</w:t>
      </w:r>
      <w:r w:rsidR="001A5A7A" w:rsidRPr="001A5A7A">
        <w:rPr>
          <w:sz w:val="28"/>
          <w:szCs w:val="28"/>
          <w:u w:val="single"/>
        </w:rPr>
        <w:t>w</w:t>
      </w:r>
      <w:r w:rsidRPr="001A5A7A">
        <w:rPr>
          <w:sz w:val="28"/>
          <w:szCs w:val="28"/>
          <w:u w:val="single"/>
        </w:rPr>
        <w:t>:</w:t>
      </w:r>
      <w:bookmarkEnd w:id="5"/>
      <w:bookmarkEnd w:id="6"/>
      <w:bookmarkEnd w:id="7"/>
      <w:bookmarkEnd w:id="8"/>
      <w:bookmarkEnd w:id="9"/>
    </w:p>
    <w:p w14:paraId="143403EA" w14:textId="3447EA1D" w:rsidR="00F2180C" w:rsidRPr="001A5A7A" w:rsidRDefault="001A5A7A" w:rsidP="001A5A7A">
      <w:pPr>
        <w:pStyle w:val="Heading2"/>
        <w:rPr>
          <w:u w:val="single"/>
        </w:rPr>
      </w:pPr>
      <w:bookmarkStart w:id="10" w:name="_Toc534629760"/>
      <w:bookmarkStart w:id="11" w:name="_Toc534630161"/>
      <w:bookmarkStart w:id="12" w:name="_Toc534630192"/>
      <w:bookmarkStart w:id="13" w:name="_Toc534630227"/>
      <w:bookmarkStart w:id="14" w:name="_Toc534630518"/>
      <w:r>
        <w:rPr>
          <w:u w:val="single"/>
        </w:rPr>
        <w:t xml:space="preserve">2.1) </w:t>
      </w:r>
      <w:r w:rsidR="00F2180C" w:rsidRPr="001A5A7A">
        <w:rPr>
          <w:u w:val="single"/>
        </w:rPr>
        <w:t>Employee Recruitment and Retention:</w:t>
      </w:r>
      <w:bookmarkEnd w:id="10"/>
      <w:bookmarkEnd w:id="11"/>
      <w:bookmarkEnd w:id="12"/>
      <w:bookmarkEnd w:id="13"/>
      <w:bookmarkEnd w:id="14"/>
    </w:p>
    <w:p w14:paraId="2A86E740" w14:textId="0A166B99" w:rsidR="00F2180C" w:rsidRPr="00F2180C" w:rsidRDefault="00F2180C" w:rsidP="00C523E7">
      <w:pPr>
        <w:pStyle w:val="NormalWeb"/>
        <w:shd w:val="clear" w:color="auto" w:fill="FFFFFF"/>
        <w:spacing w:line="360" w:lineRule="auto"/>
        <w:jc w:val="both"/>
      </w:pPr>
      <w:r w:rsidRPr="00F2180C">
        <w:t xml:space="preserve">Commitment, productivity and quality of work of employees are largely influenced by a good recruitment program. On the other hand, relationship between commitment, productivity and quality of work with employee retention are quite complex (Sutanto and Kurniawan, 2016). Rafii and Andri (2015) suspected that concerning the recruitment, employee performance has relationship with employee recruitment. The findings of the research uncovers that employee recruitment and employee performance have a positive and significant relationship with each other. Similarly, Patimah (2015) found that retention is directly influenced on employee recruitment. Evidence have been found that employee retention can be significantly reduced with a good recruitment program which can result in high performance of the employees (Sumarni, 2011). Janjua and Gulzar (2014), supports this statement as they claims as per their findings, that employee recruitment practices and policies significantly affects employees retention.  Maina (2014), added that a well-diversified recruitment </w:t>
      </w:r>
      <w:r w:rsidRPr="00F2180C">
        <w:lastRenderedPageBreak/>
        <w:t>program with a</w:t>
      </w:r>
      <w:r w:rsidR="00313A4E">
        <w:t>n</w:t>
      </w:r>
      <w:r w:rsidRPr="00F2180C">
        <w:t xml:space="preserve"> attractive employment package is more likely to attract talented applicants for that specific job opening. Majority of the research studies on retention predicts that job satisfaction is the main factor that impacts employee retention. Brown &amp; Yoshioka (2003), states organization culture, pay and benefit scheme, supervisor support and co-worker team work are the important predictor of job retention. However, Freund (2005), mentioned that job satisfaction is not a predictor for job retention but just a mediator. Shaw </w:t>
      </w:r>
      <w:r w:rsidRPr="00F2180C">
        <w:rPr>
          <w:iCs/>
        </w:rPr>
        <w:t>et al</w:t>
      </w:r>
      <w:r w:rsidRPr="00F2180C">
        <w:t>. (2005) conducted a research on studying the micro-behaviour and the macro-strategies gap to retain the employees. As per their study, micro-behaviour and macro-strategical gap can be reduced by ensuring organizational sustainability which can also help minimizing employee retention problem of the organization. On the other hand, Cascico (2000) shared his opinion about the cost of replacing employees. According to Cascico (2000), losing just one key employee costs more than 60% of the departed annual compensation of that employee. Blake (2006), mentioned that the estimated turnover cost is around 30-50% of the annual salary for any entry level employee, for a mid-level employee, it is 150% and for a specialized employee the turnover cost increases to 400%. However, Breaugh et al., (2008), pointed out that turnover cost of any company can be minimized or kept under control by ensuring effective recruitment process. If the recruitment team believes in a diversified organization setup, then it will bring and attract more and more talent from different race, age, ethnicity and gender (Chapman et al. 2005).</w:t>
      </w:r>
    </w:p>
    <w:p w14:paraId="18745E12" w14:textId="77777777" w:rsidR="00F2180C" w:rsidRPr="00F2180C" w:rsidRDefault="00F2180C" w:rsidP="00F2180C">
      <w:pPr>
        <w:pStyle w:val="NormalWeb"/>
        <w:spacing w:line="360" w:lineRule="auto"/>
      </w:pPr>
    </w:p>
    <w:p w14:paraId="179F2678" w14:textId="77777777" w:rsidR="006203CA" w:rsidRDefault="006203CA" w:rsidP="00F2180C">
      <w:pPr>
        <w:pStyle w:val="NormalWeb"/>
        <w:spacing w:line="360" w:lineRule="auto"/>
      </w:pPr>
      <w:bookmarkStart w:id="15" w:name="_Toc534629761"/>
      <w:bookmarkStart w:id="16" w:name="_Toc534630162"/>
      <w:bookmarkStart w:id="17" w:name="_Toc534630193"/>
      <w:bookmarkStart w:id="18" w:name="_Toc534630228"/>
      <w:bookmarkStart w:id="19" w:name="_Toc534630519"/>
      <w:r>
        <w:rPr>
          <w:rStyle w:val="Heading2Char"/>
          <w:u w:val="single"/>
        </w:rPr>
        <w:t xml:space="preserve">2.2) </w:t>
      </w:r>
      <w:r w:rsidR="00F2180C" w:rsidRPr="006203CA">
        <w:rPr>
          <w:rStyle w:val="Heading2Char"/>
          <w:u w:val="single"/>
        </w:rPr>
        <w:t>Work-Life Balance:</w:t>
      </w:r>
      <w:bookmarkEnd w:id="15"/>
      <w:bookmarkEnd w:id="16"/>
      <w:bookmarkEnd w:id="17"/>
      <w:bookmarkEnd w:id="18"/>
      <w:bookmarkEnd w:id="19"/>
      <w:r w:rsidR="00F2180C" w:rsidRPr="00F2180C">
        <w:t xml:space="preserve"> </w:t>
      </w:r>
    </w:p>
    <w:p w14:paraId="434994DB" w14:textId="1B172444" w:rsidR="00F2180C" w:rsidRPr="00F2180C" w:rsidRDefault="00F2180C" w:rsidP="00C523E7">
      <w:pPr>
        <w:pStyle w:val="NormalWeb"/>
        <w:spacing w:line="360" w:lineRule="auto"/>
        <w:jc w:val="both"/>
      </w:pPr>
      <w:r w:rsidRPr="00F2180C">
        <w:t xml:space="preserve">Even though literatures on work-life balance is extensive but still the focus on work-life balance research study is shifting persistently. According to Sanchez et al. (2016), early research studies on work-life balance was focused on two main areas of an adults life. One is work and the other is family. However, Chinchilla and Leon (2007), mentioned that nowadays a third concept has been added in work-life balance studies. It is individuals personal development outside the family life. Researchers around the world have debated that both professional and personal life is equally important, even though studies show that there have been high level of conflict among these two </w:t>
      </w:r>
      <w:r w:rsidRPr="00F2180C">
        <w:lastRenderedPageBreak/>
        <w:t xml:space="preserve">spheres. In order to motivate the employees, researchers are now working on developing a greater oriented approach to use work-life balance as a tool for HR management (Felstead et al. 2002). This new approach aims to improve the alignment between the professional and non-professional areas of an employee’s life. Bloom and Reenen (2006), supported this approach by stating that it will help in reducing employees stress and desire </w:t>
      </w:r>
      <w:r w:rsidR="00313A4E">
        <w:t>for</w:t>
      </w:r>
      <w:r w:rsidRPr="00F2180C">
        <w:t xml:space="preserve"> early exit from the organization. Not only that, it will help to enhance the productivity, increase engagement and reduce absenteeism of the employees. Carnicer et al. (2004), tested gender as a variable to find out its relationship with work-life balance. According to them, even though both genders have conflict issue with work-life balance, however, they found women faces more conflict due to the amount of role women plays in everyday life. Cross (2010), added that the biggest obstacle of women’s career development is family life. Thorton (2013), in a research study found that both government and organizations takes essential measures to keep gender equality at work but still women represents only 24% of the management position. In Spain, the figure is less than 21%. He stated that women around the world falls behind due to their family commitment. Many recent research studies examined the balance between work and family life, as well as attempted to measure the control level of work hours and place of work. Greenhaus et al. (2003), suggested that imbalance in work and family life can hinder individuals energy, work performance and productivity. On the other hand, Thompson &amp; Bunderson (2001), stated that conflict and balance are both subjective reflection of individuals personal interest and context. </w:t>
      </w:r>
    </w:p>
    <w:p w14:paraId="78E077DD" w14:textId="77777777" w:rsidR="00F2180C" w:rsidRPr="00F2180C" w:rsidRDefault="00F2180C" w:rsidP="00F2180C">
      <w:pPr>
        <w:pStyle w:val="NormalWeb"/>
        <w:spacing w:line="360" w:lineRule="auto"/>
      </w:pPr>
    </w:p>
    <w:p w14:paraId="69FDD884" w14:textId="77777777" w:rsidR="006203CA" w:rsidRDefault="006203CA" w:rsidP="00F2180C">
      <w:pPr>
        <w:spacing w:line="360" w:lineRule="auto"/>
        <w:rPr>
          <w:rFonts w:ascii="Times New Roman" w:hAnsi="Times New Roman" w:cs="Times New Roman"/>
        </w:rPr>
      </w:pPr>
      <w:bookmarkStart w:id="20" w:name="_Toc534629762"/>
      <w:bookmarkStart w:id="21" w:name="_Toc534630163"/>
      <w:bookmarkStart w:id="22" w:name="_Toc534630194"/>
      <w:bookmarkStart w:id="23" w:name="_Toc534630229"/>
      <w:bookmarkStart w:id="24" w:name="_Toc534630520"/>
      <w:r>
        <w:rPr>
          <w:rStyle w:val="Heading2Char"/>
          <w:u w:val="single"/>
        </w:rPr>
        <w:t xml:space="preserve">2.3) </w:t>
      </w:r>
      <w:r w:rsidR="00F2180C" w:rsidRPr="006203CA">
        <w:rPr>
          <w:rStyle w:val="Heading2Char"/>
          <w:u w:val="single"/>
        </w:rPr>
        <w:t>Work-Place Diversity:</w:t>
      </w:r>
      <w:bookmarkEnd w:id="20"/>
      <w:bookmarkEnd w:id="21"/>
      <w:bookmarkEnd w:id="22"/>
      <w:bookmarkEnd w:id="23"/>
      <w:bookmarkEnd w:id="24"/>
      <w:r w:rsidR="00F2180C" w:rsidRPr="00F2180C">
        <w:rPr>
          <w:rFonts w:ascii="Times New Roman" w:hAnsi="Times New Roman" w:cs="Times New Roman"/>
        </w:rPr>
        <w:t xml:space="preserve"> </w:t>
      </w:r>
    </w:p>
    <w:p w14:paraId="08130CBA" w14:textId="22D51ED0" w:rsidR="006203CA" w:rsidRPr="006203CA" w:rsidRDefault="00F2180C" w:rsidP="004239C7">
      <w:pPr>
        <w:spacing w:line="360" w:lineRule="auto"/>
        <w:jc w:val="both"/>
        <w:rPr>
          <w:rFonts w:ascii="Times New Roman" w:hAnsi="Times New Roman" w:cs="Times New Roman"/>
        </w:rPr>
      </w:pPr>
      <w:r w:rsidRPr="00F2180C">
        <w:rPr>
          <w:rFonts w:ascii="Times New Roman" w:hAnsi="Times New Roman" w:cs="Times New Roman"/>
        </w:rPr>
        <w:t xml:space="preserve">In the era of globalization, diversity at work place have become a common term. People from different age group, race, ethnicity and gender work under the same umbrella to provide competitive advantage to the organizations. As per Bagshaw (2004), diversity forms a type of organizational culture where employees can pursue the desired career aspiration without being inhibited by nationality, ethnicity, religion, gender and race. Kirby and Richard (2000), mentioned that work place diversity is associated with a bundle of benefits at a pluralistic work place. Benefits such as job satisfaction, organizational commitment, productivity and self-perception competence </w:t>
      </w:r>
      <w:r w:rsidRPr="00F2180C">
        <w:rPr>
          <w:rFonts w:ascii="Times New Roman" w:hAnsi="Times New Roman" w:cs="Times New Roman"/>
        </w:rPr>
        <w:lastRenderedPageBreak/>
        <w:t xml:space="preserve">which results in competitive advantage for the organization. Alvesson and Gabriel (2013), stated about pluralism at work place that it works when majority and minority groups in an organization work collectively to create an unique organizational culture which consists norms, values and policies. A successful implementation of organizational diversity program can provide balance of organizational power which may lead to a competitive advantage for the organization (Snyder et al. 2008). However, Talti and Ozbilgin (2012), mentioned about the negative impact of poor implementation of work place diversity. According to Talti and Ozbilgin (2012), poor implementation of work place diversity can result in unsatisfactory outcome, work place violence and abuse and demotivated employees. Kundu (2001), mentioned that diversity can bring organizational effectiveness as it develops experience and reputation by attracting best personnel. Wentling and Rivas (2000), pointed out an important aspect that a company with a diversified group of employees exhibit superior services to the customers. As businesses are becoming globalised, employees of international organizations have to serve customers from different community. Not only that, it helps in positive branding of the organization as well as more and more customers from around the world gets exposed to the brand identity. Roberson and Park (2007), claims that it is the responsibility of the HR diversity management to ideally start off by documenting diversity polices and keeping proper record. At the same time, scholars suggests that HR management should measure the identity profile of each work groups and the perception of individual employees to identify organizational culture barriers that might act as an agent to hinder workplace equality. According to Hudson (2014), the biggest challenge for any HR management is not to form a diversity based culture but to protect the and sustain the culture itself. </w:t>
      </w:r>
    </w:p>
    <w:p w14:paraId="2CB5D711" w14:textId="2EAA2F7A" w:rsidR="00F2180C" w:rsidRPr="006203CA" w:rsidRDefault="00F2180C" w:rsidP="006203CA">
      <w:pPr>
        <w:pStyle w:val="Heading1"/>
        <w:numPr>
          <w:ilvl w:val="0"/>
          <w:numId w:val="44"/>
        </w:numPr>
        <w:rPr>
          <w:sz w:val="28"/>
          <w:szCs w:val="28"/>
          <w:u w:val="single"/>
        </w:rPr>
      </w:pPr>
      <w:bookmarkStart w:id="25" w:name="_Toc534629763"/>
      <w:bookmarkStart w:id="26" w:name="_Toc534630164"/>
      <w:bookmarkStart w:id="27" w:name="_Toc534630195"/>
      <w:bookmarkStart w:id="28" w:name="_Toc534630230"/>
      <w:bookmarkStart w:id="29" w:name="_Toc534630521"/>
      <w:r w:rsidRPr="006203CA">
        <w:rPr>
          <w:sz w:val="28"/>
          <w:szCs w:val="28"/>
          <w:u w:val="single"/>
        </w:rPr>
        <w:t xml:space="preserve">Analysis of the </w:t>
      </w:r>
      <w:r w:rsidR="006203CA" w:rsidRPr="006203CA">
        <w:rPr>
          <w:sz w:val="28"/>
          <w:szCs w:val="28"/>
          <w:u w:val="single"/>
        </w:rPr>
        <w:t>S</w:t>
      </w:r>
      <w:r w:rsidRPr="006203CA">
        <w:rPr>
          <w:sz w:val="28"/>
          <w:szCs w:val="28"/>
          <w:u w:val="single"/>
        </w:rPr>
        <w:t xml:space="preserve">elected </w:t>
      </w:r>
      <w:r w:rsidR="006203CA" w:rsidRPr="006203CA">
        <w:rPr>
          <w:sz w:val="28"/>
          <w:szCs w:val="28"/>
          <w:u w:val="single"/>
        </w:rPr>
        <w:t>P</w:t>
      </w:r>
      <w:r w:rsidRPr="006203CA">
        <w:rPr>
          <w:sz w:val="28"/>
          <w:szCs w:val="28"/>
          <w:u w:val="single"/>
        </w:rPr>
        <w:t xml:space="preserve">eople </w:t>
      </w:r>
      <w:r w:rsidR="006203CA" w:rsidRPr="006203CA">
        <w:rPr>
          <w:sz w:val="28"/>
          <w:szCs w:val="28"/>
          <w:u w:val="single"/>
        </w:rPr>
        <w:t>M</w:t>
      </w:r>
      <w:r w:rsidRPr="006203CA">
        <w:rPr>
          <w:sz w:val="28"/>
          <w:szCs w:val="28"/>
          <w:u w:val="single"/>
        </w:rPr>
        <w:t xml:space="preserve">anagement </w:t>
      </w:r>
      <w:r w:rsidR="006203CA" w:rsidRPr="006203CA">
        <w:rPr>
          <w:sz w:val="28"/>
          <w:szCs w:val="28"/>
          <w:u w:val="single"/>
        </w:rPr>
        <w:t>I</w:t>
      </w:r>
      <w:r w:rsidRPr="006203CA">
        <w:rPr>
          <w:sz w:val="28"/>
          <w:szCs w:val="28"/>
          <w:u w:val="single"/>
        </w:rPr>
        <w:t>ssues:</w:t>
      </w:r>
      <w:bookmarkEnd w:id="25"/>
      <w:bookmarkEnd w:id="26"/>
      <w:bookmarkEnd w:id="27"/>
      <w:bookmarkEnd w:id="28"/>
      <w:bookmarkEnd w:id="29"/>
    </w:p>
    <w:p w14:paraId="57087207" w14:textId="780E7586" w:rsidR="00F2180C" w:rsidRPr="006203CA" w:rsidRDefault="006203CA" w:rsidP="006203CA">
      <w:pPr>
        <w:pStyle w:val="Heading2"/>
        <w:rPr>
          <w:u w:val="single"/>
        </w:rPr>
      </w:pPr>
      <w:bookmarkStart w:id="30" w:name="_Toc534629764"/>
      <w:bookmarkStart w:id="31" w:name="_Toc534630165"/>
      <w:bookmarkStart w:id="32" w:name="_Toc534630196"/>
      <w:bookmarkStart w:id="33" w:name="_Toc534630231"/>
      <w:bookmarkStart w:id="34" w:name="_Toc534630522"/>
      <w:r>
        <w:rPr>
          <w:u w:val="single"/>
        </w:rPr>
        <w:t xml:space="preserve">3.1) </w:t>
      </w:r>
      <w:r w:rsidR="00F2180C" w:rsidRPr="006203CA">
        <w:rPr>
          <w:u w:val="single"/>
        </w:rPr>
        <w:t>Diversity in Employee Recruitment and Retention</w:t>
      </w:r>
      <w:bookmarkEnd w:id="30"/>
      <w:bookmarkEnd w:id="31"/>
      <w:bookmarkEnd w:id="32"/>
      <w:bookmarkEnd w:id="33"/>
      <w:bookmarkEnd w:id="34"/>
    </w:p>
    <w:p w14:paraId="7A0B61FD" w14:textId="77777777" w:rsidR="00F2180C" w:rsidRPr="00F2180C" w:rsidRDefault="00F2180C" w:rsidP="00F2180C">
      <w:pPr>
        <w:spacing w:line="360" w:lineRule="auto"/>
        <w:rPr>
          <w:rFonts w:ascii="Times New Roman" w:hAnsi="Times New Roman" w:cs="Times New Roman"/>
        </w:rPr>
      </w:pPr>
    </w:p>
    <w:p w14:paraId="21BB12E2" w14:textId="77777777" w:rsidR="00F2180C" w:rsidRPr="00F2180C" w:rsidRDefault="00F2180C" w:rsidP="00CE3D7F">
      <w:pPr>
        <w:spacing w:line="360" w:lineRule="auto"/>
        <w:jc w:val="both"/>
        <w:rPr>
          <w:rFonts w:ascii="Times New Roman" w:hAnsi="Times New Roman" w:cs="Times New Roman"/>
        </w:rPr>
      </w:pPr>
      <w:r w:rsidRPr="00F2180C">
        <w:rPr>
          <w:rFonts w:ascii="Times New Roman" w:hAnsi="Times New Roman" w:cs="Times New Roman"/>
        </w:rPr>
        <w:t xml:space="preserve">Aetna as a company is growing worldwide as it operate its business throughout United States, Asia, Europe and Middle East. This organization recognises the impact and importance of diversity. As a result the organization opened its door for the talented individuals who are committed towards helping the business grow. As mentioned earlier in the introduction section that Aetna recruits and hires individuals from all race, ethnicity, religion, age group and gender. This is a remarkable approach </w:t>
      </w:r>
      <w:r w:rsidRPr="00F2180C">
        <w:rPr>
          <w:rFonts w:ascii="Times New Roman" w:hAnsi="Times New Roman" w:cs="Times New Roman"/>
        </w:rPr>
        <w:lastRenderedPageBreak/>
        <w:t xml:space="preserve">as it opens the opportunity for the organization to learn, test, implement and execute new strategies in to the business. For example: An employee who is aged over 50 and have working experience of over 25-30 years can share his expertise and experience with a newly joined 20-25 years old employee. Even though the newly join employee supposed to be more energetic, hard-working and capable of hard-work, but he lacks the expertise and experience of the old employee. This is where Aetna is winning as it is allowing all age groups to work together to share their piece of knowledge. </w:t>
      </w:r>
    </w:p>
    <w:p w14:paraId="20D03834" w14:textId="77777777" w:rsidR="00F2180C" w:rsidRPr="00F2180C" w:rsidRDefault="00F2180C" w:rsidP="00CE3D7F">
      <w:pPr>
        <w:spacing w:line="360" w:lineRule="auto"/>
        <w:jc w:val="both"/>
        <w:rPr>
          <w:rFonts w:ascii="Times New Roman" w:hAnsi="Times New Roman" w:cs="Times New Roman"/>
        </w:rPr>
      </w:pPr>
    </w:p>
    <w:p w14:paraId="6F08DD08" w14:textId="301FAB94" w:rsidR="00F2180C" w:rsidRPr="00F2180C" w:rsidRDefault="00F2180C" w:rsidP="00CE3D7F">
      <w:pPr>
        <w:pStyle w:val="NormalWeb"/>
        <w:shd w:val="clear" w:color="auto" w:fill="FFFFFF"/>
        <w:spacing w:line="360" w:lineRule="auto"/>
        <w:jc w:val="both"/>
      </w:pPr>
      <w:r w:rsidRPr="00F2180C">
        <w:t xml:space="preserve">At Aetna, individuals from different background can become a member of this organization. There are over 100 types of jobs at Aetna which is dedicated for individuals professional development and career tracks. However, the recruitment process needs to be distinctive and well designed as per the job requirements. As Oaya et al. (2003), mentioned that as employees are the most valued and precious asset of an organization, therefore HR management needs to have a </w:t>
      </w:r>
      <w:r w:rsidR="00E7035E" w:rsidRPr="00F2180C">
        <w:t>well-designed</w:t>
      </w:r>
      <w:r w:rsidRPr="00F2180C">
        <w:t xml:space="preserve"> recruitment process. A wrong recruitment can be costly for the organization which can result from an early exit. As a result, not only a well-designed recruitment process is necessary but also an effective employee retention policy. Boglarsky &amp; Kwantes (2004), used the below research model to find out the relationship of organization culture, organization person fit and demographic factors with recruitment and retention. According to the findings  organization person fit and demographic factors have less impact than organization culture. It has been proved that organization culture plays an very important role on recruitment and retention. </w:t>
      </w:r>
    </w:p>
    <w:p w14:paraId="42147A4F" w14:textId="77777777" w:rsidR="00F2180C" w:rsidRPr="00F2180C" w:rsidRDefault="00F2180C" w:rsidP="00F2180C">
      <w:pPr>
        <w:spacing w:line="360" w:lineRule="auto"/>
        <w:rPr>
          <w:rFonts w:ascii="Times New Roman" w:hAnsi="Times New Roman" w:cs="Times New Roman"/>
        </w:rPr>
      </w:pPr>
    </w:p>
    <w:p w14:paraId="26A51306" w14:textId="77777777" w:rsidR="00F2180C" w:rsidRPr="00F2180C" w:rsidRDefault="00F2180C" w:rsidP="00F2180C">
      <w:pPr>
        <w:spacing w:line="360" w:lineRule="auto"/>
        <w:rPr>
          <w:rFonts w:ascii="Times New Roman" w:hAnsi="Times New Roman" w:cs="Times New Roman"/>
        </w:rPr>
      </w:pPr>
    </w:p>
    <w:p w14:paraId="25D79D5B" w14:textId="77777777" w:rsidR="00F2180C" w:rsidRPr="00F2180C" w:rsidRDefault="00F2180C" w:rsidP="00F2180C">
      <w:pPr>
        <w:spacing w:line="360" w:lineRule="auto"/>
        <w:jc w:val="center"/>
        <w:rPr>
          <w:rFonts w:ascii="Times New Roman" w:hAnsi="Times New Roman" w:cs="Times New Roman"/>
        </w:rPr>
      </w:pPr>
      <w:r w:rsidRPr="00F2180C">
        <w:rPr>
          <w:rFonts w:ascii="Times New Roman" w:hAnsi="Times New Roman" w:cs="Times New Roman"/>
          <w:noProof/>
          <w:lang w:val="en-US"/>
        </w:rPr>
        <w:lastRenderedPageBreak/>
        <w:drawing>
          <wp:inline distT="0" distB="0" distL="0" distR="0" wp14:anchorId="6E0386AC" wp14:editId="18527909">
            <wp:extent cx="4199138" cy="279927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2-26 at 22.02.00.png"/>
                    <pic:cNvPicPr/>
                  </pic:nvPicPr>
                  <pic:blipFill>
                    <a:blip r:embed="rId9">
                      <a:extLst>
                        <a:ext uri="{28A0092B-C50C-407E-A947-70E740481C1C}">
                          <a14:useLocalDpi xmlns:a14="http://schemas.microsoft.com/office/drawing/2010/main" val="0"/>
                        </a:ext>
                      </a:extLst>
                    </a:blip>
                    <a:stretch>
                      <a:fillRect/>
                    </a:stretch>
                  </pic:blipFill>
                  <pic:spPr>
                    <a:xfrm>
                      <a:off x="0" y="0"/>
                      <a:ext cx="4210624" cy="2806927"/>
                    </a:xfrm>
                    <a:prstGeom prst="rect">
                      <a:avLst/>
                    </a:prstGeom>
                  </pic:spPr>
                </pic:pic>
              </a:graphicData>
            </a:graphic>
          </wp:inline>
        </w:drawing>
      </w:r>
    </w:p>
    <w:p w14:paraId="5BBC6D2B" w14:textId="77777777" w:rsidR="00F2180C" w:rsidRPr="00F2180C" w:rsidRDefault="00F2180C" w:rsidP="0016225D">
      <w:pPr>
        <w:spacing w:line="360" w:lineRule="auto"/>
        <w:jc w:val="center"/>
        <w:rPr>
          <w:rFonts w:ascii="Times New Roman" w:hAnsi="Times New Roman" w:cs="Times New Roman"/>
        </w:rPr>
      </w:pPr>
    </w:p>
    <w:p w14:paraId="66B504E7" w14:textId="74708DE3" w:rsidR="00F2180C" w:rsidRPr="00F2180C" w:rsidRDefault="00F2180C" w:rsidP="0016225D">
      <w:pPr>
        <w:spacing w:line="360" w:lineRule="auto"/>
        <w:jc w:val="center"/>
        <w:rPr>
          <w:rFonts w:ascii="Times New Roman" w:hAnsi="Times New Roman" w:cs="Times New Roman"/>
        </w:rPr>
      </w:pPr>
      <w:r w:rsidRPr="006203CA">
        <w:rPr>
          <w:rFonts w:ascii="Times New Roman" w:hAnsi="Times New Roman" w:cs="Times New Roman"/>
          <w:b/>
        </w:rPr>
        <w:t>Figure 1:</w:t>
      </w:r>
      <w:r w:rsidRPr="00F2180C">
        <w:rPr>
          <w:rFonts w:ascii="Times New Roman" w:hAnsi="Times New Roman" w:cs="Times New Roman"/>
        </w:rPr>
        <w:t xml:space="preserve"> Research Model on Organizational Culture, Recruitment and Retention.</w:t>
      </w:r>
    </w:p>
    <w:p w14:paraId="4989FC8A" w14:textId="51EC280C" w:rsidR="00F2180C" w:rsidRPr="00F2180C" w:rsidRDefault="00F2180C" w:rsidP="006203CA">
      <w:pPr>
        <w:spacing w:line="360" w:lineRule="auto"/>
        <w:jc w:val="center"/>
        <w:rPr>
          <w:rFonts w:ascii="Times New Roman" w:hAnsi="Times New Roman" w:cs="Times New Roman"/>
        </w:rPr>
      </w:pPr>
      <w:r w:rsidRPr="006203CA">
        <w:rPr>
          <w:rFonts w:ascii="Times New Roman" w:hAnsi="Times New Roman" w:cs="Times New Roman"/>
          <w:b/>
        </w:rPr>
        <w:t>Source:</w:t>
      </w:r>
      <w:r w:rsidRPr="00F2180C">
        <w:rPr>
          <w:rFonts w:ascii="Times New Roman" w:hAnsi="Times New Roman" w:cs="Times New Roman"/>
        </w:rPr>
        <w:t xml:space="preserve"> (Boglarsky &amp; Kwantes, 2004)</w:t>
      </w:r>
    </w:p>
    <w:p w14:paraId="4DAA262E" w14:textId="77777777" w:rsidR="00F2180C" w:rsidRPr="00F2180C" w:rsidRDefault="00F2180C" w:rsidP="00F2180C">
      <w:pPr>
        <w:spacing w:line="360" w:lineRule="auto"/>
        <w:rPr>
          <w:rFonts w:ascii="Times New Roman" w:hAnsi="Times New Roman" w:cs="Times New Roman"/>
        </w:rPr>
      </w:pPr>
    </w:p>
    <w:p w14:paraId="138789B5" w14:textId="77777777" w:rsidR="00F2180C" w:rsidRPr="00F2180C" w:rsidRDefault="00F2180C" w:rsidP="00CE3D7F">
      <w:pPr>
        <w:pStyle w:val="NormalWeb"/>
        <w:shd w:val="clear" w:color="auto" w:fill="FFFFFF"/>
        <w:spacing w:line="360" w:lineRule="auto"/>
        <w:jc w:val="both"/>
      </w:pPr>
      <w:r w:rsidRPr="00F2180C">
        <w:t>Similarly at Aetna, diversity is the main culture and it helps attract candidates from around the world to be a part of the Aetna Family. At Aetna, there are 14% of employees who have been working in the company for more than 20 years. However, there are 38% of employees who are working there for less than 5 years. (Aetna, 2018). This is something Aetna has to work on. This companies main focus needs to be on increasing the percentage of employees who are working for over 20 years and minimizing the percentage of employees who working less than five years. For this, Aetna has to come up with lucrative employee benefit plan. Currently the employee benefits Aetna provides are as follows:</w:t>
      </w:r>
    </w:p>
    <w:p w14:paraId="51BA93CF" w14:textId="77777777" w:rsidR="00F2180C" w:rsidRPr="00F2180C" w:rsidRDefault="00F2180C" w:rsidP="00CE3D7F">
      <w:pPr>
        <w:pStyle w:val="NormalWeb"/>
        <w:numPr>
          <w:ilvl w:val="0"/>
          <w:numId w:val="37"/>
        </w:numPr>
        <w:shd w:val="clear" w:color="auto" w:fill="FFFFFF"/>
        <w:spacing w:line="360" w:lineRule="auto"/>
        <w:jc w:val="both"/>
      </w:pPr>
      <w:r w:rsidRPr="0016225D">
        <w:rPr>
          <w:b/>
        </w:rPr>
        <w:t>Adoption Assistance Program:</w:t>
      </w:r>
      <w:r w:rsidRPr="00F2180C">
        <w:t xml:space="preserve"> Provides $5,000 reimbursement for adoption expenses.</w:t>
      </w:r>
    </w:p>
    <w:p w14:paraId="7DC548BB" w14:textId="77777777" w:rsidR="00F2180C" w:rsidRPr="00F2180C" w:rsidRDefault="00F2180C" w:rsidP="00CE3D7F">
      <w:pPr>
        <w:pStyle w:val="NormalWeb"/>
        <w:numPr>
          <w:ilvl w:val="0"/>
          <w:numId w:val="37"/>
        </w:numPr>
        <w:shd w:val="clear" w:color="auto" w:fill="FFFFFF"/>
        <w:spacing w:line="360" w:lineRule="auto"/>
        <w:jc w:val="both"/>
      </w:pPr>
      <w:r w:rsidRPr="0016225D">
        <w:rPr>
          <w:b/>
        </w:rPr>
        <w:t>Basic Life Insurance:</w:t>
      </w:r>
      <w:r w:rsidRPr="00F2180C">
        <w:t xml:space="preserve"> Minimum benefit of $10,000</w:t>
      </w:r>
    </w:p>
    <w:p w14:paraId="14843AA7" w14:textId="77777777" w:rsidR="00F2180C" w:rsidRPr="00F2180C" w:rsidRDefault="00F2180C" w:rsidP="00CE3D7F">
      <w:pPr>
        <w:pStyle w:val="NormalWeb"/>
        <w:numPr>
          <w:ilvl w:val="0"/>
          <w:numId w:val="37"/>
        </w:numPr>
        <w:shd w:val="clear" w:color="auto" w:fill="FFFFFF"/>
        <w:spacing w:line="360" w:lineRule="auto"/>
        <w:jc w:val="both"/>
      </w:pPr>
      <w:r w:rsidRPr="0016225D">
        <w:rPr>
          <w:b/>
        </w:rPr>
        <w:t>Business Travel Accident Insurance:</w:t>
      </w:r>
      <w:r w:rsidRPr="00F2180C">
        <w:t xml:space="preserve"> Maximum $1,000,000</w:t>
      </w:r>
    </w:p>
    <w:p w14:paraId="2FCAD0F1" w14:textId="77777777" w:rsidR="00F2180C" w:rsidRPr="00F2180C" w:rsidRDefault="00F2180C" w:rsidP="00CE3D7F">
      <w:pPr>
        <w:pStyle w:val="NormalWeb"/>
        <w:numPr>
          <w:ilvl w:val="0"/>
          <w:numId w:val="37"/>
        </w:numPr>
        <w:shd w:val="clear" w:color="auto" w:fill="FFFFFF"/>
        <w:spacing w:line="360" w:lineRule="auto"/>
        <w:jc w:val="both"/>
      </w:pPr>
      <w:r w:rsidRPr="0016225D">
        <w:rPr>
          <w:b/>
        </w:rPr>
        <w:t>Long-Term Disability:</w:t>
      </w:r>
      <w:r w:rsidRPr="00F2180C">
        <w:t xml:space="preserve"> Maximum benefit up to $15,000</w:t>
      </w:r>
    </w:p>
    <w:p w14:paraId="12BE70D7" w14:textId="77777777" w:rsidR="00F2180C" w:rsidRPr="00F2180C" w:rsidRDefault="00F2180C" w:rsidP="00CE3D7F">
      <w:pPr>
        <w:pStyle w:val="NormalWeb"/>
        <w:numPr>
          <w:ilvl w:val="0"/>
          <w:numId w:val="37"/>
        </w:numPr>
        <w:shd w:val="clear" w:color="auto" w:fill="FFFFFF"/>
        <w:spacing w:line="360" w:lineRule="auto"/>
        <w:jc w:val="both"/>
      </w:pPr>
      <w:r w:rsidRPr="0016225D">
        <w:rPr>
          <w:b/>
        </w:rPr>
        <w:t>Paid Time Off and Holidays:</w:t>
      </w:r>
      <w:r w:rsidRPr="00F2180C">
        <w:t xml:space="preserve"> 18-20 based on the length of service</w:t>
      </w:r>
    </w:p>
    <w:p w14:paraId="2EFB9FEE" w14:textId="77777777" w:rsidR="00F2180C" w:rsidRPr="00F2180C" w:rsidRDefault="00F2180C" w:rsidP="00CE3D7F">
      <w:pPr>
        <w:pStyle w:val="NormalWeb"/>
        <w:numPr>
          <w:ilvl w:val="0"/>
          <w:numId w:val="37"/>
        </w:numPr>
        <w:shd w:val="clear" w:color="auto" w:fill="FFFFFF"/>
        <w:spacing w:line="360" w:lineRule="auto"/>
        <w:jc w:val="both"/>
      </w:pPr>
      <w:r w:rsidRPr="0016225D">
        <w:rPr>
          <w:b/>
        </w:rPr>
        <w:t>Short -Term Disability:</w:t>
      </w:r>
      <w:r w:rsidRPr="00F2180C">
        <w:t xml:space="preserve"> Up to 80% of the basic pay. </w:t>
      </w:r>
    </w:p>
    <w:p w14:paraId="06332D4E" w14:textId="77777777" w:rsidR="00F2180C" w:rsidRPr="00F2180C" w:rsidRDefault="00F2180C" w:rsidP="00CE3D7F">
      <w:pPr>
        <w:pStyle w:val="NormalWeb"/>
        <w:shd w:val="clear" w:color="auto" w:fill="FFFFFF"/>
        <w:spacing w:line="360" w:lineRule="auto"/>
        <w:jc w:val="both"/>
      </w:pPr>
      <w:r w:rsidRPr="00F2180C">
        <w:lastRenderedPageBreak/>
        <w:t>An excellent benefit plan is considered as an important factor for employee retention (Laddha et al. 2012). Employee benefit works as a motivational factor that keep employees job satisfaction positive. However, many researchers have argued that working place culture plays the most vital role in employee retention as employee perceives working place culture as an intrinsic motivational factor, whereas reward or benefit as an extrinsic motivational factor (Hartel, 2004). Aetna, considers diversity as the most important element of the companies culture. Therefore, every applicant must understand that diversity is the core business value of this organization, as a result they must prepare themselves accordingly to be able to get recruited and be a part of this company. Compton et al. (2014), mentioned that recruitment can be used as an strategic HRM tool. They also proposed the below diagram to illustrate the ideal relationship between organization and HRM strategies, its function, its plan and highlighting HRM framework that deals with recruitment and selection process. An brief explanation of the diagram is shown in below:</w:t>
      </w:r>
    </w:p>
    <w:p w14:paraId="745DB385" w14:textId="77777777" w:rsidR="00F2180C" w:rsidRPr="00F2180C" w:rsidRDefault="00F2180C" w:rsidP="00F2180C">
      <w:pPr>
        <w:pStyle w:val="NormalWeb"/>
        <w:shd w:val="clear" w:color="auto" w:fill="FFFFFF"/>
        <w:spacing w:line="360" w:lineRule="auto"/>
      </w:pPr>
      <w:r w:rsidRPr="00F2180C">
        <w:rPr>
          <w:noProof/>
          <w:lang w:val="en-US"/>
        </w:rPr>
        <w:drawing>
          <wp:inline distT="0" distB="0" distL="0" distR="0" wp14:anchorId="2EFA0E2F" wp14:editId="49FEF897">
            <wp:extent cx="5472459" cy="3045041"/>
            <wp:effectExtent l="0" t="0" r="127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2-26 at 23.54.07.png"/>
                    <pic:cNvPicPr/>
                  </pic:nvPicPr>
                  <pic:blipFill>
                    <a:blip r:embed="rId10">
                      <a:extLst>
                        <a:ext uri="{28A0092B-C50C-407E-A947-70E740481C1C}">
                          <a14:useLocalDpi xmlns:a14="http://schemas.microsoft.com/office/drawing/2010/main" val="0"/>
                        </a:ext>
                      </a:extLst>
                    </a:blip>
                    <a:stretch>
                      <a:fillRect/>
                    </a:stretch>
                  </pic:blipFill>
                  <pic:spPr>
                    <a:xfrm>
                      <a:off x="0" y="0"/>
                      <a:ext cx="5500109" cy="3060426"/>
                    </a:xfrm>
                    <a:prstGeom prst="rect">
                      <a:avLst/>
                    </a:prstGeom>
                  </pic:spPr>
                </pic:pic>
              </a:graphicData>
            </a:graphic>
          </wp:inline>
        </w:drawing>
      </w:r>
    </w:p>
    <w:p w14:paraId="49BCD945" w14:textId="77777777" w:rsidR="00F2180C" w:rsidRPr="00F2180C" w:rsidRDefault="00F2180C" w:rsidP="00064F64">
      <w:pPr>
        <w:pStyle w:val="NormalWeb"/>
        <w:shd w:val="clear" w:color="auto" w:fill="FFFFFF"/>
        <w:spacing w:line="360" w:lineRule="auto"/>
        <w:jc w:val="center"/>
      </w:pPr>
      <w:r w:rsidRPr="0016225D">
        <w:rPr>
          <w:b/>
        </w:rPr>
        <w:t>Diagram 1:</w:t>
      </w:r>
      <w:r w:rsidRPr="00F2180C">
        <w:t xml:space="preserve"> Recruitment, a new strategic tool of Human Resource Management</w:t>
      </w:r>
    </w:p>
    <w:p w14:paraId="6CE811E4" w14:textId="77777777" w:rsidR="00F2180C" w:rsidRPr="00F2180C" w:rsidRDefault="00F2180C" w:rsidP="0016225D">
      <w:pPr>
        <w:pStyle w:val="NormalWeb"/>
        <w:shd w:val="clear" w:color="auto" w:fill="FFFFFF"/>
        <w:spacing w:line="360" w:lineRule="auto"/>
        <w:jc w:val="center"/>
      </w:pPr>
      <w:r w:rsidRPr="0016225D">
        <w:rPr>
          <w:b/>
        </w:rPr>
        <w:t>Source:</w:t>
      </w:r>
      <w:r w:rsidRPr="00F2180C">
        <w:t xml:space="preserve"> Compton et al. (2014)</w:t>
      </w:r>
    </w:p>
    <w:p w14:paraId="1E035243" w14:textId="77777777" w:rsidR="00F2180C" w:rsidRPr="00F2180C" w:rsidRDefault="00F2180C" w:rsidP="00CE3D7F">
      <w:pPr>
        <w:pStyle w:val="NormalWeb"/>
        <w:shd w:val="clear" w:color="auto" w:fill="FFFFFF"/>
        <w:spacing w:line="360" w:lineRule="auto"/>
        <w:jc w:val="both"/>
      </w:pPr>
      <w:r w:rsidRPr="00F2180C">
        <w:t xml:space="preserve">In a dynamic organizational environment, a company needs to setup its vision and formulate its strategic business plan by discussing with the shareholders. Strategic business plan will human resource strategy, plan and policy. Once finalized, HR </w:t>
      </w:r>
      <w:r w:rsidRPr="00F2180C">
        <w:lastRenderedPageBreak/>
        <w:t>needs to plan for the job design, recruitment and selection process. At the same time, HR management will set HR resource development plan and diversity management plan. Once completed, HR then needs to plan remuneration and rewards systems to attract more and more applicants for the job. As reward is interlink with performance, therefore HR needs to align the performance management strategies with remuneration and rewards systems. In order to implement employee relations strategies, HR management needs to formulate career development and succession plans to make it clear for the recruited employees to what to expect and how to achieve. After successful completion of these steps, HR management and the organization as a whole needs to wait for the strategic organizational outcome. If the strategies and plans are well designed and implemented, it will bring high level of performance, productivity, effectiveness, profitability and desired outcome for the organization. As a result, key stakeholders will be happy and confident to invest more money in the organization.</w:t>
      </w:r>
    </w:p>
    <w:p w14:paraId="0077A6B1" w14:textId="77777777" w:rsidR="00F2180C" w:rsidRPr="00F2180C" w:rsidRDefault="00F2180C" w:rsidP="00CE3D7F">
      <w:pPr>
        <w:pStyle w:val="NormalWeb"/>
        <w:shd w:val="clear" w:color="auto" w:fill="FFFFFF"/>
        <w:spacing w:line="360" w:lineRule="auto"/>
        <w:jc w:val="both"/>
      </w:pPr>
      <w:r w:rsidRPr="00F2180C">
        <w:t>Aetna US HR management can use this recruitment strategic tool to increase the recruitment effectiveness. As Aetna, focuses on developing any strategy by keeping diversity in mind, this model can be a best fit for Aetna US as it prioritises diversity management plans. However, currently Aetna follows the below steps for recruiting new employees:</w:t>
      </w:r>
    </w:p>
    <w:p w14:paraId="09427952" w14:textId="77777777" w:rsidR="00F2180C" w:rsidRPr="00F2180C" w:rsidRDefault="00F2180C" w:rsidP="00CE3D7F">
      <w:pPr>
        <w:pStyle w:val="NormalWeb"/>
        <w:numPr>
          <w:ilvl w:val="0"/>
          <w:numId w:val="38"/>
        </w:numPr>
        <w:shd w:val="clear" w:color="auto" w:fill="FFFFFF"/>
        <w:spacing w:line="360" w:lineRule="auto"/>
        <w:jc w:val="both"/>
      </w:pPr>
      <w:r w:rsidRPr="0016225D">
        <w:rPr>
          <w:b/>
        </w:rPr>
        <w:t>Online Application:</w:t>
      </w:r>
      <w:r w:rsidRPr="00F2180C">
        <w:t xml:space="preserve"> Online resume submission.</w:t>
      </w:r>
    </w:p>
    <w:p w14:paraId="5634E7ED" w14:textId="77777777" w:rsidR="00F2180C" w:rsidRPr="00F2180C" w:rsidRDefault="00F2180C" w:rsidP="00CE3D7F">
      <w:pPr>
        <w:pStyle w:val="NormalWeb"/>
        <w:numPr>
          <w:ilvl w:val="0"/>
          <w:numId w:val="38"/>
        </w:numPr>
        <w:shd w:val="clear" w:color="auto" w:fill="FFFFFF"/>
        <w:spacing w:line="360" w:lineRule="auto"/>
        <w:jc w:val="both"/>
      </w:pPr>
      <w:r w:rsidRPr="0016225D">
        <w:rPr>
          <w:b/>
        </w:rPr>
        <w:t>Review of Resume:</w:t>
      </w:r>
      <w:r w:rsidRPr="00F2180C">
        <w:t xml:space="preserve"> HR reviews the resume and contacts for a phone interview.</w:t>
      </w:r>
    </w:p>
    <w:p w14:paraId="46B249B9" w14:textId="77777777" w:rsidR="00F2180C" w:rsidRPr="00F2180C" w:rsidRDefault="00F2180C" w:rsidP="00CE3D7F">
      <w:pPr>
        <w:pStyle w:val="NormalWeb"/>
        <w:numPr>
          <w:ilvl w:val="0"/>
          <w:numId w:val="38"/>
        </w:numPr>
        <w:shd w:val="clear" w:color="auto" w:fill="FFFFFF"/>
        <w:spacing w:line="360" w:lineRule="auto"/>
        <w:jc w:val="both"/>
      </w:pPr>
      <w:r w:rsidRPr="0016225D">
        <w:rPr>
          <w:b/>
        </w:rPr>
        <w:t>Phone Interview:</w:t>
      </w:r>
      <w:r w:rsidRPr="00F2180C">
        <w:t xml:space="preserve"> To get further information about the applicant.</w:t>
      </w:r>
    </w:p>
    <w:p w14:paraId="40C31F77" w14:textId="77777777" w:rsidR="00F2180C" w:rsidRPr="00F2180C" w:rsidRDefault="00F2180C" w:rsidP="00CE3D7F">
      <w:pPr>
        <w:pStyle w:val="NormalWeb"/>
        <w:numPr>
          <w:ilvl w:val="0"/>
          <w:numId w:val="38"/>
        </w:numPr>
        <w:shd w:val="clear" w:color="auto" w:fill="FFFFFF"/>
        <w:spacing w:line="360" w:lineRule="auto"/>
        <w:jc w:val="both"/>
      </w:pPr>
      <w:r w:rsidRPr="0016225D">
        <w:rPr>
          <w:b/>
        </w:rPr>
        <w:t>In-person Interview:</w:t>
      </w:r>
      <w:r w:rsidRPr="00F2180C">
        <w:t xml:space="preserve"> Only viable candidates will get call for in-person interview.</w:t>
      </w:r>
    </w:p>
    <w:p w14:paraId="189AE93B" w14:textId="77777777" w:rsidR="00F2180C" w:rsidRPr="00F2180C" w:rsidRDefault="00F2180C" w:rsidP="00CE3D7F">
      <w:pPr>
        <w:pStyle w:val="NormalWeb"/>
        <w:numPr>
          <w:ilvl w:val="0"/>
          <w:numId w:val="38"/>
        </w:numPr>
        <w:shd w:val="clear" w:color="auto" w:fill="FFFFFF"/>
        <w:spacing w:line="360" w:lineRule="auto"/>
        <w:jc w:val="both"/>
      </w:pPr>
      <w:r w:rsidRPr="0016225D">
        <w:rPr>
          <w:b/>
        </w:rPr>
        <w:t xml:space="preserve">Reference Check: </w:t>
      </w:r>
      <w:r w:rsidRPr="00F2180C">
        <w:t xml:space="preserve">Final step is to contact with the provided references. </w:t>
      </w:r>
    </w:p>
    <w:p w14:paraId="09F23D7A" w14:textId="77777777" w:rsidR="00F2180C" w:rsidRPr="00F2180C" w:rsidRDefault="00F2180C" w:rsidP="00CE3D7F">
      <w:pPr>
        <w:pStyle w:val="NormalWeb"/>
        <w:shd w:val="clear" w:color="auto" w:fill="FFFFFF"/>
        <w:spacing w:line="360" w:lineRule="auto"/>
        <w:jc w:val="both"/>
      </w:pPr>
      <w:r w:rsidRPr="00F2180C">
        <w:t>However, Aetna being sensitive about organizational diversity, it is important that recruited employee understands the significance of it. On the other hand, an extra step can be included in the recruitment process by Aetna, which is a psychometric test just upon passing the phone interview. A more detailed discussion on this issue will be drawn in the recommendation part.</w:t>
      </w:r>
    </w:p>
    <w:p w14:paraId="2D2D17E9" w14:textId="77777777" w:rsidR="00F2180C" w:rsidRPr="00F2180C" w:rsidRDefault="00F2180C" w:rsidP="00CE3D7F">
      <w:pPr>
        <w:pStyle w:val="NormalWeb"/>
        <w:shd w:val="clear" w:color="auto" w:fill="FFFFFF"/>
        <w:spacing w:line="360" w:lineRule="auto"/>
        <w:jc w:val="both"/>
      </w:pPr>
      <w:r w:rsidRPr="00F2180C">
        <w:lastRenderedPageBreak/>
        <w:t xml:space="preserve">As per the recruitment steps of Aetna mentioned above, it reflects that the first step of applying for a job at Aetna is online application. It is a positive approach as it allows applicants from all race, ethnicity, age group, religion and gender to apply for the same job opening. However, Bidwell (2011), mentioned about the positive aspects of internal recruitment. According to him, internal recruitment should be preferred to external recruitment as it saves cost and minimizes the risk of wrong recruitment. Even though, there is no such evidence that shows that internal </w:t>
      </w:r>
      <w:r w:rsidRPr="00F04916">
        <w:t>recruitment has 100% successful rate</w:t>
      </w:r>
      <w:r w:rsidRPr="00F2180C">
        <w:t xml:space="preserve"> of hiring the right person for the right job. I believe, Aetna being a company that emphasises on diversity, should provide equal rights to all applicants regardless it comes through internal reference or external application. </w:t>
      </w:r>
    </w:p>
    <w:p w14:paraId="35FB0E07" w14:textId="77777777" w:rsidR="00F2180C" w:rsidRPr="00F2180C" w:rsidRDefault="00F2180C" w:rsidP="00CE3D7F">
      <w:pPr>
        <w:pStyle w:val="NormalWeb"/>
        <w:shd w:val="clear" w:color="auto" w:fill="FFFFFF"/>
        <w:spacing w:line="360" w:lineRule="auto"/>
        <w:jc w:val="both"/>
      </w:pPr>
      <w:r w:rsidRPr="00F2180C">
        <w:t>A successful recruitment should be considered as the first step by Aetna HR department. The main job will be to nurture, train and motivate the employees in order to minimize the overall turnover rate of the organization. According to Forbes (2017), organizations can increase job retention and minimize employee turnover by following the below 5 steps:</w:t>
      </w:r>
    </w:p>
    <w:p w14:paraId="7B55E7D9" w14:textId="77777777" w:rsidR="00F2180C" w:rsidRPr="00F2180C" w:rsidRDefault="00F2180C" w:rsidP="00CE3D7F">
      <w:pPr>
        <w:pStyle w:val="NormalWeb"/>
        <w:numPr>
          <w:ilvl w:val="0"/>
          <w:numId w:val="40"/>
        </w:numPr>
        <w:shd w:val="clear" w:color="auto" w:fill="FFFFFF"/>
        <w:spacing w:line="360" w:lineRule="auto"/>
        <w:jc w:val="both"/>
      </w:pPr>
      <w:r w:rsidRPr="00F2180C">
        <w:t>Hiring the right person for the right job</w:t>
      </w:r>
    </w:p>
    <w:p w14:paraId="29AC70B6" w14:textId="77777777" w:rsidR="00F2180C" w:rsidRPr="00F2180C" w:rsidRDefault="00F2180C" w:rsidP="00CE3D7F">
      <w:pPr>
        <w:pStyle w:val="NormalWeb"/>
        <w:numPr>
          <w:ilvl w:val="0"/>
          <w:numId w:val="40"/>
        </w:numPr>
        <w:shd w:val="clear" w:color="auto" w:fill="FFFFFF"/>
        <w:spacing w:line="360" w:lineRule="auto"/>
        <w:jc w:val="both"/>
      </w:pPr>
      <w:r w:rsidRPr="00F2180C">
        <w:t>Offering competitive pay and benefits</w:t>
      </w:r>
    </w:p>
    <w:p w14:paraId="576CB9C7" w14:textId="77777777" w:rsidR="00F2180C" w:rsidRPr="00F2180C" w:rsidRDefault="00F2180C" w:rsidP="00CE3D7F">
      <w:pPr>
        <w:pStyle w:val="NormalWeb"/>
        <w:numPr>
          <w:ilvl w:val="0"/>
          <w:numId w:val="40"/>
        </w:numPr>
        <w:shd w:val="clear" w:color="auto" w:fill="FFFFFF"/>
        <w:spacing w:line="360" w:lineRule="auto"/>
        <w:jc w:val="both"/>
      </w:pPr>
      <w:r w:rsidRPr="00F2180C">
        <w:t>Praising employees</w:t>
      </w:r>
    </w:p>
    <w:p w14:paraId="011FE1F6" w14:textId="77777777" w:rsidR="00F2180C" w:rsidRPr="00F2180C" w:rsidRDefault="00F2180C" w:rsidP="00CE3D7F">
      <w:pPr>
        <w:pStyle w:val="NormalWeb"/>
        <w:numPr>
          <w:ilvl w:val="0"/>
          <w:numId w:val="40"/>
        </w:numPr>
        <w:shd w:val="clear" w:color="auto" w:fill="FFFFFF"/>
        <w:spacing w:line="360" w:lineRule="auto"/>
        <w:jc w:val="both"/>
      </w:pPr>
      <w:r w:rsidRPr="00F2180C">
        <w:t>Showing and training towards career path</w:t>
      </w:r>
    </w:p>
    <w:p w14:paraId="3F2C459A" w14:textId="0BC5AE84" w:rsidR="00F2180C" w:rsidRPr="00F2180C" w:rsidRDefault="00F2180C" w:rsidP="00CE3D7F">
      <w:pPr>
        <w:pStyle w:val="NormalWeb"/>
        <w:numPr>
          <w:ilvl w:val="0"/>
          <w:numId w:val="40"/>
        </w:numPr>
        <w:shd w:val="clear" w:color="auto" w:fill="FFFFFF"/>
        <w:spacing w:line="360" w:lineRule="auto"/>
        <w:jc w:val="both"/>
      </w:pPr>
      <w:r w:rsidRPr="00F2180C">
        <w:t xml:space="preserve">Allowing flexible working hours. </w:t>
      </w:r>
    </w:p>
    <w:p w14:paraId="2076F75F" w14:textId="77777777" w:rsidR="00F2180C" w:rsidRPr="00F2180C" w:rsidRDefault="00F2180C" w:rsidP="00CE3D7F">
      <w:pPr>
        <w:pStyle w:val="NormalWeb"/>
        <w:shd w:val="clear" w:color="auto" w:fill="FFFFFF"/>
        <w:spacing w:line="360" w:lineRule="auto"/>
        <w:jc w:val="both"/>
      </w:pPr>
      <w:r w:rsidRPr="00F2180C">
        <w:t>Aetna already introduced several workplace diversity programs as mentioned below:</w:t>
      </w:r>
    </w:p>
    <w:p w14:paraId="0EFCAEF6" w14:textId="77777777" w:rsidR="00F2180C" w:rsidRPr="00F2180C" w:rsidRDefault="00F2180C" w:rsidP="00CE3D7F">
      <w:pPr>
        <w:pStyle w:val="NormalWeb"/>
        <w:numPr>
          <w:ilvl w:val="0"/>
          <w:numId w:val="39"/>
        </w:numPr>
        <w:shd w:val="clear" w:color="auto" w:fill="FFFFFF"/>
        <w:spacing w:line="360" w:lineRule="auto"/>
        <w:jc w:val="both"/>
      </w:pPr>
      <w:r w:rsidRPr="0016225D">
        <w:rPr>
          <w:b/>
        </w:rPr>
        <w:t>Women’s Leadership Alliance:</w:t>
      </w:r>
      <w:r w:rsidRPr="00F2180C">
        <w:t xml:space="preserve"> Helps women to advance in executive positions. </w:t>
      </w:r>
    </w:p>
    <w:p w14:paraId="0ED0D6BB" w14:textId="77777777" w:rsidR="00F2180C" w:rsidRPr="00F2180C" w:rsidRDefault="00F2180C" w:rsidP="00CE3D7F">
      <w:pPr>
        <w:pStyle w:val="NormalWeb"/>
        <w:numPr>
          <w:ilvl w:val="0"/>
          <w:numId w:val="39"/>
        </w:numPr>
        <w:shd w:val="clear" w:color="auto" w:fill="FFFFFF"/>
        <w:spacing w:line="360" w:lineRule="auto"/>
        <w:jc w:val="both"/>
      </w:pPr>
      <w:r w:rsidRPr="0016225D">
        <w:rPr>
          <w:b/>
        </w:rPr>
        <w:t>Power of the Purse:</w:t>
      </w:r>
      <w:r w:rsidRPr="00F2180C">
        <w:t xml:space="preserve"> It is healthcare research projects that identifies the needs of female patients and provide solution.</w:t>
      </w:r>
    </w:p>
    <w:p w14:paraId="7CCA82B8" w14:textId="77777777" w:rsidR="00F2180C" w:rsidRPr="00F2180C" w:rsidRDefault="00F2180C" w:rsidP="00CE3D7F">
      <w:pPr>
        <w:pStyle w:val="NormalWeb"/>
        <w:numPr>
          <w:ilvl w:val="0"/>
          <w:numId w:val="39"/>
        </w:numPr>
        <w:shd w:val="clear" w:color="auto" w:fill="FFFFFF"/>
        <w:spacing w:line="360" w:lineRule="auto"/>
        <w:jc w:val="both"/>
      </w:pPr>
      <w:r w:rsidRPr="0016225D">
        <w:rPr>
          <w:b/>
        </w:rPr>
        <w:t>Strategies for Success Leadership Program:</w:t>
      </w:r>
      <w:r w:rsidRPr="00F2180C">
        <w:t xml:space="preserve"> This program is designed for the women and people of colour to discuss career development plan.</w:t>
      </w:r>
    </w:p>
    <w:p w14:paraId="0005D54B" w14:textId="77777777" w:rsidR="00F2180C" w:rsidRPr="00F2180C" w:rsidRDefault="00F2180C" w:rsidP="00CE3D7F">
      <w:pPr>
        <w:pStyle w:val="ListParagraph"/>
        <w:numPr>
          <w:ilvl w:val="0"/>
          <w:numId w:val="39"/>
        </w:numPr>
        <w:spacing w:line="360" w:lineRule="auto"/>
        <w:jc w:val="both"/>
        <w:rPr>
          <w:rFonts w:ascii="Times New Roman" w:eastAsia="Times New Roman" w:hAnsi="Times New Roman" w:cs="Times New Roman"/>
        </w:rPr>
      </w:pPr>
      <w:r w:rsidRPr="0016225D">
        <w:rPr>
          <w:rFonts w:ascii="Times New Roman" w:eastAsia="Times New Roman" w:hAnsi="Times New Roman" w:cs="Times New Roman"/>
          <w:b/>
          <w:bCs/>
        </w:rPr>
        <w:t>Men Advocating Real Change (MARC) Leaders Program:</w:t>
      </w:r>
      <w:r w:rsidRPr="00F2180C">
        <w:rPr>
          <w:rFonts w:ascii="Times New Roman" w:eastAsia="Times New Roman" w:hAnsi="Times New Roman" w:cs="Times New Roman"/>
          <w:bCs/>
        </w:rPr>
        <w:t xml:space="preserve"> This program is designed to engage men to mentor and support women to advance in executive positions. </w:t>
      </w:r>
    </w:p>
    <w:p w14:paraId="7AD448E1" w14:textId="77777777" w:rsidR="00F2180C" w:rsidRPr="00F2180C" w:rsidRDefault="00F2180C" w:rsidP="00CE3D7F">
      <w:pPr>
        <w:spacing w:line="360" w:lineRule="auto"/>
        <w:ind w:left="416"/>
        <w:jc w:val="both"/>
        <w:rPr>
          <w:rFonts w:ascii="Times New Roman" w:hAnsi="Times New Roman" w:cs="Times New Roman"/>
        </w:rPr>
      </w:pPr>
    </w:p>
    <w:p w14:paraId="3CFCC724" w14:textId="77777777" w:rsidR="00F2180C" w:rsidRPr="00F2180C" w:rsidRDefault="00F2180C" w:rsidP="00CE3D7F">
      <w:pPr>
        <w:spacing w:line="360" w:lineRule="auto"/>
        <w:jc w:val="both"/>
        <w:rPr>
          <w:rFonts w:ascii="Times New Roman" w:hAnsi="Times New Roman" w:cs="Times New Roman"/>
        </w:rPr>
      </w:pPr>
      <w:r w:rsidRPr="00F2180C">
        <w:rPr>
          <w:rFonts w:ascii="Times New Roman" w:hAnsi="Times New Roman" w:cs="Times New Roman"/>
        </w:rPr>
        <w:lastRenderedPageBreak/>
        <w:t xml:space="preserve">From the above discussed programs it clearly shows that Aetna as a company wants to close down all barriers of women’s career advancement. However, talent of employees is not only limited in male and female gender. There is LGBT group who are also human beings and can have similar or more talent than male or female. Therefore Aetna should consider designing a program that provides equal opportunities to all genders. </w:t>
      </w:r>
    </w:p>
    <w:p w14:paraId="51321FDB" w14:textId="77777777" w:rsidR="00F2180C" w:rsidRPr="00F2180C" w:rsidRDefault="00F2180C" w:rsidP="00F2180C">
      <w:pPr>
        <w:pStyle w:val="NormalWeb"/>
        <w:shd w:val="clear" w:color="auto" w:fill="FFFFFF"/>
        <w:spacing w:line="360" w:lineRule="auto"/>
      </w:pPr>
    </w:p>
    <w:p w14:paraId="0AFCE808" w14:textId="6688CE33" w:rsidR="00F2180C" w:rsidRPr="0016225D" w:rsidRDefault="0016225D" w:rsidP="0016225D">
      <w:pPr>
        <w:pStyle w:val="Heading2"/>
        <w:rPr>
          <w:u w:val="single"/>
        </w:rPr>
      </w:pPr>
      <w:bookmarkStart w:id="35" w:name="_Toc534629765"/>
      <w:bookmarkStart w:id="36" w:name="_Toc534630166"/>
      <w:bookmarkStart w:id="37" w:name="_Toc534630197"/>
      <w:bookmarkStart w:id="38" w:name="_Toc534630232"/>
      <w:bookmarkStart w:id="39" w:name="_Toc534630523"/>
      <w:r>
        <w:rPr>
          <w:u w:val="single"/>
        </w:rPr>
        <w:t xml:space="preserve">3.2) </w:t>
      </w:r>
      <w:r w:rsidR="00F2180C" w:rsidRPr="0016225D">
        <w:rPr>
          <w:u w:val="single"/>
        </w:rPr>
        <w:t>Comparison of the Recruitment and Retention Strategies with Other Companies:</w:t>
      </w:r>
      <w:bookmarkEnd w:id="35"/>
      <w:bookmarkEnd w:id="36"/>
      <w:bookmarkEnd w:id="37"/>
      <w:bookmarkEnd w:id="38"/>
      <w:bookmarkEnd w:id="39"/>
    </w:p>
    <w:p w14:paraId="235E3BB9" w14:textId="77777777" w:rsidR="00F2180C" w:rsidRPr="00F2180C" w:rsidRDefault="00F2180C" w:rsidP="00CE3D7F">
      <w:pPr>
        <w:pStyle w:val="NormalWeb"/>
        <w:numPr>
          <w:ilvl w:val="0"/>
          <w:numId w:val="41"/>
        </w:numPr>
        <w:shd w:val="clear" w:color="auto" w:fill="FFFFFF"/>
        <w:spacing w:line="360" w:lineRule="auto"/>
        <w:jc w:val="both"/>
      </w:pPr>
      <w:r w:rsidRPr="00F2180C">
        <w:t>Global talent leaders values the quality of the applicant for recruitment, whereas organizations are more focused on measuring the cost of employee turnover. This is why employee retention has become the top priority of organizations around the world. There are different retention approaches Fortune 500 listed companies take in order to increase the retention rate. One of the world’s largest insurance and Financial company Manulife uses flexibility as the key retention driver. Manulife offers employees with flexible programs which they can do from remote working place and also provide the opportunity to use adjustable schedules for submission of given projects. Azar et al. (2018), mentioned that flexible work arrangement has become a very popular and one of the best approach to retain talented employees and reduce turnover rates. He also added that, it is the line managers duty to come to an understanding with the employees regarding the flexible work schedules. If the line manager and the employee can work out the flexibility among them, then it will help to bring the desired outcome for the organization. At Manulife, managers value the views of the employees and work as a team (Manulife Corporate Citizen Report, 2017). Following figure shows the increase of employees thought of managers being effective over the last three years.</w:t>
      </w:r>
    </w:p>
    <w:p w14:paraId="7125E040" w14:textId="77777777" w:rsidR="00F2180C" w:rsidRPr="00F2180C" w:rsidRDefault="00F2180C" w:rsidP="00F2180C">
      <w:pPr>
        <w:pStyle w:val="NormalWeb"/>
        <w:shd w:val="clear" w:color="auto" w:fill="FFFFFF"/>
        <w:spacing w:line="360" w:lineRule="auto"/>
        <w:jc w:val="center"/>
      </w:pPr>
      <w:r w:rsidRPr="00F2180C">
        <w:rPr>
          <w:noProof/>
          <w:lang w:val="en-US"/>
        </w:rPr>
        <w:lastRenderedPageBreak/>
        <w:drawing>
          <wp:inline distT="0" distB="0" distL="0" distR="0" wp14:anchorId="559398B0" wp14:editId="1A557DFE">
            <wp:extent cx="4203700" cy="2870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2-27 at 14.18.54.png"/>
                    <pic:cNvPicPr/>
                  </pic:nvPicPr>
                  <pic:blipFill>
                    <a:blip r:embed="rId11">
                      <a:extLst>
                        <a:ext uri="{28A0092B-C50C-407E-A947-70E740481C1C}">
                          <a14:useLocalDpi xmlns:a14="http://schemas.microsoft.com/office/drawing/2010/main" val="0"/>
                        </a:ext>
                      </a:extLst>
                    </a:blip>
                    <a:stretch>
                      <a:fillRect/>
                    </a:stretch>
                  </pic:blipFill>
                  <pic:spPr>
                    <a:xfrm>
                      <a:off x="0" y="0"/>
                      <a:ext cx="4203700" cy="2870200"/>
                    </a:xfrm>
                    <a:prstGeom prst="rect">
                      <a:avLst/>
                    </a:prstGeom>
                  </pic:spPr>
                </pic:pic>
              </a:graphicData>
            </a:graphic>
          </wp:inline>
        </w:drawing>
      </w:r>
    </w:p>
    <w:p w14:paraId="5518F25B" w14:textId="77777777" w:rsidR="00F2180C" w:rsidRPr="00F2180C" w:rsidRDefault="00F2180C" w:rsidP="0016225D">
      <w:pPr>
        <w:pStyle w:val="NormalWeb"/>
        <w:shd w:val="clear" w:color="auto" w:fill="FFFFFF"/>
        <w:spacing w:line="360" w:lineRule="auto"/>
        <w:jc w:val="center"/>
      </w:pPr>
      <w:r w:rsidRPr="0016225D">
        <w:rPr>
          <w:b/>
        </w:rPr>
        <w:t>Figure: 2</w:t>
      </w:r>
      <w:r w:rsidRPr="00F2180C">
        <w:t xml:space="preserve"> Managers Effectiveness Rated by Employees</w:t>
      </w:r>
    </w:p>
    <w:p w14:paraId="391677AF" w14:textId="77777777" w:rsidR="00F2180C" w:rsidRPr="00F2180C" w:rsidRDefault="00F2180C" w:rsidP="0016225D">
      <w:pPr>
        <w:pStyle w:val="NormalWeb"/>
        <w:shd w:val="clear" w:color="auto" w:fill="FFFFFF"/>
        <w:spacing w:line="360" w:lineRule="auto"/>
        <w:jc w:val="center"/>
      </w:pPr>
      <w:r w:rsidRPr="0016225D">
        <w:rPr>
          <w:b/>
        </w:rPr>
        <w:t>Source:</w:t>
      </w:r>
      <w:r w:rsidRPr="00F2180C">
        <w:t xml:space="preserve"> Manulife Corporate Citizen Report, 2017</w:t>
      </w:r>
    </w:p>
    <w:p w14:paraId="2DFA3A42" w14:textId="77777777" w:rsidR="00F2180C" w:rsidRPr="00F2180C" w:rsidRDefault="00F2180C" w:rsidP="00CE3D7F">
      <w:pPr>
        <w:pStyle w:val="NormalWeb"/>
        <w:shd w:val="clear" w:color="auto" w:fill="FFFFFF"/>
        <w:spacing w:line="360" w:lineRule="auto"/>
        <w:jc w:val="both"/>
      </w:pPr>
      <w:r w:rsidRPr="00F2180C">
        <w:t xml:space="preserve">Company such as Ericsson puts more emphasis on employee work-life balance and employee wellness. In terms of the work-life balance,  VP and Head of HR of Ericsson Tristram Gray mention that, Ericsson allows employees to work from home as per the agreed days. Not only that, Ericsson makes arrangement of flexible time working as well. That means, keeping the contracted hours same, employee can work more or less in a selected working day.  This approach allows Ericsson to retain 93% of the employees (Human Resources, 2018). Daverth et al. (2016), mentioned that in current corporate world, work-life balance is considered as a highly sensitive issue as employees health and mind is closely related with. A balanced work and life plan can work as an influential factor for employees to feel motivated and enjoy the work. Which helps to retain the best employees and reduce organizational turnover rate. </w:t>
      </w:r>
    </w:p>
    <w:p w14:paraId="7399CCF7" w14:textId="77777777" w:rsidR="00F2180C" w:rsidRPr="00F2180C" w:rsidRDefault="00F2180C" w:rsidP="00CE3D7F">
      <w:pPr>
        <w:pStyle w:val="NormalWeb"/>
        <w:shd w:val="clear" w:color="auto" w:fill="FFFFFF"/>
        <w:spacing w:line="360" w:lineRule="auto"/>
        <w:jc w:val="both"/>
      </w:pPr>
      <w:r w:rsidRPr="00F2180C">
        <w:t xml:space="preserve">Bosch company follows another unique approach to retain the employees. Companies core retention driver is meaningful jobs. This means, employees can effectively change the job as per their skills and interest. Bosch company also allows short-time work hours for employees to keep them motivated. They consider it as win-win situation for both the company and the employees. From employees point of view, they can manage time for family life where as the company’s advantage is that it doesn’t lose precious human capital (Bach and Spitznagel, 2009).  </w:t>
      </w:r>
    </w:p>
    <w:p w14:paraId="6E591B82" w14:textId="77777777" w:rsidR="00F2180C" w:rsidRPr="00F2180C" w:rsidRDefault="00F2180C" w:rsidP="007F1479">
      <w:pPr>
        <w:pStyle w:val="NormalWeb"/>
        <w:shd w:val="clear" w:color="auto" w:fill="FFFFFF"/>
        <w:spacing w:line="360" w:lineRule="auto"/>
        <w:jc w:val="both"/>
      </w:pPr>
      <w:r w:rsidRPr="00F2180C">
        <w:lastRenderedPageBreak/>
        <w:t>Despite having all precautions taken by the top companies, still the employee retention is considered as a major concern. There is how the average employee tenure of top company looks like:</w:t>
      </w:r>
    </w:p>
    <w:tbl>
      <w:tblPr>
        <w:tblStyle w:val="TableGrid"/>
        <w:tblW w:w="0" w:type="auto"/>
        <w:jc w:val="center"/>
        <w:tblLook w:val="04A0" w:firstRow="1" w:lastRow="0" w:firstColumn="1" w:lastColumn="0" w:noHBand="0" w:noVBand="1"/>
      </w:tblPr>
      <w:tblGrid>
        <w:gridCol w:w="2542"/>
        <w:gridCol w:w="2471"/>
      </w:tblGrid>
      <w:tr w:rsidR="00F2180C" w:rsidRPr="00F2180C" w14:paraId="6246F740" w14:textId="77777777" w:rsidTr="0016225D">
        <w:trPr>
          <w:jc w:val="center"/>
        </w:trPr>
        <w:tc>
          <w:tcPr>
            <w:tcW w:w="2542" w:type="dxa"/>
          </w:tcPr>
          <w:p w14:paraId="6B814D20" w14:textId="77777777" w:rsidR="00F2180C" w:rsidRPr="00F2180C" w:rsidRDefault="00F2180C" w:rsidP="00F2180C">
            <w:pPr>
              <w:pStyle w:val="NormalWeb"/>
              <w:spacing w:line="360" w:lineRule="auto"/>
            </w:pPr>
            <w:r w:rsidRPr="00F2180C">
              <w:t>Company</w:t>
            </w:r>
          </w:p>
        </w:tc>
        <w:tc>
          <w:tcPr>
            <w:tcW w:w="2471" w:type="dxa"/>
          </w:tcPr>
          <w:p w14:paraId="5A78AB0D" w14:textId="77777777" w:rsidR="00F2180C" w:rsidRPr="00F2180C" w:rsidRDefault="00F2180C" w:rsidP="00F2180C">
            <w:pPr>
              <w:pStyle w:val="NormalWeb"/>
              <w:spacing w:line="360" w:lineRule="auto"/>
            </w:pPr>
            <w:r w:rsidRPr="00F2180C">
              <w:t>Average Tenure</w:t>
            </w:r>
          </w:p>
        </w:tc>
      </w:tr>
      <w:tr w:rsidR="00F2180C" w:rsidRPr="00F2180C" w14:paraId="13C9350C" w14:textId="77777777" w:rsidTr="0016225D">
        <w:trPr>
          <w:jc w:val="center"/>
        </w:trPr>
        <w:tc>
          <w:tcPr>
            <w:tcW w:w="2542" w:type="dxa"/>
          </w:tcPr>
          <w:p w14:paraId="578830CF" w14:textId="77777777" w:rsidR="00F2180C" w:rsidRPr="00F2180C" w:rsidRDefault="00F2180C" w:rsidP="00F2180C">
            <w:pPr>
              <w:pStyle w:val="NormalWeb"/>
              <w:spacing w:line="360" w:lineRule="auto"/>
            </w:pPr>
            <w:r w:rsidRPr="00F2180C">
              <w:t>Tesla</w:t>
            </w:r>
          </w:p>
        </w:tc>
        <w:tc>
          <w:tcPr>
            <w:tcW w:w="2471" w:type="dxa"/>
          </w:tcPr>
          <w:p w14:paraId="1EC557E2" w14:textId="77777777" w:rsidR="00F2180C" w:rsidRPr="00F2180C" w:rsidRDefault="00F2180C" w:rsidP="00F2180C">
            <w:pPr>
              <w:pStyle w:val="NormalWeb"/>
              <w:spacing w:line="360" w:lineRule="auto"/>
            </w:pPr>
            <w:r w:rsidRPr="00F2180C">
              <w:t>2.1 Years</w:t>
            </w:r>
          </w:p>
        </w:tc>
      </w:tr>
      <w:tr w:rsidR="00F2180C" w:rsidRPr="00F2180C" w14:paraId="069A2168" w14:textId="77777777" w:rsidTr="0016225D">
        <w:trPr>
          <w:jc w:val="center"/>
        </w:trPr>
        <w:tc>
          <w:tcPr>
            <w:tcW w:w="2542" w:type="dxa"/>
          </w:tcPr>
          <w:p w14:paraId="2904CCD3" w14:textId="77777777" w:rsidR="00F2180C" w:rsidRPr="00F2180C" w:rsidRDefault="00F2180C" w:rsidP="00F2180C">
            <w:pPr>
              <w:pStyle w:val="NormalWeb"/>
              <w:spacing w:line="360" w:lineRule="auto"/>
            </w:pPr>
            <w:r w:rsidRPr="00F2180C">
              <w:t>Facebook</w:t>
            </w:r>
          </w:p>
        </w:tc>
        <w:tc>
          <w:tcPr>
            <w:tcW w:w="2471" w:type="dxa"/>
          </w:tcPr>
          <w:p w14:paraId="38328EB9" w14:textId="77777777" w:rsidR="00F2180C" w:rsidRPr="00F2180C" w:rsidRDefault="00F2180C" w:rsidP="00F2180C">
            <w:pPr>
              <w:pStyle w:val="NormalWeb"/>
              <w:spacing w:line="360" w:lineRule="auto"/>
            </w:pPr>
            <w:r w:rsidRPr="00F2180C">
              <w:t>2.5 Years</w:t>
            </w:r>
          </w:p>
        </w:tc>
      </w:tr>
      <w:tr w:rsidR="00F2180C" w:rsidRPr="00F2180C" w14:paraId="7BBD7426" w14:textId="77777777" w:rsidTr="0016225D">
        <w:trPr>
          <w:jc w:val="center"/>
        </w:trPr>
        <w:tc>
          <w:tcPr>
            <w:tcW w:w="2542" w:type="dxa"/>
          </w:tcPr>
          <w:p w14:paraId="62005038" w14:textId="77777777" w:rsidR="00F2180C" w:rsidRPr="00F2180C" w:rsidRDefault="00F2180C" w:rsidP="00F2180C">
            <w:pPr>
              <w:pStyle w:val="NormalWeb"/>
              <w:spacing w:line="360" w:lineRule="auto"/>
            </w:pPr>
            <w:r w:rsidRPr="00F2180C">
              <w:t>Airbnb</w:t>
            </w:r>
          </w:p>
        </w:tc>
        <w:tc>
          <w:tcPr>
            <w:tcW w:w="2471" w:type="dxa"/>
          </w:tcPr>
          <w:p w14:paraId="41127273" w14:textId="77777777" w:rsidR="00F2180C" w:rsidRPr="00F2180C" w:rsidRDefault="00F2180C" w:rsidP="00F2180C">
            <w:pPr>
              <w:pStyle w:val="NormalWeb"/>
              <w:spacing w:line="360" w:lineRule="auto"/>
            </w:pPr>
            <w:r w:rsidRPr="00F2180C">
              <w:t>2.6 Years</w:t>
            </w:r>
          </w:p>
        </w:tc>
      </w:tr>
      <w:tr w:rsidR="00F2180C" w:rsidRPr="00F2180C" w14:paraId="6B351A88" w14:textId="77777777" w:rsidTr="0016225D">
        <w:trPr>
          <w:jc w:val="center"/>
        </w:trPr>
        <w:tc>
          <w:tcPr>
            <w:tcW w:w="2542" w:type="dxa"/>
          </w:tcPr>
          <w:p w14:paraId="2E1DD5DC" w14:textId="77777777" w:rsidR="00F2180C" w:rsidRPr="00F2180C" w:rsidRDefault="00F2180C" w:rsidP="00F2180C">
            <w:pPr>
              <w:pStyle w:val="NormalWeb"/>
              <w:spacing w:line="360" w:lineRule="auto"/>
            </w:pPr>
            <w:r w:rsidRPr="00F2180C">
              <w:t>Netflix</w:t>
            </w:r>
          </w:p>
        </w:tc>
        <w:tc>
          <w:tcPr>
            <w:tcW w:w="2471" w:type="dxa"/>
          </w:tcPr>
          <w:p w14:paraId="49A21CBB" w14:textId="77777777" w:rsidR="00F2180C" w:rsidRPr="00F2180C" w:rsidRDefault="00F2180C" w:rsidP="00F2180C">
            <w:pPr>
              <w:pStyle w:val="NormalWeb"/>
              <w:spacing w:line="360" w:lineRule="auto"/>
            </w:pPr>
            <w:r w:rsidRPr="00F2180C">
              <w:t>3.1 Years</w:t>
            </w:r>
          </w:p>
        </w:tc>
      </w:tr>
      <w:tr w:rsidR="00F2180C" w:rsidRPr="00F2180C" w14:paraId="6557BE5B" w14:textId="77777777" w:rsidTr="0016225D">
        <w:trPr>
          <w:jc w:val="center"/>
        </w:trPr>
        <w:tc>
          <w:tcPr>
            <w:tcW w:w="2542" w:type="dxa"/>
          </w:tcPr>
          <w:p w14:paraId="6F47C31F" w14:textId="77777777" w:rsidR="00F2180C" w:rsidRPr="00F2180C" w:rsidRDefault="00F2180C" w:rsidP="00F2180C">
            <w:pPr>
              <w:pStyle w:val="NormalWeb"/>
              <w:spacing w:line="360" w:lineRule="auto"/>
            </w:pPr>
            <w:r w:rsidRPr="00F2180C">
              <w:t>Apple</w:t>
            </w:r>
          </w:p>
        </w:tc>
        <w:tc>
          <w:tcPr>
            <w:tcW w:w="2471" w:type="dxa"/>
          </w:tcPr>
          <w:p w14:paraId="2F1575DF" w14:textId="77777777" w:rsidR="00F2180C" w:rsidRPr="00F2180C" w:rsidRDefault="00F2180C" w:rsidP="00F2180C">
            <w:pPr>
              <w:pStyle w:val="NormalWeb"/>
              <w:spacing w:line="360" w:lineRule="auto"/>
            </w:pPr>
            <w:r w:rsidRPr="00F2180C">
              <w:t>5 Years</w:t>
            </w:r>
          </w:p>
        </w:tc>
      </w:tr>
      <w:tr w:rsidR="00F2180C" w:rsidRPr="00F2180C" w14:paraId="645514A8" w14:textId="77777777" w:rsidTr="0016225D">
        <w:trPr>
          <w:jc w:val="center"/>
        </w:trPr>
        <w:tc>
          <w:tcPr>
            <w:tcW w:w="2542" w:type="dxa"/>
          </w:tcPr>
          <w:p w14:paraId="722E9ACC" w14:textId="77777777" w:rsidR="00F2180C" w:rsidRPr="00F2180C" w:rsidRDefault="00F2180C" w:rsidP="00F2180C">
            <w:pPr>
              <w:pStyle w:val="NormalWeb"/>
              <w:spacing w:line="360" w:lineRule="auto"/>
            </w:pPr>
            <w:r w:rsidRPr="00F2180C">
              <w:t>Oracle</w:t>
            </w:r>
          </w:p>
        </w:tc>
        <w:tc>
          <w:tcPr>
            <w:tcW w:w="2471" w:type="dxa"/>
          </w:tcPr>
          <w:p w14:paraId="00F579FA" w14:textId="77777777" w:rsidR="00F2180C" w:rsidRPr="00F2180C" w:rsidRDefault="00F2180C" w:rsidP="00F2180C">
            <w:pPr>
              <w:pStyle w:val="NormalWeb"/>
              <w:spacing w:line="360" w:lineRule="auto"/>
            </w:pPr>
            <w:r w:rsidRPr="00F2180C">
              <w:t>7 Years</w:t>
            </w:r>
          </w:p>
        </w:tc>
      </w:tr>
      <w:tr w:rsidR="00F2180C" w:rsidRPr="00F2180C" w14:paraId="55518781" w14:textId="77777777" w:rsidTr="0016225D">
        <w:trPr>
          <w:jc w:val="center"/>
        </w:trPr>
        <w:tc>
          <w:tcPr>
            <w:tcW w:w="2542" w:type="dxa"/>
          </w:tcPr>
          <w:p w14:paraId="2F064AA6" w14:textId="77777777" w:rsidR="00F2180C" w:rsidRPr="00F2180C" w:rsidRDefault="00F2180C" w:rsidP="00F2180C">
            <w:pPr>
              <w:pStyle w:val="NormalWeb"/>
              <w:spacing w:line="360" w:lineRule="auto"/>
            </w:pPr>
            <w:r w:rsidRPr="00F2180C">
              <w:t>Cisco</w:t>
            </w:r>
          </w:p>
        </w:tc>
        <w:tc>
          <w:tcPr>
            <w:tcW w:w="2471" w:type="dxa"/>
          </w:tcPr>
          <w:p w14:paraId="1F6A8A8A" w14:textId="77777777" w:rsidR="00F2180C" w:rsidRPr="00F2180C" w:rsidRDefault="00F2180C" w:rsidP="00F2180C">
            <w:pPr>
              <w:pStyle w:val="NormalWeb"/>
              <w:spacing w:line="360" w:lineRule="auto"/>
            </w:pPr>
            <w:r w:rsidRPr="00F2180C">
              <w:t>7.8 Years</w:t>
            </w:r>
          </w:p>
        </w:tc>
      </w:tr>
    </w:tbl>
    <w:p w14:paraId="33C8429F" w14:textId="77777777" w:rsidR="00F2180C" w:rsidRPr="00F2180C" w:rsidRDefault="00F2180C" w:rsidP="0016225D">
      <w:pPr>
        <w:pStyle w:val="NormalWeb"/>
        <w:shd w:val="clear" w:color="auto" w:fill="FFFFFF"/>
        <w:spacing w:line="360" w:lineRule="auto"/>
        <w:jc w:val="center"/>
      </w:pPr>
      <w:r w:rsidRPr="0016225D">
        <w:rPr>
          <w:b/>
        </w:rPr>
        <w:t>Table 1:</w:t>
      </w:r>
      <w:r w:rsidRPr="00F2180C">
        <w:t xml:space="preserve"> Average Tenure of Top Companies</w:t>
      </w:r>
    </w:p>
    <w:p w14:paraId="24B090AD" w14:textId="77777777" w:rsidR="00F2180C" w:rsidRPr="00F2180C" w:rsidRDefault="00F2180C" w:rsidP="0016225D">
      <w:pPr>
        <w:pStyle w:val="NormalWeb"/>
        <w:shd w:val="clear" w:color="auto" w:fill="FFFFFF"/>
        <w:spacing w:line="360" w:lineRule="auto"/>
        <w:jc w:val="center"/>
      </w:pPr>
      <w:r w:rsidRPr="0016225D">
        <w:rPr>
          <w:b/>
        </w:rPr>
        <w:t>Source:</w:t>
      </w:r>
      <w:r w:rsidRPr="00F2180C">
        <w:t xml:space="preserve"> Business Insider, 2018</w:t>
      </w:r>
    </w:p>
    <w:p w14:paraId="24AAF831" w14:textId="5149A290" w:rsidR="00F2180C" w:rsidRPr="00F2180C" w:rsidRDefault="00F2180C" w:rsidP="007F1479">
      <w:pPr>
        <w:pStyle w:val="NormalWeb"/>
        <w:shd w:val="clear" w:color="auto" w:fill="FFFFFF"/>
        <w:spacing w:line="360" w:lineRule="auto"/>
        <w:jc w:val="both"/>
      </w:pPr>
      <w:r w:rsidRPr="00F2180C">
        <w:t xml:space="preserve">Aetna as a well-known financial health care service provider can follow some </w:t>
      </w:r>
      <w:r w:rsidR="00ED64F1">
        <w:t xml:space="preserve">of </w:t>
      </w:r>
      <w:r w:rsidRPr="00F2180C">
        <w:t xml:space="preserve">the mentioned approaches to help enhance the employee retention rate. It is all about taking care of your employees and expecting employees to take care of you. The more Aetna will think about the well-being of its employees, the greater chances are to retain its precious and talented work force. </w:t>
      </w:r>
    </w:p>
    <w:p w14:paraId="4E00443F" w14:textId="77777777" w:rsidR="00F2180C" w:rsidRPr="00F2180C" w:rsidRDefault="00F2180C" w:rsidP="007F1479">
      <w:pPr>
        <w:pStyle w:val="NormalWeb"/>
        <w:shd w:val="clear" w:color="auto" w:fill="FFFFFF"/>
        <w:spacing w:line="360" w:lineRule="auto"/>
        <w:jc w:val="both"/>
      </w:pPr>
    </w:p>
    <w:p w14:paraId="7B46F38F" w14:textId="77777777" w:rsidR="00F2180C" w:rsidRPr="00F2180C" w:rsidRDefault="00F2180C" w:rsidP="007F1479">
      <w:pPr>
        <w:pStyle w:val="NormalWeb"/>
        <w:numPr>
          <w:ilvl w:val="0"/>
          <w:numId w:val="41"/>
        </w:numPr>
        <w:spacing w:line="360" w:lineRule="auto"/>
        <w:jc w:val="both"/>
      </w:pPr>
      <w:r w:rsidRPr="00F2180C">
        <w:t xml:space="preserve">In today’s employment landscape, persuading employees who are talented, who have quality and who will remain loyal to the company takes more than a handsome salary structure. Employees seek for respect, value and career growth opportunity to feel interested to work for a particular organization (Basak and Vandenberghe, 2016). However, it all starts from the recruitment process. Organizations now a day follows various approaches to recruit new talents. One of the most powerful recruitment approach used by some top companies are known as guerrilla recruiting. </w:t>
      </w:r>
    </w:p>
    <w:p w14:paraId="6BFAAA82" w14:textId="77777777" w:rsidR="00F2180C" w:rsidRPr="00F2180C" w:rsidRDefault="00F2180C" w:rsidP="007F1479">
      <w:pPr>
        <w:pStyle w:val="NormalWeb"/>
        <w:spacing w:line="360" w:lineRule="auto"/>
        <w:jc w:val="both"/>
      </w:pPr>
      <w:r w:rsidRPr="00F2180C">
        <w:t xml:space="preserve">        </w:t>
      </w:r>
    </w:p>
    <w:p w14:paraId="0A6C3D48" w14:textId="77777777" w:rsidR="00F2180C" w:rsidRPr="00F2180C" w:rsidRDefault="00F2180C" w:rsidP="007F1479">
      <w:pPr>
        <w:pStyle w:val="NormalWeb"/>
        <w:spacing w:line="360" w:lineRule="auto"/>
        <w:jc w:val="both"/>
      </w:pPr>
      <w:r w:rsidRPr="00F2180C">
        <w:lastRenderedPageBreak/>
        <w:t xml:space="preserve">Red 5 Studios is a computer gaming company who follows the guerrilla recruiting approach. The recruitment team short lists 100 best candidates and sends a unique invitation to each one of the applicants. They do thorough research on each of the 100 applicants and sends them special I-pods. This I-Pods have custom designed messages that allows the applicants to discuss about their previous job experience, their likes and dislikes and well as their motivations. The company put this much effort to get the best out of the applicants to measure who fits for the job (Inc., 2017). As Aetna’s culture is derived from diversity, This approach can actually help the company to short list the suitable applicants as per the achievement and skills and later on conduct a personality test before final recruitment. </w:t>
      </w:r>
    </w:p>
    <w:p w14:paraId="7577B6F7" w14:textId="77777777" w:rsidR="00F2180C" w:rsidRPr="00F2180C" w:rsidRDefault="00F2180C" w:rsidP="007F1479">
      <w:pPr>
        <w:pStyle w:val="NormalWeb"/>
        <w:spacing w:line="360" w:lineRule="auto"/>
        <w:jc w:val="both"/>
      </w:pPr>
      <w:r w:rsidRPr="00F2180C">
        <w:t>Another unique job recruitment approach is introduced by the famous household appliances manufacturer Dyson company. They introduced a new approach to recruit employees before they have completed their graduate degree. It means, Dyson came up with a recruitment plan in which they recruit brightest high school students who are interested on R&amp;D facilities. From the students point of view, it is a big challenge for them as they have to provide full commitment at work at the same time continue their studies. Similarly, in this highly challenging job market, they get a better opportunity of a full time job when they finish graduation. On the other hand, for the company it is a good approach as they are getting the young talents first hand before other companies (Target Jobs, 2017). Aetna, started a similar approach in which they provide a chance to work for Aetna whether a student is still in college or about to be graduated. Aetna introduced, summer internships in which students get the opportunity to gain work experience, gain confidence and sharpen their key skills. According to the records, around 80% interns ended up getting a job just after finishing the internship (Aetna, 2018). Aetna also introduced after after-college opportunities which targets fresh graduates (Aetna, 2018).</w:t>
      </w:r>
    </w:p>
    <w:p w14:paraId="0CB30A55" w14:textId="77777777" w:rsidR="00F2180C" w:rsidRPr="00F2180C" w:rsidRDefault="00F2180C" w:rsidP="00F2180C">
      <w:pPr>
        <w:pStyle w:val="NormalWeb"/>
        <w:spacing w:line="360" w:lineRule="auto"/>
      </w:pPr>
    </w:p>
    <w:p w14:paraId="4BA0283C" w14:textId="77777777" w:rsidR="00F2180C" w:rsidRPr="00F2180C" w:rsidRDefault="00F2180C" w:rsidP="00F2180C">
      <w:pPr>
        <w:pStyle w:val="NormalWeb"/>
        <w:spacing w:line="360" w:lineRule="auto"/>
      </w:pPr>
    </w:p>
    <w:p w14:paraId="5A3458F7" w14:textId="77777777" w:rsidR="00F2180C" w:rsidRPr="00F2180C" w:rsidRDefault="00F2180C" w:rsidP="00F2180C">
      <w:pPr>
        <w:pStyle w:val="NormalWeb"/>
        <w:spacing w:line="360" w:lineRule="auto"/>
      </w:pPr>
      <w:r w:rsidRPr="00F2180C">
        <w:t xml:space="preserve"> </w:t>
      </w:r>
    </w:p>
    <w:p w14:paraId="2545ED66" w14:textId="77777777" w:rsidR="00F2180C" w:rsidRPr="00F2180C" w:rsidRDefault="00F2180C" w:rsidP="00F2180C">
      <w:pPr>
        <w:pStyle w:val="NormalWeb"/>
        <w:shd w:val="clear" w:color="auto" w:fill="FFFFFF"/>
        <w:spacing w:line="360" w:lineRule="auto"/>
        <w:ind w:left="720"/>
      </w:pPr>
    </w:p>
    <w:p w14:paraId="0C89BBF0" w14:textId="0A9AA9BC" w:rsidR="00F2180C" w:rsidRPr="0016225D" w:rsidRDefault="0016225D" w:rsidP="0016225D">
      <w:pPr>
        <w:pStyle w:val="Heading2"/>
        <w:rPr>
          <w:u w:val="single"/>
        </w:rPr>
      </w:pPr>
      <w:bookmarkStart w:id="40" w:name="_Toc534629766"/>
      <w:bookmarkStart w:id="41" w:name="_Toc534630167"/>
      <w:bookmarkStart w:id="42" w:name="_Toc534630198"/>
      <w:bookmarkStart w:id="43" w:name="_Toc534630233"/>
      <w:bookmarkStart w:id="44" w:name="_Toc534630524"/>
      <w:r w:rsidRPr="0016225D">
        <w:rPr>
          <w:u w:val="single"/>
        </w:rPr>
        <w:lastRenderedPageBreak/>
        <w:t xml:space="preserve">3.3) </w:t>
      </w:r>
      <w:r w:rsidR="00F2180C" w:rsidRPr="0016225D">
        <w:rPr>
          <w:u w:val="single"/>
        </w:rPr>
        <w:t>Diversity in Employee Work-Life Balance</w:t>
      </w:r>
      <w:bookmarkEnd w:id="40"/>
      <w:bookmarkEnd w:id="41"/>
      <w:bookmarkEnd w:id="42"/>
      <w:bookmarkEnd w:id="43"/>
      <w:bookmarkEnd w:id="44"/>
      <w:r w:rsidR="00F2180C" w:rsidRPr="0016225D">
        <w:rPr>
          <w:u w:val="single"/>
        </w:rPr>
        <w:t xml:space="preserve"> </w:t>
      </w:r>
    </w:p>
    <w:p w14:paraId="1AFB93F9" w14:textId="77777777" w:rsidR="00F2180C" w:rsidRPr="00F2180C" w:rsidRDefault="00F2180C" w:rsidP="00F2180C">
      <w:pPr>
        <w:spacing w:line="360" w:lineRule="auto"/>
        <w:rPr>
          <w:rFonts w:ascii="Times New Roman" w:hAnsi="Times New Roman" w:cs="Times New Roman"/>
        </w:rPr>
      </w:pPr>
    </w:p>
    <w:p w14:paraId="40686A42" w14:textId="5C06FB0C"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 xml:space="preserve">Scholars from around the world have shown great deal of interest on work-life balance topic. It is considered as a HRM tool which is becoming intensely popular world-wide for its acceptability. Early studies on this topic was considered as the conflict between family responsibilities and professional works. However, in recent years the term work-life balance have become a part of almost every organization (Adame et al. 2015). According to Abbott and Cieri (2008), it is the culture of the organization that fosters the commitment of workers work-life balance. They also added that the effectiveness and development of organizations work-life balance depends on whether the corporate culture of that organization, encourage it or stifle it. Nord et al. </w:t>
      </w:r>
      <w:r w:rsidR="006D5F23">
        <w:rPr>
          <w:rFonts w:ascii="Times New Roman" w:hAnsi="Times New Roman" w:cs="Times New Roman"/>
        </w:rPr>
        <w:t>(</w:t>
      </w:r>
      <w:r w:rsidRPr="00F2180C">
        <w:rPr>
          <w:rFonts w:ascii="Times New Roman" w:hAnsi="Times New Roman" w:cs="Times New Roman"/>
        </w:rPr>
        <w:t>2002</w:t>
      </w:r>
      <w:r w:rsidR="006D5F23">
        <w:rPr>
          <w:rFonts w:ascii="Times New Roman" w:hAnsi="Times New Roman" w:cs="Times New Roman"/>
        </w:rPr>
        <w:t>)</w:t>
      </w:r>
      <w:r w:rsidRPr="00F2180C">
        <w:rPr>
          <w:rFonts w:ascii="Times New Roman" w:hAnsi="Times New Roman" w:cs="Times New Roman"/>
        </w:rPr>
        <w:t xml:space="preserve">, mentioned that HR management plays the most imperative part in the development of an organizations culture. As work-life balance became a major tool of human resource management to retain and motivate employees, therefore setting up an effective work-life balance policy under equality act is very important. </w:t>
      </w:r>
    </w:p>
    <w:p w14:paraId="00C145AA" w14:textId="77777777" w:rsidR="00F2180C" w:rsidRPr="00F2180C" w:rsidRDefault="00F2180C" w:rsidP="007F1479">
      <w:pPr>
        <w:spacing w:line="360" w:lineRule="auto"/>
        <w:jc w:val="both"/>
        <w:rPr>
          <w:rFonts w:ascii="Times New Roman" w:hAnsi="Times New Roman" w:cs="Times New Roman"/>
        </w:rPr>
      </w:pPr>
    </w:p>
    <w:p w14:paraId="119A3C83"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Aetna’s culture of diversity reflects that the organization focuses on securing a well prepared work-life balance policy for the employees. Aetna, introduced 24/7 work-life related expert consultation, share of information and helpful assistance to help resource families need such as:</w:t>
      </w:r>
    </w:p>
    <w:p w14:paraId="65103871" w14:textId="77777777" w:rsidR="00F2180C" w:rsidRPr="00F2180C" w:rsidRDefault="00F2180C" w:rsidP="007F1479">
      <w:pPr>
        <w:spacing w:line="360" w:lineRule="auto"/>
        <w:jc w:val="both"/>
        <w:rPr>
          <w:rFonts w:ascii="Times New Roman" w:hAnsi="Times New Roman" w:cs="Times New Roman"/>
        </w:rPr>
      </w:pPr>
    </w:p>
    <w:p w14:paraId="3A523E00" w14:textId="4256860A"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 xml:space="preserve">Child </w:t>
      </w:r>
      <w:r w:rsidR="0016225D">
        <w:rPr>
          <w:rFonts w:ascii="Times New Roman" w:hAnsi="Times New Roman" w:cs="Times New Roman"/>
          <w:b/>
        </w:rPr>
        <w:t>C</w:t>
      </w:r>
      <w:r w:rsidRPr="0016225D">
        <w:rPr>
          <w:rFonts w:ascii="Times New Roman" w:hAnsi="Times New Roman" w:cs="Times New Roman"/>
          <w:b/>
        </w:rPr>
        <w:t>are:</w:t>
      </w:r>
      <w:r w:rsidRPr="00F2180C">
        <w:rPr>
          <w:rFonts w:ascii="Times New Roman" w:hAnsi="Times New Roman" w:cs="Times New Roman"/>
        </w:rPr>
        <w:t xml:space="preserve"> Aetna, provides child care service for working female employees.</w:t>
      </w:r>
    </w:p>
    <w:p w14:paraId="00215A39" w14:textId="77777777"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Parenting:</w:t>
      </w:r>
      <w:r w:rsidRPr="00F2180C">
        <w:rPr>
          <w:rFonts w:ascii="Times New Roman" w:hAnsi="Times New Roman" w:cs="Times New Roman"/>
        </w:rPr>
        <w:t xml:space="preserve"> Help and suggestions for parents, especially for new mothers.</w:t>
      </w:r>
    </w:p>
    <w:p w14:paraId="1A8EF67B" w14:textId="0173FE1E"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 xml:space="preserve">Pet </w:t>
      </w:r>
      <w:r w:rsidR="0016225D">
        <w:rPr>
          <w:rFonts w:ascii="Times New Roman" w:hAnsi="Times New Roman" w:cs="Times New Roman"/>
          <w:b/>
        </w:rPr>
        <w:t>C</w:t>
      </w:r>
      <w:r w:rsidRPr="0016225D">
        <w:rPr>
          <w:rFonts w:ascii="Times New Roman" w:hAnsi="Times New Roman" w:cs="Times New Roman"/>
          <w:b/>
        </w:rPr>
        <w:t>are:</w:t>
      </w:r>
      <w:r w:rsidRPr="00F2180C">
        <w:rPr>
          <w:rFonts w:ascii="Times New Roman" w:hAnsi="Times New Roman" w:cs="Times New Roman"/>
        </w:rPr>
        <w:t xml:space="preserve"> Aetna, employees can also get pet care service from the company.</w:t>
      </w:r>
    </w:p>
    <w:p w14:paraId="799281E2" w14:textId="43D529C7"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 xml:space="preserve">Elder </w:t>
      </w:r>
      <w:r w:rsidR="0016225D" w:rsidRPr="0016225D">
        <w:rPr>
          <w:rFonts w:ascii="Times New Roman" w:hAnsi="Times New Roman" w:cs="Times New Roman"/>
          <w:b/>
        </w:rPr>
        <w:t>C</w:t>
      </w:r>
      <w:r w:rsidRPr="0016225D">
        <w:rPr>
          <w:rFonts w:ascii="Times New Roman" w:hAnsi="Times New Roman" w:cs="Times New Roman"/>
          <w:b/>
        </w:rPr>
        <w:t>are:</w:t>
      </w:r>
      <w:r w:rsidRPr="00F2180C">
        <w:rPr>
          <w:rFonts w:ascii="Times New Roman" w:hAnsi="Times New Roman" w:cs="Times New Roman"/>
        </w:rPr>
        <w:t xml:space="preserve"> Aetna employees can seek for parents care service from the company.</w:t>
      </w:r>
    </w:p>
    <w:p w14:paraId="048DA1F7" w14:textId="053B93DE"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 xml:space="preserve">Disability </w:t>
      </w:r>
      <w:r w:rsidR="0016225D" w:rsidRPr="0016225D">
        <w:rPr>
          <w:rFonts w:ascii="Times New Roman" w:hAnsi="Times New Roman" w:cs="Times New Roman"/>
          <w:b/>
        </w:rPr>
        <w:t>C</w:t>
      </w:r>
      <w:r w:rsidRPr="0016225D">
        <w:rPr>
          <w:rFonts w:ascii="Times New Roman" w:hAnsi="Times New Roman" w:cs="Times New Roman"/>
          <w:b/>
        </w:rPr>
        <w:t>are:</w:t>
      </w:r>
      <w:r w:rsidRPr="00F2180C">
        <w:rPr>
          <w:rFonts w:ascii="Times New Roman" w:hAnsi="Times New Roman" w:cs="Times New Roman"/>
        </w:rPr>
        <w:t xml:space="preserve"> If there is anyone disabled in the family, employee can request the company for a </w:t>
      </w:r>
      <w:r w:rsidR="0016225D" w:rsidRPr="00F2180C">
        <w:rPr>
          <w:rFonts w:ascii="Times New Roman" w:hAnsi="Times New Roman" w:cs="Times New Roman"/>
        </w:rPr>
        <w:t>career</w:t>
      </w:r>
      <w:r w:rsidRPr="00F2180C">
        <w:rPr>
          <w:rFonts w:ascii="Times New Roman" w:hAnsi="Times New Roman" w:cs="Times New Roman"/>
        </w:rPr>
        <w:t>.</w:t>
      </w:r>
    </w:p>
    <w:p w14:paraId="488B24C5" w14:textId="77777777"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Educational Support:</w:t>
      </w:r>
      <w:r w:rsidRPr="00F2180C">
        <w:rPr>
          <w:rFonts w:ascii="Times New Roman" w:hAnsi="Times New Roman" w:cs="Times New Roman"/>
        </w:rPr>
        <w:t xml:space="preserve"> Aetna helps employees with student loan to carry on with their higher education at a minimum interest.</w:t>
      </w:r>
    </w:p>
    <w:p w14:paraId="1D0E8192" w14:textId="248DF158"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 xml:space="preserve">Online Discounts on </w:t>
      </w:r>
      <w:r w:rsidR="0016225D" w:rsidRPr="0016225D">
        <w:rPr>
          <w:rFonts w:ascii="Times New Roman" w:hAnsi="Times New Roman" w:cs="Times New Roman"/>
          <w:b/>
        </w:rPr>
        <w:t>Well-known</w:t>
      </w:r>
      <w:r w:rsidRPr="0016225D">
        <w:rPr>
          <w:rFonts w:ascii="Times New Roman" w:hAnsi="Times New Roman" w:cs="Times New Roman"/>
          <w:b/>
        </w:rPr>
        <w:t xml:space="preserve"> </w:t>
      </w:r>
      <w:r w:rsidR="0016225D" w:rsidRPr="0016225D">
        <w:rPr>
          <w:rFonts w:ascii="Times New Roman" w:hAnsi="Times New Roman" w:cs="Times New Roman"/>
          <w:b/>
        </w:rPr>
        <w:t>P</w:t>
      </w:r>
      <w:r w:rsidRPr="0016225D">
        <w:rPr>
          <w:rFonts w:ascii="Times New Roman" w:hAnsi="Times New Roman" w:cs="Times New Roman"/>
          <w:b/>
        </w:rPr>
        <w:t>roducts/</w:t>
      </w:r>
      <w:r w:rsidR="0016225D" w:rsidRPr="0016225D">
        <w:rPr>
          <w:rFonts w:ascii="Times New Roman" w:hAnsi="Times New Roman" w:cs="Times New Roman"/>
          <w:b/>
        </w:rPr>
        <w:t>S</w:t>
      </w:r>
      <w:r w:rsidRPr="0016225D">
        <w:rPr>
          <w:rFonts w:ascii="Times New Roman" w:hAnsi="Times New Roman" w:cs="Times New Roman"/>
          <w:b/>
        </w:rPr>
        <w:t xml:space="preserve">ervice </w:t>
      </w:r>
      <w:r w:rsidR="0016225D" w:rsidRPr="0016225D">
        <w:rPr>
          <w:rFonts w:ascii="Times New Roman" w:hAnsi="Times New Roman" w:cs="Times New Roman"/>
          <w:b/>
        </w:rPr>
        <w:t>B</w:t>
      </w:r>
      <w:r w:rsidRPr="0016225D">
        <w:rPr>
          <w:rFonts w:ascii="Times New Roman" w:hAnsi="Times New Roman" w:cs="Times New Roman"/>
          <w:b/>
        </w:rPr>
        <w:t>rands:</w:t>
      </w:r>
      <w:r w:rsidRPr="00F2180C">
        <w:rPr>
          <w:rFonts w:ascii="Times New Roman" w:hAnsi="Times New Roman" w:cs="Times New Roman"/>
        </w:rPr>
        <w:t xml:space="preserve"> Aetna employees can enjoy great discounts on electronic gadgets, movie tickets, travel packages, jewellery, clothing’s etc. </w:t>
      </w:r>
    </w:p>
    <w:p w14:paraId="508D7603" w14:textId="77777777" w:rsidR="00F2180C" w:rsidRPr="00F2180C" w:rsidRDefault="00F2180C" w:rsidP="007F1479">
      <w:pPr>
        <w:spacing w:line="360" w:lineRule="auto"/>
        <w:jc w:val="both"/>
        <w:rPr>
          <w:rFonts w:ascii="Times New Roman" w:hAnsi="Times New Roman" w:cs="Times New Roman"/>
        </w:rPr>
      </w:pPr>
    </w:p>
    <w:p w14:paraId="5DF51EDD"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lastRenderedPageBreak/>
        <w:t xml:space="preserve">All these mentioned facilities are provided to ensure wellbeing of employees family life. Not only that, Aetna introduced health plans and behavioural health plans for employees to help them cope with both their professional and personal challenges. Health programs are designed to relieve stress, quit smoking, increase of physical activities and better sleep (Aetna, 2018). Aetna also introduced free depression and anxiety test for the employees as the company cares for both mental and physical health of the employees. Not only that, the company understands family life challenges and stress of the employees. As a result, there are convenient ways to access work-life services and support. Such as phone call support, where employees can call at any time to share their griefs, problems and difficulties. This service is free and unlimited that helps coach back the employees back on track. There is also face-to-face counselling and solution service which Aetna employees can get free of cost. In this service, a local counsellor provides several sessions to deal with the employee’s problem. Finally there is option for tele video service for which employees just need internet connection and a laptop to do a virtual communication with the service provider (Aetna, 2018).  </w:t>
      </w:r>
    </w:p>
    <w:p w14:paraId="1FADF2F5" w14:textId="77777777" w:rsidR="00F2180C" w:rsidRPr="00F2180C" w:rsidRDefault="00F2180C" w:rsidP="007F1479">
      <w:pPr>
        <w:spacing w:line="360" w:lineRule="auto"/>
        <w:jc w:val="both"/>
        <w:rPr>
          <w:rFonts w:ascii="Times New Roman" w:hAnsi="Times New Roman" w:cs="Times New Roman"/>
        </w:rPr>
      </w:pPr>
    </w:p>
    <w:p w14:paraId="6F4E5F57" w14:textId="77777777" w:rsidR="00F2180C" w:rsidRPr="00F2180C" w:rsidRDefault="00F2180C" w:rsidP="007F1479">
      <w:pPr>
        <w:pStyle w:val="NormalWeb"/>
        <w:spacing w:line="360" w:lineRule="auto"/>
        <w:jc w:val="both"/>
      </w:pPr>
      <w:r w:rsidRPr="00F2180C">
        <w:t xml:space="preserve">Adame et. Al (2015), mentioned that gender has repeatedly appeared in work-life balance research studies. Even though work-life conflict is closely related with both genders but previous studies literature mostly focused on women. The reason being is that, women commitments toward family is considered as their main priority. As a result, there always has been a glass-ceiling for women’s career development. As discussed earlier, women’s represent only 24% of the management positions. Poelmans, &amp; León (2003), stated that women are more likely to ask for flexible work hours over an increase in salary. They also mentioned that, presence of women employee in the organization puts extra pressure on management to implement work-life balance policy. Aetna, understands the pregnancy time challenges for women employees. As a result, Aetna introduced maternity program to provide special attention to the pregnancy and the baby. This program includes benefits such as parental care, new-born care, labor and delivery. Helps finding out pregnancy risks and other issues, screening for depression and follow up appointments (Aetna Beginning Right, 2017). </w:t>
      </w:r>
    </w:p>
    <w:p w14:paraId="2CAC919B"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lastRenderedPageBreak/>
        <w:t>Ezzedeen and Zikic (2015), suggested a inductive model of work-life balance in relationship with boundary management. The suggested model is shown and briefly explained in below:</w:t>
      </w:r>
    </w:p>
    <w:p w14:paraId="735AAAAB" w14:textId="77777777" w:rsidR="00F2180C" w:rsidRPr="00F2180C" w:rsidRDefault="00F2180C" w:rsidP="00F2180C">
      <w:pPr>
        <w:spacing w:line="360" w:lineRule="auto"/>
        <w:rPr>
          <w:rFonts w:ascii="Times New Roman" w:hAnsi="Times New Roman" w:cs="Times New Roman"/>
        </w:rPr>
      </w:pPr>
    </w:p>
    <w:p w14:paraId="78524745" w14:textId="77777777" w:rsidR="00F2180C" w:rsidRPr="00F2180C" w:rsidRDefault="00F2180C" w:rsidP="00F2180C">
      <w:pPr>
        <w:spacing w:line="360" w:lineRule="auto"/>
        <w:rPr>
          <w:rFonts w:ascii="Times New Roman" w:hAnsi="Times New Roman" w:cs="Times New Roman"/>
        </w:rPr>
      </w:pPr>
      <w:r w:rsidRPr="00F2180C">
        <w:rPr>
          <w:rFonts w:ascii="Times New Roman" w:hAnsi="Times New Roman" w:cs="Times New Roman"/>
        </w:rPr>
        <w:t xml:space="preserve"> </w:t>
      </w:r>
      <w:r w:rsidRPr="00F2180C">
        <w:rPr>
          <w:rFonts w:ascii="Times New Roman" w:hAnsi="Times New Roman" w:cs="Times New Roman"/>
          <w:noProof/>
          <w:lang w:val="en-US"/>
        </w:rPr>
        <w:drawing>
          <wp:inline distT="0" distB="0" distL="0" distR="0" wp14:anchorId="5CCF3BE2" wp14:editId="1539394D">
            <wp:extent cx="5727700" cy="58496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12-28 at 22.03.07.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5849620"/>
                    </a:xfrm>
                    <a:prstGeom prst="rect">
                      <a:avLst/>
                    </a:prstGeom>
                  </pic:spPr>
                </pic:pic>
              </a:graphicData>
            </a:graphic>
          </wp:inline>
        </w:drawing>
      </w:r>
    </w:p>
    <w:p w14:paraId="07852AAA" w14:textId="77777777" w:rsidR="00F2180C" w:rsidRPr="00F2180C" w:rsidRDefault="00F2180C" w:rsidP="0016225D">
      <w:pPr>
        <w:spacing w:line="360" w:lineRule="auto"/>
        <w:jc w:val="center"/>
        <w:rPr>
          <w:rFonts w:ascii="Times New Roman" w:hAnsi="Times New Roman" w:cs="Times New Roman"/>
        </w:rPr>
      </w:pPr>
      <w:r w:rsidRPr="0016225D">
        <w:rPr>
          <w:rFonts w:ascii="Times New Roman" w:hAnsi="Times New Roman" w:cs="Times New Roman"/>
          <w:b/>
        </w:rPr>
        <w:t>Diagram 2:</w:t>
      </w:r>
      <w:r w:rsidRPr="00F2180C">
        <w:rPr>
          <w:rFonts w:ascii="Times New Roman" w:hAnsi="Times New Roman" w:cs="Times New Roman"/>
        </w:rPr>
        <w:t xml:space="preserve"> An Inductive Model of Work-Life Balance in Relationship with Boundary Management.</w:t>
      </w:r>
    </w:p>
    <w:p w14:paraId="1AC27455" w14:textId="77777777" w:rsidR="00F2180C" w:rsidRPr="00F2180C" w:rsidRDefault="00F2180C" w:rsidP="0016225D">
      <w:pPr>
        <w:spacing w:line="360" w:lineRule="auto"/>
        <w:jc w:val="center"/>
        <w:rPr>
          <w:rFonts w:ascii="Times New Roman" w:hAnsi="Times New Roman" w:cs="Times New Roman"/>
        </w:rPr>
      </w:pPr>
      <w:r w:rsidRPr="0016225D">
        <w:rPr>
          <w:rFonts w:ascii="Times New Roman" w:hAnsi="Times New Roman" w:cs="Times New Roman"/>
          <w:b/>
        </w:rPr>
        <w:t>Source:</w:t>
      </w:r>
      <w:r w:rsidRPr="00F2180C">
        <w:rPr>
          <w:rFonts w:ascii="Times New Roman" w:hAnsi="Times New Roman" w:cs="Times New Roman"/>
        </w:rPr>
        <w:t xml:space="preserve">  Ezzedeen and Zikic (2015)</w:t>
      </w:r>
    </w:p>
    <w:p w14:paraId="30F599AD" w14:textId="77777777" w:rsidR="00F2180C" w:rsidRPr="00F2180C" w:rsidRDefault="00F2180C" w:rsidP="00F2180C">
      <w:pPr>
        <w:spacing w:line="360" w:lineRule="auto"/>
        <w:rPr>
          <w:rFonts w:ascii="Times New Roman" w:hAnsi="Times New Roman" w:cs="Times New Roman"/>
        </w:rPr>
      </w:pPr>
    </w:p>
    <w:p w14:paraId="59154F8C" w14:textId="01AD05C5"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 xml:space="preserve">According to the diagram, there are two types of motivation in regards to context factors. One is intrinsic which consists of independence, achievement and difference </w:t>
      </w:r>
      <w:r w:rsidRPr="00F2180C">
        <w:rPr>
          <w:rFonts w:ascii="Times New Roman" w:hAnsi="Times New Roman" w:cs="Times New Roman"/>
        </w:rPr>
        <w:lastRenderedPageBreak/>
        <w:t xml:space="preserve">making. The other motivation is extrinsic is consists of flexibility, work-life balance and family. Intrinsic motivation clicks during the start-up stage of an employee’s career, whereas the extrinsic motivation triggers during more mature stage of an employee’s career. In terms of work-life attitude during the </w:t>
      </w:r>
      <w:r w:rsidR="001A009E" w:rsidRPr="00F2180C">
        <w:rPr>
          <w:rFonts w:ascii="Times New Roman" w:hAnsi="Times New Roman" w:cs="Times New Roman"/>
        </w:rPr>
        <w:t>start-up</w:t>
      </w:r>
      <w:r w:rsidRPr="00F2180C">
        <w:rPr>
          <w:rFonts w:ascii="Times New Roman" w:hAnsi="Times New Roman" w:cs="Times New Roman"/>
        </w:rPr>
        <w:t xml:space="preserve"> stage, employees doesn’t consider work-life balance as an important factor. They consider work-life balance is for people who are not passionate about their job. They consider work as passion, vision, obsession and lifestyle. As a result, in terms of the boundary management, employee’s cuts back social life, have less sleep, negotiates home responsibilities. All these are integration strategies of the employee’s. On the other hand, during the mature stage, employees considers work-life balance as the most important aspect. Here employee’s consider work as financial security, family support and health balance. Therefore according to the boundary management, employee’s prioritize flexible scheduling, work smart instead of work hard and maintains outside commitments. These are known as segmentation strategies of the employee’s. This model illustrates that, employee’s desire for work-life balance grows gradually during his/her career. The more the employee becomes matured, the more sense of realization for work-life balance comes in to play. As a result, Aetna HR management should understand this evolution process of work-life balance need of employees and plan work-life balance policy accordingly. </w:t>
      </w:r>
    </w:p>
    <w:p w14:paraId="21999590" w14:textId="77777777" w:rsidR="00F2180C" w:rsidRPr="00F2180C" w:rsidRDefault="00F2180C" w:rsidP="007F1479">
      <w:pPr>
        <w:pStyle w:val="NormalWeb"/>
        <w:spacing w:line="360" w:lineRule="auto"/>
        <w:jc w:val="both"/>
      </w:pPr>
      <w:r w:rsidRPr="00F2180C">
        <w:t>Multinational companies are now offering increase of rights to the employees to request for work-life balance arrangements. Organizations have started seeing that family and work do not compete with each other, rather it complements each other (Southworth, 2014). He also mentioned that, in US, flexible working is considered as the most important part of the work-life balance. According to the AARP Public Policy Institute (2018), the increase of women work force in US has increased dramatically in the last three decades. It means the number of female employees have increased. Currently, women make up 46% of the workforce in US. It reflects the level of importance women worker’s put in to making a sound and reliable work-life balance policy for all organizations.</w:t>
      </w:r>
    </w:p>
    <w:p w14:paraId="1C0B77C7" w14:textId="77777777" w:rsidR="00F2180C" w:rsidRPr="00F2180C" w:rsidRDefault="00F2180C" w:rsidP="007F1479">
      <w:pPr>
        <w:pStyle w:val="NormalWeb"/>
        <w:spacing w:line="360" w:lineRule="auto"/>
        <w:jc w:val="both"/>
      </w:pPr>
      <w:r w:rsidRPr="00F2180C">
        <w:t xml:space="preserve">According to Chandra (2012), the responses to work and family life demand differs among people from different countries at various levels of economic development. For instance, in USA, the main driver for work-life balance is the legal compliance, </w:t>
      </w:r>
      <w:r w:rsidRPr="00F2180C">
        <w:lastRenderedPageBreak/>
        <w:t xml:space="preserve">whereas the comprehensive national program addresses that there no end to employees expectation from companies work-life balance policy. Budd and Mumford (2005) stated that the implementation of work-life balance have been promoted with different types of employee motives. Such as employee with permanent or temporary disability, career oriented couple with children, problems associated with work-family life conflicts etc. One of the common strategy used by organizations now a day to strengthen the employee work-life balance policy is making changes to the flexible working arrangements. There are two options that became more popular. One is working from home, where employee has responsibility of family care. According to Aetna Diversity Annual Report (2008), 15% of Aetna employees work from home. The other option is working at an adjusted work hour, where employees can work and cover their contracted hours at a different time slot upon confirmation from the line manager. As per Aetna Diversity Annual Report (2008), 2% Aetna employees gets this facility. </w:t>
      </w:r>
    </w:p>
    <w:p w14:paraId="7EFEC530" w14:textId="77777777" w:rsidR="00F2180C" w:rsidRPr="00F2180C" w:rsidRDefault="00F2180C" w:rsidP="007F1479">
      <w:pPr>
        <w:pStyle w:val="NormalWeb"/>
        <w:spacing w:line="360" w:lineRule="auto"/>
        <w:jc w:val="both"/>
      </w:pPr>
      <w:r w:rsidRPr="00F2180C">
        <w:t>According to Entrepreneur (2018), the result of a recent study shows surprising statistics about work-life balance across different countries. As per the results of the study, US stands in 30</w:t>
      </w:r>
      <w:r w:rsidRPr="00F2180C">
        <w:rPr>
          <w:vertAlign w:val="superscript"/>
        </w:rPr>
        <w:t>th</w:t>
      </w:r>
      <w:r w:rsidRPr="00F2180C">
        <w:t xml:space="preserve"> position out of 38 countries in having a positive work-life balance. However, Netherlands rank first in the list as they have the shortest work weeks in the world which is 4 days/ 29 hours on average. Denmark ranks second as they have provided rights to the employees to choose the work days and option of working from home. On the other hand, US is lacking behind in the race as the average work hours of US employees is found as 8.15 hours and 33% of the employees work on weekend or in holidays as statistics shown in below:</w:t>
      </w:r>
    </w:p>
    <w:p w14:paraId="0EDFAF9D" w14:textId="77777777" w:rsidR="00F2180C" w:rsidRPr="00F2180C" w:rsidRDefault="00F2180C" w:rsidP="00F2180C">
      <w:pPr>
        <w:pStyle w:val="NormalWeb"/>
        <w:spacing w:line="360" w:lineRule="auto"/>
      </w:pPr>
    </w:p>
    <w:p w14:paraId="3660C02D" w14:textId="77777777" w:rsidR="00F2180C" w:rsidRPr="00F2180C" w:rsidRDefault="00F2180C" w:rsidP="00F2180C">
      <w:pPr>
        <w:pStyle w:val="NormalWeb"/>
        <w:spacing w:line="360" w:lineRule="auto"/>
      </w:pPr>
      <w:r w:rsidRPr="00F2180C">
        <w:rPr>
          <w:noProof/>
          <w:lang w:val="en-US"/>
        </w:rPr>
        <w:lastRenderedPageBreak/>
        <w:drawing>
          <wp:inline distT="0" distB="0" distL="0" distR="0" wp14:anchorId="4F57FD8A" wp14:editId="048ED502">
            <wp:extent cx="5291847" cy="3474085"/>
            <wp:effectExtent l="0" t="0" r="444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12-30 at 20.22.10.png"/>
                    <pic:cNvPicPr/>
                  </pic:nvPicPr>
                  <pic:blipFill>
                    <a:blip r:embed="rId13">
                      <a:extLst>
                        <a:ext uri="{28A0092B-C50C-407E-A947-70E740481C1C}">
                          <a14:useLocalDpi xmlns:a14="http://schemas.microsoft.com/office/drawing/2010/main" val="0"/>
                        </a:ext>
                      </a:extLst>
                    </a:blip>
                    <a:stretch>
                      <a:fillRect/>
                    </a:stretch>
                  </pic:blipFill>
                  <pic:spPr>
                    <a:xfrm>
                      <a:off x="0" y="0"/>
                      <a:ext cx="5296095" cy="3476874"/>
                    </a:xfrm>
                    <a:prstGeom prst="rect">
                      <a:avLst/>
                    </a:prstGeom>
                  </pic:spPr>
                </pic:pic>
              </a:graphicData>
            </a:graphic>
          </wp:inline>
        </w:drawing>
      </w:r>
    </w:p>
    <w:p w14:paraId="38B94348" w14:textId="77777777" w:rsidR="00F2180C" w:rsidRPr="00F2180C" w:rsidRDefault="00F2180C" w:rsidP="0016225D">
      <w:pPr>
        <w:pStyle w:val="NormalWeb"/>
        <w:spacing w:line="360" w:lineRule="auto"/>
        <w:jc w:val="center"/>
      </w:pPr>
      <w:r w:rsidRPr="0016225D">
        <w:rPr>
          <w:b/>
        </w:rPr>
        <w:t>Figure 2:</w:t>
      </w:r>
      <w:r w:rsidRPr="00F2180C">
        <w:t xml:space="preserve"> Average Work Hour of US Employees</w:t>
      </w:r>
    </w:p>
    <w:p w14:paraId="3656FF31" w14:textId="77777777" w:rsidR="00F2180C" w:rsidRPr="00F2180C" w:rsidRDefault="00F2180C" w:rsidP="0016225D">
      <w:pPr>
        <w:pStyle w:val="NormalWeb"/>
        <w:spacing w:line="360" w:lineRule="auto"/>
        <w:jc w:val="center"/>
      </w:pPr>
      <w:r w:rsidRPr="0016225D">
        <w:rPr>
          <w:b/>
        </w:rPr>
        <w:t>Source:</w:t>
      </w:r>
      <w:r w:rsidRPr="00F2180C">
        <w:t xml:space="preserve"> Entrepreneur (2018)</w:t>
      </w:r>
    </w:p>
    <w:p w14:paraId="4288D311" w14:textId="77777777" w:rsidR="00F2180C" w:rsidRPr="00F2180C" w:rsidRDefault="00F2180C" w:rsidP="007F1479">
      <w:pPr>
        <w:pStyle w:val="NormalWeb"/>
        <w:spacing w:line="360" w:lineRule="auto"/>
        <w:jc w:val="both"/>
      </w:pPr>
      <w:r w:rsidRPr="00F2180C">
        <w:t xml:space="preserve">Another recent research study conducted by Statista (2018), shows US people’s belief of the importance of having a proper work-life balance. According to the findings, 72% of the respondents believes that it is very important to have a proper work-life balance. It suggests that Aetna operating its business in US should provide high level of importance in ensuring a healthy work-life balance for the employees. </w:t>
      </w:r>
    </w:p>
    <w:p w14:paraId="16160BF8" w14:textId="77777777" w:rsidR="00F2180C" w:rsidRPr="00F2180C" w:rsidRDefault="00F2180C" w:rsidP="00F2180C">
      <w:pPr>
        <w:pStyle w:val="NormalWeb"/>
        <w:spacing w:line="360" w:lineRule="auto"/>
      </w:pPr>
      <w:r w:rsidRPr="00F2180C">
        <w:rPr>
          <w:noProof/>
          <w:lang w:val="en-US"/>
        </w:rPr>
        <w:lastRenderedPageBreak/>
        <w:drawing>
          <wp:inline distT="0" distB="0" distL="0" distR="0" wp14:anchorId="736307FB" wp14:editId="40FCA09E">
            <wp:extent cx="5301575" cy="4248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12-30 at 20.10.08.png"/>
                    <pic:cNvPicPr/>
                  </pic:nvPicPr>
                  <pic:blipFill>
                    <a:blip r:embed="rId14">
                      <a:extLst>
                        <a:ext uri="{28A0092B-C50C-407E-A947-70E740481C1C}">
                          <a14:useLocalDpi xmlns:a14="http://schemas.microsoft.com/office/drawing/2010/main" val="0"/>
                        </a:ext>
                      </a:extLst>
                    </a:blip>
                    <a:stretch>
                      <a:fillRect/>
                    </a:stretch>
                  </pic:blipFill>
                  <pic:spPr>
                    <a:xfrm>
                      <a:off x="0" y="0"/>
                      <a:ext cx="5304990" cy="4250887"/>
                    </a:xfrm>
                    <a:prstGeom prst="rect">
                      <a:avLst/>
                    </a:prstGeom>
                  </pic:spPr>
                </pic:pic>
              </a:graphicData>
            </a:graphic>
          </wp:inline>
        </w:drawing>
      </w:r>
    </w:p>
    <w:p w14:paraId="66D5E5EF" w14:textId="77777777" w:rsidR="00F2180C" w:rsidRPr="00F2180C" w:rsidRDefault="00F2180C" w:rsidP="00F2180C">
      <w:pPr>
        <w:shd w:val="clear" w:color="auto" w:fill="FFFFFF"/>
        <w:spacing w:line="360" w:lineRule="auto"/>
        <w:rPr>
          <w:rFonts w:ascii="Times New Roman" w:hAnsi="Times New Roman" w:cs="Times New Roman"/>
          <w:color w:val="414141"/>
        </w:rPr>
      </w:pPr>
    </w:p>
    <w:p w14:paraId="36E2EE8C" w14:textId="77777777" w:rsidR="00F2180C" w:rsidRPr="00F2180C" w:rsidRDefault="00F2180C" w:rsidP="007F1479">
      <w:pPr>
        <w:spacing w:line="360" w:lineRule="auto"/>
        <w:jc w:val="center"/>
        <w:rPr>
          <w:rFonts w:ascii="Times New Roman" w:hAnsi="Times New Roman" w:cs="Times New Roman"/>
        </w:rPr>
      </w:pPr>
      <w:r w:rsidRPr="007F1479">
        <w:rPr>
          <w:rFonts w:ascii="Times New Roman" w:hAnsi="Times New Roman" w:cs="Times New Roman"/>
          <w:b/>
        </w:rPr>
        <w:t>Figure 3:</w:t>
      </w:r>
      <w:r w:rsidRPr="00F2180C">
        <w:rPr>
          <w:rFonts w:ascii="Times New Roman" w:hAnsi="Times New Roman" w:cs="Times New Roman"/>
        </w:rPr>
        <w:t xml:space="preserve"> Importance of Work-Life Balance Among Employees in the US in 2018.</w:t>
      </w:r>
    </w:p>
    <w:p w14:paraId="0A584496" w14:textId="650BDB24" w:rsidR="004B73DA" w:rsidRPr="004239C7" w:rsidRDefault="00F2180C" w:rsidP="004239C7">
      <w:pPr>
        <w:spacing w:line="360" w:lineRule="auto"/>
        <w:jc w:val="center"/>
        <w:rPr>
          <w:rFonts w:ascii="Times New Roman" w:hAnsi="Times New Roman" w:cs="Times New Roman"/>
        </w:rPr>
      </w:pPr>
      <w:r w:rsidRPr="007F1479">
        <w:rPr>
          <w:rFonts w:ascii="Times New Roman" w:hAnsi="Times New Roman" w:cs="Times New Roman"/>
          <w:b/>
        </w:rPr>
        <w:t>Source:</w:t>
      </w:r>
      <w:r w:rsidRPr="00F2180C">
        <w:rPr>
          <w:rFonts w:ascii="Times New Roman" w:hAnsi="Times New Roman" w:cs="Times New Roman"/>
        </w:rPr>
        <w:t xml:space="preserve"> Statista (2018)</w:t>
      </w:r>
    </w:p>
    <w:p w14:paraId="02E805D1" w14:textId="22E07773" w:rsidR="00F2180C" w:rsidRDefault="0016225D" w:rsidP="0016225D">
      <w:pPr>
        <w:pStyle w:val="Heading2"/>
        <w:rPr>
          <w:u w:val="single"/>
        </w:rPr>
      </w:pPr>
      <w:bookmarkStart w:id="45" w:name="_Toc534629767"/>
      <w:bookmarkStart w:id="46" w:name="_Toc534630168"/>
      <w:bookmarkStart w:id="47" w:name="_Toc534630199"/>
      <w:bookmarkStart w:id="48" w:name="_Toc534630234"/>
      <w:bookmarkStart w:id="49" w:name="_Toc534630525"/>
      <w:r w:rsidRPr="0016225D">
        <w:rPr>
          <w:u w:val="single"/>
        </w:rPr>
        <w:t xml:space="preserve">3.4) </w:t>
      </w:r>
      <w:r w:rsidR="00F2180C" w:rsidRPr="0016225D">
        <w:rPr>
          <w:u w:val="single"/>
        </w:rPr>
        <w:t>Comparison of the Work-Life Balance Strategies with Other Companies:</w:t>
      </w:r>
      <w:bookmarkEnd w:id="45"/>
      <w:bookmarkEnd w:id="46"/>
      <w:bookmarkEnd w:id="47"/>
      <w:bookmarkEnd w:id="48"/>
      <w:bookmarkEnd w:id="49"/>
    </w:p>
    <w:p w14:paraId="18534E72" w14:textId="77777777" w:rsidR="0016225D" w:rsidRPr="0016225D" w:rsidRDefault="0016225D" w:rsidP="0016225D"/>
    <w:p w14:paraId="1A33C2EC"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In the 21</w:t>
      </w:r>
      <w:r w:rsidRPr="00F2180C">
        <w:rPr>
          <w:rFonts w:ascii="Times New Roman" w:hAnsi="Times New Roman" w:cs="Times New Roman"/>
          <w:vertAlign w:val="superscript"/>
        </w:rPr>
        <w:t>st</w:t>
      </w:r>
      <w:r w:rsidRPr="00F2180C">
        <w:rPr>
          <w:rFonts w:ascii="Times New Roman" w:hAnsi="Times New Roman" w:cs="Times New Roman"/>
        </w:rPr>
        <w:t xml:space="preserve"> century, there has been a exponential growth in setting work-life balance policy in organizations. This has happened due to globalization (Anderson et al. 2002). The invention of new technologies have helped to blur the distinction between work place and home. Employees now have better recreation facilities at work place compared to the past. If we consider Google as an example, we will understand by how far HR management have gone to arrange a positive work-life balance for the employees. Google became enormously popular among workforces around the world, because of its employee perks (Chen and Chippendale, 2018).</w:t>
      </w:r>
    </w:p>
    <w:p w14:paraId="4EC9A0B7" w14:textId="77777777" w:rsidR="00F2180C" w:rsidRPr="00F2180C" w:rsidRDefault="00F2180C" w:rsidP="007F1479">
      <w:pPr>
        <w:spacing w:line="360" w:lineRule="auto"/>
        <w:jc w:val="both"/>
        <w:rPr>
          <w:rFonts w:ascii="Times New Roman" w:hAnsi="Times New Roman" w:cs="Times New Roman"/>
        </w:rPr>
      </w:pPr>
    </w:p>
    <w:p w14:paraId="28277A2D" w14:textId="77777777" w:rsidR="00F2180C" w:rsidRPr="00F2180C" w:rsidRDefault="00F2180C" w:rsidP="007F1479">
      <w:pPr>
        <w:spacing w:line="360" w:lineRule="auto"/>
        <w:jc w:val="both"/>
        <w:rPr>
          <w:rFonts w:ascii="Times New Roman" w:hAnsi="Times New Roman" w:cs="Times New Roman"/>
        </w:rPr>
      </w:pPr>
    </w:p>
    <w:p w14:paraId="0D86E731" w14:textId="01DB6A73"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lastRenderedPageBreak/>
        <w:t xml:space="preserve">At Google, employee work-life balance is equally important as organizational diversity. At google there is equal right ensured for employees of all race, gender, ethnicity, religion and age group (Google, 2018). Some of the unique features at Google to ensure employee work-life balance taken from </w:t>
      </w:r>
      <w:r w:rsidR="00627A77">
        <w:rPr>
          <w:rFonts w:ascii="Times New Roman" w:hAnsi="Times New Roman" w:cs="Times New Roman"/>
        </w:rPr>
        <w:t>Inc.</w:t>
      </w:r>
      <w:r w:rsidRPr="00F2180C">
        <w:rPr>
          <w:rFonts w:ascii="Times New Roman" w:hAnsi="Times New Roman" w:cs="Times New Roman"/>
        </w:rPr>
        <w:t xml:space="preserve"> (201</w:t>
      </w:r>
      <w:r w:rsidR="00627A77">
        <w:rPr>
          <w:rFonts w:ascii="Times New Roman" w:hAnsi="Times New Roman" w:cs="Times New Roman"/>
        </w:rPr>
        <w:t>5</w:t>
      </w:r>
      <w:r w:rsidRPr="00F2180C">
        <w:rPr>
          <w:rFonts w:ascii="Times New Roman" w:hAnsi="Times New Roman" w:cs="Times New Roman"/>
        </w:rPr>
        <w:t>), are discussed in below:</w:t>
      </w:r>
    </w:p>
    <w:p w14:paraId="0B600A49" w14:textId="77777777" w:rsidR="00F2180C" w:rsidRPr="00F2180C" w:rsidRDefault="00F2180C" w:rsidP="007F1479">
      <w:pPr>
        <w:spacing w:line="360" w:lineRule="auto"/>
        <w:jc w:val="both"/>
        <w:rPr>
          <w:rFonts w:ascii="Times New Roman" w:hAnsi="Times New Roman" w:cs="Times New Roman"/>
        </w:rPr>
      </w:pPr>
    </w:p>
    <w:p w14:paraId="7E7750EE"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Free Food:</w:t>
      </w:r>
      <w:r w:rsidRPr="00F2180C">
        <w:rPr>
          <w:rFonts w:ascii="Times New Roman" w:hAnsi="Times New Roman" w:cs="Times New Roman"/>
        </w:rPr>
        <w:t xml:space="preserve"> Google provides food and snacks to the employees free of cost. Food on the menu is changed on daily basis to take care of employees nutrition.</w:t>
      </w:r>
    </w:p>
    <w:p w14:paraId="4268C66D" w14:textId="615E28CE"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 xml:space="preserve">Google for </w:t>
      </w:r>
      <w:r w:rsidR="0016225D" w:rsidRPr="0016225D">
        <w:rPr>
          <w:rFonts w:ascii="Times New Roman" w:hAnsi="Times New Roman" w:cs="Times New Roman"/>
          <w:b/>
        </w:rPr>
        <w:t>New-borns</w:t>
      </w:r>
      <w:r w:rsidRPr="0016225D">
        <w:rPr>
          <w:rFonts w:ascii="Times New Roman" w:hAnsi="Times New Roman" w:cs="Times New Roman"/>
          <w:b/>
        </w:rPr>
        <w:t>:</w:t>
      </w:r>
      <w:r w:rsidRPr="00F2180C">
        <w:rPr>
          <w:rFonts w:ascii="Times New Roman" w:hAnsi="Times New Roman" w:cs="Times New Roman"/>
        </w:rPr>
        <w:t xml:space="preserve"> Google provides $500 to the employees who becomes parents. This money is provided to the parents to buy babies food. </w:t>
      </w:r>
    </w:p>
    <w:p w14:paraId="48912920"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Entertainment Faculty at Work-Place:</w:t>
      </w:r>
      <w:r w:rsidRPr="00F2180C">
        <w:rPr>
          <w:rFonts w:ascii="Times New Roman" w:hAnsi="Times New Roman" w:cs="Times New Roman"/>
        </w:rPr>
        <w:t xml:space="preserve"> To help employee feel motivated, Google arranged an array of entertainment: such as swimming pool, rock-climbing wall, tennis, video games etc.  </w:t>
      </w:r>
    </w:p>
    <w:p w14:paraId="03E38F30"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Healthcare Service:</w:t>
      </w:r>
      <w:r w:rsidRPr="00F2180C">
        <w:rPr>
          <w:rFonts w:ascii="Times New Roman" w:hAnsi="Times New Roman" w:cs="Times New Roman"/>
        </w:rPr>
        <w:t xml:space="preserve"> Google ensures 100% care coverage for not only the employee but also the family members of the employee.</w:t>
      </w:r>
    </w:p>
    <w:p w14:paraId="4BF8E0C1"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Pets Park:</w:t>
      </w:r>
      <w:r w:rsidRPr="00F2180C">
        <w:rPr>
          <w:rFonts w:ascii="Times New Roman" w:hAnsi="Times New Roman" w:cs="Times New Roman"/>
        </w:rPr>
        <w:t xml:space="preserve"> If an employee has a pet that is home alone, Google allows to bring the pet at work and leave the pet at the pet park. </w:t>
      </w:r>
    </w:p>
    <w:p w14:paraId="25D32E6C"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Laundry and Car Wash Service for Employees:</w:t>
      </w:r>
      <w:r w:rsidRPr="00F2180C">
        <w:rPr>
          <w:rFonts w:ascii="Times New Roman" w:hAnsi="Times New Roman" w:cs="Times New Roman"/>
        </w:rPr>
        <w:t xml:space="preserve"> Google offers laundry service such as ironing and dry-cleaning to help employee manage some of their home related works at office. Google also provides free car wash and free oil change facilities to the employees. </w:t>
      </w:r>
    </w:p>
    <w:p w14:paraId="31A8A4B3"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757290">
        <w:rPr>
          <w:rFonts w:ascii="Times New Roman" w:hAnsi="Times New Roman" w:cs="Times New Roman"/>
          <w:b/>
        </w:rPr>
        <w:t>Private Cabins:</w:t>
      </w:r>
      <w:r w:rsidRPr="00F2180C">
        <w:rPr>
          <w:rFonts w:ascii="Times New Roman" w:hAnsi="Times New Roman" w:cs="Times New Roman"/>
        </w:rPr>
        <w:t xml:space="preserve"> Google decorated private cabins to allow employees to spend quality times with loved once during office hours. </w:t>
      </w:r>
    </w:p>
    <w:p w14:paraId="2DC33B19"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757290">
        <w:rPr>
          <w:rFonts w:ascii="Times New Roman" w:hAnsi="Times New Roman" w:cs="Times New Roman"/>
          <w:b/>
        </w:rPr>
        <w:t>Personalized Work-Place:</w:t>
      </w:r>
      <w:r w:rsidRPr="00F2180C">
        <w:rPr>
          <w:rFonts w:ascii="Times New Roman" w:hAnsi="Times New Roman" w:cs="Times New Roman"/>
        </w:rPr>
        <w:t xml:space="preserve"> Google allows employee to decorate their desk as per their wish. Employee setup the desk with personal stuffs to get homely feeling.</w:t>
      </w:r>
    </w:p>
    <w:p w14:paraId="35BF0048"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757290">
        <w:rPr>
          <w:rFonts w:ascii="Times New Roman" w:hAnsi="Times New Roman" w:cs="Times New Roman"/>
          <w:b/>
        </w:rPr>
        <w:t>Gym Facility:</w:t>
      </w:r>
      <w:r w:rsidRPr="00F2180C">
        <w:rPr>
          <w:rFonts w:ascii="Times New Roman" w:hAnsi="Times New Roman" w:cs="Times New Roman"/>
        </w:rPr>
        <w:t xml:space="preserve"> Google provide free gym facilities for the employees. Employees can even spend time at gym during office hours. </w:t>
      </w:r>
    </w:p>
    <w:p w14:paraId="7B7A8798" w14:textId="77777777" w:rsidR="00F2180C" w:rsidRPr="00F2180C" w:rsidRDefault="00F2180C" w:rsidP="007F1479">
      <w:pPr>
        <w:pStyle w:val="ListParagraph"/>
        <w:spacing w:line="360" w:lineRule="auto"/>
        <w:jc w:val="both"/>
        <w:rPr>
          <w:rFonts w:ascii="Times New Roman" w:hAnsi="Times New Roman" w:cs="Times New Roman"/>
        </w:rPr>
      </w:pPr>
    </w:p>
    <w:p w14:paraId="26B0D053"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eastAsiaTheme="minorHAnsi" w:hAnsi="Times New Roman" w:cs="Times New Roman"/>
          <w:lang w:val="en-US"/>
        </w:rPr>
        <w:t xml:space="preserve">Not only that, Google allows employee to work on flexible working hours, as well as working from home facility (Google, 2018). In order to increase diversity and provide </w:t>
      </w:r>
      <w:r w:rsidRPr="00F2180C">
        <w:rPr>
          <w:rFonts w:ascii="Times New Roman" w:eastAsiaTheme="minorHAnsi" w:hAnsi="Times New Roman" w:cs="Times New Roman"/>
          <w:lang w:val="en-US"/>
        </w:rPr>
        <w:lastRenderedPageBreak/>
        <w:t xml:space="preserve">employee freedom of work at the same time, one of the latest addition at Google is to allow employees to spend 20% of their time to work on projects of their choice. </w:t>
      </w:r>
    </w:p>
    <w:p w14:paraId="6834CE9A" w14:textId="77777777" w:rsidR="00F2180C" w:rsidRPr="00F2180C" w:rsidRDefault="00F2180C" w:rsidP="007F1479">
      <w:pPr>
        <w:spacing w:line="360" w:lineRule="auto"/>
        <w:jc w:val="both"/>
        <w:rPr>
          <w:rFonts w:ascii="Times New Roman" w:hAnsi="Times New Roman" w:cs="Times New Roman"/>
        </w:rPr>
      </w:pPr>
    </w:p>
    <w:p w14:paraId="4CE6CA9A"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 xml:space="preserve">Another organization putting extra attention to employees work-life balance is MetLife. This company is one of the world’s largest and most successful global provider of insurance, annuities and benefit schemes (MetLife, 2018). A research conducted on MetLife employees, show that implementation of workplace benefits foster employees fusion of work and life. The result shows that more than three-fourth of the employees feel more engaged to work and feels more productive. Not only that, 87% of employees feel that having a balanced work-life helps remove anxieties and creates stability. A well proposed and executed work-life balance policy can provide a pathway of work-life enrichment. 71% of employees believe that their employer trusts on them and provides work flexibility. MetLife employees are given the flexibility to work from any remote place (MetLife, 2018). On the other hand, MetLife HR management introduced three special meaningful moments for the employees. First one is family moments, which provides paternity leave for the male employees, as well as allotting bereavement time for the death of a beloved pet. Second one is cultural moments where employees get the chance to form a more human workplace through openness to traditions, cultures, faiths and social beliefs. For example: MetLife provides private facility of prayer rooms for all religion employees. Finally, personal passion moments allows a employee to show and share personal passions with other colleagues at the work place. For example: Playing guitar in an official get together party. All these activities allows MetLife employees to get relief from their work stress and enjoy some personal time with friends and family. </w:t>
      </w:r>
    </w:p>
    <w:p w14:paraId="4CF75BEC" w14:textId="77777777" w:rsidR="00F2180C" w:rsidRPr="00F2180C" w:rsidRDefault="00F2180C" w:rsidP="007F1479">
      <w:pPr>
        <w:spacing w:line="360" w:lineRule="auto"/>
        <w:jc w:val="both"/>
        <w:rPr>
          <w:rFonts w:ascii="Times New Roman" w:hAnsi="Times New Roman" w:cs="Times New Roman"/>
        </w:rPr>
      </w:pPr>
    </w:p>
    <w:p w14:paraId="488E4EBE"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 xml:space="preserve">As like Google and MetLife, Aetna also believes in a diversity based culture. However, Aetna should consider understanding the importance of specific wellbeing of personal life. According to the survey by Statista (2018) shown below, percentage of wellbeing activities by US adults have increased by some margin from the year 2016-2018. </w:t>
      </w:r>
    </w:p>
    <w:p w14:paraId="166F98FB" w14:textId="77777777" w:rsidR="00F2180C" w:rsidRPr="00F2180C" w:rsidRDefault="00F2180C" w:rsidP="00F2180C">
      <w:pPr>
        <w:spacing w:line="360" w:lineRule="auto"/>
        <w:rPr>
          <w:rFonts w:ascii="Times New Roman" w:hAnsi="Times New Roman" w:cs="Times New Roman"/>
        </w:rPr>
      </w:pPr>
    </w:p>
    <w:p w14:paraId="524C9360" w14:textId="77777777" w:rsidR="00F2180C" w:rsidRPr="00F2180C" w:rsidRDefault="00F2180C" w:rsidP="00F2180C">
      <w:pPr>
        <w:spacing w:line="360" w:lineRule="auto"/>
        <w:rPr>
          <w:rFonts w:ascii="Times New Roman" w:hAnsi="Times New Roman" w:cs="Times New Roman"/>
        </w:rPr>
      </w:pPr>
      <w:r w:rsidRPr="00F2180C">
        <w:rPr>
          <w:rFonts w:ascii="Times New Roman" w:hAnsi="Times New Roman" w:cs="Times New Roman"/>
          <w:noProof/>
          <w:lang w:val="en-US"/>
        </w:rPr>
        <w:lastRenderedPageBreak/>
        <w:drawing>
          <wp:inline distT="0" distB="0" distL="0" distR="0" wp14:anchorId="6E8CE624" wp14:editId="780840D7">
            <wp:extent cx="5291847" cy="4246245"/>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12-31 at 00.36.57.png"/>
                    <pic:cNvPicPr/>
                  </pic:nvPicPr>
                  <pic:blipFill>
                    <a:blip r:embed="rId15">
                      <a:extLst>
                        <a:ext uri="{28A0092B-C50C-407E-A947-70E740481C1C}">
                          <a14:useLocalDpi xmlns:a14="http://schemas.microsoft.com/office/drawing/2010/main" val="0"/>
                        </a:ext>
                      </a:extLst>
                    </a:blip>
                    <a:stretch>
                      <a:fillRect/>
                    </a:stretch>
                  </pic:blipFill>
                  <pic:spPr>
                    <a:xfrm>
                      <a:off x="0" y="0"/>
                      <a:ext cx="5293697" cy="4247730"/>
                    </a:xfrm>
                    <a:prstGeom prst="rect">
                      <a:avLst/>
                    </a:prstGeom>
                  </pic:spPr>
                </pic:pic>
              </a:graphicData>
            </a:graphic>
          </wp:inline>
        </w:drawing>
      </w:r>
    </w:p>
    <w:p w14:paraId="5EBE9A92" w14:textId="77777777" w:rsidR="00F2180C" w:rsidRPr="00F2180C" w:rsidRDefault="00F2180C" w:rsidP="00F2180C">
      <w:pPr>
        <w:pStyle w:val="ListParagraph"/>
        <w:spacing w:line="360" w:lineRule="auto"/>
        <w:ind w:left="1440"/>
        <w:rPr>
          <w:rFonts w:ascii="Times New Roman" w:hAnsi="Times New Roman" w:cs="Times New Roman"/>
        </w:rPr>
      </w:pPr>
    </w:p>
    <w:p w14:paraId="513CC4EE" w14:textId="77777777" w:rsidR="00F2180C" w:rsidRPr="00F2180C" w:rsidRDefault="00F2180C" w:rsidP="00757290">
      <w:pPr>
        <w:pStyle w:val="ListParagraph"/>
        <w:spacing w:line="360" w:lineRule="auto"/>
        <w:ind w:left="1440"/>
        <w:jc w:val="center"/>
        <w:rPr>
          <w:rFonts w:ascii="Times New Roman" w:hAnsi="Times New Roman" w:cs="Times New Roman"/>
        </w:rPr>
      </w:pPr>
      <w:r w:rsidRPr="00757290">
        <w:rPr>
          <w:rFonts w:ascii="Times New Roman" w:hAnsi="Times New Roman" w:cs="Times New Roman"/>
          <w:b/>
        </w:rPr>
        <w:t>Figure 4:</w:t>
      </w:r>
      <w:r w:rsidRPr="00F2180C">
        <w:rPr>
          <w:rFonts w:ascii="Times New Roman" w:hAnsi="Times New Roman" w:cs="Times New Roman"/>
        </w:rPr>
        <w:t xml:space="preserve"> Percentage of U.S. adults who stated specific wellbeing activities were important to their personal lives from 2016 to 2018.</w:t>
      </w:r>
    </w:p>
    <w:p w14:paraId="235BBBE6" w14:textId="0D4AF951" w:rsidR="00F2180C" w:rsidRPr="00F2180C" w:rsidRDefault="00757290" w:rsidP="00757290">
      <w:pPr>
        <w:pStyle w:val="ListParagraph"/>
        <w:spacing w:line="360" w:lineRule="auto"/>
        <w:ind w:left="1440"/>
        <w:rPr>
          <w:rFonts w:ascii="Times New Roman" w:hAnsi="Times New Roman" w:cs="Times New Roman"/>
        </w:rPr>
      </w:pPr>
      <w:r>
        <w:rPr>
          <w:rFonts w:ascii="Times New Roman" w:hAnsi="Times New Roman" w:cs="Times New Roman"/>
        </w:rPr>
        <w:t xml:space="preserve">                           </w:t>
      </w:r>
      <w:r w:rsidR="00F2180C" w:rsidRPr="00757290">
        <w:rPr>
          <w:rFonts w:ascii="Times New Roman" w:hAnsi="Times New Roman" w:cs="Times New Roman"/>
          <w:b/>
        </w:rPr>
        <w:t>Source:</w:t>
      </w:r>
      <w:r w:rsidR="00F2180C" w:rsidRPr="00F2180C">
        <w:rPr>
          <w:rFonts w:ascii="Times New Roman" w:hAnsi="Times New Roman" w:cs="Times New Roman"/>
        </w:rPr>
        <w:t xml:space="preserve"> Statista (2018)</w:t>
      </w:r>
    </w:p>
    <w:p w14:paraId="11442D71" w14:textId="77777777" w:rsidR="00F2180C" w:rsidRPr="00F2180C" w:rsidRDefault="00F2180C" w:rsidP="00F2180C">
      <w:pPr>
        <w:pStyle w:val="ListParagraph"/>
        <w:spacing w:line="360" w:lineRule="auto"/>
        <w:ind w:left="1440"/>
        <w:rPr>
          <w:rFonts w:ascii="Times New Roman" w:hAnsi="Times New Roman" w:cs="Times New Roman"/>
        </w:rPr>
      </w:pPr>
    </w:p>
    <w:p w14:paraId="7F8FF514" w14:textId="34F91F9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 xml:space="preserve">If US organizations can provide a </w:t>
      </w:r>
      <w:r w:rsidR="00757290" w:rsidRPr="00F2180C">
        <w:rPr>
          <w:rFonts w:ascii="Times New Roman" w:hAnsi="Times New Roman" w:cs="Times New Roman"/>
        </w:rPr>
        <w:t>well-balanced</w:t>
      </w:r>
      <w:r w:rsidRPr="00F2180C">
        <w:rPr>
          <w:rFonts w:ascii="Times New Roman" w:hAnsi="Times New Roman" w:cs="Times New Roman"/>
        </w:rPr>
        <w:t xml:space="preserve"> work-life policy to the employees, then we can hope that the above shown percentage will have positive increase in the 2019, which will result in a overall better outcome for the organizations.</w:t>
      </w:r>
    </w:p>
    <w:p w14:paraId="50BA06D6" w14:textId="77777777" w:rsidR="00F2180C" w:rsidRPr="00F2180C" w:rsidRDefault="00F2180C" w:rsidP="007F1479">
      <w:pPr>
        <w:pStyle w:val="NormalWeb"/>
        <w:shd w:val="clear" w:color="auto" w:fill="FFFFFF"/>
        <w:spacing w:before="0" w:beforeAutospacing="0" w:after="0" w:afterAutospacing="0" w:line="360" w:lineRule="auto"/>
        <w:jc w:val="both"/>
        <w:rPr>
          <w:color w:val="333333"/>
        </w:rPr>
      </w:pPr>
    </w:p>
    <w:p w14:paraId="0BA52247" w14:textId="77777777" w:rsidR="00F2180C" w:rsidRPr="00F2180C" w:rsidRDefault="00F2180C" w:rsidP="007F1479">
      <w:pPr>
        <w:pStyle w:val="NormalWeb"/>
        <w:shd w:val="clear" w:color="auto" w:fill="FFFFFF"/>
        <w:spacing w:before="0" w:beforeAutospacing="0" w:after="0" w:afterAutospacing="0" w:line="360" w:lineRule="auto"/>
        <w:jc w:val="both"/>
        <w:rPr>
          <w:color w:val="333333"/>
        </w:rPr>
      </w:pPr>
      <w:r w:rsidRPr="00F2180C">
        <w:rPr>
          <w:color w:val="333333"/>
        </w:rPr>
        <w:t>According to Forbes (2018), the below table shows the ranking of 10 top companies for work-life balance 2018:</w:t>
      </w:r>
    </w:p>
    <w:p w14:paraId="5920ABCC" w14:textId="77777777" w:rsidR="00F2180C" w:rsidRPr="00F2180C" w:rsidRDefault="00F2180C" w:rsidP="00F2180C">
      <w:pPr>
        <w:pStyle w:val="NormalWeb"/>
        <w:shd w:val="clear" w:color="auto" w:fill="FFFFFF"/>
        <w:spacing w:before="0" w:beforeAutospacing="0" w:after="0" w:afterAutospacing="0" w:line="360" w:lineRule="auto"/>
        <w:rPr>
          <w:color w:val="333333"/>
        </w:rPr>
      </w:pPr>
    </w:p>
    <w:tbl>
      <w:tblPr>
        <w:tblStyle w:val="TableGrid"/>
        <w:tblW w:w="0" w:type="auto"/>
        <w:tblInd w:w="1696" w:type="dxa"/>
        <w:tblLook w:val="04A0" w:firstRow="1" w:lastRow="0" w:firstColumn="1" w:lastColumn="0" w:noHBand="0" w:noVBand="1"/>
      </w:tblPr>
      <w:tblGrid>
        <w:gridCol w:w="1030"/>
        <w:gridCol w:w="2798"/>
      </w:tblGrid>
      <w:tr w:rsidR="00F2180C" w:rsidRPr="00F2180C" w14:paraId="056ABB26" w14:textId="77777777" w:rsidTr="00090B20">
        <w:tc>
          <w:tcPr>
            <w:tcW w:w="1030" w:type="dxa"/>
          </w:tcPr>
          <w:p w14:paraId="556B9F2E"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Ranking</w:t>
            </w:r>
          </w:p>
        </w:tc>
        <w:tc>
          <w:tcPr>
            <w:tcW w:w="2798" w:type="dxa"/>
          </w:tcPr>
          <w:p w14:paraId="1CC67B09"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Company</w:t>
            </w:r>
          </w:p>
        </w:tc>
      </w:tr>
      <w:tr w:rsidR="00F2180C" w:rsidRPr="00F2180C" w14:paraId="6BFA9CB5" w14:textId="77777777" w:rsidTr="00090B20">
        <w:tc>
          <w:tcPr>
            <w:tcW w:w="1030" w:type="dxa"/>
          </w:tcPr>
          <w:p w14:paraId="6A9A6117"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1</w:t>
            </w:r>
            <w:r w:rsidRPr="00F2180C">
              <w:rPr>
                <w:color w:val="333333"/>
                <w:vertAlign w:val="superscript"/>
              </w:rPr>
              <w:t>st</w:t>
            </w:r>
          </w:p>
        </w:tc>
        <w:tc>
          <w:tcPr>
            <w:tcW w:w="2798" w:type="dxa"/>
          </w:tcPr>
          <w:p w14:paraId="3F8BA9B7"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Starbucks</w:t>
            </w:r>
          </w:p>
        </w:tc>
      </w:tr>
      <w:tr w:rsidR="00F2180C" w:rsidRPr="00F2180C" w14:paraId="51626C88" w14:textId="77777777" w:rsidTr="00090B20">
        <w:tc>
          <w:tcPr>
            <w:tcW w:w="1030" w:type="dxa"/>
          </w:tcPr>
          <w:p w14:paraId="085AB3AF"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2</w:t>
            </w:r>
            <w:r w:rsidRPr="00F2180C">
              <w:rPr>
                <w:color w:val="333333"/>
                <w:vertAlign w:val="superscript"/>
              </w:rPr>
              <w:t>nd</w:t>
            </w:r>
          </w:p>
        </w:tc>
        <w:tc>
          <w:tcPr>
            <w:tcW w:w="2798" w:type="dxa"/>
          </w:tcPr>
          <w:p w14:paraId="1AABF1A8"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Intuit</w:t>
            </w:r>
          </w:p>
        </w:tc>
      </w:tr>
      <w:tr w:rsidR="00F2180C" w:rsidRPr="00F2180C" w14:paraId="01ECDC82" w14:textId="77777777" w:rsidTr="00090B20">
        <w:tc>
          <w:tcPr>
            <w:tcW w:w="1030" w:type="dxa"/>
          </w:tcPr>
          <w:p w14:paraId="47EA8794"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3</w:t>
            </w:r>
            <w:r w:rsidRPr="00F2180C">
              <w:rPr>
                <w:color w:val="333333"/>
                <w:vertAlign w:val="superscript"/>
              </w:rPr>
              <w:t>rd</w:t>
            </w:r>
          </w:p>
        </w:tc>
        <w:tc>
          <w:tcPr>
            <w:tcW w:w="2798" w:type="dxa"/>
          </w:tcPr>
          <w:p w14:paraId="0B60215E"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Overstock.com</w:t>
            </w:r>
          </w:p>
        </w:tc>
      </w:tr>
      <w:tr w:rsidR="00F2180C" w:rsidRPr="00F2180C" w14:paraId="53E5AEEF" w14:textId="77777777" w:rsidTr="00090B20">
        <w:tc>
          <w:tcPr>
            <w:tcW w:w="1030" w:type="dxa"/>
          </w:tcPr>
          <w:p w14:paraId="76D41408"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4</w:t>
            </w:r>
            <w:r w:rsidRPr="00F2180C">
              <w:rPr>
                <w:color w:val="333333"/>
                <w:vertAlign w:val="superscript"/>
              </w:rPr>
              <w:t>th</w:t>
            </w:r>
          </w:p>
        </w:tc>
        <w:tc>
          <w:tcPr>
            <w:tcW w:w="2798" w:type="dxa"/>
          </w:tcPr>
          <w:p w14:paraId="41116893"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Expedia</w:t>
            </w:r>
          </w:p>
        </w:tc>
      </w:tr>
      <w:tr w:rsidR="00F2180C" w:rsidRPr="00F2180C" w14:paraId="46A3C939" w14:textId="77777777" w:rsidTr="00090B20">
        <w:tc>
          <w:tcPr>
            <w:tcW w:w="1030" w:type="dxa"/>
          </w:tcPr>
          <w:p w14:paraId="2D74F75E"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lastRenderedPageBreak/>
              <w:t>5</w:t>
            </w:r>
            <w:r w:rsidRPr="00F2180C">
              <w:rPr>
                <w:color w:val="333333"/>
                <w:vertAlign w:val="superscript"/>
              </w:rPr>
              <w:t>th</w:t>
            </w:r>
          </w:p>
        </w:tc>
        <w:tc>
          <w:tcPr>
            <w:tcW w:w="2798" w:type="dxa"/>
          </w:tcPr>
          <w:p w14:paraId="7B42A43E"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Costco</w:t>
            </w:r>
          </w:p>
        </w:tc>
      </w:tr>
      <w:tr w:rsidR="00F2180C" w:rsidRPr="00F2180C" w14:paraId="5621FB0A" w14:textId="77777777" w:rsidTr="00090B20">
        <w:tc>
          <w:tcPr>
            <w:tcW w:w="1030" w:type="dxa"/>
          </w:tcPr>
          <w:p w14:paraId="146B5C5D"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6</w:t>
            </w:r>
            <w:r w:rsidRPr="00F2180C">
              <w:rPr>
                <w:color w:val="333333"/>
                <w:vertAlign w:val="superscript"/>
              </w:rPr>
              <w:t>th</w:t>
            </w:r>
          </w:p>
        </w:tc>
        <w:tc>
          <w:tcPr>
            <w:tcW w:w="2798" w:type="dxa"/>
          </w:tcPr>
          <w:p w14:paraId="75C3084A"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Nevro</w:t>
            </w:r>
          </w:p>
        </w:tc>
      </w:tr>
      <w:tr w:rsidR="00F2180C" w:rsidRPr="00F2180C" w14:paraId="176FE5F9" w14:textId="77777777" w:rsidTr="00090B20">
        <w:tc>
          <w:tcPr>
            <w:tcW w:w="1030" w:type="dxa"/>
          </w:tcPr>
          <w:p w14:paraId="70A887B8"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7</w:t>
            </w:r>
            <w:r w:rsidRPr="00F2180C">
              <w:rPr>
                <w:color w:val="333333"/>
                <w:vertAlign w:val="superscript"/>
              </w:rPr>
              <w:t>th</w:t>
            </w:r>
          </w:p>
        </w:tc>
        <w:tc>
          <w:tcPr>
            <w:tcW w:w="2798" w:type="dxa"/>
          </w:tcPr>
          <w:p w14:paraId="0C6B9CED"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Alfac</w:t>
            </w:r>
          </w:p>
        </w:tc>
      </w:tr>
      <w:tr w:rsidR="00F2180C" w:rsidRPr="00F2180C" w14:paraId="14DA8BF6" w14:textId="77777777" w:rsidTr="00090B20">
        <w:tc>
          <w:tcPr>
            <w:tcW w:w="1030" w:type="dxa"/>
          </w:tcPr>
          <w:p w14:paraId="3AD64BF0"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8</w:t>
            </w:r>
            <w:r w:rsidRPr="00F2180C">
              <w:rPr>
                <w:color w:val="333333"/>
                <w:vertAlign w:val="superscript"/>
              </w:rPr>
              <w:t>th</w:t>
            </w:r>
          </w:p>
        </w:tc>
        <w:tc>
          <w:tcPr>
            <w:tcW w:w="2798" w:type="dxa"/>
          </w:tcPr>
          <w:p w14:paraId="4A2BFECB"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U-Haul</w:t>
            </w:r>
          </w:p>
        </w:tc>
      </w:tr>
      <w:tr w:rsidR="00F2180C" w:rsidRPr="00F2180C" w14:paraId="209EB68C" w14:textId="77777777" w:rsidTr="00090B20">
        <w:tc>
          <w:tcPr>
            <w:tcW w:w="1030" w:type="dxa"/>
          </w:tcPr>
          <w:p w14:paraId="1F382A85"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9</w:t>
            </w:r>
            <w:r w:rsidRPr="00F2180C">
              <w:rPr>
                <w:color w:val="333333"/>
                <w:vertAlign w:val="superscript"/>
              </w:rPr>
              <w:t>th</w:t>
            </w:r>
          </w:p>
        </w:tc>
        <w:tc>
          <w:tcPr>
            <w:tcW w:w="2798" w:type="dxa"/>
          </w:tcPr>
          <w:p w14:paraId="48C3F51A"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Whole Foods Market</w:t>
            </w:r>
          </w:p>
        </w:tc>
      </w:tr>
      <w:tr w:rsidR="00F2180C" w:rsidRPr="00F2180C" w14:paraId="3AEA4AAB" w14:textId="77777777" w:rsidTr="00090B20">
        <w:tc>
          <w:tcPr>
            <w:tcW w:w="1030" w:type="dxa"/>
          </w:tcPr>
          <w:p w14:paraId="03CDD302"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10th</w:t>
            </w:r>
          </w:p>
        </w:tc>
        <w:tc>
          <w:tcPr>
            <w:tcW w:w="2798" w:type="dxa"/>
          </w:tcPr>
          <w:p w14:paraId="0A24A568"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Zillow</w:t>
            </w:r>
          </w:p>
        </w:tc>
      </w:tr>
    </w:tbl>
    <w:p w14:paraId="493F4B53" w14:textId="5EB60457" w:rsidR="00F2180C" w:rsidRDefault="00F2180C" w:rsidP="00F2180C">
      <w:pPr>
        <w:pStyle w:val="NormalWeb"/>
        <w:shd w:val="clear" w:color="auto" w:fill="FFFFFF"/>
        <w:spacing w:before="0" w:beforeAutospacing="0" w:after="0" w:afterAutospacing="0" w:line="360" w:lineRule="auto"/>
        <w:rPr>
          <w:color w:val="333333"/>
        </w:rPr>
      </w:pPr>
    </w:p>
    <w:p w14:paraId="07D15E0B" w14:textId="018FBA72" w:rsidR="002237F1" w:rsidRDefault="002237F1" w:rsidP="002237F1">
      <w:pPr>
        <w:pStyle w:val="NormalWeb"/>
        <w:shd w:val="clear" w:color="auto" w:fill="FFFFFF"/>
        <w:spacing w:before="0" w:beforeAutospacing="0" w:after="0" w:afterAutospacing="0" w:line="360" w:lineRule="auto"/>
        <w:jc w:val="center"/>
        <w:rPr>
          <w:color w:val="333333"/>
        </w:rPr>
      </w:pPr>
      <w:r w:rsidRPr="002237F1">
        <w:rPr>
          <w:b/>
          <w:color w:val="333333"/>
        </w:rPr>
        <w:t>Table 2:</w:t>
      </w:r>
      <w:r>
        <w:rPr>
          <w:color w:val="333333"/>
        </w:rPr>
        <w:t xml:space="preserve"> Top 10 Companies of 2018 for Maintaining Work-Life Balance</w:t>
      </w:r>
    </w:p>
    <w:p w14:paraId="01F06BAE" w14:textId="6E173EA0" w:rsidR="002237F1" w:rsidRPr="00F2180C" w:rsidRDefault="002237F1" w:rsidP="002237F1">
      <w:pPr>
        <w:pStyle w:val="NormalWeb"/>
        <w:shd w:val="clear" w:color="auto" w:fill="FFFFFF"/>
        <w:spacing w:before="0" w:beforeAutospacing="0" w:after="0" w:afterAutospacing="0" w:line="360" w:lineRule="auto"/>
        <w:jc w:val="center"/>
        <w:rPr>
          <w:color w:val="333333"/>
        </w:rPr>
      </w:pPr>
      <w:r w:rsidRPr="002237F1">
        <w:rPr>
          <w:b/>
          <w:color w:val="333333"/>
        </w:rPr>
        <w:t>Source:</w:t>
      </w:r>
      <w:r>
        <w:rPr>
          <w:color w:val="333333"/>
        </w:rPr>
        <w:t xml:space="preserve"> Forbes. 2018</w:t>
      </w:r>
    </w:p>
    <w:p w14:paraId="1C399AC0" w14:textId="77777777" w:rsidR="00F2180C" w:rsidRPr="00F2180C" w:rsidRDefault="00F2180C" w:rsidP="00F2180C">
      <w:pPr>
        <w:spacing w:line="360" w:lineRule="auto"/>
        <w:rPr>
          <w:rFonts w:ascii="Times New Roman" w:eastAsiaTheme="minorHAnsi" w:hAnsi="Times New Roman" w:cs="Times New Roman"/>
          <w:lang w:val="en-US"/>
        </w:rPr>
      </w:pPr>
    </w:p>
    <w:p w14:paraId="10223B79" w14:textId="7297D0A9" w:rsidR="00757290" w:rsidRPr="00BC6DBC" w:rsidRDefault="00F2180C" w:rsidP="004239C7">
      <w:pPr>
        <w:spacing w:line="360" w:lineRule="auto"/>
        <w:jc w:val="both"/>
        <w:rPr>
          <w:rFonts w:ascii="Times New Roman" w:hAnsi="Times New Roman" w:cs="Times New Roman"/>
        </w:rPr>
      </w:pPr>
      <w:r w:rsidRPr="00F2180C">
        <w:rPr>
          <w:rFonts w:ascii="Times New Roman" w:hAnsi="Times New Roman" w:cs="Times New Roman"/>
        </w:rPr>
        <w:t>Aetna management recognizes that diversity and inclusion is their best resource and it helps Aetna to deliver a diverse workforce. However, HR management of Aetna can always compare its employee work-life balance policy with other companies to ensure and maintain the same standard or above. The top ten companies of 2018 mentioned above who have been recognized for their effort to make themselves as an example of how to carry on the work-life balance policy, should be Aetna’s compare base to make them a desired organization to work for by the c</w:t>
      </w:r>
      <w:r w:rsidR="004239C7">
        <w:rPr>
          <w:rFonts w:ascii="Times New Roman" w:hAnsi="Times New Roman" w:cs="Times New Roman"/>
        </w:rPr>
        <w:t xml:space="preserve">urrent and future employee’s. </w:t>
      </w:r>
    </w:p>
    <w:p w14:paraId="2E222242" w14:textId="6168A14C" w:rsidR="00F2180C" w:rsidRPr="00757290" w:rsidRDefault="00F2180C" w:rsidP="00757290">
      <w:pPr>
        <w:pStyle w:val="Heading1"/>
        <w:numPr>
          <w:ilvl w:val="0"/>
          <w:numId w:val="44"/>
        </w:numPr>
        <w:rPr>
          <w:sz w:val="28"/>
          <w:szCs w:val="28"/>
          <w:u w:val="single"/>
        </w:rPr>
      </w:pPr>
      <w:bookmarkStart w:id="50" w:name="_Toc534629768"/>
      <w:bookmarkStart w:id="51" w:name="_Toc534630169"/>
      <w:bookmarkStart w:id="52" w:name="_Toc534630200"/>
      <w:bookmarkStart w:id="53" w:name="_Toc534630235"/>
      <w:bookmarkStart w:id="54" w:name="_Toc534630526"/>
      <w:r w:rsidRPr="00757290">
        <w:rPr>
          <w:sz w:val="28"/>
          <w:szCs w:val="28"/>
          <w:u w:val="single"/>
        </w:rPr>
        <w:t>Recommendations:</w:t>
      </w:r>
      <w:bookmarkEnd w:id="50"/>
      <w:bookmarkEnd w:id="51"/>
      <w:bookmarkEnd w:id="52"/>
      <w:bookmarkEnd w:id="53"/>
      <w:bookmarkEnd w:id="54"/>
      <w:r w:rsidRPr="00757290">
        <w:rPr>
          <w:sz w:val="28"/>
          <w:szCs w:val="28"/>
          <w:u w:val="single"/>
        </w:rPr>
        <w:t xml:space="preserve"> </w:t>
      </w:r>
    </w:p>
    <w:p w14:paraId="18D167BA" w14:textId="10C6B9C0"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Based on the above evidences and discussions on various issues related with Aetna, following recommendations are suggested:</w:t>
      </w:r>
    </w:p>
    <w:p w14:paraId="348503BE" w14:textId="11935C02" w:rsidR="00F2180C" w:rsidRDefault="00A77C7D" w:rsidP="00A77C7D">
      <w:pPr>
        <w:pStyle w:val="Heading2"/>
        <w:rPr>
          <w:u w:val="single"/>
        </w:rPr>
      </w:pPr>
      <w:bookmarkStart w:id="55" w:name="_Toc534629769"/>
      <w:bookmarkStart w:id="56" w:name="_Toc534630170"/>
      <w:bookmarkStart w:id="57" w:name="_Toc534630201"/>
      <w:bookmarkStart w:id="58" w:name="_Toc534630236"/>
      <w:bookmarkStart w:id="59" w:name="_Toc534630527"/>
      <w:r w:rsidRPr="00A77C7D">
        <w:rPr>
          <w:u w:val="single"/>
        </w:rPr>
        <w:t xml:space="preserve">4.1) </w:t>
      </w:r>
      <w:r w:rsidR="00F2180C" w:rsidRPr="00A77C7D">
        <w:rPr>
          <w:u w:val="single"/>
        </w:rPr>
        <w:t>Recruitment Process:</w:t>
      </w:r>
      <w:bookmarkEnd w:id="55"/>
      <w:bookmarkEnd w:id="56"/>
      <w:bookmarkEnd w:id="57"/>
      <w:bookmarkEnd w:id="58"/>
      <w:bookmarkEnd w:id="59"/>
      <w:r w:rsidR="00F2180C" w:rsidRPr="00A77C7D">
        <w:rPr>
          <w:u w:val="single"/>
        </w:rPr>
        <w:t xml:space="preserve"> </w:t>
      </w:r>
    </w:p>
    <w:p w14:paraId="5D3D6FF2" w14:textId="77777777" w:rsidR="003F1A7D" w:rsidRPr="003F1A7D" w:rsidRDefault="003F1A7D" w:rsidP="003F1A7D"/>
    <w:p w14:paraId="6DED5A33" w14:textId="747B9C58" w:rsidR="00F2180C" w:rsidRPr="00F2180C" w:rsidRDefault="00F2180C" w:rsidP="007F1479">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t xml:space="preserve">In this ever challenging competitive job market, Aetna still follows traditional way of recruiting employees. The five step recruitment process discussed in </w:t>
      </w:r>
      <w:r w:rsidRPr="001A009E">
        <w:rPr>
          <w:rFonts w:ascii="Times New Roman" w:hAnsi="Times New Roman" w:cs="Times New Roman"/>
        </w:rPr>
        <w:t>section 3</w:t>
      </w:r>
      <w:r w:rsidR="001A009E" w:rsidRPr="001A009E">
        <w:rPr>
          <w:rFonts w:ascii="Times New Roman" w:hAnsi="Times New Roman" w:cs="Times New Roman"/>
        </w:rPr>
        <w:t>.1</w:t>
      </w:r>
      <w:r w:rsidRPr="001A009E">
        <w:rPr>
          <w:rFonts w:ascii="Times New Roman" w:hAnsi="Times New Roman" w:cs="Times New Roman"/>
        </w:rPr>
        <w:t xml:space="preserve"> </w:t>
      </w:r>
      <w:r w:rsidR="009D47A9">
        <w:rPr>
          <w:rFonts w:ascii="Times New Roman" w:hAnsi="Times New Roman" w:cs="Times New Roman"/>
        </w:rPr>
        <w:t xml:space="preserve">is used to </w:t>
      </w:r>
      <w:r w:rsidRPr="001A009E">
        <w:rPr>
          <w:rFonts w:ascii="Times New Roman" w:hAnsi="Times New Roman" w:cs="Times New Roman"/>
        </w:rPr>
        <w:t>get</w:t>
      </w:r>
      <w:r w:rsidRPr="00F2180C">
        <w:rPr>
          <w:rFonts w:ascii="Times New Roman" w:hAnsi="Times New Roman" w:cs="Times New Roman"/>
        </w:rPr>
        <w:t xml:space="preserve"> employees recruited at Aetna but there will always be doubt about their stability. The reason being, Aetna believes in work-place diversity and recruitment through traditional way can never be enough to get the best out the applicants. An introduction of the psychometric test can be beneficial as it will help Aetna HR management to understand the personality and behaviour of the applicants. An applicant with expected score in psychometric test can be short listed for the final face-to-face interview to understand his/her fit within the diverse culture of this organization.</w:t>
      </w:r>
    </w:p>
    <w:p w14:paraId="45AA4FFC" w14:textId="0AB8B2A3" w:rsidR="00F2180C" w:rsidRPr="00F2180C" w:rsidRDefault="00F2180C" w:rsidP="007F1479">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lastRenderedPageBreak/>
        <w:t xml:space="preserve">As mentioned in </w:t>
      </w:r>
      <w:r w:rsidRPr="001A009E">
        <w:rPr>
          <w:rFonts w:ascii="Times New Roman" w:hAnsi="Times New Roman" w:cs="Times New Roman"/>
        </w:rPr>
        <w:t>section 3</w:t>
      </w:r>
      <w:r w:rsidR="001A009E" w:rsidRPr="001A009E">
        <w:rPr>
          <w:rFonts w:ascii="Times New Roman" w:hAnsi="Times New Roman" w:cs="Times New Roman"/>
        </w:rPr>
        <w:t xml:space="preserve">.1 </w:t>
      </w:r>
      <w:r w:rsidRPr="001A009E">
        <w:rPr>
          <w:rFonts w:ascii="Times New Roman" w:hAnsi="Times New Roman" w:cs="Times New Roman"/>
        </w:rPr>
        <w:t xml:space="preserve"> that</w:t>
      </w:r>
      <w:r w:rsidRPr="00F2180C">
        <w:rPr>
          <w:rFonts w:ascii="Times New Roman" w:hAnsi="Times New Roman" w:cs="Times New Roman"/>
        </w:rPr>
        <w:t xml:space="preserve"> earlier researchers found more effectiveness in internal recruitment as </w:t>
      </w:r>
      <w:r w:rsidR="00A72B12">
        <w:rPr>
          <w:rFonts w:ascii="Times New Roman" w:hAnsi="Times New Roman" w:cs="Times New Roman"/>
        </w:rPr>
        <w:t xml:space="preserve">it </w:t>
      </w:r>
      <w:r w:rsidRPr="00F2180C">
        <w:rPr>
          <w:rFonts w:ascii="Times New Roman" w:hAnsi="Times New Roman" w:cs="Times New Roman"/>
        </w:rPr>
        <w:t xml:space="preserve">helps to minimize the risk of wrong recruitment. However, as Aetna believes in organizational diversity, prioritizing internal recruitment can only hinder getting talented applicants from external sources. There should be equal right for both existing employees and potential employees who wants to be part of this organization. Aetna, HR should promote its biased free recruitment process to draw attention of talented applicants from around the world. Emphasizing on online application will surely give opportunities to international job applicants. </w:t>
      </w:r>
    </w:p>
    <w:p w14:paraId="31CB6152" w14:textId="77777777" w:rsidR="00F2180C" w:rsidRPr="00F2180C" w:rsidRDefault="00F2180C" w:rsidP="00F2180C">
      <w:pPr>
        <w:pStyle w:val="ListParagraph"/>
        <w:spacing w:line="360" w:lineRule="auto"/>
        <w:rPr>
          <w:rFonts w:ascii="Times New Roman" w:hAnsi="Times New Roman" w:cs="Times New Roman"/>
        </w:rPr>
      </w:pPr>
    </w:p>
    <w:p w14:paraId="62615A68" w14:textId="5C349A47" w:rsidR="00F2180C" w:rsidRDefault="00C15C66" w:rsidP="00C15C66">
      <w:pPr>
        <w:pStyle w:val="Heading2"/>
        <w:rPr>
          <w:u w:val="single"/>
        </w:rPr>
      </w:pPr>
      <w:bookmarkStart w:id="60" w:name="_Toc534629770"/>
      <w:bookmarkStart w:id="61" w:name="_Toc534630171"/>
      <w:bookmarkStart w:id="62" w:name="_Toc534630202"/>
      <w:bookmarkStart w:id="63" w:name="_Toc534630237"/>
      <w:bookmarkStart w:id="64" w:name="_Toc534630528"/>
      <w:r w:rsidRPr="00C15C66">
        <w:rPr>
          <w:u w:val="single"/>
        </w:rPr>
        <w:t xml:space="preserve">4.2) </w:t>
      </w:r>
      <w:r w:rsidR="00F2180C" w:rsidRPr="00C15C66">
        <w:rPr>
          <w:u w:val="single"/>
        </w:rPr>
        <w:t>Gender Equality:</w:t>
      </w:r>
      <w:bookmarkEnd w:id="60"/>
      <w:bookmarkEnd w:id="61"/>
      <w:bookmarkEnd w:id="62"/>
      <w:bookmarkEnd w:id="63"/>
      <w:bookmarkEnd w:id="64"/>
    </w:p>
    <w:p w14:paraId="690F789F" w14:textId="77777777" w:rsidR="003F1A7D" w:rsidRPr="003F1A7D" w:rsidRDefault="003F1A7D" w:rsidP="003F1A7D"/>
    <w:p w14:paraId="4BD63CE5" w14:textId="4522477A" w:rsidR="00F2180C" w:rsidRPr="00F2180C" w:rsidRDefault="00F2180C" w:rsidP="007F1479">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t xml:space="preserve">Even though Aetna is well known around the world for its diverse culture. However, one can easily get confused </w:t>
      </w:r>
      <w:r w:rsidR="00BE4B32">
        <w:rPr>
          <w:rFonts w:ascii="Times New Roman" w:hAnsi="Times New Roman" w:cs="Times New Roman"/>
        </w:rPr>
        <w:t>whether</w:t>
      </w:r>
      <w:r w:rsidRPr="00F2180C">
        <w:rPr>
          <w:rFonts w:ascii="Times New Roman" w:hAnsi="Times New Roman" w:cs="Times New Roman"/>
        </w:rPr>
        <w:t xml:space="preserve"> this organization supports women more in comparison with other gender</w:t>
      </w:r>
      <w:r w:rsidR="00E634FE">
        <w:rPr>
          <w:rFonts w:ascii="Times New Roman" w:hAnsi="Times New Roman" w:cs="Times New Roman"/>
        </w:rPr>
        <w:t>s</w:t>
      </w:r>
      <w:r w:rsidRPr="00F2180C">
        <w:rPr>
          <w:rFonts w:ascii="Times New Roman" w:hAnsi="Times New Roman" w:cs="Times New Roman"/>
        </w:rPr>
        <w:t>. As mentioned in the introduction part that about 75% of the employees are women and around 64% hold management positions. Aetna should maintain a balance between the male, female and other gender employees in the organization to create a gender equal culture.</w:t>
      </w:r>
    </w:p>
    <w:p w14:paraId="74EAF35B" w14:textId="3695C312" w:rsidR="00F2180C" w:rsidRPr="00F2180C" w:rsidRDefault="00F2180C" w:rsidP="007F1479">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t xml:space="preserve">At Aetna, there are several programs designed for women as mentioned in </w:t>
      </w:r>
      <w:r w:rsidRPr="00740640">
        <w:rPr>
          <w:rFonts w:ascii="Times New Roman" w:hAnsi="Times New Roman" w:cs="Times New Roman"/>
        </w:rPr>
        <w:t>section 3</w:t>
      </w:r>
      <w:r w:rsidR="00740640">
        <w:rPr>
          <w:rFonts w:ascii="Times New Roman" w:hAnsi="Times New Roman" w:cs="Times New Roman"/>
        </w:rPr>
        <w:t>.1</w:t>
      </w:r>
      <w:r w:rsidRPr="00740640">
        <w:rPr>
          <w:rFonts w:ascii="Times New Roman" w:hAnsi="Times New Roman" w:cs="Times New Roman"/>
        </w:rPr>
        <w:t xml:space="preserve"> but</w:t>
      </w:r>
      <w:r w:rsidRPr="00F2180C">
        <w:rPr>
          <w:rFonts w:ascii="Times New Roman" w:hAnsi="Times New Roman" w:cs="Times New Roman"/>
        </w:rPr>
        <w:t xml:space="preserve"> very few for men and LGBT groups. This can give bias feelings on employees mind and result in demotivated employees. Programs should be designed for career development of LGBT groups as well. They can be equally talented as men and women. Therefore, every employee should be given same treatment at Aetna. </w:t>
      </w:r>
    </w:p>
    <w:p w14:paraId="7486E5EA" w14:textId="77777777" w:rsidR="00F2180C" w:rsidRPr="00F2180C" w:rsidRDefault="00F2180C" w:rsidP="00F2180C">
      <w:pPr>
        <w:pStyle w:val="ListParagraph"/>
        <w:spacing w:line="360" w:lineRule="auto"/>
        <w:rPr>
          <w:rFonts w:ascii="Times New Roman" w:hAnsi="Times New Roman" w:cs="Times New Roman"/>
        </w:rPr>
      </w:pPr>
    </w:p>
    <w:p w14:paraId="762F2596" w14:textId="749AC14C" w:rsidR="00F2180C" w:rsidRDefault="00C15C66" w:rsidP="00C15C66">
      <w:pPr>
        <w:pStyle w:val="Heading2"/>
        <w:rPr>
          <w:sz w:val="24"/>
          <w:szCs w:val="24"/>
          <w:u w:val="single"/>
        </w:rPr>
      </w:pPr>
      <w:bookmarkStart w:id="65" w:name="_Toc534629771"/>
      <w:bookmarkStart w:id="66" w:name="_Toc534630172"/>
      <w:bookmarkStart w:id="67" w:name="_Toc534630203"/>
      <w:bookmarkStart w:id="68" w:name="_Toc534630238"/>
      <w:bookmarkStart w:id="69" w:name="_Toc534630529"/>
      <w:r w:rsidRPr="00C15C66">
        <w:rPr>
          <w:u w:val="single"/>
        </w:rPr>
        <w:t>4.3) Work-Life Balance for Retention</w:t>
      </w:r>
      <w:r w:rsidR="00F2180C" w:rsidRPr="00C15C66">
        <w:rPr>
          <w:sz w:val="24"/>
          <w:szCs w:val="24"/>
          <w:u w:val="single"/>
        </w:rPr>
        <w:t>:</w:t>
      </w:r>
      <w:bookmarkEnd w:id="65"/>
      <w:bookmarkEnd w:id="66"/>
      <w:bookmarkEnd w:id="67"/>
      <w:bookmarkEnd w:id="68"/>
      <w:bookmarkEnd w:id="69"/>
    </w:p>
    <w:p w14:paraId="6FF67006" w14:textId="77777777" w:rsidR="003F1A7D" w:rsidRPr="003F1A7D" w:rsidRDefault="003F1A7D" w:rsidP="003F1A7D"/>
    <w:p w14:paraId="09C1D4C5" w14:textId="7D64F869" w:rsidR="00F2180C" w:rsidRPr="00F2180C" w:rsidRDefault="00F2180C" w:rsidP="007F1479">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t xml:space="preserve">Aetna does very little exceptional things to retain their employees. Aetna should come up with similar retention policy as Ericson company mentioned </w:t>
      </w:r>
      <w:r w:rsidRPr="00F04916">
        <w:rPr>
          <w:rFonts w:ascii="Times New Roman" w:hAnsi="Times New Roman" w:cs="Times New Roman"/>
        </w:rPr>
        <w:t>in section 3.</w:t>
      </w:r>
      <w:r w:rsidR="00F04916" w:rsidRPr="00F04916">
        <w:rPr>
          <w:rFonts w:ascii="Times New Roman" w:hAnsi="Times New Roman" w:cs="Times New Roman"/>
        </w:rPr>
        <w:t>2</w:t>
      </w:r>
      <w:r w:rsidR="005B1028">
        <w:rPr>
          <w:rFonts w:ascii="Times New Roman" w:hAnsi="Times New Roman" w:cs="Times New Roman"/>
        </w:rPr>
        <w:t>.</w:t>
      </w:r>
      <w:r w:rsidR="00F04916" w:rsidRPr="00F04916">
        <w:rPr>
          <w:rFonts w:ascii="Times New Roman" w:hAnsi="Times New Roman" w:cs="Times New Roman"/>
        </w:rPr>
        <w:t xml:space="preserve"> </w:t>
      </w:r>
      <w:r w:rsidRPr="00F04916">
        <w:rPr>
          <w:rFonts w:ascii="Times New Roman" w:hAnsi="Times New Roman" w:cs="Times New Roman"/>
        </w:rPr>
        <w:t>Ericson</w:t>
      </w:r>
      <w:r w:rsidRPr="00F2180C">
        <w:rPr>
          <w:rFonts w:ascii="Times New Roman" w:hAnsi="Times New Roman" w:cs="Times New Roman"/>
        </w:rPr>
        <w:t xml:space="preserve"> company has been successful in retaining 93% of the employee just by making changes in the flexible time working policy. Whereas at Aetna, only 2% employees are allowed to work at different hours </w:t>
      </w:r>
      <w:r w:rsidRPr="00F2180C">
        <w:rPr>
          <w:rFonts w:ascii="Times New Roman" w:hAnsi="Times New Roman" w:cs="Times New Roman"/>
        </w:rPr>
        <w:lastRenderedPageBreak/>
        <w:t xml:space="preserve">as mentioned in </w:t>
      </w:r>
      <w:r w:rsidRPr="00F04916">
        <w:rPr>
          <w:rFonts w:ascii="Times New Roman" w:hAnsi="Times New Roman" w:cs="Times New Roman"/>
        </w:rPr>
        <w:t>section 3</w:t>
      </w:r>
      <w:r w:rsidR="00F04916">
        <w:rPr>
          <w:rFonts w:ascii="Times New Roman" w:hAnsi="Times New Roman" w:cs="Times New Roman"/>
        </w:rPr>
        <w:t>.3</w:t>
      </w:r>
      <w:r w:rsidRPr="00F04916">
        <w:rPr>
          <w:rFonts w:ascii="Times New Roman" w:hAnsi="Times New Roman" w:cs="Times New Roman"/>
        </w:rPr>
        <w:t xml:space="preserve">. </w:t>
      </w:r>
      <w:r w:rsidRPr="00F2180C">
        <w:rPr>
          <w:rFonts w:ascii="Times New Roman" w:hAnsi="Times New Roman" w:cs="Times New Roman"/>
        </w:rPr>
        <w:t xml:space="preserve">This is high time for Aetna HR management to work on this matter. </w:t>
      </w:r>
    </w:p>
    <w:p w14:paraId="465E25D0" w14:textId="3DC3E064" w:rsidR="00C15C66" w:rsidRPr="004239C7" w:rsidRDefault="00F2180C" w:rsidP="005B1028">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t xml:space="preserve">The percentage of employees allowed to work from home at Aetna is 15% as mentioned </w:t>
      </w:r>
      <w:r w:rsidRPr="00F04916">
        <w:rPr>
          <w:rFonts w:ascii="Times New Roman" w:hAnsi="Times New Roman" w:cs="Times New Roman"/>
        </w:rPr>
        <w:t>in section 3</w:t>
      </w:r>
      <w:r w:rsidR="00F04916">
        <w:rPr>
          <w:rFonts w:ascii="Times New Roman" w:hAnsi="Times New Roman" w:cs="Times New Roman"/>
        </w:rPr>
        <w:t>.3</w:t>
      </w:r>
      <w:r w:rsidRPr="00F2180C">
        <w:rPr>
          <w:rFonts w:ascii="Times New Roman" w:hAnsi="Times New Roman" w:cs="Times New Roman"/>
        </w:rPr>
        <w:t xml:space="preserve">. This actually contradicts the percentage of female employee working at Aetna. As many earlier research study suggests that women are in more need of working from home facility due to the amount of roles they play in personal and professional life. Therefore, Aetna HR should consider providing freedom of work to the employees. It will motivate and encourage the employees to show more commitment towards the work and the organization. </w:t>
      </w:r>
    </w:p>
    <w:p w14:paraId="33C53A4F" w14:textId="3B244EFC" w:rsidR="00F2180C" w:rsidRPr="00C15C66" w:rsidRDefault="00F2180C" w:rsidP="00C15C66">
      <w:pPr>
        <w:pStyle w:val="Heading1"/>
        <w:numPr>
          <w:ilvl w:val="0"/>
          <w:numId w:val="44"/>
        </w:numPr>
        <w:rPr>
          <w:sz w:val="28"/>
          <w:szCs w:val="28"/>
          <w:u w:val="single"/>
        </w:rPr>
      </w:pPr>
      <w:bookmarkStart w:id="70" w:name="_Toc534629772"/>
      <w:bookmarkStart w:id="71" w:name="_Toc534630173"/>
      <w:bookmarkStart w:id="72" w:name="_Toc534630204"/>
      <w:bookmarkStart w:id="73" w:name="_Toc534630239"/>
      <w:bookmarkStart w:id="74" w:name="_Toc534630530"/>
      <w:r w:rsidRPr="00C15C66">
        <w:rPr>
          <w:sz w:val="28"/>
          <w:szCs w:val="28"/>
          <w:u w:val="single"/>
        </w:rPr>
        <w:t>Conclusion:</w:t>
      </w:r>
      <w:bookmarkEnd w:id="70"/>
      <w:bookmarkEnd w:id="71"/>
      <w:bookmarkEnd w:id="72"/>
      <w:bookmarkEnd w:id="73"/>
      <w:bookmarkEnd w:id="74"/>
    </w:p>
    <w:p w14:paraId="153DC0D0" w14:textId="1E843199" w:rsidR="00C15C66" w:rsidRDefault="00F2180C" w:rsidP="004239C7">
      <w:pPr>
        <w:spacing w:line="360" w:lineRule="auto"/>
        <w:jc w:val="both"/>
        <w:rPr>
          <w:rFonts w:ascii="Times New Roman" w:hAnsi="Times New Roman" w:cs="Times New Roman"/>
        </w:rPr>
      </w:pPr>
      <w:r w:rsidRPr="00C15C66">
        <w:rPr>
          <w:rFonts w:ascii="Times New Roman" w:hAnsi="Times New Roman" w:cs="Times New Roman"/>
        </w:rPr>
        <w:t xml:space="preserve">Organizations around the world are now highlighting and promoting themselves with two agendas: 1) </w:t>
      </w:r>
      <w:r w:rsidR="00B10E07" w:rsidRPr="00C15C66">
        <w:rPr>
          <w:rFonts w:ascii="Times New Roman" w:hAnsi="Times New Roman" w:cs="Times New Roman"/>
        </w:rPr>
        <w:t>Eco-friendly</w:t>
      </w:r>
      <w:r w:rsidRPr="00C15C66">
        <w:rPr>
          <w:rFonts w:ascii="Times New Roman" w:hAnsi="Times New Roman" w:cs="Times New Roman"/>
        </w:rPr>
        <w:t xml:space="preserve"> Operations and 2) Diverse Culture. However, it is very important to understand to what extent the organizations practice and follow what they actually say. There is no doubt that Aetna as a company have been successful in setting up a diverse culture within the organization. However, every company has strengths and limitations. According to this report, it has been observed that Aetna focuses on employee development and job satisfaction. On the other hand, there is still a lot to do for HR management to make changes in the employee recruitment process. Not only that, recruitment is just the first step as mentioned earlier, the main task of the HR management is to ensure a healthy employee retention rate. That can only be possible if Aetna HR management introduces a new work-life balance policy that includes flexible working hours for the employees and working from home facility. </w:t>
      </w:r>
    </w:p>
    <w:p w14:paraId="5B9561B8" w14:textId="2A9640D2" w:rsidR="00C15C66" w:rsidRPr="00C15C66" w:rsidRDefault="00C15C66" w:rsidP="00C15C66">
      <w:pPr>
        <w:pStyle w:val="Heading1"/>
        <w:numPr>
          <w:ilvl w:val="0"/>
          <w:numId w:val="44"/>
        </w:numPr>
        <w:rPr>
          <w:sz w:val="28"/>
          <w:szCs w:val="28"/>
          <w:u w:val="single"/>
        </w:rPr>
      </w:pPr>
      <w:bookmarkStart w:id="75" w:name="_Toc534629773"/>
      <w:bookmarkStart w:id="76" w:name="_Toc534630174"/>
      <w:bookmarkStart w:id="77" w:name="_Toc534630205"/>
      <w:bookmarkStart w:id="78" w:name="_Toc534630240"/>
      <w:bookmarkStart w:id="79" w:name="_Toc534630531"/>
      <w:r w:rsidRPr="00C15C66">
        <w:rPr>
          <w:sz w:val="28"/>
          <w:szCs w:val="28"/>
          <w:u w:val="single"/>
        </w:rPr>
        <w:t>References:</w:t>
      </w:r>
      <w:bookmarkEnd w:id="75"/>
      <w:bookmarkEnd w:id="76"/>
      <w:bookmarkEnd w:id="77"/>
      <w:bookmarkEnd w:id="78"/>
      <w:bookmarkEnd w:id="79"/>
    </w:p>
    <w:p w14:paraId="0CD2B048" w14:textId="3B2CEFBC" w:rsidR="00C15C66" w:rsidRPr="00F2180C" w:rsidRDefault="00C15C66" w:rsidP="007F1479">
      <w:pPr>
        <w:pStyle w:val="NormalWeb"/>
        <w:numPr>
          <w:ilvl w:val="0"/>
          <w:numId w:val="36"/>
        </w:numPr>
        <w:spacing w:line="360" w:lineRule="auto"/>
        <w:jc w:val="both"/>
      </w:pPr>
      <w:r w:rsidRPr="00F2180C">
        <w:t xml:space="preserve">AARP Public Policy Institute (2018), </w:t>
      </w:r>
      <w:r w:rsidR="004A5138">
        <w:rPr>
          <w:i/>
        </w:rPr>
        <w:t>‘</w:t>
      </w:r>
      <w:r w:rsidRPr="004A5138">
        <w:rPr>
          <w:i/>
        </w:rPr>
        <w:t>Making work more flexible: Opportunities and evidences</w:t>
      </w:r>
      <w:r w:rsidR="004A5138">
        <w:rPr>
          <w:i/>
        </w:rPr>
        <w:t>’</w:t>
      </w:r>
      <w:r w:rsidRPr="004A5138">
        <w:rPr>
          <w:i/>
        </w:rPr>
        <w:t>.</w:t>
      </w:r>
      <w:r w:rsidRPr="00F2180C">
        <w:t xml:space="preserve"> [Online] Available from: </w:t>
      </w:r>
      <w:hyperlink r:id="rId16" w:history="1">
        <w:r w:rsidRPr="00F2180C">
          <w:rPr>
            <w:rStyle w:val="Hyperlink"/>
          </w:rPr>
          <w:t>https://assets.aarp.org/rgcenter/econ/i11_work.pdf</w:t>
        </w:r>
      </w:hyperlink>
      <w:r w:rsidRPr="00F2180C">
        <w:t xml:space="preserve"> [Accessed 22 December, 2018]</w:t>
      </w:r>
    </w:p>
    <w:p w14:paraId="09C164DE" w14:textId="3E7EBA5E" w:rsidR="00C15C66" w:rsidRPr="00F2180C" w:rsidRDefault="00C15C66" w:rsidP="007F1479">
      <w:pPr>
        <w:pStyle w:val="NormalWeb"/>
        <w:numPr>
          <w:ilvl w:val="0"/>
          <w:numId w:val="36"/>
        </w:numPr>
        <w:spacing w:line="360" w:lineRule="auto"/>
        <w:jc w:val="both"/>
      </w:pPr>
      <w:r w:rsidRPr="00F2180C">
        <w:lastRenderedPageBreak/>
        <w:t xml:space="preserve">Abbott, J., &amp; De Cieri, H. (2008). </w:t>
      </w:r>
      <w:r w:rsidR="004A5138">
        <w:rPr>
          <w:i/>
        </w:rPr>
        <w:t>‘</w:t>
      </w:r>
      <w:r w:rsidRPr="004A5138">
        <w:rPr>
          <w:i/>
        </w:rPr>
        <w:t>Influences on the provision of work–life benefits: Management and employee perspectives</w:t>
      </w:r>
      <w:r w:rsidR="004A5138">
        <w:rPr>
          <w:i/>
        </w:rPr>
        <w:t>’</w:t>
      </w:r>
      <w:r w:rsidRPr="00F2180C">
        <w:t xml:space="preserve">. Journal of Management and Organization, 14(3), 303–322. </w:t>
      </w:r>
    </w:p>
    <w:p w14:paraId="5B4760A7" w14:textId="050CC78B" w:rsidR="00C15C66" w:rsidRPr="00F2180C" w:rsidRDefault="00C15C66" w:rsidP="007F1479">
      <w:pPr>
        <w:pStyle w:val="NormalWeb"/>
        <w:numPr>
          <w:ilvl w:val="0"/>
          <w:numId w:val="36"/>
        </w:numPr>
        <w:spacing w:line="360" w:lineRule="auto"/>
        <w:jc w:val="both"/>
      </w:pPr>
      <w:r w:rsidRPr="00F2180C">
        <w:t xml:space="preserve">Adame C., Caplliure, E. and Miquel, M. (2015), </w:t>
      </w:r>
      <w:r w:rsidR="004A5138">
        <w:rPr>
          <w:i/>
        </w:rPr>
        <w:t>‘</w:t>
      </w:r>
      <w:r w:rsidRPr="004A5138">
        <w:rPr>
          <w:i/>
        </w:rPr>
        <w:t>Work–life balance and firms: A matter of women?</w:t>
      </w:r>
      <w:r w:rsidR="004A5138">
        <w:rPr>
          <w:i/>
        </w:rPr>
        <w:t>’</w:t>
      </w:r>
      <w:r w:rsidRPr="00F2180C">
        <w:t xml:space="preserve"> Journal of Business Research 69 (2016) 1379–1383 [Online] Available from: </w:t>
      </w:r>
      <w:hyperlink r:id="rId17" w:history="1">
        <w:r w:rsidRPr="00F2180C">
          <w:rPr>
            <w:rStyle w:val="Hyperlink"/>
          </w:rPr>
          <w:t>http://dx.doi.org/10.1016/j.jbusres.2015.10.111</w:t>
        </w:r>
      </w:hyperlink>
      <w:r w:rsidRPr="00F2180C">
        <w:t xml:space="preserve"> [Accessed 21 December 2018]</w:t>
      </w:r>
      <w:r w:rsidRPr="00F2180C">
        <w:rPr>
          <w:color w:val="0000FF"/>
        </w:rPr>
        <w:t xml:space="preserve"> </w:t>
      </w:r>
    </w:p>
    <w:p w14:paraId="5C53D5DC" w14:textId="77777777"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 xml:space="preserve">Aetna (2018), Go for it. [Online] Available from: </w:t>
      </w:r>
      <w:hyperlink r:id="rId18" w:history="1">
        <w:r w:rsidRPr="00F2180C">
          <w:rPr>
            <w:rStyle w:val="Hyperlink"/>
            <w:rFonts w:eastAsiaTheme="minorHAnsi"/>
            <w:lang w:val="en-US"/>
          </w:rPr>
          <w:t>https://www.aetnacareers.com/college-recruiting/</w:t>
        </w:r>
      </w:hyperlink>
      <w:r w:rsidRPr="00F2180C">
        <w:rPr>
          <w:rFonts w:eastAsiaTheme="minorHAnsi"/>
          <w:lang w:val="en-US"/>
        </w:rPr>
        <w:t xml:space="preserve"> [Accessed 20 December 2018]</w:t>
      </w:r>
    </w:p>
    <w:p w14:paraId="1740480B" w14:textId="77777777"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 xml:space="preserve">Aetna (2018), Workplace Diversity. [Online] Available from: </w:t>
      </w:r>
      <w:hyperlink r:id="rId19" w:history="1">
        <w:r w:rsidRPr="00F2180C">
          <w:rPr>
            <w:rStyle w:val="Hyperlink"/>
            <w:rFonts w:eastAsiaTheme="minorHAnsi"/>
            <w:lang w:val="en-US"/>
          </w:rPr>
          <w:t>https://www.aetna.com/about-us/diversity-inclusion/workplace-diversity.html</w:t>
        </w:r>
      </w:hyperlink>
      <w:r w:rsidRPr="00F2180C">
        <w:rPr>
          <w:rFonts w:eastAsiaTheme="minorHAnsi"/>
          <w:lang w:val="en-US"/>
        </w:rPr>
        <w:t xml:space="preserve"> [Accessed 19 December, 2018] </w:t>
      </w:r>
    </w:p>
    <w:p w14:paraId="18188FC9" w14:textId="77777777"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Aetna Beginning Right (2017), Special attention for a healthy pregnancy and baby. [Online] Available from: </w:t>
      </w:r>
      <w:hyperlink r:id="rId20" w:history="1">
        <w:r w:rsidRPr="00F2180C">
          <w:rPr>
            <w:rStyle w:val="Hyperlink"/>
            <w:rFonts w:ascii="Times New Roman" w:hAnsi="Times New Roman" w:cs="Times New Roman"/>
          </w:rPr>
          <w:t>https://www.ih-aetna.com/fcps/application/files/9714/8735/3957/beginning-right-flyer-2017.pdf</w:t>
        </w:r>
      </w:hyperlink>
      <w:r w:rsidRPr="00F2180C">
        <w:rPr>
          <w:rFonts w:ascii="Times New Roman" w:hAnsi="Times New Roman" w:cs="Times New Roman"/>
        </w:rPr>
        <w:t xml:space="preserve"> [Accessed 22 December, 2018]</w:t>
      </w:r>
    </w:p>
    <w:p w14:paraId="0150D7EF" w14:textId="5ACF924E"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Alvesson, M. &amp; Gabriel, Y. 2013. </w:t>
      </w:r>
      <w:r w:rsidR="004A5138">
        <w:rPr>
          <w:rFonts w:ascii="Times New Roman" w:eastAsia="Times New Roman" w:hAnsi="Times New Roman" w:cs="Times New Roman"/>
          <w:i/>
        </w:rPr>
        <w:t>‘</w:t>
      </w:r>
      <w:r w:rsidRPr="004A5138">
        <w:rPr>
          <w:rFonts w:ascii="Times New Roman" w:eastAsia="Times New Roman" w:hAnsi="Times New Roman" w:cs="Times New Roman"/>
          <w:i/>
        </w:rPr>
        <w:t>Beyond formulaic research: In praise of greater diversity in organizational research and publications</w:t>
      </w:r>
      <w:r w:rsidR="004A5138">
        <w:rPr>
          <w:rFonts w:ascii="Times New Roman" w:eastAsia="Times New Roman" w:hAnsi="Times New Roman" w:cs="Times New Roman"/>
          <w:i/>
        </w:rPr>
        <w:t>’</w:t>
      </w:r>
      <w:r w:rsidRPr="00F2180C">
        <w:rPr>
          <w:rFonts w:ascii="Times New Roman" w:eastAsia="Times New Roman" w:hAnsi="Times New Roman" w:cs="Times New Roman"/>
        </w:rPr>
        <w:t xml:space="preserve">. Academy of Management Learning &amp; Education, 12: 245–263. </w:t>
      </w:r>
    </w:p>
    <w:p w14:paraId="15788AFF" w14:textId="77777777" w:rsidR="00C15C66" w:rsidRPr="00F2180C" w:rsidRDefault="00C15C66" w:rsidP="007F1479">
      <w:pPr>
        <w:pStyle w:val="NormalWeb"/>
        <w:numPr>
          <w:ilvl w:val="0"/>
          <w:numId w:val="36"/>
        </w:numPr>
        <w:spacing w:line="360" w:lineRule="auto"/>
        <w:jc w:val="both"/>
      </w:pPr>
      <w:r w:rsidRPr="00F2180C">
        <w:t xml:space="preserve">Anderson, S.E., Coffey, B.S., and Byerly, R.T. (2002), </w:t>
      </w:r>
      <w:r w:rsidRPr="004A5138">
        <w:rPr>
          <w:i/>
        </w:rPr>
        <w:t>‘Formal Organizational Initiatives and Informal Workplace Practices: Link to Work-Family Conflict and Job-Related Outcomes,’</w:t>
      </w:r>
      <w:r w:rsidRPr="00F2180C">
        <w:t xml:space="preserve"> Journal of Management, 28, 6, 787–810. </w:t>
      </w:r>
    </w:p>
    <w:p w14:paraId="4C7921B1" w14:textId="2C3408B5"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Azar, S., Khan, A. and Eerde, W. (2018), </w:t>
      </w:r>
      <w:r w:rsidR="004A5138" w:rsidRPr="004A5138">
        <w:rPr>
          <w:rFonts w:ascii="Times New Roman" w:hAnsi="Times New Roman" w:cs="Times New Roman"/>
          <w:i/>
        </w:rPr>
        <w:t>‘</w:t>
      </w:r>
      <w:r w:rsidRPr="004A5138">
        <w:rPr>
          <w:rFonts w:ascii="Times New Roman" w:hAnsi="Times New Roman" w:cs="Times New Roman"/>
          <w:i/>
        </w:rPr>
        <w:t>Modelling linkages between flexible work arrangements' use and organizational outcomes</w:t>
      </w:r>
      <w:r w:rsidR="004A5138" w:rsidRPr="004A5138">
        <w:rPr>
          <w:rFonts w:ascii="Times New Roman" w:hAnsi="Times New Roman" w:cs="Times New Roman"/>
          <w:i/>
        </w:rPr>
        <w:t>’</w:t>
      </w:r>
      <w:r w:rsidRPr="00F2180C">
        <w:rPr>
          <w:rFonts w:ascii="Times New Roman" w:hAnsi="Times New Roman" w:cs="Times New Roman"/>
        </w:rPr>
        <w:t xml:space="preserve">. Journal of business research, 91, PP: 134-143. [Online] Available from: </w:t>
      </w:r>
      <w:hyperlink r:id="rId21" w:history="1">
        <w:r w:rsidRPr="00F2180C">
          <w:rPr>
            <w:rStyle w:val="Hyperlink"/>
            <w:rFonts w:ascii="Times New Roman" w:hAnsi="Times New Roman" w:cs="Times New Roman"/>
          </w:rPr>
          <w:t>https://doi.org/10.1016/j.jbusres.2018.06.004</w:t>
        </w:r>
      </w:hyperlink>
      <w:r w:rsidRPr="00F2180C">
        <w:rPr>
          <w:rFonts w:ascii="Times New Roman" w:hAnsi="Times New Roman" w:cs="Times New Roman"/>
        </w:rPr>
        <w:t xml:space="preserve"> [Accessed 18 December 2018] </w:t>
      </w:r>
    </w:p>
    <w:p w14:paraId="5E0E6C76" w14:textId="42D1DAD2"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Bagshaw, M. (2004), </w:t>
      </w:r>
      <w:r w:rsidR="004A5138" w:rsidRPr="004A5138">
        <w:rPr>
          <w:rFonts w:ascii="Times New Roman" w:hAnsi="Times New Roman" w:cs="Times New Roman"/>
          <w:i/>
        </w:rPr>
        <w:t>‘</w:t>
      </w:r>
      <w:r w:rsidRPr="004A5138">
        <w:rPr>
          <w:rFonts w:ascii="Times New Roman" w:hAnsi="Times New Roman" w:cs="Times New Roman"/>
          <w:i/>
        </w:rPr>
        <w:t>Is diversity divisive?. Journal of industrial and commercial training</w:t>
      </w:r>
      <w:r w:rsidR="004A5138" w:rsidRPr="004A5138">
        <w:rPr>
          <w:rFonts w:ascii="Times New Roman" w:hAnsi="Times New Roman" w:cs="Times New Roman"/>
          <w:i/>
        </w:rPr>
        <w:t>’</w:t>
      </w:r>
      <w:r w:rsidRPr="00F2180C">
        <w:rPr>
          <w:rFonts w:ascii="Times New Roman" w:hAnsi="Times New Roman" w:cs="Times New Roman"/>
        </w:rPr>
        <w:t>, 36(4): pp.153-157</w:t>
      </w:r>
    </w:p>
    <w:p w14:paraId="6A63D543" w14:textId="0F20DFA5"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 xml:space="preserve">Bidwell, M. (2011), </w:t>
      </w:r>
      <w:r w:rsidR="004A5138" w:rsidRPr="004A5138">
        <w:rPr>
          <w:rFonts w:eastAsiaTheme="minorHAnsi"/>
          <w:i/>
          <w:lang w:val="en-US"/>
        </w:rPr>
        <w:t>‘</w:t>
      </w:r>
      <w:r w:rsidRPr="004A5138">
        <w:rPr>
          <w:rFonts w:eastAsiaTheme="minorHAnsi"/>
          <w:i/>
          <w:lang w:val="en-US"/>
        </w:rPr>
        <w:t>Paying more to get less: The effects of external hiring versus internal mobility.</w:t>
      </w:r>
      <w:r w:rsidR="004A5138" w:rsidRPr="004A5138">
        <w:rPr>
          <w:rFonts w:eastAsiaTheme="minorHAnsi"/>
          <w:i/>
          <w:lang w:val="en-US"/>
        </w:rPr>
        <w:t>’</w:t>
      </w:r>
      <w:r w:rsidRPr="00F2180C">
        <w:rPr>
          <w:rFonts w:eastAsiaTheme="minorHAnsi"/>
          <w:lang w:val="en-US"/>
        </w:rPr>
        <w:t xml:space="preserve"> Administrative Science Quarterly 56:3, PP: 369–407. </w:t>
      </w:r>
    </w:p>
    <w:p w14:paraId="12F968D9" w14:textId="547CC6A2"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lastRenderedPageBreak/>
        <w:t xml:space="preserve">Blake, R. (2006). </w:t>
      </w:r>
      <w:r w:rsidR="004A5138">
        <w:rPr>
          <w:rFonts w:ascii="Times New Roman" w:eastAsia="Times New Roman" w:hAnsi="Times New Roman" w:cs="Times New Roman"/>
        </w:rPr>
        <w:t>‘</w:t>
      </w:r>
      <w:r w:rsidRPr="004A5138">
        <w:rPr>
          <w:rFonts w:ascii="Times New Roman" w:eastAsia="Times New Roman" w:hAnsi="Times New Roman" w:cs="Times New Roman"/>
          <w:i/>
        </w:rPr>
        <w:t>To retain or not to retain?</w:t>
      </w:r>
      <w:r w:rsidR="004A5138">
        <w:rPr>
          <w:rFonts w:ascii="Times New Roman" w:eastAsia="Times New Roman" w:hAnsi="Times New Roman" w:cs="Times New Roman"/>
          <w:i/>
        </w:rPr>
        <w:t>’</w:t>
      </w:r>
      <w:r w:rsidRPr="00F2180C">
        <w:rPr>
          <w:rFonts w:ascii="Times New Roman" w:eastAsia="Times New Roman" w:hAnsi="Times New Roman" w:cs="Times New Roman"/>
        </w:rPr>
        <w:t xml:space="preserve"> Multinational rms and technical labour</w:t>
      </w:r>
      <w:r w:rsidRPr="00F2180C">
        <w:rPr>
          <w:rFonts w:ascii="Times New Roman" w:eastAsia="Times New Roman" w:hAnsi="Times New Roman" w:cs="Times New Roman"/>
          <w:iCs/>
        </w:rPr>
        <w:t>. Human Resource Management Journal, 5</w:t>
      </w:r>
      <w:r w:rsidRPr="00F2180C">
        <w:rPr>
          <w:rFonts w:ascii="Times New Roman" w:eastAsia="Times New Roman" w:hAnsi="Times New Roman" w:cs="Times New Roman"/>
        </w:rPr>
        <w:t xml:space="preserve">(5), 46-53. </w:t>
      </w:r>
    </w:p>
    <w:p w14:paraId="053809D4" w14:textId="7C2ED300"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Bloom, N., &amp; Van Reenen, J. (2006). </w:t>
      </w:r>
      <w:r w:rsidR="004A5138" w:rsidRPr="004A5138">
        <w:rPr>
          <w:rFonts w:ascii="Times New Roman" w:eastAsia="Times New Roman" w:hAnsi="Times New Roman" w:cs="Times New Roman"/>
          <w:i/>
        </w:rPr>
        <w:t>‘</w:t>
      </w:r>
      <w:r w:rsidRPr="004A5138">
        <w:rPr>
          <w:rFonts w:ascii="Times New Roman" w:eastAsia="Times New Roman" w:hAnsi="Times New Roman" w:cs="Times New Roman"/>
          <w:i/>
        </w:rPr>
        <w:t>Management practices, work-life balance, and pro- ductivity: A review of some recent evidence</w:t>
      </w:r>
      <w:r w:rsidR="004A5138" w:rsidRPr="004A5138">
        <w:rPr>
          <w:rFonts w:ascii="Times New Roman" w:eastAsia="Times New Roman" w:hAnsi="Times New Roman" w:cs="Times New Roman"/>
          <w:i/>
        </w:rPr>
        <w:t>’</w:t>
      </w:r>
      <w:r w:rsidRPr="004A5138">
        <w:rPr>
          <w:rFonts w:ascii="Times New Roman" w:eastAsia="Times New Roman" w:hAnsi="Times New Roman" w:cs="Times New Roman"/>
          <w:i/>
        </w:rPr>
        <w:t>.</w:t>
      </w:r>
      <w:r w:rsidRPr="00F2180C">
        <w:rPr>
          <w:rFonts w:ascii="Times New Roman" w:eastAsia="Times New Roman" w:hAnsi="Times New Roman" w:cs="Times New Roman"/>
        </w:rPr>
        <w:t xml:space="preserve"> Oxford Review of Economic Policy, 22(4), 457–482. </w:t>
      </w:r>
    </w:p>
    <w:p w14:paraId="51DDB7F2" w14:textId="16296767" w:rsidR="00C15C66" w:rsidRPr="00F2180C" w:rsidRDefault="00C15C66" w:rsidP="007F1479">
      <w:pPr>
        <w:pStyle w:val="NormalWeb"/>
        <w:numPr>
          <w:ilvl w:val="0"/>
          <w:numId w:val="36"/>
        </w:numPr>
        <w:shd w:val="clear" w:color="auto" w:fill="FFFFFF"/>
        <w:spacing w:line="360" w:lineRule="auto"/>
        <w:jc w:val="both"/>
        <w:rPr>
          <w:rFonts w:eastAsiaTheme="minorHAnsi"/>
          <w:lang w:val="en-US"/>
        </w:rPr>
      </w:pPr>
      <w:r w:rsidRPr="00F2180C">
        <w:rPr>
          <w:rFonts w:eastAsiaTheme="minorHAnsi"/>
          <w:lang w:val="en-US"/>
        </w:rPr>
        <w:t xml:space="preserve">Boglarsky, C. A., &amp; Kwantes, C. T. (2004, June). </w:t>
      </w:r>
      <w:r w:rsidR="00607368" w:rsidRPr="00607368">
        <w:rPr>
          <w:rFonts w:eastAsiaTheme="minorHAnsi"/>
          <w:i/>
          <w:lang w:val="en-US"/>
        </w:rPr>
        <w:t>‘</w:t>
      </w:r>
      <w:r w:rsidRPr="00607368">
        <w:rPr>
          <w:rFonts w:eastAsiaTheme="minorHAnsi"/>
          <w:i/>
          <w:lang w:val="en-US"/>
        </w:rPr>
        <w:t>Ideal and actual culture: How different is too dif- ferent?</w:t>
      </w:r>
      <w:r w:rsidR="00607368" w:rsidRPr="00607368">
        <w:rPr>
          <w:rFonts w:eastAsiaTheme="minorHAnsi"/>
          <w:i/>
          <w:lang w:val="en-US"/>
        </w:rPr>
        <w:t>’</w:t>
      </w:r>
      <w:r w:rsidRPr="00F2180C">
        <w:rPr>
          <w:rFonts w:eastAsiaTheme="minorHAnsi"/>
          <w:lang w:val="en-US"/>
        </w:rPr>
        <w:t xml:space="preserve"> Paper presented at the 65th Annual Conference of the Canadian Psychological Association, St. John’s, Newfoundland. </w:t>
      </w:r>
    </w:p>
    <w:p w14:paraId="41E6A604" w14:textId="5F300930" w:rsidR="00C15C66" w:rsidRPr="00F2180C" w:rsidRDefault="00C15C66" w:rsidP="007F1479">
      <w:pPr>
        <w:pStyle w:val="ListParagraph"/>
        <w:numPr>
          <w:ilvl w:val="0"/>
          <w:numId w:val="36"/>
        </w:numPr>
        <w:spacing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Breaugh, J. A., Macan, T. H., &amp; Grambow, D. M. (2008). </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Employee recruitment: Current knowledge and directions for future research.</w:t>
      </w:r>
      <w:r w:rsidR="00607368" w:rsidRPr="00607368">
        <w:rPr>
          <w:rFonts w:ascii="Times New Roman" w:eastAsia="Times New Roman" w:hAnsi="Times New Roman" w:cs="Times New Roman"/>
          <w:i/>
        </w:rPr>
        <w:t>’</w:t>
      </w:r>
      <w:r w:rsidRPr="00F2180C">
        <w:rPr>
          <w:rFonts w:ascii="Times New Roman" w:eastAsia="Times New Roman" w:hAnsi="Times New Roman" w:cs="Times New Roman"/>
        </w:rPr>
        <w:t xml:space="preserve"> In G. P. Hodgkinson &amp; J. K. Ford (Eds.), International Review of Industrial and Organizational Psychology, vol. 23. (pp. 45−82)New York: John Wiley &amp; Sons.</w:t>
      </w:r>
    </w:p>
    <w:p w14:paraId="487BBEE5" w14:textId="0DAF2223" w:rsidR="00C15C66" w:rsidRPr="00F2180C" w:rsidRDefault="00C15C66" w:rsidP="007F1479">
      <w:pPr>
        <w:pStyle w:val="ListParagraph"/>
        <w:numPr>
          <w:ilvl w:val="0"/>
          <w:numId w:val="36"/>
        </w:numPr>
        <w:shd w:val="clear" w:color="auto" w:fill="FFFFFF"/>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Brown, W. A., &amp; Yoshioka, C. F. (2003). </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Mission attachment and satisfaction as factors in employee retention.</w:t>
      </w:r>
      <w:r w:rsidR="00607368" w:rsidRPr="00607368">
        <w:rPr>
          <w:rFonts w:ascii="Times New Roman" w:eastAsia="Times New Roman" w:hAnsi="Times New Roman" w:cs="Times New Roman"/>
          <w:i/>
        </w:rPr>
        <w:t>’</w:t>
      </w:r>
      <w:r w:rsidRPr="00F2180C">
        <w:rPr>
          <w:rFonts w:ascii="Times New Roman" w:eastAsia="Times New Roman" w:hAnsi="Times New Roman" w:cs="Times New Roman"/>
        </w:rPr>
        <w:t xml:space="preserve"> Nonprofit Management and Leadership, 14(1), 5–18. </w:t>
      </w:r>
    </w:p>
    <w:p w14:paraId="4E57300E" w14:textId="73CB2500"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Business Insider (2018), Silicon Valley techies get free food and dazzling offices, but they are not very loyal. [Online] Available from: </w:t>
      </w:r>
      <w:hyperlink r:id="rId22" w:history="1">
        <w:r w:rsidRPr="00F2180C">
          <w:rPr>
            <w:rStyle w:val="Hyperlink"/>
            <w:rFonts w:ascii="Times New Roman" w:hAnsi="Times New Roman" w:cs="Times New Roman"/>
          </w:rPr>
          <w:t>https://www.businessinsider.com/average-employee-tenure-retention-at-top-tech-companies-2018-4?r=US&amp;IR=T</w:t>
        </w:r>
      </w:hyperlink>
      <w:r w:rsidRPr="00F2180C">
        <w:rPr>
          <w:rFonts w:ascii="Times New Roman" w:hAnsi="Times New Roman" w:cs="Times New Roman"/>
        </w:rPr>
        <w:t xml:space="preserve"> [Accessed 20 Decemeber, 2018]</w:t>
      </w:r>
    </w:p>
    <w:p w14:paraId="01DB7343" w14:textId="6AF72D4C"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Carnicer, M.P., Martínez, A., Pérez, M., &amp; Vela, M.J. (2004). </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Work–family conflict in a southern European country: The influence of job-related and non-related factors</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w:t>
      </w:r>
      <w:r w:rsidRPr="00F2180C">
        <w:rPr>
          <w:rFonts w:ascii="Times New Roman" w:eastAsia="Times New Roman" w:hAnsi="Times New Roman" w:cs="Times New Roman"/>
        </w:rPr>
        <w:t xml:space="preserve"> Journal of Managerial Psychology, 19(5), 466–481. </w:t>
      </w:r>
    </w:p>
    <w:p w14:paraId="5AE19393" w14:textId="55BFB04F"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Cascio, W. F. (2000). </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iCs/>
        </w:rPr>
        <w:t>Re-inventing the workplace: How business and employers can both win</w:t>
      </w:r>
      <w:r w:rsidR="00607368" w:rsidRPr="00607368">
        <w:rPr>
          <w:rFonts w:ascii="Times New Roman" w:eastAsia="Times New Roman" w:hAnsi="Times New Roman" w:cs="Times New Roman"/>
          <w:i/>
        </w:rPr>
        <w:t>.’</w:t>
      </w:r>
      <w:r w:rsidRPr="00F2180C">
        <w:rPr>
          <w:rFonts w:ascii="Times New Roman" w:eastAsia="Times New Roman" w:hAnsi="Times New Roman" w:cs="Times New Roman"/>
        </w:rPr>
        <w:t xml:space="preserve"> Washington, DC: Brookings Institution. </w:t>
      </w:r>
    </w:p>
    <w:p w14:paraId="1AE75E20" w14:textId="4A73547E" w:rsidR="00C15C66" w:rsidRPr="00F2180C" w:rsidRDefault="00C15C66" w:rsidP="007F1479">
      <w:pPr>
        <w:pStyle w:val="NormalWeb"/>
        <w:numPr>
          <w:ilvl w:val="0"/>
          <w:numId w:val="36"/>
        </w:numPr>
        <w:spacing w:line="360" w:lineRule="auto"/>
        <w:jc w:val="both"/>
      </w:pPr>
      <w:r w:rsidRPr="00F2180C">
        <w:t xml:space="preserve">Chandra, V. (2012), </w:t>
      </w:r>
      <w:r w:rsidR="00607368" w:rsidRPr="00607368">
        <w:rPr>
          <w:i/>
        </w:rPr>
        <w:t>‘</w:t>
      </w:r>
      <w:r w:rsidRPr="00607368">
        <w:rPr>
          <w:i/>
        </w:rPr>
        <w:t>Work–life balance: eastern and western perspectives.</w:t>
      </w:r>
      <w:r w:rsidR="00607368" w:rsidRPr="00607368">
        <w:rPr>
          <w:i/>
        </w:rPr>
        <w:t>’</w:t>
      </w:r>
      <w:r w:rsidRPr="00F2180C">
        <w:t xml:space="preserve"> The International Journal of Human Resource Management, 23:5, 1040-1056. [Online] Available from: </w:t>
      </w:r>
      <w:hyperlink r:id="rId23" w:history="1">
        <w:r w:rsidRPr="00F2180C">
          <w:rPr>
            <w:rStyle w:val="Hyperlink"/>
          </w:rPr>
          <w:t>https://doi.org/10.1080/09585192.2012.651339</w:t>
        </w:r>
      </w:hyperlink>
      <w:r w:rsidRPr="00F2180C">
        <w:t>[Accessed 22 December 2018]</w:t>
      </w:r>
    </w:p>
    <w:p w14:paraId="3912B570" w14:textId="64DCC895"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Chapman, D. S., Uggerslev, K. L., Carroll, S. A., Piasentin, K. A., &amp; Jones, D. A. (2005). </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Applicant attraction to organizations and job choice: A meta-</w:t>
      </w:r>
      <w:r w:rsidRPr="00607368">
        <w:rPr>
          <w:rFonts w:ascii="Times New Roman" w:eastAsia="Times New Roman" w:hAnsi="Times New Roman" w:cs="Times New Roman"/>
          <w:i/>
        </w:rPr>
        <w:lastRenderedPageBreak/>
        <w:t>analytic review of the correlates of recruiting outcomes.</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 xml:space="preserve"> </w:t>
      </w:r>
      <w:r w:rsidRPr="00F2180C">
        <w:rPr>
          <w:rFonts w:ascii="Times New Roman" w:eastAsia="Times New Roman" w:hAnsi="Times New Roman" w:cs="Times New Roman"/>
        </w:rPr>
        <w:t>Journal of Applied Psychology, 90, 928−944.</w:t>
      </w:r>
    </w:p>
    <w:p w14:paraId="1DC74BED" w14:textId="77777777" w:rsidR="00C15C66" w:rsidRPr="00F2180C" w:rsidRDefault="00C15C66" w:rsidP="007F1479">
      <w:pPr>
        <w:pStyle w:val="NormalWeb"/>
        <w:numPr>
          <w:ilvl w:val="0"/>
          <w:numId w:val="36"/>
        </w:numPr>
        <w:spacing w:line="360" w:lineRule="auto"/>
        <w:jc w:val="both"/>
      </w:pPr>
      <w:r w:rsidRPr="00F2180C">
        <w:t xml:space="preserve">Chen, S. and Chippendale, T. (2018), </w:t>
      </w:r>
      <w:hyperlink r:id="rId24" w:tooltip="Click to search for more items from this journal" w:history="1">
        <w:r w:rsidRPr="00F2180C">
          <w:rPr>
            <w:bCs/>
          </w:rPr>
          <w:t>The American Journal of Occupational Therapy</w:t>
        </w:r>
      </w:hyperlink>
      <w:r w:rsidRPr="00F2180C">
        <w:rPr>
          <w:bCs/>
        </w:rPr>
        <w:t>; Bethesda</w:t>
      </w:r>
      <w:hyperlink r:id="rId25" w:tooltip="Click to search for more items from this issue" w:history="1">
        <w:r w:rsidRPr="00F2180C">
          <w:rPr>
            <w:bCs/>
          </w:rPr>
          <w:t> Vol. 72, Iss. 4, </w:t>
        </w:r>
      </w:hyperlink>
      <w:r w:rsidRPr="00F2180C">
        <w:rPr>
          <w:bCs/>
        </w:rPr>
        <w:t xml:space="preserve"> (Jul/Aug 2018): 1-5. [Online] Available from: </w:t>
      </w:r>
      <w:hyperlink r:id="rId26" w:history="1">
        <w:r w:rsidRPr="00F2180C">
          <w:rPr>
            <w:rStyle w:val="Hyperlink"/>
            <w:bCs/>
          </w:rPr>
          <w:t>https://search-proquest-com.ezproxy.uwtsd.ac.uk/docview/2063384906/fulltextPDF/8AA777D7C6A042ECPQ/1?accountid=130472</w:t>
        </w:r>
      </w:hyperlink>
      <w:r w:rsidRPr="00F2180C">
        <w:rPr>
          <w:bCs/>
        </w:rPr>
        <w:t xml:space="preserve"> </w:t>
      </w:r>
      <w:r w:rsidRPr="00F2180C">
        <w:t>[Accessed 22 December 2018]</w:t>
      </w:r>
    </w:p>
    <w:p w14:paraId="1FF11150" w14:textId="71174D14"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Compton R.L., B. Morrissey, and N. A. Nankervis. 2014.</w:t>
      </w:r>
      <w:r w:rsidR="00607368">
        <w:rPr>
          <w:rFonts w:eastAsiaTheme="minorHAnsi"/>
          <w:lang w:val="en-US"/>
        </w:rPr>
        <w:t xml:space="preserve"> </w:t>
      </w:r>
      <w:r w:rsidR="00607368" w:rsidRPr="00607368">
        <w:rPr>
          <w:rFonts w:eastAsiaTheme="minorHAnsi"/>
          <w:i/>
          <w:lang w:val="en-US"/>
        </w:rPr>
        <w:t>‘</w:t>
      </w:r>
      <w:r w:rsidRPr="00607368">
        <w:rPr>
          <w:rFonts w:eastAsiaTheme="minorHAnsi"/>
          <w:i/>
          <w:lang w:val="en-US"/>
        </w:rPr>
        <w:t>Effective Recruitment and Selection Practices</w:t>
      </w:r>
      <w:r w:rsidR="00607368" w:rsidRPr="00607368">
        <w:rPr>
          <w:rFonts w:eastAsiaTheme="minorHAnsi"/>
          <w:i/>
          <w:lang w:val="en-US"/>
        </w:rPr>
        <w:t>’</w:t>
      </w:r>
      <w:r w:rsidRPr="00607368">
        <w:rPr>
          <w:rFonts w:eastAsiaTheme="minorHAnsi"/>
          <w:i/>
          <w:lang w:val="en-US"/>
        </w:rPr>
        <w:t>.</w:t>
      </w:r>
      <w:r w:rsidRPr="00F2180C">
        <w:rPr>
          <w:rFonts w:eastAsiaTheme="minorHAnsi"/>
          <w:lang w:val="en-US"/>
        </w:rPr>
        <w:t xml:space="preserve"> Australia: CCH Australia Limited. ISBN: 978-1-925091-15-1. </w:t>
      </w:r>
    </w:p>
    <w:p w14:paraId="7E31F55D" w14:textId="5C9FA216"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Cross, C. (2010). </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Barriers to the executive suite: Evidence from Ireland.</w:t>
      </w:r>
      <w:r w:rsidR="00607368">
        <w:rPr>
          <w:rFonts w:ascii="Times New Roman" w:eastAsia="Times New Roman" w:hAnsi="Times New Roman" w:cs="Times New Roman"/>
        </w:rPr>
        <w:t>’</w:t>
      </w:r>
      <w:r w:rsidRPr="00F2180C">
        <w:rPr>
          <w:rFonts w:ascii="Times New Roman" w:eastAsia="Times New Roman" w:hAnsi="Times New Roman" w:cs="Times New Roman"/>
        </w:rPr>
        <w:t xml:space="preserve"> Leadership and Organization Development Journal, 31(2), 104–119. </w:t>
      </w:r>
    </w:p>
    <w:p w14:paraId="5D9EF6AE" w14:textId="1CFE1DDE" w:rsidR="00C15C66" w:rsidRPr="00F2180C" w:rsidRDefault="00C15C66" w:rsidP="007F1479">
      <w:pPr>
        <w:pStyle w:val="NormalWeb"/>
        <w:numPr>
          <w:ilvl w:val="0"/>
          <w:numId w:val="36"/>
        </w:numPr>
        <w:spacing w:line="360" w:lineRule="auto"/>
        <w:jc w:val="both"/>
      </w:pPr>
      <w:r w:rsidRPr="00F2180C">
        <w:t>Daverth, W., Hyde, P. &amp; Cassell, C. (2016)</w:t>
      </w:r>
      <w:r w:rsidR="00607368">
        <w:t xml:space="preserve">, </w:t>
      </w:r>
      <w:r w:rsidR="00607368" w:rsidRPr="00607368">
        <w:rPr>
          <w:i/>
        </w:rPr>
        <w:t>‘</w:t>
      </w:r>
      <w:r w:rsidRPr="00607368">
        <w:rPr>
          <w:i/>
        </w:rPr>
        <w:t>Uptake of organisational work–life balance opportunities: the context of support</w:t>
      </w:r>
      <w:r w:rsidR="00607368" w:rsidRPr="00607368">
        <w:rPr>
          <w:i/>
        </w:rPr>
        <w:t>’</w:t>
      </w:r>
      <w:r w:rsidRPr="00F2180C">
        <w:t xml:space="preserve">, The International Journal of Human Resource Management, 27:15, 1710-1729, [Online] Available from: </w:t>
      </w:r>
      <w:hyperlink r:id="rId27" w:history="1">
        <w:r w:rsidRPr="00F2180C">
          <w:rPr>
            <w:rStyle w:val="Hyperlink"/>
          </w:rPr>
          <w:t>https://doi.org/10.1080/09585192.2015.1075567</w:t>
        </w:r>
      </w:hyperlink>
      <w:r w:rsidRPr="00F2180C">
        <w:t xml:space="preserve"> [Accessed 18 December, 2018] </w:t>
      </w:r>
    </w:p>
    <w:p w14:paraId="366A61D4" w14:textId="77777777" w:rsidR="00C15C66" w:rsidRPr="00F2180C" w:rsidRDefault="00C15C66" w:rsidP="007F1479">
      <w:pPr>
        <w:pStyle w:val="ListParagraph"/>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education: A conceptual framework. Journal of Social Work Education, 44, 145–161. </w:t>
      </w:r>
    </w:p>
    <w:p w14:paraId="2A37DC15" w14:textId="55C2917E" w:rsidR="00C15C66" w:rsidRPr="00F2180C" w:rsidRDefault="00C15C66" w:rsidP="007F1479">
      <w:pPr>
        <w:pStyle w:val="NormalWeb"/>
        <w:numPr>
          <w:ilvl w:val="0"/>
          <w:numId w:val="36"/>
        </w:numPr>
        <w:spacing w:line="360" w:lineRule="auto"/>
        <w:jc w:val="both"/>
      </w:pPr>
      <w:r w:rsidRPr="00F2180C">
        <w:t xml:space="preserve">Ezzedeen and Zikic (2015), </w:t>
      </w:r>
      <w:r w:rsidR="00AE70FF" w:rsidRPr="00AE70FF">
        <w:rPr>
          <w:i/>
        </w:rPr>
        <w:t>‘</w:t>
      </w:r>
      <w:r w:rsidRPr="00AE70FF">
        <w:rPr>
          <w:i/>
        </w:rPr>
        <w:t>Finding Balance Amid Boundarylessness: An Interpretive Study of Entrepreneurial Work–Life Balance and Boundary Management</w:t>
      </w:r>
      <w:r w:rsidR="00AE70FF" w:rsidRPr="00AE70FF">
        <w:rPr>
          <w:i/>
        </w:rPr>
        <w:t>’</w:t>
      </w:r>
      <w:r w:rsidRPr="00AE70FF">
        <w:rPr>
          <w:i/>
        </w:rPr>
        <w:t>,</w:t>
      </w:r>
      <w:r w:rsidRPr="00F2180C">
        <w:t xml:space="preserve"> Journal of Family Issues 2017, Vol. 38(11) 1546–1576 </w:t>
      </w:r>
    </w:p>
    <w:p w14:paraId="3C02D1D8" w14:textId="7265F73D"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Felstead, A., Jewson, N., Phizacklea, A., &amp; Walters, S. (2002). </w:t>
      </w:r>
      <w:r w:rsidR="00AE70FF" w:rsidRPr="00AE70FF">
        <w:rPr>
          <w:rFonts w:ascii="Times New Roman" w:eastAsia="Times New Roman" w:hAnsi="Times New Roman" w:cs="Times New Roman"/>
          <w:i/>
        </w:rPr>
        <w:t>‘</w:t>
      </w:r>
      <w:r w:rsidRPr="00AE70FF">
        <w:rPr>
          <w:rFonts w:ascii="Times New Roman" w:eastAsia="Times New Roman" w:hAnsi="Times New Roman" w:cs="Times New Roman"/>
          <w:i/>
        </w:rPr>
        <w:t>Opportunities to work at home in the context of work-life balance</w:t>
      </w:r>
      <w:r w:rsidR="00AE70FF" w:rsidRPr="00AE70FF">
        <w:rPr>
          <w:rFonts w:ascii="Times New Roman" w:eastAsia="Times New Roman" w:hAnsi="Times New Roman" w:cs="Times New Roman"/>
          <w:i/>
        </w:rPr>
        <w:t>’</w:t>
      </w:r>
      <w:r w:rsidRPr="00F2180C">
        <w:rPr>
          <w:rFonts w:ascii="Times New Roman" w:eastAsia="Times New Roman" w:hAnsi="Times New Roman" w:cs="Times New Roman"/>
        </w:rPr>
        <w:t>. Human Resource Management Journal, 12(l), 54–76.</w:t>
      </w:r>
    </w:p>
    <w:p w14:paraId="5339187F" w14:textId="77777777" w:rsidR="00C15C66" w:rsidRPr="00F2180C" w:rsidRDefault="00C15C66" w:rsidP="007F1479">
      <w:pPr>
        <w:pStyle w:val="NormalWeb"/>
        <w:numPr>
          <w:ilvl w:val="0"/>
          <w:numId w:val="36"/>
        </w:numPr>
        <w:shd w:val="clear" w:color="auto" w:fill="FFFFFF"/>
        <w:spacing w:line="360" w:lineRule="auto"/>
        <w:jc w:val="both"/>
        <w:rPr>
          <w:rFonts w:eastAsiaTheme="minorHAnsi"/>
          <w:lang w:val="en-US"/>
        </w:rPr>
      </w:pPr>
      <w:r w:rsidRPr="00F2180C">
        <w:rPr>
          <w:rFonts w:eastAsiaTheme="minorHAnsi"/>
          <w:lang w:val="en-US"/>
        </w:rPr>
        <w:t xml:space="preserve">Forbes (2017), 5 Ways To Reduce Employee Turnover. [Online] Available from: </w:t>
      </w:r>
      <w:hyperlink r:id="rId28" w:anchor="5c88b2945001" w:history="1">
        <w:r w:rsidRPr="00F2180C">
          <w:rPr>
            <w:rStyle w:val="Hyperlink"/>
            <w:rFonts w:eastAsiaTheme="minorHAnsi"/>
            <w:lang w:val="en-US"/>
          </w:rPr>
          <w:t>https://www.forbes.com/sites/mikekappel/2017/08/09/5-ways-to-reduce-employee-turnover/#5c88b2945001</w:t>
        </w:r>
      </w:hyperlink>
      <w:r w:rsidRPr="00F2180C">
        <w:rPr>
          <w:rFonts w:eastAsiaTheme="minorHAnsi"/>
          <w:lang w:val="en-US"/>
        </w:rPr>
        <w:t xml:space="preserve"> [Accessed 19 December, 2018]</w:t>
      </w:r>
    </w:p>
    <w:p w14:paraId="506D8F7C" w14:textId="77777777" w:rsidR="00C15C66" w:rsidRPr="00090B20" w:rsidRDefault="00C15C66" w:rsidP="00090B20">
      <w:pPr>
        <w:pStyle w:val="ListParagraph"/>
        <w:numPr>
          <w:ilvl w:val="0"/>
          <w:numId w:val="36"/>
        </w:numPr>
        <w:rPr>
          <w:rFonts w:ascii="Times New Roman" w:eastAsiaTheme="minorHAnsi" w:hAnsi="Times New Roman" w:cs="Times New Roman"/>
          <w:lang w:val="en-US"/>
        </w:rPr>
      </w:pPr>
      <w:bookmarkStart w:id="80" w:name="_Toc534629774"/>
      <w:r w:rsidRPr="00090B20">
        <w:rPr>
          <w:rFonts w:ascii="Times New Roman" w:eastAsiaTheme="minorHAnsi" w:hAnsi="Times New Roman" w:cs="Times New Roman"/>
          <w:lang w:val="en-US"/>
        </w:rPr>
        <w:t xml:space="preserve">Forbes (2018), The Highest-Rated Companies For Work-Life Balance In 2018. [Online] Available from: </w:t>
      </w:r>
      <w:hyperlink r:id="rId29" w:anchor="4791db177cb1" w:history="1">
        <w:r w:rsidRPr="00090B20">
          <w:rPr>
            <w:rFonts w:eastAsiaTheme="minorHAnsi"/>
            <w:lang w:val="en-US"/>
          </w:rPr>
          <w:t>https://www.forbes.com/sites/rachelmontanez/2018/10/01/the-2018-highest-rated-companies-for-work-life-balance/#4791db177cb1</w:t>
        </w:r>
      </w:hyperlink>
      <w:r w:rsidRPr="00090B20">
        <w:rPr>
          <w:rFonts w:ascii="Times New Roman" w:eastAsiaTheme="minorHAnsi" w:hAnsi="Times New Roman" w:cs="Times New Roman"/>
          <w:lang w:val="en-US"/>
        </w:rPr>
        <w:t xml:space="preserve"> [Accessed 24 December 2018]</w:t>
      </w:r>
      <w:bookmarkEnd w:id="80"/>
    </w:p>
    <w:p w14:paraId="16266F9A" w14:textId="2079C487" w:rsidR="00C15C66" w:rsidRPr="00F2180C" w:rsidRDefault="00C15C66" w:rsidP="007F1479">
      <w:pPr>
        <w:pStyle w:val="ListParagraph"/>
        <w:numPr>
          <w:ilvl w:val="0"/>
          <w:numId w:val="36"/>
        </w:numPr>
        <w:shd w:val="clear" w:color="auto" w:fill="FFFFFF"/>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lastRenderedPageBreak/>
        <w:t xml:space="preserve">Freund, A. (2005). </w:t>
      </w:r>
      <w:r w:rsidR="00AE70FF" w:rsidRPr="00AE70FF">
        <w:rPr>
          <w:rFonts w:ascii="Times New Roman" w:eastAsia="Times New Roman" w:hAnsi="Times New Roman" w:cs="Times New Roman"/>
          <w:i/>
        </w:rPr>
        <w:t>‘</w:t>
      </w:r>
      <w:r w:rsidRPr="00AE70FF">
        <w:rPr>
          <w:rFonts w:ascii="Times New Roman" w:eastAsia="Times New Roman" w:hAnsi="Times New Roman" w:cs="Times New Roman"/>
          <w:i/>
        </w:rPr>
        <w:t>Commitment and job satisfaction as predictors of turnover intentions among welfare workers.</w:t>
      </w:r>
      <w:r w:rsidR="00AE70FF" w:rsidRPr="00AE70FF">
        <w:rPr>
          <w:rFonts w:ascii="Times New Roman" w:eastAsia="Times New Roman" w:hAnsi="Times New Roman" w:cs="Times New Roman"/>
          <w:i/>
        </w:rPr>
        <w:t>’</w:t>
      </w:r>
      <w:r w:rsidRPr="00F2180C">
        <w:rPr>
          <w:rFonts w:ascii="Times New Roman" w:eastAsia="Times New Roman" w:hAnsi="Times New Roman" w:cs="Times New Roman"/>
        </w:rPr>
        <w:t xml:space="preserve"> </w:t>
      </w:r>
      <w:r w:rsidRPr="00F2180C">
        <w:rPr>
          <w:rFonts w:ascii="Times New Roman" w:eastAsia="Times New Roman" w:hAnsi="Times New Roman" w:cs="Times New Roman"/>
          <w:iCs/>
        </w:rPr>
        <w:t>Administration in Social Work, 29</w:t>
      </w:r>
      <w:r w:rsidRPr="00F2180C">
        <w:rPr>
          <w:rFonts w:ascii="Times New Roman" w:eastAsia="Times New Roman" w:hAnsi="Times New Roman" w:cs="Times New Roman"/>
        </w:rPr>
        <w:t xml:space="preserve">(2), 5–21. </w:t>
      </w:r>
    </w:p>
    <w:p w14:paraId="5B941B78" w14:textId="58217EB4"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Greenhaus, J. H., Collins, K. M., &amp; Shaw, J. D. (2003). </w:t>
      </w:r>
      <w:r w:rsidR="00AE70FF" w:rsidRPr="00AE70FF">
        <w:rPr>
          <w:rFonts w:ascii="Times New Roman" w:eastAsia="Times New Roman" w:hAnsi="Times New Roman" w:cs="Times New Roman"/>
          <w:i/>
        </w:rPr>
        <w:t>‘</w:t>
      </w:r>
      <w:r w:rsidRPr="00AE70FF">
        <w:rPr>
          <w:rFonts w:ascii="Times New Roman" w:eastAsia="Times New Roman" w:hAnsi="Times New Roman" w:cs="Times New Roman"/>
          <w:i/>
        </w:rPr>
        <w:t>The relation between work- family balance and quality of life.</w:t>
      </w:r>
      <w:r w:rsidR="00AE70FF" w:rsidRPr="00AE70FF">
        <w:rPr>
          <w:rFonts w:ascii="Times New Roman" w:eastAsia="Times New Roman" w:hAnsi="Times New Roman" w:cs="Times New Roman"/>
          <w:i/>
        </w:rPr>
        <w:t>’</w:t>
      </w:r>
      <w:r w:rsidRPr="00F2180C">
        <w:rPr>
          <w:rFonts w:ascii="Times New Roman" w:eastAsia="Times New Roman" w:hAnsi="Times New Roman" w:cs="Times New Roman"/>
        </w:rPr>
        <w:t xml:space="preserve"> Journal of Vocational Behavior, 63, 510-531. </w:t>
      </w:r>
    </w:p>
    <w:p w14:paraId="5BEEB118" w14:textId="560479A9"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hAnsi="Times New Roman" w:cs="Times New Roman"/>
        </w:rPr>
      </w:pPr>
      <w:r w:rsidRPr="00F2180C">
        <w:rPr>
          <w:rFonts w:ascii="Times New Roman" w:hAnsi="Times New Roman" w:cs="Times New Roman"/>
        </w:rPr>
        <w:t>Hartel, E. (2004)</w:t>
      </w:r>
      <w:r w:rsidR="000C2B55">
        <w:rPr>
          <w:rFonts w:ascii="Times New Roman" w:hAnsi="Times New Roman" w:cs="Times New Roman"/>
        </w:rPr>
        <w:t>,</w:t>
      </w:r>
      <w:r w:rsidRPr="00F2180C">
        <w:rPr>
          <w:rFonts w:ascii="Times New Roman" w:hAnsi="Times New Roman" w:cs="Times New Roman"/>
        </w:rPr>
        <w:t xml:space="preserve"> </w:t>
      </w:r>
      <w:r w:rsidR="000C2B55" w:rsidRPr="000C2B55">
        <w:rPr>
          <w:rFonts w:ascii="Times New Roman" w:hAnsi="Times New Roman" w:cs="Times New Roman"/>
          <w:i/>
        </w:rPr>
        <w:t>‘</w:t>
      </w:r>
      <w:r w:rsidRPr="000C2B55">
        <w:rPr>
          <w:rFonts w:ascii="Times New Roman" w:hAnsi="Times New Roman" w:cs="Times New Roman"/>
          <w:i/>
        </w:rPr>
        <w:t>Towards a Multicultural World: Identifying Work Systems, Practices and Employee Attitudes that Embrace Diversity,</w:t>
      </w:r>
      <w:r w:rsidR="000C2B55" w:rsidRPr="000C2B55">
        <w:rPr>
          <w:rFonts w:ascii="Times New Roman" w:hAnsi="Times New Roman" w:cs="Times New Roman"/>
          <w:i/>
        </w:rPr>
        <w:t>’</w:t>
      </w:r>
      <w:r w:rsidRPr="000C2B55">
        <w:rPr>
          <w:rFonts w:ascii="Times New Roman" w:hAnsi="Times New Roman" w:cs="Times New Roman"/>
          <w:i/>
        </w:rPr>
        <w:t xml:space="preserve"> </w:t>
      </w:r>
      <w:r w:rsidRPr="00F2180C">
        <w:rPr>
          <w:rFonts w:ascii="Times New Roman" w:hAnsi="Times New Roman" w:cs="Times New Roman"/>
        </w:rPr>
        <w:t>Journal of Australian management, 29 (2): pp.189-200.</w:t>
      </w:r>
    </w:p>
    <w:p w14:paraId="6F0CD223" w14:textId="4CE278A4" w:rsidR="00C15C66" w:rsidRPr="00F2180C" w:rsidRDefault="00C15C66" w:rsidP="007F1479">
      <w:pPr>
        <w:pStyle w:val="NormalWeb"/>
        <w:numPr>
          <w:ilvl w:val="0"/>
          <w:numId w:val="36"/>
        </w:numPr>
        <w:spacing w:line="360" w:lineRule="auto"/>
        <w:jc w:val="both"/>
      </w:pPr>
      <w:r w:rsidRPr="00F2180C">
        <w:rPr>
          <w:rFonts w:eastAsiaTheme="minorHAnsi"/>
          <w:lang w:val="en-US"/>
        </w:rPr>
        <w:t xml:space="preserve">Hudson, S. (2014), </w:t>
      </w:r>
      <w:r w:rsidR="000C2B55" w:rsidRPr="000C2B55">
        <w:rPr>
          <w:rFonts w:eastAsiaTheme="minorHAnsi"/>
          <w:i/>
          <w:lang w:val="en-US"/>
        </w:rPr>
        <w:t>‘</w:t>
      </w:r>
      <w:r w:rsidRPr="000C2B55">
        <w:rPr>
          <w:rFonts w:eastAsiaTheme="minorHAnsi"/>
          <w:i/>
          <w:lang w:val="en-US"/>
        </w:rPr>
        <w:t>Diversity in the Workforce. Journal</w:t>
      </w:r>
      <w:r w:rsidRPr="000C2B55">
        <w:rPr>
          <w:i/>
        </w:rPr>
        <w:t xml:space="preserve"> of Education and Human Development,</w:t>
      </w:r>
      <w:r w:rsidR="000C2B55" w:rsidRPr="000C2B55">
        <w:rPr>
          <w:i/>
        </w:rPr>
        <w:t>’</w:t>
      </w:r>
      <w:r w:rsidRPr="00F2180C">
        <w:t xml:space="preserve"> Vol. 3, No. 4, pp. 73-82. [Online] Available from: </w:t>
      </w:r>
      <w:hyperlink r:id="rId30" w:history="1">
        <w:r w:rsidRPr="00F2180C">
          <w:rPr>
            <w:rStyle w:val="Hyperlink"/>
          </w:rPr>
          <w:t>http://dx.doi.org/10.15640/jehd.v3n4a7</w:t>
        </w:r>
      </w:hyperlink>
      <w:r w:rsidRPr="00F2180C">
        <w:t xml:space="preserve"> [Accessed 14 December 2018] </w:t>
      </w:r>
    </w:p>
    <w:p w14:paraId="59E6828C" w14:textId="35297DD1" w:rsidR="00C15C66" w:rsidRDefault="00C15C66" w:rsidP="00DC2D64">
      <w:pPr>
        <w:pStyle w:val="ListParagraph"/>
        <w:numPr>
          <w:ilvl w:val="0"/>
          <w:numId w:val="36"/>
        </w:numPr>
        <w:rPr>
          <w:rFonts w:ascii="Times New Roman" w:hAnsi="Times New Roman" w:cs="Times New Roman"/>
        </w:rPr>
      </w:pPr>
      <w:bookmarkStart w:id="81" w:name="_Toc534629775"/>
      <w:r w:rsidRPr="00DC2D64">
        <w:rPr>
          <w:rFonts w:ascii="Times New Roman" w:hAnsi="Times New Roman" w:cs="Times New Roman"/>
        </w:rPr>
        <w:t xml:space="preserve">Human Resources (2018), Case study: Why Ericsson successfully retains 93 out of every 100 employees. [Online] Available from: </w:t>
      </w:r>
      <w:hyperlink r:id="rId31" w:history="1">
        <w:r w:rsidRPr="00DC2D64">
          <w:rPr>
            <w:rStyle w:val="Hyperlink"/>
          </w:rPr>
          <w:t>https://www.humanresourcesonline.net/case-study-ericsson-successfully-retains-93-every-100-employees/</w:t>
        </w:r>
      </w:hyperlink>
      <w:r w:rsidRPr="00DC2D64">
        <w:rPr>
          <w:rFonts w:ascii="Times New Roman" w:hAnsi="Times New Roman" w:cs="Times New Roman"/>
        </w:rPr>
        <w:t xml:space="preserve"> [Accessed 19 December 2018]</w:t>
      </w:r>
      <w:bookmarkEnd w:id="81"/>
    </w:p>
    <w:p w14:paraId="7DA2ECCB" w14:textId="61A60CDB" w:rsidR="00627A77" w:rsidRPr="00627A77" w:rsidRDefault="00627A77" w:rsidP="00627A77">
      <w:pPr>
        <w:pStyle w:val="ListParagraph"/>
        <w:numPr>
          <w:ilvl w:val="0"/>
          <w:numId w:val="36"/>
        </w:numPr>
        <w:rPr>
          <w:rFonts w:ascii="Times New Roman" w:eastAsia="Times New Roman" w:hAnsi="Times New Roman" w:cs="Times New Roman"/>
        </w:rPr>
      </w:pPr>
      <w:r w:rsidRPr="00627A77">
        <w:rPr>
          <w:rFonts w:ascii="Times New Roman" w:hAnsi="Times New Roman" w:cs="Times New Roman"/>
        </w:rPr>
        <w:t>Inc. (2015), An Inside Look at Google's Best Employee Perks</w:t>
      </w:r>
      <w:r>
        <w:rPr>
          <w:rFonts w:ascii="Times New Roman" w:hAnsi="Times New Roman" w:cs="Times New Roman"/>
        </w:rPr>
        <w:t xml:space="preserve">. Available from: </w:t>
      </w:r>
      <w:hyperlink r:id="rId32" w:history="1">
        <w:r w:rsidRPr="0059792A">
          <w:rPr>
            <w:rStyle w:val="Hyperlink"/>
            <w:rFonts w:ascii="Times New Roman" w:hAnsi="Times New Roman" w:cs="Times New Roman"/>
          </w:rPr>
          <w:t>https://www.inc.com/business-insider/best-google-benefits.html</w:t>
        </w:r>
      </w:hyperlink>
      <w:r>
        <w:rPr>
          <w:rFonts w:ascii="Times New Roman" w:hAnsi="Times New Roman" w:cs="Times New Roman"/>
        </w:rPr>
        <w:t xml:space="preserve"> </w:t>
      </w:r>
      <w:r w:rsidRPr="00DC2D64">
        <w:rPr>
          <w:rFonts w:ascii="Times New Roman" w:eastAsia="Times New Roman" w:hAnsi="Times New Roman" w:cs="Times New Roman"/>
        </w:rPr>
        <w:t>[Accessed 24 December 2018]</w:t>
      </w:r>
    </w:p>
    <w:p w14:paraId="13CC9824" w14:textId="1BFE42DF" w:rsidR="00627A77" w:rsidRPr="00DC2D64" w:rsidRDefault="00627A77" w:rsidP="00627A77">
      <w:pPr>
        <w:pStyle w:val="ListParagraph"/>
        <w:rPr>
          <w:rFonts w:ascii="Times New Roman" w:hAnsi="Times New Roman" w:cs="Times New Roman"/>
        </w:rPr>
      </w:pPr>
    </w:p>
    <w:p w14:paraId="7B2B1C2F" w14:textId="77777777"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Inc. (2017), 3 Companies That Proved the Power of Guerrilla Recruiting. [Online] Available from: </w:t>
      </w:r>
      <w:hyperlink r:id="rId33" w:history="1">
        <w:r w:rsidRPr="00F2180C">
          <w:rPr>
            <w:rStyle w:val="Hyperlink"/>
            <w:rFonts w:ascii="Times New Roman" w:hAnsi="Times New Roman" w:cs="Times New Roman"/>
          </w:rPr>
          <w:t>https://www.inc.com/elizabeth-dukes/how-did-3-companies-use-guerrilla-recruiting-successfully.html</w:t>
        </w:r>
      </w:hyperlink>
      <w:r w:rsidRPr="00F2180C">
        <w:rPr>
          <w:rFonts w:ascii="Times New Roman" w:hAnsi="Times New Roman" w:cs="Times New Roman"/>
        </w:rPr>
        <w:t xml:space="preserve"> [Accessed 20 December, 2018]</w:t>
      </w:r>
    </w:p>
    <w:p w14:paraId="3FE5236C" w14:textId="303AE136" w:rsidR="00C15C66" w:rsidRPr="00F2180C" w:rsidRDefault="00C15C66" w:rsidP="007F1479">
      <w:pPr>
        <w:pStyle w:val="NormalWeb"/>
        <w:numPr>
          <w:ilvl w:val="0"/>
          <w:numId w:val="36"/>
        </w:numPr>
        <w:spacing w:line="360" w:lineRule="auto"/>
        <w:jc w:val="both"/>
      </w:pPr>
      <w:r w:rsidRPr="00F2180C">
        <w:t xml:space="preserve">Janjua, B. H., &amp; Gulzar, A. (2014). </w:t>
      </w:r>
      <w:r w:rsidR="000C2B55" w:rsidRPr="000C2B55">
        <w:rPr>
          <w:i/>
        </w:rPr>
        <w:t>‘</w:t>
      </w:r>
      <w:r w:rsidRPr="000C2B55">
        <w:rPr>
          <w:i/>
        </w:rPr>
        <w:t>The Impact of Human Resource Practices on Employee Commitment and Employee Retention in Telecom Sector of Pakistan: Exploring the Mediating Role of Employee Loyalty.</w:t>
      </w:r>
      <w:r w:rsidR="000C2B55" w:rsidRPr="000C2B55">
        <w:rPr>
          <w:i/>
        </w:rPr>
        <w:t>’</w:t>
      </w:r>
      <w:r w:rsidRPr="00F2180C">
        <w:t xml:space="preserve"> </w:t>
      </w:r>
      <w:r w:rsidRPr="00F2180C">
        <w:rPr>
          <w:iCs/>
        </w:rPr>
        <w:t xml:space="preserve">IOSR Journal </w:t>
      </w:r>
      <w:r w:rsidRPr="00F2180C">
        <w:rPr>
          <w:iCs/>
          <w:shd w:val="clear" w:color="auto" w:fill="FFFFFF"/>
        </w:rPr>
        <w:t>of Business and Management, 16</w:t>
      </w:r>
      <w:r w:rsidRPr="00F2180C">
        <w:rPr>
          <w:shd w:val="clear" w:color="auto" w:fill="FFFFFF"/>
        </w:rPr>
        <w:t xml:space="preserve">(1), 76–81. </w:t>
      </w:r>
    </w:p>
    <w:p w14:paraId="548CB2E3" w14:textId="77777777"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Kundu, S. (2001</w:t>
      </w:r>
      <w:r w:rsidRPr="000C2B55">
        <w:rPr>
          <w:rFonts w:ascii="Times New Roman" w:hAnsi="Times New Roman" w:cs="Times New Roman"/>
          <w:i/>
        </w:rPr>
        <w:t>)."Valuing cultural diversity: a study of employees’ reactions to employer efforts to value diversity in India",</w:t>
      </w:r>
      <w:r w:rsidRPr="00F2180C">
        <w:rPr>
          <w:rFonts w:ascii="Times New Roman" w:hAnsi="Times New Roman" w:cs="Times New Roman"/>
        </w:rPr>
        <w:t xml:space="preserve"> Proceedings of the 7th Asia-Pacific Management Conference – The Great Asia in 21st Century, University of Malaya, Kuala Lumpur, Malaysia and National Cheng Kung University, Tainan, Taiwan, ROC, (2): pp.635- 4</w:t>
      </w:r>
    </w:p>
    <w:p w14:paraId="34B78156" w14:textId="6D568721"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 xml:space="preserve">Laddha, A., Singh, R., Gabbad, H., Gidwani, G. (2012), </w:t>
      </w:r>
      <w:r w:rsidR="000C2B55">
        <w:rPr>
          <w:rFonts w:eastAsiaTheme="minorHAnsi"/>
          <w:lang w:val="en-US"/>
        </w:rPr>
        <w:t>‘</w:t>
      </w:r>
      <w:r w:rsidRPr="000C2B55">
        <w:rPr>
          <w:rFonts w:eastAsiaTheme="minorHAnsi"/>
          <w:i/>
          <w:lang w:val="en-US"/>
        </w:rPr>
        <w:t xml:space="preserve">EMPLOYEE RETENTION: AN ART TO REDUCE TURNOVER. NTERNATIONAL </w:t>
      </w:r>
      <w:r w:rsidRPr="000C2B55">
        <w:rPr>
          <w:rFonts w:eastAsiaTheme="minorHAnsi"/>
          <w:i/>
          <w:lang w:val="en-US"/>
        </w:rPr>
        <w:lastRenderedPageBreak/>
        <w:t>JOURNAL OF MANAGEMENT RESEARCH AND REVIEW</w:t>
      </w:r>
      <w:r w:rsidR="000C2B55" w:rsidRPr="000C2B55">
        <w:rPr>
          <w:rFonts w:eastAsiaTheme="minorHAnsi"/>
          <w:i/>
          <w:lang w:val="en-US"/>
        </w:rPr>
        <w:t>’</w:t>
      </w:r>
      <w:r w:rsidRPr="000C2B55">
        <w:rPr>
          <w:rFonts w:eastAsiaTheme="minorHAnsi"/>
          <w:i/>
          <w:lang w:val="en-US"/>
        </w:rPr>
        <w:t>.</w:t>
      </w:r>
      <w:r w:rsidRPr="00F2180C">
        <w:rPr>
          <w:rFonts w:eastAsiaTheme="minorHAnsi"/>
          <w:lang w:val="en-US"/>
        </w:rPr>
        <w:t xml:space="preserve"> Volume 2/Issue 3/Article No-10/453-458 </w:t>
      </w:r>
    </w:p>
    <w:p w14:paraId="7EE99608" w14:textId="486B40E9" w:rsidR="00C15C66" w:rsidRPr="00F2180C" w:rsidRDefault="00C15C66" w:rsidP="007F1479">
      <w:pPr>
        <w:pStyle w:val="NormalWeb"/>
        <w:numPr>
          <w:ilvl w:val="0"/>
          <w:numId w:val="36"/>
        </w:numPr>
        <w:spacing w:line="360" w:lineRule="auto"/>
        <w:jc w:val="both"/>
      </w:pPr>
      <w:r w:rsidRPr="00F2180C">
        <w:t xml:space="preserve">Maina, B. W. (2014). </w:t>
      </w:r>
      <w:r w:rsidR="000C2B55">
        <w:t>‘</w:t>
      </w:r>
      <w:r w:rsidRPr="000C2B55">
        <w:rPr>
          <w:i/>
        </w:rPr>
        <w:t>Effect of Human Resource Management Practices on Employees Retention in Institutions of Higher Learning in Kenya: A Case Study of Kenyatta University.</w:t>
      </w:r>
      <w:r w:rsidR="000C2B55" w:rsidRPr="000C2B55">
        <w:rPr>
          <w:i/>
        </w:rPr>
        <w:t>’</w:t>
      </w:r>
      <w:r w:rsidRPr="00F2180C">
        <w:t xml:space="preserve"> </w:t>
      </w:r>
      <w:r w:rsidRPr="00F2180C">
        <w:rPr>
          <w:iCs/>
        </w:rPr>
        <w:t>The Strategic of Business &amp; Change Journal of Manage-ment</w:t>
      </w:r>
      <w:r w:rsidRPr="00F2180C">
        <w:t xml:space="preserve">, </w:t>
      </w:r>
      <w:r w:rsidRPr="00F2180C">
        <w:rPr>
          <w:iCs/>
        </w:rPr>
        <w:t>1</w:t>
      </w:r>
      <w:r w:rsidRPr="00F2180C">
        <w:t xml:space="preserve">(2), 258–277. </w:t>
      </w:r>
    </w:p>
    <w:p w14:paraId="622DB048" w14:textId="77777777"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Manulife Corporate Citizen Report  (2017), Corporate Citizenship Report and Public Accountability Statement. [Online] Available from: </w:t>
      </w:r>
      <w:hyperlink r:id="rId34" w:history="1">
        <w:r w:rsidRPr="00F2180C">
          <w:rPr>
            <w:rStyle w:val="Hyperlink"/>
            <w:rFonts w:ascii="Times New Roman" w:hAnsi="Times New Roman" w:cs="Times New Roman"/>
          </w:rPr>
          <w:t>https://www.google.com/search?q=manulife+retenion&amp;oq=manulife+retenion+&amp;aqs=chrome..69i57j33.10292j1j9&amp;sourceid=chrome&amp;ie=UTF-8</w:t>
        </w:r>
      </w:hyperlink>
      <w:r w:rsidRPr="00F2180C">
        <w:rPr>
          <w:rFonts w:ascii="Times New Roman" w:hAnsi="Times New Roman" w:cs="Times New Roman"/>
        </w:rPr>
        <w:t xml:space="preserve"> [Accessed 20 Decemeber, 2018]</w:t>
      </w:r>
    </w:p>
    <w:p w14:paraId="0DD0B245" w14:textId="77777777" w:rsidR="00C15C66" w:rsidRPr="00F2180C" w:rsidRDefault="00C15C66" w:rsidP="007F1479">
      <w:pPr>
        <w:pStyle w:val="NormalWeb"/>
        <w:numPr>
          <w:ilvl w:val="0"/>
          <w:numId w:val="36"/>
        </w:numPr>
        <w:spacing w:line="360" w:lineRule="auto"/>
        <w:jc w:val="both"/>
      </w:pPr>
      <w:r w:rsidRPr="00F2180C">
        <w:t xml:space="preserve">MetLife (2018), Create a more human workplace through key moments of meaning. [Online] Available from: </w:t>
      </w:r>
      <w:hyperlink r:id="rId35" w:history="1">
        <w:r w:rsidRPr="00F2180C">
          <w:rPr>
            <w:rStyle w:val="Hyperlink"/>
          </w:rPr>
          <w:t>https://www.metlife.com/workforce/create-more-human-workplace/</w:t>
        </w:r>
      </w:hyperlink>
      <w:r w:rsidRPr="00F2180C">
        <w:t xml:space="preserve"> </w:t>
      </w:r>
      <w:r w:rsidRPr="00F2180C">
        <w:rPr>
          <w:bCs/>
        </w:rPr>
        <w:t>[Accessed 24 December 2018]</w:t>
      </w:r>
    </w:p>
    <w:p w14:paraId="1A53BB10" w14:textId="79C33DB8" w:rsidR="00C15C66" w:rsidRPr="00F2180C" w:rsidRDefault="00C15C66" w:rsidP="007F1479">
      <w:pPr>
        <w:pStyle w:val="NormalWeb"/>
        <w:numPr>
          <w:ilvl w:val="0"/>
          <w:numId w:val="36"/>
        </w:numPr>
        <w:spacing w:line="360" w:lineRule="auto"/>
        <w:jc w:val="both"/>
      </w:pPr>
      <w:r w:rsidRPr="00F2180C">
        <w:t xml:space="preserve">Nord, W.R., Fox, S., Phoenix, A., &amp; Viano, K. (2002). </w:t>
      </w:r>
      <w:r w:rsidR="000C2B55" w:rsidRPr="000C2B55">
        <w:rPr>
          <w:i/>
        </w:rPr>
        <w:t>‘</w:t>
      </w:r>
      <w:r w:rsidRPr="000C2B55">
        <w:rPr>
          <w:i/>
        </w:rPr>
        <w:t>Real-world reactions to work–life balance programs: Lessons for effective implementation</w:t>
      </w:r>
      <w:r w:rsidR="000C2B55" w:rsidRPr="000C2B55">
        <w:rPr>
          <w:i/>
        </w:rPr>
        <w:t>’</w:t>
      </w:r>
      <w:r w:rsidRPr="00F2180C">
        <w:t xml:space="preserve">. Organizational Dynamics, 30(3), 223–238. </w:t>
      </w:r>
    </w:p>
    <w:p w14:paraId="193C1EEB" w14:textId="1C821EF1"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color w:val="000000" w:themeColor="text1"/>
        </w:rPr>
        <w:t>O</w:t>
      </w:r>
      <w:r w:rsidRPr="00F2180C">
        <w:rPr>
          <w:rFonts w:ascii="Times New Roman" w:hAnsi="Times New Roman" w:cs="Times New Roman"/>
        </w:rPr>
        <w:t xml:space="preserve">aya, J., Ogbu, O. and Remilekun, O. (2003), </w:t>
      </w:r>
      <w:r w:rsidR="000C2B55" w:rsidRPr="000C2B55">
        <w:rPr>
          <w:rFonts w:ascii="Times New Roman" w:hAnsi="Times New Roman" w:cs="Times New Roman"/>
          <w:i/>
        </w:rPr>
        <w:t>‘</w:t>
      </w:r>
      <w:r w:rsidRPr="000C2B55">
        <w:rPr>
          <w:rFonts w:ascii="Times New Roman" w:hAnsi="Times New Roman" w:cs="Times New Roman"/>
          <w:i/>
        </w:rPr>
        <w:t>Impact of Recruitment and Selection Strategy on Employees’ Performance: A Study of Three Selected Manufacturing Companies in Nigeria.</w:t>
      </w:r>
      <w:r w:rsidR="000C2B55" w:rsidRPr="000C2B55">
        <w:rPr>
          <w:rFonts w:ascii="Times New Roman" w:hAnsi="Times New Roman" w:cs="Times New Roman"/>
          <w:i/>
        </w:rPr>
        <w:t>’</w:t>
      </w:r>
      <w:r w:rsidRPr="00F2180C">
        <w:rPr>
          <w:rFonts w:ascii="Times New Roman" w:hAnsi="Times New Roman" w:cs="Times New Roman"/>
        </w:rPr>
        <w:t xml:space="preserve"> International Journal of Innovation and Economic Development. Volume:3. Issue: 3. PP: 32-42. [Online]  Available from: </w:t>
      </w:r>
      <w:hyperlink r:id="rId36" w:history="1">
        <w:r w:rsidRPr="00F2180C">
          <w:rPr>
            <w:rStyle w:val="Hyperlink"/>
            <w:rFonts w:ascii="Times New Roman" w:hAnsi="Times New Roman" w:cs="Times New Roman"/>
            <w:spacing w:val="-1"/>
            <w:bdr w:val="none" w:sz="0" w:space="0" w:color="auto" w:frame="1"/>
            <w:shd w:val="clear" w:color="auto" w:fill="F2F2F2"/>
          </w:rPr>
          <w:t>http://dx.doi.org/10.18775/ijied.1849-7551-7020.2015.33.2003</w:t>
        </w:r>
      </w:hyperlink>
      <w:r w:rsidRPr="00F2180C">
        <w:rPr>
          <w:rFonts w:ascii="Times New Roman" w:hAnsi="Times New Roman" w:cs="Times New Roman"/>
        </w:rPr>
        <w:t xml:space="preserve"> [Accessd 18 December, 2018]</w:t>
      </w:r>
    </w:p>
    <w:p w14:paraId="327AE980" w14:textId="717A6D60" w:rsidR="00C15C66" w:rsidRPr="00F2180C" w:rsidRDefault="00C15C66" w:rsidP="007F1479">
      <w:pPr>
        <w:pStyle w:val="NormalWeb"/>
        <w:numPr>
          <w:ilvl w:val="0"/>
          <w:numId w:val="36"/>
        </w:numPr>
        <w:spacing w:line="360" w:lineRule="auto"/>
        <w:jc w:val="both"/>
      </w:pPr>
      <w:r w:rsidRPr="00F2180C">
        <w:t xml:space="preserve">Patimah, S. (2015). </w:t>
      </w:r>
      <w:r w:rsidR="000C2B55" w:rsidRPr="000C2B55">
        <w:rPr>
          <w:i/>
        </w:rPr>
        <w:t>‘</w:t>
      </w:r>
      <w:r w:rsidRPr="000C2B55">
        <w:rPr>
          <w:i/>
        </w:rPr>
        <w:t>The Influence of Recruitment and Selection on The Performance of State Elementary School Principals Bandar Lampung</w:t>
      </w:r>
      <w:r w:rsidR="000C2B55" w:rsidRPr="000C2B55">
        <w:rPr>
          <w:i/>
        </w:rPr>
        <w:t>’</w:t>
      </w:r>
      <w:r w:rsidRPr="00F2180C">
        <w:t xml:space="preserve">. </w:t>
      </w:r>
      <w:r w:rsidRPr="00F2180C">
        <w:rPr>
          <w:iCs/>
        </w:rPr>
        <w:t>Scientific Journals Peuradeun - International Multidisciplinary Journal, 3</w:t>
      </w:r>
      <w:r w:rsidRPr="00F2180C">
        <w:t xml:space="preserve">(1), 165–190. </w:t>
      </w:r>
    </w:p>
    <w:p w14:paraId="305C9BF5" w14:textId="10E3CCEE" w:rsidR="00C15C66" w:rsidRPr="00F2180C" w:rsidRDefault="00C15C66" w:rsidP="007F1479">
      <w:pPr>
        <w:pStyle w:val="NormalWeb"/>
        <w:numPr>
          <w:ilvl w:val="0"/>
          <w:numId w:val="36"/>
        </w:numPr>
        <w:spacing w:line="360" w:lineRule="auto"/>
        <w:jc w:val="both"/>
      </w:pPr>
      <w:r w:rsidRPr="00F2180C">
        <w:t xml:space="preserve">Rafii, M., &amp; Andri, S. (2015). </w:t>
      </w:r>
      <w:r w:rsidR="000C2B55" w:rsidRPr="000C2B55">
        <w:rPr>
          <w:i/>
        </w:rPr>
        <w:t>‘</w:t>
      </w:r>
      <w:r w:rsidRPr="000C2B55">
        <w:rPr>
          <w:i/>
        </w:rPr>
        <w:t>The Influence of Employee Recruitment and Placement on Employee Performance on PT</w:t>
      </w:r>
      <w:r w:rsidR="000C2B55" w:rsidRPr="000C2B55">
        <w:rPr>
          <w:i/>
        </w:rPr>
        <w:t>’</w:t>
      </w:r>
      <w:r w:rsidRPr="000C2B55">
        <w:rPr>
          <w:i/>
        </w:rPr>
        <w:t xml:space="preserve">. </w:t>
      </w:r>
      <w:r w:rsidRPr="00F2180C">
        <w:t xml:space="preserve">Bank Riaukepri Pekanbaru. </w:t>
      </w:r>
      <w:r w:rsidRPr="00F2180C">
        <w:rPr>
          <w:iCs/>
        </w:rPr>
        <w:t>Online Journal of Indonesia Faculty of Social and Political Sciences, 2</w:t>
      </w:r>
      <w:r w:rsidRPr="00F2180C">
        <w:t xml:space="preserve">(1), 1–12. </w:t>
      </w:r>
    </w:p>
    <w:p w14:paraId="6BD7D247" w14:textId="2ABECF2F"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hAnsi="Times New Roman" w:cs="Times New Roman"/>
        </w:rPr>
      </w:pPr>
      <w:r w:rsidRPr="00F2180C">
        <w:rPr>
          <w:rFonts w:ascii="Times New Roman" w:hAnsi="Times New Roman" w:cs="Times New Roman"/>
        </w:rPr>
        <w:lastRenderedPageBreak/>
        <w:t xml:space="preserve">Roberson, Q. M., &amp; Park, H. J. (2007). </w:t>
      </w:r>
      <w:r w:rsidR="000C2B55" w:rsidRPr="000C2B55">
        <w:rPr>
          <w:rFonts w:ascii="Times New Roman" w:hAnsi="Times New Roman" w:cs="Times New Roman"/>
          <w:i/>
        </w:rPr>
        <w:t>‘</w:t>
      </w:r>
      <w:r w:rsidRPr="000C2B55">
        <w:rPr>
          <w:rFonts w:ascii="Times New Roman" w:hAnsi="Times New Roman" w:cs="Times New Roman"/>
          <w:i/>
        </w:rPr>
        <w:t>Examining the link between diversity and firm performance the effects of diversity reputation and leader racial diversity.</w:t>
      </w:r>
      <w:r w:rsidR="000C2B55" w:rsidRPr="000C2B55">
        <w:rPr>
          <w:rFonts w:ascii="Times New Roman" w:hAnsi="Times New Roman" w:cs="Times New Roman"/>
          <w:i/>
        </w:rPr>
        <w:t>’</w:t>
      </w:r>
      <w:r w:rsidRPr="000C2B55">
        <w:rPr>
          <w:rFonts w:ascii="Times New Roman" w:hAnsi="Times New Roman" w:cs="Times New Roman"/>
          <w:i/>
        </w:rPr>
        <w:t xml:space="preserve"> </w:t>
      </w:r>
      <w:r w:rsidRPr="00F2180C">
        <w:rPr>
          <w:rFonts w:ascii="Times New Roman" w:hAnsi="Times New Roman" w:cs="Times New Roman"/>
        </w:rPr>
        <w:t xml:space="preserve">Group &amp; Organization Management, 32, 548–568. </w:t>
      </w:r>
    </w:p>
    <w:p w14:paraId="51AAEA8C" w14:textId="2D2C72E4" w:rsidR="00C15C66" w:rsidRPr="00F2180C" w:rsidRDefault="00C15C66" w:rsidP="007F1479">
      <w:pPr>
        <w:pStyle w:val="ListParagraph"/>
        <w:numPr>
          <w:ilvl w:val="0"/>
          <w:numId w:val="36"/>
        </w:numPr>
        <w:spacing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Sánchez, C., González-Cruz, T. and Martínez-Fuentes, C. (2016), </w:t>
      </w:r>
      <w:r w:rsidR="000C2B55" w:rsidRPr="000C2B55">
        <w:rPr>
          <w:rFonts w:ascii="Times New Roman" w:eastAsia="Times New Roman" w:hAnsi="Times New Roman" w:cs="Times New Roman"/>
          <w:i/>
        </w:rPr>
        <w:t>‘</w:t>
      </w:r>
      <w:r w:rsidRPr="000C2B55">
        <w:rPr>
          <w:rFonts w:ascii="Times New Roman" w:hAnsi="Times New Roman" w:cs="Times New Roman"/>
          <w:i/>
        </w:rPr>
        <w:t>Do firms implement work–life balance policies to benefit their workers or themselves?</w:t>
      </w:r>
      <w:r w:rsidR="000C2B55" w:rsidRPr="000C2B55">
        <w:rPr>
          <w:rFonts w:ascii="Times New Roman" w:hAnsi="Times New Roman" w:cs="Times New Roman"/>
          <w:i/>
        </w:rPr>
        <w:t>’</w:t>
      </w:r>
      <w:r w:rsidRPr="000C2B55">
        <w:rPr>
          <w:rFonts w:ascii="Times New Roman" w:hAnsi="Times New Roman" w:cs="Times New Roman"/>
          <w:i/>
        </w:rPr>
        <w:t xml:space="preserve"> </w:t>
      </w:r>
      <w:r w:rsidRPr="00F2180C">
        <w:rPr>
          <w:rFonts w:ascii="Times New Roman" w:hAnsi="Times New Roman" w:cs="Times New Roman"/>
        </w:rPr>
        <w:t xml:space="preserve">Journal of Business Research. Vol: 69, Issue: 11. PP: 5519–5523. [Online] Available from: </w:t>
      </w:r>
      <w:hyperlink r:id="rId37" w:history="1">
        <w:r w:rsidRPr="00F2180C">
          <w:rPr>
            <w:rStyle w:val="Hyperlink"/>
            <w:rFonts w:ascii="Times New Roman" w:hAnsi="Times New Roman" w:cs="Times New Roman"/>
          </w:rPr>
          <w:t>http://dx.doi.org/10.1016/j.jbusres.2016.04.164</w:t>
        </w:r>
      </w:hyperlink>
      <w:r w:rsidRPr="00F2180C">
        <w:rPr>
          <w:rFonts w:ascii="Times New Roman" w:hAnsi="Times New Roman" w:cs="Times New Roman"/>
          <w:color w:val="0000FF"/>
        </w:rPr>
        <w:t xml:space="preserve">. </w:t>
      </w:r>
      <w:r w:rsidRPr="00F2180C">
        <w:rPr>
          <w:rFonts w:ascii="Times New Roman" w:hAnsi="Times New Roman" w:cs="Times New Roman"/>
        </w:rPr>
        <w:t>[Accessed 16 December, 2018]</w:t>
      </w:r>
      <w:r w:rsidRPr="00F2180C">
        <w:rPr>
          <w:rFonts w:ascii="Times New Roman" w:hAnsi="Times New Roman" w:cs="Times New Roman"/>
          <w:color w:val="0000FF"/>
        </w:rPr>
        <w:t xml:space="preserve"> </w:t>
      </w:r>
    </w:p>
    <w:p w14:paraId="24F4E756" w14:textId="1A404F4A"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color w:val="16191C"/>
        </w:rPr>
        <w:t>Shaw, J. D., Gupta, N., &amp; Delery, J. E. (2005).</w:t>
      </w:r>
      <w:r w:rsidR="000C2B55">
        <w:rPr>
          <w:rFonts w:ascii="Times New Roman" w:eastAsia="Times New Roman" w:hAnsi="Times New Roman" w:cs="Times New Roman"/>
          <w:color w:val="16191C"/>
        </w:rPr>
        <w:t xml:space="preserve"> </w:t>
      </w:r>
      <w:r w:rsidR="000C2B55" w:rsidRPr="000C2B55">
        <w:rPr>
          <w:rFonts w:ascii="Times New Roman" w:eastAsia="Times New Roman" w:hAnsi="Times New Roman" w:cs="Times New Roman"/>
          <w:i/>
          <w:color w:val="16191C"/>
        </w:rPr>
        <w:t>‘</w:t>
      </w:r>
      <w:r w:rsidRPr="000C2B55">
        <w:rPr>
          <w:rFonts w:ascii="Times New Roman" w:eastAsia="Times New Roman" w:hAnsi="Times New Roman" w:cs="Times New Roman"/>
          <w:i/>
          <w:color w:val="16191C"/>
        </w:rPr>
        <w:t>Alternative conceptualizations of the relationship between voluntary turnover and organizational performance.</w:t>
      </w:r>
      <w:r w:rsidR="000C2B55" w:rsidRPr="000C2B55">
        <w:rPr>
          <w:rFonts w:ascii="Times New Roman" w:eastAsia="Times New Roman" w:hAnsi="Times New Roman" w:cs="Times New Roman"/>
          <w:i/>
          <w:color w:val="16191C"/>
        </w:rPr>
        <w:t>’</w:t>
      </w:r>
      <w:r w:rsidRPr="000C2B55">
        <w:rPr>
          <w:rFonts w:ascii="Times New Roman" w:eastAsia="Times New Roman" w:hAnsi="Times New Roman" w:cs="Times New Roman"/>
          <w:i/>
          <w:color w:val="16191C"/>
        </w:rPr>
        <w:t xml:space="preserve"> </w:t>
      </w:r>
      <w:r w:rsidRPr="00F2180C">
        <w:rPr>
          <w:rFonts w:ascii="Times New Roman" w:eastAsia="Times New Roman" w:hAnsi="Times New Roman" w:cs="Times New Roman"/>
          <w:iCs/>
          <w:color w:val="16191C"/>
        </w:rPr>
        <w:t xml:space="preserve">Academy of Management Journal, </w:t>
      </w:r>
      <w:r w:rsidRPr="00F2180C">
        <w:rPr>
          <w:rFonts w:ascii="Times New Roman" w:eastAsia="Times New Roman" w:hAnsi="Times New Roman" w:cs="Times New Roman"/>
          <w:color w:val="16191C"/>
        </w:rPr>
        <w:t xml:space="preserve">48, 50-68. </w:t>
      </w:r>
    </w:p>
    <w:p w14:paraId="6C301A24" w14:textId="392AF00D" w:rsidR="00C15C66" w:rsidRPr="00F2180C" w:rsidRDefault="00C15C66" w:rsidP="007F1479">
      <w:pPr>
        <w:pStyle w:val="NormalWeb"/>
        <w:numPr>
          <w:ilvl w:val="0"/>
          <w:numId w:val="36"/>
        </w:numPr>
        <w:spacing w:line="360" w:lineRule="auto"/>
        <w:jc w:val="both"/>
      </w:pPr>
      <w:r w:rsidRPr="00F2180C">
        <w:t xml:space="preserve">Southworth, E. (2014), </w:t>
      </w:r>
      <w:r w:rsidR="001C3EE9">
        <w:t>‘</w:t>
      </w:r>
      <w:r w:rsidRPr="001C3EE9">
        <w:rPr>
          <w:i/>
        </w:rPr>
        <w:t>Shedding gender stigmas: Work-life balance equity in the 21st century</w:t>
      </w:r>
      <w:r w:rsidR="001C3EE9" w:rsidRPr="001C3EE9">
        <w:rPr>
          <w:i/>
        </w:rPr>
        <w:t>’</w:t>
      </w:r>
      <w:r w:rsidRPr="001C3EE9">
        <w:rPr>
          <w:i/>
        </w:rPr>
        <w:t>,</w:t>
      </w:r>
      <w:r w:rsidRPr="00F2180C">
        <w:t xml:space="preserve"> Business Horizons (2014) 57, 97—106. [Online] Available from: </w:t>
      </w:r>
      <w:hyperlink r:id="rId38" w:history="1">
        <w:r w:rsidRPr="00F2180C">
          <w:rPr>
            <w:rStyle w:val="Hyperlink"/>
          </w:rPr>
          <w:t>www.sciencedirect.com</w:t>
        </w:r>
      </w:hyperlink>
      <w:r w:rsidRPr="00F2180C">
        <w:t xml:space="preserve"> [Accessed 22 December, 2018]</w:t>
      </w:r>
      <w:r w:rsidRPr="00F2180C">
        <w:rPr>
          <w:color w:val="007CAA"/>
        </w:rPr>
        <w:t xml:space="preserve"> </w:t>
      </w:r>
    </w:p>
    <w:p w14:paraId="0C67D21D" w14:textId="0E8E8751" w:rsidR="00C15C66" w:rsidRDefault="00C15C66" w:rsidP="00DC2D64">
      <w:pPr>
        <w:pStyle w:val="ListParagraph"/>
        <w:numPr>
          <w:ilvl w:val="0"/>
          <w:numId w:val="36"/>
        </w:numPr>
        <w:rPr>
          <w:rFonts w:ascii="Times New Roman" w:eastAsia="Times New Roman" w:hAnsi="Times New Roman" w:cs="Times New Roman"/>
        </w:rPr>
      </w:pPr>
      <w:bookmarkStart w:id="82" w:name="_Toc534629776"/>
      <w:r w:rsidRPr="00DC2D64">
        <w:rPr>
          <w:rFonts w:ascii="Times New Roman" w:eastAsia="Times New Roman" w:hAnsi="Times New Roman" w:cs="Times New Roman"/>
        </w:rPr>
        <w:t xml:space="preserve">Statista (2018), Importance of work-life balance among employees in the U.S. in 2018. [Online] Available from: </w:t>
      </w:r>
      <w:hyperlink r:id="rId39" w:history="1">
        <w:r w:rsidRPr="00DC2D64">
          <w:rPr>
            <w:rStyle w:val="Hyperlink"/>
            <w:rFonts w:eastAsia="Times New Roman"/>
          </w:rPr>
          <w:t>https://www.statista.com/statistics/916521/us-economy-importance-work-life-balance/</w:t>
        </w:r>
      </w:hyperlink>
      <w:r w:rsidRPr="00DC2D64">
        <w:rPr>
          <w:rFonts w:ascii="Times New Roman" w:eastAsia="Times New Roman" w:hAnsi="Times New Roman" w:cs="Times New Roman"/>
        </w:rPr>
        <w:t xml:space="preserve"> [Accessed 22 December 2018]</w:t>
      </w:r>
      <w:bookmarkEnd w:id="82"/>
    </w:p>
    <w:p w14:paraId="74136CDE" w14:textId="77777777" w:rsidR="00DC2D64" w:rsidRPr="00DC2D64" w:rsidRDefault="00DC2D64" w:rsidP="00DC2D64">
      <w:pPr>
        <w:pStyle w:val="ListParagraph"/>
        <w:rPr>
          <w:rFonts w:ascii="Times New Roman" w:eastAsia="Times New Roman" w:hAnsi="Times New Roman" w:cs="Times New Roman"/>
        </w:rPr>
      </w:pPr>
    </w:p>
    <w:p w14:paraId="1C28D618" w14:textId="21AA4B6F" w:rsidR="00DC2D64" w:rsidRDefault="00C15C66" w:rsidP="00DC2D64">
      <w:pPr>
        <w:pStyle w:val="ListParagraph"/>
        <w:numPr>
          <w:ilvl w:val="0"/>
          <w:numId w:val="36"/>
        </w:numPr>
        <w:rPr>
          <w:rFonts w:ascii="Times New Roman" w:eastAsia="Times New Roman" w:hAnsi="Times New Roman" w:cs="Times New Roman"/>
        </w:rPr>
      </w:pPr>
      <w:bookmarkStart w:id="83" w:name="_Toc534629777"/>
      <w:r w:rsidRPr="00DC2D64">
        <w:rPr>
          <w:rFonts w:ascii="Times New Roman" w:eastAsia="Times New Roman" w:hAnsi="Times New Roman" w:cs="Times New Roman"/>
        </w:rPr>
        <w:t xml:space="preserve">Statista (2018), Percentage of U.S. adults who stated specific wellbeing activities were important to their personal lives from 2016 to 2018. [Online] Available from: </w:t>
      </w:r>
      <w:hyperlink r:id="rId40" w:history="1">
        <w:r w:rsidRPr="00DC2D64">
          <w:rPr>
            <w:rStyle w:val="Hyperlink"/>
            <w:rFonts w:eastAsia="Times New Roman"/>
          </w:rPr>
          <w:t>https://www.statista.com/statistics/859599/specific-wellbeing-activities-importance-to-personal-lives-in-us/</w:t>
        </w:r>
      </w:hyperlink>
      <w:r w:rsidRPr="00DC2D64">
        <w:rPr>
          <w:rFonts w:ascii="Times New Roman" w:eastAsia="Times New Roman" w:hAnsi="Times New Roman" w:cs="Times New Roman"/>
        </w:rPr>
        <w:t xml:space="preserve"> [Accessed 24 December 2018]</w:t>
      </w:r>
      <w:bookmarkEnd w:id="83"/>
    </w:p>
    <w:p w14:paraId="0DF51A94" w14:textId="77777777" w:rsidR="00DC2D64" w:rsidRPr="00DC2D64" w:rsidRDefault="00DC2D64" w:rsidP="00DC2D64">
      <w:pPr>
        <w:rPr>
          <w:rFonts w:ascii="Times New Roman" w:eastAsia="Times New Roman" w:hAnsi="Times New Roman" w:cs="Times New Roman"/>
        </w:rPr>
      </w:pPr>
    </w:p>
    <w:p w14:paraId="0B0FF1B2" w14:textId="157EC037" w:rsidR="00C15C66" w:rsidRPr="00F2180C" w:rsidRDefault="00C15C66" w:rsidP="007F1479">
      <w:pPr>
        <w:pStyle w:val="NormalWeb"/>
        <w:numPr>
          <w:ilvl w:val="0"/>
          <w:numId w:val="36"/>
        </w:numPr>
        <w:spacing w:line="360" w:lineRule="auto"/>
        <w:jc w:val="both"/>
      </w:pPr>
      <w:r w:rsidRPr="00F2180C">
        <w:t xml:space="preserve">Sumarni, M. (2011). </w:t>
      </w:r>
      <w:r w:rsidR="001C3EE9" w:rsidRPr="001C3EE9">
        <w:rPr>
          <w:i/>
        </w:rPr>
        <w:t>‘</w:t>
      </w:r>
      <w:r w:rsidRPr="001C3EE9">
        <w:rPr>
          <w:i/>
        </w:rPr>
        <w:t>The Influence of Employee Retention on Turnover Intention and Employee Performance</w:t>
      </w:r>
      <w:r w:rsidR="001C3EE9" w:rsidRPr="001C3EE9">
        <w:rPr>
          <w:i/>
        </w:rPr>
        <w:t>’</w:t>
      </w:r>
      <w:r w:rsidRPr="00F2180C">
        <w:t xml:space="preserve">. </w:t>
      </w:r>
      <w:r w:rsidRPr="00F2180C">
        <w:rPr>
          <w:iCs/>
        </w:rPr>
        <w:t>AKMENIKA UPY</w:t>
      </w:r>
      <w:r w:rsidRPr="00F2180C">
        <w:t xml:space="preserve">, </w:t>
      </w:r>
      <w:r w:rsidRPr="00F2180C">
        <w:rPr>
          <w:iCs/>
        </w:rPr>
        <w:t>8</w:t>
      </w:r>
      <w:r w:rsidRPr="00F2180C">
        <w:t>, 20–47.</w:t>
      </w:r>
    </w:p>
    <w:p w14:paraId="7DB7E5CB" w14:textId="2677122C"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 xml:space="preserve">Sutanto, E., and Kurniawan, M. (2016), </w:t>
      </w:r>
      <w:r w:rsidR="001C3EE9" w:rsidRPr="001C3EE9">
        <w:rPr>
          <w:rFonts w:eastAsiaTheme="minorHAnsi"/>
          <w:i/>
          <w:lang w:val="en-US"/>
        </w:rPr>
        <w:t>‘</w:t>
      </w:r>
      <w:r w:rsidRPr="001C3EE9">
        <w:rPr>
          <w:rFonts w:eastAsiaTheme="minorHAnsi"/>
          <w:i/>
          <w:lang w:val="en-US"/>
        </w:rPr>
        <w:t>THE IMPACT OF RECRUITMENT, EMPLOYEE RETENTION AND LABOR RELATIONS TO EMPLOYEE PERFORMANCE ON BATIK INDUSTRY IN SOLO CITY, INDONESIA</w:t>
      </w:r>
      <w:r w:rsidR="001C3EE9" w:rsidRPr="001C3EE9">
        <w:rPr>
          <w:rFonts w:eastAsiaTheme="minorHAnsi"/>
          <w:i/>
          <w:lang w:val="en-US"/>
        </w:rPr>
        <w:t>’</w:t>
      </w:r>
      <w:r w:rsidRPr="00F2180C">
        <w:rPr>
          <w:rFonts w:eastAsiaTheme="minorHAnsi"/>
          <w:lang w:val="en-US"/>
        </w:rPr>
        <w:t xml:space="preserve">. International Journal of Business and Society, Vol. 17 No. 2, 2016, 375-390 </w:t>
      </w:r>
    </w:p>
    <w:p w14:paraId="12F79C6D" w14:textId="4045F754" w:rsidR="00C15C66" w:rsidRPr="00F2180C" w:rsidRDefault="00C15C66" w:rsidP="007F1479">
      <w:pPr>
        <w:pStyle w:val="NormalWeb"/>
        <w:numPr>
          <w:ilvl w:val="0"/>
          <w:numId w:val="36"/>
        </w:numPr>
        <w:spacing w:line="360" w:lineRule="auto"/>
        <w:jc w:val="both"/>
      </w:pPr>
      <w:r w:rsidRPr="00F2180C">
        <w:t xml:space="preserve">Talti, A. and Ozbilgin, M. (2012), </w:t>
      </w:r>
      <w:r w:rsidR="001C3EE9" w:rsidRPr="001C3EE9">
        <w:rPr>
          <w:i/>
        </w:rPr>
        <w:t>‘</w:t>
      </w:r>
      <w:r w:rsidRPr="001C3EE9">
        <w:rPr>
          <w:i/>
        </w:rPr>
        <w:t>An Emic Approach to Intersectional Study of Diversity at Work: A Bourdieuan Framingijmr</w:t>
      </w:r>
      <w:r w:rsidR="001C3EE9" w:rsidRPr="001C3EE9">
        <w:rPr>
          <w:i/>
        </w:rPr>
        <w:t>.’</w:t>
      </w:r>
      <w:r w:rsidR="001C3EE9">
        <w:t xml:space="preserve"> </w:t>
      </w:r>
      <w:r w:rsidRPr="00F2180C">
        <w:rPr>
          <w:iCs/>
        </w:rPr>
        <w:t>International Journal of Management Reviews, Vol. 14, 180–200.</w:t>
      </w:r>
    </w:p>
    <w:p w14:paraId="4038C8DB" w14:textId="77777777"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 xml:space="preserve">Target Jobs (2017), Dyson Hub: Challenge Convention, Take a closer look at Dyson early careers. [Online] Available from: </w:t>
      </w:r>
      <w:hyperlink r:id="rId41" w:history="1">
        <w:r w:rsidRPr="00F2180C">
          <w:rPr>
            <w:rStyle w:val="Hyperlink"/>
            <w:rFonts w:eastAsiaTheme="minorHAnsi"/>
            <w:lang w:val="en-US"/>
          </w:rPr>
          <w:t>https://targetjobs.co.uk/employer-hubs/dyson/474956-life-on-dysons-rather-different-graduate-programme</w:t>
        </w:r>
      </w:hyperlink>
      <w:r w:rsidRPr="00F2180C">
        <w:rPr>
          <w:rFonts w:eastAsiaTheme="minorHAnsi"/>
          <w:lang w:val="en-US"/>
        </w:rPr>
        <w:t xml:space="preserve"> [Accessed 20 December, 2018]</w:t>
      </w:r>
    </w:p>
    <w:p w14:paraId="5D7E496E" w14:textId="79269B91"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Thompson, J. A., &amp; Bunderson, J. S. (2001). </w:t>
      </w:r>
      <w:r w:rsidR="001C3EE9" w:rsidRPr="001C3EE9">
        <w:rPr>
          <w:rFonts w:ascii="Times New Roman" w:eastAsia="Times New Roman" w:hAnsi="Times New Roman" w:cs="Times New Roman"/>
          <w:i/>
        </w:rPr>
        <w:t>‘</w:t>
      </w:r>
      <w:r w:rsidRPr="001C3EE9">
        <w:rPr>
          <w:rFonts w:ascii="Times New Roman" w:eastAsia="Times New Roman" w:hAnsi="Times New Roman" w:cs="Times New Roman"/>
          <w:i/>
        </w:rPr>
        <w:t>Work-nonwork conflict and the phe- nomenology of time: Beyond the balance metaphor</w:t>
      </w:r>
      <w:r w:rsidR="001C3EE9" w:rsidRPr="001C3EE9">
        <w:rPr>
          <w:rFonts w:ascii="Times New Roman" w:eastAsia="Times New Roman" w:hAnsi="Times New Roman" w:cs="Times New Roman"/>
          <w:i/>
        </w:rPr>
        <w:t>’</w:t>
      </w:r>
      <w:r w:rsidRPr="001C3EE9">
        <w:rPr>
          <w:rFonts w:ascii="Times New Roman" w:eastAsia="Times New Roman" w:hAnsi="Times New Roman" w:cs="Times New Roman"/>
          <w:i/>
        </w:rPr>
        <w:t>.</w:t>
      </w:r>
      <w:r w:rsidRPr="00F2180C">
        <w:rPr>
          <w:rFonts w:ascii="Times New Roman" w:eastAsia="Times New Roman" w:hAnsi="Times New Roman" w:cs="Times New Roman"/>
        </w:rPr>
        <w:t xml:space="preserve"> Work and Occupations, 28, 17-39. </w:t>
      </w:r>
    </w:p>
    <w:p w14:paraId="50D3F2ED" w14:textId="35A2C50B"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Thornton, G. (2013). </w:t>
      </w:r>
      <w:r w:rsidR="001C3EE9" w:rsidRPr="001C3EE9">
        <w:rPr>
          <w:rFonts w:ascii="Times New Roman" w:eastAsia="Times New Roman" w:hAnsi="Times New Roman" w:cs="Times New Roman"/>
          <w:i/>
        </w:rPr>
        <w:t>‘</w:t>
      </w:r>
      <w:r w:rsidRPr="001C3EE9">
        <w:rPr>
          <w:rFonts w:ascii="Times New Roman" w:eastAsia="Times New Roman" w:hAnsi="Times New Roman" w:cs="Times New Roman"/>
          <w:i/>
        </w:rPr>
        <w:t>Presence of women in management positions: Kick in Spain</w:t>
      </w:r>
      <w:r w:rsidR="001C3EE9" w:rsidRPr="001C3EE9">
        <w:rPr>
          <w:rFonts w:ascii="Times New Roman" w:eastAsia="Times New Roman" w:hAnsi="Times New Roman" w:cs="Times New Roman"/>
          <w:i/>
        </w:rPr>
        <w:t>’</w:t>
      </w:r>
      <w:r w:rsidRPr="00F2180C">
        <w:rPr>
          <w:rFonts w:ascii="Times New Roman" w:eastAsia="Times New Roman" w:hAnsi="Times New Roman" w:cs="Times New Roman"/>
        </w:rPr>
        <w:t xml:space="preserve">. [Online] Available from: </w:t>
      </w:r>
      <w:hyperlink r:id="rId42" w:history="1">
        <w:r w:rsidRPr="00F2180C">
          <w:rPr>
            <w:rStyle w:val="Hyperlink"/>
            <w:rFonts w:ascii="Times New Roman" w:eastAsia="Times New Roman" w:hAnsi="Times New Roman" w:cs="Times New Roman"/>
          </w:rPr>
          <w:t>http://www.grantthornton.es</w:t>
        </w:r>
      </w:hyperlink>
      <w:r w:rsidRPr="00F2180C">
        <w:rPr>
          <w:rFonts w:ascii="Times New Roman" w:eastAsia="Times New Roman" w:hAnsi="Times New Roman" w:cs="Times New Roman"/>
        </w:rPr>
        <w:t xml:space="preserve"> [Accessed 12 December 2018) </w:t>
      </w:r>
    </w:p>
    <w:p w14:paraId="6AC1A0E4" w14:textId="14499A7D" w:rsidR="00912E24" w:rsidRDefault="00C15C66" w:rsidP="00F2180C">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Wentling M, Rivas, N (2000). </w:t>
      </w:r>
      <w:r w:rsidRPr="001C3EE9">
        <w:rPr>
          <w:rFonts w:ascii="Times New Roman" w:hAnsi="Times New Roman" w:cs="Times New Roman"/>
          <w:i/>
        </w:rPr>
        <w:t>"Current status of diversity initiatives in selected multinational corporations",</w:t>
      </w:r>
      <w:r w:rsidRPr="00F2180C">
        <w:rPr>
          <w:rFonts w:ascii="Times New Roman" w:hAnsi="Times New Roman" w:cs="Times New Roman"/>
        </w:rPr>
        <w:t xml:space="preserve"> Human Resource Development Quarterly, 11 (1). pp.35-60.</w:t>
      </w:r>
    </w:p>
    <w:p w14:paraId="0C15814B" w14:textId="77777777" w:rsidR="008E2CFC" w:rsidRDefault="008E2CFC" w:rsidP="008E2CFC">
      <w:pPr>
        <w:spacing w:line="360" w:lineRule="auto"/>
        <w:jc w:val="both"/>
        <w:rPr>
          <w:rFonts w:ascii="Times New Roman" w:hAnsi="Times New Roman" w:cs="Times New Roman"/>
        </w:rPr>
      </w:pPr>
    </w:p>
    <w:p w14:paraId="3D642B93" w14:textId="77777777" w:rsidR="008E2CFC" w:rsidRPr="00EA4F1F" w:rsidRDefault="008E2CFC" w:rsidP="008E2CFC">
      <w:pPr>
        <w:pStyle w:val="PlainText"/>
        <w:rPr>
          <w:rFonts w:ascii="Arial" w:hAnsi="Arial"/>
          <w:sz w:val="22"/>
          <w:szCs w:val="22"/>
        </w:rPr>
      </w:pPr>
      <w:r w:rsidRPr="00EA4F1F">
        <w:rPr>
          <w:rFonts w:ascii="Arial" w:hAnsi="Arial"/>
          <w:sz w:val="22"/>
          <w:szCs w:val="22"/>
        </w:rPr>
        <w:t>LCDB7002_MCE_A1 - OCT 18</w:t>
      </w:r>
    </w:p>
    <w:p w14:paraId="46E86977" w14:textId="77777777" w:rsidR="008E2CFC" w:rsidRPr="00EA4F1F" w:rsidRDefault="008E2CFC" w:rsidP="008E2CFC">
      <w:pPr>
        <w:pStyle w:val="PlainText"/>
        <w:rPr>
          <w:rFonts w:ascii="Arial" w:hAnsi="Arial"/>
          <w:sz w:val="22"/>
          <w:szCs w:val="22"/>
        </w:rPr>
      </w:pPr>
      <w:r w:rsidRPr="00EA4F1F">
        <w:rPr>
          <w:rFonts w:ascii="Arial" w:hAnsi="Arial"/>
          <w:sz w:val="22"/>
          <w:szCs w:val="22"/>
        </w:rPr>
        <w:t>Criterion 1 (15%)</w:t>
      </w:r>
    </w:p>
    <w:p w14:paraId="5D22C382" w14:textId="77777777" w:rsidR="008E2CFC" w:rsidRPr="00EA4F1F" w:rsidRDefault="008E2CFC" w:rsidP="008E2CFC">
      <w:pPr>
        <w:pStyle w:val="PlainText"/>
        <w:rPr>
          <w:rFonts w:ascii="Arial" w:hAnsi="Arial"/>
          <w:sz w:val="22"/>
          <w:szCs w:val="22"/>
        </w:rPr>
      </w:pPr>
      <w:r w:rsidRPr="00EA4F1F">
        <w:rPr>
          <w:rFonts w:ascii="Arial" w:hAnsi="Arial"/>
          <w:sz w:val="22"/>
          <w:szCs w:val="22"/>
        </w:rPr>
        <w:t xml:space="preserve">Research-informed Literature </w:t>
      </w:r>
    </w:p>
    <w:p w14:paraId="19B344CB" w14:textId="77777777" w:rsidR="008E2CFC" w:rsidRPr="00EA4F1F" w:rsidRDefault="008E2CFC" w:rsidP="008E2CFC">
      <w:pPr>
        <w:pStyle w:val="PlainText"/>
        <w:rPr>
          <w:rFonts w:ascii="Arial" w:hAnsi="Arial"/>
          <w:sz w:val="22"/>
          <w:szCs w:val="22"/>
        </w:rPr>
      </w:pPr>
      <w:r w:rsidRPr="00EA4F1F">
        <w:rPr>
          <w:rFonts w:ascii="Arial" w:hAnsi="Arial"/>
          <w:sz w:val="22"/>
          <w:szCs w:val="22"/>
        </w:rPr>
        <w:t>Extent of research and/or own reading, selection of credible sources, application of appropriate referencing conventions.</w:t>
      </w:r>
    </w:p>
    <w:p w14:paraId="0D62EF2C" w14:textId="77777777" w:rsidR="008E2CFC" w:rsidRPr="00EA4F1F" w:rsidRDefault="008E2CFC" w:rsidP="008E2CFC">
      <w:pPr>
        <w:pStyle w:val="PlainText"/>
        <w:rPr>
          <w:rFonts w:ascii="Arial" w:hAnsi="Arial"/>
          <w:sz w:val="22"/>
          <w:szCs w:val="22"/>
        </w:rPr>
      </w:pPr>
      <w:r w:rsidRPr="00EA4F1F">
        <w:rPr>
          <w:rFonts w:ascii="Arial" w:hAnsi="Arial"/>
          <w:sz w:val="22"/>
          <w:szCs w:val="22"/>
        </w:rPr>
        <w:t>Score  --</w:t>
      </w:r>
    </w:p>
    <w:p w14:paraId="277E3324" w14:textId="77777777" w:rsidR="008E2CFC" w:rsidRPr="00EA4F1F" w:rsidRDefault="008E2CFC" w:rsidP="008E2CFC">
      <w:pPr>
        <w:pStyle w:val="PlainText"/>
        <w:rPr>
          <w:rFonts w:ascii="Arial" w:hAnsi="Arial"/>
          <w:sz w:val="22"/>
          <w:szCs w:val="22"/>
        </w:rPr>
      </w:pPr>
      <w:r w:rsidRPr="00EA4F1F">
        <w:rPr>
          <w:rFonts w:ascii="Arial" w:hAnsi="Arial"/>
          <w:sz w:val="22"/>
          <w:szCs w:val="22"/>
        </w:rPr>
        <w:t>Comment</w:t>
      </w:r>
    </w:p>
    <w:p w14:paraId="2F7CC2D9" w14:textId="77777777" w:rsidR="008E2CFC" w:rsidRPr="00EA4F1F" w:rsidRDefault="008E2CFC" w:rsidP="008E2CFC">
      <w:pPr>
        <w:pStyle w:val="PlainText"/>
        <w:spacing w:before="100" w:after="100"/>
        <w:rPr>
          <w:rFonts w:ascii="Arial" w:hAnsi="Arial"/>
          <w:sz w:val="22"/>
          <w:szCs w:val="22"/>
        </w:rPr>
      </w:pPr>
      <w:r w:rsidRPr="00EA4F1F">
        <w:rPr>
          <w:rFonts w:ascii="Arial" w:hAnsi="Arial"/>
          <w:sz w:val="22"/>
          <w:szCs w:val="22"/>
        </w:rPr>
        <w:t xml:space="preserve">Lots of unnecessary introductory description -- be specific about the purposes of the report. A few secondary sources used - but how are these linked to the main argument and recommendations? Too much of the literature review is devoted to summarising content, rather than indicating how it may or may not support </w:t>
      </w:r>
    </w:p>
    <w:p w14:paraId="604BBF58" w14:textId="77777777" w:rsidR="008E2CFC" w:rsidRPr="00EA4F1F" w:rsidRDefault="008E2CFC" w:rsidP="008E2CFC">
      <w:pPr>
        <w:pStyle w:val="PlainText"/>
        <w:spacing w:before="100" w:after="100"/>
        <w:rPr>
          <w:rFonts w:ascii="Arial" w:hAnsi="Arial"/>
          <w:sz w:val="22"/>
          <w:szCs w:val="22"/>
        </w:rPr>
      </w:pPr>
      <w:r w:rsidRPr="00EA4F1F">
        <w:rPr>
          <w:rFonts w:ascii="Arial" w:hAnsi="Arial"/>
          <w:sz w:val="22"/>
          <w:szCs w:val="22"/>
        </w:rPr>
        <w:t>Criterion 2 (25%)</w:t>
      </w:r>
    </w:p>
    <w:p w14:paraId="54F87BDE" w14:textId="77777777" w:rsidR="008E2CFC" w:rsidRPr="00EA4F1F" w:rsidRDefault="008E2CFC" w:rsidP="008E2CFC">
      <w:pPr>
        <w:pStyle w:val="PlainText"/>
        <w:spacing w:before="100" w:after="100"/>
        <w:rPr>
          <w:rFonts w:ascii="Arial" w:hAnsi="Arial"/>
          <w:sz w:val="22"/>
          <w:szCs w:val="22"/>
        </w:rPr>
      </w:pPr>
      <w:r w:rsidRPr="00EA4F1F">
        <w:rPr>
          <w:rFonts w:ascii="Arial" w:hAnsi="Arial"/>
          <w:sz w:val="22"/>
          <w:szCs w:val="22"/>
        </w:rPr>
        <w:t>Knowledge and Understanding of Subject</w:t>
      </w:r>
    </w:p>
    <w:p w14:paraId="5BB4D8E0" w14:textId="77777777" w:rsidR="008E2CFC" w:rsidRPr="00EA4F1F" w:rsidRDefault="008E2CFC" w:rsidP="008E2CFC">
      <w:pPr>
        <w:pStyle w:val="PlainText"/>
        <w:rPr>
          <w:rFonts w:ascii="Arial" w:hAnsi="Arial"/>
          <w:sz w:val="22"/>
          <w:szCs w:val="22"/>
        </w:rPr>
      </w:pPr>
      <w:r w:rsidRPr="00EA4F1F">
        <w:rPr>
          <w:rFonts w:ascii="Arial" w:hAnsi="Arial"/>
          <w:sz w:val="22"/>
          <w:szCs w:val="22"/>
        </w:rPr>
        <w:t>Extent of knowledge and understanding of concepts and underlying principles associated with the discipline.</w:t>
      </w:r>
    </w:p>
    <w:p w14:paraId="43F0F26D" w14:textId="77777777" w:rsidR="008E2CFC" w:rsidRPr="00EA4F1F" w:rsidRDefault="008E2CFC" w:rsidP="008E2CFC">
      <w:pPr>
        <w:pStyle w:val="PlainText"/>
        <w:rPr>
          <w:rFonts w:ascii="Arial" w:hAnsi="Arial"/>
          <w:sz w:val="22"/>
          <w:szCs w:val="22"/>
        </w:rPr>
      </w:pPr>
      <w:r w:rsidRPr="00EA4F1F">
        <w:rPr>
          <w:rFonts w:ascii="Arial" w:hAnsi="Arial"/>
          <w:sz w:val="22"/>
          <w:szCs w:val="22"/>
        </w:rPr>
        <w:t>Score  --</w:t>
      </w:r>
    </w:p>
    <w:p w14:paraId="0D910C67" w14:textId="77777777" w:rsidR="008E2CFC" w:rsidRPr="00EA4F1F" w:rsidRDefault="008E2CFC" w:rsidP="008E2CFC">
      <w:pPr>
        <w:pStyle w:val="PlainText"/>
        <w:rPr>
          <w:rFonts w:ascii="Arial" w:hAnsi="Arial"/>
          <w:sz w:val="22"/>
          <w:szCs w:val="22"/>
        </w:rPr>
      </w:pPr>
      <w:r w:rsidRPr="00EA4F1F">
        <w:rPr>
          <w:rFonts w:ascii="Arial" w:hAnsi="Arial"/>
          <w:sz w:val="22"/>
          <w:szCs w:val="22"/>
        </w:rPr>
        <w:t>Comment</w:t>
      </w:r>
    </w:p>
    <w:p w14:paraId="109585DE" w14:textId="77777777" w:rsidR="008E2CFC" w:rsidRPr="00EA4F1F" w:rsidRDefault="008E2CFC" w:rsidP="008E2CFC">
      <w:pPr>
        <w:pStyle w:val="PlainText"/>
        <w:rPr>
          <w:rFonts w:ascii="Arial" w:hAnsi="Arial"/>
          <w:sz w:val="22"/>
          <w:szCs w:val="22"/>
        </w:rPr>
      </w:pPr>
      <w:r w:rsidRPr="00EA4F1F">
        <w:rPr>
          <w:rFonts w:ascii="Arial" w:hAnsi="Arial"/>
          <w:sz w:val="22"/>
          <w:szCs w:val="22"/>
        </w:rPr>
        <w:t>Overall the discussion is too general -- one wants to see the implications for Aetna's specific diversity policies.  One fails to see the relevance of the extensive appendix which merely repeats tables from the original Aetna documentation.</w:t>
      </w:r>
    </w:p>
    <w:p w14:paraId="533D3CD6" w14:textId="77777777" w:rsidR="008E2CFC" w:rsidRPr="00EA4F1F" w:rsidRDefault="008E2CFC" w:rsidP="008E2CFC">
      <w:pPr>
        <w:pStyle w:val="PlainText"/>
        <w:rPr>
          <w:rFonts w:ascii="Arial" w:hAnsi="Arial"/>
          <w:sz w:val="22"/>
          <w:szCs w:val="22"/>
        </w:rPr>
      </w:pPr>
      <w:r w:rsidRPr="00EA4F1F">
        <w:rPr>
          <w:rFonts w:ascii="Arial" w:hAnsi="Arial"/>
          <w:sz w:val="22"/>
          <w:szCs w:val="22"/>
        </w:rPr>
        <w:lastRenderedPageBreak/>
        <w:t>Criterion 3 (25%)</w:t>
      </w:r>
    </w:p>
    <w:p w14:paraId="6F53B781" w14:textId="77777777" w:rsidR="008E2CFC" w:rsidRPr="00EA4F1F" w:rsidRDefault="008E2CFC" w:rsidP="008E2CFC">
      <w:pPr>
        <w:pStyle w:val="PlainText"/>
        <w:rPr>
          <w:rFonts w:ascii="Arial" w:hAnsi="Arial"/>
          <w:sz w:val="22"/>
          <w:szCs w:val="22"/>
        </w:rPr>
      </w:pPr>
      <w:r w:rsidRPr="00EA4F1F">
        <w:rPr>
          <w:rFonts w:ascii="Arial" w:hAnsi="Arial"/>
          <w:sz w:val="22"/>
          <w:szCs w:val="22"/>
        </w:rPr>
        <w:t>Analysis</w:t>
      </w:r>
    </w:p>
    <w:p w14:paraId="79B3C0ED" w14:textId="77777777" w:rsidR="008E2CFC" w:rsidRPr="00EA4F1F" w:rsidRDefault="008E2CFC" w:rsidP="008E2CFC">
      <w:pPr>
        <w:pStyle w:val="PlainText"/>
        <w:rPr>
          <w:rFonts w:ascii="Arial" w:hAnsi="Arial"/>
          <w:sz w:val="22"/>
          <w:szCs w:val="22"/>
        </w:rPr>
      </w:pPr>
      <w:r w:rsidRPr="00EA4F1F">
        <w:rPr>
          <w:rFonts w:ascii="Arial" w:hAnsi="Arial"/>
          <w:sz w:val="22"/>
          <w:szCs w:val="22"/>
        </w:rPr>
        <w:t>Analysis, evaluation and synthesis; logic, argument and judgement; analytical reflection; organisation  of ideas and evidence</w:t>
      </w:r>
    </w:p>
    <w:p w14:paraId="7FFD480B" w14:textId="77777777" w:rsidR="008E2CFC" w:rsidRPr="00EA4F1F" w:rsidRDefault="008E2CFC" w:rsidP="008E2CFC">
      <w:pPr>
        <w:pStyle w:val="PlainText"/>
        <w:rPr>
          <w:rFonts w:ascii="Arial" w:hAnsi="Arial"/>
          <w:sz w:val="22"/>
          <w:szCs w:val="22"/>
        </w:rPr>
      </w:pPr>
      <w:r w:rsidRPr="00EA4F1F">
        <w:rPr>
          <w:rFonts w:ascii="Arial" w:hAnsi="Arial"/>
          <w:sz w:val="22"/>
          <w:szCs w:val="22"/>
        </w:rPr>
        <w:t>Score  --</w:t>
      </w:r>
    </w:p>
    <w:p w14:paraId="32C1C941" w14:textId="77777777" w:rsidR="008E2CFC" w:rsidRPr="00EA4F1F" w:rsidRDefault="008E2CFC" w:rsidP="008E2CFC">
      <w:pPr>
        <w:pStyle w:val="PlainText"/>
        <w:rPr>
          <w:rFonts w:ascii="Arial" w:hAnsi="Arial"/>
          <w:sz w:val="22"/>
          <w:szCs w:val="22"/>
        </w:rPr>
      </w:pPr>
      <w:r w:rsidRPr="00EA4F1F">
        <w:rPr>
          <w:rFonts w:ascii="Arial" w:hAnsi="Arial"/>
          <w:sz w:val="22"/>
          <w:szCs w:val="22"/>
        </w:rPr>
        <w:t>Comment</w:t>
      </w:r>
    </w:p>
    <w:p w14:paraId="4F5294CF" w14:textId="77777777" w:rsidR="008E2CFC" w:rsidRPr="00EA4F1F" w:rsidRDefault="008E2CFC" w:rsidP="008E2CFC">
      <w:pPr>
        <w:pStyle w:val="PlainText"/>
        <w:rPr>
          <w:rFonts w:ascii="Arial" w:hAnsi="Arial"/>
          <w:sz w:val="22"/>
          <w:szCs w:val="22"/>
        </w:rPr>
      </w:pPr>
      <w:r w:rsidRPr="00EA4F1F">
        <w:rPr>
          <w:rFonts w:ascii="Arial" w:hAnsi="Arial"/>
          <w:sz w:val="22"/>
          <w:szCs w:val="22"/>
        </w:rPr>
        <w:t>Very little analysis - just anodyne description of issues a diversity policy needs to address. A comparison case would have been useful, here,</w:t>
      </w:r>
    </w:p>
    <w:p w14:paraId="2E23AD01" w14:textId="77777777" w:rsidR="008E2CFC" w:rsidRPr="00EA4F1F" w:rsidRDefault="008E2CFC" w:rsidP="008E2CFC">
      <w:pPr>
        <w:pStyle w:val="PlainText"/>
        <w:rPr>
          <w:rFonts w:ascii="Arial" w:hAnsi="Arial"/>
          <w:sz w:val="22"/>
          <w:szCs w:val="22"/>
        </w:rPr>
      </w:pPr>
      <w:r w:rsidRPr="00EA4F1F">
        <w:rPr>
          <w:rFonts w:ascii="Arial" w:hAnsi="Arial"/>
          <w:sz w:val="22"/>
          <w:szCs w:val="22"/>
        </w:rPr>
        <w:t>Criterion 4 (25%)</w:t>
      </w:r>
    </w:p>
    <w:p w14:paraId="29B0D71B" w14:textId="77777777" w:rsidR="008E2CFC" w:rsidRPr="00EA4F1F" w:rsidRDefault="008E2CFC" w:rsidP="008E2CFC">
      <w:pPr>
        <w:pStyle w:val="PlainText"/>
        <w:rPr>
          <w:rFonts w:ascii="Arial" w:hAnsi="Arial"/>
          <w:sz w:val="22"/>
          <w:szCs w:val="22"/>
        </w:rPr>
      </w:pPr>
      <w:r w:rsidRPr="00EA4F1F">
        <w:rPr>
          <w:rFonts w:ascii="Arial" w:hAnsi="Arial"/>
          <w:sz w:val="22"/>
          <w:szCs w:val="22"/>
        </w:rPr>
        <w:t>Practical Application and Deployment</w:t>
      </w:r>
    </w:p>
    <w:p w14:paraId="0038F530" w14:textId="77777777" w:rsidR="008E2CFC" w:rsidRPr="00EA4F1F" w:rsidRDefault="008E2CFC" w:rsidP="008E2CFC">
      <w:pPr>
        <w:pStyle w:val="PlainText"/>
        <w:rPr>
          <w:rFonts w:ascii="Arial" w:hAnsi="Arial"/>
          <w:sz w:val="22"/>
          <w:szCs w:val="22"/>
        </w:rPr>
      </w:pPr>
      <w:r w:rsidRPr="00EA4F1F">
        <w:rPr>
          <w:rFonts w:ascii="Arial" w:hAnsi="Arial"/>
          <w:sz w:val="22"/>
          <w:szCs w:val="22"/>
        </w:rPr>
        <w:t>Deployment of methods, materials, tools and techniques; application of concepts; formulation of innovative and creative solutions to solve problems.</w:t>
      </w:r>
    </w:p>
    <w:p w14:paraId="2422E5C4" w14:textId="77777777" w:rsidR="008E2CFC" w:rsidRPr="00EA4F1F" w:rsidRDefault="008E2CFC" w:rsidP="008E2CFC">
      <w:pPr>
        <w:pStyle w:val="PlainText"/>
        <w:rPr>
          <w:rFonts w:ascii="Arial" w:hAnsi="Arial"/>
          <w:sz w:val="22"/>
          <w:szCs w:val="22"/>
        </w:rPr>
      </w:pPr>
      <w:r w:rsidRPr="00EA4F1F">
        <w:rPr>
          <w:rFonts w:ascii="Arial" w:hAnsi="Arial"/>
          <w:sz w:val="22"/>
          <w:szCs w:val="22"/>
        </w:rPr>
        <w:t>Score  --</w:t>
      </w:r>
    </w:p>
    <w:p w14:paraId="69D553F0" w14:textId="77777777" w:rsidR="008E2CFC" w:rsidRPr="00EA4F1F" w:rsidRDefault="008E2CFC" w:rsidP="008E2CFC">
      <w:pPr>
        <w:pStyle w:val="PlainText"/>
        <w:rPr>
          <w:rFonts w:ascii="Arial" w:hAnsi="Arial"/>
          <w:sz w:val="22"/>
          <w:szCs w:val="22"/>
        </w:rPr>
      </w:pPr>
      <w:r w:rsidRPr="00EA4F1F">
        <w:rPr>
          <w:rFonts w:ascii="Arial" w:hAnsi="Arial"/>
          <w:sz w:val="22"/>
          <w:szCs w:val="22"/>
        </w:rPr>
        <w:t>Comment</w:t>
      </w:r>
    </w:p>
    <w:p w14:paraId="38020E35" w14:textId="77777777" w:rsidR="008E2CFC" w:rsidRPr="00EA4F1F" w:rsidRDefault="008E2CFC" w:rsidP="008E2CFC">
      <w:pPr>
        <w:pStyle w:val="PlainText"/>
        <w:rPr>
          <w:rFonts w:ascii="Arial" w:hAnsi="Arial"/>
          <w:sz w:val="22"/>
          <w:szCs w:val="22"/>
        </w:rPr>
      </w:pPr>
      <w:r w:rsidRPr="00EA4F1F">
        <w:rPr>
          <w:rFonts w:ascii="Arial" w:hAnsi="Arial"/>
          <w:sz w:val="22"/>
          <w:szCs w:val="22"/>
        </w:rPr>
        <w:t>Few recommendations delivered. This remains a descriptive essay rather than a purposive business report.</w:t>
      </w:r>
    </w:p>
    <w:p w14:paraId="41E7CFEF" w14:textId="77777777" w:rsidR="008E2CFC" w:rsidRPr="00EA4F1F" w:rsidRDefault="008E2CFC" w:rsidP="008E2CFC">
      <w:pPr>
        <w:pStyle w:val="PlainText"/>
        <w:rPr>
          <w:rFonts w:ascii="Arial" w:hAnsi="Arial"/>
          <w:sz w:val="22"/>
          <w:szCs w:val="22"/>
        </w:rPr>
      </w:pPr>
      <w:r w:rsidRPr="00EA4F1F">
        <w:rPr>
          <w:rFonts w:ascii="Arial" w:hAnsi="Arial"/>
          <w:sz w:val="22"/>
          <w:szCs w:val="22"/>
        </w:rPr>
        <w:t>Criterion 5 (10%)</w:t>
      </w:r>
    </w:p>
    <w:p w14:paraId="7520E501" w14:textId="77777777" w:rsidR="008E2CFC" w:rsidRPr="00EA4F1F" w:rsidRDefault="008E2CFC" w:rsidP="008E2CFC">
      <w:pPr>
        <w:pStyle w:val="PlainText"/>
        <w:rPr>
          <w:rFonts w:ascii="Arial" w:hAnsi="Arial"/>
          <w:sz w:val="22"/>
          <w:szCs w:val="22"/>
        </w:rPr>
      </w:pPr>
      <w:r w:rsidRPr="00EA4F1F">
        <w:rPr>
          <w:rFonts w:ascii="Arial" w:hAnsi="Arial"/>
          <w:sz w:val="22"/>
          <w:szCs w:val="22"/>
        </w:rPr>
        <w:t xml:space="preserve">Skills for Professional Practice </w:t>
      </w:r>
    </w:p>
    <w:p w14:paraId="09FE47C2" w14:textId="77777777" w:rsidR="008E2CFC" w:rsidRPr="00EA4F1F" w:rsidRDefault="008E2CFC" w:rsidP="008E2CFC">
      <w:pPr>
        <w:pStyle w:val="PlainText"/>
        <w:rPr>
          <w:rFonts w:ascii="Arial" w:hAnsi="Arial"/>
          <w:sz w:val="22"/>
          <w:szCs w:val="22"/>
        </w:rPr>
      </w:pPr>
      <w:r w:rsidRPr="00EA4F1F">
        <w:rPr>
          <w:rFonts w:ascii="Arial" w:hAnsi="Arial"/>
          <w:sz w:val="22"/>
          <w:szCs w:val="22"/>
        </w:rPr>
        <w:t>Attributes in professional practice: individual and collaborative working; deployment of appropriate media; presentation and organisation.</w:t>
      </w:r>
    </w:p>
    <w:p w14:paraId="7B13A2A2" w14:textId="77777777" w:rsidR="008E2CFC" w:rsidRPr="00EA4F1F" w:rsidRDefault="008E2CFC" w:rsidP="008E2CFC">
      <w:pPr>
        <w:pStyle w:val="PlainText"/>
        <w:rPr>
          <w:rFonts w:ascii="Arial" w:hAnsi="Arial"/>
          <w:sz w:val="22"/>
          <w:szCs w:val="22"/>
        </w:rPr>
      </w:pPr>
      <w:r w:rsidRPr="00EA4F1F">
        <w:rPr>
          <w:rFonts w:ascii="Arial" w:hAnsi="Arial"/>
          <w:sz w:val="22"/>
          <w:szCs w:val="22"/>
        </w:rPr>
        <w:t>Score  --</w:t>
      </w:r>
    </w:p>
    <w:p w14:paraId="3B5313CB" w14:textId="77777777" w:rsidR="008E2CFC" w:rsidRPr="00EA4F1F" w:rsidRDefault="008E2CFC" w:rsidP="008E2CFC">
      <w:pPr>
        <w:pStyle w:val="PlainText"/>
        <w:rPr>
          <w:rFonts w:ascii="Arial" w:hAnsi="Arial"/>
          <w:sz w:val="22"/>
          <w:szCs w:val="22"/>
        </w:rPr>
      </w:pPr>
      <w:r w:rsidRPr="00EA4F1F">
        <w:rPr>
          <w:rFonts w:ascii="Arial" w:hAnsi="Arial"/>
          <w:sz w:val="22"/>
          <w:szCs w:val="22"/>
        </w:rPr>
        <w:t>Comment</w:t>
      </w:r>
    </w:p>
    <w:p w14:paraId="7D2B1ECB" w14:textId="77777777" w:rsidR="008E2CFC" w:rsidRPr="00EA4F1F" w:rsidRDefault="008E2CFC" w:rsidP="008E2CFC">
      <w:pPr>
        <w:pStyle w:val="PlainText"/>
        <w:rPr>
          <w:rFonts w:ascii="Arial" w:hAnsi="Arial"/>
          <w:sz w:val="22"/>
          <w:szCs w:val="22"/>
        </w:rPr>
      </w:pPr>
      <w:r w:rsidRPr="00EA4F1F">
        <w:rPr>
          <w:rFonts w:ascii="Arial" w:hAnsi="Arial"/>
          <w:sz w:val="22"/>
          <w:szCs w:val="22"/>
        </w:rPr>
        <w:t>Much too long -- and too descriptive, but adequate. The writing is sound, but in-text referencing is poor. The action plan seems misplaced and not supported by the preceding discussion.</w:t>
      </w:r>
    </w:p>
    <w:p w14:paraId="7A495FF5" w14:textId="77777777" w:rsidR="008E2CFC" w:rsidRPr="00EA4F1F" w:rsidRDefault="008E2CFC" w:rsidP="008E2CFC">
      <w:pPr>
        <w:pStyle w:val="PlainText"/>
        <w:rPr>
          <w:rFonts w:ascii="Arial" w:hAnsi="Arial"/>
          <w:sz w:val="22"/>
          <w:szCs w:val="22"/>
        </w:rPr>
      </w:pPr>
      <w:r w:rsidRPr="00EA4F1F">
        <w:rPr>
          <w:rFonts w:ascii="Arial" w:hAnsi="Arial"/>
          <w:sz w:val="22"/>
          <w:szCs w:val="22"/>
        </w:rPr>
        <w:t>Disclaimer: Results are provisional until confirmed by the Examination Board.</w:t>
      </w:r>
    </w:p>
    <w:p w14:paraId="6BF330EA" w14:textId="77777777" w:rsidR="008E2CFC" w:rsidRPr="00EA4F1F" w:rsidRDefault="008E2CFC" w:rsidP="008E2CFC">
      <w:pPr>
        <w:pStyle w:val="PlainText"/>
        <w:rPr>
          <w:rFonts w:ascii="Arial" w:hAnsi="Arial"/>
          <w:sz w:val="22"/>
          <w:szCs w:val="22"/>
        </w:rPr>
      </w:pPr>
      <w:r w:rsidRPr="00EA4F1F">
        <w:rPr>
          <w:rFonts w:ascii="Arial" w:hAnsi="Arial"/>
          <w:sz w:val="22"/>
          <w:szCs w:val="22"/>
        </w:rPr>
        <w:t>The mark in this Feedback is given out of 100. However, Late Submissions and RESIT students will have their marks capped in their Final Result Letter, as according to the University‚Äôs regulations in place.</w:t>
      </w:r>
    </w:p>
    <w:p w14:paraId="7A161D04" w14:textId="77777777" w:rsidR="008E2CFC" w:rsidRPr="008E2CFC" w:rsidRDefault="008E2CFC" w:rsidP="008E2CFC">
      <w:pPr>
        <w:spacing w:line="360" w:lineRule="auto"/>
        <w:jc w:val="both"/>
        <w:rPr>
          <w:rFonts w:ascii="Times New Roman" w:hAnsi="Times New Roman" w:cs="Times New Roman"/>
        </w:rPr>
      </w:pPr>
      <w:bookmarkStart w:id="84" w:name="_GoBack"/>
      <w:bookmarkEnd w:id="84"/>
    </w:p>
    <w:sectPr w:rsidR="008E2CFC" w:rsidRPr="008E2CFC" w:rsidSect="00D93AD2">
      <w:footerReference w:type="even" r:id="rId43"/>
      <w:footerReference w:type="default" r:id="rId44"/>
      <w:pgSz w:w="11900" w:h="16820"/>
      <w:pgMar w:top="1440" w:right="1797" w:bottom="1440" w:left="1797" w:header="709" w:footer="709" w:gutter="0"/>
      <w:pgBorders>
        <w:top w:val="single" w:sz="4" w:space="1" w:color="auto"/>
        <w:left w:val="single" w:sz="4" w:space="4" w:color="auto"/>
        <w:bottom w:val="single" w:sz="4" w:space="1" w:color="auto"/>
        <w:right w:val="single" w:sz="4" w:space="4" w:color="auto"/>
      </w:pgBorders>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B40387" w14:textId="77777777" w:rsidR="00304204" w:rsidRDefault="00304204" w:rsidP="00D93AD2">
      <w:r>
        <w:separator/>
      </w:r>
    </w:p>
  </w:endnote>
  <w:endnote w:type="continuationSeparator" w:id="0">
    <w:p w14:paraId="73838C1D" w14:textId="77777777" w:rsidR="00304204" w:rsidRDefault="00304204" w:rsidP="00D93A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Times">
    <w:altName w:val="Times Roman"/>
    <w:panose1 w:val="02000500000000000000"/>
    <w:charset w:val="4D"/>
    <w:family w:val="roman"/>
    <w:notTrueType/>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ourier">
    <w:panose1 w:val="020005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55B3DA" w14:textId="77777777" w:rsidR="00090B20" w:rsidRDefault="00090B20" w:rsidP="00863B1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1140021" w14:textId="77777777" w:rsidR="00090B20" w:rsidRDefault="00090B2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6F95DC" w14:textId="77777777" w:rsidR="00090B20" w:rsidRDefault="00090B20" w:rsidP="00863B1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E2CFC">
      <w:rPr>
        <w:rStyle w:val="PageNumber"/>
        <w:noProof/>
      </w:rPr>
      <w:t>2</w:t>
    </w:r>
    <w:r>
      <w:rPr>
        <w:rStyle w:val="PageNumber"/>
      </w:rPr>
      <w:fldChar w:fldCharType="end"/>
    </w:r>
  </w:p>
  <w:p w14:paraId="5ED4BD50" w14:textId="77777777" w:rsidR="00090B20" w:rsidRDefault="00090B2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6E7BB3D" w14:textId="77777777" w:rsidR="00304204" w:rsidRDefault="00304204" w:rsidP="00D93AD2">
      <w:r>
        <w:separator/>
      </w:r>
    </w:p>
  </w:footnote>
  <w:footnote w:type="continuationSeparator" w:id="0">
    <w:p w14:paraId="0DE6D1D8" w14:textId="77777777" w:rsidR="00304204" w:rsidRDefault="00304204" w:rsidP="00D93AD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615ED"/>
    <w:multiLevelType w:val="hybridMultilevel"/>
    <w:tmpl w:val="C0CAB94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25526F4"/>
    <w:multiLevelType w:val="hybridMultilevel"/>
    <w:tmpl w:val="1BEC85F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3D11576"/>
    <w:multiLevelType w:val="hybridMultilevel"/>
    <w:tmpl w:val="4F1A1FF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6DA0FA4"/>
    <w:multiLevelType w:val="hybridMultilevel"/>
    <w:tmpl w:val="F00A3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9A941E7"/>
    <w:multiLevelType w:val="hybridMultilevel"/>
    <w:tmpl w:val="20A6F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3B25AB5"/>
    <w:multiLevelType w:val="hybridMultilevel"/>
    <w:tmpl w:val="656EB682"/>
    <w:lvl w:ilvl="0" w:tplc="7A9E7E22">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nsid w:val="145704D9"/>
    <w:multiLevelType w:val="hybridMultilevel"/>
    <w:tmpl w:val="D7D4A37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B0F3DB3"/>
    <w:multiLevelType w:val="hybridMultilevel"/>
    <w:tmpl w:val="E2C68A8C"/>
    <w:lvl w:ilvl="0" w:tplc="57AA9112">
      <w:start w:val="1"/>
      <w:numFmt w:val="decimal"/>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1B91449E"/>
    <w:multiLevelType w:val="hybridMultilevel"/>
    <w:tmpl w:val="E7C4062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FD56257"/>
    <w:multiLevelType w:val="multilevel"/>
    <w:tmpl w:val="2A7E7F0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nsid w:val="212F4DDC"/>
    <w:multiLevelType w:val="hybridMultilevel"/>
    <w:tmpl w:val="9E7A5D6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1474E82"/>
    <w:multiLevelType w:val="hybridMultilevel"/>
    <w:tmpl w:val="73924D0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23425335"/>
    <w:multiLevelType w:val="hybridMultilevel"/>
    <w:tmpl w:val="E154ECBE"/>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nsid w:val="24B5620D"/>
    <w:multiLevelType w:val="hybridMultilevel"/>
    <w:tmpl w:val="2A72DD7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288B0772"/>
    <w:multiLevelType w:val="hybridMultilevel"/>
    <w:tmpl w:val="2CF8B39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294F75FC"/>
    <w:multiLevelType w:val="hybridMultilevel"/>
    <w:tmpl w:val="EF3A24E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295A15EF"/>
    <w:multiLevelType w:val="hybridMultilevel"/>
    <w:tmpl w:val="13642840"/>
    <w:lvl w:ilvl="0" w:tplc="1D28C95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nsid w:val="29FF62FD"/>
    <w:multiLevelType w:val="hybridMultilevel"/>
    <w:tmpl w:val="6E9234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2D3202D7"/>
    <w:multiLevelType w:val="hybridMultilevel"/>
    <w:tmpl w:val="5FD28E74"/>
    <w:lvl w:ilvl="0" w:tplc="04090005">
      <w:start w:val="1"/>
      <w:numFmt w:val="bullet"/>
      <w:lvlText w:val=""/>
      <w:lvlJc w:val="left"/>
      <w:pPr>
        <w:ind w:left="776" w:hanging="360"/>
      </w:pPr>
      <w:rPr>
        <w:rFonts w:ascii="Wingdings" w:hAnsi="Wingdings" w:hint="default"/>
      </w:rPr>
    </w:lvl>
    <w:lvl w:ilvl="1" w:tplc="04090003" w:tentative="1">
      <w:start w:val="1"/>
      <w:numFmt w:val="bullet"/>
      <w:lvlText w:val="o"/>
      <w:lvlJc w:val="left"/>
      <w:pPr>
        <w:ind w:left="1496" w:hanging="360"/>
      </w:pPr>
      <w:rPr>
        <w:rFonts w:ascii="Courier New" w:hAnsi="Courier New" w:cs="Courier New" w:hint="default"/>
      </w:rPr>
    </w:lvl>
    <w:lvl w:ilvl="2" w:tplc="04090005" w:tentative="1">
      <w:start w:val="1"/>
      <w:numFmt w:val="bullet"/>
      <w:lvlText w:val=""/>
      <w:lvlJc w:val="left"/>
      <w:pPr>
        <w:ind w:left="2216" w:hanging="360"/>
      </w:pPr>
      <w:rPr>
        <w:rFonts w:ascii="Wingdings" w:hAnsi="Wingdings" w:hint="default"/>
      </w:rPr>
    </w:lvl>
    <w:lvl w:ilvl="3" w:tplc="04090001" w:tentative="1">
      <w:start w:val="1"/>
      <w:numFmt w:val="bullet"/>
      <w:lvlText w:val=""/>
      <w:lvlJc w:val="left"/>
      <w:pPr>
        <w:ind w:left="2936" w:hanging="360"/>
      </w:pPr>
      <w:rPr>
        <w:rFonts w:ascii="Symbol" w:hAnsi="Symbol" w:hint="default"/>
      </w:rPr>
    </w:lvl>
    <w:lvl w:ilvl="4" w:tplc="04090003" w:tentative="1">
      <w:start w:val="1"/>
      <w:numFmt w:val="bullet"/>
      <w:lvlText w:val="o"/>
      <w:lvlJc w:val="left"/>
      <w:pPr>
        <w:ind w:left="3656" w:hanging="360"/>
      </w:pPr>
      <w:rPr>
        <w:rFonts w:ascii="Courier New" w:hAnsi="Courier New" w:cs="Courier New" w:hint="default"/>
      </w:rPr>
    </w:lvl>
    <w:lvl w:ilvl="5" w:tplc="04090005" w:tentative="1">
      <w:start w:val="1"/>
      <w:numFmt w:val="bullet"/>
      <w:lvlText w:val=""/>
      <w:lvlJc w:val="left"/>
      <w:pPr>
        <w:ind w:left="4376" w:hanging="360"/>
      </w:pPr>
      <w:rPr>
        <w:rFonts w:ascii="Wingdings" w:hAnsi="Wingdings" w:hint="default"/>
      </w:rPr>
    </w:lvl>
    <w:lvl w:ilvl="6" w:tplc="04090001" w:tentative="1">
      <w:start w:val="1"/>
      <w:numFmt w:val="bullet"/>
      <w:lvlText w:val=""/>
      <w:lvlJc w:val="left"/>
      <w:pPr>
        <w:ind w:left="5096" w:hanging="360"/>
      </w:pPr>
      <w:rPr>
        <w:rFonts w:ascii="Symbol" w:hAnsi="Symbol" w:hint="default"/>
      </w:rPr>
    </w:lvl>
    <w:lvl w:ilvl="7" w:tplc="04090003" w:tentative="1">
      <w:start w:val="1"/>
      <w:numFmt w:val="bullet"/>
      <w:lvlText w:val="o"/>
      <w:lvlJc w:val="left"/>
      <w:pPr>
        <w:ind w:left="5816" w:hanging="360"/>
      </w:pPr>
      <w:rPr>
        <w:rFonts w:ascii="Courier New" w:hAnsi="Courier New" w:cs="Courier New" w:hint="default"/>
      </w:rPr>
    </w:lvl>
    <w:lvl w:ilvl="8" w:tplc="04090005" w:tentative="1">
      <w:start w:val="1"/>
      <w:numFmt w:val="bullet"/>
      <w:lvlText w:val=""/>
      <w:lvlJc w:val="left"/>
      <w:pPr>
        <w:ind w:left="6536" w:hanging="360"/>
      </w:pPr>
      <w:rPr>
        <w:rFonts w:ascii="Wingdings" w:hAnsi="Wingdings" w:hint="default"/>
      </w:rPr>
    </w:lvl>
  </w:abstractNum>
  <w:abstractNum w:abstractNumId="19">
    <w:nsid w:val="2D6412E9"/>
    <w:multiLevelType w:val="hybridMultilevel"/>
    <w:tmpl w:val="E5AA64F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2FD419D4"/>
    <w:multiLevelType w:val="hybridMultilevel"/>
    <w:tmpl w:val="2ABE4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348517A1"/>
    <w:multiLevelType w:val="hybridMultilevel"/>
    <w:tmpl w:val="92D8E8E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37B85290"/>
    <w:multiLevelType w:val="hybridMultilevel"/>
    <w:tmpl w:val="279E45D6"/>
    <w:lvl w:ilvl="0" w:tplc="99E6B986">
      <w:start w:val="1"/>
      <w:numFmt w:val="decimal"/>
      <w:lvlText w:val="%1)"/>
      <w:lvlJc w:val="left"/>
      <w:pPr>
        <w:ind w:left="720" w:hanging="360"/>
      </w:pPr>
      <w:rPr>
        <w:rFonts w:asciiTheme="minorHAnsi" w:eastAsiaTheme="minorHAnsi" w:hAnsiTheme="minorHAnsi"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39105142"/>
    <w:multiLevelType w:val="hybridMultilevel"/>
    <w:tmpl w:val="20301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3934309C"/>
    <w:multiLevelType w:val="hybridMultilevel"/>
    <w:tmpl w:val="604E1B88"/>
    <w:lvl w:ilvl="0" w:tplc="031ED38C">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5">
    <w:nsid w:val="3ACD00C4"/>
    <w:multiLevelType w:val="hybridMultilevel"/>
    <w:tmpl w:val="D19E369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3B045B38"/>
    <w:multiLevelType w:val="hybridMultilevel"/>
    <w:tmpl w:val="7E948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3B6433EB"/>
    <w:multiLevelType w:val="hybridMultilevel"/>
    <w:tmpl w:val="5AA24E1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3E1437B5"/>
    <w:multiLevelType w:val="hybridMultilevel"/>
    <w:tmpl w:val="FFC84B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3F184DD3"/>
    <w:multiLevelType w:val="hybridMultilevel"/>
    <w:tmpl w:val="CD9EC7CC"/>
    <w:lvl w:ilvl="0" w:tplc="BAF85302">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30">
    <w:nsid w:val="3F722AAF"/>
    <w:multiLevelType w:val="hybridMultilevel"/>
    <w:tmpl w:val="656EB682"/>
    <w:lvl w:ilvl="0" w:tplc="7A9E7E22">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1">
    <w:nsid w:val="45B02545"/>
    <w:multiLevelType w:val="hybridMultilevel"/>
    <w:tmpl w:val="58E00EA0"/>
    <w:lvl w:ilvl="0" w:tplc="9A063EE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2">
    <w:nsid w:val="46FD202C"/>
    <w:multiLevelType w:val="hybridMultilevel"/>
    <w:tmpl w:val="10C24BA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496E32BF"/>
    <w:multiLevelType w:val="hybridMultilevel"/>
    <w:tmpl w:val="A80A0CC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4C59487C"/>
    <w:multiLevelType w:val="hybridMultilevel"/>
    <w:tmpl w:val="32D6B56E"/>
    <w:lvl w:ilvl="0" w:tplc="04090011">
      <w:start w:val="1"/>
      <w:numFmt w:val="decimal"/>
      <w:lvlText w:val="%1)"/>
      <w:lvlJc w:val="left"/>
      <w:pPr>
        <w:ind w:left="643"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nsid w:val="4F7C7DF5"/>
    <w:multiLevelType w:val="hybridMultilevel"/>
    <w:tmpl w:val="E9D2DBF0"/>
    <w:lvl w:ilvl="0" w:tplc="F9001B68">
      <w:start w:val="1"/>
      <w:numFmt w:val="decimal"/>
      <w:lvlText w:val="%1)"/>
      <w:lvlJc w:val="left"/>
      <w:pPr>
        <w:ind w:left="735" w:hanging="360"/>
      </w:pPr>
      <w:rPr>
        <w:rFonts w:hint="default"/>
      </w:rPr>
    </w:lvl>
    <w:lvl w:ilvl="1" w:tplc="04090019" w:tentative="1">
      <w:start w:val="1"/>
      <w:numFmt w:val="lowerLetter"/>
      <w:lvlText w:val="%2."/>
      <w:lvlJc w:val="left"/>
      <w:pPr>
        <w:ind w:left="1455" w:hanging="360"/>
      </w:pPr>
    </w:lvl>
    <w:lvl w:ilvl="2" w:tplc="0409001B" w:tentative="1">
      <w:start w:val="1"/>
      <w:numFmt w:val="lowerRoman"/>
      <w:lvlText w:val="%3."/>
      <w:lvlJc w:val="right"/>
      <w:pPr>
        <w:ind w:left="2175" w:hanging="180"/>
      </w:pPr>
    </w:lvl>
    <w:lvl w:ilvl="3" w:tplc="0409000F" w:tentative="1">
      <w:start w:val="1"/>
      <w:numFmt w:val="decimal"/>
      <w:lvlText w:val="%4."/>
      <w:lvlJc w:val="left"/>
      <w:pPr>
        <w:ind w:left="2895" w:hanging="360"/>
      </w:pPr>
    </w:lvl>
    <w:lvl w:ilvl="4" w:tplc="04090019" w:tentative="1">
      <w:start w:val="1"/>
      <w:numFmt w:val="lowerLetter"/>
      <w:lvlText w:val="%5."/>
      <w:lvlJc w:val="left"/>
      <w:pPr>
        <w:ind w:left="3615" w:hanging="360"/>
      </w:pPr>
    </w:lvl>
    <w:lvl w:ilvl="5" w:tplc="0409001B" w:tentative="1">
      <w:start w:val="1"/>
      <w:numFmt w:val="lowerRoman"/>
      <w:lvlText w:val="%6."/>
      <w:lvlJc w:val="right"/>
      <w:pPr>
        <w:ind w:left="4335" w:hanging="180"/>
      </w:pPr>
    </w:lvl>
    <w:lvl w:ilvl="6" w:tplc="0409000F" w:tentative="1">
      <w:start w:val="1"/>
      <w:numFmt w:val="decimal"/>
      <w:lvlText w:val="%7."/>
      <w:lvlJc w:val="left"/>
      <w:pPr>
        <w:ind w:left="5055" w:hanging="360"/>
      </w:pPr>
    </w:lvl>
    <w:lvl w:ilvl="7" w:tplc="04090019" w:tentative="1">
      <w:start w:val="1"/>
      <w:numFmt w:val="lowerLetter"/>
      <w:lvlText w:val="%8."/>
      <w:lvlJc w:val="left"/>
      <w:pPr>
        <w:ind w:left="5775" w:hanging="360"/>
      </w:pPr>
    </w:lvl>
    <w:lvl w:ilvl="8" w:tplc="0409001B" w:tentative="1">
      <w:start w:val="1"/>
      <w:numFmt w:val="lowerRoman"/>
      <w:lvlText w:val="%9."/>
      <w:lvlJc w:val="right"/>
      <w:pPr>
        <w:ind w:left="6495" w:hanging="180"/>
      </w:pPr>
    </w:lvl>
  </w:abstractNum>
  <w:abstractNum w:abstractNumId="36">
    <w:nsid w:val="615F3403"/>
    <w:multiLevelType w:val="hybridMultilevel"/>
    <w:tmpl w:val="3C14252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nsid w:val="68781E2F"/>
    <w:multiLevelType w:val="hybridMultilevel"/>
    <w:tmpl w:val="67860F22"/>
    <w:lvl w:ilvl="0" w:tplc="04090005">
      <w:start w:val="1"/>
      <w:numFmt w:val="bullet"/>
      <w:lvlText w:val=""/>
      <w:lvlJc w:val="left"/>
      <w:pPr>
        <w:ind w:left="776" w:hanging="360"/>
      </w:pPr>
      <w:rPr>
        <w:rFonts w:ascii="Wingdings" w:hAnsi="Wingdings" w:hint="default"/>
      </w:rPr>
    </w:lvl>
    <w:lvl w:ilvl="1" w:tplc="04090003" w:tentative="1">
      <w:start w:val="1"/>
      <w:numFmt w:val="bullet"/>
      <w:lvlText w:val="o"/>
      <w:lvlJc w:val="left"/>
      <w:pPr>
        <w:ind w:left="1496" w:hanging="360"/>
      </w:pPr>
      <w:rPr>
        <w:rFonts w:ascii="Courier New" w:hAnsi="Courier New" w:cs="Courier New" w:hint="default"/>
      </w:rPr>
    </w:lvl>
    <w:lvl w:ilvl="2" w:tplc="04090005" w:tentative="1">
      <w:start w:val="1"/>
      <w:numFmt w:val="bullet"/>
      <w:lvlText w:val=""/>
      <w:lvlJc w:val="left"/>
      <w:pPr>
        <w:ind w:left="2216" w:hanging="360"/>
      </w:pPr>
      <w:rPr>
        <w:rFonts w:ascii="Wingdings" w:hAnsi="Wingdings" w:hint="default"/>
      </w:rPr>
    </w:lvl>
    <w:lvl w:ilvl="3" w:tplc="04090001" w:tentative="1">
      <w:start w:val="1"/>
      <w:numFmt w:val="bullet"/>
      <w:lvlText w:val=""/>
      <w:lvlJc w:val="left"/>
      <w:pPr>
        <w:ind w:left="2936" w:hanging="360"/>
      </w:pPr>
      <w:rPr>
        <w:rFonts w:ascii="Symbol" w:hAnsi="Symbol" w:hint="default"/>
      </w:rPr>
    </w:lvl>
    <w:lvl w:ilvl="4" w:tplc="04090003" w:tentative="1">
      <w:start w:val="1"/>
      <w:numFmt w:val="bullet"/>
      <w:lvlText w:val="o"/>
      <w:lvlJc w:val="left"/>
      <w:pPr>
        <w:ind w:left="3656" w:hanging="360"/>
      </w:pPr>
      <w:rPr>
        <w:rFonts w:ascii="Courier New" w:hAnsi="Courier New" w:cs="Courier New" w:hint="default"/>
      </w:rPr>
    </w:lvl>
    <w:lvl w:ilvl="5" w:tplc="04090005" w:tentative="1">
      <w:start w:val="1"/>
      <w:numFmt w:val="bullet"/>
      <w:lvlText w:val=""/>
      <w:lvlJc w:val="left"/>
      <w:pPr>
        <w:ind w:left="4376" w:hanging="360"/>
      </w:pPr>
      <w:rPr>
        <w:rFonts w:ascii="Wingdings" w:hAnsi="Wingdings" w:hint="default"/>
      </w:rPr>
    </w:lvl>
    <w:lvl w:ilvl="6" w:tplc="04090001" w:tentative="1">
      <w:start w:val="1"/>
      <w:numFmt w:val="bullet"/>
      <w:lvlText w:val=""/>
      <w:lvlJc w:val="left"/>
      <w:pPr>
        <w:ind w:left="5096" w:hanging="360"/>
      </w:pPr>
      <w:rPr>
        <w:rFonts w:ascii="Symbol" w:hAnsi="Symbol" w:hint="default"/>
      </w:rPr>
    </w:lvl>
    <w:lvl w:ilvl="7" w:tplc="04090003" w:tentative="1">
      <w:start w:val="1"/>
      <w:numFmt w:val="bullet"/>
      <w:lvlText w:val="o"/>
      <w:lvlJc w:val="left"/>
      <w:pPr>
        <w:ind w:left="5816" w:hanging="360"/>
      </w:pPr>
      <w:rPr>
        <w:rFonts w:ascii="Courier New" w:hAnsi="Courier New" w:cs="Courier New" w:hint="default"/>
      </w:rPr>
    </w:lvl>
    <w:lvl w:ilvl="8" w:tplc="04090005" w:tentative="1">
      <w:start w:val="1"/>
      <w:numFmt w:val="bullet"/>
      <w:lvlText w:val=""/>
      <w:lvlJc w:val="left"/>
      <w:pPr>
        <w:ind w:left="6536" w:hanging="360"/>
      </w:pPr>
      <w:rPr>
        <w:rFonts w:ascii="Wingdings" w:hAnsi="Wingdings" w:hint="default"/>
      </w:rPr>
    </w:lvl>
  </w:abstractNum>
  <w:abstractNum w:abstractNumId="38">
    <w:nsid w:val="6E4B00F7"/>
    <w:multiLevelType w:val="hybridMultilevel"/>
    <w:tmpl w:val="F8E279E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73375385"/>
    <w:multiLevelType w:val="hybridMultilevel"/>
    <w:tmpl w:val="9F90F51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nsid w:val="771A72EA"/>
    <w:multiLevelType w:val="hybridMultilevel"/>
    <w:tmpl w:val="2DBE4D7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nsid w:val="7CBD3A77"/>
    <w:multiLevelType w:val="hybridMultilevel"/>
    <w:tmpl w:val="5E00A62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nsid w:val="7CD12B3E"/>
    <w:multiLevelType w:val="hybridMultilevel"/>
    <w:tmpl w:val="CF6ABC6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nsid w:val="7D590CB3"/>
    <w:multiLevelType w:val="hybridMultilevel"/>
    <w:tmpl w:val="C38C4B2A"/>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9"/>
  </w:num>
  <w:num w:numId="2">
    <w:abstractNumId w:val="5"/>
  </w:num>
  <w:num w:numId="3">
    <w:abstractNumId w:val="24"/>
  </w:num>
  <w:num w:numId="4">
    <w:abstractNumId w:val="0"/>
  </w:num>
  <w:num w:numId="5">
    <w:abstractNumId w:val="30"/>
  </w:num>
  <w:num w:numId="6">
    <w:abstractNumId w:val="38"/>
  </w:num>
  <w:num w:numId="7">
    <w:abstractNumId w:val="2"/>
  </w:num>
  <w:num w:numId="8">
    <w:abstractNumId w:val="28"/>
  </w:num>
  <w:num w:numId="9">
    <w:abstractNumId w:val="1"/>
  </w:num>
  <w:num w:numId="10">
    <w:abstractNumId w:val="31"/>
  </w:num>
  <w:num w:numId="11">
    <w:abstractNumId w:val="6"/>
  </w:num>
  <w:num w:numId="12">
    <w:abstractNumId w:val="16"/>
  </w:num>
  <w:num w:numId="13">
    <w:abstractNumId w:val="12"/>
  </w:num>
  <w:num w:numId="14">
    <w:abstractNumId w:val="36"/>
  </w:num>
  <w:num w:numId="15">
    <w:abstractNumId w:val="21"/>
  </w:num>
  <w:num w:numId="16">
    <w:abstractNumId w:val="32"/>
  </w:num>
  <w:num w:numId="17">
    <w:abstractNumId w:val="10"/>
  </w:num>
  <w:num w:numId="18">
    <w:abstractNumId w:val="8"/>
  </w:num>
  <w:num w:numId="19">
    <w:abstractNumId w:val="27"/>
  </w:num>
  <w:num w:numId="20">
    <w:abstractNumId w:val="33"/>
  </w:num>
  <w:num w:numId="21">
    <w:abstractNumId w:val="25"/>
  </w:num>
  <w:num w:numId="22">
    <w:abstractNumId w:val="19"/>
  </w:num>
  <w:num w:numId="23">
    <w:abstractNumId w:val="39"/>
  </w:num>
  <w:num w:numId="24">
    <w:abstractNumId w:val="17"/>
  </w:num>
  <w:num w:numId="25">
    <w:abstractNumId w:val="11"/>
  </w:num>
  <w:num w:numId="26">
    <w:abstractNumId w:val="15"/>
  </w:num>
  <w:num w:numId="27">
    <w:abstractNumId w:val="29"/>
  </w:num>
  <w:num w:numId="28">
    <w:abstractNumId w:val="42"/>
  </w:num>
  <w:num w:numId="29">
    <w:abstractNumId w:val="14"/>
  </w:num>
  <w:num w:numId="30">
    <w:abstractNumId w:val="13"/>
  </w:num>
  <w:num w:numId="31">
    <w:abstractNumId w:val="34"/>
  </w:num>
  <w:num w:numId="32">
    <w:abstractNumId w:val="35"/>
  </w:num>
  <w:num w:numId="33">
    <w:abstractNumId w:val="4"/>
  </w:num>
  <w:num w:numId="34">
    <w:abstractNumId w:val="43"/>
  </w:num>
  <w:num w:numId="35">
    <w:abstractNumId w:val="22"/>
  </w:num>
  <w:num w:numId="36">
    <w:abstractNumId w:val="23"/>
  </w:num>
  <w:num w:numId="37">
    <w:abstractNumId w:val="26"/>
  </w:num>
  <w:num w:numId="38">
    <w:abstractNumId w:val="18"/>
  </w:num>
  <w:num w:numId="39">
    <w:abstractNumId w:val="37"/>
  </w:num>
  <w:num w:numId="40">
    <w:abstractNumId w:val="40"/>
  </w:num>
  <w:num w:numId="41">
    <w:abstractNumId w:val="41"/>
  </w:num>
  <w:num w:numId="42">
    <w:abstractNumId w:val="20"/>
  </w:num>
  <w:num w:numId="43">
    <w:abstractNumId w:val="3"/>
  </w:num>
  <w:num w:numId="44">
    <w:abstractNumId w:val="7"/>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9"/>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5E2E"/>
    <w:rsid w:val="00004DE3"/>
    <w:rsid w:val="00005C5E"/>
    <w:rsid w:val="00006555"/>
    <w:rsid w:val="00006A3E"/>
    <w:rsid w:val="00006AC6"/>
    <w:rsid w:val="00010644"/>
    <w:rsid w:val="000203EB"/>
    <w:rsid w:val="00022E85"/>
    <w:rsid w:val="00025F53"/>
    <w:rsid w:val="00027A23"/>
    <w:rsid w:val="00032DCE"/>
    <w:rsid w:val="0003379A"/>
    <w:rsid w:val="00034847"/>
    <w:rsid w:val="00041E44"/>
    <w:rsid w:val="000433E4"/>
    <w:rsid w:val="00044F7A"/>
    <w:rsid w:val="000478E6"/>
    <w:rsid w:val="00052A5E"/>
    <w:rsid w:val="000561ED"/>
    <w:rsid w:val="00056881"/>
    <w:rsid w:val="00062746"/>
    <w:rsid w:val="00062C6F"/>
    <w:rsid w:val="00064836"/>
    <w:rsid w:val="00064F64"/>
    <w:rsid w:val="00065063"/>
    <w:rsid w:val="00070C05"/>
    <w:rsid w:val="00070C5A"/>
    <w:rsid w:val="00075AA6"/>
    <w:rsid w:val="00083386"/>
    <w:rsid w:val="00087DE4"/>
    <w:rsid w:val="00087EF6"/>
    <w:rsid w:val="00090B20"/>
    <w:rsid w:val="00097CFF"/>
    <w:rsid w:val="000A4977"/>
    <w:rsid w:val="000A7951"/>
    <w:rsid w:val="000A7E45"/>
    <w:rsid w:val="000B3FD6"/>
    <w:rsid w:val="000B427B"/>
    <w:rsid w:val="000B6D6C"/>
    <w:rsid w:val="000B768A"/>
    <w:rsid w:val="000C1170"/>
    <w:rsid w:val="000C1BBD"/>
    <w:rsid w:val="000C242F"/>
    <w:rsid w:val="000C2B55"/>
    <w:rsid w:val="000C59B5"/>
    <w:rsid w:val="000D573E"/>
    <w:rsid w:val="000E025E"/>
    <w:rsid w:val="000E0DAF"/>
    <w:rsid w:val="000E34DF"/>
    <w:rsid w:val="000E4762"/>
    <w:rsid w:val="000F0CB7"/>
    <w:rsid w:val="000F1E71"/>
    <w:rsid w:val="000F2908"/>
    <w:rsid w:val="000F5474"/>
    <w:rsid w:val="000F59B5"/>
    <w:rsid w:val="0010467E"/>
    <w:rsid w:val="00105E02"/>
    <w:rsid w:val="001064DF"/>
    <w:rsid w:val="00113A3E"/>
    <w:rsid w:val="0011526A"/>
    <w:rsid w:val="001152CB"/>
    <w:rsid w:val="00120ADC"/>
    <w:rsid w:val="0012668C"/>
    <w:rsid w:val="0013024C"/>
    <w:rsid w:val="00135E65"/>
    <w:rsid w:val="00141202"/>
    <w:rsid w:val="00147073"/>
    <w:rsid w:val="00150B08"/>
    <w:rsid w:val="001576A7"/>
    <w:rsid w:val="001601E0"/>
    <w:rsid w:val="0016225D"/>
    <w:rsid w:val="00164160"/>
    <w:rsid w:val="0016703C"/>
    <w:rsid w:val="00174DAA"/>
    <w:rsid w:val="00185C0F"/>
    <w:rsid w:val="00194976"/>
    <w:rsid w:val="00196C03"/>
    <w:rsid w:val="00197FA7"/>
    <w:rsid w:val="001A009E"/>
    <w:rsid w:val="001A1424"/>
    <w:rsid w:val="001A26FF"/>
    <w:rsid w:val="001A2A78"/>
    <w:rsid w:val="001A5A7A"/>
    <w:rsid w:val="001A5C50"/>
    <w:rsid w:val="001A6B01"/>
    <w:rsid w:val="001B0954"/>
    <w:rsid w:val="001B4579"/>
    <w:rsid w:val="001B542E"/>
    <w:rsid w:val="001B7F3F"/>
    <w:rsid w:val="001C0A67"/>
    <w:rsid w:val="001C3EE9"/>
    <w:rsid w:val="001D26A5"/>
    <w:rsid w:val="001D2AA5"/>
    <w:rsid w:val="001E094F"/>
    <w:rsid w:val="001E29CD"/>
    <w:rsid w:val="001F069E"/>
    <w:rsid w:val="001F503D"/>
    <w:rsid w:val="001F67EA"/>
    <w:rsid w:val="0020322C"/>
    <w:rsid w:val="002114C2"/>
    <w:rsid w:val="0021608D"/>
    <w:rsid w:val="0021646F"/>
    <w:rsid w:val="00217A70"/>
    <w:rsid w:val="002237F1"/>
    <w:rsid w:val="0023033A"/>
    <w:rsid w:val="002357EA"/>
    <w:rsid w:val="00240CE8"/>
    <w:rsid w:val="00244617"/>
    <w:rsid w:val="002533B2"/>
    <w:rsid w:val="00260550"/>
    <w:rsid w:val="00274466"/>
    <w:rsid w:val="002744A0"/>
    <w:rsid w:val="00274582"/>
    <w:rsid w:val="00275316"/>
    <w:rsid w:val="002807CC"/>
    <w:rsid w:val="002824B0"/>
    <w:rsid w:val="00282636"/>
    <w:rsid w:val="00293262"/>
    <w:rsid w:val="00294129"/>
    <w:rsid w:val="00294289"/>
    <w:rsid w:val="00296617"/>
    <w:rsid w:val="002A126B"/>
    <w:rsid w:val="002A1DEF"/>
    <w:rsid w:val="002A20C1"/>
    <w:rsid w:val="002A2302"/>
    <w:rsid w:val="002A3156"/>
    <w:rsid w:val="002A7C7B"/>
    <w:rsid w:val="002B3007"/>
    <w:rsid w:val="002B5263"/>
    <w:rsid w:val="002B5745"/>
    <w:rsid w:val="002B6693"/>
    <w:rsid w:val="002C1280"/>
    <w:rsid w:val="002C1877"/>
    <w:rsid w:val="002C535D"/>
    <w:rsid w:val="002D054F"/>
    <w:rsid w:val="002E2A1E"/>
    <w:rsid w:val="002E3FAC"/>
    <w:rsid w:val="002E4EB7"/>
    <w:rsid w:val="002F044D"/>
    <w:rsid w:val="002F4519"/>
    <w:rsid w:val="002F6731"/>
    <w:rsid w:val="00304204"/>
    <w:rsid w:val="00306A28"/>
    <w:rsid w:val="0030760D"/>
    <w:rsid w:val="0031053B"/>
    <w:rsid w:val="00310E1B"/>
    <w:rsid w:val="00313A4E"/>
    <w:rsid w:val="00314F1D"/>
    <w:rsid w:val="00317AFB"/>
    <w:rsid w:val="00317D1E"/>
    <w:rsid w:val="00323F50"/>
    <w:rsid w:val="00324267"/>
    <w:rsid w:val="00327A2B"/>
    <w:rsid w:val="00327EE6"/>
    <w:rsid w:val="00330726"/>
    <w:rsid w:val="00334332"/>
    <w:rsid w:val="00343ECF"/>
    <w:rsid w:val="003463FA"/>
    <w:rsid w:val="00360587"/>
    <w:rsid w:val="00366C9F"/>
    <w:rsid w:val="00367BFD"/>
    <w:rsid w:val="0037130F"/>
    <w:rsid w:val="0037148C"/>
    <w:rsid w:val="003721F2"/>
    <w:rsid w:val="0037432C"/>
    <w:rsid w:val="003761AA"/>
    <w:rsid w:val="00383918"/>
    <w:rsid w:val="003851BE"/>
    <w:rsid w:val="003908E7"/>
    <w:rsid w:val="003962F1"/>
    <w:rsid w:val="003A20EE"/>
    <w:rsid w:val="003C2CF6"/>
    <w:rsid w:val="003D13C3"/>
    <w:rsid w:val="003D3815"/>
    <w:rsid w:val="003E0170"/>
    <w:rsid w:val="003E09D1"/>
    <w:rsid w:val="003E4EEC"/>
    <w:rsid w:val="003E5579"/>
    <w:rsid w:val="003E6417"/>
    <w:rsid w:val="003E6810"/>
    <w:rsid w:val="003E7B80"/>
    <w:rsid w:val="003F1A7D"/>
    <w:rsid w:val="003F32ED"/>
    <w:rsid w:val="003F6198"/>
    <w:rsid w:val="00415185"/>
    <w:rsid w:val="0041661D"/>
    <w:rsid w:val="00420B71"/>
    <w:rsid w:val="00420D6C"/>
    <w:rsid w:val="004239C7"/>
    <w:rsid w:val="00425906"/>
    <w:rsid w:val="00427145"/>
    <w:rsid w:val="004357A0"/>
    <w:rsid w:val="00450D67"/>
    <w:rsid w:val="00451387"/>
    <w:rsid w:val="004516DD"/>
    <w:rsid w:val="00452C70"/>
    <w:rsid w:val="00464932"/>
    <w:rsid w:val="0048055D"/>
    <w:rsid w:val="00481C69"/>
    <w:rsid w:val="004826D1"/>
    <w:rsid w:val="00482A82"/>
    <w:rsid w:val="0048554B"/>
    <w:rsid w:val="00491EF8"/>
    <w:rsid w:val="00496938"/>
    <w:rsid w:val="00497FE3"/>
    <w:rsid w:val="004A0796"/>
    <w:rsid w:val="004A256E"/>
    <w:rsid w:val="004A5138"/>
    <w:rsid w:val="004A7731"/>
    <w:rsid w:val="004A7785"/>
    <w:rsid w:val="004B528A"/>
    <w:rsid w:val="004B7214"/>
    <w:rsid w:val="004B73DA"/>
    <w:rsid w:val="004B7FE5"/>
    <w:rsid w:val="004C2E5D"/>
    <w:rsid w:val="004C4FC3"/>
    <w:rsid w:val="004C52A9"/>
    <w:rsid w:val="004C5E0C"/>
    <w:rsid w:val="004D5936"/>
    <w:rsid w:val="004D66AA"/>
    <w:rsid w:val="004E1A46"/>
    <w:rsid w:val="004E7358"/>
    <w:rsid w:val="004F3D5A"/>
    <w:rsid w:val="004F459E"/>
    <w:rsid w:val="00502395"/>
    <w:rsid w:val="00507E95"/>
    <w:rsid w:val="00510773"/>
    <w:rsid w:val="00510B51"/>
    <w:rsid w:val="00513BE3"/>
    <w:rsid w:val="005259FD"/>
    <w:rsid w:val="00541C5F"/>
    <w:rsid w:val="00543A27"/>
    <w:rsid w:val="0054456C"/>
    <w:rsid w:val="00547007"/>
    <w:rsid w:val="005529DF"/>
    <w:rsid w:val="0055487A"/>
    <w:rsid w:val="00556F19"/>
    <w:rsid w:val="00557198"/>
    <w:rsid w:val="0056061F"/>
    <w:rsid w:val="00562B79"/>
    <w:rsid w:val="00571B0F"/>
    <w:rsid w:val="005738A7"/>
    <w:rsid w:val="00574280"/>
    <w:rsid w:val="00574DC6"/>
    <w:rsid w:val="00575186"/>
    <w:rsid w:val="00580436"/>
    <w:rsid w:val="00580BBC"/>
    <w:rsid w:val="0058587F"/>
    <w:rsid w:val="00585B23"/>
    <w:rsid w:val="00590FF5"/>
    <w:rsid w:val="00592B2B"/>
    <w:rsid w:val="005A66E9"/>
    <w:rsid w:val="005B1028"/>
    <w:rsid w:val="005B3DD8"/>
    <w:rsid w:val="005B57BE"/>
    <w:rsid w:val="005B7724"/>
    <w:rsid w:val="005C0A0C"/>
    <w:rsid w:val="005C0BB3"/>
    <w:rsid w:val="005D00B7"/>
    <w:rsid w:val="005D0D82"/>
    <w:rsid w:val="005D1030"/>
    <w:rsid w:val="005D1640"/>
    <w:rsid w:val="005D1D9C"/>
    <w:rsid w:val="005D3B0A"/>
    <w:rsid w:val="005D5DCD"/>
    <w:rsid w:val="005D7CFD"/>
    <w:rsid w:val="005E3E4C"/>
    <w:rsid w:val="005F1912"/>
    <w:rsid w:val="005F382F"/>
    <w:rsid w:val="00600430"/>
    <w:rsid w:val="00605315"/>
    <w:rsid w:val="00607368"/>
    <w:rsid w:val="0061493B"/>
    <w:rsid w:val="00616CB1"/>
    <w:rsid w:val="006203CA"/>
    <w:rsid w:val="00620695"/>
    <w:rsid w:val="006206AC"/>
    <w:rsid w:val="006278B1"/>
    <w:rsid w:val="00627A77"/>
    <w:rsid w:val="00637C02"/>
    <w:rsid w:val="00641908"/>
    <w:rsid w:val="00645354"/>
    <w:rsid w:val="00645A3D"/>
    <w:rsid w:val="00651FB5"/>
    <w:rsid w:val="00657047"/>
    <w:rsid w:val="00661127"/>
    <w:rsid w:val="0067028C"/>
    <w:rsid w:val="006744A8"/>
    <w:rsid w:val="00675FCD"/>
    <w:rsid w:val="0068045B"/>
    <w:rsid w:val="00680460"/>
    <w:rsid w:val="00681E1B"/>
    <w:rsid w:val="00695365"/>
    <w:rsid w:val="006A2549"/>
    <w:rsid w:val="006A3CD4"/>
    <w:rsid w:val="006A7442"/>
    <w:rsid w:val="006B0C6F"/>
    <w:rsid w:val="006B1090"/>
    <w:rsid w:val="006B3423"/>
    <w:rsid w:val="006B7AE4"/>
    <w:rsid w:val="006B7EF7"/>
    <w:rsid w:val="006C3E37"/>
    <w:rsid w:val="006C3E9A"/>
    <w:rsid w:val="006C5057"/>
    <w:rsid w:val="006C5FE2"/>
    <w:rsid w:val="006C720B"/>
    <w:rsid w:val="006D1621"/>
    <w:rsid w:val="006D274E"/>
    <w:rsid w:val="006D31EE"/>
    <w:rsid w:val="006D41DB"/>
    <w:rsid w:val="006D43A3"/>
    <w:rsid w:val="006D5F23"/>
    <w:rsid w:val="006E1229"/>
    <w:rsid w:val="006E316F"/>
    <w:rsid w:val="006E3907"/>
    <w:rsid w:val="006E76BE"/>
    <w:rsid w:val="006F4841"/>
    <w:rsid w:val="006F59DC"/>
    <w:rsid w:val="006F7552"/>
    <w:rsid w:val="007048BE"/>
    <w:rsid w:val="007078E5"/>
    <w:rsid w:val="007169D9"/>
    <w:rsid w:val="007178BF"/>
    <w:rsid w:val="007178E3"/>
    <w:rsid w:val="00720C3C"/>
    <w:rsid w:val="007229C9"/>
    <w:rsid w:val="00726D46"/>
    <w:rsid w:val="00731EDE"/>
    <w:rsid w:val="00733346"/>
    <w:rsid w:val="00734E6D"/>
    <w:rsid w:val="00735500"/>
    <w:rsid w:val="00740640"/>
    <w:rsid w:val="00743E87"/>
    <w:rsid w:val="0074418B"/>
    <w:rsid w:val="00751C28"/>
    <w:rsid w:val="00757290"/>
    <w:rsid w:val="007626C7"/>
    <w:rsid w:val="00762BB6"/>
    <w:rsid w:val="00764225"/>
    <w:rsid w:val="0076702A"/>
    <w:rsid w:val="00776E59"/>
    <w:rsid w:val="00780E6F"/>
    <w:rsid w:val="007815C4"/>
    <w:rsid w:val="00783C25"/>
    <w:rsid w:val="00790AF8"/>
    <w:rsid w:val="00793CAD"/>
    <w:rsid w:val="007B3FF6"/>
    <w:rsid w:val="007C5BA7"/>
    <w:rsid w:val="007D43AC"/>
    <w:rsid w:val="007F1479"/>
    <w:rsid w:val="007F248F"/>
    <w:rsid w:val="00803045"/>
    <w:rsid w:val="008067EC"/>
    <w:rsid w:val="00810346"/>
    <w:rsid w:val="00814A41"/>
    <w:rsid w:val="00816484"/>
    <w:rsid w:val="008178DE"/>
    <w:rsid w:val="0082025A"/>
    <w:rsid w:val="008209DC"/>
    <w:rsid w:val="00825EF0"/>
    <w:rsid w:val="0083121C"/>
    <w:rsid w:val="00836BCD"/>
    <w:rsid w:val="00836D43"/>
    <w:rsid w:val="00845C2D"/>
    <w:rsid w:val="0085262F"/>
    <w:rsid w:val="00863B12"/>
    <w:rsid w:val="00876492"/>
    <w:rsid w:val="00880BCA"/>
    <w:rsid w:val="00891FC4"/>
    <w:rsid w:val="00894782"/>
    <w:rsid w:val="00897D6B"/>
    <w:rsid w:val="008A13D9"/>
    <w:rsid w:val="008A1FA7"/>
    <w:rsid w:val="008A66E5"/>
    <w:rsid w:val="008C1BF8"/>
    <w:rsid w:val="008C40B0"/>
    <w:rsid w:val="008C4222"/>
    <w:rsid w:val="008C43F8"/>
    <w:rsid w:val="008D4FB6"/>
    <w:rsid w:val="008D61CD"/>
    <w:rsid w:val="008E2405"/>
    <w:rsid w:val="008E2CFC"/>
    <w:rsid w:val="008F475D"/>
    <w:rsid w:val="008F7AEA"/>
    <w:rsid w:val="0091094B"/>
    <w:rsid w:val="009128BC"/>
    <w:rsid w:val="00912E24"/>
    <w:rsid w:val="00914511"/>
    <w:rsid w:val="00914FD6"/>
    <w:rsid w:val="00916CD5"/>
    <w:rsid w:val="0092630A"/>
    <w:rsid w:val="00926F24"/>
    <w:rsid w:val="00927695"/>
    <w:rsid w:val="0093129E"/>
    <w:rsid w:val="00954DAE"/>
    <w:rsid w:val="00961094"/>
    <w:rsid w:val="009656B0"/>
    <w:rsid w:val="00966EE1"/>
    <w:rsid w:val="0097044E"/>
    <w:rsid w:val="00981E57"/>
    <w:rsid w:val="00984E33"/>
    <w:rsid w:val="00985575"/>
    <w:rsid w:val="00987B2E"/>
    <w:rsid w:val="009A3927"/>
    <w:rsid w:val="009A7347"/>
    <w:rsid w:val="009B25CC"/>
    <w:rsid w:val="009B4DA7"/>
    <w:rsid w:val="009B765D"/>
    <w:rsid w:val="009C1657"/>
    <w:rsid w:val="009C7F54"/>
    <w:rsid w:val="009D47A9"/>
    <w:rsid w:val="009D7929"/>
    <w:rsid w:val="009D7FCD"/>
    <w:rsid w:val="009E0562"/>
    <w:rsid w:val="009E2765"/>
    <w:rsid w:val="009E3AB2"/>
    <w:rsid w:val="009F2116"/>
    <w:rsid w:val="009F3043"/>
    <w:rsid w:val="009F3D2F"/>
    <w:rsid w:val="009F71B9"/>
    <w:rsid w:val="00A1670B"/>
    <w:rsid w:val="00A16F6B"/>
    <w:rsid w:val="00A179C8"/>
    <w:rsid w:val="00A17CF5"/>
    <w:rsid w:val="00A24239"/>
    <w:rsid w:val="00A419D8"/>
    <w:rsid w:val="00A47BC8"/>
    <w:rsid w:val="00A52215"/>
    <w:rsid w:val="00A55CAE"/>
    <w:rsid w:val="00A61E97"/>
    <w:rsid w:val="00A72B12"/>
    <w:rsid w:val="00A764A6"/>
    <w:rsid w:val="00A77C7D"/>
    <w:rsid w:val="00A77CAA"/>
    <w:rsid w:val="00A821E3"/>
    <w:rsid w:val="00A842DE"/>
    <w:rsid w:val="00A85791"/>
    <w:rsid w:val="00A86865"/>
    <w:rsid w:val="00A877BD"/>
    <w:rsid w:val="00AA0EA6"/>
    <w:rsid w:val="00AA2606"/>
    <w:rsid w:val="00AA28BA"/>
    <w:rsid w:val="00AB3079"/>
    <w:rsid w:val="00AC2EAB"/>
    <w:rsid w:val="00AC4A5C"/>
    <w:rsid w:val="00AD0C7E"/>
    <w:rsid w:val="00AD2CE8"/>
    <w:rsid w:val="00AD3856"/>
    <w:rsid w:val="00AD54F5"/>
    <w:rsid w:val="00AE3457"/>
    <w:rsid w:val="00AE5FCF"/>
    <w:rsid w:val="00AE70FF"/>
    <w:rsid w:val="00AE725B"/>
    <w:rsid w:val="00AE7CD9"/>
    <w:rsid w:val="00AF2771"/>
    <w:rsid w:val="00B10E07"/>
    <w:rsid w:val="00B150DF"/>
    <w:rsid w:val="00B15A68"/>
    <w:rsid w:val="00B263B7"/>
    <w:rsid w:val="00B37657"/>
    <w:rsid w:val="00B4519D"/>
    <w:rsid w:val="00B47887"/>
    <w:rsid w:val="00B51688"/>
    <w:rsid w:val="00B61815"/>
    <w:rsid w:val="00B640C9"/>
    <w:rsid w:val="00B67376"/>
    <w:rsid w:val="00B73F62"/>
    <w:rsid w:val="00B869F8"/>
    <w:rsid w:val="00B96EE1"/>
    <w:rsid w:val="00B9719E"/>
    <w:rsid w:val="00BA102F"/>
    <w:rsid w:val="00BA11A7"/>
    <w:rsid w:val="00BA4B55"/>
    <w:rsid w:val="00BA56F5"/>
    <w:rsid w:val="00BA7C9C"/>
    <w:rsid w:val="00BB2A4D"/>
    <w:rsid w:val="00BC0ED0"/>
    <w:rsid w:val="00BC6241"/>
    <w:rsid w:val="00BC636A"/>
    <w:rsid w:val="00BC6DBC"/>
    <w:rsid w:val="00BD315D"/>
    <w:rsid w:val="00BD7DA3"/>
    <w:rsid w:val="00BE079C"/>
    <w:rsid w:val="00BE4B32"/>
    <w:rsid w:val="00BE5E2E"/>
    <w:rsid w:val="00BF4046"/>
    <w:rsid w:val="00C0351D"/>
    <w:rsid w:val="00C067D7"/>
    <w:rsid w:val="00C13856"/>
    <w:rsid w:val="00C15C66"/>
    <w:rsid w:val="00C15F06"/>
    <w:rsid w:val="00C21138"/>
    <w:rsid w:val="00C22068"/>
    <w:rsid w:val="00C2485C"/>
    <w:rsid w:val="00C2634E"/>
    <w:rsid w:val="00C4667E"/>
    <w:rsid w:val="00C523E7"/>
    <w:rsid w:val="00C53166"/>
    <w:rsid w:val="00C5370C"/>
    <w:rsid w:val="00C5557F"/>
    <w:rsid w:val="00C60E7A"/>
    <w:rsid w:val="00C671CB"/>
    <w:rsid w:val="00C71C5B"/>
    <w:rsid w:val="00C722D2"/>
    <w:rsid w:val="00C80E75"/>
    <w:rsid w:val="00C91DFE"/>
    <w:rsid w:val="00C929BE"/>
    <w:rsid w:val="00C93AC0"/>
    <w:rsid w:val="00C93BF4"/>
    <w:rsid w:val="00C945AE"/>
    <w:rsid w:val="00C9523F"/>
    <w:rsid w:val="00CA1150"/>
    <w:rsid w:val="00CA14A7"/>
    <w:rsid w:val="00CA1AA1"/>
    <w:rsid w:val="00CB1262"/>
    <w:rsid w:val="00CB19E0"/>
    <w:rsid w:val="00CB2247"/>
    <w:rsid w:val="00CB2A09"/>
    <w:rsid w:val="00CB69C3"/>
    <w:rsid w:val="00CC6170"/>
    <w:rsid w:val="00CD7DCE"/>
    <w:rsid w:val="00CE0029"/>
    <w:rsid w:val="00CE3D7F"/>
    <w:rsid w:val="00CE5A50"/>
    <w:rsid w:val="00CE6E6E"/>
    <w:rsid w:val="00CF3BDD"/>
    <w:rsid w:val="00CF5A54"/>
    <w:rsid w:val="00D008DA"/>
    <w:rsid w:val="00D057B1"/>
    <w:rsid w:val="00D070AC"/>
    <w:rsid w:val="00D1450F"/>
    <w:rsid w:val="00D35D42"/>
    <w:rsid w:val="00D4009B"/>
    <w:rsid w:val="00D412FE"/>
    <w:rsid w:val="00D501D6"/>
    <w:rsid w:val="00D50800"/>
    <w:rsid w:val="00D63F66"/>
    <w:rsid w:val="00D741D4"/>
    <w:rsid w:val="00D756DD"/>
    <w:rsid w:val="00D8219D"/>
    <w:rsid w:val="00D93002"/>
    <w:rsid w:val="00D93369"/>
    <w:rsid w:val="00D93AD2"/>
    <w:rsid w:val="00D97FEF"/>
    <w:rsid w:val="00DA09EC"/>
    <w:rsid w:val="00DA108D"/>
    <w:rsid w:val="00DA1ED4"/>
    <w:rsid w:val="00DA7142"/>
    <w:rsid w:val="00DA7A2B"/>
    <w:rsid w:val="00DB449B"/>
    <w:rsid w:val="00DC2D64"/>
    <w:rsid w:val="00DC5160"/>
    <w:rsid w:val="00DC6301"/>
    <w:rsid w:val="00DD4F2A"/>
    <w:rsid w:val="00DF0646"/>
    <w:rsid w:val="00E0052E"/>
    <w:rsid w:val="00E10956"/>
    <w:rsid w:val="00E109A2"/>
    <w:rsid w:val="00E11850"/>
    <w:rsid w:val="00E16323"/>
    <w:rsid w:val="00E163E6"/>
    <w:rsid w:val="00E208A2"/>
    <w:rsid w:val="00E267E1"/>
    <w:rsid w:val="00E31D1A"/>
    <w:rsid w:val="00E34FB5"/>
    <w:rsid w:val="00E401ED"/>
    <w:rsid w:val="00E4139C"/>
    <w:rsid w:val="00E44602"/>
    <w:rsid w:val="00E44F34"/>
    <w:rsid w:val="00E45771"/>
    <w:rsid w:val="00E527EE"/>
    <w:rsid w:val="00E634FE"/>
    <w:rsid w:val="00E65C42"/>
    <w:rsid w:val="00E660D0"/>
    <w:rsid w:val="00E67550"/>
    <w:rsid w:val="00E7035E"/>
    <w:rsid w:val="00E70712"/>
    <w:rsid w:val="00E755EE"/>
    <w:rsid w:val="00E75866"/>
    <w:rsid w:val="00E8299F"/>
    <w:rsid w:val="00E87B44"/>
    <w:rsid w:val="00E937E5"/>
    <w:rsid w:val="00E946C6"/>
    <w:rsid w:val="00E97430"/>
    <w:rsid w:val="00E97E2C"/>
    <w:rsid w:val="00EA198F"/>
    <w:rsid w:val="00EA4983"/>
    <w:rsid w:val="00EB0218"/>
    <w:rsid w:val="00EB0B58"/>
    <w:rsid w:val="00EB6796"/>
    <w:rsid w:val="00EC5ACC"/>
    <w:rsid w:val="00EC6870"/>
    <w:rsid w:val="00ED64F1"/>
    <w:rsid w:val="00EE1DB2"/>
    <w:rsid w:val="00EE2A6C"/>
    <w:rsid w:val="00EF1655"/>
    <w:rsid w:val="00EF2C55"/>
    <w:rsid w:val="00EF2D94"/>
    <w:rsid w:val="00EF6E3F"/>
    <w:rsid w:val="00EF6F42"/>
    <w:rsid w:val="00EF6F66"/>
    <w:rsid w:val="00EF7EE8"/>
    <w:rsid w:val="00F00F01"/>
    <w:rsid w:val="00F034FE"/>
    <w:rsid w:val="00F04916"/>
    <w:rsid w:val="00F2180C"/>
    <w:rsid w:val="00F21F8E"/>
    <w:rsid w:val="00F2584E"/>
    <w:rsid w:val="00F27687"/>
    <w:rsid w:val="00F322CB"/>
    <w:rsid w:val="00F327E1"/>
    <w:rsid w:val="00F40A26"/>
    <w:rsid w:val="00F41A49"/>
    <w:rsid w:val="00F41A9C"/>
    <w:rsid w:val="00F43494"/>
    <w:rsid w:val="00F519A9"/>
    <w:rsid w:val="00F51C6E"/>
    <w:rsid w:val="00F533B5"/>
    <w:rsid w:val="00F5467C"/>
    <w:rsid w:val="00F56C1D"/>
    <w:rsid w:val="00F64008"/>
    <w:rsid w:val="00F72499"/>
    <w:rsid w:val="00F76D82"/>
    <w:rsid w:val="00F800F2"/>
    <w:rsid w:val="00F80168"/>
    <w:rsid w:val="00F80D6E"/>
    <w:rsid w:val="00F837B1"/>
    <w:rsid w:val="00F83D34"/>
    <w:rsid w:val="00F876F3"/>
    <w:rsid w:val="00F972E0"/>
    <w:rsid w:val="00F97C4D"/>
    <w:rsid w:val="00FA0B46"/>
    <w:rsid w:val="00FA23FB"/>
    <w:rsid w:val="00FA5290"/>
    <w:rsid w:val="00FB3A37"/>
    <w:rsid w:val="00FB7D83"/>
    <w:rsid w:val="00FC2AC8"/>
    <w:rsid w:val="00FC693C"/>
    <w:rsid w:val="00FD40BB"/>
    <w:rsid w:val="00FD4C2A"/>
    <w:rsid w:val="00FD4F5B"/>
    <w:rsid w:val="00FD51DC"/>
    <w:rsid w:val="00FD5605"/>
    <w:rsid w:val="00FE1697"/>
    <w:rsid w:val="00FE458B"/>
    <w:rsid w:val="00FE7118"/>
    <w:rsid w:val="00FF4265"/>
    <w:rsid w:val="00FF772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0959CD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35500"/>
    <w:pPr>
      <w:spacing w:before="100" w:beforeAutospacing="1" w:after="100" w:afterAutospacing="1"/>
      <w:outlineLvl w:val="0"/>
    </w:pPr>
    <w:rPr>
      <w:rFonts w:ascii="Times" w:hAnsi="Times"/>
      <w:b/>
      <w:bCs/>
      <w:kern w:val="36"/>
      <w:sz w:val="48"/>
      <w:szCs w:val="48"/>
      <w:lang w:val="en-US"/>
    </w:rPr>
  </w:style>
  <w:style w:type="paragraph" w:styleId="Heading2">
    <w:name w:val="heading 2"/>
    <w:basedOn w:val="Normal"/>
    <w:next w:val="Normal"/>
    <w:link w:val="Heading2Char"/>
    <w:uiPriority w:val="9"/>
    <w:unhideWhenUsed/>
    <w:qFormat/>
    <w:rsid w:val="0003484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3484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725B"/>
    <w:pPr>
      <w:ind w:left="720"/>
      <w:contextualSpacing/>
    </w:pPr>
  </w:style>
  <w:style w:type="character" w:styleId="Hyperlink">
    <w:name w:val="Hyperlink"/>
    <w:basedOn w:val="DefaultParagraphFont"/>
    <w:uiPriority w:val="99"/>
    <w:unhideWhenUsed/>
    <w:rsid w:val="00C722D2"/>
    <w:rPr>
      <w:color w:val="0000FF" w:themeColor="hyperlink"/>
      <w:u w:val="single"/>
    </w:rPr>
  </w:style>
  <w:style w:type="character" w:styleId="FollowedHyperlink">
    <w:name w:val="FollowedHyperlink"/>
    <w:basedOn w:val="DefaultParagraphFont"/>
    <w:uiPriority w:val="99"/>
    <w:semiHidden/>
    <w:unhideWhenUsed/>
    <w:rsid w:val="00C722D2"/>
    <w:rPr>
      <w:color w:val="800080" w:themeColor="followedHyperlink"/>
      <w:u w:val="single"/>
    </w:rPr>
  </w:style>
  <w:style w:type="table" w:styleId="TableGrid">
    <w:name w:val="Table Grid"/>
    <w:basedOn w:val="TableNormal"/>
    <w:uiPriority w:val="39"/>
    <w:rsid w:val="005259F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481C69"/>
  </w:style>
  <w:style w:type="paragraph" w:styleId="BalloonText">
    <w:name w:val="Balloon Text"/>
    <w:basedOn w:val="Normal"/>
    <w:link w:val="BalloonTextChar"/>
    <w:uiPriority w:val="99"/>
    <w:semiHidden/>
    <w:unhideWhenUsed/>
    <w:rsid w:val="0085262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5262F"/>
    <w:rPr>
      <w:rFonts w:ascii="Lucida Grande" w:hAnsi="Lucida Grande" w:cs="Lucida Grande"/>
      <w:sz w:val="18"/>
      <w:szCs w:val="18"/>
    </w:rPr>
  </w:style>
  <w:style w:type="character" w:customStyle="1" w:styleId="Heading1Char">
    <w:name w:val="Heading 1 Char"/>
    <w:basedOn w:val="DefaultParagraphFont"/>
    <w:link w:val="Heading1"/>
    <w:uiPriority w:val="9"/>
    <w:rsid w:val="00735500"/>
    <w:rPr>
      <w:rFonts w:ascii="Times" w:hAnsi="Times"/>
      <w:b/>
      <w:bCs/>
      <w:kern w:val="36"/>
      <w:sz w:val="48"/>
      <w:szCs w:val="48"/>
      <w:lang w:val="en-US"/>
    </w:rPr>
  </w:style>
  <w:style w:type="paragraph" w:styleId="NoSpacing">
    <w:name w:val="No Spacing"/>
    <w:qFormat/>
    <w:rsid w:val="00B4519D"/>
    <w:rPr>
      <w:rFonts w:ascii="Calibri" w:eastAsia="Calibri" w:hAnsi="Calibri" w:cs="Times New Roman"/>
      <w:sz w:val="22"/>
      <w:szCs w:val="22"/>
      <w:lang w:val="en-US"/>
    </w:rPr>
  </w:style>
  <w:style w:type="paragraph" w:styleId="BodyText">
    <w:name w:val="Body Text"/>
    <w:basedOn w:val="Normal"/>
    <w:link w:val="BodyTextChar"/>
    <w:rsid w:val="008C4222"/>
    <w:pPr>
      <w:overflowPunct w:val="0"/>
      <w:autoSpaceDE w:val="0"/>
      <w:autoSpaceDN w:val="0"/>
      <w:adjustRightInd w:val="0"/>
      <w:spacing w:after="240" w:line="240" w:lineRule="atLeast"/>
      <w:ind w:left="709"/>
      <w:jc w:val="both"/>
      <w:textAlignment w:val="baseline"/>
    </w:pPr>
    <w:rPr>
      <w:rFonts w:ascii="Arial" w:eastAsia="Times New Roman" w:hAnsi="Arial" w:cs="Times New Roman"/>
      <w:spacing w:val="-5"/>
      <w:sz w:val="20"/>
      <w:szCs w:val="20"/>
    </w:rPr>
  </w:style>
  <w:style w:type="character" w:customStyle="1" w:styleId="BodyTextChar">
    <w:name w:val="Body Text Char"/>
    <w:basedOn w:val="DefaultParagraphFont"/>
    <w:link w:val="BodyText"/>
    <w:rsid w:val="008C4222"/>
    <w:rPr>
      <w:rFonts w:ascii="Arial" w:eastAsia="Times New Roman" w:hAnsi="Arial" w:cs="Times New Roman"/>
      <w:spacing w:val="-5"/>
      <w:sz w:val="20"/>
      <w:szCs w:val="20"/>
    </w:rPr>
  </w:style>
  <w:style w:type="paragraph" w:styleId="Footer">
    <w:name w:val="footer"/>
    <w:basedOn w:val="Normal"/>
    <w:link w:val="FooterChar"/>
    <w:uiPriority w:val="99"/>
    <w:unhideWhenUsed/>
    <w:rsid w:val="00D93AD2"/>
    <w:pPr>
      <w:tabs>
        <w:tab w:val="center" w:pos="4320"/>
        <w:tab w:val="right" w:pos="8640"/>
      </w:tabs>
    </w:pPr>
  </w:style>
  <w:style w:type="character" w:customStyle="1" w:styleId="FooterChar">
    <w:name w:val="Footer Char"/>
    <w:basedOn w:val="DefaultParagraphFont"/>
    <w:link w:val="Footer"/>
    <w:uiPriority w:val="99"/>
    <w:rsid w:val="00D93AD2"/>
  </w:style>
  <w:style w:type="character" w:styleId="PageNumber">
    <w:name w:val="page number"/>
    <w:basedOn w:val="DefaultParagraphFont"/>
    <w:uiPriority w:val="99"/>
    <w:semiHidden/>
    <w:unhideWhenUsed/>
    <w:rsid w:val="00D93AD2"/>
  </w:style>
  <w:style w:type="character" w:customStyle="1" w:styleId="Heading2Char">
    <w:name w:val="Heading 2 Char"/>
    <w:basedOn w:val="DefaultParagraphFont"/>
    <w:link w:val="Heading2"/>
    <w:uiPriority w:val="9"/>
    <w:rsid w:val="0003484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3484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790AF8"/>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790AF8"/>
    <w:pPr>
      <w:spacing w:before="240" w:after="120"/>
    </w:pPr>
    <w:rPr>
      <w:b/>
      <w:bCs/>
      <w:sz w:val="20"/>
      <w:szCs w:val="20"/>
    </w:rPr>
  </w:style>
  <w:style w:type="paragraph" w:styleId="TOC2">
    <w:name w:val="toc 2"/>
    <w:basedOn w:val="Normal"/>
    <w:next w:val="Normal"/>
    <w:autoRedefine/>
    <w:uiPriority w:val="39"/>
    <w:unhideWhenUsed/>
    <w:rsid w:val="00790AF8"/>
    <w:pPr>
      <w:spacing w:before="120"/>
      <w:ind w:left="240"/>
    </w:pPr>
    <w:rPr>
      <w:i/>
      <w:iCs/>
      <w:sz w:val="20"/>
      <w:szCs w:val="20"/>
    </w:rPr>
  </w:style>
  <w:style w:type="paragraph" w:styleId="TOC3">
    <w:name w:val="toc 3"/>
    <w:basedOn w:val="Normal"/>
    <w:next w:val="Normal"/>
    <w:autoRedefine/>
    <w:uiPriority w:val="39"/>
    <w:unhideWhenUsed/>
    <w:rsid w:val="00790AF8"/>
    <w:pPr>
      <w:ind w:left="480"/>
    </w:pPr>
    <w:rPr>
      <w:sz w:val="20"/>
      <w:szCs w:val="20"/>
    </w:rPr>
  </w:style>
  <w:style w:type="character" w:customStyle="1" w:styleId="nlmstring-name">
    <w:name w:val="nlm_string-name"/>
    <w:basedOn w:val="DefaultParagraphFont"/>
    <w:rsid w:val="000561ED"/>
  </w:style>
  <w:style w:type="paragraph" w:styleId="NormalWeb">
    <w:name w:val="Normal (Web)"/>
    <w:basedOn w:val="Normal"/>
    <w:uiPriority w:val="99"/>
    <w:unhideWhenUsed/>
    <w:rsid w:val="00780E6F"/>
    <w:pPr>
      <w:spacing w:before="100" w:beforeAutospacing="1" w:after="100" w:afterAutospacing="1"/>
    </w:pPr>
    <w:rPr>
      <w:rFonts w:ascii="Times New Roman" w:eastAsia="Times New Roman" w:hAnsi="Times New Roman" w:cs="Times New Roman"/>
    </w:rPr>
  </w:style>
  <w:style w:type="paragraph" w:styleId="TOC4">
    <w:name w:val="toc 4"/>
    <w:basedOn w:val="Normal"/>
    <w:next w:val="Normal"/>
    <w:autoRedefine/>
    <w:uiPriority w:val="39"/>
    <w:semiHidden/>
    <w:unhideWhenUsed/>
    <w:rsid w:val="00090B20"/>
    <w:pPr>
      <w:ind w:left="720"/>
    </w:pPr>
    <w:rPr>
      <w:sz w:val="20"/>
      <w:szCs w:val="20"/>
    </w:rPr>
  </w:style>
  <w:style w:type="paragraph" w:styleId="TOC5">
    <w:name w:val="toc 5"/>
    <w:basedOn w:val="Normal"/>
    <w:next w:val="Normal"/>
    <w:autoRedefine/>
    <w:uiPriority w:val="39"/>
    <w:semiHidden/>
    <w:unhideWhenUsed/>
    <w:rsid w:val="00090B20"/>
    <w:pPr>
      <w:ind w:left="960"/>
    </w:pPr>
    <w:rPr>
      <w:sz w:val="20"/>
      <w:szCs w:val="20"/>
    </w:rPr>
  </w:style>
  <w:style w:type="paragraph" w:styleId="TOC6">
    <w:name w:val="toc 6"/>
    <w:basedOn w:val="Normal"/>
    <w:next w:val="Normal"/>
    <w:autoRedefine/>
    <w:uiPriority w:val="39"/>
    <w:semiHidden/>
    <w:unhideWhenUsed/>
    <w:rsid w:val="00090B20"/>
    <w:pPr>
      <w:ind w:left="1200"/>
    </w:pPr>
    <w:rPr>
      <w:sz w:val="20"/>
      <w:szCs w:val="20"/>
    </w:rPr>
  </w:style>
  <w:style w:type="paragraph" w:styleId="TOC7">
    <w:name w:val="toc 7"/>
    <w:basedOn w:val="Normal"/>
    <w:next w:val="Normal"/>
    <w:autoRedefine/>
    <w:uiPriority w:val="39"/>
    <w:semiHidden/>
    <w:unhideWhenUsed/>
    <w:rsid w:val="00090B20"/>
    <w:pPr>
      <w:ind w:left="1440"/>
    </w:pPr>
    <w:rPr>
      <w:sz w:val="20"/>
      <w:szCs w:val="20"/>
    </w:rPr>
  </w:style>
  <w:style w:type="paragraph" w:styleId="TOC8">
    <w:name w:val="toc 8"/>
    <w:basedOn w:val="Normal"/>
    <w:next w:val="Normal"/>
    <w:autoRedefine/>
    <w:uiPriority w:val="39"/>
    <w:semiHidden/>
    <w:unhideWhenUsed/>
    <w:rsid w:val="00090B20"/>
    <w:pPr>
      <w:ind w:left="1680"/>
    </w:pPr>
    <w:rPr>
      <w:sz w:val="20"/>
      <w:szCs w:val="20"/>
    </w:rPr>
  </w:style>
  <w:style w:type="paragraph" w:styleId="TOC9">
    <w:name w:val="toc 9"/>
    <w:basedOn w:val="Normal"/>
    <w:next w:val="Normal"/>
    <w:autoRedefine/>
    <w:uiPriority w:val="39"/>
    <w:semiHidden/>
    <w:unhideWhenUsed/>
    <w:rsid w:val="00090B20"/>
    <w:pPr>
      <w:ind w:left="1920"/>
    </w:pPr>
    <w:rPr>
      <w:sz w:val="20"/>
      <w:szCs w:val="20"/>
    </w:rPr>
  </w:style>
  <w:style w:type="character" w:customStyle="1" w:styleId="UnresolvedMention">
    <w:name w:val="Unresolved Mention"/>
    <w:basedOn w:val="DefaultParagraphFont"/>
    <w:uiPriority w:val="99"/>
    <w:semiHidden/>
    <w:unhideWhenUsed/>
    <w:rsid w:val="00DC2D64"/>
    <w:rPr>
      <w:color w:val="605E5C"/>
      <w:shd w:val="clear" w:color="auto" w:fill="E1DFDD"/>
    </w:rPr>
  </w:style>
  <w:style w:type="paragraph" w:styleId="PlainText">
    <w:name w:val="Plain Text"/>
    <w:basedOn w:val="Normal"/>
    <w:link w:val="PlainTextChar"/>
    <w:uiPriority w:val="99"/>
    <w:unhideWhenUsed/>
    <w:rsid w:val="008E2CFC"/>
    <w:pPr>
      <w:spacing w:beforeAutospacing="1" w:afterAutospacing="1"/>
    </w:pPr>
    <w:rPr>
      <w:rFonts w:ascii="Courier" w:hAnsi="Courier"/>
      <w:color w:val="000000"/>
      <w:kern w:val="24"/>
      <w:sz w:val="21"/>
      <w:szCs w:val="21"/>
      <w:u w:color="000000"/>
      <w:lang w:eastAsia="ja-JP"/>
    </w:rPr>
  </w:style>
  <w:style w:type="character" w:customStyle="1" w:styleId="PlainTextChar">
    <w:name w:val="Plain Text Char"/>
    <w:basedOn w:val="DefaultParagraphFont"/>
    <w:link w:val="PlainText"/>
    <w:uiPriority w:val="99"/>
    <w:rsid w:val="008E2CFC"/>
    <w:rPr>
      <w:rFonts w:ascii="Courier" w:hAnsi="Courier"/>
      <w:color w:val="000000"/>
      <w:kern w:val="24"/>
      <w:sz w:val="21"/>
      <w:szCs w:val="21"/>
      <w:u w:color="000000"/>
      <w:lang w:eastAsia="ja-JP"/>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35500"/>
    <w:pPr>
      <w:spacing w:before="100" w:beforeAutospacing="1" w:after="100" w:afterAutospacing="1"/>
      <w:outlineLvl w:val="0"/>
    </w:pPr>
    <w:rPr>
      <w:rFonts w:ascii="Times" w:hAnsi="Times"/>
      <w:b/>
      <w:bCs/>
      <w:kern w:val="36"/>
      <w:sz w:val="48"/>
      <w:szCs w:val="48"/>
      <w:lang w:val="en-US"/>
    </w:rPr>
  </w:style>
  <w:style w:type="paragraph" w:styleId="Heading2">
    <w:name w:val="heading 2"/>
    <w:basedOn w:val="Normal"/>
    <w:next w:val="Normal"/>
    <w:link w:val="Heading2Char"/>
    <w:uiPriority w:val="9"/>
    <w:unhideWhenUsed/>
    <w:qFormat/>
    <w:rsid w:val="0003484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3484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725B"/>
    <w:pPr>
      <w:ind w:left="720"/>
      <w:contextualSpacing/>
    </w:pPr>
  </w:style>
  <w:style w:type="character" w:styleId="Hyperlink">
    <w:name w:val="Hyperlink"/>
    <w:basedOn w:val="DefaultParagraphFont"/>
    <w:uiPriority w:val="99"/>
    <w:unhideWhenUsed/>
    <w:rsid w:val="00C722D2"/>
    <w:rPr>
      <w:color w:val="0000FF" w:themeColor="hyperlink"/>
      <w:u w:val="single"/>
    </w:rPr>
  </w:style>
  <w:style w:type="character" w:styleId="FollowedHyperlink">
    <w:name w:val="FollowedHyperlink"/>
    <w:basedOn w:val="DefaultParagraphFont"/>
    <w:uiPriority w:val="99"/>
    <w:semiHidden/>
    <w:unhideWhenUsed/>
    <w:rsid w:val="00C722D2"/>
    <w:rPr>
      <w:color w:val="800080" w:themeColor="followedHyperlink"/>
      <w:u w:val="single"/>
    </w:rPr>
  </w:style>
  <w:style w:type="table" w:styleId="TableGrid">
    <w:name w:val="Table Grid"/>
    <w:basedOn w:val="TableNormal"/>
    <w:uiPriority w:val="39"/>
    <w:rsid w:val="005259F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481C69"/>
  </w:style>
  <w:style w:type="paragraph" w:styleId="BalloonText">
    <w:name w:val="Balloon Text"/>
    <w:basedOn w:val="Normal"/>
    <w:link w:val="BalloonTextChar"/>
    <w:uiPriority w:val="99"/>
    <w:semiHidden/>
    <w:unhideWhenUsed/>
    <w:rsid w:val="0085262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5262F"/>
    <w:rPr>
      <w:rFonts w:ascii="Lucida Grande" w:hAnsi="Lucida Grande" w:cs="Lucida Grande"/>
      <w:sz w:val="18"/>
      <w:szCs w:val="18"/>
    </w:rPr>
  </w:style>
  <w:style w:type="character" w:customStyle="1" w:styleId="Heading1Char">
    <w:name w:val="Heading 1 Char"/>
    <w:basedOn w:val="DefaultParagraphFont"/>
    <w:link w:val="Heading1"/>
    <w:uiPriority w:val="9"/>
    <w:rsid w:val="00735500"/>
    <w:rPr>
      <w:rFonts w:ascii="Times" w:hAnsi="Times"/>
      <w:b/>
      <w:bCs/>
      <w:kern w:val="36"/>
      <w:sz w:val="48"/>
      <w:szCs w:val="48"/>
      <w:lang w:val="en-US"/>
    </w:rPr>
  </w:style>
  <w:style w:type="paragraph" w:styleId="NoSpacing">
    <w:name w:val="No Spacing"/>
    <w:qFormat/>
    <w:rsid w:val="00B4519D"/>
    <w:rPr>
      <w:rFonts w:ascii="Calibri" w:eastAsia="Calibri" w:hAnsi="Calibri" w:cs="Times New Roman"/>
      <w:sz w:val="22"/>
      <w:szCs w:val="22"/>
      <w:lang w:val="en-US"/>
    </w:rPr>
  </w:style>
  <w:style w:type="paragraph" w:styleId="BodyText">
    <w:name w:val="Body Text"/>
    <w:basedOn w:val="Normal"/>
    <w:link w:val="BodyTextChar"/>
    <w:rsid w:val="008C4222"/>
    <w:pPr>
      <w:overflowPunct w:val="0"/>
      <w:autoSpaceDE w:val="0"/>
      <w:autoSpaceDN w:val="0"/>
      <w:adjustRightInd w:val="0"/>
      <w:spacing w:after="240" w:line="240" w:lineRule="atLeast"/>
      <w:ind w:left="709"/>
      <w:jc w:val="both"/>
      <w:textAlignment w:val="baseline"/>
    </w:pPr>
    <w:rPr>
      <w:rFonts w:ascii="Arial" w:eastAsia="Times New Roman" w:hAnsi="Arial" w:cs="Times New Roman"/>
      <w:spacing w:val="-5"/>
      <w:sz w:val="20"/>
      <w:szCs w:val="20"/>
    </w:rPr>
  </w:style>
  <w:style w:type="character" w:customStyle="1" w:styleId="BodyTextChar">
    <w:name w:val="Body Text Char"/>
    <w:basedOn w:val="DefaultParagraphFont"/>
    <w:link w:val="BodyText"/>
    <w:rsid w:val="008C4222"/>
    <w:rPr>
      <w:rFonts w:ascii="Arial" w:eastAsia="Times New Roman" w:hAnsi="Arial" w:cs="Times New Roman"/>
      <w:spacing w:val="-5"/>
      <w:sz w:val="20"/>
      <w:szCs w:val="20"/>
    </w:rPr>
  </w:style>
  <w:style w:type="paragraph" w:styleId="Footer">
    <w:name w:val="footer"/>
    <w:basedOn w:val="Normal"/>
    <w:link w:val="FooterChar"/>
    <w:uiPriority w:val="99"/>
    <w:unhideWhenUsed/>
    <w:rsid w:val="00D93AD2"/>
    <w:pPr>
      <w:tabs>
        <w:tab w:val="center" w:pos="4320"/>
        <w:tab w:val="right" w:pos="8640"/>
      </w:tabs>
    </w:pPr>
  </w:style>
  <w:style w:type="character" w:customStyle="1" w:styleId="FooterChar">
    <w:name w:val="Footer Char"/>
    <w:basedOn w:val="DefaultParagraphFont"/>
    <w:link w:val="Footer"/>
    <w:uiPriority w:val="99"/>
    <w:rsid w:val="00D93AD2"/>
  </w:style>
  <w:style w:type="character" w:styleId="PageNumber">
    <w:name w:val="page number"/>
    <w:basedOn w:val="DefaultParagraphFont"/>
    <w:uiPriority w:val="99"/>
    <w:semiHidden/>
    <w:unhideWhenUsed/>
    <w:rsid w:val="00D93AD2"/>
  </w:style>
  <w:style w:type="character" w:customStyle="1" w:styleId="Heading2Char">
    <w:name w:val="Heading 2 Char"/>
    <w:basedOn w:val="DefaultParagraphFont"/>
    <w:link w:val="Heading2"/>
    <w:uiPriority w:val="9"/>
    <w:rsid w:val="0003484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3484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790AF8"/>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790AF8"/>
    <w:pPr>
      <w:spacing w:before="240" w:after="120"/>
    </w:pPr>
    <w:rPr>
      <w:b/>
      <w:bCs/>
      <w:sz w:val="20"/>
      <w:szCs w:val="20"/>
    </w:rPr>
  </w:style>
  <w:style w:type="paragraph" w:styleId="TOC2">
    <w:name w:val="toc 2"/>
    <w:basedOn w:val="Normal"/>
    <w:next w:val="Normal"/>
    <w:autoRedefine/>
    <w:uiPriority w:val="39"/>
    <w:unhideWhenUsed/>
    <w:rsid w:val="00790AF8"/>
    <w:pPr>
      <w:spacing w:before="120"/>
      <w:ind w:left="240"/>
    </w:pPr>
    <w:rPr>
      <w:i/>
      <w:iCs/>
      <w:sz w:val="20"/>
      <w:szCs w:val="20"/>
    </w:rPr>
  </w:style>
  <w:style w:type="paragraph" w:styleId="TOC3">
    <w:name w:val="toc 3"/>
    <w:basedOn w:val="Normal"/>
    <w:next w:val="Normal"/>
    <w:autoRedefine/>
    <w:uiPriority w:val="39"/>
    <w:unhideWhenUsed/>
    <w:rsid w:val="00790AF8"/>
    <w:pPr>
      <w:ind w:left="480"/>
    </w:pPr>
    <w:rPr>
      <w:sz w:val="20"/>
      <w:szCs w:val="20"/>
    </w:rPr>
  </w:style>
  <w:style w:type="character" w:customStyle="1" w:styleId="nlmstring-name">
    <w:name w:val="nlm_string-name"/>
    <w:basedOn w:val="DefaultParagraphFont"/>
    <w:rsid w:val="000561ED"/>
  </w:style>
  <w:style w:type="paragraph" w:styleId="NormalWeb">
    <w:name w:val="Normal (Web)"/>
    <w:basedOn w:val="Normal"/>
    <w:uiPriority w:val="99"/>
    <w:unhideWhenUsed/>
    <w:rsid w:val="00780E6F"/>
    <w:pPr>
      <w:spacing w:before="100" w:beforeAutospacing="1" w:after="100" w:afterAutospacing="1"/>
    </w:pPr>
    <w:rPr>
      <w:rFonts w:ascii="Times New Roman" w:eastAsia="Times New Roman" w:hAnsi="Times New Roman" w:cs="Times New Roman"/>
    </w:rPr>
  </w:style>
  <w:style w:type="paragraph" w:styleId="TOC4">
    <w:name w:val="toc 4"/>
    <w:basedOn w:val="Normal"/>
    <w:next w:val="Normal"/>
    <w:autoRedefine/>
    <w:uiPriority w:val="39"/>
    <w:semiHidden/>
    <w:unhideWhenUsed/>
    <w:rsid w:val="00090B20"/>
    <w:pPr>
      <w:ind w:left="720"/>
    </w:pPr>
    <w:rPr>
      <w:sz w:val="20"/>
      <w:szCs w:val="20"/>
    </w:rPr>
  </w:style>
  <w:style w:type="paragraph" w:styleId="TOC5">
    <w:name w:val="toc 5"/>
    <w:basedOn w:val="Normal"/>
    <w:next w:val="Normal"/>
    <w:autoRedefine/>
    <w:uiPriority w:val="39"/>
    <w:semiHidden/>
    <w:unhideWhenUsed/>
    <w:rsid w:val="00090B20"/>
    <w:pPr>
      <w:ind w:left="960"/>
    </w:pPr>
    <w:rPr>
      <w:sz w:val="20"/>
      <w:szCs w:val="20"/>
    </w:rPr>
  </w:style>
  <w:style w:type="paragraph" w:styleId="TOC6">
    <w:name w:val="toc 6"/>
    <w:basedOn w:val="Normal"/>
    <w:next w:val="Normal"/>
    <w:autoRedefine/>
    <w:uiPriority w:val="39"/>
    <w:semiHidden/>
    <w:unhideWhenUsed/>
    <w:rsid w:val="00090B20"/>
    <w:pPr>
      <w:ind w:left="1200"/>
    </w:pPr>
    <w:rPr>
      <w:sz w:val="20"/>
      <w:szCs w:val="20"/>
    </w:rPr>
  </w:style>
  <w:style w:type="paragraph" w:styleId="TOC7">
    <w:name w:val="toc 7"/>
    <w:basedOn w:val="Normal"/>
    <w:next w:val="Normal"/>
    <w:autoRedefine/>
    <w:uiPriority w:val="39"/>
    <w:semiHidden/>
    <w:unhideWhenUsed/>
    <w:rsid w:val="00090B20"/>
    <w:pPr>
      <w:ind w:left="1440"/>
    </w:pPr>
    <w:rPr>
      <w:sz w:val="20"/>
      <w:szCs w:val="20"/>
    </w:rPr>
  </w:style>
  <w:style w:type="paragraph" w:styleId="TOC8">
    <w:name w:val="toc 8"/>
    <w:basedOn w:val="Normal"/>
    <w:next w:val="Normal"/>
    <w:autoRedefine/>
    <w:uiPriority w:val="39"/>
    <w:semiHidden/>
    <w:unhideWhenUsed/>
    <w:rsid w:val="00090B20"/>
    <w:pPr>
      <w:ind w:left="1680"/>
    </w:pPr>
    <w:rPr>
      <w:sz w:val="20"/>
      <w:szCs w:val="20"/>
    </w:rPr>
  </w:style>
  <w:style w:type="paragraph" w:styleId="TOC9">
    <w:name w:val="toc 9"/>
    <w:basedOn w:val="Normal"/>
    <w:next w:val="Normal"/>
    <w:autoRedefine/>
    <w:uiPriority w:val="39"/>
    <w:semiHidden/>
    <w:unhideWhenUsed/>
    <w:rsid w:val="00090B20"/>
    <w:pPr>
      <w:ind w:left="1920"/>
    </w:pPr>
    <w:rPr>
      <w:sz w:val="20"/>
      <w:szCs w:val="20"/>
    </w:rPr>
  </w:style>
  <w:style w:type="character" w:customStyle="1" w:styleId="UnresolvedMention">
    <w:name w:val="Unresolved Mention"/>
    <w:basedOn w:val="DefaultParagraphFont"/>
    <w:uiPriority w:val="99"/>
    <w:semiHidden/>
    <w:unhideWhenUsed/>
    <w:rsid w:val="00DC2D64"/>
    <w:rPr>
      <w:color w:val="605E5C"/>
      <w:shd w:val="clear" w:color="auto" w:fill="E1DFDD"/>
    </w:rPr>
  </w:style>
  <w:style w:type="paragraph" w:styleId="PlainText">
    <w:name w:val="Plain Text"/>
    <w:basedOn w:val="Normal"/>
    <w:link w:val="PlainTextChar"/>
    <w:uiPriority w:val="99"/>
    <w:unhideWhenUsed/>
    <w:rsid w:val="008E2CFC"/>
    <w:pPr>
      <w:spacing w:beforeAutospacing="1" w:afterAutospacing="1"/>
    </w:pPr>
    <w:rPr>
      <w:rFonts w:ascii="Courier" w:hAnsi="Courier"/>
      <w:color w:val="000000"/>
      <w:kern w:val="24"/>
      <w:sz w:val="21"/>
      <w:szCs w:val="21"/>
      <w:u w:color="000000"/>
      <w:lang w:eastAsia="ja-JP"/>
    </w:rPr>
  </w:style>
  <w:style w:type="character" w:customStyle="1" w:styleId="PlainTextChar">
    <w:name w:val="Plain Text Char"/>
    <w:basedOn w:val="DefaultParagraphFont"/>
    <w:link w:val="PlainText"/>
    <w:uiPriority w:val="99"/>
    <w:rsid w:val="008E2CFC"/>
    <w:rPr>
      <w:rFonts w:ascii="Courier" w:hAnsi="Courier"/>
      <w:color w:val="000000"/>
      <w:kern w:val="24"/>
      <w:sz w:val="21"/>
      <w:szCs w:val="21"/>
      <w:u w:color="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3714930">
      <w:bodyDiv w:val="1"/>
      <w:marLeft w:val="0"/>
      <w:marRight w:val="0"/>
      <w:marTop w:val="0"/>
      <w:marBottom w:val="0"/>
      <w:divBdr>
        <w:top w:val="none" w:sz="0" w:space="0" w:color="auto"/>
        <w:left w:val="none" w:sz="0" w:space="0" w:color="auto"/>
        <w:bottom w:val="none" w:sz="0" w:space="0" w:color="auto"/>
        <w:right w:val="none" w:sz="0" w:space="0" w:color="auto"/>
      </w:divBdr>
    </w:div>
    <w:div w:id="576132617">
      <w:bodyDiv w:val="1"/>
      <w:marLeft w:val="0"/>
      <w:marRight w:val="0"/>
      <w:marTop w:val="0"/>
      <w:marBottom w:val="0"/>
      <w:divBdr>
        <w:top w:val="none" w:sz="0" w:space="0" w:color="auto"/>
        <w:left w:val="none" w:sz="0" w:space="0" w:color="auto"/>
        <w:bottom w:val="none" w:sz="0" w:space="0" w:color="auto"/>
        <w:right w:val="none" w:sz="0" w:space="0" w:color="auto"/>
      </w:divBdr>
    </w:div>
    <w:div w:id="634263927">
      <w:bodyDiv w:val="1"/>
      <w:marLeft w:val="0"/>
      <w:marRight w:val="0"/>
      <w:marTop w:val="0"/>
      <w:marBottom w:val="0"/>
      <w:divBdr>
        <w:top w:val="none" w:sz="0" w:space="0" w:color="auto"/>
        <w:left w:val="none" w:sz="0" w:space="0" w:color="auto"/>
        <w:bottom w:val="none" w:sz="0" w:space="0" w:color="auto"/>
        <w:right w:val="none" w:sz="0" w:space="0" w:color="auto"/>
      </w:divBdr>
    </w:div>
    <w:div w:id="640843156">
      <w:bodyDiv w:val="1"/>
      <w:marLeft w:val="0"/>
      <w:marRight w:val="0"/>
      <w:marTop w:val="0"/>
      <w:marBottom w:val="0"/>
      <w:divBdr>
        <w:top w:val="none" w:sz="0" w:space="0" w:color="auto"/>
        <w:left w:val="none" w:sz="0" w:space="0" w:color="auto"/>
        <w:bottom w:val="none" w:sz="0" w:space="0" w:color="auto"/>
        <w:right w:val="none" w:sz="0" w:space="0" w:color="auto"/>
      </w:divBdr>
    </w:div>
    <w:div w:id="657880084">
      <w:bodyDiv w:val="1"/>
      <w:marLeft w:val="0"/>
      <w:marRight w:val="0"/>
      <w:marTop w:val="0"/>
      <w:marBottom w:val="0"/>
      <w:divBdr>
        <w:top w:val="none" w:sz="0" w:space="0" w:color="auto"/>
        <w:left w:val="none" w:sz="0" w:space="0" w:color="auto"/>
        <w:bottom w:val="none" w:sz="0" w:space="0" w:color="auto"/>
        <w:right w:val="none" w:sz="0" w:space="0" w:color="auto"/>
      </w:divBdr>
    </w:div>
    <w:div w:id="737360239">
      <w:bodyDiv w:val="1"/>
      <w:marLeft w:val="0"/>
      <w:marRight w:val="0"/>
      <w:marTop w:val="0"/>
      <w:marBottom w:val="0"/>
      <w:divBdr>
        <w:top w:val="none" w:sz="0" w:space="0" w:color="auto"/>
        <w:left w:val="none" w:sz="0" w:space="0" w:color="auto"/>
        <w:bottom w:val="none" w:sz="0" w:space="0" w:color="auto"/>
        <w:right w:val="none" w:sz="0" w:space="0" w:color="auto"/>
      </w:divBdr>
      <w:divsChild>
        <w:div w:id="1053501424">
          <w:marLeft w:val="0"/>
          <w:marRight w:val="0"/>
          <w:marTop w:val="0"/>
          <w:marBottom w:val="0"/>
          <w:divBdr>
            <w:top w:val="none" w:sz="0" w:space="0" w:color="auto"/>
            <w:left w:val="none" w:sz="0" w:space="0" w:color="auto"/>
            <w:bottom w:val="none" w:sz="0" w:space="0" w:color="auto"/>
            <w:right w:val="none" w:sz="0" w:space="0" w:color="auto"/>
          </w:divBdr>
          <w:divsChild>
            <w:div w:id="507251384">
              <w:marLeft w:val="0"/>
              <w:marRight w:val="0"/>
              <w:marTop w:val="0"/>
              <w:marBottom w:val="0"/>
              <w:divBdr>
                <w:top w:val="none" w:sz="0" w:space="0" w:color="auto"/>
                <w:left w:val="none" w:sz="0" w:space="0" w:color="auto"/>
                <w:bottom w:val="none" w:sz="0" w:space="0" w:color="auto"/>
                <w:right w:val="none" w:sz="0" w:space="0" w:color="auto"/>
              </w:divBdr>
              <w:divsChild>
                <w:div w:id="23744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678144">
      <w:bodyDiv w:val="1"/>
      <w:marLeft w:val="0"/>
      <w:marRight w:val="0"/>
      <w:marTop w:val="0"/>
      <w:marBottom w:val="0"/>
      <w:divBdr>
        <w:top w:val="none" w:sz="0" w:space="0" w:color="auto"/>
        <w:left w:val="none" w:sz="0" w:space="0" w:color="auto"/>
        <w:bottom w:val="none" w:sz="0" w:space="0" w:color="auto"/>
        <w:right w:val="none" w:sz="0" w:space="0" w:color="auto"/>
      </w:divBdr>
    </w:div>
    <w:div w:id="822816449">
      <w:bodyDiv w:val="1"/>
      <w:marLeft w:val="0"/>
      <w:marRight w:val="0"/>
      <w:marTop w:val="0"/>
      <w:marBottom w:val="0"/>
      <w:divBdr>
        <w:top w:val="none" w:sz="0" w:space="0" w:color="auto"/>
        <w:left w:val="none" w:sz="0" w:space="0" w:color="auto"/>
        <w:bottom w:val="none" w:sz="0" w:space="0" w:color="auto"/>
        <w:right w:val="none" w:sz="0" w:space="0" w:color="auto"/>
      </w:divBdr>
    </w:div>
    <w:div w:id="823737982">
      <w:bodyDiv w:val="1"/>
      <w:marLeft w:val="0"/>
      <w:marRight w:val="0"/>
      <w:marTop w:val="0"/>
      <w:marBottom w:val="0"/>
      <w:divBdr>
        <w:top w:val="none" w:sz="0" w:space="0" w:color="auto"/>
        <w:left w:val="none" w:sz="0" w:space="0" w:color="auto"/>
        <w:bottom w:val="none" w:sz="0" w:space="0" w:color="auto"/>
        <w:right w:val="none" w:sz="0" w:space="0" w:color="auto"/>
      </w:divBdr>
      <w:divsChild>
        <w:div w:id="1364669225">
          <w:marLeft w:val="0"/>
          <w:marRight w:val="0"/>
          <w:marTop w:val="0"/>
          <w:marBottom w:val="0"/>
          <w:divBdr>
            <w:top w:val="none" w:sz="0" w:space="0" w:color="auto"/>
            <w:left w:val="none" w:sz="0" w:space="0" w:color="auto"/>
            <w:bottom w:val="none" w:sz="0" w:space="0" w:color="auto"/>
            <w:right w:val="none" w:sz="0" w:space="0" w:color="auto"/>
          </w:divBdr>
          <w:divsChild>
            <w:div w:id="877156814">
              <w:marLeft w:val="0"/>
              <w:marRight w:val="0"/>
              <w:marTop w:val="0"/>
              <w:marBottom w:val="0"/>
              <w:divBdr>
                <w:top w:val="none" w:sz="0" w:space="0" w:color="auto"/>
                <w:left w:val="none" w:sz="0" w:space="0" w:color="auto"/>
                <w:bottom w:val="none" w:sz="0" w:space="0" w:color="auto"/>
                <w:right w:val="none" w:sz="0" w:space="0" w:color="auto"/>
              </w:divBdr>
              <w:divsChild>
                <w:div w:id="193594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332326">
      <w:bodyDiv w:val="1"/>
      <w:marLeft w:val="0"/>
      <w:marRight w:val="0"/>
      <w:marTop w:val="0"/>
      <w:marBottom w:val="0"/>
      <w:divBdr>
        <w:top w:val="none" w:sz="0" w:space="0" w:color="auto"/>
        <w:left w:val="none" w:sz="0" w:space="0" w:color="auto"/>
        <w:bottom w:val="none" w:sz="0" w:space="0" w:color="auto"/>
        <w:right w:val="none" w:sz="0" w:space="0" w:color="auto"/>
      </w:divBdr>
    </w:div>
    <w:div w:id="833951621">
      <w:bodyDiv w:val="1"/>
      <w:marLeft w:val="0"/>
      <w:marRight w:val="0"/>
      <w:marTop w:val="0"/>
      <w:marBottom w:val="0"/>
      <w:divBdr>
        <w:top w:val="none" w:sz="0" w:space="0" w:color="auto"/>
        <w:left w:val="none" w:sz="0" w:space="0" w:color="auto"/>
        <w:bottom w:val="none" w:sz="0" w:space="0" w:color="auto"/>
        <w:right w:val="none" w:sz="0" w:space="0" w:color="auto"/>
      </w:divBdr>
    </w:div>
    <w:div w:id="1012099871">
      <w:bodyDiv w:val="1"/>
      <w:marLeft w:val="0"/>
      <w:marRight w:val="0"/>
      <w:marTop w:val="0"/>
      <w:marBottom w:val="0"/>
      <w:divBdr>
        <w:top w:val="none" w:sz="0" w:space="0" w:color="auto"/>
        <w:left w:val="none" w:sz="0" w:space="0" w:color="auto"/>
        <w:bottom w:val="none" w:sz="0" w:space="0" w:color="auto"/>
        <w:right w:val="none" w:sz="0" w:space="0" w:color="auto"/>
      </w:divBdr>
    </w:div>
    <w:div w:id="1097286226">
      <w:bodyDiv w:val="1"/>
      <w:marLeft w:val="0"/>
      <w:marRight w:val="0"/>
      <w:marTop w:val="0"/>
      <w:marBottom w:val="0"/>
      <w:divBdr>
        <w:top w:val="none" w:sz="0" w:space="0" w:color="auto"/>
        <w:left w:val="none" w:sz="0" w:space="0" w:color="auto"/>
        <w:bottom w:val="none" w:sz="0" w:space="0" w:color="auto"/>
        <w:right w:val="none" w:sz="0" w:space="0" w:color="auto"/>
      </w:divBdr>
    </w:div>
    <w:div w:id="1334450762">
      <w:bodyDiv w:val="1"/>
      <w:marLeft w:val="0"/>
      <w:marRight w:val="0"/>
      <w:marTop w:val="0"/>
      <w:marBottom w:val="0"/>
      <w:divBdr>
        <w:top w:val="none" w:sz="0" w:space="0" w:color="auto"/>
        <w:left w:val="none" w:sz="0" w:space="0" w:color="auto"/>
        <w:bottom w:val="none" w:sz="0" w:space="0" w:color="auto"/>
        <w:right w:val="none" w:sz="0" w:space="0" w:color="auto"/>
      </w:divBdr>
    </w:div>
    <w:div w:id="1345666386">
      <w:bodyDiv w:val="1"/>
      <w:marLeft w:val="0"/>
      <w:marRight w:val="0"/>
      <w:marTop w:val="0"/>
      <w:marBottom w:val="0"/>
      <w:divBdr>
        <w:top w:val="none" w:sz="0" w:space="0" w:color="auto"/>
        <w:left w:val="none" w:sz="0" w:space="0" w:color="auto"/>
        <w:bottom w:val="none" w:sz="0" w:space="0" w:color="auto"/>
        <w:right w:val="none" w:sz="0" w:space="0" w:color="auto"/>
      </w:divBdr>
    </w:div>
    <w:div w:id="1399673436">
      <w:bodyDiv w:val="1"/>
      <w:marLeft w:val="0"/>
      <w:marRight w:val="0"/>
      <w:marTop w:val="0"/>
      <w:marBottom w:val="0"/>
      <w:divBdr>
        <w:top w:val="none" w:sz="0" w:space="0" w:color="auto"/>
        <w:left w:val="none" w:sz="0" w:space="0" w:color="auto"/>
        <w:bottom w:val="none" w:sz="0" w:space="0" w:color="auto"/>
        <w:right w:val="none" w:sz="0" w:space="0" w:color="auto"/>
      </w:divBdr>
    </w:div>
    <w:div w:id="1422020730">
      <w:bodyDiv w:val="1"/>
      <w:marLeft w:val="0"/>
      <w:marRight w:val="0"/>
      <w:marTop w:val="0"/>
      <w:marBottom w:val="0"/>
      <w:divBdr>
        <w:top w:val="none" w:sz="0" w:space="0" w:color="auto"/>
        <w:left w:val="none" w:sz="0" w:space="0" w:color="auto"/>
        <w:bottom w:val="none" w:sz="0" w:space="0" w:color="auto"/>
        <w:right w:val="none" w:sz="0" w:space="0" w:color="auto"/>
      </w:divBdr>
    </w:div>
    <w:div w:id="1523319381">
      <w:bodyDiv w:val="1"/>
      <w:marLeft w:val="0"/>
      <w:marRight w:val="0"/>
      <w:marTop w:val="0"/>
      <w:marBottom w:val="0"/>
      <w:divBdr>
        <w:top w:val="none" w:sz="0" w:space="0" w:color="auto"/>
        <w:left w:val="none" w:sz="0" w:space="0" w:color="auto"/>
        <w:bottom w:val="none" w:sz="0" w:space="0" w:color="auto"/>
        <w:right w:val="none" w:sz="0" w:space="0" w:color="auto"/>
      </w:divBdr>
    </w:div>
    <w:div w:id="1524711647">
      <w:bodyDiv w:val="1"/>
      <w:marLeft w:val="0"/>
      <w:marRight w:val="0"/>
      <w:marTop w:val="0"/>
      <w:marBottom w:val="0"/>
      <w:divBdr>
        <w:top w:val="none" w:sz="0" w:space="0" w:color="auto"/>
        <w:left w:val="none" w:sz="0" w:space="0" w:color="auto"/>
        <w:bottom w:val="none" w:sz="0" w:space="0" w:color="auto"/>
        <w:right w:val="none" w:sz="0" w:space="0" w:color="auto"/>
      </w:divBdr>
    </w:div>
    <w:div w:id="1539321137">
      <w:bodyDiv w:val="1"/>
      <w:marLeft w:val="0"/>
      <w:marRight w:val="0"/>
      <w:marTop w:val="0"/>
      <w:marBottom w:val="0"/>
      <w:divBdr>
        <w:top w:val="none" w:sz="0" w:space="0" w:color="auto"/>
        <w:left w:val="none" w:sz="0" w:space="0" w:color="auto"/>
        <w:bottom w:val="none" w:sz="0" w:space="0" w:color="auto"/>
        <w:right w:val="none" w:sz="0" w:space="0" w:color="auto"/>
      </w:divBdr>
      <w:divsChild>
        <w:div w:id="220871239">
          <w:marLeft w:val="0"/>
          <w:marRight w:val="0"/>
          <w:marTop w:val="0"/>
          <w:marBottom w:val="0"/>
          <w:divBdr>
            <w:top w:val="none" w:sz="0" w:space="0" w:color="auto"/>
            <w:left w:val="none" w:sz="0" w:space="0" w:color="auto"/>
            <w:bottom w:val="none" w:sz="0" w:space="0" w:color="auto"/>
            <w:right w:val="none" w:sz="0" w:space="0" w:color="auto"/>
          </w:divBdr>
          <w:divsChild>
            <w:div w:id="699356176">
              <w:marLeft w:val="0"/>
              <w:marRight w:val="0"/>
              <w:marTop w:val="0"/>
              <w:marBottom w:val="0"/>
              <w:divBdr>
                <w:top w:val="none" w:sz="0" w:space="0" w:color="auto"/>
                <w:left w:val="none" w:sz="0" w:space="0" w:color="auto"/>
                <w:bottom w:val="none" w:sz="0" w:space="0" w:color="auto"/>
                <w:right w:val="none" w:sz="0" w:space="0" w:color="auto"/>
              </w:divBdr>
              <w:divsChild>
                <w:div w:id="52659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438115">
      <w:bodyDiv w:val="1"/>
      <w:marLeft w:val="0"/>
      <w:marRight w:val="0"/>
      <w:marTop w:val="0"/>
      <w:marBottom w:val="0"/>
      <w:divBdr>
        <w:top w:val="none" w:sz="0" w:space="0" w:color="auto"/>
        <w:left w:val="none" w:sz="0" w:space="0" w:color="auto"/>
        <w:bottom w:val="none" w:sz="0" w:space="0" w:color="auto"/>
        <w:right w:val="none" w:sz="0" w:space="0" w:color="auto"/>
      </w:divBdr>
    </w:div>
    <w:div w:id="1685008735">
      <w:bodyDiv w:val="1"/>
      <w:marLeft w:val="0"/>
      <w:marRight w:val="0"/>
      <w:marTop w:val="0"/>
      <w:marBottom w:val="0"/>
      <w:divBdr>
        <w:top w:val="none" w:sz="0" w:space="0" w:color="auto"/>
        <w:left w:val="none" w:sz="0" w:space="0" w:color="auto"/>
        <w:bottom w:val="none" w:sz="0" w:space="0" w:color="auto"/>
        <w:right w:val="none" w:sz="0" w:space="0" w:color="auto"/>
      </w:divBdr>
    </w:div>
    <w:div w:id="1710953186">
      <w:bodyDiv w:val="1"/>
      <w:marLeft w:val="0"/>
      <w:marRight w:val="0"/>
      <w:marTop w:val="0"/>
      <w:marBottom w:val="0"/>
      <w:divBdr>
        <w:top w:val="none" w:sz="0" w:space="0" w:color="auto"/>
        <w:left w:val="none" w:sz="0" w:space="0" w:color="auto"/>
        <w:bottom w:val="none" w:sz="0" w:space="0" w:color="auto"/>
        <w:right w:val="none" w:sz="0" w:space="0" w:color="auto"/>
      </w:divBdr>
    </w:div>
    <w:div w:id="1769230793">
      <w:bodyDiv w:val="1"/>
      <w:marLeft w:val="0"/>
      <w:marRight w:val="0"/>
      <w:marTop w:val="0"/>
      <w:marBottom w:val="0"/>
      <w:divBdr>
        <w:top w:val="none" w:sz="0" w:space="0" w:color="auto"/>
        <w:left w:val="none" w:sz="0" w:space="0" w:color="auto"/>
        <w:bottom w:val="none" w:sz="0" w:space="0" w:color="auto"/>
        <w:right w:val="none" w:sz="0" w:space="0" w:color="auto"/>
      </w:divBdr>
    </w:div>
    <w:div w:id="1796020288">
      <w:bodyDiv w:val="1"/>
      <w:marLeft w:val="0"/>
      <w:marRight w:val="0"/>
      <w:marTop w:val="0"/>
      <w:marBottom w:val="0"/>
      <w:divBdr>
        <w:top w:val="none" w:sz="0" w:space="0" w:color="auto"/>
        <w:left w:val="none" w:sz="0" w:space="0" w:color="auto"/>
        <w:bottom w:val="none" w:sz="0" w:space="0" w:color="auto"/>
        <w:right w:val="none" w:sz="0" w:space="0" w:color="auto"/>
      </w:divBdr>
    </w:div>
    <w:div w:id="1834830289">
      <w:bodyDiv w:val="1"/>
      <w:marLeft w:val="0"/>
      <w:marRight w:val="0"/>
      <w:marTop w:val="0"/>
      <w:marBottom w:val="0"/>
      <w:divBdr>
        <w:top w:val="none" w:sz="0" w:space="0" w:color="auto"/>
        <w:left w:val="none" w:sz="0" w:space="0" w:color="auto"/>
        <w:bottom w:val="none" w:sz="0" w:space="0" w:color="auto"/>
        <w:right w:val="none" w:sz="0" w:space="0" w:color="auto"/>
      </w:divBdr>
    </w:div>
    <w:div w:id="1894539382">
      <w:bodyDiv w:val="1"/>
      <w:marLeft w:val="0"/>
      <w:marRight w:val="0"/>
      <w:marTop w:val="0"/>
      <w:marBottom w:val="0"/>
      <w:divBdr>
        <w:top w:val="none" w:sz="0" w:space="0" w:color="auto"/>
        <w:left w:val="none" w:sz="0" w:space="0" w:color="auto"/>
        <w:bottom w:val="none" w:sz="0" w:space="0" w:color="auto"/>
        <w:right w:val="none" w:sz="0" w:space="0" w:color="auto"/>
      </w:divBdr>
    </w:div>
    <w:div w:id="1950625073">
      <w:bodyDiv w:val="1"/>
      <w:marLeft w:val="0"/>
      <w:marRight w:val="0"/>
      <w:marTop w:val="0"/>
      <w:marBottom w:val="0"/>
      <w:divBdr>
        <w:top w:val="none" w:sz="0" w:space="0" w:color="auto"/>
        <w:left w:val="none" w:sz="0" w:space="0" w:color="auto"/>
        <w:bottom w:val="none" w:sz="0" w:space="0" w:color="auto"/>
        <w:right w:val="none" w:sz="0" w:space="0" w:color="auto"/>
      </w:divBdr>
    </w:div>
    <w:div w:id="2033218286">
      <w:bodyDiv w:val="1"/>
      <w:marLeft w:val="0"/>
      <w:marRight w:val="0"/>
      <w:marTop w:val="0"/>
      <w:marBottom w:val="0"/>
      <w:divBdr>
        <w:top w:val="none" w:sz="0" w:space="0" w:color="auto"/>
        <w:left w:val="none" w:sz="0" w:space="0" w:color="auto"/>
        <w:bottom w:val="none" w:sz="0" w:space="0" w:color="auto"/>
        <w:right w:val="none" w:sz="0" w:space="0" w:color="auto"/>
      </w:divBdr>
    </w:div>
    <w:div w:id="2076269449">
      <w:bodyDiv w:val="1"/>
      <w:marLeft w:val="0"/>
      <w:marRight w:val="0"/>
      <w:marTop w:val="0"/>
      <w:marBottom w:val="0"/>
      <w:divBdr>
        <w:top w:val="none" w:sz="0" w:space="0" w:color="auto"/>
        <w:left w:val="none" w:sz="0" w:space="0" w:color="auto"/>
        <w:bottom w:val="none" w:sz="0" w:space="0" w:color="auto"/>
        <w:right w:val="none" w:sz="0" w:space="0" w:color="auto"/>
      </w:divBdr>
    </w:div>
    <w:div w:id="2140830757">
      <w:bodyDiv w:val="1"/>
      <w:marLeft w:val="0"/>
      <w:marRight w:val="0"/>
      <w:marTop w:val="0"/>
      <w:marBottom w:val="0"/>
      <w:divBdr>
        <w:top w:val="none" w:sz="0" w:space="0" w:color="auto"/>
        <w:left w:val="none" w:sz="0" w:space="0" w:color="auto"/>
        <w:bottom w:val="none" w:sz="0" w:space="0" w:color="auto"/>
        <w:right w:val="none" w:sz="0" w:space="0" w:color="auto"/>
      </w:divBdr>
    </w:div>
    <w:div w:id="21435688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hyperlink" Target="https://www.ih-aetna.com/fcps/application/files/9714/8735/3957/beginning-right-flyer-2017.pdf" TargetMode="External"/><Relationship Id="rId21" Type="http://schemas.openxmlformats.org/officeDocument/2006/relationships/hyperlink" Target="https://doi.org/10.1016/j.jbusres.2018.06.004" TargetMode="External"/><Relationship Id="rId22" Type="http://schemas.openxmlformats.org/officeDocument/2006/relationships/hyperlink" Target="https://www.businessinsider.com/average-employee-tenure-retention-at-top-tech-companies-2018-4?r=US&amp;IR=T" TargetMode="External"/><Relationship Id="rId23" Type="http://schemas.openxmlformats.org/officeDocument/2006/relationships/hyperlink" Target="https://doi.org/10.1080/09585192.2012.651339" TargetMode="External"/><Relationship Id="rId24" Type="http://schemas.openxmlformats.org/officeDocument/2006/relationships/hyperlink" Target="https://search-proquest-com.ezproxy.uwtsd.ac.uk/pubidlinkhandler/sng/pubtitle/The+American+Journal+of+Occupational+Therapy/$N/47935/PagePdf/2063384906/fulltextPDF/351973735D11488FPQ/1?accountid=130472" TargetMode="External"/><Relationship Id="rId25" Type="http://schemas.openxmlformats.org/officeDocument/2006/relationships/hyperlink" Target="https://search-proquest-com.ezproxy.uwtsd.ac.uk/indexingvolumeissuelinkhandler/47935/The+American+Journal+of+Occupational+Therapy/02018Y07Y01$23Jul$2fAug+2018$3b++Vol.+72+$284$29/72/4?accountid=130472" TargetMode="External"/><Relationship Id="rId26" Type="http://schemas.openxmlformats.org/officeDocument/2006/relationships/hyperlink" Target="https://search-proquest-com.ezproxy.uwtsd.ac.uk/docview/2063384906/fulltextPDF/8AA777D7C6A042ECPQ/1?accountid=130472" TargetMode="External"/><Relationship Id="rId27" Type="http://schemas.openxmlformats.org/officeDocument/2006/relationships/hyperlink" Target="https://doi.org/10.1080/09585192.2015.1075567" TargetMode="External"/><Relationship Id="rId28" Type="http://schemas.openxmlformats.org/officeDocument/2006/relationships/hyperlink" Target="https://www.forbes.com/sites/mikekappel/2017/08/09/5-ways-to-reduce-employee-turnover/" TargetMode="External"/><Relationship Id="rId29" Type="http://schemas.openxmlformats.org/officeDocument/2006/relationships/hyperlink" Target="https://www.forbes.com/sites/rachelmontanez/2018/10/01/the-2018-highest-rated-companies-for-work-life-balance/"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yperlink" Target="http://dx.doi.org/10.15640/jehd.v3n4a7" TargetMode="External"/><Relationship Id="rId31" Type="http://schemas.openxmlformats.org/officeDocument/2006/relationships/hyperlink" Target="https://www.humanresourcesonline.net/case-study-ericsson-successfully-retains-93-every-100-employees/" TargetMode="External"/><Relationship Id="rId32" Type="http://schemas.openxmlformats.org/officeDocument/2006/relationships/hyperlink" Target="https://www.inc.com/business-insider/best-google-benefits.html" TargetMode="External"/><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yperlink" Target="https://www.inc.com/elizabeth-dukes/how-did-3-companies-use-guerrilla-recruiting-successfully.html" TargetMode="External"/><Relationship Id="rId34" Type="http://schemas.openxmlformats.org/officeDocument/2006/relationships/hyperlink" Target="https://www.google.com/search?q=manulife+retenion&amp;oq=manulife+retenion+&amp;aqs=chrome..69i57j33.10292j1j9&amp;sourceid=chrome&amp;ie=UTF-8" TargetMode="External"/><Relationship Id="rId35" Type="http://schemas.openxmlformats.org/officeDocument/2006/relationships/hyperlink" Target="https://www.metlife.com/workforce/create-more-human-workplace/" TargetMode="External"/><Relationship Id="rId36" Type="http://schemas.openxmlformats.org/officeDocument/2006/relationships/hyperlink" Target="http://dx.doi.org/10.18775/ijied.1849-7551-7020.2015.33.2003" TargetMode="Externa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hyperlink" Target="https://assets.aarp.org/rgcenter/econ/i11_work.pdf" TargetMode="External"/><Relationship Id="rId17" Type="http://schemas.openxmlformats.org/officeDocument/2006/relationships/hyperlink" Target="http://dx.doi.org/10.1016/j.jbusres.2015.10.111" TargetMode="External"/><Relationship Id="rId18" Type="http://schemas.openxmlformats.org/officeDocument/2006/relationships/hyperlink" Target="https://www.aetnacareers.com/college-recruiting/" TargetMode="External"/><Relationship Id="rId19" Type="http://schemas.openxmlformats.org/officeDocument/2006/relationships/hyperlink" Target="https://www.aetna.com/about-us/diversity-inclusion/workplace-diversity.html" TargetMode="External"/><Relationship Id="rId37" Type="http://schemas.openxmlformats.org/officeDocument/2006/relationships/hyperlink" Target="http://dx.doi.org/10.1016/j.jbusres.2016.04.164" TargetMode="External"/><Relationship Id="rId38" Type="http://schemas.openxmlformats.org/officeDocument/2006/relationships/hyperlink" Target="http://www.sciencedirect.com/" TargetMode="External"/><Relationship Id="rId39" Type="http://schemas.openxmlformats.org/officeDocument/2006/relationships/hyperlink" Target="https://www.statista.com/statistics/916521/us-economy-importance-work-life-balance/" TargetMode="External"/><Relationship Id="rId40" Type="http://schemas.openxmlformats.org/officeDocument/2006/relationships/hyperlink" Target="https://www.statista.com/statistics/859599/specific-wellbeing-activities-importance-to-personal-lives-in-us/" TargetMode="External"/><Relationship Id="rId41" Type="http://schemas.openxmlformats.org/officeDocument/2006/relationships/hyperlink" Target="https://targetjobs.co.uk/employer-hubs/dyson/474956-life-on-dysons-rather-different-graduate-programme" TargetMode="External"/><Relationship Id="rId42" Type="http://schemas.openxmlformats.org/officeDocument/2006/relationships/hyperlink" Target="http://www.grantthornton.es/" TargetMode="External"/><Relationship Id="rId43" Type="http://schemas.openxmlformats.org/officeDocument/2006/relationships/footer" Target="footer1.xml"/><Relationship Id="rId44" Type="http://schemas.openxmlformats.org/officeDocument/2006/relationships/footer" Target="footer2.xml"/><Relationship Id="rId4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07D93C-592A-8D46-BD4C-E78B9A099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37</Pages>
  <Words>10318</Words>
  <Characters>58819</Characters>
  <Application>Microsoft Macintosh Word</Application>
  <DocSecurity>0</DocSecurity>
  <Lines>490</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Istiaque</dc:creator>
  <cp:keywords/>
  <dc:description/>
  <cp:lastModifiedBy>Stephen Sommerville</cp:lastModifiedBy>
  <cp:revision>82</cp:revision>
  <dcterms:created xsi:type="dcterms:W3CDTF">2019-01-01T23:06:00Z</dcterms:created>
  <dcterms:modified xsi:type="dcterms:W3CDTF">2019-08-10T11:46:00Z</dcterms:modified>
</cp:coreProperties>
</file>