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EDC70C" w14:textId="77777777" w:rsidR="00843885" w:rsidRPr="00843885" w:rsidRDefault="00843885" w:rsidP="00843885">
      <w:pPr>
        <w:jc w:val="center"/>
        <w:rPr>
          <w:sz w:val="24"/>
          <w:szCs w:val="24"/>
          <w:u w:val="single"/>
        </w:rPr>
      </w:pPr>
      <w:r w:rsidRPr="00843885">
        <w:rPr>
          <w:sz w:val="24"/>
          <w:szCs w:val="24"/>
          <w:u w:val="single"/>
        </w:rPr>
        <w:t xml:space="preserve">Give a detailed account of Alexander’s encounter with </w:t>
      </w:r>
      <w:bookmarkStart w:id="0" w:name="_Hlk104826902"/>
      <w:r w:rsidRPr="00843885">
        <w:rPr>
          <w:sz w:val="24"/>
          <w:szCs w:val="24"/>
          <w:u w:val="single"/>
        </w:rPr>
        <w:t>Talestris</w:t>
      </w:r>
      <w:bookmarkEnd w:id="0"/>
      <w:r w:rsidRPr="00843885">
        <w:rPr>
          <w:sz w:val="24"/>
          <w:szCs w:val="24"/>
          <w:u w:val="single"/>
        </w:rPr>
        <w:t xml:space="preserve"> in the sources and include</w:t>
      </w:r>
    </w:p>
    <w:p w14:paraId="75F9D865" w14:textId="77777777" w:rsidR="00843885" w:rsidRPr="00843885" w:rsidRDefault="00843885" w:rsidP="00843885">
      <w:pPr>
        <w:jc w:val="center"/>
        <w:rPr>
          <w:sz w:val="24"/>
          <w:szCs w:val="24"/>
          <w:u w:val="single"/>
        </w:rPr>
      </w:pPr>
      <w:r w:rsidRPr="00843885">
        <w:rPr>
          <w:sz w:val="24"/>
          <w:szCs w:val="24"/>
          <w:u w:val="single"/>
        </w:rPr>
        <w:t xml:space="preserve">analysis of reasons for the differences. Focus upon Walter of </w:t>
      </w:r>
      <w:proofErr w:type="spellStart"/>
      <w:r w:rsidRPr="00843885">
        <w:rPr>
          <w:sz w:val="24"/>
          <w:szCs w:val="24"/>
          <w:u w:val="single"/>
        </w:rPr>
        <w:t>Châtillon</w:t>
      </w:r>
      <w:proofErr w:type="spellEnd"/>
      <w:r w:rsidRPr="00843885">
        <w:rPr>
          <w:sz w:val="24"/>
          <w:szCs w:val="24"/>
          <w:u w:val="single"/>
        </w:rPr>
        <w:t xml:space="preserve">, </w:t>
      </w:r>
      <w:proofErr w:type="spellStart"/>
      <w:r w:rsidRPr="00843885">
        <w:rPr>
          <w:sz w:val="24"/>
          <w:szCs w:val="24"/>
          <w:u w:val="single"/>
        </w:rPr>
        <w:t>Alexandreis</w:t>
      </w:r>
      <w:proofErr w:type="spellEnd"/>
      <w:r w:rsidRPr="00843885">
        <w:rPr>
          <w:sz w:val="24"/>
          <w:szCs w:val="24"/>
          <w:u w:val="single"/>
        </w:rPr>
        <w:t xml:space="preserve"> 8.1-48;</w:t>
      </w:r>
    </w:p>
    <w:p w14:paraId="2B76CE4E" w14:textId="6D9F8363" w:rsidR="00CE5F31" w:rsidRDefault="00843885" w:rsidP="00843885">
      <w:pPr>
        <w:jc w:val="center"/>
        <w:rPr>
          <w:sz w:val="24"/>
          <w:szCs w:val="24"/>
          <w:u w:val="single"/>
        </w:rPr>
      </w:pPr>
      <w:bookmarkStart w:id="1" w:name="_Hlk104816997"/>
      <w:r w:rsidRPr="00843885">
        <w:rPr>
          <w:sz w:val="24"/>
          <w:szCs w:val="24"/>
          <w:u w:val="single"/>
        </w:rPr>
        <w:t xml:space="preserve">Quintus </w:t>
      </w:r>
      <w:proofErr w:type="spellStart"/>
      <w:r w:rsidRPr="00843885">
        <w:rPr>
          <w:sz w:val="24"/>
          <w:szCs w:val="24"/>
          <w:u w:val="single"/>
        </w:rPr>
        <w:t>Curtius</w:t>
      </w:r>
      <w:proofErr w:type="spellEnd"/>
      <w:r w:rsidRPr="00843885">
        <w:rPr>
          <w:sz w:val="24"/>
          <w:szCs w:val="24"/>
          <w:u w:val="single"/>
        </w:rPr>
        <w:t xml:space="preserve"> Rufus </w:t>
      </w:r>
      <w:bookmarkEnd w:id="1"/>
      <w:r w:rsidRPr="00843885">
        <w:rPr>
          <w:sz w:val="24"/>
          <w:szCs w:val="24"/>
          <w:u w:val="single"/>
        </w:rPr>
        <w:t xml:space="preserve">6.5.24-32; Historia de </w:t>
      </w:r>
      <w:proofErr w:type="spellStart"/>
      <w:r w:rsidRPr="00843885">
        <w:rPr>
          <w:sz w:val="24"/>
          <w:szCs w:val="24"/>
          <w:u w:val="single"/>
        </w:rPr>
        <w:t>preliis</w:t>
      </w:r>
      <w:proofErr w:type="spellEnd"/>
      <w:r w:rsidRPr="00843885">
        <w:rPr>
          <w:sz w:val="24"/>
          <w:szCs w:val="24"/>
          <w:u w:val="single"/>
        </w:rPr>
        <w:t xml:space="preserve"> pp77-9.</w:t>
      </w:r>
      <w:r w:rsidRPr="00843885">
        <w:rPr>
          <w:sz w:val="24"/>
          <w:szCs w:val="24"/>
          <w:u w:val="single"/>
        </w:rPr>
        <w:cr/>
      </w:r>
    </w:p>
    <w:p w14:paraId="14B4B181" w14:textId="0CCDB6D7" w:rsidR="00D32366" w:rsidRDefault="00F417A7" w:rsidP="00D32366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Alexander the Great was heavily </w:t>
      </w:r>
      <w:r w:rsidR="00BB2715">
        <w:rPr>
          <w:sz w:val="24"/>
          <w:szCs w:val="24"/>
        </w:rPr>
        <w:t>mythologised</w:t>
      </w:r>
      <w:r>
        <w:rPr>
          <w:sz w:val="24"/>
          <w:szCs w:val="24"/>
        </w:rPr>
        <w:t xml:space="preserve"> </w:t>
      </w:r>
      <w:r w:rsidR="00BB2715">
        <w:rPr>
          <w:sz w:val="24"/>
          <w:szCs w:val="24"/>
        </w:rPr>
        <w:t>by both the Romans and the Greeks. Naturally there are countless sources that portray him as a God and understandably so due to the sheer range of his empire and the legacy it left on the entire of the Mediterranean.</w:t>
      </w:r>
      <w:r w:rsidR="000A4929">
        <w:rPr>
          <w:sz w:val="24"/>
          <w:szCs w:val="24"/>
        </w:rPr>
        <w:t xml:space="preserve"> Through examining fragmented artefacts and the surviving literature an understanding of the reasons behind these mythologisations</w:t>
      </w:r>
      <w:r w:rsidR="005C6CCD">
        <w:rPr>
          <w:sz w:val="24"/>
          <w:szCs w:val="24"/>
        </w:rPr>
        <w:t xml:space="preserve"> of Alexander the Greats life. </w:t>
      </w:r>
      <w:r w:rsidR="00325768">
        <w:rPr>
          <w:sz w:val="24"/>
          <w:szCs w:val="24"/>
        </w:rPr>
        <w:t xml:space="preserve">Alexanders encounter with Talestris is no different, </w:t>
      </w:r>
      <w:r w:rsidR="008E5DCB">
        <w:rPr>
          <w:sz w:val="24"/>
          <w:szCs w:val="24"/>
        </w:rPr>
        <w:t>ancient scholars</w:t>
      </w:r>
      <w:r w:rsidR="00325768">
        <w:rPr>
          <w:sz w:val="24"/>
          <w:szCs w:val="24"/>
        </w:rPr>
        <w:t xml:space="preserve"> debated the events as they were recorded and are torn as to what was the reality of the situation.</w:t>
      </w:r>
      <w:r w:rsidR="008E5DCB">
        <w:rPr>
          <w:sz w:val="24"/>
          <w:szCs w:val="24"/>
        </w:rPr>
        <w:t xml:space="preserve"> However, in the modern day this is seen as a myth rather than historical fact. </w:t>
      </w:r>
    </w:p>
    <w:p w14:paraId="4AEC0A55" w14:textId="7C6A4B3B" w:rsidR="00574B35" w:rsidRDefault="00574B35" w:rsidP="00D32366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A95F5A">
        <w:rPr>
          <w:sz w:val="24"/>
          <w:szCs w:val="24"/>
        </w:rPr>
        <w:t>order</w:t>
      </w:r>
      <w:r>
        <w:rPr>
          <w:sz w:val="24"/>
          <w:szCs w:val="24"/>
        </w:rPr>
        <w:t xml:space="preserve"> to assess the </w:t>
      </w:r>
      <w:r w:rsidR="00A95F5A">
        <w:rPr>
          <w:sz w:val="24"/>
          <w:szCs w:val="24"/>
        </w:rPr>
        <w:t>differing accounts</w:t>
      </w:r>
      <w:r>
        <w:rPr>
          <w:sz w:val="24"/>
          <w:szCs w:val="24"/>
        </w:rPr>
        <w:t xml:space="preserve"> of the m</w:t>
      </w:r>
      <w:r w:rsidRPr="00574B35">
        <w:rPr>
          <w:sz w:val="24"/>
          <w:szCs w:val="24"/>
        </w:rPr>
        <w:t xml:space="preserve">yth surrounding Alexanders encounter with Talestris </w:t>
      </w:r>
      <w:r>
        <w:rPr>
          <w:sz w:val="24"/>
          <w:szCs w:val="24"/>
        </w:rPr>
        <w:t xml:space="preserve">a summary of the general aspects of the </w:t>
      </w:r>
      <w:bookmarkStart w:id="2" w:name="_Hlk104822810"/>
      <w:r>
        <w:rPr>
          <w:sz w:val="24"/>
          <w:szCs w:val="24"/>
        </w:rPr>
        <w:t xml:space="preserve">myth will be given; During Alexanders campaign in </w:t>
      </w:r>
      <w:r w:rsidR="00A95F5A">
        <w:rPr>
          <w:sz w:val="24"/>
          <w:szCs w:val="24"/>
        </w:rPr>
        <w:t>Persia,</w:t>
      </w:r>
      <w:r>
        <w:rPr>
          <w:sz w:val="24"/>
          <w:szCs w:val="24"/>
        </w:rPr>
        <w:t xml:space="preserve"> he is approached by queen Talestris and three hundred of her Amazonians</w:t>
      </w:r>
      <w:r w:rsidR="00A95F5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A95F5A">
        <w:rPr>
          <w:sz w:val="24"/>
          <w:szCs w:val="24"/>
        </w:rPr>
        <w:t>T</w:t>
      </w:r>
      <w:r>
        <w:rPr>
          <w:sz w:val="24"/>
          <w:szCs w:val="24"/>
        </w:rPr>
        <w:t xml:space="preserve">hirteen days </w:t>
      </w:r>
      <w:bookmarkEnd w:id="2"/>
      <w:r>
        <w:rPr>
          <w:sz w:val="24"/>
          <w:szCs w:val="24"/>
        </w:rPr>
        <w:t>pass</w:t>
      </w:r>
      <w:r w:rsidR="00A95F5A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A95F5A">
        <w:rPr>
          <w:sz w:val="24"/>
          <w:szCs w:val="24"/>
        </w:rPr>
        <w:t xml:space="preserve">after which Queen Talestris confesses that she has become pregnant with Alexander child and departs to her back to her lands. </w:t>
      </w:r>
    </w:p>
    <w:p w14:paraId="049A0BD2" w14:textId="47DB4EA7" w:rsidR="00355CB6" w:rsidRDefault="00EA6560" w:rsidP="00355CB6">
      <w:pPr>
        <w:ind w:firstLine="720"/>
        <w:rPr>
          <w:color w:val="FF0000"/>
          <w:sz w:val="24"/>
          <w:szCs w:val="24"/>
        </w:rPr>
      </w:pPr>
      <w:bookmarkStart w:id="3" w:name="_Hlk104822121"/>
      <w:r w:rsidRPr="00EA6560">
        <w:rPr>
          <w:sz w:val="24"/>
          <w:szCs w:val="24"/>
        </w:rPr>
        <w:t xml:space="preserve">Quintus </w:t>
      </w:r>
      <w:proofErr w:type="spellStart"/>
      <w:r w:rsidRPr="00EA6560">
        <w:rPr>
          <w:sz w:val="24"/>
          <w:szCs w:val="24"/>
        </w:rPr>
        <w:t>Curtius</w:t>
      </w:r>
      <w:proofErr w:type="spellEnd"/>
      <w:r w:rsidRPr="00EA6560">
        <w:rPr>
          <w:sz w:val="24"/>
          <w:szCs w:val="24"/>
        </w:rPr>
        <w:t xml:space="preserve"> Rufus</w:t>
      </w:r>
      <w:r>
        <w:rPr>
          <w:sz w:val="24"/>
          <w:szCs w:val="24"/>
        </w:rPr>
        <w:t xml:space="preserve"> </w:t>
      </w:r>
      <w:bookmarkEnd w:id="3"/>
      <w:r>
        <w:rPr>
          <w:sz w:val="24"/>
          <w:szCs w:val="24"/>
        </w:rPr>
        <w:t>was a Historian during the 1</w:t>
      </w:r>
      <w:r w:rsidRPr="00EA6560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century in Rome</w:t>
      </w:r>
      <w:r w:rsidRPr="00D15442">
        <w:rPr>
          <w:sz w:val="24"/>
          <w:szCs w:val="24"/>
        </w:rPr>
        <w:t>.</w:t>
      </w:r>
      <w:r w:rsidR="00355CB6" w:rsidRPr="00D15442">
        <w:rPr>
          <w:rStyle w:val="FootnoteReference"/>
          <w:sz w:val="24"/>
          <w:szCs w:val="24"/>
        </w:rPr>
        <w:footnoteReference w:id="1"/>
      </w:r>
      <w:r w:rsidRPr="00D15442">
        <w:rPr>
          <w:sz w:val="24"/>
          <w:szCs w:val="24"/>
        </w:rPr>
        <w:t xml:space="preserve"> </w:t>
      </w:r>
      <w:r w:rsidR="00355CB6" w:rsidRPr="00355CB6">
        <w:rPr>
          <w:sz w:val="24"/>
          <w:szCs w:val="24"/>
        </w:rPr>
        <w:t>Researchers can see the problem affecting most of classical literature</w:t>
      </w:r>
      <w:r w:rsidR="00355CB6">
        <w:rPr>
          <w:sz w:val="24"/>
          <w:szCs w:val="24"/>
        </w:rPr>
        <w:t>. This is that</w:t>
      </w:r>
      <w:r w:rsidR="00355CB6" w:rsidRPr="00355CB6">
        <w:rPr>
          <w:sz w:val="24"/>
          <w:szCs w:val="24"/>
        </w:rPr>
        <w:t xml:space="preserve"> historians would </w:t>
      </w:r>
      <w:r w:rsidR="00355CB6">
        <w:rPr>
          <w:sz w:val="24"/>
          <w:szCs w:val="24"/>
        </w:rPr>
        <w:t xml:space="preserve">often </w:t>
      </w:r>
      <w:r w:rsidR="00355CB6" w:rsidRPr="00355CB6">
        <w:rPr>
          <w:sz w:val="24"/>
          <w:szCs w:val="24"/>
        </w:rPr>
        <w:t>be writing decades or centuries after the events recorded had occurred.</w:t>
      </w:r>
      <w:r w:rsidR="00355CB6">
        <w:rPr>
          <w:sz w:val="24"/>
          <w:szCs w:val="24"/>
        </w:rPr>
        <w:t xml:space="preserve"> This is prevalent throughout both Rome and Greece in the classical period. One of the most famous of these is Homer</w:t>
      </w:r>
      <w:r w:rsidR="00355CB6" w:rsidRPr="007706FE">
        <w:rPr>
          <w:sz w:val="24"/>
          <w:szCs w:val="24"/>
        </w:rPr>
        <w:t>.</w:t>
      </w:r>
      <w:r w:rsidR="00355CB6" w:rsidRPr="007706FE">
        <w:rPr>
          <w:rStyle w:val="FootnoteReference"/>
          <w:sz w:val="24"/>
          <w:szCs w:val="24"/>
        </w:rPr>
        <w:footnoteReference w:id="2"/>
      </w:r>
      <w:r w:rsidR="002F4A63" w:rsidRPr="007706FE">
        <w:rPr>
          <w:sz w:val="24"/>
          <w:szCs w:val="24"/>
        </w:rPr>
        <w:t xml:space="preserve"> </w:t>
      </w:r>
      <w:r w:rsidR="00AB1B79">
        <w:rPr>
          <w:sz w:val="24"/>
          <w:szCs w:val="24"/>
        </w:rPr>
        <w:t xml:space="preserve">Alongside the retrospective writing another issue arises this being fragmented sources. </w:t>
      </w:r>
      <w:r w:rsidR="001337C7">
        <w:rPr>
          <w:sz w:val="24"/>
          <w:szCs w:val="24"/>
        </w:rPr>
        <w:t>“</w:t>
      </w:r>
      <w:r w:rsidR="00994CC3" w:rsidRPr="001337C7">
        <w:rPr>
          <w:i/>
          <w:iCs/>
          <w:sz w:val="24"/>
          <w:szCs w:val="24"/>
        </w:rPr>
        <w:t>The history of Alexander</w:t>
      </w:r>
      <w:r w:rsidR="001337C7">
        <w:rPr>
          <w:sz w:val="24"/>
          <w:szCs w:val="24"/>
        </w:rPr>
        <w:t>” (</w:t>
      </w:r>
      <w:r w:rsidR="001337C7" w:rsidRPr="001337C7">
        <w:rPr>
          <w:sz w:val="24"/>
          <w:szCs w:val="24"/>
        </w:rPr>
        <w:t>Rufus, Q.C.,</w:t>
      </w:r>
      <w:r w:rsidR="001337C7">
        <w:rPr>
          <w:sz w:val="24"/>
          <w:szCs w:val="24"/>
        </w:rPr>
        <w:t>)</w:t>
      </w:r>
      <w:r w:rsidR="00AB1B79">
        <w:rPr>
          <w:sz w:val="24"/>
          <w:szCs w:val="24"/>
        </w:rPr>
        <w:t xml:space="preserve"> which will be examined is the only surviving work of </w:t>
      </w:r>
      <w:r w:rsidR="00AB1B79" w:rsidRPr="00AB1B79">
        <w:rPr>
          <w:sz w:val="24"/>
          <w:szCs w:val="24"/>
        </w:rPr>
        <w:t xml:space="preserve">Quintus </w:t>
      </w:r>
      <w:proofErr w:type="spellStart"/>
      <w:r w:rsidR="00AB1B79" w:rsidRPr="00AB1B79">
        <w:rPr>
          <w:sz w:val="24"/>
          <w:szCs w:val="24"/>
        </w:rPr>
        <w:t>Curtius</w:t>
      </w:r>
      <w:proofErr w:type="spellEnd"/>
      <w:r w:rsidR="00AB1B79" w:rsidRPr="00AB1B79">
        <w:rPr>
          <w:sz w:val="24"/>
          <w:szCs w:val="24"/>
        </w:rPr>
        <w:t xml:space="preserve"> Rufus</w:t>
      </w:r>
      <w:r w:rsidR="00AB1B79">
        <w:rPr>
          <w:sz w:val="24"/>
          <w:szCs w:val="24"/>
        </w:rPr>
        <w:t xml:space="preserve"> and itself is fragmented</w:t>
      </w:r>
      <w:r w:rsidR="00AB1B79" w:rsidRPr="007706FE">
        <w:rPr>
          <w:sz w:val="24"/>
          <w:szCs w:val="24"/>
        </w:rPr>
        <w:t>.</w:t>
      </w:r>
      <w:r w:rsidR="00AB1B79" w:rsidRPr="007706FE">
        <w:rPr>
          <w:rStyle w:val="FootnoteReference"/>
          <w:sz w:val="24"/>
          <w:szCs w:val="24"/>
        </w:rPr>
        <w:footnoteReference w:id="3"/>
      </w:r>
      <w:r w:rsidR="00AB1B79" w:rsidRPr="007706FE">
        <w:rPr>
          <w:sz w:val="24"/>
          <w:szCs w:val="24"/>
        </w:rPr>
        <w:t xml:space="preserve"> </w:t>
      </w:r>
      <w:r w:rsidR="00AB1B79">
        <w:rPr>
          <w:sz w:val="24"/>
          <w:szCs w:val="24"/>
        </w:rPr>
        <w:t>Meaning there is potentially a lack of necessary context.</w:t>
      </w:r>
      <w:r w:rsidR="00063451">
        <w:rPr>
          <w:sz w:val="24"/>
          <w:szCs w:val="24"/>
        </w:rPr>
        <w:t xml:space="preserve"> Personal and societal bias also plays a role in the understanding of historical events. The amount of personal bias can be difficult to establish in the case of </w:t>
      </w:r>
      <w:r w:rsidR="00063451" w:rsidRPr="00063451">
        <w:rPr>
          <w:sz w:val="24"/>
          <w:szCs w:val="24"/>
        </w:rPr>
        <w:t xml:space="preserve">Quintus </w:t>
      </w:r>
      <w:proofErr w:type="spellStart"/>
      <w:r w:rsidR="00063451" w:rsidRPr="00063451">
        <w:rPr>
          <w:sz w:val="24"/>
          <w:szCs w:val="24"/>
        </w:rPr>
        <w:t>Curtius</w:t>
      </w:r>
      <w:proofErr w:type="spellEnd"/>
      <w:r w:rsidR="00063451" w:rsidRPr="00063451">
        <w:rPr>
          <w:sz w:val="24"/>
          <w:szCs w:val="24"/>
        </w:rPr>
        <w:t xml:space="preserve"> Rufus </w:t>
      </w:r>
      <w:r w:rsidR="00063451">
        <w:rPr>
          <w:sz w:val="24"/>
          <w:szCs w:val="24"/>
        </w:rPr>
        <w:t>as there is little information on his life, beliefs, or experiences, making it difficult to identify bia</w:t>
      </w:r>
      <w:r w:rsidR="008E0DD7">
        <w:rPr>
          <w:sz w:val="24"/>
          <w:szCs w:val="24"/>
        </w:rPr>
        <w:t>s.</w:t>
      </w:r>
      <w:r w:rsidR="00E162B5">
        <w:rPr>
          <w:color w:val="FF0000"/>
          <w:sz w:val="24"/>
          <w:szCs w:val="24"/>
        </w:rPr>
        <w:t xml:space="preserve"> </w:t>
      </w:r>
      <w:r w:rsidR="00E162B5" w:rsidRPr="00E162B5">
        <w:rPr>
          <w:sz w:val="24"/>
          <w:szCs w:val="24"/>
        </w:rPr>
        <w:t xml:space="preserve">Quintus </w:t>
      </w:r>
      <w:proofErr w:type="spellStart"/>
      <w:r w:rsidR="00E162B5" w:rsidRPr="00E162B5">
        <w:rPr>
          <w:sz w:val="24"/>
          <w:szCs w:val="24"/>
        </w:rPr>
        <w:t>Curtius</w:t>
      </w:r>
      <w:proofErr w:type="spellEnd"/>
      <w:r w:rsidR="00E162B5" w:rsidRPr="00E162B5">
        <w:rPr>
          <w:sz w:val="24"/>
          <w:szCs w:val="24"/>
        </w:rPr>
        <w:t xml:space="preserve"> Rufus</w:t>
      </w:r>
      <w:r w:rsidR="00E162B5">
        <w:rPr>
          <w:sz w:val="24"/>
          <w:szCs w:val="24"/>
        </w:rPr>
        <w:t xml:space="preserve">’ writings on Alexander and Talestris </w:t>
      </w:r>
      <w:r w:rsidR="00593067">
        <w:rPr>
          <w:sz w:val="24"/>
          <w:szCs w:val="24"/>
        </w:rPr>
        <w:t>portrays</w:t>
      </w:r>
      <w:r w:rsidR="00E162B5">
        <w:rPr>
          <w:sz w:val="24"/>
          <w:szCs w:val="24"/>
        </w:rPr>
        <w:t xml:space="preserve"> the myth as fact</w:t>
      </w:r>
      <w:r w:rsidR="00593067">
        <w:rPr>
          <w:sz w:val="24"/>
          <w:szCs w:val="24"/>
        </w:rPr>
        <w:t xml:space="preserve"> possibly due to the tradition of mythologising the events surrounding historical figures.</w:t>
      </w:r>
      <w:r w:rsidR="00C94A1A">
        <w:rPr>
          <w:sz w:val="24"/>
          <w:szCs w:val="24"/>
        </w:rPr>
        <w:t xml:space="preserve"> Alongside this it seems as though to be written that </w:t>
      </w:r>
      <w:r w:rsidR="00C94A1A" w:rsidRPr="00C94A1A">
        <w:rPr>
          <w:sz w:val="24"/>
          <w:szCs w:val="24"/>
        </w:rPr>
        <w:t>Talestris</w:t>
      </w:r>
      <w:r w:rsidR="00C94A1A">
        <w:rPr>
          <w:sz w:val="24"/>
          <w:szCs w:val="24"/>
        </w:rPr>
        <w:t xml:space="preserve"> and her Amazonians are to be conquered. This links to the</w:t>
      </w:r>
      <w:r w:rsidR="00124377">
        <w:rPr>
          <w:sz w:val="24"/>
          <w:szCs w:val="24"/>
        </w:rPr>
        <w:t xml:space="preserve"> role of women in the society and </w:t>
      </w:r>
      <w:proofErr w:type="spellStart"/>
      <w:r w:rsidR="00124377">
        <w:rPr>
          <w:sz w:val="24"/>
          <w:szCs w:val="24"/>
        </w:rPr>
        <w:t>pegan</w:t>
      </w:r>
      <w:proofErr w:type="spellEnd"/>
      <w:r w:rsidR="00124377">
        <w:rPr>
          <w:sz w:val="24"/>
          <w:szCs w:val="24"/>
        </w:rPr>
        <w:t xml:space="preserve"> beliefs at the time. </w:t>
      </w:r>
    </w:p>
    <w:p w14:paraId="10C19AE6" w14:textId="47F578BC" w:rsidR="00BE0088" w:rsidRDefault="001B66B0" w:rsidP="00355CB6">
      <w:pPr>
        <w:ind w:firstLine="720"/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In </w:t>
      </w:r>
      <w:r w:rsidR="00BE0088" w:rsidRPr="00BE0088">
        <w:rPr>
          <w:sz w:val="24"/>
          <w:szCs w:val="24"/>
        </w:rPr>
        <w:t xml:space="preserve">Historia de </w:t>
      </w:r>
      <w:proofErr w:type="spellStart"/>
      <w:r w:rsidR="00BE0088" w:rsidRPr="00BE0088">
        <w:rPr>
          <w:sz w:val="24"/>
          <w:szCs w:val="24"/>
        </w:rPr>
        <w:t>preliis</w:t>
      </w:r>
      <w:proofErr w:type="spellEnd"/>
      <w:r w:rsidR="00BE0088">
        <w:rPr>
          <w:sz w:val="24"/>
          <w:szCs w:val="24"/>
        </w:rPr>
        <w:t xml:space="preserve"> </w:t>
      </w:r>
      <w:proofErr w:type="spellStart"/>
      <w:r w:rsidR="008369C1">
        <w:rPr>
          <w:sz w:val="24"/>
          <w:szCs w:val="24"/>
        </w:rPr>
        <w:t>Quenn</w:t>
      </w:r>
      <w:proofErr w:type="spellEnd"/>
      <w:r w:rsidR="008369C1">
        <w:rPr>
          <w:sz w:val="24"/>
          <w:szCs w:val="24"/>
        </w:rPr>
        <w:t xml:space="preserve"> </w:t>
      </w:r>
      <w:r w:rsidR="008369C1" w:rsidRPr="008369C1">
        <w:rPr>
          <w:sz w:val="24"/>
          <w:szCs w:val="24"/>
        </w:rPr>
        <w:t>Talestris</w:t>
      </w:r>
      <w:r w:rsidR="008369C1">
        <w:rPr>
          <w:sz w:val="24"/>
          <w:szCs w:val="24"/>
        </w:rPr>
        <w:t xml:space="preserve"> extends her greetings to Alexander offering her and her Amazonians to him and his army. Alexander is courteous in return to queen </w:t>
      </w:r>
      <w:r w:rsidR="008369C1" w:rsidRPr="008369C1">
        <w:rPr>
          <w:sz w:val="24"/>
          <w:szCs w:val="24"/>
        </w:rPr>
        <w:t>Talestris</w:t>
      </w:r>
      <w:r w:rsidR="008369C1">
        <w:rPr>
          <w:sz w:val="24"/>
          <w:szCs w:val="24"/>
        </w:rPr>
        <w:t xml:space="preserve"> as well as boastful about his accomplishments in battle. He extends the offer that </w:t>
      </w:r>
      <w:r w:rsidR="008369C1" w:rsidRPr="008369C1">
        <w:rPr>
          <w:sz w:val="24"/>
          <w:szCs w:val="24"/>
        </w:rPr>
        <w:t>Talestris</w:t>
      </w:r>
      <w:r w:rsidR="008369C1">
        <w:rPr>
          <w:sz w:val="24"/>
          <w:szCs w:val="24"/>
        </w:rPr>
        <w:t xml:space="preserve"> and her Amazonians might join him</w:t>
      </w:r>
      <w:r w:rsidR="00A53D21">
        <w:rPr>
          <w:sz w:val="24"/>
          <w:szCs w:val="24"/>
        </w:rPr>
        <w:t xml:space="preserve">. This </w:t>
      </w:r>
      <w:proofErr w:type="spellStart"/>
      <w:r w:rsidR="00A53D21">
        <w:rPr>
          <w:sz w:val="24"/>
          <w:szCs w:val="24"/>
        </w:rPr>
        <w:t>depictation</w:t>
      </w:r>
      <w:proofErr w:type="spellEnd"/>
      <w:r w:rsidR="00A53D21">
        <w:rPr>
          <w:sz w:val="24"/>
          <w:szCs w:val="24"/>
        </w:rPr>
        <w:t xml:space="preserve"> is done in the form of two letters written between </w:t>
      </w:r>
      <w:r w:rsidR="00A53D21" w:rsidRPr="00A53D21">
        <w:rPr>
          <w:sz w:val="24"/>
          <w:szCs w:val="24"/>
        </w:rPr>
        <w:t>Talestris</w:t>
      </w:r>
      <w:r w:rsidR="00A53D21">
        <w:rPr>
          <w:sz w:val="24"/>
          <w:szCs w:val="24"/>
        </w:rPr>
        <w:t xml:space="preserve"> and Alexander. </w:t>
      </w:r>
      <w:r w:rsidR="00892390">
        <w:rPr>
          <w:sz w:val="24"/>
          <w:szCs w:val="24"/>
        </w:rPr>
        <w:t xml:space="preserve">This </w:t>
      </w:r>
      <w:r w:rsidR="00F22A58">
        <w:rPr>
          <w:sz w:val="24"/>
          <w:szCs w:val="24"/>
        </w:rPr>
        <w:t xml:space="preserve">interpretation of the myth gives shows </w:t>
      </w:r>
      <w:r w:rsidR="00F22A58">
        <w:rPr>
          <w:sz w:val="24"/>
          <w:szCs w:val="24"/>
        </w:rPr>
        <w:lastRenderedPageBreak/>
        <w:t xml:space="preserve">a more equal society with regards to the Amazonians in the context of the time. This is also </w:t>
      </w:r>
      <w:r w:rsidR="007706FE">
        <w:rPr>
          <w:sz w:val="24"/>
          <w:szCs w:val="24"/>
        </w:rPr>
        <w:t>depicting</w:t>
      </w:r>
      <w:r w:rsidR="00F22A58">
        <w:rPr>
          <w:sz w:val="24"/>
          <w:szCs w:val="24"/>
        </w:rPr>
        <w:t xml:space="preserve"> a strong female leader despite the need to breed with alexanders men</w:t>
      </w:r>
      <w:r w:rsidR="00E0429E">
        <w:rPr>
          <w:sz w:val="24"/>
          <w:szCs w:val="24"/>
        </w:rPr>
        <w:t xml:space="preserve"> to produce the next generation. This depiction is brief </w:t>
      </w:r>
      <w:r w:rsidR="00623110">
        <w:rPr>
          <w:sz w:val="24"/>
          <w:szCs w:val="24"/>
        </w:rPr>
        <w:t>and is much more modern than the other depictions and would therefore portray a more modern version rather than that intended</w:t>
      </w:r>
      <w:r w:rsidR="001516E2">
        <w:rPr>
          <w:sz w:val="24"/>
          <w:szCs w:val="24"/>
        </w:rPr>
        <w:t xml:space="preserve">. This would also draw personal bias into question. </w:t>
      </w:r>
      <w:r w:rsidR="00623110">
        <w:rPr>
          <w:sz w:val="24"/>
          <w:szCs w:val="24"/>
        </w:rPr>
        <w:t xml:space="preserve"> </w:t>
      </w:r>
    </w:p>
    <w:p w14:paraId="4071BE54" w14:textId="234B03F2" w:rsidR="00593067" w:rsidRPr="00593067" w:rsidRDefault="00593067" w:rsidP="00296B4C">
      <w:pPr>
        <w:ind w:firstLine="720"/>
        <w:rPr>
          <w:sz w:val="24"/>
          <w:szCs w:val="24"/>
        </w:rPr>
      </w:pPr>
      <w:r w:rsidRPr="00593067">
        <w:rPr>
          <w:sz w:val="24"/>
          <w:szCs w:val="24"/>
        </w:rPr>
        <w:t xml:space="preserve">Walter of </w:t>
      </w:r>
      <w:proofErr w:type="spellStart"/>
      <w:r w:rsidRPr="00593067">
        <w:rPr>
          <w:sz w:val="24"/>
          <w:szCs w:val="24"/>
        </w:rPr>
        <w:t>Châtillon</w:t>
      </w:r>
      <w:proofErr w:type="spellEnd"/>
      <w:r w:rsidR="00D223C9">
        <w:rPr>
          <w:sz w:val="24"/>
          <w:szCs w:val="24"/>
        </w:rPr>
        <w:t xml:space="preserve"> wrote his account of these events in the 12</w:t>
      </w:r>
      <w:r w:rsidR="00D223C9" w:rsidRPr="00D223C9">
        <w:rPr>
          <w:sz w:val="24"/>
          <w:szCs w:val="24"/>
          <w:vertAlign w:val="superscript"/>
        </w:rPr>
        <w:t>th</w:t>
      </w:r>
      <w:r w:rsidR="00D223C9">
        <w:rPr>
          <w:sz w:val="24"/>
          <w:szCs w:val="24"/>
        </w:rPr>
        <w:t xml:space="preserve"> century</w:t>
      </w:r>
      <w:r w:rsidR="00467BF1">
        <w:rPr>
          <w:sz w:val="24"/>
          <w:szCs w:val="24"/>
        </w:rPr>
        <w:t xml:space="preserve"> in his book </w:t>
      </w:r>
      <w:r w:rsidR="00E14E16">
        <w:rPr>
          <w:sz w:val="24"/>
          <w:szCs w:val="24"/>
        </w:rPr>
        <w:t>“</w:t>
      </w:r>
      <w:proofErr w:type="spellStart"/>
      <w:r w:rsidR="00467BF1" w:rsidRPr="00E14E16">
        <w:rPr>
          <w:i/>
          <w:iCs/>
          <w:sz w:val="24"/>
          <w:szCs w:val="24"/>
        </w:rPr>
        <w:t>Alexandreis</w:t>
      </w:r>
      <w:proofErr w:type="spellEnd"/>
      <w:r w:rsidR="00E14E16">
        <w:rPr>
          <w:sz w:val="24"/>
          <w:szCs w:val="24"/>
        </w:rPr>
        <w:t>”</w:t>
      </w:r>
      <w:r w:rsidR="00D223C9">
        <w:rPr>
          <w:sz w:val="24"/>
          <w:szCs w:val="24"/>
        </w:rPr>
        <w:t xml:space="preserve">. This </w:t>
      </w:r>
      <w:r w:rsidR="009C1C7C">
        <w:rPr>
          <w:sz w:val="24"/>
          <w:szCs w:val="24"/>
        </w:rPr>
        <w:t>immediately will have bias due to the serve change in cultural norms and values.</w:t>
      </w:r>
      <w:r w:rsidR="00831799">
        <w:rPr>
          <w:sz w:val="24"/>
          <w:szCs w:val="24"/>
        </w:rPr>
        <w:t xml:space="preserve"> This piece is written much more romantically to what the modern meaning of the word. The relationship between Alexander and </w:t>
      </w:r>
      <w:r w:rsidR="00831799" w:rsidRPr="00831799">
        <w:rPr>
          <w:sz w:val="24"/>
          <w:szCs w:val="24"/>
        </w:rPr>
        <w:t>Talestris</w:t>
      </w:r>
      <w:r w:rsidR="00831799">
        <w:rPr>
          <w:sz w:val="24"/>
          <w:szCs w:val="24"/>
        </w:rPr>
        <w:t xml:space="preserve"> is written much more whimsically. </w:t>
      </w:r>
      <w:r w:rsidR="00E14E16">
        <w:rPr>
          <w:sz w:val="24"/>
          <w:szCs w:val="24"/>
        </w:rPr>
        <w:t xml:space="preserve">This may be due to the style of French literature style which would have influenced the </w:t>
      </w:r>
      <w:proofErr w:type="spellStart"/>
      <w:r w:rsidR="00E14E16">
        <w:rPr>
          <w:sz w:val="24"/>
          <w:szCs w:val="24"/>
        </w:rPr>
        <w:t>theologen</w:t>
      </w:r>
      <w:proofErr w:type="spellEnd"/>
      <w:r w:rsidR="00E14E16">
        <w:rPr>
          <w:sz w:val="24"/>
          <w:szCs w:val="24"/>
        </w:rPr>
        <w:t xml:space="preserve"> </w:t>
      </w:r>
      <w:r w:rsidR="00E14E16" w:rsidRPr="00E14E16">
        <w:rPr>
          <w:sz w:val="24"/>
          <w:szCs w:val="24"/>
        </w:rPr>
        <w:t xml:space="preserve">Walter of </w:t>
      </w:r>
      <w:proofErr w:type="spellStart"/>
      <w:r w:rsidR="00E14E16" w:rsidRPr="00E14E16">
        <w:rPr>
          <w:sz w:val="24"/>
          <w:szCs w:val="24"/>
        </w:rPr>
        <w:t>Châtillon</w:t>
      </w:r>
      <w:proofErr w:type="spellEnd"/>
      <w:r w:rsidR="00E14E16">
        <w:rPr>
          <w:sz w:val="24"/>
          <w:szCs w:val="24"/>
        </w:rPr>
        <w:t xml:space="preserve"> and would have inspired his rendition on the Alexander myth.</w:t>
      </w:r>
      <w:r w:rsidR="004261B2">
        <w:rPr>
          <w:rStyle w:val="FootnoteReference"/>
          <w:sz w:val="24"/>
          <w:szCs w:val="24"/>
        </w:rPr>
        <w:footnoteReference w:id="4"/>
      </w:r>
    </w:p>
    <w:p w14:paraId="647BBC35" w14:textId="1D59262B" w:rsidR="00FB5840" w:rsidRPr="00BE4486" w:rsidRDefault="00A90D93" w:rsidP="00355CB6">
      <w:pPr>
        <w:ind w:firstLine="720"/>
        <w:rPr>
          <w:sz w:val="24"/>
          <w:szCs w:val="24"/>
        </w:rPr>
      </w:pPr>
      <w:r>
        <w:rPr>
          <w:sz w:val="24"/>
          <w:szCs w:val="24"/>
        </w:rPr>
        <w:t>To conclude the representations in these three sources</w:t>
      </w:r>
      <w:r w:rsidR="00AA13D3">
        <w:rPr>
          <w:sz w:val="24"/>
          <w:szCs w:val="24"/>
        </w:rPr>
        <w:t xml:space="preserve"> is vastly </w:t>
      </w:r>
      <w:r w:rsidR="00E14E16">
        <w:rPr>
          <w:sz w:val="24"/>
          <w:szCs w:val="24"/>
        </w:rPr>
        <w:t>different as</w:t>
      </w:r>
      <w:r w:rsidR="00AA13D3">
        <w:rPr>
          <w:sz w:val="24"/>
          <w:szCs w:val="24"/>
        </w:rPr>
        <w:t xml:space="preserve"> each has their own distinct style and subtext. </w:t>
      </w:r>
      <w:r>
        <w:rPr>
          <w:sz w:val="24"/>
          <w:szCs w:val="24"/>
        </w:rPr>
        <w:t>The depictions however are heavily influenced by the society and time they were written as</w:t>
      </w:r>
      <w:r w:rsidR="00AA13D3">
        <w:rPr>
          <w:sz w:val="24"/>
          <w:szCs w:val="24"/>
        </w:rPr>
        <w:t xml:space="preserve"> is shown heavily in the</w:t>
      </w:r>
      <w:r w:rsidR="00AA13D3" w:rsidRPr="00AA13D3">
        <w:t xml:space="preserve"> </w:t>
      </w:r>
      <w:r w:rsidR="001C68E1" w:rsidRPr="001C68E1">
        <w:rPr>
          <w:sz w:val="24"/>
          <w:szCs w:val="24"/>
        </w:rPr>
        <w:t>“</w:t>
      </w:r>
      <w:bookmarkStart w:id="4" w:name="_Hlk104838671"/>
      <w:proofErr w:type="spellStart"/>
      <w:r w:rsidR="001C68E1" w:rsidRPr="008E0DD7">
        <w:rPr>
          <w:i/>
          <w:iCs/>
          <w:sz w:val="24"/>
          <w:szCs w:val="24"/>
        </w:rPr>
        <w:t>Alexandreis</w:t>
      </w:r>
      <w:bookmarkEnd w:id="4"/>
      <w:proofErr w:type="spellEnd"/>
      <w:r w:rsidR="001C68E1" w:rsidRPr="001C68E1">
        <w:rPr>
          <w:sz w:val="24"/>
          <w:szCs w:val="24"/>
        </w:rPr>
        <w:t>”</w:t>
      </w:r>
      <w:r w:rsidR="001C68E1">
        <w:rPr>
          <w:color w:val="FF0000"/>
          <w:sz w:val="24"/>
          <w:szCs w:val="24"/>
        </w:rPr>
        <w:t xml:space="preserve"> </w:t>
      </w:r>
      <w:r w:rsidR="00467BF1">
        <w:rPr>
          <w:sz w:val="24"/>
          <w:szCs w:val="24"/>
        </w:rPr>
        <w:t>(</w:t>
      </w:r>
      <w:r w:rsidR="00467BF1" w:rsidRPr="00593067">
        <w:rPr>
          <w:sz w:val="24"/>
          <w:szCs w:val="24"/>
        </w:rPr>
        <w:t xml:space="preserve">Walter of </w:t>
      </w:r>
      <w:proofErr w:type="spellStart"/>
      <w:r w:rsidR="00467BF1" w:rsidRPr="00593067">
        <w:rPr>
          <w:sz w:val="24"/>
          <w:szCs w:val="24"/>
        </w:rPr>
        <w:t>Châtillon</w:t>
      </w:r>
      <w:proofErr w:type="spellEnd"/>
      <w:r w:rsidR="00467BF1">
        <w:rPr>
          <w:sz w:val="24"/>
          <w:szCs w:val="24"/>
        </w:rPr>
        <w:t xml:space="preserve">) </w:t>
      </w:r>
      <w:r w:rsidR="00BE4486">
        <w:rPr>
          <w:sz w:val="24"/>
          <w:szCs w:val="24"/>
        </w:rPr>
        <w:t>which is clearly influenced by the 12</w:t>
      </w:r>
      <w:r w:rsidR="00BE4486" w:rsidRPr="00BE4486">
        <w:rPr>
          <w:sz w:val="24"/>
          <w:szCs w:val="24"/>
          <w:vertAlign w:val="superscript"/>
        </w:rPr>
        <w:t>th</w:t>
      </w:r>
      <w:r w:rsidR="00BE4486">
        <w:rPr>
          <w:sz w:val="24"/>
          <w:szCs w:val="24"/>
        </w:rPr>
        <w:t xml:space="preserve"> whimsical writing style. </w:t>
      </w:r>
      <w:r w:rsidR="007706FE" w:rsidRPr="007706FE">
        <w:rPr>
          <w:sz w:val="24"/>
          <w:szCs w:val="24"/>
        </w:rPr>
        <w:t xml:space="preserve">Quintus </w:t>
      </w:r>
      <w:proofErr w:type="spellStart"/>
      <w:r w:rsidR="007706FE" w:rsidRPr="007706FE">
        <w:rPr>
          <w:sz w:val="24"/>
          <w:szCs w:val="24"/>
        </w:rPr>
        <w:t>Curtius</w:t>
      </w:r>
      <w:proofErr w:type="spellEnd"/>
      <w:r w:rsidR="007706FE" w:rsidRPr="007706FE">
        <w:rPr>
          <w:sz w:val="24"/>
          <w:szCs w:val="24"/>
        </w:rPr>
        <w:t xml:space="preserve"> Rufus</w:t>
      </w:r>
      <w:r w:rsidR="007706FE">
        <w:rPr>
          <w:sz w:val="24"/>
          <w:szCs w:val="24"/>
        </w:rPr>
        <w:t xml:space="preserve">’ writings could be more accurate to an early </w:t>
      </w:r>
      <w:r w:rsidR="00680B6F">
        <w:rPr>
          <w:sz w:val="24"/>
          <w:szCs w:val="24"/>
        </w:rPr>
        <w:t>depictions of</w:t>
      </w:r>
      <w:r w:rsidR="007706FE">
        <w:rPr>
          <w:sz w:val="24"/>
          <w:szCs w:val="24"/>
        </w:rPr>
        <w:t xml:space="preserve"> this myth despite this being difficult to asses due to the lack of evidence on his writings and life. </w:t>
      </w:r>
    </w:p>
    <w:p w14:paraId="51BA2C1A" w14:textId="47B670C0" w:rsidR="00325768" w:rsidRDefault="00325768" w:rsidP="00D32366">
      <w:pPr>
        <w:ind w:firstLine="720"/>
        <w:rPr>
          <w:sz w:val="24"/>
          <w:szCs w:val="24"/>
        </w:rPr>
      </w:pPr>
    </w:p>
    <w:p w14:paraId="76958670" w14:textId="77777777" w:rsidR="00894CD6" w:rsidRDefault="00894CD6" w:rsidP="00894CD6">
      <w:pPr>
        <w:rPr>
          <w:sz w:val="24"/>
          <w:szCs w:val="24"/>
        </w:rPr>
      </w:pPr>
    </w:p>
    <w:p w14:paraId="061F8035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117E3425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5AF2695F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307A888E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0650A8E9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674D3800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3E71067C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0EF4A65A" w14:textId="77777777" w:rsidR="001C68E1" w:rsidRDefault="001C68E1" w:rsidP="00D32366">
      <w:pPr>
        <w:ind w:firstLine="720"/>
        <w:rPr>
          <w:sz w:val="28"/>
          <w:szCs w:val="28"/>
          <w:u w:val="single"/>
        </w:rPr>
      </w:pPr>
    </w:p>
    <w:p w14:paraId="3FA3F8ED" w14:textId="6023AB8D" w:rsidR="001C68E1" w:rsidRDefault="001C68E1" w:rsidP="00680B6F">
      <w:pPr>
        <w:rPr>
          <w:sz w:val="28"/>
          <w:szCs w:val="28"/>
          <w:u w:val="single"/>
        </w:rPr>
      </w:pPr>
    </w:p>
    <w:p w14:paraId="5379181D" w14:textId="77777777" w:rsidR="00680B6F" w:rsidRDefault="00680B6F" w:rsidP="00680B6F">
      <w:pPr>
        <w:rPr>
          <w:sz w:val="28"/>
          <w:szCs w:val="28"/>
          <w:u w:val="single"/>
        </w:rPr>
      </w:pPr>
    </w:p>
    <w:p w14:paraId="6F89CB44" w14:textId="77777777" w:rsidR="008E0DD7" w:rsidRDefault="008E0DD7" w:rsidP="00D32366">
      <w:pPr>
        <w:ind w:firstLine="720"/>
        <w:rPr>
          <w:sz w:val="28"/>
          <w:szCs w:val="28"/>
          <w:u w:val="single"/>
        </w:rPr>
      </w:pPr>
    </w:p>
    <w:p w14:paraId="3944A270" w14:textId="46636E43" w:rsidR="00994CC3" w:rsidRDefault="00994CC3" w:rsidP="00D32366">
      <w:pPr>
        <w:ind w:firstLine="720"/>
        <w:rPr>
          <w:sz w:val="28"/>
          <w:szCs w:val="28"/>
          <w:u w:val="single"/>
        </w:rPr>
      </w:pPr>
      <w:r w:rsidRPr="00994CC3">
        <w:rPr>
          <w:sz w:val="28"/>
          <w:szCs w:val="28"/>
          <w:u w:val="single"/>
        </w:rPr>
        <w:lastRenderedPageBreak/>
        <w:t xml:space="preserve">Bibliography </w:t>
      </w:r>
    </w:p>
    <w:p w14:paraId="30AA9172" w14:textId="4A92FAFB" w:rsidR="00994CC3" w:rsidRDefault="00994CC3" w:rsidP="008727AD">
      <w:pPr>
        <w:rPr>
          <w:sz w:val="24"/>
          <w:szCs w:val="24"/>
        </w:rPr>
      </w:pPr>
      <w:r w:rsidRPr="00994CC3">
        <w:rPr>
          <w:sz w:val="24"/>
          <w:szCs w:val="24"/>
        </w:rPr>
        <w:t>Rufus, Q.C., 2005. The history of Alexander. Penguin UK.</w:t>
      </w:r>
    </w:p>
    <w:p w14:paraId="03B343A2" w14:textId="3746AB48" w:rsidR="008727AD" w:rsidRDefault="008727AD" w:rsidP="008727AD">
      <w:pPr>
        <w:rPr>
          <w:sz w:val="24"/>
          <w:szCs w:val="24"/>
        </w:rPr>
      </w:pPr>
      <w:r w:rsidRPr="008727AD">
        <w:rPr>
          <w:sz w:val="24"/>
          <w:szCs w:val="24"/>
        </w:rPr>
        <w:t xml:space="preserve">Pritchard, R. </w:t>
      </w:r>
      <w:proofErr w:type="spellStart"/>
      <w:r w:rsidRPr="008727AD">
        <w:rPr>
          <w:sz w:val="24"/>
          <w:szCs w:val="24"/>
        </w:rPr>
        <w:t>Telfryn</w:t>
      </w:r>
      <w:proofErr w:type="spellEnd"/>
      <w:r w:rsidRPr="008727AD">
        <w:rPr>
          <w:sz w:val="24"/>
          <w:szCs w:val="24"/>
        </w:rPr>
        <w:t xml:space="preserve">. (1992). The History of Alexander's Battles: Historia De </w:t>
      </w:r>
      <w:proofErr w:type="spellStart"/>
      <w:r w:rsidRPr="008727AD">
        <w:rPr>
          <w:sz w:val="24"/>
          <w:szCs w:val="24"/>
        </w:rPr>
        <w:t>Preliis</w:t>
      </w:r>
      <w:proofErr w:type="spellEnd"/>
      <w:r w:rsidRPr="008727AD">
        <w:rPr>
          <w:sz w:val="24"/>
          <w:szCs w:val="24"/>
        </w:rPr>
        <w:t>, the J1 Version.</w:t>
      </w:r>
    </w:p>
    <w:p w14:paraId="2D25C984" w14:textId="2993BCA2" w:rsidR="001C68E1" w:rsidRDefault="001C68E1" w:rsidP="008727AD">
      <w:pPr>
        <w:rPr>
          <w:sz w:val="24"/>
          <w:szCs w:val="24"/>
        </w:rPr>
      </w:pPr>
      <w:r w:rsidRPr="001C68E1">
        <w:rPr>
          <w:sz w:val="24"/>
          <w:szCs w:val="24"/>
        </w:rPr>
        <w:t xml:space="preserve">Townsend, David. “Book Eight.” The </w:t>
      </w:r>
      <w:bookmarkStart w:id="5" w:name="_Hlk104838179"/>
      <w:r w:rsidRPr="001C68E1">
        <w:rPr>
          <w:sz w:val="24"/>
          <w:szCs w:val="24"/>
        </w:rPr>
        <w:t>“</w:t>
      </w:r>
      <w:proofErr w:type="spellStart"/>
      <w:r w:rsidRPr="001C68E1">
        <w:rPr>
          <w:sz w:val="24"/>
          <w:szCs w:val="24"/>
        </w:rPr>
        <w:t>Alexandreis</w:t>
      </w:r>
      <w:proofErr w:type="spellEnd"/>
      <w:r w:rsidRPr="001C68E1">
        <w:rPr>
          <w:sz w:val="24"/>
          <w:szCs w:val="24"/>
        </w:rPr>
        <w:t xml:space="preserve">” </w:t>
      </w:r>
      <w:bookmarkEnd w:id="5"/>
      <w:r w:rsidRPr="001C68E1">
        <w:rPr>
          <w:sz w:val="24"/>
          <w:szCs w:val="24"/>
        </w:rPr>
        <w:t xml:space="preserve">of Walter of </w:t>
      </w:r>
      <w:proofErr w:type="spellStart"/>
      <w:r w:rsidRPr="001C68E1">
        <w:rPr>
          <w:sz w:val="24"/>
          <w:szCs w:val="24"/>
        </w:rPr>
        <w:t>Chatilon</w:t>
      </w:r>
      <w:proofErr w:type="spellEnd"/>
      <w:r w:rsidRPr="001C68E1">
        <w:rPr>
          <w:sz w:val="24"/>
          <w:szCs w:val="24"/>
        </w:rPr>
        <w:t xml:space="preserve">: A Twelfth-Century Epic, University of Pennsylvania Press, 1996, pp. 131–48. </w:t>
      </w:r>
    </w:p>
    <w:p w14:paraId="23B8582A" w14:textId="551F3B54" w:rsidR="00D15442" w:rsidRDefault="00D15442" w:rsidP="008727AD">
      <w:pPr>
        <w:rPr>
          <w:sz w:val="24"/>
          <w:szCs w:val="24"/>
        </w:rPr>
      </w:pPr>
      <w:r w:rsidRPr="00D15442">
        <w:rPr>
          <w:sz w:val="24"/>
          <w:szCs w:val="24"/>
        </w:rPr>
        <w:t>F. J. E. Raby, A History of Secular Latin Poetry in the Middle Ages, Vol. 2, Oxford: Clarendon Press, 1934,</w:t>
      </w:r>
    </w:p>
    <w:p w14:paraId="2A33E979" w14:textId="743421D8" w:rsidR="00D15442" w:rsidRDefault="00D15442" w:rsidP="008727AD">
      <w:pPr>
        <w:rPr>
          <w:sz w:val="24"/>
          <w:szCs w:val="24"/>
        </w:rPr>
      </w:pPr>
      <w:bookmarkStart w:id="6" w:name="_Hlk104839186"/>
      <w:proofErr w:type="spellStart"/>
      <w:r w:rsidRPr="00D15442">
        <w:rPr>
          <w:sz w:val="24"/>
          <w:szCs w:val="24"/>
        </w:rPr>
        <w:t>Baynham</w:t>
      </w:r>
      <w:proofErr w:type="spellEnd"/>
      <w:r w:rsidRPr="00D15442">
        <w:rPr>
          <w:sz w:val="24"/>
          <w:szCs w:val="24"/>
        </w:rPr>
        <w:t xml:space="preserve">, E. and </w:t>
      </w:r>
      <w:proofErr w:type="spellStart"/>
      <w:r w:rsidRPr="00D15442">
        <w:rPr>
          <w:sz w:val="24"/>
          <w:szCs w:val="24"/>
        </w:rPr>
        <w:t>Feldherr</w:t>
      </w:r>
      <w:proofErr w:type="spellEnd"/>
      <w:r w:rsidRPr="00D15442">
        <w:rPr>
          <w:sz w:val="24"/>
          <w:szCs w:val="24"/>
        </w:rPr>
        <w:t>, A., 2009</w:t>
      </w:r>
      <w:bookmarkEnd w:id="6"/>
      <w:r w:rsidRPr="00D15442">
        <w:rPr>
          <w:sz w:val="24"/>
          <w:szCs w:val="24"/>
        </w:rPr>
        <w:t xml:space="preserve">. Barbarians I: Quintus </w:t>
      </w:r>
      <w:proofErr w:type="spellStart"/>
      <w:r w:rsidRPr="00D15442">
        <w:rPr>
          <w:sz w:val="24"/>
          <w:szCs w:val="24"/>
        </w:rPr>
        <w:t>Curtius</w:t>
      </w:r>
      <w:proofErr w:type="spellEnd"/>
      <w:r w:rsidRPr="00D15442">
        <w:rPr>
          <w:sz w:val="24"/>
          <w:szCs w:val="24"/>
        </w:rPr>
        <w:t>’ and other Roman historians’ reception of Alexander. The Cambridge companion to the Roman historians, Cambridge, pp.288-300.</w:t>
      </w:r>
    </w:p>
    <w:p w14:paraId="0F034F9C" w14:textId="1F9FE68F" w:rsidR="007706FE" w:rsidRDefault="007706FE" w:rsidP="008727AD">
      <w:pPr>
        <w:rPr>
          <w:sz w:val="24"/>
          <w:szCs w:val="24"/>
        </w:rPr>
      </w:pPr>
      <w:bookmarkStart w:id="7" w:name="_Hlk104839330"/>
      <w:r w:rsidRPr="007706FE">
        <w:rPr>
          <w:sz w:val="24"/>
          <w:szCs w:val="24"/>
        </w:rPr>
        <w:t>Minchin, E., 2001</w:t>
      </w:r>
      <w:bookmarkEnd w:id="7"/>
      <w:r w:rsidRPr="007706FE">
        <w:rPr>
          <w:sz w:val="24"/>
          <w:szCs w:val="24"/>
        </w:rPr>
        <w:t>. Homer and the resources of memory: some applications of cognitive theory to the Iliad and the Odyssey.</w:t>
      </w:r>
    </w:p>
    <w:p w14:paraId="545CBC29" w14:textId="0DEEA9C2" w:rsidR="007706FE" w:rsidRPr="00994CC3" w:rsidRDefault="007706FE" w:rsidP="008727AD">
      <w:pPr>
        <w:rPr>
          <w:sz w:val="24"/>
          <w:szCs w:val="24"/>
        </w:rPr>
      </w:pPr>
      <w:bookmarkStart w:id="8" w:name="_Hlk104839426"/>
      <w:proofErr w:type="spellStart"/>
      <w:r w:rsidRPr="007706FE">
        <w:rPr>
          <w:sz w:val="24"/>
          <w:szCs w:val="24"/>
        </w:rPr>
        <w:t>Ziolkowski</w:t>
      </w:r>
      <w:proofErr w:type="spellEnd"/>
      <w:r w:rsidRPr="007706FE">
        <w:rPr>
          <w:sz w:val="24"/>
          <w:szCs w:val="24"/>
        </w:rPr>
        <w:t xml:space="preserve">, T., 2000. </w:t>
      </w:r>
      <w:bookmarkEnd w:id="8"/>
      <w:r w:rsidRPr="007706FE">
        <w:rPr>
          <w:sz w:val="24"/>
          <w:szCs w:val="24"/>
        </w:rPr>
        <w:t xml:space="preserve">The fragmented text: The classics and </w:t>
      </w:r>
      <w:proofErr w:type="spellStart"/>
      <w:r w:rsidRPr="007706FE">
        <w:rPr>
          <w:sz w:val="24"/>
          <w:szCs w:val="24"/>
        </w:rPr>
        <w:t>postwar</w:t>
      </w:r>
      <w:proofErr w:type="spellEnd"/>
      <w:r w:rsidRPr="007706FE">
        <w:rPr>
          <w:sz w:val="24"/>
          <w:szCs w:val="24"/>
        </w:rPr>
        <w:t xml:space="preserve"> European literature. International Journal of the Classical Tradition, 6(4), pp.549-562.</w:t>
      </w:r>
    </w:p>
    <w:sectPr w:rsidR="007706FE" w:rsidRPr="00994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BA7609" w14:textId="77777777" w:rsidR="00DE6750" w:rsidRDefault="00DE6750" w:rsidP="00355CB6">
      <w:pPr>
        <w:spacing w:after="0" w:line="240" w:lineRule="auto"/>
      </w:pPr>
      <w:r>
        <w:separator/>
      </w:r>
    </w:p>
  </w:endnote>
  <w:endnote w:type="continuationSeparator" w:id="0">
    <w:p w14:paraId="5B319753" w14:textId="77777777" w:rsidR="00DE6750" w:rsidRDefault="00DE6750" w:rsidP="00355C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4B6860" w14:textId="77777777" w:rsidR="00DE6750" w:rsidRDefault="00DE6750" w:rsidP="00355CB6">
      <w:pPr>
        <w:spacing w:after="0" w:line="240" w:lineRule="auto"/>
      </w:pPr>
      <w:r>
        <w:separator/>
      </w:r>
    </w:p>
  </w:footnote>
  <w:footnote w:type="continuationSeparator" w:id="0">
    <w:p w14:paraId="601D7E40" w14:textId="77777777" w:rsidR="00DE6750" w:rsidRDefault="00DE6750" w:rsidP="00355CB6">
      <w:pPr>
        <w:spacing w:after="0" w:line="240" w:lineRule="auto"/>
      </w:pPr>
      <w:r>
        <w:continuationSeparator/>
      </w:r>
    </w:p>
  </w:footnote>
  <w:footnote w:id="1">
    <w:p w14:paraId="27C94C02" w14:textId="11460FDD" w:rsidR="00355CB6" w:rsidRPr="00D15442" w:rsidRDefault="00355CB6">
      <w:pPr>
        <w:pStyle w:val="FootnoteText"/>
      </w:pPr>
      <w:r w:rsidRPr="00D15442">
        <w:rPr>
          <w:rStyle w:val="FootnoteReference"/>
        </w:rPr>
        <w:footnoteRef/>
      </w:r>
      <w:r w:rsidRPr="00D15442">
        <w:t xml:space="preserve"> </w:t>
      </w:r>
      <w:proofErr w:type="spellStart"/>
      <w:r w:rsidR="00D15442" w:rsidRPr="00D15442">
        <w:t>Baynham</w:t>
      </w:r>
      <w:proofErr w:type="spellEnd"/>
      <w:r w:rsidR="00D15442" w:rsidRPr="00D15442">
        <w:t xml:space="preserve">, E. and </w:t>
      </w:r>
      <w:proofErr w:type="spellStart"/>
      <w:r w:rsidR="00D15442" w:rsidRPr="00D15442">
        <w:t>Feldherr</w:t>
      </w:r>
      <w:proofErr w:type="spellEnd"/>
      <w:r w:rsidR="00D15442" w:rsidRPr="00D15442">
        <w:t>, A., 2009</w:t>
      </w:r>
    </w:p>
  </w:footnote>
  <w:footnote w:id="2">
    <w:p w14:paraId="4AACF66A" w14:textId="2BD86259" w:rsidR="00355CB6" w:rsidRDefault="00355CB6">
      <w:pPr>
        <w:pStyle w:val="FootnoteText"/>
      </w:pPr>
      <w:r w:rsidRPr="007706FE">
        <w:rPr>
          <w:rStyle w:val="FootnoteReference"/>
        </w:rPr>
        <w:footnoteRef/>
      </w:r>
      <w:r w:rsidRPr="007706FE">
        <w:t xml:space="preserve"> </w:t>
      </w:r>
      <w:r w:rsidR="007706FE" w:rsidRPr="007706FE">
        <w:t>Minchin, E., 2001</w:t>
      </w:r>
    </w:p>
  </w:footnote>
  <w:footnote w:id="3">
    <w:p w14:paraId="79419709" w14:textId="08872CB7" w:rsidR="007706FE" w:rsidRPr="007706FE" w:rsidRDefault="00AB1B79">
      <w:pPr>
        <w:pStyle w:val="FootnoteText"/>
      </w:pPr>
      <w:r w:rsidRPr="007706FE">
        <w:rPr>
          <w:rStyle w:val="FootnoteReference"/>
        </w:rPr>
        <w:footnoteRef/>
      </w:r>
      <w:r w:rsidRPr="007706FE">
        <w:t xml:space="preserve"> </w:t>
      </w:r>
      <w:proofErr w:type="spellStart"/>
      <w:r w:rsidR="007706FE" w:rsidRPr="007706FE">
        <w:t>Ziolkowski</w:t>
      </w:r>
      <w:proofErr w:type="spellEnd"/>
      <w:r w:rsidR="007706FE" w:rsidRPr="007706FE">
        <w:t>, T., 2000.</w:t>
      </w:r>
    </w:p>
  </w:footnote>
  <w:footnote w:id="4">
    <w:p w14:paraId="0FE321A6" w14:textId="07ADA4C5" w:rsidR="004261B2" w:rsidRDefault="004261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15442" w:rsidRPr="00D15442">
        <w:t>F. J. E. Raby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F89"/>
    <w:rsid w:val="00063451"/>
    <w:rsid w:val="000A4929"/>
    <w:rsid w:val="00117036"/>
    <w:rsid w:val="00124377"/>
    <w:rsid w:val="001337C7"/>
    <w:rsid w:val="001516E2"/>
    <w:rsid w:val="001B66B0"/>
    <w:rsid w:val="001C68E1"/>
    <w:rsid w:val="00296B4C"/>
    <w:rsid w:val="002F4A63"/>
    <w:rsid w:val="00325768"/>
    <w:rsid w:val="00355CB6"/>
    <w:rsid w:val="004261B2"/>
    <w:rsid w:val="00463072"/>
    <w:rsid w:val="00467BF1"/>
    <w:rsid w:val="00574B35"/>
    <w:rsid w:val="00593067"/>
    <w:rsid w:val="005C6CCD"/>
    <w:rsid w:val="00623110"/>
    <w:rsid w:val="00680B6F"/>
    <w:rsid w:val="007706FE"/>
    <w:rsid w:val="00831799"/>
    <w:rsid w:val="008369C1"/>
    <w:rsid w:val="00843885"/>
    <w:rsid w:val="008727AD"/>
    <w:rsid w:val="00892390"/>
    <w:rsid w:val="00894CD6"/>
    <w:rsid w:val="008E0DD7"/>
    <w:rsid w:val="008E5DCB"/>
    <w:rsid w:val="00994CC3"/>
    <w:rsid w:val="009C1C7C"/>
    <w:rsid w:val="00A53D21"/>
    <w:rsid w:val="00A90D93"/>
    <w:rsid w:val="00A95F5A"/>
    <w:rsid w:val="00AA13D3"/>
    <w:rsid w:val="00AB1B79"/>
    <w:rsid w:val="00BB2715"/>
    <w:rsid w:val="00BB7813"/>
    <w:rsid w:val="00BE0088"/>
    <w:rsid w:val="00BE4486"/>
    <w:rsid w:val="00C775F6"/>
    <w:rsid w:val="00C94A1A"/>
    <w:rsid w:val="00D15442"/>
    <w:rsid w:val="00D223C9"/>
    <w:rsid w:val="00D32366"/>
    <w:rsid w:val="00D51F89"/>
    <w:rsid w:val="00DE6750"/>
    <w:rsid w:val="00E0429E"/>
    <w:rsid w:val="00E14E16"/>
    <w:rsid w:val="00E162B5"/>
    <w:rsid w:val="00EA6560"/>
    <w:rsid w:val="00F22A58"/>
    <w:rsid w:val="00F417A7"/>
    <w:rsid w:val="00FB5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DB116"/>
  <w15:chartTrackingRefBased/>
  <w15:docId w15:val="{9B6714F3-0258-492F-90E2-F8C3DE1C7D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55CB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55CB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55CB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A4D259-DE24-4B3A-B41D-C7BF2D74EE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631</TotalTime>
  <Pages>3</Pages>
  <Words>816</Words>
  <Characters>4653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fisher</dc:creator>
  <cp:keywords/>
  <dc:description/>
  <cp:lastModifiedBy>david fisher</cp:lastModifiedBy>
  <cp:revision>20</cp:revision>
  <dcterms:created xsi:type="dcterms:W3CDTF">2022-05-30T10:15:00Z</dcterms:created>
  <dcterms:modified xsi:type="dcterms:W3CDTF">2022-05-30T20:46:00Z</dcterms:modified>
</cp:coreProperties>
</file>