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F9986" w14:textId="77777777" w:rsidR="000A4188" w:rsidRDefault="000A4188">
      <w:pPr>
        <w:widowControl w:val="0"/>
        <w:spacing w:after="200" w:line="360" w:lineRule="auto"/>
        <w:jc w:val="center"/>
        <w:rPr>
          <w:rFonts w:ascii="Times New Roman" w:eastAsia="Times New Roman" w:hAnsi="Times New Roman" w:cs="Times New Roman"/>
          <w:b/>
          <w:sz w:val="32"/>
          <w:szCs w:val="32"/>
        </w:rPr>
      </w:pPr>
    </w:p>
    <w:p w14:paraId="2E918CA9" w14:textId="77777777" w:rsidR="000A4188" w:rsidRDefault="000A4188">
      <w:pPr>
        <w:widowControl w:val="0"/>
        <w:spacing w:after="200" w:line="360" w:lineRule="auto"/>
        <w:jc w:val="center"/>
        <w:rPr>
          <w:rFonts w:ascii="Times New Roman" w:eastAsia="Times New Roman" w:hAnsi="Times New Roman" w:cs="Times New Roman"/>
          <w:b/>
          <w:sz w:val="32"/>
          <w:szCs w:val="32"/>
        </w:rPr>
      </w:pPr>
    </w:p>
    <w:p w14:paraId="20CE0736" w14:textId="77777777" w:rsidR="000A4188" w:rsidRDefault="000A4188">
      <w:pPr>
        <w:widowControl w:val="0"/>
        <w:spacing w:after="200" w:line="360" w:lineRule="auto"/>
        <w:jc w:val="center"/>
        <w:rPr>
          <w:rFonts w:ascii="Times New Roman" w:eastAsia="Times New Roman" w:hAnsi="Times New Roman" w:cs="Times New Roman"/>
          <w:b/>
          <w:sz w:val="32"/>
          <w:szCs w:val="32"/>
        </w:rPr>
      </w:pPr>
    </w:p>
    <w:p w14:paraId="1AF777F7" w14:textId="77777777" w:rsidR="000A4188" w:rsidRDefault="000A4188">
      <w:pPr>
        <w:widowControl w:val="0"/>
        <w:spacing w:after="200" w:line="360" w:lineRule="auto"/>
        <w:jc w:val="center"/>
        <w:rPr>
          <w:rFonts w:ascii="Times New Roman" w:eastAsia="Times New Roman" w:hAnsi="Times New Roman" w:cs="Times New Roman"/>
          <w:b/>
          <w:sz w:val="32"/>
          <w:szCs w:val="32"/>
        </w:rPr>
      </w:pPr>
    </w:p>
    <w:p w14:paraId="22C1EDF0" w14:textId="77777777" w:rsidR="000A4188" w:rsidRDefault="000A4188">
      <w:pPr>
        <w:widowControl w:val="0"/>
        <w:spacing w:after="200" w:line="360" w:lineRule="auto"/>
        <w:jc w:val="center"/>
        <w:rPr>
          <w:rFonts w:ascii="Times New Roman" w:eastAsia="Times New Roman" w:hAnsi="Times New Roman" w:cs="Times New Roman"/>
          <w:b/>
          <w:sz w:val="32"/>
          <w:szCs w:val="32"/>
        </w:rPr>
      </w:pPr>
    </w:p>
    <w:p w14:paraId="04D1D44D" w14:textId="51B0210F" w:rsidR="000A4188" w:rsidRPr="00543F50" w:rsidRDefault="00000000">
      <w:pPr>
        <w:widowControl w:val="0"/>
        <w:spacing w:after="200" w:line="360" w:lineRule="auto"/>
        <w:jc w:val="center"/>
        <w:rPr>
          <w:rFonts w:ascii="Times New Roman" w:eastAsia="Times New Roman" w:hAnsi="Times New Roman" w:cs="Times New Roman"/>
          <w:b/>
          <w:sz w:val="28"/>
          <w:szCs w:val="28"/>
        </w:rPr>
      </w:pPr>
      <w:r w:rsidRPr="00543F50">
        <w:rPr>
          <w:rFonts w:ascii="Times New Roman" w:eastAsia="Times New Roman" w:hAnsi="Times New Roman" w:cs="Times New Roman"/>
          <w:b/>
          <w:sz w:val="28"/>
          <w:szCs w:val="28"/>
        </w:rPr>
        <w:t>Module Code-</w:t>
      </w:r>
      <w:r w:rsidR="00D728E6" w:rsidRPr="00543F50">
        <w:rPr>
          <w:rFonts w:ascii="Times New Roman" w:eastAsia="Times New Roman" w:hAnsi="Times New Roman" w:cs="Times New Roman"/>
          <w:b/>
          <w:sz w:val="28"/>
          <w:szCs w:val="28"/>
        </w:rPr>
        <w:t>LCMB7004</w:t>
      </w:r>
    </w:p>
    <w:p w14:paraId="6AE18313" w14:textId="25DA8F97" w:rsidR="000A4188" w:rsidRPr="00543F50" w:rsidRDefault="00000000" w:rsidP="00D728E6">
      <w:pPr>
        <w:widowControl w:val="0"/>
        <w:spacing w:after="200" w:line="360" w:lineRule="auto"/>
        <w:jc w:val="center"/>
        <w:rPr>
          <w:rFonts w:ascii="Times New Roman" w:eastAsia="Times New Roman" w:hAnsi="Times New Roman" w:cs="Times New Roman"/>
          <w:b/>
          <w:sz w:val="28"/>
          <w:szCs w:val="28"/>
        </w:rPr>
      </w:pPr>
      <w:r w:rsidRPr="00543F50">
        <w:rPr>
          <w:rFonts w:ascii="Times New Roman" w:eastAsia="Times New Roman" w:hAnsi="Times New Roman" w:cs="Times New Roman"/>
          <w:b/>
          <w:sz w:val="28"/>
          <w:szCs w:val="28"/>
        </w:rPr>
        <w:t>Module Name-</w:t>
      </w:r>
      <w:r w:rsidR="00D728E6" w:rsidRPr="00543F50">
        <w:rPr>
          <w:rFonts w:ascii="Times New Roman" w:eastAsia="Times New Roman" w:hAnsi="Times New Roman" w:cs="Times New Roman"/>
          <w:b/>
          <w:sz w:val="28"/>
          <w:szCs w:val="28"/>
        </w:rPr>
        <w:t xml:space="preserve"> Entrepreneurship</w:t>
      </w:r>
    </w:p>
    <w:p w14:paraId="6F0941F1" w14:textId="43F7FA3B" w:rsidR="000A4188" w:rsidRPr="00543F50" w:rsidRDefault="00000000" w:rsidP="00D728E6">
      <w:pPr>
        <w:widowControl w:val="0"/>
        <w:spacing w:after="200" w:line="360" w:lineRule="auto"/>
        <w:jc w:val="center"/>
        <w:rPr>
          <w:rFonts w:ascii="Times New Roman" w:eastAsia="Times New Roman" w:hAnsi="Times New Roman" w:cs="Times New Roman"/>
          <w:b/>
          <w:sz w:val="28"/>
          <w:szCs w:val="28"/>
        </w:rPr>
      </w:pPr>
      <w:r w:rsidRPr="00543F50">
        <w:rPr>
          <w:rFonts w:ascii="Times New Roman" w:eastAsia="Times New Roman" w:hAnsi="Times New Roman" w:cs="Times New Roman"/>
          <w:b/>
          <w:sz w:val="28"/>
          <w:szCs w:val="28"/>
        </w:rPr>
        <w:t xml:space="preserve">Empowering Communities with </w:t>
      </w:r>
      <w:proofErr w:type="spellStart"/>
      <w:r w:rsidRPr="00543F50">
        <w:rPr>
          <w:rFonts w:ascii="Times New Roman" w:eastAsia="Times New Roman" w:hAnsi="Times New Roman" w:cs="Times New Roman"/>
          <w:b/>
          <w:sz w:val="28"/>
          <w:szCs w:val="28"/>
        </w:rPr>
        <w:t>EcoSun</w:t>
      </w:r>
      <w:proofErr w:type="spellEnd"/>
      <w:r w:rsidRPr="00543F50">
        <w:rPr>
          <w:rFonts w:ascii="Times New Roman" w:eastAsia="Times New Roman" w:hAnsi="Times New Roman" w:cs="Times New Roman"/>
          <w:b/>
          <w:sz w:val="28"/>
          <w:szCs w:val="28"/>
        </w:rPr>
        <w:t>: A Vision for Sustainable Energy</w:t>
      </w:r>
    </w:p>
    <w:p w14:paraId="5133A2B3" w14:textId="5E0418A8" w:rsidR="000A4188" w:rsidRPr="00543F50" w:rsidRDefault="00000000">
      <w:pPr>
        <w:widowControl w:val="0"/>
        <w:spacing w:after="200" w:line="360" w:lineRule="auto"/>
        <w:jc w:val="center"/>
        <w:rPr>
          <w:rFonts w:ascii="Times New Roman" w:eastAsia="Times New Roman" w:hAnsi="Times New Roman" w:cs="Times New Roman"/>
          <w:b/>
          <w:sz w:val="28"/>
          <w:szCs w:val="28"/>
        </w:rPr>
      </w:pPr>
      <w:r w:rsidRPr="00543F50">
        <w:rPr>
          <w:rFonts w:ascii="Times New Roman" w:eastAsia="Times New Roman" w:hAnsi="Times New Roman" w:cs="Times New Roman"/>
          <w:b/>
          <w:sz w:val="28"/>
          <w:szCs w:val="28"/>
        </w:rPr>
        <w:t>Student ID-</w:t>
      </w:r>
      <w:r w:rsidR="00543F50" w:rsidRPr="00543F50">
        <w:rPr>
          <w:rFonts w:ascii="Times New Roman" w:eastAsia="Times New Roman" w:hAnsi="Times New Roman" w:cs="Times New Roman"/>
          <w:b/>
          <w:sz w:val="28"/>
          <w:szCs w:val="28"/>
        </w:rPr>
        <w:t>2244132</w:t>
      </w:r>
    </w:p>
    <w:p w14:paraId="44F59973" w14:textId="41A72C1E" w:rsidR="000A4188" w:rsidRPr="00543F50" w:rsidRDefault="00000000">
      <w:pPr>
        <w:widowControl w:val="0"/>
        <w:spacing w:after="200" w:line="360" w:lineRule="auto"/>
        <w:jc w:val="center"/>
        <w:rPr>
          <w:rFonts w:ascii="Times New Roman" w:eastAsia="Times New Roman" w:hAnsi="Times New Roman" w:cs="Times New Roman"/>
          <w:b/>
          <w:sz w:val="28"/>
          <w:szCs w:val="28"/>
        </w:rPr>
      </w:pPr>
      <w:r w:rsidRPr="00543F50">
        <w:rPr>
          <w:rFonts w:ascii="Times New Roman" w:eastAsia="Times New Roman" w:hAnsi="Times New Roman" w:cs="Times New Roman"/>
          <w:b/>
          <w:sz w:val="28"/>
          <w:szCs w:val="28"/>
        </w:rPr>
        <w:t>Student Name-</w:t>
      </w:r>
      <w:r w:rsidR="00543F50" w:rsidRPr="00543F50">
        <w:rPr>
          <w:rFonts w:ascii="Times New Roman" w:eastAsia="Times New Roman" w:hAnsi="Times New Roman" w:cs="Times New Roman"/>
          <w:b/>
          <w:sz w:val="28"/>
          <w:szCs w:val="28"/>
        </w:rPr>
        <w:t xml:space="preserve"> AZARIAH CELICIA ANTONY</w:t>
      </w:r>
    </w:p>
    <w:p w14:paraId="1D0CA440" w14:textId="77777777" w:rsidR="000A4188" w:rsidRDefault="00000000">
      <w:pPr>
        <w:widowControl w:val="0"/>
        <w:spacing w:after="200" w:line="360" w:lineRule="auto"/>
        <w:jc w:val="both"/>
        <w:rPr>
          <w:rFonts w:ascii="Times New Roman" w:eastAsia="Times New Roman" w:hAnsi="Times New Roman" w:cs="Times New Roman"/>
          <w:b/>
          <w:sz w:val="24"/>
          <w:szCs w:val="24"/>
        </w:rPr>
      </w:pPr>
      <w:r>
        <w:br w:type="page"/>
      </w:r>
    </w:p>
    <w:p w14:paraId="0905EC11" w14:textId="77777777" w:rsidR="000A4188" w:rsidRDefault="00000000">
      <w:pPr>
        <w:pStyle w:val="Heading1"/>
        <w:widowControl w:val="0"/>
        <w:jc w:val="center"/>
      </w:pPr>
      <w:bookmarkStart w:id="0" w:name="_heading=h.gjdgxs" w:colFirst="0" w:colLast="0"/>
      <w:bookmarkEnd w:id="0"/>
      <w:r>
        <w:lastRenderedPageBreak/>
        <w:t>Table of Contents</w:t>
      </w:r>
    </w:p>
    <w:sdt>
      <w:sdtPr>
        <w:id w:val="-1067339782"/>
        <w:docPartObj>
          <w:docPartGallery w:val="Table of Contents"/>
          <w:docPartUnique/>
        </w:docPartObj>
      </w:sdtPr>
      <w:sdtContent>
        <w:p w14:paraId="433E0039"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r>
            <w:fldChar w:fldCharType="begin"/>
          </w:r>
          <w:r>
            <w:instrText xml:space="preserve"> TOC \h \u \z \t "Heading 1,1,Heading 2,2,Heading 3,3,Heading 4,4,Heading 5,5,Heading 6,6,"</w:instrText>
          </w:r>
          <w:r>
            <w:fldChar w:fldCharType="separate"/>
          </w:r>
          <w:hyperlink w:anchor="_heading=h.1fob9te">
            <w:r>
              <w:rPr>
                <w:rFonts w:ascii="Times New Roman" w:eastAsia="Times New Roman" w:hAnsi="Times New Roman" w:cs="Times New Roman"/>
                <w:b/>
                <w:sz w:val="24"/>
                <w:szCs w:val="24"/>
              </w:rPr>
              <w:t>1. Business Idea Overview</w:t>
            </w:r>
            <w:r>
              <w:rPr>
                <w:rFonts w:ascii="Times New Roman" w:eastAsia="Times New Roman" w:hAnsi="Times New Roman" w:cs="Times New Roman"/>
                <w:b/>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b/>
              <w:sz w:val="24"/>
              <w:szCs w:val="24"/>
            </w:rPr>
            <w:t>3</w:t>
          </w:r>
          <w:r>
            <w:fldChar w:fldCharType="end"/>
          </w:r>
        </w:p>
        <w:p w14:paraId="3C9B5F74"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3znysh7">
            <w:r>
              <w:rPr>
                <w:rFonts w:ascii="Times New Roman" w:eastAsia="Times New Roman" w:hAnsi="Times New Roman" w:cs="Times New Roman"/>
                <w:b/>
                <w:sz w:val="24"/>
                <w:szCs w:val="24"/>
              </w:rPr>
              <w:t>2. Gap in the Market</w:t>
            </w:r>
            <w:r>
              <w:rPr>
                <w:rFonts w:ascii="Times New Roman" w:eastAsia="Times New Roman" w:hAnsi="Times New Roman" w:cs="Times New Roman"/>
                <w:b/>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b/>
              <w:sz w:val="24"/>
              <w:szCs w:val="24"/>
            </w:rPr>
            <w:t>4</w:t>
          </w:r>
          <w:r>
            <w:fldChar w:fldCharType="end"/>
          </w:r>
        </w:p>
        <w:p w14:paraId="2FA9A954"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2et92p0">
            <w:r>
              <w:rPr>
                <w:rFonts w:ascii="Times New Roman" w:eastAsia="Times New Roman" w:hAnsi="Times New Roman" w:cs="Times New Roman"/>
                <w:b/>
                <w:sz w:val="24"/>
                <w:szCs w:val="24"/>
              </w:rPr>
              <w:t>3. Proposed Location and Legal Entity</w:t>
            </w:r>
            <w:r>
              <w:rPr>
                <w:rFonts w:ascii="Times New Roman" w:eastAsia="Times New Roman" w:hAnsi="Times New Roman" w:cs="Times New Roman"/>
                <w:b/>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b/>
              <w:sz w:val="24"/>
              <w:szCs w:val="24"/>
            </w:rPr>
            <w:t>4</w:t>
          </w:r>
          <w:r>
            <w:fldChar w:fldCharType="end"/>
          </w:r>
        </w:p>
        <w:p w14:paraId="1AD1BA3C"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tyjcwt">
            <w:r>
              <w:rPr>
                <w:rFonts w:ascii="Times New Roman" w:eastAsia="Times New Roman" w:hAnsi="Times New Roman" w:cs="Times New Roman"/>
                <w:b/>
                <w:sz w:val="24"/>
                <w:szCs w:val="24"/>
              </w:rPr>
              <w:t>4. SWOT Analysis</w:t>
            </w:r>
            <w:r>
              <w:rPr>
                <w:rFonts w:ascii="Times New Roman" w:eastAsia="Times New Roman" w:hAnsi="Times New Roman" w:cs="Times New Roman"/>
                <w:b/>
                <w:sz w:val="24"/>
                <w:szCs w:val="24"/>
              </w:rPr>
              <w:tab/>
            </w:r>
          </w:hyperlink>
          <w:r>
            <w:fldChar w:fldCharType="begin"/>
          </w:r>
          <w:r>
            <w:instrText xml:space="preserve"> PAGEREF _heading=h.tyjcwt \h </w:instrText>
          </w:r>
          <w:r>
            <w:fldChar w:fldCharType="separate"/>
          </w:r>
          <w:r>
            <w:rPr>
              <w:rFonts w:ascii="Times New Roman" w:eastAsia="Times New Roman" w:hAnsi="Times New Roman" w:cs="Times New Roman"/>
              <w:b/>
              <w:sz w:val="24"/>
              <w:szCs w:val="24"/>
            </w:rPr>
            <w:t>5</w:t>
          </w:r>
          <w:r>
            <w:fldChar w:fldCharType="end"/>
          </w:r>
        </w:p>
        <w:p w14:paraId="7AE2448B"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3dy6vkm">
            <w:r>
              <w:rPr>
                <w:rFonts w:ascii="Times New Roman" w:eastAsia="Times New Roman" w:hAnsi="Times New Roman" w:cs="Times New Roman"/>
                <w:b/>
                <w:sz w:val="24"/>
                <w:szCs w:val="24"/>
              </w:rPr>
              <w:t>5. Target Market and Strategies</w:t>
            </w:r>
            <w:r>
              <w:rPr>
                <w:rFonts w:ascii="Times New Roman" w:eastAsia="Times New Roman" w:hAnsi="Times New Roman" w:cs="Times New Roman"/>
                <w:b/>
                <w:sz w:val="24"/>
                <w:szCs w:val="24"/>
              </w:rPr>
              <w:tab/>
            </w:r>
          </w:hyperlink>
          <w:r>
            <w:fldChar w:fldCharType="begin"/>
          </w:r>
          <w:r>
            <w:instrText xml:space="preserve"> PAGEREF _heading=h.3dy6vkm \h </w:instrText>
          </w:r>
          <w:r>
            <w:fldChar w:fldCharType="separate"/>
          </w:r>
          <w:r>
            <w:rPr>
              <w:rFonts w:ascii="Times New Roman" w:eastAsia="Times New Roman" w:hAnsi="Times New Roman" w:cs="Times New Roman"/>
              <w:b/>
              <w:sz w:val="24"/>
              <w:szCs w:val="24"/>
            </w:rPr>
            <w:t>7</w:t>
          </w:r>
          <w:r>
            <w:fldChar w:fldCharType="end"/>
          </w:r>
        </w:p>
        <w:p w14:paraId="556C83E7"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1t3h5sf">
            <w:r>
              <w:rPr>
                <w:rFonts w:ascii="Times New Roman" w:eastAsia="Times New Roman" w:hAnsi="Times New Roman" w:cs="Times New Roman"/>
                <w:b/>
                <w:sz w:val="24"/>
                <w:szCs w:val="24"/>
              </w:rPr>
              <w:t>6. Budgeting and Funding</w:t>
            </w:r>
            <w:r>
              <w:rPr>
                <w:rFonts w:ascii="Times New Roman" w:eastAsia="Times New Roman" w:hAnsi="Times New Roman" w:cs="Times New Roman"/>
                <w:b/>
                <w:sz w:val="24"/>
                <w:szCs w:val="24"/>
              </w:rPr>
              <w:tab/>
            </w:r>
          </w:hyperlink>
          <w:r>
            <w:fldChar w:fldCharType="begin"/>
          </w:r>
          <w:r>
            <w:instrText xml:space="preserve"> PAGEREF _heading=h.1t3h5sf \h </w:instrText>
          </w:r>
          <w:r>
            <w:fldChar w:fldCharType="separate"/>
          </w:r>
          <w:r>
            <w:rPr>
              <w:rFonts w:ascii="Times New Roman" w:eastAsia="Times New Roman" w:hAnsi="Times New Roman" w:cs="Times New Roman"/>
              <w:b/>
              <w:sz w:val="24"/>
              <w:szCs w:val="24"/>
            </w:rPr>
            <w:t>9</w:t>
          </w:r>
          <w:r>
            <w:fldChar w:fldCharType="end"/>
          </w:r>
        </w:p>
        <w:p w14:paraId="3F0D150D"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4d34og8">
            <w:r>
              <w:rPr>
                <w:rFonts w:ascii="Times New Roman" w:eastAsia="Times New Roman" w:hAnsi="Times New Roman" w:cs="Times New Roman"/>
                <w:b/>
                <w:sz w:val="24"/>
                <w:szCs w:val="24"/>
              </w:rPr>
              <w:t>7. Conclusion</w:t>
            </w:r>
            <w:r>
              <w:rPr>
                <w:rFonts w:ascii="Times New Roman" w:eastAsia="Times New Roman" w:hAnsi="Times New Roman" w:cs="Times New Roman"/>
                <w:b/>
                <w:sz w:val="24"/>
                <w:szCs w:val="24"/>
              </w:rPr>
              <w:tab/>
            </w:r>
          </w:hyperlink>
          <w:r>
            <w:fldChar w:fldCharType="begin"/>
          </w:r>
          <w:r>
            <w:instrText xml:space="preserve"> PAGEREF _heading=h.4d34og8 \h </w:instrText>
          </w:r>
          <w:r>
            <w:fldChar w:fldCharType="separate"/>
          </w:r>
          <w:r>
            <w:rPr>
              <w:rFonts w:ascii="Times New Roman" w:eastAsia="Times New Roman" w:hAnsi="Times New Roman" w:cs="Times New Roman"/>
              <w:b/>
              <w:sz w:val="24"/>
              <w:szCs w:val="24"/>
            </w:rPr>
            <w:t>10</w:t>
          </w:r>
          <w:r>
            <w:fldChar w:fldCharType="end"/>
          </w:r>
        </w:p>
        <w:p w14:paraId="73ED6F48" w14:textId="77777777" w:rsidR="000A4188" w:rsidRDefault="00000000">
          <w:pPr>
            <w:widowControl w:val="0"/>
            <w:tabs>
              <w:tab w:val="right" w:pos="9360"/>
            </w:tabs>
            <w:spacing w:before="60" w:after="200" w:line="360" w:lineRule="auto"/>
            <w:jc w:val="both"/>
            <w:rPr>
              <w:rFonts w:ascii="Times New Roman" w:eastAsia="Times New Roman" w:hAnsi="Times New Roman" w:cs="Times New Roman"/>
              <w:b/>
              <w:sz w:val="24"/>
              <w:szCs w:val="24"/>
            </w:rPr>
          </w:pPr>
          <w:hyperlink w:anchor="_heading=h.17dp8vu">
            <w:r>
              <w:rPr>
                <w:rFonts w:ascii="Times New Roman" w:eastAsia="Times New Roman" w:hAnsi="Times New Roman" w:cs="Times New Roman"/>
                <w:b/>
                <w:sz w:val="24"/>
                <w:szCs w:val="24"/>
              </w:rPr>
              <w:t>8. References</w:t>
            </w:r>
            <w:r>
              <w:rPr>
                <w:rFonts w:ascii="Times New Roman" w:eastAsia="Times New Roman" w:hAnsi="Times New Roman" w:cs="Times New Roman"/>
                <w:b/>
                <w:sz w:val="24"/>
                <w:szCs w:val="24"/>
              </w:rPr>
              <w:tab/>
            </w:r>
          </w:hyperlink>
          <w:r>
            <w:fldChar w:fldCharType="begin"/>
          </w:r>
          <w:r>
            <w:instrText xml:space="preserve"> PAGEREF _heading=h.17dp8vu \h </w:instrText>
          </w:r>
          <w:r>
            <w:fldChar w:fldCharType="separate"/>
          </w:r>
          <w:r>
            <w:rPr>
              <w:rFonts w:ascii="Times New Roman" w:eastAsia="Times New Roman" w:hAnsi="Times New Roman" w:cs="Times New Roman"/>
              <w:b/>
              <w:sz w:val="24"/>
              <w:szCs w:val="24"/>
            </w:rPr>
            <w:t>11</w:t>
          </w:r>
          <w:r>
            <w:fldChar w:fldCharType="end"/>
          </w:r>
          <w:r>
            <w:fldChar w:fldCharType="end"/>
          </w:r>
        </w:p>
      </w:sdtContent>
    </w:sdt>
    <w:p w14:paraId="76D31C02" w14:textId="77777777" w:rsidR="000A4188" w:rsidRDefault="00000000">
      <w:pPr>
        <w:pStyle w:val="Heading1"/>
        <w:widowControl w:val="0"/>
        <w:jc w:val="left"/>
      </w:pPr>
      <w:bookmarkStart w:id="1" w:name="_heading=h.30j0zll" w:colFirst="0" w:colLast="0"/>
      <w:bookmarkEnd w:id="1"/>
      <w:r>
        <w:br w:type="page"/>
      </w:r>
    </w:p>
    <w:p w14:paraId="1BE66680" w14:textId="77777777" w:rsidR="000A4188" w:rsidRDefault="00000000">
      <w:pPr>
        <w:pStyle w:val="Heading1"/>
        <w:widowControl w:val="0"/>
      </w:pPr>
      <w:bookmarkStart w:id="2" w:name="_heading=h.1fob9te" w:colFirst="0" w:colLast="0"/>
      <w:bookmarkEnd w:id="2"/>
      <w:r>
        <w:lastRenderedPageBreak/>
        <w:t>1. Business Idea Overview</w:t>
      </w:r>
    </w:p>
    <w:p w14:paraId="70F6F405"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emerged as a forward-thinking firm devoted to altering the energy landscape via its specialization in the </w:t>
      </w:r>
      <w:r>
        <w:rPr>
          <w:rFonts w:ascii="Times New Roman" w:eastAsia="Times New Roman" w:hAnsi="Times New Roman" w:cs="Times New Roman"/>
          <w:b/>
          <w:i/>
          <w:sz w:val="24"/>
          <w:szCs w:val="24"/>
        </w:rPr>
        <w:t>design</w:t>
      </w:r>
      <w:r>
        <w:rPr>
          <w:rFonts w:ascii="Times New Roman" w:eastAsia="Times New Roman" w:hAnsi="Times New Roman" w:cs="Times New Roman"/>
          <w:sz w:val="24"/>
          <w:szCs w:val="24"/>
        </w:rPr>
        <w:t xml:space="preserve">, installation, and administration of solar-powered community microgrids. The company is dedicated to redefining the energy landscape by rethinking the energy landscape (Tornel, 2023). A dedication to providing communities with clean and sustainable energy solutions is at the core of this enterprise. A special focus will be placed on those residents of communities who are located in </w:t>
      </w:r>
      <w:r>
        <w:rPr>
          <w:rFonts w:ascii="Times New Roman" w:eastAsia="Times New Roman" w:hAnsi="Times New Roman" w:cs="Times New Roman"/>
          <w:b/>
          <w:i/>
          <w:sz w:val="24"/>
          <w:szCs w:val="24"/>
        </w:rPr>
        <w:t>rural and underserved</w:t>
      </w:r>
      <w:r>
        <w:rPr>
          <w:rFonts w:ascii="Times New Roman" w:eastAsia="Times New Roman" w:hAnsi="Times New Roman" w:cs="Times New Roman"/>
          <w:sz w:val="24"/>
          <w:szCs w:val="24"/>
        </w:rPr>
        <w:t xml:space="preserve"> locations.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constructs reliable and ecologically responsible energy sources for communities all over the globe by assembling customized microgrid systems using cutting-edge technology. These systems may be found in communities all around the world. These community microgrids that are powered by solar energy provide a ray of light for areas that are struggling with unreliable energy sources and environmental issues (</w:t>
      </w:r>
      <w:proofErr w:type="spellStart"/>
      <w:r>
        <w:rPr>
          <w:rFonts w:ascii="Times New Roman" w:eastAsia="Times New Roman" w:hAnsi="Times New Roman" w:cs="Times New Roman"/>
          <w:sz w:val="24"/>
          <w:szCs w:val="24"/>
        </w:rPr>
        <w:t>Ribó</w:t>
      </w:r>
      <w:proofErr w:type="spellEnd"/>
      <w:r>
        <w:rPr>
          <w:rFonts w:ascii="Times New Roman" w:eastAsia="Times New Roman" w:hAnsi="Times New Roman" w:cs="Times New Roman"/>
          <w:sz w:val="24"/>
          <w:szCs w:val="24"/>
        </w:rPr>
        <w:t xml:space="preserve">-Pérez,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systems provides a renewable energy environment that is able to provide </w:t>
      </w:r>
      <w:r>
        <w:rPr>
          <w:rFonts w:ascii="Times New Roman" w:eastAsia="Times New Roman" w:hAnsi="Times New Roman" w:cs="Times New Roman"/>
          <w:b/>
          <w:i/>
          <w:sz w:val="24"/>
          <w:szCs w:val="24"/>
        </w:rPr>
        <w:t>communities</w:t>
      </w:r>
      <w:r>
        <w:rPr>
          <w:rFonts w:ascii="Times New Roman" w:eastAsia="Times New Roman" w:hAnsi="Times New Roman" w:cs="Times New Roman"/>
          <w:sz w:val="24"/>
          <w:szCs w:val="24"/>
        </w:rPr>
        <w:t xml:space="preserve"> the opportunity to become energy self-sufficient. This is accomplished via the incorporation of cutting-edge solar panels and innovative energy storage systems. Because of this, not only does it improve their standard of living all around, but it also boosts their economic opportunities and improves their general well-being.</w:t>
      </w:r>
    </w:p>
    <w:p w14:paraId="4CFC5482"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stands out from the competition because of its unwavering dedication to customer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and involvement in the local community. The firm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that every community has its own set of energy requirements, and as a result, it customizes the microgrid solutions it offers to meet these particular requirements. Establishing a foundation of trust with local authorities, </w:t>
      </w:r>
      <w:r>
        <w:rPr>
          <w:rFonts w:ascii="Times New Roman" w:eastAsia="Times New Roman" w:hAnsi="Times New Roman" w:cs="Times New Roman"/>
          <w:b/>
          <w:i/>
          <w:sz w:val="24"/>
          <w:szCs w:val="24"/>
        </w:rPr>
        <w:t xml:space="preserve">non-governmental </w:t>
      </w:r>
      <w:r>
        <w:rPr>
          <w:rFonts w:ascii="Times New Roman" w:eastAsia="Times New Roman" w:hAnsi="Times New Roman" w:cs="Times New Roman"/>
          <w:sz w:val="24"/>
          <w:szCs w:val="24"/>
        </w:rPr>
        <w:t>organizations, and community leaders via close cooperation helps facilitate the implementation of sustainable energy solutions and promotes economic growth (</w:t>
      </w:r>
      <w:proofErr w:type="gramStart"/>
      <w:r>
        <w:rPr>
          <w:rFonts w:ascii="Times New Roman" w:eastAsia="Times New Roman" w:hAnsi="Times New Roman" w:cs="Times New Roman"/>
          <w:sz w:val="24"/>
          <w:szCs w:val="24"/>
        </w:rPr>
        <w:t>Guha  and</w:t>
      </w:r>
      <w:proofErr w:type="gramEnd"/>
      <w:r>
        <w:rPr>
          <w:rFonts w:ascii="Times New Roman" w:eastAsia="Times New Roman" w:hAnsi="Times New Roman" w:cs="Times New Roman"/>
          <w:sz w:val="24"/>
          <w:szCs w:val="24"/>
        </w:rPr>
        <w:t xml:space="preserve"> Chakrabarti, 2019). In a society that is becoming more aware of the negative consequences of fossil fuels and climate change,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has the ambition to act as a driving force for positive social transformation. Its business concept is a sign of sustainability, decreasing carbon footprints and providing </w:t>
      </w:r>
      <w:r>
        <w:rPr>
          <w:rFonts w:ascii="Times New Roman" w:eastAsia="Times New Roman" w:hAnsi="Times New Roman" w:cs="Times New Roman"/>
          <w:b/>
          <w:i/>
          <w:sz w:val="24"/>
          <w:szCs w:val="24"/>
        </w:rPr>
        <w:t>resilient energy solutions</w:t>
      </w:r>
      <w:r>
        <w:rPr>
          <w:rFonts w:ascii="Times New Roman" w:eastAsia="Times New Roman" w:hAnsi="Times New Roman" w:cs="Times New Roman"/>
          <w:sz w:val="24"/>
          <w:szCs w:val="24"/>
        </w:rPr>
        <w:t xml:space="preserve">, all of which are core tenets of the </w:t>
      </w:r>
      <w:proofErr w:type="gramStart"/>
      <w:r>
        <w:rPr>
          <w:rFonts w:ascii="Times New Roman" w:eastAsia="Times New Roman" w:hAnsi="Times New Roman" w:cs="Times New Roman"/>
          <w:sz w:val="24"/>
          <w:szCs w:val="24"/>
        </w:rPr>
        <w:t>company(</w:t>
      </w:r>
      <w:proofErr w:type="gramEnd"/>
      <w:r>
        <w:rPr>
          <w:rFonts w:ascii="Times New Roman" w:eastAsia="Times New Roman" w:hAnsi="Times New Roman" w:cs="Times New Roman"/>
          <w:sz w:val="24"/>
          <w:szCs w:val="24"/>
        </w:rPr>
        <w:t xml:space="preserve">Jones and Wynn, 2021) .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working towards a worldwide environment in which sustainable living is not only a concept, but rather a concrete reality, with the goal of lighting communities and providing them with access to solar power. This is in line </w:t>
      </w:r>
      <w:r>
        <w:rPr>
          <w:rFonts w:ascii="Times New Roman" w:eastAsia="Times New Roman" w:hAnsi="Times New Roman" w:cs="Times New Roman"/>
          <w:sz w:val="24"/>
          <w:szCs w:val="24"/>
        </w:rPr>
        <w:lastRenderedPageBreak/>
        <w:t>with the company's mission, which aims to offer communities access to solar electricity.</w:t>
      </w:r>
    </w:p>
    <w:p w14:paraId="0742E043" w14:textId="77777777" w:rsidR="000A4188" w:rsidRDefault="00000000">
      <w:pPr>
        <w:pStyle w:val="Heading1"/>
        <w:widowControl w:val="0"/>
      </w:pPr>
      <w:bookmarkStart w:id="3" w:name="_heading=h.3znysh7" w:colFirst="0" w:colLast="0"/>
      <w:bookmarkEnd w:id="3"/>
      <w:r>
        <w:t>2. Gap in the Market</w:t>
      </w:r>
    </w:p>
    <w:p w14:paraId="2BA2266F"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recognizes that there is a significant need for environmentally responsible energy solutions in rural and underdeveloped areas of the world, and their mission is to fill this void in the market. The lack of appropriate access to dependable and environmentally friendly energy sources is a problem that affects a great number of these communities, both in established and emerging locations (Cuesta, Castillo-Calzadilla and Borges, 2020). This mismatch in </w:t>
      </w:r>
      <w:r>
        <w:rPr>
          <w:rFonts w:ascii="Times New Roman" w:eastAsia="Times New Roman" w:hAnsi="Times New Roman" w:cs="Times New Roman"/>
          <w:b/>
          <w:i/>
          <w:sz w:val="24"/>
          <w:szCs w:val="24"/>
        </w:rPr>
        <w:t>energy supplies</w:t>
      </w:r>
      <w:r>
        <w:rPr>
          <w:rFonts w:ascii="Times New Roman" w:eastAsia="Times New Roman" w:hAnsi="Times New Roman" w:cs="Times New Roman"/>
          <w:sz w:val="24"/>
          <w:szCs w:val="24"/>
        </w:rPr>
        <w:t xml:space="preserve"> offers a range of issues, which impacts both the citizens' quality of life and the economic prospects available to them. In the first place, these localities are plagued by a high incidence of frequent power outages and unstable energy supplies, both of which interfere with everyday living, slow down economic activity, and obstruct the advancement of </w:t>
      </w:r>
      <w:r>
        <w:rPr>
          <w:rFonts w:ascii="Times New Roman" w:eastAsia="Times New Roman" w:hAnsi="Times New Roman" w:cs="Times New Roman"/>
          <w:b/>
          <w:i/>
          <w:sz w:val="24"/>
          <w:szCs w:val="24"/>
        </w:rPr>
        <w:t>education and healthcare</w:t>
      </w:r>
      <w:r>
        <w:rPr>
          <w:rFonts w:ascii="Times New Roman" w:eastAsia="Times New Roman" w:hAnsi="Times New Roman" w:cs="Times New Roman"/>
          <w:sz w:val="24"/>
          <w:szCs w:val="24"/>
        </w:rPr>
        <w:t>. It may be difficult for small firms to run properly, and educational institutions and healthcare facilities often run into obstacles while attempting to provide necessary services. The reliance on energy sources that aren't renewable and pollute the environment may, in some circumstances, make environmental and health concerns even worse.</w:t>
      </w:r>
    </w:p>
    <w:p w14:paraId="06A93DBB"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aware that the fundamental cause of this problem is a lack of access to a reliable and long-term source of electrical power; hence, this is the area in which our solar-powered community microgrids may be of use. They hope that by installing these microgrids, it will be able to provide </w:t>
      </w:r>
      <w:r>
        <w:rPr>
          <w:rFonts w:ascii="Times New Roman" w:eastAsia="Times New Roman" w:hAnsi="Times New Roman" w:cs="Times New Roman"/>
          <w:b/>
          <w:i/>
          <w:sz w:val="24"/>
          <w:szCs w:val="24"/>
        </w:rPr>
        <w:t>underserved areas</w:t>
      </w:r>
      <w:r>
        <w:rPr>
          <w:rFonts w:ascii="Times New Roman" w:eastAsia="Times New Roman" w:hAnsi="Times New Roman" w:cs="Times New Roman"/>
          <w:sz w:val="24"/>
          <w:szCs w:val="24"/>
        </w:rPr>
        <w:t xml:space="preserve"> with a reliable and environmentally friendly source of electricity that will not only improve the residents' quality of life but also stimulate economic growth. Even in very distant or difficult settings, our custom-designed microgrid solutions, which come complete with </w:t>
      </w:r>
      <w:r>
        <w:rPr>
          <w:rFonts w:ascii="Times New Roman" w:eastAsia="Times New Roman" w:hAnsi="Times New Roman" w:cs="Times New Roman"/>
          <w:b/>
          <w:i/>
          <w:sz w:val="24"/>
          <w:szCs w:val="24"/>
        </w:rPr>
        <w:t xml:space="preserve">solar panels </w:t>
      </w:r>
      <w:r>
        <w:rPr>
          <w:rFonts w:ascii="Times New Roman" w:eastAsia="Times New Roman" w:hAnsi="Times New Roman" w:cs="Times New Roman"/>
          <w:sz w:val="24"/>
          <w:szCs w:val="24"/>
        </w:rPr>
        <w:t>and energy storage devices, are able to provide a consistent supply of electricity (Nahor, 2019). They can able to allow local companies, schools, and healthcare institutions to operate effectively, which in turn creates prospects for development and advancement. This is made possible by the generation and storage of renewable energy.</w:t>
      </w:r>
    </w:p>
    <w:p w14:paraId="25B1D466" w14:textId="77777777" w:rsidR="000A4188" w:rsidRDefault="00000000">
      <w:pPr>
        <w:pStyle w:val="Heading1"/>
        <w:widowControl w:val="0"/>
      </w:pPr>
      <w:bookmarkStart w:id="4" w:name="_heading=h.2et92p0" w:colFirst="0" w:colLast="0"/>
      <w:bookmarkEnd w:id="4"/>
      <w:r>
        <w:t>3. Proposed Location and Legal Entity</w:t>
      </w:r>
    </w:p>
    <w:p w14:paraId="322E2000"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made a calculated business decision to establish its headquarters in a metropolitan region since this particular location has a number of important benefits. The operations of the firm as well as the company's purpose to deliver solar-powered community </w:t>
      </w:r>
      <w:r>
        <w:rPr>
          <w:rFonts w:ascii="Times New Roman" w:eastAsia="Times New Roman" w:hAnsi="Times New Roman" w:cs="Times New Roman"/>
          <w:sz w:val="24"/>
          <w:szCs w:val="24"/>
        </w:rPr>
        <w:lastRenderedPageBreak/>
        <w:t xml:space="preserve">microgrids to distant and underprivileged areas were taken into great account before this choice was reached. The urban location not only makes it easier to participate in essential business activities like client meetings, networking events, and administrative tasks, but it also makes it more accessible to interact with prospective customers who could be looking for environmentally friendly energy options (Allam,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Because of its close proximity to major metropolitan centers, the location is an excellent setting for the </w:t>
      </w:r>
      <w:r>
        <w:rPr>
          <w:rFonts w:ascii="Times New Roman" w:eastAsia="Times New Roman" w:hAnsi="Times New Roman" w:cs="Times New Roman"/>
          <w:b/>
          <w:i/>
          <w:sz w:val="24"/>
          <w:szCs w:val="24"/>
        </w:rPr>
        <w:t>establishment of vital commercial</w:t>
      </w:r>
      <w:r>
        <w:rPr>
          <w:rFonts w:ascii="Times New Roman" w:eastAsia="Times New Roman" w:hAnsi="Times New Roman" w:cs="Times New Roman"/>
          <w:sz w:val="24"/>
          <w:szCs w:val="24"/>
        </w:rPr>
        <w:t xml:space="preserve"> contacts and collaborations.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has an advantage thanks to the fact that it is located in a metropolitan region, which is the accessibility to suppliers of solar equipment and components (Cuéllar Espina, 2021). This closeness helps to simplify the procedures of procurement and expedite the management of logistics, both of which contribute to cost-efficiency and the capacity to promptly react to the needs of the market. In addition, having access to a skilled labor force is very necessary for the development and functioning of the organization. Because urban regions have a large number of various talent pools,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is able to easily hire and retain competent individuals, which is crucial to the success of the company. These professionals are essential to the success of the business.</w:t>
      </w:r>
    </w:p>
    <w:p w14:paraId="2E8E7CC3"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 to the establishment of the company's legal structure,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has decided to set itself up as a </w:t>
      </w:r>
      <w:r>
        <w:rPr>
          <w:rFonts w:ascii="Times New Roman" w:eastAsia="Times New Roman" w:hAnsi="Times New Roman" w:cs="Times New Roman"/>
          <w:b/>
          <w:i/>
          <w:sz w:val="24"/>
          <w:szCs w:val="24"/>
        </w:rPr>
        <w:t>Limited Liability Company (LLC),</w:t>
      </w:r>
      <w:r>
        <w:rPr>
          <w:rFonts w:ascii="Times New Roman" w:eastAsia="Times New Roman" w:hAnsi="Times New Roman" w:cs="Times New Roman"/>
          <w:sz w:val="24"/>
          <w:szCs w:val="24"/>
        </w:rPr>
        <w:t xml:space="preserve"> a decision that is congruent with the company's goals and the nature of the activities it engages in. The form of an LLC strikes a compromise between protecting members from personal responsibility and allowing them operational freedom (</w:t>
      </w:r>
      <w:proofErr w:type="spellStart"/>
      <w:r>
        <w:rPr>
          <w:rFonts w:ascii="Times New Roman" w:eastAsia="Times New Roman" w:hAnsi="Times New Roman" w:cs="Times New Roman"/>
          <w:sz w:val="24"/>
          <w:szCs w:val="24"/>
        </w:rPr>
        <w:t>Ermoshina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Musiani</w:t>
      </w:r>
      <w:proofErr w:type="spellEnd"/>
      <w:r>
        <w:rPr>
          <w:rFonts w:ascii="Times New Roman" w:eastAsia="Times New Roman" w:hAnsi="Times New Roman" w:cs="Times New Roman"/>
          <w:sz w:val="24"/>
          <w:szCs w:val="24"/>
        </w:rPr>
        <w:t>, 2022). It provides the owners with security for their personal assets, lowering the risk that they are exposed to in the event of any legal troubles or financial failures. While doing so, it offers management freedom, which in turn makes it possible to have a governance structure that is simpler when compared to that of a corporation.</w:t>
      </w:r>
    </w:p>
    <w:p w14:paraId="2B5519BC" w14:textId="77777777" w:rsidR="000A4188" w:rsidRDefault="00000000">
      <w:pPr>
        <w:pStyle w:val="Heading1"/>
        <w:widowControl w:val="0"/>
      </w:pPr>
      <w:bookmarkStart w:id="5" w:name="_heading=h.tyjcwt" w:colFirst="0" w:colLast="0"/>
      <w:bookmarkEnd w:id="5"/>
      <w:r>
        <w:lastRenderedPageBreak/>
        <w:t>4. SWOT Analysis</w:t>
      </w:r>
    </w:p>
    <w:p w14:paraId="7AC9136A"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9C4CC5" wp14:editId="083A28D1">
            <wp:extent cx="2648100" cy="225343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648100" cy="2253431"/>
                    </a:xfrm>
                    <a:prstGeom prst="rect">
                      <a:avLst/>
                    </a:prstGeom>
                    <a:ln/>
                  </pic:spPr>
                </pic:pic>
              </a:graphicData>
            </a:graphic>
          </wp:inline>
        </w:drawing>
      </w:r>
    </w:p>
    <w:p w14:paraId="0EFACCB6"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Image: </w:t>
      </w:r>
      <w:r>
        <w:rPr>
          <w:rFonts w:ascii="Times New Roman" w:eastAsia="Times New Roman" w:hAnsi="Times New Roman" w:cs="Times New Roman"/>
          <w:sz w:val="24"/>
          <w:szCs w:val="24"/>
        </w:rPr>
        <w:t>SWOT Analysis</w:t>
      </w:r>
    </w:p>
    <w:p w14:paraId="468C17B1" w14:textId="77777777" w:rsidR="000A4188" w:rsidRDefault="00000000">
      <w:pPr>
        <w:widowControl w:val="0"/>
        <w:spacing w:after="200" w:line="360" w:lineRule="auto"/>
        <w:jc w:val="center"/>
      </w:pPr>
      <w:r>
        <w:rPr>
          <w:rFonts w:ascii="Times New Roman" w:eastAsia="Times New Roman" w:hAnsi="Times New Roman" w:cs="Times New Roman"/>
          <w:b/>
          <w:sz w:val="24"/>
          <w:szCs w:val="24"/>
        </w:rPr>
        <w:t xml:space="preserve">Source:  </w:t>
      </w:r>
      <w:hyperlink r:id="rId9">
        <w:r>
          <w:rPr>
            <w:rFonts w:ascii="Times New Roman" w:eastAsia="Times New Roman" w:hAnsi="Times New Roman" w:cs="Times New Roman"/>
            <w:color w:val="1155CC"/>
            <w:sz w:val="24"/>
            <w:szCs w:val="24"/>
            <w:u w:val="single"/>
          </w:rPr>
          <w:t>https://www.mdpi.com/processes/processes-09-00630/article_deploy/html/images/processes-09-00630-g001.png</w:t>
        </w:r>
      </w:hyperlink>
      <w:r>
        <w:rPr>
          <w:rFonts w:ascii="Times New Roman" w:eastAsia="Times New Roman" w:hAnsi="Times New Roman" w:cs="Times New Roman"/>
          <w:sz w:val="24"/>
          <w:szCs w:val="24"/>
        </w:rPr>
        <w:t xml:space="preserve"> </w:t>
      </w:r>
    </w:p>
    <w:p w14:paraId="0775B646" w14:textId="77777777" w:rsidR="000A4188" w:rsidRDefault="00000000">
      <w:pPr>
        <w:widowControl w:val="0"/>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p w14:paraId="49DE4E28"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number of inherent advantages,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well-positioned in the renewable energy industry. The company's proficiency with renewable energy technologies comes first and foremost. The staff at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is at the </w:t>
      </w:r>
      <w:r>
        <w:rPr>
          <w:rFonts w:ascii="Times New Roman" w:eastAsia="Times New Roman" w:hAnsi="Times New Roman" w:cs="Times New Roman"/>
          <w:b/>
          <w:i/>
          <w:sz w:val="24"/>
          <w:szCs w:val="24"/>
        </w:rPr>
        <w:t>forefront</w:t>
      </w:r>
      <w:r>
        <w:rPr>
          <w:rFonts w:ascii="Times New Roman" w:eastAsia="Times New Roman" w:hAnsi="Times New Roman" w:cs="Times New Roman"/>
          <w:sz w:val="24"/>
          <w:szCs w:val="24"/>
        </w:rPr>
        <w:t xml:space="preserve"> of innovation and technical progress because of their extensive expertise in solar power systems, energy storage, and microgrid management. This knowledge makes it possible to provide innovative, personalized solutions for isolated populations. Furthermore, what makes the brand unique is its significant emphasis on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and community involvement. By customizing its solutions to meet the specific energy needs of every community,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helps the locals feel proud and in control of their environment. </w:t>
      </w:r>
    </w:p>
    <w:p w14:paraId="70692D3E" w14:textId="77777777" w:rsidR="000A4188" w:rsidRDefault="00000000">
      <w:pPr>
        <w:widowControl w:val="0"/>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0DF9A620"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provides a number of advantages, but it also has some disadvantages. The significant initial outlay of funds needed for equipment and infrastructure is one prominent obstacle. Purchasing components for microgrids, </w:t>
      </w:r>
      <w:r>
        <w:rPr>
          <w:rFonts w:ascii="Times New Roman" w:eastAsia="Times New Roman" w:hAnsi="Times New Roman" w:cs="Times New Roman"/>
          <w:b/>
          <w:i/>
          <w:sz w:val="24"/>
          <w:szCs w:val="24"/>
        </w:rPr>
        <w:t>energy storage</w:t>
      </w:r>
      <w:r>
        <w:rPr>
          <w:rFonts w:ascii="Times New Roman" w:eastAsia="Times New Roman" w:hAnsi="Times New Roman" w:cs="Times New Roman"/>
          <w:sz w:val="24"/>
          <w:szCs w:val="24"/>
        </w:rPr>
        <w:t xml:space="preserve"> systems, and solar panels may be expensive (Oliveira,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Effective resource allocation and financial management are </w:t>
      </w:r>
      <w:r>
        <w:rPr>
          <w:rFonts w:ascii="Times New Roman" w:eastAsia="Times New Roman" w:hAnsi="Times New Roman" w:cs="Times New Roman"/>
          <w:sz w:val="24"/>
          <w:szCs w:val="24"/>
        </w:rPr>
        <w:lastRenderedPageBreak/>
        <w:t>required to overcome this financial obstacle. Another possible weakness for the corporation is its reliance on laws and incentives from the government. The availability and conditions of subsidies and incentives for renewable energy projects may be affected by changes in governmental policy. This uncertainty highlights the need for a flexible company plan that may change course in response to new laws.</w:t>
      </w:r>
    </w:p>
    <w:p w14:paraId="3D66E42E" w14:textId="77777777" w:rsidR="000A4188" w:rsidRDefault="00000000">
      <w:pPr>
        <w:widowControl w:val="0"/>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2F4C8849"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in a good position to take advantage of outside chances. A major opportunity is presented by the growing worldwide awareness of climate change and the advantages of clean energy. By capitalizing on this</w:t>
      </w:r>
      <w:r>
        <w:rPr>
          <w:rFonts w:ascii="Times New Roman" w:eastAsia="Times New Roman" w:hAnsi="Times New Roman" w:cs="Times New Roman"/>
          <w:b/>
          <w:i/>
          <w:sz w:val="24"/>
          <w:szCs w:val="24"/>
        </w:rPr>
        <w:t xml:space="preserve"> growing </w:t>
      </w:r>
      <w:r>
        <w:rPr>
          <w:rFonts w:ascii="Times New Roman" w:eastAsia="Times New Roman" w:hAnsi="Times New Roman" w:cs="Times New Roman"/>
          <w:sz w:val="24"/>
          <w:szCs w:val="24"/>
        </w:rPr>
        <w:t xml:space="preserve">awareness,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can increase its market share and promote environmental sustainability (Initiative, 2020). Moreover, the company's aim is in line with the rising interest in sustainable living. </w:t>
      </w:r>
      <w:proofErr w:type="spellStart"/>
      <w:r>
        <w:rPr>
          <w:rFonts w:ascii="Times New Roman" w:eastAsia="Times New Roman" w:hAnsi="Times New Roman" w:cs="Times New Roman"/>
          <w:sz w:val="24"/>
          <w:szCs w:val="24"/>
        </w:rPr>
        <w:t>EcoSun's</w:t>
      </w:r>
      <w:proofErr w:type="spellEnd"/>
      <w:r>
        <w:rPr>
          <w:rFonts w:ascii="Times New Roman" w:eastAsia="Times New Roman" w:hAnsi="Times New Roman" w:cs="Times New Roman"/>
          <w:sz w:val="24"/>
          <w:szCs w:val="24"/>
        </w:rPr>
        <w:t xml:space="preserve"> services are becoming more relevant and in-demand as communities search for more sustainable energy alternatives. </w:t>
      </w:r>
    </w:p>
    <w:p w14:paraId="26152E9D" w14:textId="77777777" w:rsidR="000A4188" w:rsidRDefault="00000000">
      <w:pPr>
        <w:widowControl w:val="0"/>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15AA0B90"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may be threatened by the way that laws and regulations are evolving. Changes in renewable energy project subsidies and incentives may have an impact on the company's revenue streams and project feasibility. A continual concern is also the rivalry from well-established energy businesses that have substantial resources and a strong market presence. These businesses may fiercely fight with one another for </w:t>
      </w:r>
      <w:r>
        <w:rPr>
          <w:rFonts w:ascii="Times New Roman" w:eastAsia="Times New Roman" w:hAnsi="Times New Roman" w:cs="Times New Roman"/>
          <w:b/>
          <w:i/>
          <w:sz w:val="24"/>
          <w:szCs w:val="24"/>
        </w:rPr>
        <w:t>resources</w:t>
      </w:r>
      <w:r>
        <w:rPr>
          <w:rFonts w:ascii="Times New Roman" w:eastAsia="Times New Roman" w:hAnsi="Times New Roman" w:cs="Times New Roman"/>
          <w:sz w:val="24"/>
          <w:szCs w:val="24"/>
        </w:rPr>
        <w:t xml:space="preserve"> and market share, which might restrict </w:t>
      </w:r>
      <w:proofErr w:type="spellStart"/>
      <w:r>
        <w:rPr>
          <w:rFonts w:ascii="Times New Roman" w:eastAsia="Times New Roman" w:hAnsi="Times New Roman" w:cs="Times New Roman"/>
          <w:sz w:val="24"/>
          <w:szCs w:val="24"/>
        </w:rPr>
        <w:t>EcoSun's</w:t>
      </w:r>
      <w:proofErr w:type="spellEnd"/>
      <w:r>
        <w:rPr>
          <w:rFonts w:ascii="Times New Roman" w:eastAsia="Times New Roman" w:hAnsi="Times New Roman" w:cs="Times New Roman"/>
          <w:sz w:val="24"/>
          <w:szCs w:val="24"/>
        </w:rPr>
        <w:t xml:space="preserve"> opportunities for expansion. A further risk is economic downturns, which have an effect on solar technology uptake. The company's growth aspirations may be hampered by lower consumer spending and investments in renewable energy during economic downturns.</w:t>
      </w: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5101"/>
        <w:gridCol w:w="4259"/>
      </w:tblGrid>
      <w:tr w:rsidR="000A4188" w14:paraId="0CFB5F5C" w14:textId="77777777">
        <w:trPr>
          <w:trHeight w:val="710"/>
        </w:trPr>
        <w:tc>
          <w:tcPr>
            <w:tcW w:w="5100" w:type="dxa"/>
            <w:tcBorders>
              <w:top w:val="single" w:sz="5" w:space="0" w:color="000000"/>
              <w:left w:val="single" w:sz="5" w:space="0" w:color="000000"/>
              <w:bottom w:val="single" w:sz="5" w:space="0" w:color="000000"/>
              <w:right w:val="single" w:sz="5" w:space="0" w:color="000000"/>
            </w:tcBorders>
            <w:shd w:val="clear" w:color="auto" w:fill="FFFF00"/>
            <w:tcMar>
              <w:top w:w="100" w:type="dxa"/>
              <w:left w:w="100" w:type="dxa"/>
              <w:bottom w:w="100" w:type="dxa"/>
              <w:right w:w="100" w:type="dxa"/>
            </w:tcMar>
            <w:vAlign w:val="bottom"/>
          </w:tcPr>
          <w:p w14:paraId="378A5493" w14:textId="77777777" w:rsidR="000A4188"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p>
        </w:tc>
        <w:tc>
          <w:tcPr>
            <w:tcW w:w="4259" w:type="dxa"/>
            <w:tcBorders>
              <w:top w:val="single" w:sz="5" w:space="0" w:color="000000"/>
              <w:left w:val="single" w:sz="5" w:space="0" w:color="000000"/>
              <w:bottom w:val="single" w:sz="5" w:space="0" w:color="000000"/>
              <w:right w:val="single" w:sz="5" w:space="0" w:color="000000"/>
            </w:tcBorders>
            <w:shd w:val="clear" w:color="auto" w:fill="FFFF00"/>
            <w:tcMar>
              <w:top w:w="100" w:type="dxa"/>
              <w:left w:w="100" w:type="dxa"/>
              <w:bottom w:w="100" w:type="dxa"/>
              <w:right w:w="100" w:type="dxa"/>
            </w:tcMar>
            <w:vAlign w:val="bottom"/>
          </w:tcPr>
          <w:p w14:paraId="50DB6D42" w14:textId="77777777" w:rsidR="000A4188"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w:t>
            </w:r>
          </w:p>
        </w:tc>
      </w:tr>
      <w:tr w:rsidR="000A4188" w14:paraId="00640AD3" w14:textId="77777777">
        <w:trPr>
          <w:trHeight w:val="695"/>
        </w:trPr>
        <w:tc>
          <w:tcPr>
            <w:tcW w:w="5100"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228612DB"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Expertise in renewable energy technology</w:t>
            </w:r>
          </w:p>
          <w:p w14:paraId="0C8E2B83"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Strong customization and community engagement</w:t>
            </w:r>
          </w:p>
          <w:p w14:paraId="4527ECCC"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a growing market with increasing demand for clean energy</w:t>
            </w:r>
          </w:p>
          <w:p w14:paraId="27B42E65"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and environmentally responsible business model</w:t>
            </w:r>
          </w:p>
        </w:tc>
        <w:tc>
          <w:tcPr>
            <w:tcW w:w="42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6649BD4"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Initial capital requirements</w:t>
            </w:r>
          </w:p>
          <w:p w14:paraId="1CBAE444"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Dependency on government incentives and regulations</w:t>
            </w:r>
          </w:p>
          <w:p w14:paraId="48D3CCC9" w14:textId="77777777" w:rsidR="000A4188" w:rsidRDefault="00000000">
            <w:pPr>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in the renewable energy sector</w:t>
            </w:r>
          </w:p>
        </w:tc>
      </w:tr>
      <w:tr w:rsidR="000A4188" w14:paraId="4FCF9718" w14:textId="77777777">
        <w:trPr>
          <w:trHeight w:val="1055"/>
        </w:trPr>
        <w:tc>
          <w:tcPr>
            <w:tcW w:w="5100"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18FFDEED"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2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2B17EC43" w14:textId="77777777" w:rsidR="000A4188" w:rsidRDefault="000A4188">
            <w:pPr>
              <w:widowControl w:val="0"/>
              <w:spacing w:line="240" w:lineRule="auto"/>
              <w:jc w:val="both"/>
              <w:rPr>
                <w:rFonts w:ascii="Times New Roman" w:eastAsia="Times New Roman" w:hAnsi="Times New Roman" w:cs="Times New Roman"/>
                <w:sz w:val="24"/>
                <w:szCs w:val="24"/>
              </w:rPr>
            </w:pPr>
          </w:p>
        </w:tc>
      </w:tr>
      <w:tr w:rsidR="000A4188" w14:paraId="33F5EA63" w14:textId="77777777">
        <w:trPr>
          <w:trHeight w:val="1055"/>
        </w:trPr>
        <w:tc>
          <w:tcPr>
            <w:tcW w:w="5100"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69E44E14"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2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69457B6" w14:textId="77777777" w:rsidR="000A4188" w:rsidRDefault="000A4188">
            <w:pPr>
              <w:widowControl w:val="0"/>
              <w:spacing w:line="240" w:lineRule="auto"/>
              <w:jc w:val="both"/>
              <w:rPr>
                <w:rFonts w:ascii="Times New Roman" w:eastAsia="Times New Roman" w:hAnsi="Times New Roman" w:cs="Times New Roman"/>
                <w:sz w:val="24"/>
                <w:szCs w:val="24"/>
              </w:rPr>
            </w:pPr>
          </w:p>
        </w:tc>
      </w:tr>
      <w:tr w:rsidR="000A4188" w14:paraId="0FAA9AE4" w14:textId="77777777">
        <w:trPr>
          <w:trHeight w:val="1055"/>
        </w:trPr>
        <w:tc>
          <w:tcPr>
            <w:tcW w:w="5100"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C2DA8CF"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2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EB20D06" w14:textId="77777777" w:rsidR="000A4188" w:rsidRDefault="000A4188">
            <w:pPr>
              <w:widowControl w:val="0"/>
              <w:spacing w:line="240" w:lineRule="auto"/>
              <w:jc w:val="both"/>
              <w:rPr>
                <w:rFonts w:ascii="Times New Roman" w:eastAsia="Times New Roman" w:hAnsi="Times New Roman" w:cs="Times New Roman"/>
                <w:sz w:val="24"/>
                <w:szCs w:val="24"/>
              </w:rPr>
            </w:pPr>
          </w:p>
        </w:tc>
      </w:tr>
    </w:tbl>
    <w:p w14:paraId="1F04CC1C" w14:textId="77777777" w:rsidR="000A4188" w:rsidRDefault="000A4188">
      <w:pPr>
        <w:widowControl w:val="0"/>
        <w:spacing w:after="200" w:line="360" w:lineRule="auto"/>
        <w:jc w:val="both"/>
        <w:rPr>
          <w:rFonts w:ascii="Times New Roman" w:eastAsia="Times New Roman" w:hAnsi="Times New Roman" w:cs="Times New Roman"/>
          <w:sz w:val="24"/>
          <w:szCs w:val="24"/>
        </w:rPr>
      </w:pPr>
    </w:p>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4494"/>
        <w:gridCol w:w="4866"/>
      </w:tblGrid>
      <w:tr w:rsidR="000A4188" w14:paraId="539AB1C5" w14:textId="77777777">
        <w:trPr>
          <w:trHeight w:val="695"/>
        </w:trPr>
        <w:tc>
          <w:tcPr>
            <w:tcW w:w="4494"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vAlign w:val="bottom"/>
          </w:tcPr>
          <w:p w14:paraId="16171941" w14:textId="77777777" w:rsidR="000A4188" w:rsidRDefault="00000000">
            <w:pPr>
              <w:widowControl w:val="0"/>
              <w:spacing w:line="411"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p>
        </w:tc>
        <w:tc>
          <w:tcPr>
            <w:tcW w:w="486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vAlign w:val="bottom"/>
          </w:tcPr>
          <w:p w14:paraId="0F30863E" w14:textId="77777777" w:rsidR="000A4188" w:rsidRDefault="00000000">
            <w:pPr>
              <w:widowControl w:val="0"/>
              <w:spacing w:line="411"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p>
        </w:tc>
      </w:tr>
      <w:tr w:rsidR="000A4188" w14:paraId="73FE2914" w14:textId="77777777">
        <w:trPr>
          <w:trHeight w:val="1055"/>
        </w:trPr>
        <w:tc>
          <w:tcPr>
            <w:tcW w:w="4494" w:type="dxa"/>
            <w:vMerge w:val="restart"/>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0A2A3B6"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worldwide awareness of climate change</w:t>
            </w:r>
          </w:p>
          <w:p w14:paraId="2A6F7275"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Advantages of clean energy</w:t>
            </w:r>
          </w:p>
          <w:p w14:paraId="1086B75E"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market share</w:t>
            </w:r>
          </w:p>
          <w:p w14:paraId="1B3541DB"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environmental sustainability</w:t>
            </w:r>
          </w:p>
          <w:p w14:paraId="652C2494"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Alignment with sustainable living trends</w:t>
            </w:r>
          </w:p>
          <w:p w14:paraId="6984408B"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Rising demand for sustainable energy alternatives</w:t>
            </w:r>
          </w:p>
        </w:tc>
        <w:tc>
          <w:tcPr>
            <w:tcW w:w="4865" w:type="dxa"/>
            <w:vMerge w:val="restart"/>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11ACFB3A"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Evolving laws and regulations impacting subsidies</w:t>
            </w:r>
          </w:p>
          <w:p w14:paraId="342E94AC"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on revenue streams and project feasibility</w:t>
            </w:r>
          </w:p>
          <w:p w14:paraId="7A0A5197"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from established energy businesses</w:t>
            </w:r>
          </w:p>
          <w:p w14:paraId="78E8F627"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resources and market share due to competition</w:t>
            </w:r>
          </w:p>
          <w:p w14:paraId="1C383061"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downturns affecting solar technology uptake</w:t>
            </w:r>
          </w:p>
          <w:p w14:paraId="32A4B69B" w14:textId="77777777" w:rsidR="000A4188" w:rsidRDefault="00000000">
            <w:pPr>
              <w:widowControl w:val="0"/>
              <w:numPr>
                <w:ilvl w:val="0"/>
                <w:numId w:val="2"/>
              </w:numPr>
              <w:spacing w:line="411"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consumer spending during economic downturns</w:t>
            </w:r>
          </w:p>
        </w:tc>
      </w:tr>
      <w:tr w:rsidR="000A4188" w14:paraId="3F94DDC1" w14:textId="77777777">
        <w:trPr>
          <w:trHeight w:val="1055"/>
        </w:trPr>
        <w:tc>
          <w:tcPr>
            <w:tcW w:w="4494"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787ADD1F"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865"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1C81EE04" w14:textId="77777777" w:rsidR="000A4188" w:rsidRDefault="000A4188">
            <w:pPr>
              <w:widowControl w:val="0"/>
              <w:spacing w:line="240" w:lineRule="auto"/>
              <w:jc w:val="both"/>
              <w:rPr>
                <w:rFonts w:ascii="Times New Roman" w:eastAsia="Times New Roman" w:hAnsi="Times New Roman" w:cs="Times New Roman"/>
                <w:sz w:val="24"/>
                <w:szCs w:val="24"/>
              </w:rPr>
            </w:pPr>
          </w:p>
        </w:tc>
      </w:tr>
      <w:tr w:rsidR="000A4188" w14:paraId="3B4122D7" w14:textId="77777777">
        <w:trPr>
          <w:trHeight w:val="1055"/>
        </w:trPr>
        <w:tc>
          <w:tcPr>
            <w:tcW w:w="4494"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4D0C07D5"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865"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61956499" w14:textId="77777777" w:rsidR="000A4188" w:rsidRDefault="000A4188">
            <w:pPr>
              <w:widowControl w:val="0"/>
              <w:spacing w:line="240" w:lineRule="auto"/>
              <w:jc w:val="both"/>
              <w:rPr>
                <w:rFonts w:ascii="Times New Roman" w:eastAsia="Times New Roman" w:hAnsi="Times New Roman" w:cs="Times New Roman"/>
                <w:sz w:val="24"/>
                <w:szCs w:val="24"/>
              </w:rPr>
            </w:pPr>
          </w:p>
        </w:tc>
      </w:tr>
      <w:tr w:rsidR="000A4188" w14:paraId="4C6628C8" w14:textId="77777777">
        <w:trPr>
          <w:trHeight w:val="1055"/>
        </w:trPr>
        <w:tc>
          <w:tcPr>
            <w:tcW w:w="4494"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4CE2631A"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865"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400C3D9" w14:textId="77777777" w:rsidR="000A4188" w:rsidRDefault="000A4188">
            <w:pPr>
              <w:widowControl w:val="0"/>
              <w:spacing w:line="240" w:lineRule="auto"/>
              <w:jc w:val="both"/>
              <w:rPr>
                <w:rFonts w:ascii="Times New Roman" w:eastAsia="Times New Roman" w:hAnsi="Times New Roman" w:cs="Times New Roman"/>
                <w:sz w:val="24"/>
                <w:szCs w:val="24"/>
              </w:rPr>
            </w:pPr>
          </w:p>
        </w:tc>
      </w:tr>
      <w:tr w:rsidR="000A4188" w14:paraId="4398C515" w14:textId="77777777">
        <w:trPr>
          <w:trHeight w:val="1055"/>
        </w:trPr>
        <w:tc>
          <w:tcPr>
            <w:tcW w:w="4494"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06376F67"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865"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17B987BB" w14:textId="77777777" w:rsidR="000A4188" w:rsidRDefault="000A4188">
            <w:pPr>
              <w:widowControl w:val="0"/>
              <w:spacing w:line="240" w:lineRule="auto"/>
              <w:jc w:val="both"/>
              <w:rPr>
                <w:rFonts w:ascii="Times New Roman" w:eastAsia="Times New Roman" w:hAnsi="Times New Roman" w:cs="Times New Roman"/>
                <w:sz w:val="24"/>
                <w:szCs w:val="24"/>
              </w:rPr>
            </w:pPr>
          </w:p>
        </w:tc>
      </w:tr>
      <w:tr w:rsidR="000A4188" w14:paraId="6DD4EB79" w14:textId="77777777">
        <w:trPr>
          <w:trHeight w:val="1055"/>
        </w:trPr>
        <w:tc>
          <w:tcPr>
            <w:tcW w:w="4494"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56CDA0A7" w14:textId="77777777" w:rsidR="000A4188" w:rsidRDefault="000A4188">
            <w:pPr>
              <w:widowControl w:val="0"/>
              <w:spacing w:line="240" w:lineRule="auto"/>
              <w:jc w:val="both"/>
              <w:rPr>
                <w:rFonts w:ascii="Times New Roman" w:eastAsia="Times New Roman" w:hAnsi="Times New Roman" w:cs="Times New Roman"/>
                <w:sz w:val="24"/>
                <w:szCs w:val="24"/>
              </w:rPr>
            </w:pPr>
          </w:p>
        </w:tc>
        <w:tc>
          <w:tcPr>
            <w:tcW w:w="4865" w:type="dxa"/>
            <w:vMerge/>
            <w:tcBorders>
              <w:top w:val="single" w:sz="4" w:space="0" w:color="000000"/>
              <w:left w:val="single" w:sz="4" w:space="0" w:color="000000"/>
              <w:bottom w:val="single" w:sz="4" w:space="0" w:color="000000"/>
              <w:right w:val="single" w:sz="4" w:space="0" w:color="000000"/>
            </w:tcBorders>
            <w:shd w:val="clear" w:color="auto" w:fill="FCE5CD"/>
            <w:tcMar>
              <w:top w:w="100" w:type="dxa"/>
              <w:left w:w="100" w:type="dxa"/>
              <w:bottom w:w="100" w:type="dxa"/>
              <w:right w:w="100" w:type="dxa"/>
            </w:tcMar>
            <w:vAlign w:val="center"/>
          </w:tcPr>
          <w:p w14:paraId="29990155" w14:textId="77777777" w:rsidR="000A4188" w:rsidRDefault="000A4188">
            <w:pPr>
              <w:widowControl w:val="0"/>
              <w:spacing w:line="240" w:lineRule="auto"/>
              <w:jc w:val="both"/>
              <w:rPr>
                <w:rFonts w:ascii="Times New Roman" w:eastAsia="Times New Roman" w:hAnsi="Times New Roman" w:cs="Times New Roman"/>
                <w:sz w:val="24"/>
                <w:szCs w:val="24"/>
              </w:rPr>
            </w:pPr>
          </w:p>
        </w:tc>
      </w:tr>
    </w:tbl>
    <w:p w14:paraId="1C5A79BE" w14:textId="77777777" w:rsidR="000A4188" w:rsidRDefault="000A4188">
      <w:pPr>
        <w:widowControl w:val="0"/>
        <w:spacing w:after="200" w:line="360" w:lineRule="auto"/>
        <w:jc w:val="both"/>
        <w:rPr>
          <w:rFonts w:ascii="Times New Roman" w:eastAsia="Times New Roman" w:hAnsi="Times New Roman" w:cs="Times New Roman"/>
          <w:sz w:val="24"/>
          <w:szCs w:val="24"/>
        </w:rPr>
      </w:pPr>
    </w:p>
    <w:p w14:paraId="55FD405E" w14:textId="77777777" w:rsidR="000A4188" w:rsidRDefault="00000000">
      <w:pPr>
        <w:pStyle w:val="Heading1"/>
        <w:widowControl w:val="0"/>
      </w:pPr>
      <w:bookmarkStart w:id="6" w:name="_heading=h.3dy6vkm" w:colFirst="0" w:colLast="0"/>
      <w:bookmarkEnd w:id="6"/>
      <w:r>
        <w:t>5. Target Market and Strategies</w:t>
      </w:r>
    </w:p>
    <w:p w14:paraId="6F9B47E3"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its main target market, rural and isolated villages are the area in which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has carefully focused its attention. These communities struggle with the pressing need for dependable and sustainable energy sources since they are often marginalized and isolated geographically. Their differences in energy use not only affect their quality of life but also impede economic development, access to healthcare, and educational opportunities (Prus and Sikora, 2021).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prioritizes these neglected places in order to close the urgent energy deficit and support the social and economic development of these </w:t>
      </w:r>
      <w:r>
        <w:rPr>
          <w:rFonts w:ascii="Times New Roman" w:eastAsia="Times New Roman" w:hAnsi="Times New Roman" w:cs="Times New Roman"/>
          <w:b/>
          <w:i/>
          <w:sz w:val="24"/>
          <w:szCs w:val="24"/>
        </w:rPr>
        <w:t>underprivileged</w:t>
      </w:r>
      <w:r>
        <w:rPr>
          <w:rFonts w:ascii="Times New Roman" w:eastAsia="Times New Roman" w:hAnsi="Times New Roman" w:cs="Times New Roman"/>
          <w:sz w:val="24"/>
          <w:szCs w:val="24"/>
        </w:rPr>
        <w:t xml:space="preserve"> communities.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has developed a complex approach in order to successfully capture this target market. This strategy's first pillar entails a lot of study. The business carries out in-depth market research to identify underserved populations, evaluate their unique energy needs, and comprehend their socioeconomic circumstances. The microgrid solutions offered are precisely customized to the particular possibilities and constraints within each community thanks to this data-driven approach.</w:t>
      </w:r>
    </w:p>
    <w:p w14:paraId="3321C554"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Personalization is yet another essential tactic.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committed to providing customized microgrid solutions that are tailored to each community's unique requirements. Long-term sustainability is fostered by the firm by ensuring that the solutions are in line with regional energy needs and cultural quirks, which instills a feeling of pride and ownership in the communities. Furthermore,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emphasizes </w:t>
      </w:r>
      <w:r>
        <w:rPr>
          <w:rFonts w:ascii="Times New Roman" w:eastAsia="Times New Roman" w:hAnsi="Times New Roman" w:cs="Times New Roman"/>
          <w:b/>
          <w:i/>
          <w:sz w:val="24"/>
          <w:szCs w:val="24"/>
        </w:rPr>
        <w:t>funding</w:t>
      </w:r>
      <w:r>
        <w:rPr>
          <w:rFonts w:ascii="Times New Roman" w:eastAsia="Times New Roman" w:hAnsi="Times New Roman" w:cs="Times New Roman"/>
          <w:sz w:val="24"/>
          <w:szCs w:val="24"/>
        </w:rPr>
        <w:t xml:space="preserve"> heavily (</w:t>
      </w:r>
      <w:proofErr w:type="gramStart"/>
      <w:r>
        <w:rPr>
          <w:rFonts w:ascii="Times New Roman" w:eastAsia="Times New Roman" w:hAnsi="Times New Roman" w:cs="Times New Roman"/>
          <w:sz w:val="24"/>
          <w:szCs w:val="24"/>
        </w:rPr>
        <w:t>Khon,  2022</w:t>
      </w:r>
      <w:proofErr w:type="gramEnd"/>
      <w:r>
        <w:rPr>
          <w:rFonts w:ascii="Times New Roman" w:eastAsia="Times New Roman" w:hAnsi="Times New Roman" w:cs="Times New Roman"/>
          <w:sz w:val="24"/>
          <w:szCs w:val="24"/>
        </w:rPr>
        <w:t>). It helps towns get grants, subsidies, and other forms of funding that make the switch to solar-powered microgrids financially possible. This strategy makes renewable energy an economically feasible option while also lessening the financial strain on local communities.</w:t>
      </w:r>
    </w:p>
    <w:p w14:paraId="319BF6B7"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crucial component of the plan is forming </w:t>
      </w:r>
      <w:r>
        <w:rPr>
          <w:rFonts w:ascii="Times New Roman" w:eastAsia="Times New Roman" w:hAnsi="Times New Roman" w:cs="Times New Roman"/>
          <w:b/>
          <w:i/>
          <w:sz w:val="24"/>
          <w:szCs w:val="24"/>
        </w:rPr>
        <w:t>partnerships</w:t>
      </w:r>
      <w:r>
        <w:rPr>
          <w:rFonts w:ascii="Times New Roman" w:eastAsia="Times New Roman" w:hAnsi="Times New Roman" w:cs="Times New Roman"/>
          <w:sz w:val="24"/>
          <w:szCs w:val="24"/>
        </w:rPr>
        <w:t xml:space="preserve"> with local government agencies, non-governmental organizations, and community leaders. These partnerships strengthen community trust and support, which is essential for microgrid projects to be implemented and maintained successfully.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runs </w:t>
      </w:r>
      <w:r>
        <w:rPr>
          <w:rFonts w:ascii="Times New Roman" w:eastAsia="Times New Roman" w:hAnsi="Times New Roman" w:cs="Times New Roman"/>
          <w:b/>
          <w:i/>
          <w:sz w:val="24"/>
          <w:szCs w:val="24"/>
        </w:rPr>
        <w:t>broad</w:t>
      </w:r>
      <w:r>
        <w:rPr>
          <w:rFonts w:ascii="Times New Roman" w:eastAsia="Times New Roman" w:hAnsi="Times New Roman" w:cs="Times New Roman"/>
          <w:sz w:val="24"/>
          <w:szCs w:val="24"/>
        </w:rPr>
        <w:t xml:space="preserve"> awareness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to teach communities the advantages of sustainable living and clean energy. The goals of these efforts are to raise awareness, stimulate demand, and foster a feeling of environmental responsibility.</w:t>
      </w:r>
    </w:p>
    <w:p w14:paraId="4754A418"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A3C8828" wp14:editId="3F404325">
            <wp:extent cx="3119438" cy="300445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119438" cy="3004458"/>
                    </a:xfrm>
                    <a:prstGeom prst="rect">
                      <a:avLst/>
                    </a:prstGeom>
                    <a:ln/>
                  </pic:spPr>
                </pic:pic>
              </a:graphicData>
            </a:graphic>
          </wp:inline>
        </w:drawing>
      </w:r>
    </w:p>
    <w:p w14:paraId="15280FDA"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Image:</w:t>
      </w:r>
      <w:r>
        <w:rPr>
          <w:rFonts w:ascii="Times New Roman" w:eastAsia="Times New Roman" w:hAnsi="Times New Roman" w:cs="Times New Roman"/>
          <w:sz w:val="24"/>
          <w:szCs w:val="24"/>
        </w:rPr>
        <w:t xml:space="preserve"> Sustainability </w:t>
      </w:r>
    </w:p>
    <w:p w14:paraId="3CF4DD96"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hyperlink r:id="rId11">
        <w:r>
          <w:rPr>
            <w:rFonts w:ascii="Times New Roman" w:eastAsia="Times New Roman" w:hAnsi="Times New Roman" w:cs="Times New Roman"/>
            <w:color w:val="1155CC"/>
            <w:sz w:val="24"/>
            <w:szCs w:val="24"/>
            <w:u w:val="single"/>
          </w:rPr>
          <w:t>https://www.mdpi.com/sustainability/sustainability-14-04217/article_deploy/html/images/sustainability-14-04217-g001.png</w:t>
        </w:r>
      </w:hyperlink>
      <w:r>
        <w:rPr>
          <w:rFonts w:ascii="Times New Roman" w:eastAsia="Times New Roman" w:hAnsi="Times New Roman" w:cs="Times New Roman"/>
          <w:sz w:val="24"/>
          <w:szCs w:val="24"/>
        </w:rPr>
        <w:t xml:space="preserve"> </w:t>
      </w:r>
    </w:p>
    <w:tbl>
      <w:tblPr>
        <w:tblStyle w:val="a4"/>
        <w:tblW w:w="9360" w:type="dxa"/>
        <w:tblBorders>
          <w:top w:val="nil"/>
          <w:left w:val="nil"/>
          <w:bottom w:val="nil"/>
          <w:right w:val="nil"/>
          <w:insideH w:val="nil"/>
          <w:insideV w:val="nil"/>
        </w:tblBorders>
        <w:tblLayout w:type="fixed"/>
        <w:tblLook w:val="0600" w:firstRow="0" w:lastRow="0" w:firstColumn="0" w:lastColumn="0" w:noHBand="1" w:noVBand="1"/>
      </w:tblPr>
      <w:tblGrid>
        <w:gridCol w:w="2607"/>
        <w:gridCol w:w="6753"/>
      </w:tblGrid>
      <w:tr w:rsidR="000A4188" w14:paraId="37ED8433" w14:textId="77777777">
        <w:trPr>
          <w:trHeight w:val="710"/>
        </w:trPr>
        <w:tc>
          <w:tcPr>
            <w:tcW w:w="2607" w:type="dxa"/>
            <w:tcBorders>
              <w:top w:val="single" w:sz="5" w:space="0" w:color="000000"/>
              <w:left w:val="single" w:sz="5" w:space="0" w:color="000000"/>
              <w:bottom w:val="single" w:sz="5" w:space="0" w:color="000000"/>
              <w:right w:val="single" w:sz="5" w:space="0" w:color="000000"/>
            </w:tcBorders>
            <w:shd w:val="clear" w:color="auto" w:fill="FFFF00"/>
            <w:tcMar>
              <w:top w:w="100" w:type="dxa"/>
              <w:left w:w="100" w:type="dxa"/>
              <w:bottom w:w="100" w:type="dxa"/>
              <w:right w:w="100" w:type="dxa"/>
            </w:tcMar>
            <w:vAlign w:val="bottom"/>
          </w:tcPr>
          <w:p w14:paraId="18E59099" w14:textId="77777777" w:rsidR="000A4188"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Target Market</w:t>
            </w:r>
          </w:p>
        </w:tc>
        <w:tc>
          <w:tcPr>
            <w:tcW w:w="6752" w:type="dxa"/>
            <w:tcBorders>
              <w:top w:val="single" w:sz="5" w:space="0" w:color="000000"/>
              <w:left w:val="single" w:sz="5" w:space="0" w:color="000000"/>
              <w:bottom w:val="single" w:sz="5" w:space="0" w:color="000000"/>
              <w:right w:val="single" w:sz="5" w:space="0" w:color="000000"/>
            </w:tcBorders>
            <w:shd w:val="clear" w:color="auto" w:fill="FFFF00"/>
            <w:tcMar>
              <w:top w:w="100" w:type="dxa"/>
              <w:left w:w="100" w:type="dxa"/>
              <w:bottom w:w="100" w:type="dxa"/>
              <w:right w:w="100" w:type="dxa"/>
            </w:tcMar>
            <w:vAlign w:val="bottom"/>
          </w:tcPr>
          <w:p w14:paraId="39E8ED89" w14:textId="77777777" w:rsidR="000A4188"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Strategies</w:t>
            </w:r>
          </w:p>
        </w:tc>
      </w:tr>
      <w:tr w:rsidR="000A4188" w14:paraId="7A569A99" w14:textId="77777777">
        <w:trPr>
          <w:trHeight w:val="1055"/>
        </w:trPr>
        <w:tc>
          <w:tcPr>
            <w:tcW w:w="2607" w:type="dxa"/>
            <w:vMerge w:val="restart"/>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2DF573CB" w14:textId="77777777" w:rsidR="000A4188"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Rural and Remote Communities</w:t>
            </w:r>
          </w:p>
        </w:tc>
        <w:tc>
          <w:tcPr>
            <w:tcW w:w="675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3C67EF5D" w14:textId="77777777" w:rsidR="000A4188"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Extensive Market Research to identify specific community needs and dynamics.</w:t>
            </w:r>
          </w:p>
        </w:tc>
      </w:tr>
      <w:tr w:rsidR="000A4188" w14:paraId="2311B520" w14:textId="77777777">
        <w:trPr>
          <w:trHeight w:val="1055"/>
        </w:trPr>
        <w:tc>
          <w:tcPr>
            <w:tcW w:w="2607" w:type="dxa"/>
            <w:vMerge/>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775DB49" w14:textId="77777777" w:rsidR="000A4188" w:rsidRDefault="000A4188">
            <w:pPr>
              <w:widowControl w:val="0"/>
              <w:spacing w:line="240" w:lineRule="auto"/>
              <w:rPr>
                <w:rFonts w:ascii="Times New Roman" w:eastAsia="Times New Roman" w:hAnsi="Times New Roman" w:cs="Times New Roman"/>
                <w:sz w:val="24"/>
                <w:szCs w:val="24"/>
              </w:rPr>
            </w:pPr>
          </w:p>
        </w:tc>
        <w:tc>
          <w:tcPr>
            <w:tcW w:w="675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2F6A7B87" w14:textId="77777777" w:rsidR="000A4188"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Customization of microgrid solutions tailored to each community's energy requirements.</w:t>
            </w:r>
          </w:p>
        </w:tc>
      </w:tr>
      <w:tr w:rsidR="000A4188" w14:paraId="681AE711" w14:textId="77777777">
        <w:trPr>
          <w:trHeight w:val="1055"/>
        </w:trPr>
        <w:tc>
          <w:tcPr>
            <w:tcW w:w="2607" w:type="dxa"/>
            <w:vMerge/>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95E403F" w14:textId="77777777" w:rsidR="000A4188" w:rsidRDefault="000A4188">
            <w:pPr>
              <w:widowControl w:val="0"/>
              <w:spacing w:line="240" w:lineRule="auto"/>
              <w:rPr>
                <w:rFonts w:ascii="Times New Roman" w:eastAsia="Times New Roman" w:hAnsi="Times New Roman" w:cs="Times New Roman"/>
                <w:sz w:val="24"/>
                <w:szCs w:val="24"/>
              </w:rPr>
            </w:pPr>
          </w:p>
        </w:tc>
        <w:tc>
          <w:tcPr>
            <w:tcW w:w="675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2FD3B6DC" w14:textId="77777777" w:rsidR="000A4188"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Assistance with Financing: Access to grants, incentives, and financing options to make projects economically viable.</w:t>
            </w:r>
          </w:p>
        </w:tc>
      </w:tr>
      <w:tr w:rsidR="000A4188" w14:paraId="2D28EAF7" w14:textId="77777777">
        <w:trPr>
          <w:trHeight w:val="1055"/>
        </w:trPr>
        <w:tc>
          <w:tcPr>
            <w:tcW w:w="2607" w:type="dxa"/>
            <w:vMerge/>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B1F6C83" w14:textId="77777777" w:rsidR="000A4188" w:rsidRDefault="000A4188">
            <w:pPr>
              <w:widowControl w:val="0"/>
              <w:spacing w:line="240" w:lineRule="auto"/>
              <w:rPr>
                <w:rFonts w:ascii="Times New Roman" w:eastAsia="Times New Roman" w:hAnsi="Times New Roman" w:cs="Times New Roman"/>
                <w:sz w:val="24"/>
                <w:szCs w:val="24"/>
              </w:rPr>
            </w:pPr>
          </w:p>
        </w:tc>
        <w:tc>
          <w:tcPr>
            <w:tcW w:w="675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2F92C8AA" w14:textId="77777777" w:rsidR="000A4188"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Partnerships: Collaborations with local authorities, NGOs, and community leaders to build trust and support.</w:t>
            </w:r>
          </w:p>
        </w:tc>
      </w:tr>
      <w:tr w:rsidR="000A4188" w14:paraId="6B772092" w14:textId="77777777">
        <w:trPr>
          <w:trHeight w:val="1055"/>
        </w:trPr>
        <w:tc>
          <w:tcPr>
            <w:tcW w:w="2607" w:type="dxa"/>
            <w:vMerge/>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5CACAF8" w14:textId="77777777" w:rsidR="000A4188" w:rsidRDefault="000A4188">
            <w:pPr>
              <w:widowControl w:val="0"/>
              <w:spacing w:line="240" w:lineRule="auto"/>
              <w:rPr>
                <w:rFonts w:ascii="Times New Roman" w:eastAsia="Times New Roman" w:hAnsi="Times New Roman" w:cs="Times New Roman"/>
                <w:sz w:val="24"/>
                <w:szCs w:val="24"/>
              </w:rPr>
            </w:pPr>
          </w:p>
        </w:tc>
        <w:tc>
          <w:tcPr>
            <w:tcW w:w="675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FD93947" w14:textId="77777777" w:rsidR="000A4188"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Awareness Campaigns: Educational initiatives to promote clean energy and sustainable living.</w:t>
            </w:r>
          </w:p>
        </w:tc>
      </w:tr>
    </w:tbl>
    <w:p w14:paraId="542981B1" w14:textId="77777777" w:rsidR="000A4188" w:rsidRDefault="000A4188">
      <w:pPr>
        <w:widowControl w:val="0"/>
        <w:spacing w:after="200" w:line="360" w:lineRule="auto"/>
        <w:jc w:val="both"/>
        <w:rPr>
          <w:rFonts w:ascii="Times New Roman" w:eastAsia="Times New Roman" w:hAnsi="Times New Roman" w:cs="Times New Roman"/>
          <w:sz w:val="24"/>
          <w:szCs w:val="24"/>
        </w:rPr>
      </w:pPr>
    </w:p>
    <w:p w14:paraId="5761387E" w14:textId="77777777" w:rsidR="000A4188" w:rsidRDefault="00000000">
      <w:pPr>
        <w:pStyle w:val="Heading1"/>
        <w:widowControl w:val="0"/>
      </w:pPr>
      <w:bookmarkStart w:id="7" w:name="_heading=h.1t3h5sf" w:colFirst="0" w:colLast="0"/>
      <w:bookmarkEnd w:id="7"/>
      <w:r>
        <w:t>6. Budgeting and Funding</w:t>
      </w:r>
    </w:p>
    <w:p w14:paraId="47C127C5" w14:textId="77777777" w:rsidR="000A4188" w:rsidRDefault="00000000">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recognizes the imperative of robust financial planning to fuel its mission of providing clean energy solutions to remote and underserved communities. The initial budget estimate is projected at $1,000,000, allocated across various key areas. The lion's share of the budget is dedicated to infrastructure and equipment. Solar panels, energy storage systems, and </w:t>
      </w:r>
      <w:r>
        <w:rPr>
          <w:rFonts w:ascii="Times New Roman" w:eastAsia="Times New Roman" w:hAnsi="Times New Roman" w:cs="Times New Roman"/>
          <w:b/>
          <w:i/>
          <w:sz w:val="24"/>
          <w:szCs w:val="24"/>
        </w:rPr>
        <w:t>microgrid</w:t>
      </w:r>
      <w:r>
        <w:rPr>
          <w:rFonts w:ascii="Times New Roman" w:eastAsia="Times New Roman" w:hAnsi="Times New Roman" w:cs="Times New Roman"/>
          <w:sz w:val="24"/>
          <w:szCs w:val="24"/>
        </w:rPr>
        <w:t xml:space="preserve"> components constitute a substantial portion of the investment, ensuring the provision of dependable energy solutions (Oliveira,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Additionally, personnel salaries, encompassing a talented and skilled workforce, form a significant part of the budget.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aims to attract professionals who are committed to the company's vision and mission.</w:t>
      </w:r>
    </w:p>
    <w:p w14:paraId="581F7CEB"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expenses are also factored into the budget. These tools are crucial for the company's efforts to raise its profile and attract new customers in the rural and outlying areas where its services are most needed. Promoting the value of renewable energy and the economic viability of solar-powered microgrids requires well-executed advertising campaigns (Savio Abraham,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going to employ its extensive financial resources to get the necessary finance. The founders and any possible angel investors provide a significant portion of the funding via equity investment. This shows how dedicated they are to the project and how much faith they have in its success.</w:t>
      </w:r>
    </w:p>
    <w:p w14:paraId="4B0820BB"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equity investment, loans will be sought from financial institutions specializing in renewable energy projects. These loans will provide the necessary leverage to meet immediate financial needs while allowing the company to maintain operational flexibility. Grants from government programs and foundations supporting sustainable and </w:t>
      </w:r>
      <w:r>
        <w:rPr>
          <w:rFonts w:ascii="Times New Roman" w:eastAsia="Times New Roman" w:hAnsi="Times New Roman" w:cs="Times New Roman"/>
          <w:b/>
          <w:i/>
          <w:sz w:val="24"/>
          <w:szCs w:val="24"/>
        </w:rPr>
        <w:t>green initiatives</w:t>
      </w:r>
      <w:r>
        <w:rPr>
          <w:rFonts w:ascii="Times New Roman" w:eastAsia="Times New Roman" w:hAnsi="Times New Roman" w:cs="Times New Roman"/>
          <w:sz w:val="24"/>
          <w:szCs w:val="24"/>
        </w:rPr>
        <w:t xml:space="preserve"> represent another critical source of funding. These grants offer the opportunity to supplement the budget and facilitate the execution of community projects, making them more affordable and accessible.</w:t>
      </w:r>
    </w:p>
    <w:p w14:paraId="11DC8C37"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partnerships with established energy technology companies further strengthen </w:t>
      </w:r>
      <w:proofErr w:type="spellStart"/>
      <w:r>
        <w:rPr>
          <w:rFonts w:ascii="Times New Roman" w:eastAsia="Times New Roman" w:hAnsi="Times New Roman" w:cs="Times New Roman"/>
          <w:sz w:val="24"/>
          <w:szCs w:val="24"/>
        </w:rPr>
        <w:t>EcoSun's</w:t>
      </w:r>
      <w:proofErr w:type="spellEnd"/>
      <w:r>
        <w:rPr>
          <w:rFonts w:ascii="Times New Roman" w:eastAsia="Times New Roman" w:hAnsi="Times New Roman" w:cs="Times New Roman"/>
          <w:sz w:val="24"/>
          <w:szCs w:val="24"/>
        </w:rPr>
        <w:t xml:space="preserve"> financial position. Such partnerships can provide access to technology resources, reduce </w:t>
      </w:r>
      <w:r>
        <w:rPr>
          <w:rFonts w:ascii="Times New Roman" w:eastAsia="Times New Roman" w:hAnsi="Times New Roman" w:cs="Times New Roman"/>
          <w:sz w:val="24"/>
          <w:szCs w:val="24"/>
        </w:rPr>
        <w:lastRenderedPageBreak/>
        <w:t xml:space="preserve">equipment procurement costs, and </w:t>
      </w:r>
      <w:r>
        <w:rPr>
          <w:rFonts w:ascii="Times New Roman" w:eastAsia="Times New Roman" w:hAnsi="Times New Roman" w:cs="Times New Roman"/>
          <w:b/>
          <w:i/>
          <w:sz w:val="24"/>
          <w:szCs w:val="24"/>
        </w:rPr>
        <w:t>promote collaborative</w:t>
      </w:r>
      <w:r>
        <w:rPr>
          <w:rFonts w:ascii="Times New Roman" w:eastAsia="Times New Roman" w:hAnsi="Times New Roman" w:cs="Times New Roman"/>
          <w:sz w:val="24"/>
          <w:szCs w:val="24"/>
        </w:rPr>
        <w:t xml:space="preserve"> research and development efforts. These alliances not only secure resources but also enhance the company's credibility and reach (</w:t>
      </w:r>
      <w:proofErr w:type="spellStart"/>
      <w:r>
        <w:rPr>
          <w:rFonts w:ascii="Times New Roman" w:eastAsia="Times New Roman" w:hAnsi="Times New Roman" w:cs="Times New Roman"/>
          <w:sz w:val="24"/>
          <w:szCs w:val="24"/>
        </w:rPr>
        <w:t>Eweje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 the pursuit of financial sustainability,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will prioritize cost-efficiency and diligent resource allocation. Moreover, the company will continuously explore potential external funding sources, ensuring that it remains well-capitalized to meet the evolving needs of the business.</w:t>
      </w:r>
    </w:p>
    <w:p w14:paraId="54FBCB22"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F5CA967" wp14:editId="40DB886B">
            <wp:extent cx="2892862" cy="29670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892862" cy="2967038"/>
                    </a:xfrm>
                    <a:prstGeom prst="rect">
                      <a:avLst/>
                    </a:prstGeom>
                    <a:ln/>
                  </pic:spPr>
                </pic:pic>
              </a:graphicData>
            </a:graphic>
          </wp:inline>
        </w:drawing>
      </w:r>
    </w:p>
    <w:p w14:paraId="5AACB72F" w14:textId="77777777" w:rsidR="000A4188" w:rsidRDefault="00000000">
      <w:pPr>
        <w:widowControl w:val="0"/>
        <w:spacing w:after="200" w:line="360" w:lineRule="auto"/>
        <w:jc w:val="center"/>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b/>
          <w:sz w:val="24"/>
          <w:szCs w:val="24"/>
        </w:rPr>
        <w:t>Image:</w:t>
      </w:r>
      <w:r>
        <w:rPr>
          <w:rFonts w:ascii="Times New Roman" w:eastAsia="Times New Roman" w:hAnsi="Times New Roman" w:cs="Times New Roman"/>
          <w:sz w:val="24"/>
          <w:szCs w:val="24"/>
        </w:rPr>
        <w:t>renewable</w:t>
      </w:r>
      <w:proofErr w:type="spellEnd"/>
      <w:proofErr w:type="gramEnd"/>
      <w:r>
        <w:rPr>
          <w:rFonts w:ascii="Times New Roman" w:eastAsia="Times New Roman" w:hAnsi="Times New Roman" w:cs="Times New Roman"/>
          <w:sz w:val="24"/>
          <w:szCs w:val="24"/>
        </w:rPr>
        <w:t xml:space="preserve"> energy in the Budget</w:t>
      </w:r>
    </w:p>
    <w:p w14:paraId="2EFC6C21" w14:textId="77777777" w:rsidR="000A4188" w:rsidRDefault="00000000">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hyperlink r:id="rId13">
        <w:r>
          <w:rPr>
            <w:rFonts w:ascii="Times New Roman" w:eastAsia="Times New Roman" w:hAnsi="Times New Roman" w:cs="Times New Roman"/>
            <w:b/>
            <w:color w:val="1155CC"/>
            <w:sz w:val="24"/>
            <w:szCs w:val="24"/>
            <w:u w:val="single"/>
          </w:rPr>
          <w:t>https://s01.sgp1.cdn.digitaloceanspaces.com/inline/sadgcpyecd-1643541204.png</w:t>
        </w:r>
      </w:hyperlink>
      <w:r>
        <w:rPr>
          <w:rFonts w:ascii="Times New Roman" w:eastAsia="Times New Roman" w:hAnsi="Times New Roman" w:cs="Times New Roman"/>
          <w:b/>
          <w:sz w:val="24"/>
          <w:szCs w:val="24"/>
        </w:rPr>
        <w:t xml:space="preserve"> </w:t>
      </w:r>
    </w:p>
    <w:tbl>
      <w:tblPr>
        <w:tblStyle w:val="a5"/>
        <w:tblW w:w="9360" w:type="dxa"/>
        <w:tblBorders>
          <w:top w:val="nil"/>
          <w:left w:val="nil"/>
          <w:bottom w:val="nil"/>
          <w:right w:val="nil"/>
          <w:insideH w:val="nil"/>
          <w:insideV w:val="nil"/>
        </w:tblBorders>
        <w:tblLayout w:type="fixed"/>
        <w:tblLook w:val="0600" w:firstRow="0" w:lastRow="0" w:firstColumn="0" w:lastColumn="0" w:noHBand="1" w:noVBand="1"/>
      </w:tblPr>
      <w:tblGrid>
        <w:gridCol w:w="3158"/>
        <w:gridCol w:w="6202"/>
      </w:tblGrid>
      <w:tr w:rsidR="000A4188" w14:paraId="0B7EFC3A" w14:textId="77777777">
        <w:trPr>
          <w:trHeight w:val="710"/>
        </w:trPr>
        <w:tc>
          <w:tcPr>
            <w:tcW w:w="3158" w:type="dxa"/>
            <w:tcBorders>
              <w:top w:val="single" w:sz="5" w:space="0" w:color="000000"/>
              <w:left w:val="single" w:sz="5" w:space="0" w:color="000000"/>
              <w:bottom w:val="single" w:sz="5" w:space="0" w:color="000000"/>
              <w:right w:val="single" w:sz="5" w:space="0" w:color="000000"/>
            </w:tcBorders>
            <w:shd w:val="clear" w:color="auto" w:fill="FF9900"/>
            <w:tcMar>
              <w:top w:w="100" w:type="dxa"/>
              <w:left w:w="100" w:type="dxa"/>
              <w:bottom w:w="100" w:type="dxa"/>
              <w:right w:w="100" w:type="dxa"/>
            </w:tcMar>
            <w:vAlign w:val="bottom"/>
          </w:tcPr>
          <w:p w14:paraId="24CCF09A" w14:textId="77777777" w:rsidR="000A4188"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Budget and Funding</w:t>
            </w:r>
          </w:p>
        </w:tc>
        <w:tc>
          <w:tcPr>
            <w:tcW w:w="6201" w:type="dxa"/>
            <w:tcBorders>
              <w:top w:val="single" w:sz="5" w:space="0" w:color="000000"/>
              <w:left w:val="single" w:sz="5" w:space="0" w:color="000000"/>
              <w:bottom w:val="single" w:sz="5" w:space="0" w:color="000000"/>
              <w:right w:val="single" w:sz="5" w:space="0" w:color="000000"/>
            </w:tcBorders>
            <w:shd w:val="clear" w:color="auto" w:fill="FF9900"/>
            <w:tcMar>
              <w:top w:w="100" w:type="dxa"/>
              <w:left w:w="100" w:type="dxa"/>
              <w:bottom w:w="100" w:type="dxa"/>
              <w:right w:w="100" w:type="dxa"/>
            </w:tcMar>
            <w:vAlign w:val="bottom"/>
          </w:tcPr>
          <w:p w14:paraId="653709C7" w14:textId="77777777" w:rsidR="000A4188" w:rsidRDefault="0000000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Amount</w:t>
            </w:r>
          </w:p>
        </w:tc>
      </w:tr>
      <w:tr w:rsidR="000A4188" w14:paraId="7B2EDF45" w14:textId="77777777">
        <w:trPr>
          <w:trHeight w:val="695"/>
        </w:trPr>
        <w:tc>
          <w:tcPr>
            <w:tcW w:w="3158"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219EE3E3"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Budget Estimate</w:t>
            </w:r>
          </w:p>
        </w:tc>
        <w:tc>
          <w:tcPr>
            <w:tcW w:w="6201"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67993263"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$1,000,000</w:t>
            </w:r>
          </w:p>
        </w:tc>
      </w:tr>
      <w:tr w:rsidR="000A4188" w14:paraId="1D30D7B6" w14:textId="77777777">
        <w:trPr>
          <w:trHeight w:val="695"/>
        </w:trPr>
        <w:tc>
          <w:tcPr>
            <w:tcW w:w="9359" w:type="dxa"/>
            <w:gridSpan w:val="2"/>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50385C11" w14:textId="77777777" w:rsidR="000A4188"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Funding Sources</w:t>
            </w:r>
          </w:p>
        </w:tc>
      </w:tr>
      <w:tr w:rsidR="000A4188" w14:paraId="5028452A" w14:textId="77777777">
        <w:trPr>
          <w:trHeight w:val="695"/>
        </w:trPr>
        <w:tc>
          <w:tcPr>
            <w:tcW w:w="3158"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5D02B4B"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Equity Investment</w:t>
            </w:r>
          </w:p>
        </w:tc>
        <w:tc>
          <w:tcPr>
            <w:tcW w:w="6201"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E19D5B4"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$500,000 (Founders and Angel Investors)</w:t>
            </w:r>
          </w:p>
        </w:tc>
      </w:tr>
      <w:tr w:rsidR="000A4188" w14:paraId="09C42695" w14:textId="77777777">
        <w:trPr>
          <w:trHeight w:val="695"/>
        </w:trPr>
        <w:tc>
          <w:tcPr>
            <w:tcW w:w="3158"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33F22FE1"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Loans</w:t>
            </w:r>
          </w:p>
        </w:tc>
        <w:tc>
          <w:tcPr>
            <w:tcW w:w="6201"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6D23997C"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$300,000 (Financial Institutions)</w:t>
            </w:r>
          </w:p>
        </w:tc>
      </w:tr>
      <w:tr w:rsidR="000A4188" w14:paraId="55B588B2" w14:textId="77777777">
        <w:trPr>
          <w:trHeight w:val="695"/>
        </w:trPr>
        <w:tc>
          <w:tcPr>
            <w:tcW w:w="3158"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508D169"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Grants</w:t>
            </w:r>
          </w:p>
        </w:tc>
        <w:tc>
          <w:tcPr>
            <w:tcW w:w="6201"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E567438"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 (Government Programs and Foundations)</w:t>
            </w:r>
          </w:p>
        </w:tc>
      </w:tr>
      <w:tr w:rsidR="000A4188" w14:paraId="65A950A1" w14:textId="77777777">
        <w:trPr>
          <w:trHeight w:val="695"/>
        </w:trPr>
        <w:tc>
          <w:tcPr>
            <w:tcW w:w="3158"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3049F459"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Partnerships</w:t>
            </w:r>
          </w:p>
        </w:tc>
        <w:tc>
          <w:tcPr>
            <w:tcW w:w="6201" w:type="dxa"/>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202FD273" w14:textId="77777777" w:rsidR="000A4188"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$100,000 (Energy Technology Companies)</w:t>
            </w:r>
          </w:p>
        </w:tc>
      </w:tr>
    </w:tbl>
    <w:p w14:paraId="2B871BF0" w14:textId="77777777" w:rsidR="000A4188" w:rsidRDefault="000A4188">
      <w:pPr>
        <w:widowControl w:val="0"/>
        <w:spacing w:after="200" w:line="360" w:lineRule="auto"/>
        <w:jc w:val="both"/>
        <w:rPr>
          <w:rFonts w:ascii="Times New Roman" w:eastAsia="Times New Roman" w:hAnsi="Times New Roman" w:cs="Times New Roman"/>
          <w:sz w:val="24"/>
          <w:szCs w:val="24"/>
        </w:rPr>
      </w:pPr>
    </w:p>
    <w:p w14:paraId="79478BCB" w14:textId="77777777" w:rsidR="000A4188" w:rsidRDefault="00000000">
      <w:pPr>
        <w:pStyle w:val="Heading1"/>
        <w:widowControl w:val="0"/>
      </w:pPr>
      <w:bookmarkStart w:id="8" w:name="_heading=h.4d34og8" w:colFirst="0" w:colLast="0"/>
      <w:bookmarkEnd w:id="8"/>
      <w:r>
        <w:t>7. Conclusion</w:t>
      </w:r>
    </w:p>
    <w:p w14:paraId="48CAE122" w14:textId="77777777" w:rsidR="000A4188" w:rsidRDefault="00000000">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offering distant and underprivileged areas clean and sustainable energy solutions,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sets out on a mission to brighten the future. With a strong dedication to environmental responsibility, community involvement, and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the firm stands out as a ray of hope in closing the urgent energy gap.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enables communities to attain energy self-sufficiency via the design, installation, and management of solar-powered community microgrids, promoting economic development, educational progress, and enhanced healthcare accessibility. Although there will be obstacles along the way,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is well-positioned for success because of its innovations in renewable energy technologies and community-focused strategies. The company's in-depth knowledge guarantees that its products stay at the forefront of innovation, and its engagement and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strategies promote resilient and sustainable microgrid projects. With the increasing global consciousness of climate change and clean energy, </w:t>
      </w:r>
      <w:proofErr w:type="spellStart"/>
      <w:r>
        <w:rPr>
          <w:rFonts w:ascii="Times New Roman" w:eastAsia="Times New Roman" w:hAnsi="Times New Roman" w:cs="Times New Roman"/>
          <w:sz w:val="24"/>
          <w:szCs w:val="24"/>
        </w:rPr>
        <w:t>EcoSun</w:t>
      </w:r>
      <w:proofErr w:type="spellEnd"/>
      <w:r>
        <w:rPr>
          <w:rFonts w:ascii="Times New Roman" w:eastAsia="Times New Roman" w:hAnsi="Times New Roman" w:cs="Times New Roman"/>
          <w:sz w:val="24"/>
          <w:szCs w:val="24"/>
        </w:rPr>
        <w:t xml:space="preserve"> Power Solutions is positioned to assume a crucial role in the worldwide shift towards sustainability.</w:t>
      </w:r>
    </w:p>
    <w:p w14:paraId="2A2BAEE4" w14:textId="77777777" w:rsidR="000A4188" w:rsidRDefault="00000000">
      <w:pPr>
        <w:pStyle w:val="Heading1"/>
        <w:widowControl w:val="0"/>
      </w:pPr>
      <w:bookmarkStart w:id="9" w:name="_heading=h.2s8eyo1" w:colFirst="0" w:colLast="0"/>
      <w:bookmarkEnd w:id="9"/>
      <w:r>
        <w:br w:type="page"/>
      </w:r>
    </w:p>
    <w:p w14:paraId="68E13CFD" w14:textId="77777777" w:rsidR="000A4188" w:rsidRDefault="00000000">
      <w:pPr>
        <w:pStyle w:val="Heading1"/>
        <w:widowControl w:val="0"/>
      </w:pPr>
      <w:bookmarkStart w:id="10" w:name="_heading=h.17dp8vu" w:colFirst="0" w:colLast="0"/>
      <w:bookmarkEnd w:id="10"/>
      <w:r>
        <w:lastRenderedPageBreak/>
        <w:t>8. References</w:t>
      </w:r>
    </w:p>
    <w:p w14:paraId="23ED9FC9"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Allam, Z., Sharifi, A., </w:t>
      </w:r>
      <w:proofErr w:type="spellStart"/>
      <w:r>
        <w:rPr>
          <w:rFonts w:ascii="Times New Roman" w:eastAsia="Times New Roman" w:hAnsi="Times New Roman" w:cs="Times New Roman"/>
          <w:sz w:val="24"/>
          <w:szCs w:val="24"/>
        </w:rPr>
        <w:t>Bibri</w:t>
      </w:r>
      <w:proofErr w:type="spellEnd"/>
      <w:r>
        <w:rPr>
          <w:rFonts w:ascii="Times New Roman" w:eastAsia="Times New Roman" w:hAnsi="Times New Roman" w:cs="Times New Roman"/>
          <w:sz w:val="24"/>
          <w:szCs w:val="24"/>
        </w:rPr>
        <w:t xml:space="preserve">, S.E., Jones, D.S. and </w:t>
      </w:r>
      <w:proofErr w:type="spellStart"/>
      <w:r>
        <w:rPr>
          <w:rFonts w:ascii="Times New Roman" w:eastAsia="Times New Roman" w:hAnsi="Times New Roman" w:cs="Times New Roman"/>
          <w:sz w:val="24"/>
          <w:szCs w:val="24"/>
        </w:rPr>
        <w:t>Krogstie</w:t>
      </w:r>
      <w:proofErr w:type="spellEnd"/>
      <w:r>
        <w:rPr>
          <w:rFonts w:ascii="Times New Roman" w:eastAsia="Times New Roman" w:hAnsi="Times New Roman" w:cs="Times New Roman"/>
          <w:sz w:val="24"/>
          <w:szCs w:val="24"/>
        </w:rPr>
        <w:t>, J., 2022. The metaverse as a virtual form of smart cities: Opportunities and challenges for environmental, economic, and social sustainability in urban futures. Smart Cities, 5(3), pp.771-801.</w:t>
      </w:r>
    </w:p>
    <w:p w14:paraId="6E17AEBE"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Cuéllar Espina, M., 2021. Design of a photovoltaic solar pumping system for drinking water supply in the municipality of La Libertad (El Salvador) (Bachelor's thesis).</w:t>
      </w:r>
    </w:p>
    <w:p w14:paraId="1D97AF3A"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Cuesta, M.A., Castillo-Calzadilla, T. and Borges, C.E., 2020. A critical analysis on hybrid renewable energy modeling tools: An emerging opportunity to include social indicators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systems in small communities. Renewable and Sustainable Energy Reviews, 122, p.109691.</w:t>
      </w:r>
    </w:p>
    <w:p w14:paraId="5F2A15D1"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Cuesta, M.A., Castillo-Calzadilla, T. and Borges, C.E., 2020. A critical analysis on hybrid renewable energy modeling tools: An emerging opportunity to include social indicators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systems in small communities. Renewable and Sustainable Energy Reviews, 122, p.109691.</w:t>
      </w:r>
    </w:p>
    <w:p w14:paraId="6C93D348" w14:textId="77777777" w:rsidR="000A4188" w:rsidRDefault="00000000">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Ermoshina</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Musiani</w:t>
      </w:r>
      <w:proofErr w:type="spellEnd"/>
      <w:r>
        <w:rPr>
          <w:rFonts w:ascii="Times New Roman" w:eastAsia="Times New Roman" w:hAnsi="Times New Roman" w:cs="Times New Roman"/>
          <w:sz w:val="24"/>
          <w:szCs w:val="24"/>
        </w:rPr>
        <w:t>, F., 2022. Concealing for Freedom. Mattering Press.</w:t>
      </w:r>
    </w:p>
    <w:p w14:paraId="7E1D619F" w14:textId="77777777" w:rsidR="000A4188" w:rsidRDefault="00000000">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Eweje</w:t>
      </w:r>
      <w:proofErr w:type="spellEnd"/>
      <w:r>
        <w:rPr>
          <w:rFonts w:ascii="Times New Roman" w:eastAsia="Times New Roman" w:hAnsi="Times New Roman" w:cs="Times New Roman"/>
          <w:sz w:val="24"/>
          <w:szCs w:val="24"/>
        </w:rPr>
        <w:t>, G., Sajjad, A., Nath, S.D. and Kobayashi, K., 2021. Multi-stakeholder partnerships: A catalyst to achieve sustainable development goals. Marketing Intelligence &amp; Planning, 39(2), pp.186-212.</w:t>
      </w:r>
    </w:p>
    <w:p w14:paraId="48370354"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Guha, J. and Chakrabarti, B., 2019. Achieving the Sustainable Development Goals (SDGs) through </w:t>
      </w:r>
      <w:proofErr w:type="spellStart"/>
      <w:r>
        <w:rPr>
          <w:rFonts w:ascii="Times New Roman" w:eastAsia="Times New Roman" w:hAnsi="Times New Roman" w:cs="Times New Roman"/>
          <w:sz w:val="24"/>
          <w:szCs w:val="24"/>
        </w:rPr>
        <w:t>decentralisation</w:t>
      </w:r>
      <w:proofErr w:type="spellEnd"/>
      <w:r>
        <w:rPr>
          <w:rFonts w:ascii="Times New Roman" w:eastAsia="Times New Roman" w:hAnsi="Times New Roman" w:cs="Times New Roman"/>
          <w:sz w:val="24"/>
          <w:szCs w:val="24"/>
        </w:rPr>
        <w:t xml:space="preserve"> and the role of local governments: A systematic review. Commonwealth Journal of Local Governance, (22), pp.1-21.</w:t>
      </w:r>
    </w:p>
    <w:p w14:paraId="01877D05"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Initiative, S.G., 2020. Sun Grant Initiative: The First Fifteen Years.</w:t>
      </w:r>
    </w:p>
    <w:p w14:paraId="45D3D194"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Jones, P. and Wynn, M., 2021. The leading digital technology companies and their approach to sustainable development. Sustainability, 13(12), p.6612.</w:t>
      </w:r>
    </w:p>
    <w:p w14:paraId="6A1BED69"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Khon, K., 2022. Planning of rural LV AC/DC microgrids with PV and storage (Doctoral dissertation, Université Grenoble Alpes [2020-....]; </w:t>
      </w:r>
      <w:proofErr w:type="spellStart"/>
      <w:r>
        <w:rPr>
          <w:rFonts w:ascii="Times New Roman" w:eastAsia="Times New Roman" w:hAnsi="Times New Roman" w:cs="Times New Roman"/>
          <w:sz w:val="24"/>
          <w:szCs w:val="24"/>
        </w:rPr>
        <w:t>Institut</w:t>
      </w:r>
      <w:proofErr w:type="spellEnd"/>
      <w:r>
        <w:rPr>
          <w:rFonts w:ascii="Times New Roman" w:eastAsia="Times New Roman" w:hAnsi="Times New Roman" w:cs="Times New Roman"/>
          <w:sz w:val="24"/>
          <w:szCs w:val="24"/>
        </w:rPr>
        <w:t xml:space="preserve"> de </w:t>
      </w:r>
      <w:proofErr w:type="spellStart"/>
      <w:r>
        <w:rPr>
          <w:rFonts w:ascii="Times New Roman" w:eastAsia="Times New Roman" w:hAnsi="Times New Roman" w:cs="Times New Roman"/>
          <w:sz w:val="24"/>
          <w:szCs w:val="24"/>
        </w:rPr>
        <w:t>technologie</w:t>
      </w:r>
      <w:proofErr w:type="spellEnd"/>
      <w:r>
        <w:rPr>
          <w:rFonts w:ascii="Times New Roman" w:eastAsia="Times New Roman" w:hAnsi="Times New Roman" w:cs="Times New Roman"/>
          <w:sz w:val="24"/>
          <w:szCs w:val="24"/>
        </w:rPr>
        <w:t xml:space="preserve"> du </w:t>
      </w:r>
      <w:proofErr w:type="spellStart"/>
      <w:r>
        <w:rPr>
          <w:rFonts w:ascii="Times New Roman" w:eastAsia="Times New Roman" w:hAnsi="Times New Roman" w:cs="Times New Roman"/>
          <w:sz w:val="24"/>
          <w:szCs w:val="24"/>
        </w:rPr>
        <w:t>Cambodge</w:t>
      </w:r>
      <w:proofErr w:type="spellEnd"/>
      <w:r>
        <w:rPr>
          <w:rFonts w:ascii="Times New Roman" w:eastAsia="Times New Roman" w:hAnsi="Times New Roman" w:cs="Times New Roman"/>
          <w:sz w:val="24"/>
          <w:szCs w:val="24"/>
        </w:rPr>
        <w:t xml:space="preserve"> (Phnom Penh; 1964-....)).</w:t>
      </w:r>
    </w:p>
    <w:p w14:paraId="4C6FC7DC"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Nahor, K.B., 2019. Resilient microgrids with high dynamic stability in the presence of massive integration of variable renewables (Doctoral dissertation, Université Grenoble Alpes).</w:t>
      </w:r>
    </w:p>
    <w:p w14:paraId="77532048"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Oliveira, D.Q., Saavedra, O.R., Santos-Pereira, K., Pereira, J.D., Cosme, D.S., Veras, L.S., Bento, R.G. and Riboldi, V.B., 2021. A critical review of energy storage technologies for microgrids. Energy Systems, pp.1-30.</w:t>
      </w:r>
    </w:p>
    <w:p w14:paraId="4B0A506F"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Oliveira, D.Q., Saavedra, O.R., Santos-Pereira, K., Pereira, J.D., Cosme, D.S., Veras, L.S., Bento, R.G. and Riboldi, V.B., 2021. A critical review of energy storage technologies for microgrids. Energy Systems, pp.1-30.</w:t>
      </w:r>
    </w:p>
    <w:p w14:paraId="65BC89EA"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Prus, P. and Sikora, M., 2021. The impact of transport infrastructure on the sustainable development of the region—Case study. Agriculture, 11(4), p.279.</w:t>
      </w:r>
    </w:p>
    <w:p w14:paraId="0D03BCD0" w14:textId="77777777" w:rsidR="000A4188" w:rsidRDefault="00000000">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Ribó</w:t>
      </w:r>
      <w:proofErr w:type="spellEnd"/>
      <w:r>
        <w:rPr>
          <w:rFonts w:ascii="Times New Roman" w:eastAsia="Times New Roman" w:hAnsi="Times New Roman" w:cs="Times New Roman"/>
          <w:sz w:val="24"/>
          <w:szCs w:val="24"/>
        </w:rPr>
        <w:t xml:space="preserve">-Pérez, D., Bastida-Molina, P., Gómez-Navarro, T. and Hurtado-Pérez, E., 2020. Hybrid assessment for a hybrid microgrid: A novel methodology to critically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generation technologies for hybrid microgrids. Renewable Energy, 157, pp.874-887.</w:t>
      </w:r>
    </w:p>
    <w:p w14:paraId="636F3321"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Savio Abraham, D., Verma, R., Kanagaraj, L., Giri Thulasi Raman, S.R., Rajamanickam, N., Chokkalingam, B., Marimuthu Sekar, K. and Mihet-Popa, L., 2021. Electric vehicles charging stations’ architectures, criteria, power converters, and control strategies in microgrids. Electronics, 10(16), p.1895.</w:t>
      </w:r>
    </w:p>
    <w:p w14:paraId="3C096257" w14:textId="77777777" w:rsidR="000A4188"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Tornel, C., 2023. Decolonizing energy justice from the ground up: Political ecology, ontology, and energy landscapes. Progress in Human Geography, 47(1), pp.43-65.</w:t>
      </w:r>
    </w:p>
    <w:p w14:paraId="4F0E65EB" w14:textId="77777777" w:rsidR="000A4188" w:rsidRDefault="000A4188">
      <w:pPr>
        <w:widowControl w:val="0"/>
        <w:rPr>
          <w:rFonts w:ascii="Times New Roman" w:eastAsia="Times New Roman" w:hAnsi="Times New Roman" w:cs="Times New Roman"/>
          <w:sz w:val="24"/>
          <w:szCs w:val="24"/>
        </w:rPr>
      </w:pPr>
    </w:p>
    <w:p w14:paraId="7668B8B1" w14:textId="77777777" w:rsidR="000A4188" w:rsidRDefault="000A4188"/>
    <w:p w14:paraId="2A8253B7" w14:textId="77777777" w:rsidR="000A4188" w:rsidRDefault="000A4188"/>
    <w:p w14:paraId="64D25F3B" w14:textId="77777777" w:rsidR="000A4188" w:rsidRDefault="000A4188">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p>
    <w:sectPr w:rsidR="000A4188">
      <w:footerReference w:type="default" r:id="rId14"/>
      <w:headerReference w:type="first" r:id="rId15"/>
      <w:footerReference w:type="firs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B12CA" w14:textId="77777777" w:rsidR="00ED0C8E" w:rsidRDefault="00ED0C8E">
      <w:pPr>
        <w:spacing w:line="240" w:lineRule="auto"/>
      </w:pPr>
      <w:r>
        <w:separator/>
      </w:r>
    </w:p>
  </w:endnote>
  <w:endnote w:type="continuationSeparator" w:id="0">
    <w:p w14:paraId="59EA95ED" w14:textId="77777777" w:rsidR="00ED0C8E" w:rsidRDefault="00ED0C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C12DB" w14:textId="77777777" w:rsidR="000A4188"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D728E6">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5B5EF" w14:textId="77777777" w:rsidR="000A4188"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D728E6">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3AF85" w14:textId="77777777" w:rsidR="00ED0C8E" w:rsidRDefault="00ED0C8E">
      <w:pPr>
        <w:spacing w:line="240" w:lineRule="auto"/>
      </w:pPr>
      <w:r>
        <w:separator/>
      </w:r>
    </w:p>
  </w:footnote>
  <w:footnote w:type="continuationSeparator" w:id="0">
    <w:p w14:paraId="27BD5560" w14:textId="77777777" w:rsidR="00ED0C8E" w:rsidRDefault="00ED0C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A3360" w14:textId="77777777" w:rsidR="000A4188" w:rsidRDefault="000A418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B218F"/>
    <w:multiLevelType w:val="multilevel"/>
    <w:tmpl w:val="63228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F8300E"/>
    <w:multiLevelType w:val="multilevel"/>
    <w:tmpl w:val="92BE1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5511986">
    <w:abstractNumId w:val="0"/>
  </w:num>
  <w:num w:numId="2" w16cid:durableId="7708596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188"/>
    <w:rsid w:val="000A4188"/>
    <w:rsid w:val="00543F50"/>
    <w:rsid w:val="00D728E6"/>
    <w:rsid w:val="00ED0C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6A026"/>
  <w15:docId w15:val="{056B0B2E-D1A4-4C06-BE86-7E3DA79E7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2">
    <w:basedOn w:val="TableNormal"/>
    <w:tblPr>
      <w:tblStyleRowBandSize w:val="1"/>
      <w:tblStyleColBandSize w:val="1"/>
      <w:tblCellMar>
        <w:left w:w="115" w:type="dxa"/>
        <w:right w:w="115" w:type="dxa"/>
      </w:tblCellMar>
    </w:tblPr>
    <w:tcPr>
      <w:shd w:val="clear" w:color="auto" w:fill="F7F7F8"/>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4">
    <w:basedOn w:val="TableNormal"/>
    <w:tblPr>
      <w:tblStyleRowBandSize w:val="1"/>
      <w:tblStyleColBandSize w:val="1"/>
      <w:tblCellMar>
        <w:left w:w="115" w:type="dxa"/>
        <w:right w:w="115" w:type="dxa"/>
      </w:tblCellMar>
    </w:tblPr>
    <w:tcPr>
      <w:shd w:val="clear" w:color="auto" w:fill="F7F7F8"/>
    </w:tcPr>
  </w:style>
  <w:style w:type="table" w:customStyle="1" w:styleId="a5">
    <w:basedOn w:val="TableNormal"/>
    <w:tblPr>
      <w:tblStyleRowBandSize w:val="1"/>
      <w:tblStyleColBandSize w:val="1"/>
      <w:tblCellMar>
        <w:left w:w="115" w:type="dxa"/>
        <w:right w:w="115" w:type="dxa"/>
      </w:tblCellMar>
    </w:tblPr>
    <w:tcPr>
      <w:shd w:val="clear" w:color="auto" w:fill="F7F7F8"/>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01.sgp1.cdn.digitaloceanspaces.com/inline/sadgcpyecd-1643541204.p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sustainability/sustainability-14-04217/article_deploy/html/images/sustainability-14-04217-g001.p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dpi.com/processes/processes-09-00630/article_deploy/html/images/processes-09-00630-g001.p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ll0axNThuW+3u5pE04yDSvYmg==">CgMxLjAyCGguZ2pkZ3hzMgloLjMwajB6bGwyCWguMWZvYjl0ZTIJaC4zem55c2g3MgloLjJldDkycDAyCGgudHlqY3d0MgloLjNkeTZ2a20yCWguMXQzaDVzZjIJaC40ZDM0b2c4MgloLjJzOGV5bzEyCWguMTdkcDh2dTgAciExaWEwOUlxUlFPMGtpVF9wQngtaDg3U0JpTGZ3NXBjYlk=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3188</Words>
  <Characters>19514</Characters>
  <Application>Microsoft Office Word</Application>
  <DocSecurity>0</DocSecurity>
  <Lines>361</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Azariah</dc:creator>
  <cp:lastModifiedBy>Azariah Antony</cp:lastModifiedBy>
  <cp:revision>2</cp:revision>
  <dcterms:created xsi:type="dcterms:W3CDTF">2023-11-06T11:58:00Z</dcterms:created>
  <dcterms:modified xsi:type="dcterms:W3CDTF">2023-11-06T11:58:00Z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0c3369f254268a4f6e34368f061562a22f813f2745541f459f70326c87bfb77f</vt:lpwstr>
  </property>
</Properties>
</file>