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center"/>
        <w:rPr>
          <w:b/>
          <w:sz w:val="32"/>
          <w:szCs w:val="32"/>
          <w:lang w:val="en-GB"/>
        </w:rPr>
      </w:pPr>
    </w:p>
    <w:p>
      <w:pPr>
        <w:pStyle w:val="3"/>
        <w:spacing w:line="360" w:lineRule="auto"/>
        <w:jc w:val="center"/>
        <w:rPr>
          <w:b/>
          <w:sz w:val="32"/>
          <w:szCs w:val="32"/>
          <w:lang w:val="en-GB"/>
        </w:rPr>
      </w:pPr>
      <w:r>
        <w:rPr>
          <w:b/>
          <w:sz w:val="32"/>
          <w:szCs w:val="32"/>
          <w:lang w:val="en-GB"/>
        </w:rPr>
        <w:t>Personnel Resourcing and Development</w:t>
      </w:r>
    </w:p>
    <w:p>
      <w:pPr>
        <w:pStyle w:val="3"/>
        <w:spacing w:line="360" w:lineRule="auto"/>
        <w:jc w:val="center"/>
        <w:rPr>
          <w:b/>
          <w:sz w:val="32"/>
          <w:szCs w:val="32"/>
          <w:lang w:val="en-GB"/>
        </w:rPr>
      </w:pPr>
      <w:r>
        <w:rPr>
          <w:b/>
          <w:sz w:val="32"/>
          <w:szCs w:val="32"/>
          <w:lang w:val="en-GB"/>
        </w:rPr>
        <w:t>Assessment 2</w:t>
      </w:r>
    </w:p>
    <w:p>
      <w:pPr>
        <w:pStyle w:val="17"/>
        <w:spacing w:before="0" w:beforeAutospacing="0" w:after="0" w:afterAutospacing="0" w:line="360" w:lineRule="auto"/>
        <w:jc w:val="center"/>
        <w:rPr>
          <w:rFonts w:hint="default" w:ascii="Arial" w:hAnsi="Arial" w:cs="Arial"/>
          <w:lang w:val="en-GB"/>
        </w:rPr>
      </w:pPr>
      <w:bookmarkStart w:id="18" w:name="_GoBack"/>
      <w:bookmarkEnd w:id="18"/>
      <w:r>
        <w:rPr>
          <w:rFonts w:ascii="Arial" w:hAnsi="Arial" w:cs="Arial"/>
          <w:b/>
          <w:bCs/>
          <w:i/>
          <w:iCs/>
          <w:color w:val="000000"/>
        </w:rPr>
        <w:t>Student’s Name:</w:t>
      </w:r>
      <w:r>
        <w:rPr>
          <w:rFonts w:hint="default" w:ascii="Arial" w:hAnsi="Arial" w:cs="Arial"/>
          <w:b/>
          <w:bCs/>
          <w:i/>
          <w:iCs/>
          <w:color w:val="000000"/>
          <w:lang w:val="en-GB"/>
        </w:rPr>
        <w:t xml:space="preserve"> Bianca Negreanu </w:t>
      </w:r>
    </w:p>
    <w:p>
      <w:pPr>
        <w:pStyle w:val="17"/>
        <w:spacing w:before="0" w:beforeAutospacing="0" w:after="0" w:afterAutospacing="0" w:line="360" w:lineRule="auto"/>
        <w:jc w:val="center"/>
        <w:rPr>
          <w:rFonts w:ascii="Arial" w:hAnsi="Arial" w:cs="Arial"/>
        </w:rPr>
      </w:pPr>
      <w:r>
        <w:rPr>
          <w:rFonts w:ascii="Arial" w:hAnsi="Arial" w:cs="Arial"/>
          <w:b/>
          <w:bCs/>
          <w:i/>
          <w:iCs/>
          <w:color w:val="000000"/>
        </w:rPr>
        <w:t>Student ID: </w:t>
      </w:r>
      <w:r>
        <w:rPr>
          <w:rFonts w:hint="default" w:ascii="Arial" w:hAnsi="Arial"/>
          <w:b/>
          <w:bCs/>
          <w:i/>
          <w:iCs/>
          <w:color w:val="000000"/>
        </w:rPr>
        <w:t>2244613</w:t>
      </w:r>
    </w:p>
    <w:p>
      <w:pPr>
        <w:pStyle w:val="17"/>
        <w:spacing w:before="0" w:beforeAutospacing="0" w:after="0" w:afterAutospacing="0" w:line="360" w:lineRule="auto"/>
        <w:jc w:val="center"/>
        <w:rPr>
          <w:rFonts w:hint="default" w:ascii="Arial" w:hAnsi="Arial"/>
          <w:b/>
          <w:bCs/>
          <w:i/>
          <w:iCs/>
          <w:color w:val="000000"/>
        </w:rPr>
      </w:pPr>
      <w:r>
        <w:rPr>
          <w:rFonts w:ascii="Arial" w:hAnsi="Arial" w:cs="Arial"/>
          <w:b/>
          <w:bCs/>
          <w:i/>
          <w:iCs/>
          <w:color w:val="000000"/>
        </w:rPr>
        <w:t>Course Name:</w:t>
      </w:r>
      <w:r>
        <w:rPr>
          <w:rFonts w:hint="default" w:ascii="Arial" w:hAnsi="Arial"/>
          <w:b/>
          <w:bCs/>
          <w:i/>
          <w:iCs/>
          <w:color w:val="000000"/>
        </w:rPr>
        <w:t>BMIH5005</w:t>
      </w:r>
    </w:p>
    <w:p>
      <w:pPr>
        <w:pStyle w:val="17"/>
        <w:spacing w:before="0" w:beforeAutospacing="0" w:after="0" w:afterAutospacing="0" w:line="360" w:lineRule="auto"/>
        <w:jc w:val="center"/>
        <w:rPr>
          <w:rFonts w:ascii="Arial" w:hAnsi="Arial" w:cs="Arial"/>
          <w:b/>
          <w:bCs/>
          <w:i/>
          <w:iCs/>
          <w:color w:val="000000"/>
        </w:rPr>
      </w:pPr>
      <w:r>
        <w:rPr>
          <w:rFonts w:hint="default" w:ascii="Arial" w:hAnsi="Arial"/>
          <w:b/>
          <w:bCs/>
          <w:i/>
          <w:iCs/>
          <w:color w:val="000000"/>
        </w:rPr>
        <w:t>Personnel Resourcing and Development</w:t>
      </w:r>
    </w:p>
    <w:p>
      <w:pPr>
        <w:pStyle w:val="17"/>
        <w:spacing w:before="0" w:beforeAutospacing="0" w:after="0" w:afterAutospacing="0" w:line="360" w:lineRule="auto"/>
        <w:jc w:val="center"/>
        <w:rPr>
          <w:rFonts w:hint="default" w:ascii="Arial" w:hAnsi="Arial" w:cs="Arial"/>
          <w:b/>
          <w:bCs/>
          <w:i/>
          <w:iCs/>
          <w:color w:val="000000"/>
          <w:lang w:val="en-GB"/>
        </w:rPr>
      </w:pPr>
      <w:r>
        <w:rPr>
          <w:rFonts w:hint="default" w:ascii="Arial" w:hAnsi="Arial" w:cs="Arial"/>
          <w:b/>
          <w:bCs/>
          <w:i/>
          <w:iCs/>
          <w:color w:val="000000"/>
          <w:lang w:val="en-GB"/>
        </w:rPr>
        <w:t>Module leader :</w:t>
      </w:r>
      <w:r>
        <w:rPr>
          <w:rFonts w:hint="default" w:ascii="Arial" w:hAnsi="Arial"/>
          <w:b/>
          <w:bCs/>
          <w:i/>
          <w:iCs/>
          <w:color w:val="000000"/>
          <w:lang w:val="en-GB"/>
        </w:rPr>
        <w:t>Scott James</w:t>
      </w:r>
    </w:p>
    <w:p>
      <w:pPr>
        <w:pStyle w:val="3"/>
        <w:spacing w:line="360" w:lineRule="auto"/>
        <w:jc w:val="center"/>
        <w:rPr>
          <w:b/>
          <w:sz w:val="24"/>
          <w:szCs w:val="24"/>
          <w:lang w:val="en-GB"/>
        </w:rPr>
      </w:pPr>
      <w:r>
        <w:rPr>
          <w:lang w:val="en-GB"/>
        </w:rPr>
        <w:br w:type="page"/>
      </w:r>
    </w:p>
    <w:sdt>
      <w:sdtPr>
        <w:rPr>
          <w:rFonts w:ascii="Arial" w:hAnsi="Arial" w:eastAsia="Arial" w:cs="Arial"/>
          <w:b w:val="0"/>
          <w:bCs w:val="0"/>
          <w:color w:val="auto"/>
          <w:sz w:val="22"/>
          <w:szCs w:val="22"/>
          <w:lang w:eastAsia="zh-CN"/>
        </w:rPr>
        <w:id w:val="28255604"/>
        <w:docPartObj>
          <w:docPartGallery w:val="Table of Contents"/>
          <w:docPartUnique/>
        </w:docPartObj>
      </w:sdtPr>
      <w:sdtEndPr>
        <w:rPr>
          <w:rFonts w:ascii="Arial" w:hAnsi="Arial" w:eastAsia="Arial" w:cs="Arial"/>
          <w:b w:val="0"/>
          <w:bCs w:val="0"/>
          <w:color w:val="auto"/>
          <w:sz w:val="22"/>
          <w:szCs w:val="22"/>
          <w:lang w:eastAsia="zh-CN"/>
        </w:rPr>
      </w:sdtEndPr>
      <w:sdtContent>
        <w:p>
          <w:pPr>
            <w:pStyle w:val="27"/>
            <w:spacing w:line="360" w:lineRule="auto"/>
            <w:jc w:val="center"/>
            <w:rPr>
              <w:rFonts w:ascii="Arial" w:hAnsi="Arial" w:cs="Arial"/>
              <w:color w:val="auto"/>
              <w:sz w:val="24"/>
              <w:szCs w:val="24"/>
              <w:u w:val="single"/>
            </w:rPr>
          </w:pPr>
          <w:r>
            <w:rPr>
              <w:rFonts w:ascii="Arial" w:hAnsi="Arial" w:cs="Arial"/>
              <w:color w:val="auto"/>
              <w:sz w:val="24"/>
              <w:szCs w:val="24"/>
              <w:u w:val="single"/>
            </w:rPr>
            <w:t>Table of Contents</w:t>
          </w:r>
        </w:p>
        <w:p>
          <w:pPr>
            <w:pStyle w:val="21"/>
            <w:tabs>
              <w:tab w:val="right" w:leader="dot" w:pos="9019"/>
            </w:tabs>
            <w:spacing w:line="360" w:lineRule="auto"/>
            <w:jc w:val="center"/>
            <w:rPr>
              <w:sz w:val="24"/>
              <w:szCs w:val="24"/>
            </w:rPr>
          </w:pPr>
          <w:r>
            <w:rPr>
              <w:sz w:val="24"/>
              <w:szCs w:val="24"/>
            </w:rPr>
            <w:fldChar w:fldCharType="begin"/>
          </w:r>
          <w:r>
            <w:rPr>
              <w:sz w:val="24"/>
              <w:szCs w:val="24"/>
            </w:rPr>
            <w:instrText xml:space="preserve"> TOC \o "1-3" \h \z \u </w:instrText>
          </w:r>
          <w:r>
            <w:rPr>
              <w:sz w:val="24"/>
              <w:szCs w:val="24"/>
            </w:rPr>
            <w:fldChar w:fldCharType="separate"/>
          </w:r>
          <w:r>
            <w:fldChar w:fldCharType="begin"/>
          </w:r>
          <w:r>
            <w:instrText xml:space="preserve"> HYPERLINK \l "_Toc165308844" </w:instrText>
          </w:r>
          <w:r>
            <w:fldChar w:fldCharType="separate"/>
          </w:r>
          <w:r>
            <w:rPr>
              <w:rStyle w:val="16"/>
              <w:sz w:val="24"/>
              <w:szCs w:val="24"/>
              <w:lang w:val="en-GB"/>
            </w:rPr>
            <w:t>Introduction and Background</w:t>
          </w:r>
          <w:r>
            <w:rPr>
              <w:sz w:val="24"/>
              <w:szCs w:val="24"/>
            </w:rPr>
            <w:tab/>
          </w:r>
          <w:r>
            <w:rPr>
              <w:sz w:val="24"/>
              <w:szCs w:val="24"/>
            </w:rPr>
            <w:fldChar w:fldCharType="begin"/>
          </w:r>
          <w:r>
            <w:rPr>
              <w:sz w:val="24"/>
              <w:szCs w:val="24"/>
            </w:rPr>
            <w:instrText xml:space="preserve"> PAGEREF _Toc165308844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"_Toc165308845" </w:instrText>
          </w:r>
          <w:r>
            <w:fldChar w:fldCharType="separate"/>
          </w:r>
          <w:r>
            <w:rPr>
              <w:rStyle w:val="16"/>
              <w:sz w:val="24"/>
              <w:szCs w:val="24"/>
              <w:lang w:val="en-GB"/>
            </w:rPr>
            <w:t>Description of Proposal</w:t>
          </w:r>
          <w:r>
            <w:rPr>
              <w:sz w:val="24"/>
              <w:szCs w:val="24"/>
            </w:rPr>
            <w:tab/>
          </w:r>
          <w:r>
            <w:rPr>
              <w:sz w:val="24"/>
              <w:szCs w:val="24"/>
            </w:rPr>
            <w:fldChar w:fldCharType="begin"/>
          </w:r>
          <w:r>
            <w:rPr>
              <w:sz w:val="24"/>
              <w:szCs w:val="24"/>
            </w:rPr>
            <w:instrText xml:space="preserve"> PAGEREF _Toc165308845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"_Toc165308846" </w:instrText>
          </w:r>
          <w:r>
            <w:fldChar w:fldCharType="separate"/>
          </w:r>
          <w:r>
            <w:rPr>
              <w:rStyle w:val="16"/>
              <w:sz w:val="24"/>
              <w:szCs w:val="24"/>
              <w:lang w:val="en-GB"/>
            </w:rPr>
            <w:t>Feasibility for different work modes inclusions</w:t>
          </w:r>
          <w:r>
            <w:rPr>
              <w:sz w:val="24"/>
              <w:szCs w:val="24"/>
            </w:rPr>
            <w:tab/>
          </w:r>
          <w:r>
            <w:rPr>
              <w:sz w:val="24"/>
              <w:szCs w:val="24"/>
            </w:rPr>
            <w:fldChar w:fldCharType="begin"/>
          </w:r>
          <w:r>
            <w:rPr>
              <w:sz w:val="24"/>
              <w:szCs w:val="24"/>
            </w:rPr>
            <w:instrText xml:space="preserve"> PAGEREF _Toc165308846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"_Toc165308847" </w:instrText>
          </w:r>
          <w:r>
            <w:fldChar w:fldCharType="separate"/>
          </w:r>
          <w:r>
            <w:rPr>
              <w:rStyle w:val="16"/>
              <w:sz w:val="24"/>
              <w:szCs w:val="24"/>
              <w:lang w:val="en-GB"/>
            </w:rPr>
            <w:t>Issues of employee performance management</w:t>
          </w:r>
          <w:r>
            <w:rPr>
              <w:sz w:val="24"/>
              <w:szCs w:val="24"/>
            </w:rPr>
            <w:tab/>
          </w:r>
          <w:r>
            <w:rPr>
              <w:sz w:val="24"/>
              <w:szCs w:val="24"/>
            </w:rPr>
            <w:fldChar w:fldCharType="begin"/>
          </w:r>
          <w:r>
            <w:rPr>
              <w:sz w:val="24"/>
              <w:szCs w:val="24"/>
            </w:rPr>
            <w:instrText xml:space="preserve"> PAGEREF _Toc165308847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"_Toc165308848" </w:instrText>
          </w:r>
          <w:r>
            <w:fldChar w:fldCharType="separate"/>
          </w:r>
          <w:r>
            <w:rPr>
              <w:rStyle w:val="16"/>
              <w:sz w:val="24"/>
              <w:szCs w:val="24"/>
              <w:lang w:val="en-GB"/>
            </w:rPr>
            <w:t>Background of the hotel</w:t>
          </w:r>
          <w:r>
            <w:rPr>
              <w:sz w:val="24"/>
              <w:szCs w:val="24"/>
            </w:rPr>
            <w:tab/>
          </w:r>
          <w:r>
            <w:rPr>
              <w:sz w:val="24"/>
              <w:szCs w:val="24"/>
            </w:rPr>
            <w:fldChar w:fldCharType="begin"/>
          </w:r>
          <w:r>
            <w:rPr>
              <w:sz w:val="24"/>
              <w:szCs w:val="24"/>
            </w:rPr>
            <w:instrText xml:space="preserve"> PAGEREF _Toc165308848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"_Toc165308849" </w:instrText>
          </w:r>
          <w:r>
            <w:fldChar w:fldCharType="separate"/>
          </w:r>
          <w:r>
            <w:rPr>
              <w:rStyle w:val="16"/>
              <w:sz w:val="24"/>
              <w:szCs w:val="24"/>
              <w:lang w:val="en-GB"/>
            </w:rPr>
            <w:t>Identification of current issues</w:t>
          </w:r>
          <w:r>
            <w:rPr>
              <w:sz w:val="24"/>
              <w:szCs w:val="24"/>
            </w:rPr>
            <w:tab/>
          </w:r>
          <w:r>
            <w:rPr>
              <w:sz w:val="24"/>
              <w:szCs w:val="24"/>
            </w:rPr>
            <w:fldChar w:fldCharType="begin"/>
          </w:r>
          <w:r>
            <w:rPr>
              <w:sz w:val="24"/>
              <w:szCs w:val="24"/>
            </w:rPr>
            <w:instrText xml:space="preserve"> PAGEREF _Toc165308849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"_Toc165308850" </w:instrText>
          </w:r>
          <w:r>
            <w:fldChar w:fldCharType="separate"/>
          </w:r>
          <w:r>
            <w:rPr>
              <w:rStyle w:val="16"/>
              <w:sz w:val="24"/>
              <w:szCs w:val="24"/>
              <w:lang w:val="en-GB"/>
            </w:rPr>
            <w:t>Monitoring and management compliances</w:t>
          </w:r>
          <w:r>
            <w:rPr>
              <w:sz w:val="24"/>
              <w:szCs w:val="24"/>
            </w:rPr>
            <w:tab/>
          </w:r>
          <w:r>
            <w:rPr>
              <w:sz w:val="24"/>
              <w:szCs w:val="24"/>
            </w:rPr>
            <w:fldChar w:fldCharType="begin"/>
          </w:r>
          <w:r>
            <w:rPr>
              <w:sz w:val="24"/>
              <w:szCs w:val="24"/>
            </w:rPr>
            <w:instrText xml:space="preserve"> PAGEREF _Toc165308850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21"/>
            <w:tabs>
              <w:tab w:val="right" w:leader="dot" w:pos="9019"/>
            </w:tabs>
            <w:spacing w:line="360" w:lineRule="auto"/>
            <w:jc w:val="center"/>
            <w:rPr>
              <w:sz w:val="24"/>
              <w:szCs w:val="24"/>
            </w:rPr>
          </w:pPr>
          <w:r>
            <w:fldChar w:fldCharType="begin"/>
          </w:r>
          <w:r>
            <w:instrText xml:space="preserve"> HYPERLINK \l "_Toc165308851" </w:instrText>
          </w:r>
          <w:r>
            <w:fldChar w:fldCharType="separate"/>
          </w:r>
          <w:r>
            <w:rPr>
              <w:rStyle w:val="16"/>
              <w:sz w:val="24"/>
              <w:szCs w:val="24"/>
              <w:lang w:val="en-GB"/>
            </w:rPr>
            <w:t>Discussion/ Literature</w:t>
          </w:r>
          <w:r>
            <w:rPr>
              <w:sz w:val="24"/>
              <w:szCs w:val="24"/>
            </w:rPr>
            <w:tab/>
          </w:r>
          <w:r>
            <w:rPr>
              <w:sz w:val="24"/>
              <w:szCs w:val="24"/>
            </w:rPr>
            <w:fldChar w:fldCharType="begin"/>
          </w:r>
          <w:r>
            <w:rPr>
              <w:sz w:val="24"/>
              <w:szCs w:val="24"/>
            </w:rPr>
            <w:instrText xml:space="preserve"> PAGEREF _Toc165308851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"_Toc165308852" </w:instrText>
          </w:r>
          <w:r>
            <w:fldChar w:fldCharType="separate"/>
          </w:r>
          <w:r>
            <w:rPr>
              <w:rStyle w:val="16"/>
              <w:sz w:val="24"/>
              <w:szCs w:val="24"/>
              <w:lang w:val="en-GB"/>
            </w:rPr>
            <w:t>Socio-economic factors (PESTLE) Analysis</w:t>
          </w:r>
          <w:r>
            <w:rPr>
              <w:sz w:val="24"/>
              <w:szCs w:val="24"/>
            </w:rPr>
            <w:tab/>
          </w:r>
          <w:r>
            <w:rPr>
              <w:sz w:val="24"/>
              <w:szCs w:val="24"/>
            </w:rPr>
            <w:fldChar w:fldCharType="begin"/>
          </w:r>
          <w:r>
            <w:rPr>
              <w:sz w:val="24"/>
              <w:szCs w:val="24"/>
            </w:rPr>
            <w:instrText xml:space="preserve"> PAGEREF _Toc165308852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"_Toc165308853" </w:instrText>
          </w:r>
          <w:r>
            <w:fldChar w:fldCharType="separate"/>
          </w:r>
          <w:r>
            <w:rPr>
              <w:rStyle w:val="16"/>
              <w:sz w:val="24"/>
              <w:szCs w:val="24"/>
              <w:lang w:val="en-GB"/>
            </w:rPr>
            <w:t>Industry trends (SWOT)</w:t>
          </w:r>
          <w:r>
            <w:rPr>
              <w:sz w:val="24"/>
              <w:szCs w:val="24"/>
            </w:rPr>
            <w:tab/>
          </w:r>
          <w:r>
            <w:rPr>
              <w:sz w:val="24"/>
              <w:szCs w:val="24"/>
            </w:rPr>
            <w:fldChar w:fldCharType="begin"/>
          </w:r>
          <w:r>
            <w:rPr>
              <w:sz w:val="24"/>
              <w:szCs w:val="24"/>
            </w:rPr>
            <w:instrText xml:space="preserve"> PAGEREF _Toc165308853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"_Toc165308854" </w:instrText>
          </w:r>
          <w:r>
            <w:fldChar w:fldCharType="separate"/>
          </w:r>
          <w:r>
            <w:rPr>
              <w:rStyle w:val="16"/>
              <w:sz w:val="24"/>
              <w:szCs w:val="24"/>
              <w:lang w:val="en-GB"/>
            </w:rPr>
            <w:t>The emergence of work models</w:t>
          </w:r>
          <w:r>
            <w:rPr>
              <w:sz w:val="24"/>
              <w:szCs w:val="24"/>
            </w:rPr>
            <w:tab/>
          </w:r>
          <w:r>
            <w:rPr>
              <w:sz w:val="24"/>
              <w:szCs w:val="24"/>
            </w:rPr>
            <w:fldChar w:fldCharType="begin"/>
          </w:r>
          <w:r>
            <w:rPr>
              <w:sz w:val="24"/>
              <w:szCs w:val="24"/>
            </w:rPr>
            <w:instrText xml:space="preserve"> PAGEREF _Toc165308854 \h </w:instrText>
          </w:r>
          <w:r>
            <w:rPr>
              <w:sz w:val="24"/>
              <w:szCs w:val="24"/>
            </w:rPr>
            <w:fldChar w:fldCharType="separate"/>
          </w:r>
          <w:r>
            <w:rPr>
              <w:sz w:val="24"/>
              <w:szCs w:val="24"/>
            </w:rPr>
            <w:t>7</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"_Toc165308855" </w:instrText>
          </w:r>
          <w:r>
            <w:fldChar w:fldCharType="separate"/>
          </w:r>
          <w:r>
            <w:rPr>
              <w:rStyle w:val="16"/>
              <w:sz w:val="24"/>
              <w:szCs w:val="24"/>
              <w:lang w:val="en-GB"/>
            </w:rPr>
            <w:t>Potential solutions</w:t>
          </w:r>
          <w:r>
            <w:rPr>
              <w:sz w:val="24"/>
              <w:szCs w:val="24"/>
            </w:rPr>
            <w:tab/>
          </w:r>
          <w:r>
            <w:rPr>
              <w:sz w:val="24"/>
              <w:szCs w:val="24"/>
            </w:rPr>
            <w:fldChar w:fldCharType="begin"/>
          </w:r>
          <w:r>
            <w:rPr>
              <w:sz w:val="24"/>
              <w:szCs w:val="24"/>
            </w:rPr>
            <w:instrText xml:space="preserve"> PAGEREF _Toc165308855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21"/>
            <w:tabs>
              <w:tab w:val="right" w:leader="dot" w:pos="9019"/>
            </w:tabs>
            <w:spacing w:line="360" w:lineRule="auto"/>
            <w:jc w:val="center"/>
            <w:rPr>
              <w:sz w:val="24"/>
              <w:szCs w:val="24"/>
            </w:rPr>
          </w:pPr>
          <w:r>
            <w:fldChar w:fldCharType="begin"/>
          </w:r>
          <w:r>
            <w:instrText xml:space="preserve"> HYPERLINK \l "_Toc165308856" </w:instrText>
          </w:r>
          <w:r>
            <w:fldChar w:fldCharType="separate"/>
          </w:r>
          <w:r>
            <w:rPr>
              <w:rStyle w:val="16"/>
              <w:sz w:val="24"/>
              <w:szCs w:val="24"/>
              <w:lang w:val="en-GB"/>
            </w:rPr>
            <w:t>Evaluation and Conclusion</w:t>
          </w:r>
          <w:r>
            <w:rPr>
              <w:sz w:val="24"/>
              <w:szCs w:val="24"/>
            </w:rPr>
            <w:tab/>
          </w:r>
          <w:r>
            <w:rPr>
              <w:sz w:val="24"/>
              <w:szCs w:val="24"/>
            </w:rPr>
            <w:fldChar w:fldCharType="begin"/>
          </w:r>
          <w:r>
            <w:rPr>
              <w:sz w:val="24"/>
              <w:szCs w:val="24"/>
            </w:rPr>
            <w:instrText xml:space="preserve"> PAGEREF _Toc165308856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"_Toc165308857" </w:instrText>
          </w:r>
          <w:r>
            <w:fldChar w:fldCharType="separate"/>
          </w:r>
          <w:r>
            <w:rPr>
              <w:rStyle w:val="16"/>
              <w:sz w:val="24"/>
              <w:szCs w:val="24"/>
              <w:lang w:val="en-GB"/>
            </w:rPr>
            <w:t>Main findings</w:t>
          </w:r>
          <w:r>
            <w:rPr>
              <w:sz w:val="24"/>
              <w:szCs w:val="24"/>
            </w:rPr>
            <w:tab/>
          </w:r>
          <w:r>
            <w:rPr>
              <w:sz w:val="24"/>
              <w:szCs w:val="24"/>
            </w:rPr>
            <w:fldChar w:fldCharType="begin"/>
          </w:r>
          <w:r>
            <w:rPr>
              <w:sz w:val="24"/>
              <w:szCs w:val="24"/>
            </w:rPr>
            <w:instrText xml:space="preserve"> PAGEREF _Toc165308857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"_Toc165308858" </w:instrText>
          </w:r>
          <w:r>
            <w:fldChar w:fldCharType="separate"/>
          </w:r>
          <w:r>
            <w:rPr>
              <w:rStyle w:val="16"/>
              <w:sz w:val="24"/>
              <w:szCs w:val="24"/>
              <w:lang w:val="en-GB"/>
            </w:rPr>
            <w:t>Evaluation</w:t>
          </w:r>
          <w:r>
            <w:rPr>
              <w:sz w:val="24"/>
              <w:szCs w:val="24"/>
            </w:rPr>
            <w:tab/>
          </w:r>
          <w:r>
            <w:rPr>
              <w:sz w:val="24"/>
              <w:szCs w:val="24"/>
            </w:rPr>
            <w:fldChar w:fldCharType="begin"/>
          </w:r>
          <w:r>
            <w:rPr>
              <w:sz w:val="24"/>
              <w:szCs w:val="24"/>
            </w:rPr>
            <w:instrText xml:space="preserve"> PAGEREF _Toc165308858 \h </w:instrText>
          </w:r>
          <w:r>
            <w:rPr>
              <w:sz w:val="24"/>
              <w:szCs w:val="24"/>
            </w:rPr>
            <w:fldChar w:fldCharType="separate"/>
          </w:r>
          <w:r>
            <w:rPr>
              <w:sz w:val="24"/>
              <w:szCs w:val="24"/>
            </w:rPr>
            <w:t>10</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"_Toc165308859" </w:instrText>
          </w:r>
          <w:r>
            <w:fldChar w:fldCharType="separate"/>
          </w:r>
          <w:r>
            <w:rPr>
              <w:rStyle w:val="16"/>
              <w:sz w:val="24"/>
              <w:szCs w:val="24"/>
              <w:lang w:val="en-GB"/>
            </w:rPr>
            <w:t>Recommendations</w:t>
          </w:r>
          <w:r>
            <w:rPr>
              <w:sz w:val="24"/>
              <w:szCs w:val="24"/>
            </w:rPr>
            <w:tab/>
          </w:r>
          <w:r>
            <w:rPr>
              <w:sz w:val="24"/>
              <w:szCs w:val="24"/>
            </w:rPr>
            <w:fldChar w:fldCharType="begin"/>
          </w:r>
          <w:r>
            <w:rPr>
              <w:sz w:val="24"/>
              <w:szCs w:val="24"/>
            </w:rPr>
            <w:instrText xml:space="preserve"> PAGEREF _Toc165308859 \h </w:instrText>
          </w:r>
          <w:r>
            <w:rPr>
              <w:sz w:val="24"/>
              <w:szCs w:val="24"/>
            </w:rPr>
            <w:fldChar w:fldCharType="separate"/>
          </w:r>
          <w:r>
            <w:rPr>
              <w:sz w:val="24"/>
              <w:szCs w:val="24"/>
            </w:rPr>
            <w:t>10</w:t>
          </w:r>
          <w:r>
            <w:rPr>
              <w:sz w:val="24"/>
              <w:szCs w:val="24"/>
            </w:rPr>
            <w:fldChar w:fldCharType="end"/>
          </w:r>
          <w:r>
            <w:rPr>
              <w:sz w:val="24"/>
              <w:szCs w:val="24"/>
            </w:rPr>
            <w:fldChar w:fldCharType="end"/>
          </w:r>
        </w:p>
        <w:p>
          <w:pPr>
            <w:pStyle w:val="22"/>
            <w:tabs>
              <w:tab w:val="right" w:leader="dot" w:pos="9019"/>
            </w:tabs>
            <w:spacing w:line="360" w:lineRule="auto"/>
            <w:jc w:val="center"/>
            <w:rPr>
              <w:sz w:val="24"/>
              <w:szCs w:val="24"/>
            </w:rPr>
          </w:pPr>
          <w:r>
            <w:fldChar w:fldCharType="begin"/>
          </w:r>
          <w:r>
            <w:instrText xml:space="preserve"> HYPERLINK \l "_Toc165308860" </w:instrText>
          </w:r>
          <w:r>
            <w:fldChar w:fldCharType="separate"/>
          </w:r>
          <w:r>
            <w:rPr>
              <w:rStyle w:val="16"/>
              <w:sz w:val="24"/>
              <w:szCs w:val="24"/>
              <w:lang w:val="en-GB"/>
            </w:rPr>
            <w:t>Conclusion</w:t>
          </w:r>
          <w:r>
            <w:rPr>
              <w:sz w:val="24"/>
              <w:szCs w:val="24"/>
            </w:rPr>
            <w:tab/>
          </w:r>
          <w:r>
            <w:rPr>
              <w:sz w:val="24"/>
              <w:szCs w:val="24"/>
            </w:rPr>
            <w:fldChar w:fldCharType="begin"/>
          </w:r>
          <w:r>
            <w:rPr>
              <w:sz w:val="24"/>
              <w:szCs w:val="24"/>
            </w:rPr>
            <w:instrText xml:space="preserve"> PAGEREF _Toc165308860 \h </w:instrText>
          </w:r>
          <w:r>
            <w:rPr>
              <w:sz w:val="24"/>
              <w:szCs w:val="24"/>
            </w:rPr>
            <w:fldChar w:fldCharType="separate"/>
          </w:r>
          <w:r>
            <w:rPr>
              <w:sz w:val="24"/>
              <w:szCs w:val="24"/>
            </w:rPr>
            <w:t>11</w:t>
          </w:r>
          <w:r>
            <w:rPr>
              <w:sz w:val="24"/>
              <w:szCs w:val="24"/>
            </w:rPr>
            <w:fldChar w:fldCharType="end"/>
          </w:r>
          <w:r>
            <w:rPr>
              <w:sz w:val="24"/>
              <w:szCs w:val="24"/>
            </w:rPr>
            <w:fldChar w:fldCharType="end"/>
          </w:r>
        </w:p>
        <w:p>
          <w:pPr>
            <w:pStyle w:val="21"/>
            <w:tabs>
              <w:tab w:val="right" w:leader="dot" w:pos="9019"/>
            </w:tabs>
            <w:spacing w:line="360" w:lineRule="auto"/>
            <w:jc w:val="center"/>
            <w:rPr>
              <w:sz w:val="24"/>
              <w:szCs w:val="24"/>
            </w:rPr>
          </w:pPr>
          <w:r>
            <w:fldChar w:fldCharType="begin"/>
          </w:r>
          <w:r>
            <w:instrText xml:space="preserve"> HYPERLINK \l "_Toc165308861" </w:instrText>
          </w:r>
          <w:r>
            <w:fldChar w:fldCharType="separate"/>
          </w:r>
          <w:r>
            <w:rPr>
              <w:rStyle w:val="16"/>
              <w:sz w:val="24"/>
              <w:szCs w:val="24"/>
              <w:lang w:val="en-GB"/>
            </w:rPr>
            <w:t>Reference List</w:t>
          </w:r>
          <w:r>
            <w:rPr>
              <w:sz w:val="24"/>
              <w:szCs w:val="24"/>
            </w:rPr>
            <w:tab/>
          </w:r>
          <w:r>
            <w:rPr>
              <w:sz w:val="24"/>
              <w:szCs w:val="24"/>
            </w:rPr>
            <w:fldChar w:fldCharType="begin"/>
          </w:r>
          <w:r>
            <w:rPr>
              <w:sz w:val="24"/>
              <w:szCs w:val="24"/>
            </w:rPr>
            <w:instrText xml:space="preserve"> PAGEREF _Toc165308861 \h </w:instrText>
          </w:r>
          <w:r>
            <w:rPr>
              <w:sz w:val="24"/>
              <w:szCs w:val="24"/>
            </w:rPr>
            <w:fldChar w:fldCharType="separate"/>
          </w:r>
          <w:r>
            <w:rPr>
              <w:sz w:val="24"/>
              <w:szCs w:val="24"/>
            </w:rPr>
            <w:t>12</w:t>
          </w:r>
          <w:r>
            <w:rPr>
              <w:sz w:val="24"/>
              <w:szCs w:val="24"/>
            </w:rPr>
            <w:fldChar w:fldCharType="end"/>
          </w:r>
          <w:r>
            <w:rPr>
              <w:sz w:val="24"/>
              <w:szCs w:val="24"/>
            </w:rPr>
            <w:fldChar w:fldCharType="end"/>
          </w:r>
        </w:p>
        <w:p>
          <w:pPr>
            <w:spacing w:line="360" w:lineRule="auto"/>
            <w:jc w:val="center"/>
          </w:pPr>
          <w:r>
            <w:rPr>
              <w:sz w:val="24"/>
              <w:szCs w:val="24"/>
            </w:rPr>
            <w:fldChar w:fldCharType="end"/>
          </w:r>
        </w:p>
      </w:sdtContent>
    </w:sdt>
    <w:p>
      <w:pPr>
        <w:spacing w:line="360" w:lineRule="auto"/>
        <w:rPr>
          <w:b/>
          <w:sz w:val="24"/>
          <w:szCs w:val="24"/>
          <w:lang w:val="en-GB"/>
        </w:rPr>
      </w:pPr>
      <w:r>
        <w:rPr>
          <w:b/>
          <w:sz w:val="24"/>
          <w:szCs w:val="24"/>
          <w:lang w:val="en-GB"/>
        </w:rPr>
        <w:br w:type="page"/>
      </w:r>
    </w:p>
    <w:p>
      <w:pPr>
        <w:pStyle w:val="2"/>
        <w:rPr>
          <w:lang w:val="en-GB"/>
        </w:rPr>
      </w:pPr>
      <w:bookmarkStart w:id="0" w:name="_Toc165308844"/>
      <w:r>
        <w:rPr>
          <w:lang w:val="en-GB"/>
        </w:rPr>
        <w:t>Introduction and Background</w:t>
      </w:r>
      <w:bookmarkEnd w:id="0"/>
    </w:p>
    <w:p>
      <w:pPr>
        <w:pStyle w:val="4"/>
        <w:rPr>
          <w:lang w:val="en-GB"/>
        </w:rPr>
      </w:pPr>
      <w:bookmarkStart w:id="1" w:name="_Toc165308845"/>
      <w:r>
        <w:rPr>
          <w:lang w:val="en-GB"/>
        </w:rPr>
        <w:t>Description of Proposal</w:t>
      </w:r>
      <w:bookmarkEnd w:id="1"/>
    </w:p>
    <w:p>
      <w:pPr>
        <w:pStyle w:val="3"/>
        <w:spacing w:line="360" w:lineRule="auto"/>
        <w:jc w:val="both"/>
        <w:rPr>
          <w:sz w:val="24"/>
          <w:szCs w:val="24"/>
          <w:lang w:val="en-GB"/>
        </w:rPr>
      </w:pPr>
      <w:r>
        <w:rPr>
          <w:sz w:val="24"/>
          <w:szCs w:val="24"/>
          <w:lang w:val="en-GB"/>
        </w:rPr>
        <w:t xml:space="preserve">In different aspects of social concerns and considerations, socio-economic influences play a determinant role in business planning and operational insulations. This proposal has formulated from the point of view of the General Manager of Hilton, a UK-based international hotel chain for managing different issues. The General Manager requested the HR Manager to conduct a proposal. Hence, this proposal has focused on identifying socio-economic implications and issues regarding employee performance management. Industry trend analysis is vital for managers to make strategic decisions regarding operational planning. </w:t>
      </w:r>
    </w:p>
    <w:p>
      <w:pPr>
        <w:pStyle w:val="4"/>
        <w:rPr>
          <w:lang w:val="en-GB"/>
        </w:rPr>
      </w:pPr>
      <w:bookmarkStart w:id="2" w:name="_Toc165308846"/>
      <w:r>
        <w:rPr>
          <w:lang w:val="en-GB"/>
        </w:rPr>
        <w:t>Feasibility for different work modes inclusions</w:t>
      </w:r>
      <w:bookmarkEnd w:id="2"/>
    </w:p>
    <w:p>
      <w:pPr>
        <w:pStyle w:val="3"/>
        <w:spacing w:line="360" w:lineRule="auto"/>
        <w:jc w:val="both"/>
        <w:rPr>
          <w:sz w:val="24"/>
          <w:szCs w:val="24"/>
          <w:lang w:val="en-GB"/>
        </w:rPr>
      </w:pPr>
      <w:r>
        <w:rPr>
          <w:sz w:val="24"/>
          <w:szCs w:val="24"/>
          <w:lang w:val="en-GB"/>
        </w:rPr>
        <w:t xml:space="preserve">After the pandemic situation, this industry has witnessed both </w:t>
      </w:r>
      <w:r>
        <w:rPr>
          <w:i/>
          <w:sz w:val="24"/>
          <w:szCs w:val="24"/>
          <w:lang w:val="en-GB"/>
        </w:rPr>
        <w:t>remote</w:t>
      </w:r>
      <w:r>
        <w:rPr>
          <w:sz w:val="24"/>
          <w:szCs w:val="24"/>
          <w:lang w:val="en-GB"/>
        </w:rPr>
        <w:t xml:space="preserve"> and </w:t>
      </w:r>
      <w:r>
        <w:rPr>
          <w:i/>
          <w:sz w:val="24"/>
          <w:szCs w:val="24"/>
          <w:lang w:val="en-GB"/>
        </w:rPr>
        <w:t>hybrid</w:t>
      </w:r>
      <w:r>
        <w:rPr>
          <w:sz w:val="24"/>
          <w:szCs w:val="24"/>
          <w:lang w:val="en-GB"/>
        </w:rPr>
        <w:t xml:space="preserve"> working cultures for employee satisfaction and planning. This employee satisfaction planning includes flexibility. However, Sarwar </w:t>
      </w:r>
      <w:r>
        <w:rPr>
          <w:i/>
          <w:sz w:val="24"/>
          <w:szCs w:val="24"/>
          <w:lang w:val="en-GB"/>
        </w:rPr>
        <w:t>et al.,</w:t>
      </w:r>
      <w:r>
        <w:rPr>
          <w:sz w:val="24"/>
          <w:szCs w:val="24"/>
          <w:lang w:val="en-GB"/>
        </w:rPr>
        <w:t xml:space="preserve"> (2024, p.340) commented that in the hospitality sector, employees need to be present in the workplace to deliver better service to the customers. Therefore, many hospitality companies are also following the strategy of shift rotation to acquire potential business growth. </w:t>
      </w:r>
    </w:p>
    <w:p>
      <w:pPr>
        <w:pStyle w:val="4"/>
        <w:rPr>
          <w:lang w:val="en-GB"/>
        </w:rPr>
      </w:pPr>
      <w:bookmarkStart w:id="3" w:name="_Toc165308847"/>
      <w:r>
        <w:rPr>
          <w:lang w:val="en-GB"/>
        </w:rPr>
        <w:t>Issues of employee performance management</w:t>
      </w:r>
      <w:bookmarkEnd w:id="3"/>
    </w:p>
    <w:p>
      <w:pPr>
        <w:pStyle w:val="3"/>
        <w:spacing w:line="360" w:lineRule="auto"/>
        <w:jc w:val="both"/>
        <w:rPr>
          <w:sz w:val="24"/>
          <w:szCs w:val="24"/>
          <w:lang w:val="en-GB"/>
        </w:rPr>
      </w:pPr>
      <w:r>
        <w:rPr>
          <w:i/>
          <w:sz w:val="24"/>
          <w:szCs w:val="24"/>
          <w:lang w:val="en-GB"/>
        </w:rPr>
        <w:t xml:space="preserve">Skill gap, low appraisal, </w:t>
      </w:r>
      <w:r>
        <w:rPr>
          <w:sz w:val="24"/>
          <w:szCs w:val="24"/>
          <w:lang w:val="en-GB"/>
        </w:rPr>
        <w:t xml:space="preserve">and </w:t>
      </w:r>
      <w:r>
        <w:rPr>
          <w:i/>
          <w:sz w:val="24"/>
          <w:szCs w:val="24"/>
          <w:lang w:val="en-GB"/>
        </w:rPr>
        <w:t xml:space="preserve">cultural differences </w:t>
      </w:r>
      <w:r>
        <w:rPr>
          <w:sz w:val="24"/>
          <w:szCs w:val="24"/>
          <w:lang w:val="en-GB"/>
        </w:rPr>
        <w:t xml:space="preserve">are the three significant issues in terms of performance management. Papademetriou </w:t>
      </w:r>
      <w:r>
        <w:rPr>
          <w:i/>
          <w:sz w:val="24"/>
          <w:szCs w:val="24"/>
          <w:lang w:val="en-GB"/>
        </w:rPr>
        <w:t>et al.,</w:t>
      </w:r>
      <w:r>
        <w:rPr>
          <w:sz w:val="24"/>
          <w:szCs w:val="24"/>
          <w:lang w:val="en-GB"/>
        </w:rPr>
        <w:t xml:space="preserve"> (2023, p.8251) commented that, in the workplace, management is liable to conduct a successful performance management planning to deliver a potential output for the business analysis and applications for acquiring potential growth for the business development plan. In this regard, this proposal would follow to acquire a plan of action regarding the solving of employee performance management issues. </w:t>
      </w:r>
    </w:p>
    <w:p>
      <w:pPr>
        <w:pStyle w:val="4"/>
        <w:rPr>
          <w:lang w:val="en-GB"/>
        </w:rPr>
      </w:pPr>
      <w:bookmarkStart w:id="4" w:name="_Toc165308848"/>
      <w:r>
        <w:rPr>
          <w:lang w:val="en-GB"/>
        </w:rPr>
        <w:t>Background of the hotel</w:t>
      </w:r>
      <w:bookmarkEnd w:id="4"/>
    </w:p>
    <w:p>
      <w:pPr>
        <w:pStyle w:val="3"/>
        <w:spacing w:line="360" w:lineRule="auto"/>
        <w:jc w:val="both"/>
        <w:rPr>
          <w:sz w:val="24"/>
          <w:szCs w:val="24"/>
          <w:lang w:val="en-GB"/>
        </w:rPr>
      </w:pPr>
      <w:r>
        <w:rPr>
          <w:sz w:val="24"/>
          <w:szCs w:val="24"/>
          <w:lang w:val="en-GB"/>
        </w:rPr>
        <w:t xml:space="preserve">Hilton is a UK-based international hotel company which is present in more than 126 countries and their resource strength is based on 7500 properties (stories-editor.hilton.com, 2023). In terms of providing successful growth into business development planning and operation, this company has currently focused on measuring a potential success plan for business development and strategic performance management. </w:t>
      </w:r>
    </w:p>
    <w:p>
      <w:pPr>
        <w:pStyle w:val="3"/>
        <w:spacing w:line="360" w:lineRule="auto"/>
        <w:jc w:val="center"/>
        <w:rPr>
          <w:sz w:val="24"/>
          <w:szCs w:val="24"/>
          <w:lang w:val="en-GB"/>
        </w:rPr>
      </w:pPr>
      <w:r>
        <w:rPr>
          <w:sz w:val="24"/>
          <w:szCs w:val="24"/>
          <w:lang w:val="en-IN" w:eastAsia="en-IN"/>
        </w:rPr>
        <w:drawing>
          <wp:inline distT="114300" distB="114300" distL="114300" distR="114300">
            <wp:extent cx="2000250" cy="140017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7"/>
                    <a:srcRect/>
                    <a:stretch>
                      <a:fillRect/>
                    </a:stretch>
                  </pic:blipFill>
                  <pic:spPr>
                    <a:xfrm>
                      <a:off x="0" y="0"/>
                      <a:ext cx="2000250" cy="1400175"/>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1: Logo of Hilton Group</w:t>
      </w:r>
    </w:p>
    <w:p>
      <w:pPr>
        <w:pStyle w:val="3"/>
        <w:spacing w:line="360" w:lineRule="auto"/>
        <w:jc w:val="center"/>
        <w:rPr>
          <w:sz w:val="24"/>
          <w:szCs w:val="24"/>
          <w:lang w:val="en-GB"/>
        </w:rPr>
      </w:pPr>
      <w:r>
        <w:rPr>
          <w:sz w:val="24"/>
          <w:szCs w:val="24"/>
          <w:lang w:val="en-GB"/>
        </w:rPr>
        <w:t>(Source: stories-editor.hilton.com, 2023)</w:t>
      </w:r>
    </w:p>
    <w:p>
      <w:pPr>
        <w:pStyle w:val="4"/>
        <w:rPr>
          <w:lang w:val="en-GB"/>
        </w:rPr>
      </w:pPr>
      <w:bookmarkStart w:id="5" w:name="_Toc165308849"/>
      <w:r>
        <w:rPr>
          <w:lang w:val="en-GB"/>
        </w:rPr>
        <w:t>Identification of current issues</w:t>
      </w:r>
      <w:bookmarkEnd w:id="5"/>
    </w:p>
    <w:p>
      <w:pPr>
        <w:pStyle w:val="3"/>
        <w:spacing w:line="360" w:lineRule="auto"/>
        <w:jc w:val="both"/>
        <w:rPr>
          <w:sz w:val="24"/>
          <w:szCs w:val="24"/>
          <w:lang w:val="en-GB"/>
        </w:rPr>
      </w:pPr>
      <w:r>
        <w:rPr>
          <w:i/>
          <w:sz w:val="24"/>
          <w:szCs w:val="24"/>
          <w:lang w:val="en-GB"/>
        </w:rPr>
        <w:t xml:space="preserve">Low retention rate, high turnover rate, pay gap, skill gap, </w:t>
      </w:r>
      <w:r>
        <w:rPr>
          <w:sz w:val="24"/>
          <w:szCs w:val="24"/>
          <w:lang w:val="en-GB"/>
        </w:rPr>
        <w:t xml:space="preserve">and </w:t>
      </w:r>
      <w:r>
        <w:rPr>
          <w:i/>
          <w:sz w:val="24"/>
          <w:szCs w:val="24"/>
          <w:lang w:val="en-GB"/>
        </w:rPr>
        <w:t xml:space="preserve">cultural differences </w:t>
      </w:r>
      <w:r>
        <w:rPr>
          <w:sz w:val="24"/>
          <w:szCs w:val="24"/>
          <w:lang w:val="en-GB"/>
        </w:rPr>
        <w:t xml:space="preserve">are the current issues in the hospitality industry in the UK market as well as other parts of the international market. Therefore, this project would apply different literature sources for comprising all the aspects of workplace management and HRM. Here, the socio-economic factors can play a strategic role in business development and operational planning. </w:t>
      </w:r>
    </w:p>
    <w:p>
      <w:pPr>
        <w:pStyle w:val="4"/>
        <w:rPr>
          <w:lang w:val="en-GB"/>
        </w:rPr>
      </w:pPr>
      <w:bookmarkStart w:id="6" w:name="_Toc165308850"/>
      <w:r>
        <w:rPr>
          <w:lang w:val="en-GB"/>
        </w:rPr>
        <w:t>Monitoring and management compliances</w:t>
      </w:r>
      <w:bookmarkEnd w:id="6"/>
    </w:p>
    <w:p>
      <w:pPr>
        <w:pStyle w:val="3"/>
        <w:spacing w:line="360" w:lineRule="auto"/>
        <w:jc w:val="both"/>
        <w:rPr>
          <w:sz w:val="24"/>
          <w:szCs w:val="24"/>
          <w:lang w:val="en-GB"/>
        </w:rPr>
      </w:pPr>
      <w:r>
        <w:rPr>
          <w:sz w:val="24"/>
          <w:szCs w:val="24"/>
          <w:lang w:val="en-GB"/>
        </w:rPr>
        <w:t xml:space="preserve">Monitoring and management are the two significant aspects of the hospitality industry for managing the potential outcome of the business. In terms of conducting potential monitoring, managers and leaders of any hospitality organisation like Hilton are liable to collect the daily reports from the rest of their employees. In response to the employee management planning, lack of communication and data tracking are the two vital issues, on which the project would focus accordingly. </w:t>
      </w:r>
    </w:p>
    <w:p>
      <w:pPr>
        <w:pStyle w:val="2"/>
        <w:rPr>
          <w:lang w:val="en-GB"/>
        </w:rPr>
      </w:pPr>
      <w:bookmarkStart w:id="7" w:name="_Toc165308851"/>
      <w:r>
        <w:rPr>
          <w:lang w:val="en-GB"/>
        </w:rPr>
        <w:t>Discussion/ Literature</w:t>
      </w:r>
      <w:bookmarkEnd w:id="7"/>
    </w:p>
    <w:p>
      <w:pPr>
        <w:pStyle w:val="4"/>
        <w:rPr>
          <w:lang w:val="en-GB"/>
        </w:rPr>
      </w:pPr>
      <w:bookmarkStart w:id="8" w:name="_Toc165308852"/>
      <w:r>
        <w:rPr>
          <w:lang w:val="en-GB"/>
        </w:rPr>
        <w:t>Socio-economic factors (PESTLE) Analysis</w:t>
      </w:r>
      <w:bookmarkEnd w:id="8"/>
    </w:p>
    <w:tbl>
      <w:tblPr>
        <w:tblStyle w:val="30"/>
        <w:tblpPr w:leftFromText="180" w:rightFromText="180" w:topFromText="180" w:bottomFromText="180" w:vertAnchor="text" w:tblpX="60"/>
        <w:tblW w:w="8940" w:type="dxa"/>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
      <w:tblGrid>
        <w:gridCol w:w="1995"/>
        <w:gridCol w:w="2475"/>
        <w:gridCol w:w="2235"/>
        <w:gridCol w:w="2235"/>
      </w:tblGrid>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Factors</w:t>
            </w:r>
          </w:p>
        </w:tc>
        <w:tc>
          <w:tcPr>
            <w:tcW w:w="2475" w:type="dxa"/>
            <w:shd w:val="clear" w:color="auto" w:fill="DBE5F1" w:themeFill="accent1" w:themeFillTint="33"/>
          </w:tcPr>
          <w:p>
            <w:pPr>
              <w:pStyle w:val="3"/>
              <w:widowControl w:val="0"/>
              <w:spacing w:line="360" w:lineRule="auto"/>
              <w:rPr>
                <w:b/>
                <w:sz w:val="24"/>
                <w:szCs w:val="24"/>
                <w:lang w:val="en-GB"/>
              </w:rPr>
            </w:pPr>
            <w:r>
              <w:rPr>
                <w:b/>
                <w:sz w:val="24"/>
                <w:szCs w:val="24"/>
                <w:lang w:val="en-GB"/>
              </w:rPr>
              <w:t>Derivatives</w:t>
            </w:r>
          </w:p>
        </w:tc>
        <w:tc>
          <w:tcPr>
            <w:tcW w:w="2235" w:type="dxa"/>
            <w:shd w:val="clear" w:color="auto" w:fill="DBE5F1" w:themeFill="accent1" w:themeFillTint="33"/>
          </w:tcPr>
          <w:p>
            <w:pPr>
              <w:pStyle w:val="3"/>
              <w:widowControl w:val="0"/>
              <w:spacing w:line="360" w:lineRule="auto"/>
              <w:rPr>
                <w:b/>
                <w:sz w:val="24"/>
                <w:szCs w:val="24"/>
                <w:lang w:val="en-GB"/>
              </w:rPr>
            </w:pPr>
            <w:r>
              <w:rPr>
                <w:b/>
                <w:sz w:val="24"/>
                <w:szCs w:val="24"/>
                <w:lang w:val="en-GB"/>
              </w:rPr>
              <w:t>Positive Impact</w:t>
            </w:r>
          </w:p>
        </w:tc>
        <w:tc>
          <w:tcPr>
            <w:tcW w:w="2235" w:type="dxa"/>
            <w:shd w:val="clear" w:color="auto" w:fill="DBE5F1" w:themeFill="accent1" w:themeFillTint="33"/>
          </w:tcPr>
          <w:p>
            <w:pPr>
              <w:pStyle w:val="3"/>
              <w:widowControl w:val="0"/>
              <w:spacing w:line="360" w:lineRule="auto"/>
              <w:rPr>
                <w:b/>
                <w:sz w:val="24"/>
                <w:szCs w:val="24"/>
                <w:lang w:val="en-GB"/>
              </w:rPr>
            </w:pPr>
            <w:r>
              <w:rPr>
                <w:b/>
                <w:sz w:val="24"/>
                <w:szCs w:val="24"/>
                <w:lang w:val="en-GB"/>
              </w:rPr>
              <w:t>Negative Impact</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Political</w:t>
            </w:r>
          </w:p>
        </w:tc>
        <w:tc>
          <w:tcPr>
            <w:tcW w:w="2475" w:type="dxa"/>
            <w:shd w:val="clear" w:color="auto" w:fill="DBE5F1" w:themeFill="accent1" w:themeFillTint="33"/>
          </w:tcPr>
          <w:p>
            <w:pPr>
              <w:pStyle w:val="3"/>
              <w:widowControl w:val="0"/>
              <w:numPr>
                <w:ilvl w:val="0"/>
                <w:numId w:val="1"/>
              </w:numPr>
              <w:spacing w:line="360" w:lineRule="auto"/>
              <w:rPr>
                <w:sz w:val="24"/>
                <w:szCs w:val="24"/>
                <w:lang w:val="en-GB"/>
              </w:rPr>
            </w:pPr>
            <w:r>
              <w:rPr>
                <w:sz w:val="24"/>
                <w:szCs w:val="24"/>
                <w:lang w:val="en-GB"/>
              </w:rPr>
              <w:t>Stable government</w:t>
            </w:r>
          </w:p>
          <w:p>
            <w:pPr>
              <w:pStyle w:val="3"/>
              <w:widowControl w:val="0"/>
              <w:numPr>
                <w:ilvl w:val="0"/>
                <w:numId w:val="1"/>
              </w:numPr>
              <w:spacing w:line="360" w:lineRule="auto"/>
              <w:rPr>
                <w:sz w:val="24"/>
                <w:szCs w:val="24"/>
                <w:lang w:val="en-GB"/>
              </w:rPr>
            </w:pPr>
            <w:r>
              <w:rPr>
                <w:sz w:val="24"/>
                <w:szCs w:val="24"/>
                <w:lang w:val="en-GB"/>
              </w:rPr>
              <w:t>Brexit -</w:t>
            </w:r>
          </w:p>
        </w:tc>
        <w:tc>
          <w:tcPr>
            <w:tcW w:w="2235" w:type="dxa"/>
            <w:shd w:val="clear" w:color="auto" w:fill="DBE5F1" w:themeFill="accent1" w:themeFillTint="33"/>
          </w:tcPr>
          <w:p>
            <w:pPr>
              <w:pStyle w:val="3"/>
              <w:widowControl w:val="0"/>
              <w:numPr>
                <w:ilvl w:val="0"/>
                <w:numId w:val="2"/>
              </w:numPr>
              <w:spacing w:line="360" w:lineRule="auto"/>
              <w:rPr>
                <w:sz w:val="24"/>
                <w:szCs w:val="24"/>
                <w:lang w:val="en-GB"/>
              </w:rPr>
            </w:pPr>
            <w:r>
              <w:rPr>
                <w:sz w:val="24"/>
                <w:szCs w:val="24"/>
                <w:lang w:val="en-GB"/>
              </w:rPr>
              <w:t xml:space="preserve">Help from the government in terms of legal compliance </w:t>
            </w:r>
          </w:p>
        </w:tc>
        <w:tc>
          <w:tcPr>
            <w:tcW w:w="2235" w:type="dxa"/>
            <w:shd w:val="clear" w:color="auto" w:fill="DBE5F1" w:themeFill="accent1" w:themeFillTint="33"/>
          </w:tcPr>
          <w:p>
            <w:pPr>
              <w:pStyle w:val="3"/>
              <w:widowControl w:val="0"/>
              <w:numPr>
                <w:ilvl w:val="0"/>
                <w:numId w:val="3"/>
              </w:numPr>
              <w:spacing w:line="360" w:lineRule="auto"/>
              <w:rPr>
                <w:sz w:val="24"/>
                <w:szCs w:val="24"/>
                <w:lang w:val="en-GB"/>
              </w:rPr>
            </w:pPr>
            <w:r>
              <w:rPr>
                <w:sz w:val="24"/>
                <w:szCs w:val="24"/>
                <w:lang w:val="en-GB"/>
              </w:rPr>
              <w:t xml:space="preserve">Complexes in arrival visa as per the UK’s aloofness from the EU </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 xml:space="preserve">Economic </w:t>
            </w:r>
          </w:p>
        </w:tc>
        <w:tc>
          <w:tcPr>
            <w:tcW w:w="2475" w:type="dxa"/>
            <w:shd w:val="clear" w:color="auto" w:fill="DBE5F1" w:themeFill="accent1" w:themeFillTint="33"/>
          </w:tcPr>
          <w:p>
            <w:pPr>
              <w:pStyle w:val="3"/>
              <w:widowControl w:val="0"/>
              <w:numPr>
                <w:ilvl w:val="0"/>
                <w:numId w:val="4"/>
              </w:numPr>
              <w:spacing w:line="360" w:lineRule="auto"/>
              <w:rPr>
                <w:sz w:val="24"/>
                <w:szCs w:val="24"/>
                <w:lang w:val="en-GB"/>
              </w:rPr>
            </w:pPr>
            <w:r>
              <w:rPr>
                <w:sz w:val="24"/>
                <w:szCs w:val="24"/>
                <w:lang w:val="en-GB"/>
              </w:rPr>
              <w:t>19% corporate tax rate</w:t>
            </w:r>
          </w:p>
          <w:p>
            <w:pPr>
              <w:pStyle w:val="3"/>
              <w:widowControl w:val="0"/>
              <w:numPr>
                <w:ilvl w:val="0"/>
                <w:numId w:val="4"/>
              </w:numPr>
              <w:spacing w:line="360" w:lineRule="auto"/>
              <w:rPr>
                <w:sz w:val="24"/>
                <w:szCs w:val="24"/>
                <w:lang w:val="en-GB"/>
              </w:rPr>
            </w:pPr>
            <w:r>
              <w:rPr>
                <w:sz w:val="24"/>
                <w:szCs w:val="24"/>
                <w:lang w:val="en-GB"/>
              </w:rPr>
              <w:t xml:space="preserve">High purchasing power of consumers </w:t>
            </w:r>
          </w:p>
        </w:tc>
        <w:tc>
          <w:tcPr>
            <w:tcW w:w="2235" w:type="dxa"/>
            <w:shd w:val="clear" w:color="auto" w:fill="DBE5F1" w:themeFill="accent1" w:themeFillTint="33"/>
          </w:tcPr>
          <w:p>
            <w:pPr>
              <w:pStyle w:val="3"/>
              <w:widowControl w:val="0"/>
              <w:numPr>
                <w:ilvl w:val="0"/>
                <w:numId w:val="5"/>
              </w:numPr>
              <w:spacing w:line="360" w:lineRule="auto"/>
              <w:rPr>
                <w:sz w:val="24"/>
                <w:szCs w:val="24"/>
                <w:lang w:val="en-GB"/>
              </w:rPr>
            </w:pPr>
            <w:r>
              <w:rPr>
                <w:sz w:val="24"/>
                <w:szCs w:val="24"/>
                <w:lang w:val="en-GB"/>
              </w:rPr>
              <w:t>High purchasing power can implement growth in revenue generation</w:t>
            </w:r>
          </w:p>
        </w:tc>
        <w:tc>
          <w:tcPr>
            <w:tcW w:w="2235" w:type="dxa"/>
            <w:shd w:val="clear" w:color="auto" w:fill="DBE5F1" w:themeFill="accent1" w:themeFillTint="33"/>
          </w:tcPr>
          <w:p>
            <w:pPr>
              <w:pStyle w:val="3"/>
              <w:widowControl w:val="0"/>
              <w:numPr>
                <w:ilvl w:val="0"/>
                <w:numId w:val="6"/>
              </w:numPr>
              <w:spacing w:line="360" w:lineRule="auto"/>
              <w:rPr>
                <w:sz w:val="24"/>
                <w:szCs w:val="24"/>
                <w:lang w:val="en-GB"/>
              </w:rPr>
            </w:pPr>
            <w:r>
              <w:rPr>
                <w:sz w:val="24"/>
                <w:szCs w:val="24"/>
                <w:lang w:val="en-GB"/>
              </w:rPr>
              <w:t>High corporate tax rate can induce a negative impact on the profit-making</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Social</w:t>
            </w:r>
          </w:p>
        </w:tc>
        <w:tc>
          <w:tcPr>
            <w:tcW w:w="2475" w:type="dxa"/>
            <w:shd w:val="clear" w:color="auto" w:fill="DBE5F1" w:themeFill="accent1" w:themeFillTint="33"/>
          </w:tcPr>
          <w:p>
            <w:pPr>
              <w:pStyle w:val="3"/>
              <w:widowControl w:val="0"/>
              <w:numPr>
                <w:ilvl w:val="0"/>
                <w:numId w:val="7"/>
              </w:numPr>
              <w:spacing w:line="360" w:lineRule="auto"/>
              <w:rPr>
                <w:sz w:val="24"/>
                <w:szCs w:val="24"/>
                <w:lang w:val="en-GB"/>
              </w:rPr>
            </w:pPr>
            <w:r>
              <w:rPr>
                <w:sz w:val="24"/>
                <w:szCs w:val="24"/>
                <w:lang w:val="en-GB"/>
              </w:rPr>
              <w:t>Educated employee base</w:t>
            </w:r>
          </w:p>
          <w:p>
            <w:pPr>
              <w:pStyle w:val="3"/>
              <w:widowControl w:val="0"/>
              <w:numPr>
                <w:ilvl w:val="0"/>
                <w:numId w:val="7"/>
              </w:numPr>
              <w:spacing w:line="360" w:lineRule="auto"/>
              <w:rPr>
                <w:sz w:val="24"/>
                <w:szCs w:val="24"/>
                <w:lang w:val="en-GB"/>
              </w:rPr>
            </w:pPr>
            <w:r>
              <w:rPr>
                <w:sz w:val="24"/>
                <w:szCs w:val="24"/>
                <w:lang w:val="en-GB"/>
              </w:rPr>
              <w:t>Immigration from different countries</w:t>
            </w:r>
          </w:p>
        </w:tc>
        <w:tc>
          <w:tcPr>
            <w:tcW w:w="2235" w:type="dxa"/>
            <w:shd w:val="clear" w:color="auto" w:fill="DBE5F1" w:themeFill="accent1" w:themeFillTint="33"/>
          </w:tcPr>
          <w:p>
            <w:pPr>
              <w:pStyle w:val="3"/>
              <w:widowControl w:val="0"/>
              <w:numPr>
                <w:ilvl w:val="0"/>
                <w:numId w:val="8"/>
              </w:numPr>
              <w:spacing w:line="360" w:lineRule="auto"/>
              <w:rPr>
                <w:sz w:val="24"/>
                <w:szCs w:val="24"/>
                <w:lang w:val="en-GB"/>
              </w:rPr>
            </w:pPr>
            <w:r>
              <w:rPr>
                <w:sz w:val="24"/>
                <w:szCs w:val="24"/>
                <w:lang w:val="en-GB"/>
              </w:rPr>
              <w:t xml:space="preserve">An educated employee base can play a positive role in revenue generation. </w:t>
            </w:r>
          </w:p>
        </w:tc>
        <w:tc>
          <w:tcPr>
            <w:tcW w:w="2235" w:type="dxa"/>
            <w:shd w:val="clear" w:color="auto" w:fill="DBE5F1" w:themeFill="accent1" w:themeFillTint="33"/>
          </w:tcPr>
          <w:p>
            <w:pPr>
              <w:pStyle w:val="3"/>
              <w:widowControl w:val="0"/>
              <w:numPr>
                <w:ilvl w:val="0"/>
                <w:numId w:val="9"/>
              </w:numPr>
              <w:spacing w:line="360" w:lineRule="auto"/>
              <w:rPr>
                <w:sz w:val="24"/>
                <w:szCs w:val="24"/>
                <w:lang w:val="en-GB"/>
              </w:rPr>
            </w:pPr>
            <w:r>
              <w:rPr>
                <w:sz w:val="24"/>
                <w:szCs w:val="24"/>
                <w:lang w:val="en-GB"/>
              </w:rPr>
              <w:t>Immigrant employees can face huge cultural gaps.</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Technical</w:t>
            </w:r>
          </w:p>
        </w:tc>
        <w:tc>
          <w:tcPr>
            <w:tcW w:w="2475" w:type="dxa"/>
            <w:shd w:val="clear" w:color="auto" w:fill="DBE5F1" w:themeFill="accent1" w:themeFillTint="33"/>
          </w:tcPr>
          <w:p>
            <w:pPr>
              <w:pStyle w:val="3"/>
              <w:widowControl w:val="0"/>
              <w:numPr>
                <w:ilvl w:val="0"/>
                <w:numId w:val="10"/>
              </w:numPr>
              <w:spacing w:line="360" w:lineRule="auto"/>
              <w:rPr>
                <w:sz w:val="24"/>
                <w:szCs w:val="24"/>
                <w:lang w:val="en-GB"/>
              </w:rPr>
            </w:pPr>
            <w:r>
              <w:rPr>
                <w:sz w:val="24"/>
                <w:szCs w:val="24"/>
                <w:lang w:val="en-GB"/>
              </w:rPr>
              <w:t>Digital marketing skills</w:t>
            </w:r>
          </w:p>
          <w:p>
            <w:pPr>
              <w:pStyle w:val="3"/>
              <w:widowControl w:val="0"/>
              <w:numPr>
                <w:ilvl w:val="0"/>
                <w:numId w:val="10"/>
              </w:numPr>
              <w:spacing w:line="360" w:lineRule="auto"/>
              <w:rPr>
                <w:sz w:val="24"/>
                <w:szCs w:val="24"/>
                <w:lang w:val="en-GB"/>
              </w:rPr>
            </w:pPr>
            <w:r>
              <w:rPr>
                <w:sz w:val="24"/>
                <w:szCs w:val="24"/>
                <w:lang w:val="en-GB"/>
              </w:rPr>
              <w:t>Lack of research in the sector</w:t>
            </w:r>
          </w:p>
        </w:tc>
        <w:tc>
          <w:tcPr>
            <w:tcW w:w="2235" w:type="dxa"/>
            <w:shd w:val="clear" w:color="auto" w:fill="DBE5F1" w:themeFill="accent1" w:themeFillTint="33"/>
          </w:tcPr>
          <w:p>
            <w:pPr>
              <w:pStyle w:val="3"/>
              <w:widowControl w:val="0"/>
              <w:numPr>
                <w:ilvl w:val="0"/>
                <w:numId w:val="11"/>
              </w:numPr>
              <w:spacing w:line="360" w:lineRule="auto"/>
              <w:rPr>
                <w:sz w:val="24"/>
                <w:szCs w:val="24"/>
                <w:lang w:val="en-GB"/>
              </w:rPr>
            </w:pPr>
            <w:r>
              <w:rPr>
                <w:sz w:val="24"/>
                <w:szCs w:val="24"/>
                <w:lang w:val="en-GB"/>
              </w:rPr>
              <w:t xml:space="preserve">Digital skills and a hybrid working model can help companies grow </w:t>
            </w:r>
          </w:p>
        </w:tc>
        <w:tc>
          <w:tcPr>
            <w:tcW w:w="2235" w:type="dxa"/>
            <w:shd w:val="clear" w:color="auto" w:fill="DBE5F1" w:themeFill="accent1" w:themeFillTint="33"/>
          </w:tcPr>
          <w:p>
            <w:pPr>
              <w:pStyle w:val="3"/>
              <w:widowControl w:val="0"/>
              <w:numPr>
                <w:ilvl w:val="0"/>
                <w:numId w:val="12"/>
              </w:numPr>
              <w:spacing w:line="360" w:lineRule="auto"/>
              <w:rPr>
                <w:sz w:val="24"/>
                <w:szCs w:val="24"/>
                <w:lang w:val="en-GB"/>
              </w:rPr>
            </w:pPr>
            <w:r>
              <w:rPr>
                <w:sz w:val="24"/>
                <w:szCs w:val="24"/>
                <w:lang w:val="en-GB"/>
              </w:rPr>
              <w:t>Lack of research can pose a threat to digital operations</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Legal</w:t>
            </w:r>
          </w:p>
        </w:tc>
        <w:tc>
          <w:tcPr>
            <w:tcW w:w="2475" w:type="dxa"/>
            <w:shd w:val="clear" w:color="auto" w:fill="DBE5F1" w:themeFill="accent1" w:themeFillTint="33"/>
          </w:tcPr>
          <w:p>
            <w:pPr>
              <w:pStyle w:val="3"/>
              <w:widowControl w:val="0"/>
              <w:numPr>
                <w:ilvl w:val="0"/>
                <w:numId w:val="13"/>
              </w:numPr>
              <w:spacing w:line="360" w:lineRule="auto"/>
              <w:rPr>
                <w:sz w:val="24"/>
                <w:szCs w:val="24"/>
                <w:lang w:val="en-GB"/>
              </w:rPr>
            </w:pPr>
            <w:r>
              <w:rPr>
                <w:sz w:val="24"/>
                <w:szCs w:val="24"/>
                <w:lang w:val="en-GB"/>
              </w:rPr>
              <w:t xml:space="preserve">Legal frameworks and provisions for business owners. </w:t>
            </w:r>
          </w:p>
          <w:p>
            <w:pPr>
              <w:pStyle w:val="3"/>
              <w:widowControl w:val="0"/>
              <w:numPr>
                <w:ilvl w:val="0"/>
                <w:numId w:val="13"/>
              </w:numPr>
              <w:spacing w:line="360" w:lineRule="auto"/>
              <w:rPr>
                <w:sz w:val="24"/>
                <w:szCs w:val="24"/>
                <w:lang w:val="en-GB"/>
              </w:rPr>
            </w:pPr>
            <w:r>
              <w:rPr>
                <w:sz w:val="24"/>
                <w:szCs w:val="24"/>
                <w:lang w:val="en-GB"/>
              </w:rPr>
              <w:t>Regulatory complexities</w:t>
            </w:r>
          </w:p>
        </w:tc>
        <w:tc>
          <w:tcPr>
            <w:tcW w:w="2235" w:type="dxa"/>
            <w:shd w:val="clear" w:color="auto" w:fill="DBE5F1" w:themeFill="accent1" w:themeFillTint="33"/>
          </w:tcPr>
          <w:p>
            <w:pPr>
              <w:pStyle w:val="3"/>
              <w:widowControl w:val="0"/>
              <w:numPr>
                <w:ilvl w:val="0"/>
                <w:numId w:val="14"/>
              </w:numPr>
              <w:spacing w:line="360" w:lineRule="auto"/>
              <w:rPr>
                <w:sz w:val="24"/>
                <w:szCs w:val="24"/>
                <w:lang w:val="en-GB"/>
              </w:rPr>
            </w:pPr>
            <w:r>
              <w:rPr>
                <w:sz w:val="24"/>
                <w:szCs w:val="24"/>
                <w:lang w:val="en-GB"/>
              </w:rPr>
              <w:t xml:space="preserve">The legal framework helps hospitality companies manage their employees in an equal manner and induce productivity. </w:t>
            </w:r>
          </w:p>
        </w:tc>
        <w:tc>
          <w:tcPr>
            <w:tcW w:w="2235" w:type="dxa"/>
            <w:shd w:val="clear" w:color="auto" w:fill="DBE5F1" w:themeFill="accent1" w:themeFillTint="33"/>
          </w:tcPr>
          <w:p>
            <w:pPr>
              <w:pStyle w:val="3"/>
              <w:widowControl w:val="0"/>
              <w:numPr>
                <w:ilvl w:val="0"/>
                <w:numId w:val="15"/>
              </w:numPr>
              <w:spacing w:line="360" w:lineRule="auto"/>
              <w:rPr>
                <w:sz w:val="24"/>
                <w:szCs w:val="24"/>
                <w:lang w:val="en-GB"/>
              </w:rPr>
            </w:pPr>
            <w:r>
              <w:rPr>
                <w:sz w:val="24"/>
                <w:szCs w:val="24"/>
                <w:lang w:val="en-GB"/>
              </w:rPr>
              <w:t>Regulatory compliance poses a threat to the employee management process</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1995" w:type="dxa"/>
            <w:shd w:val="clear" w:color="auto" w:fill="DBE5F1" w:themeFill="accent1" w:themeFillTint="33"/>
          </w:tcPr>
          <w:p>
            <w:pPr>
              <w:pStyle w:val="3"/>
              <w:widowControl w:val="0"/>
              <w:spacing w:line="360" w:lineRule="auto"/>
              <w:rPr>
                <w:b/>
                <w:sz w:val="24"/>
                <w:szCs w:val="24"/>
                <w:lang w:val="en-GB"/>
              </w:rPr>
            </w:pPr>
            <w:r>
              <w:rPr>
                <w:b/>
                <w:sz w:val="24"/>
                <w:szCs w:val="24"/>
                <w:lang w:val="en-GB"/>
              </w:rPr>
              <w:t>Environmental</w:t>
            </w:r>
          </w:p>
        </w:tc>
        <w:tc>
          <w:tcPr>
            <w:tcW w:w="2475" w:type="dxa"/>
            <w:shd w:val="clear" w:color="auto" w:fill="DBE5F1" w:themeFill="accent1" w:themeFillTint="33"/>
          </w:tcPr>
          <w:p>
            <w:pPr>
              <w:pStyle w:val="3"/>
              <w:widowControl w:val="0"/>
              <w:numPr>
                <w:ilvl w:val="0"/>
                <w:numId w:val="16"/>
              </w:numPr>
              <w:spacing w:line="360" w:lineRule="auto"/>
              <w:rPr>
                <w:sz w:val="24"/>
                <w:szCs w:val="24"/>
                <w:lang w:val="en-GB"/>
              </w:rPr>
            </w:pPr>
            <w:r>
              <w:rPr>
                <w:sz w:val="24"/>
                <w:szCs w:val="24"/>
                <w:lang w:val="en-GB"/>
              </w:rPr>
              <w:t>Environmental complications</w:t>
            </w:r>
          </w:p>
          <w:p>
            <w:pPr>
              <w:pStyle w:val="3"/>
              <w:widowControl w:val="0"/>
              <w:numPr>
                <w:ilvl w:val="0"/>
                <w:numId w:val="16"/>
              </w:numPr>
              <w:spacing w:line="360" w:lineRule="auto"/>
              <w:rPr>
                <w:sz w:val="24"/>
                <w:szCs w:val="24"/>
                <w:lang w:val="en-GB"/>
              </w:rPr>
            </w:pPr>
            <w:r>
              <w:rPr>
                <w:sz w:val="24"/>
                <w:szCs w:val="24"/>
                <w:lang w:val="en-GB"/>
              </w:rPr>
              <w:t>CSR Obligations</w:t>
            </w:r>
          </w:p>
        </w:tc>
        <w:tc>
          <w:tcPr>
            <w:tcW w:w="2235" w:type="dxa"/>
            <w:shd w:val="clear" w:color="auto" w:fill="DBE5F1" w:themeFill="accent1" w:themeFillTint="33"/>
          </w:tcPr>
          <w:p>
            <w:pPr>
              <w:pStyle w:val="3"/>
              <w:widowControl w:val="0"/>
              <w:numPr>
                <w:ilvl w:val="0"/>
                <w:numId w:val="17"/>
              </w:numPr>
              <w:spacing w:line="360" w:lineRule="auto"/>
              <w:rPr>
                <w:sz w:val="24"/>
                <w:szCs w:val="24"/>
                <w:lang w:val="en-GB"/>
              </w:rPr>
            </w:pPr>
            <w:r>
              <w:rPr>
                <w:sz w:val="24"/>
                <w:szCs w:val="24"/>
                <w:lang w:val="en-GB"/>
              </w:rPr>
              <w:t xml:space="preserve">Environment Protection regulations help companies to manage CSR activities. </w:t>
            </w:r>
          </w:p>
        </w:tc>
        <w:tc>
          <w:tcPr>
            <w:tcW w:w="2235" w:type="dxa"/>
            <w:shd w:val="clear" w:color="auto" w:fill="DBE5F1" w:themeFill="accent1" w:themeFillTint="33"/>
          </w:tcPr>
          <w:p>
            <w:pPr>
              <w:pStyle w:val="3"/>
              <w:widowControl w:val="0"/>
              <w:numPr>
                <w:ilvl w:val="0"/>
                <w:numId w:val="18"/>
              </w:numPr>
              <w:spacing w:line="360" w:lineRule="auto"/>
              <w:rPr>
                <w:sz w:val="24"/>
                <w:szCs w:val="24"/>
                <w:lang w:val="en-GB"/>
              </w:rPr>
            </w:pPr>
            <w:r>
              <w:rPr>
                <w:sz w:val="24"/>
                <w:szCs w:val="24"/>
                <w:lang w:val="en-GB"/>
              </w:rPr>
              <w:t>Investment of a large number of funds for CSR approaches like water treatment and carbon footprint reduction.</w:t>
            </w:r>
          </w:p>
        </w:tc>
      </w:tr>
    </w:tbl>
    <w:p>
      <w:pPr>
        <w:pStyle w:val="3"/>
        <w:spacing w:line="360" w:lineRule="auto"/>
        <w:jc w:val="both"/>
        <w:rPr>
          <w:sz w:val="24"/>
          <w:szCs w:val="24"/>
          <w:lang w:val="en-GB"/>
        </w:rPr>
      </w:pPr>
      <w:r>
        <w:rPr>
          <w:sz w:val="24"/>
          <w:szCs w:val="24"/>
          <w:lang w:val="en-GB"/>
        </w:rPr>
        <w:t xml:space="preserve">All the socio-economic factors play a significant impact on the hospitality business planning and operations. As the UK government provides a keen policy to support the industrial establishments in the country, hospitality organisations like </w:t>
      </w:r>
      <w:r>
        <w:rPr>
          <w:i/>
          <w:sz w:val="24"/>
          <w:szCs w:val="24"/>
          <w:lang w:val="en-GB"/>
        </w:rPr>
        <w:t xml:space="preserve">Marriot, IHG, </w:t>
      </w:r>
      <w:r>
        <w:rPr>
          <w:sz w:val="24"/>
          <w:szCs w:val="24"/>
          <w:lang w:val="en-GB"/>
        </w:rPr>
        <w:t xml:space="preserve">and </w:t>
      </w:r>
      <w:r>
        <w:rPr>
          <w:i/>
          <w:sz w:val="24"/>
          <w:szCs w:val="24"/>
          <w:lang w:val="en-GB"/>
        </w:rPr>
        <w:t xml:space="preserve">Radisson </w:t>
      </w:r>
      <w:r>
        <w:rPr>
          <w:sz w:val="24"/>
          <w:szCs w:val="24"/>
          <w:lang w:val="en-GB"/>
        </w:rPr>
        <w:t xml:space="preserve">can get help from the UK government regarding the establishment of their business operation and planning. However, Brexit is responsible for the reduction of tourists in the UK from other parts of Europe. Additionally, as per the analysis, a high corporate tax rate can pose a threat to the revenue generation process of hospitality organisations (Neupane and Khanal, 2022, p.58). However, consumers with high purchasing power can contribute to the business revenue growth. An educated employee base and digital marketing skills can play a positive role in the business operational growth of the hospitality industry to deal with the strategic planning and proposition for allowing sustainable development. </w:t>
      </w:r>
    </w:p>
    <w:p>
      <w:pPr>
        <w:pStyle w:val="4"/>
        <w:rPr>
          <w:lang w:val="en-GB"/>
        </w:rPr>
      </w:pPr>
      <w:bookmarkStart w:id="9" w:name="_Toc165308853"/>
      <w:r>
        <w:rPr>
          <w:lang w:val="en-GB"/>
        </w:rPr>
        <w:t>Industry trends (SWOT)</w:t>
      </w:r>
      <w:bookmarkEnd w:id="9"/>
    </w:p>
    <w:tbl>
      <w:tblPr>
        <w:tblStyle w:val="19"/>
        <w:tblW w:w="9029"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4514"/>
        <w:gridCol w:w="45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14" w:type="dxa"/>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Strength</w:t>
            </w:r>
          </w:p>
        </w:tc>
        <w:tc>
          <w:tcPr>
            <w:tcW w:w="4514" w:type="dxa"/>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Weakness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14" w:type="dxa"/>
          </w:tcPr>
          <w:p>
            <w:pPr>
              <w:pStyle w:val="3"/>
              <w:widowControl w:val="0"/>
              <w:numPr>
                <w:ilvl w:val="0"/>
                <w:numId w:val="19"/>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 xml:space="preserve">Huge presence in the international market by UK-based hospitality organisations. </w:t>
            </w:r>
          </w:p>
          <w:p>
            <w:pPr>
              <w:pStyle w:val="3"/>
              <w:widowControl w:val="0"/>
              <w:numPr>
                <w:ilvl w:val="0"/>
                <w:numId w:val="19"/>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Intense brand value in terms of customer feedback</w:t>
            </w:r>
          </w:p>
          <w:p>
            <w:pPr>
              <w:pStyle w:val="3"/>
              <w:widowControl w:val="0"/>
              <w:numPr>
                <w:ilvl w:val="0"/>
                <w:numId w:val="19"/>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Digital technology inclusion</w:t>
            </w:r>
          </w:p>
        </w:tc>
        <w:tc>
          <w:tcPr>
            <w:tcW w:w="4514" w:type="dxa"/>
          </w:tcPr>
          <w:p>
            <w:pPr>
              <w:pStyle w:val="3"/>
              <w:widowControl w:val="0"/>
              <w:numPr>
                <w:ilvl w:val="0"/>
                <w:numId w:val="20"/>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Lack of owned properties</w:t>
            </w:r>
          </w:p>
          <w:p>
            <w:pPr>
              <w:pStyle w:val="3"/>
              <w:widowControl w:val="0"/>
              <w:numPr>
                <w:ilvl w:val="0"/>
                <w:numId w:val="20"/>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Franchising dependencies</w:t>
            </w:r>
          </w:p>
          <w:p>
            <w:pPr>
              <w:pStyle w:val="3"/>
              <w:widowControl w:val="0"/>
              <w:numPr>
                <w:ilvl w:val="0"/>
                <w:numId w:val="20"/>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Lack of data security</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14" w:type="dxa"/>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Opportunities</w:t>
            </w:r>
          </w:p>
        </w:tc>
        <w:tc>
          <w:tcPr>
            <w:tcW w:w="4514" w:type="dxa"/>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Threats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14" w:type="dxa"/>
          </w:tcPr>
          <w:p>
            <w:pPr>
              <w:pStyle w:val="3"/>
              <w:widowControl w:val="0"/>
              <w:numPr>
                <w:ilvl w:val="0"/>
                <w:numId w:val="21"/>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Business emergence in Asia Pacific region</w:t>
            </w:r>
          </w:p>
          <w:p>
            <w:pPr>
              <w:pStyle w:val="3"/>
              <w:widowControl w:val="0"/>
              <w:numPr>
                <w:ilvl w:val="0"/>
                <w:numId w:val="21"/>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 xml:space="preserve">Implementation of digital technologies </w:t>
            </w:r>
          </w:p>
        </w:tc>
        <w:tc>
          <w:tcPr>
            <w:tcW w:w="4514" w:type="dxa"/>
          </w:tcPr>
          <w:p>
            <w:pPr>
              <w:pStyle w:val="3"/>
              <w:widowControl w:val="0"/>
              <w:numPr>
                <w:ilvl w:val="0"/>
                <w:numId w:val="22"/>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 xml:space="preserve">High competition from other international hospitality companies, based on different markets. </w:t>
            </w:r>
          </w:p>
          <w:p>
            <w:pPr>
              <w:pStyle w:val="3"/>
              <w:widowControl w:val="0"/>
              <w:numPr>
                <w:ilvl w:val="0"/>
                <w:numId w:val="22"/>
              </w:numPr>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Economic uncertainty due to the pandemic situation</w:t>
            </w:r>
          </w:p>
        </w:tc>
      </w:tr>
    </w:tbl>
    <w:p>
      <w:pPr>
        <w:pStyle w:val="3"/>
        <w:spacing w:line="360" w:lineRule="auto"/>
        <w:jc w:val="both"/>
        <w:rPr>
          <w:sz w:val="24"/>
          <w:szCs w:val="24"/>
          <w:lang w:val="en-GB"/>
        </w:rPr>
      </w:pPr>
      <w:r>
        <w:rPr>
          <w:i/>
          <w:sz w:val="24"/>
          <w:szCs w:val="24"/>
          <w:lang w:val="en-GB"/>
        </w:rPr>
        <w:t xml:space="preserve">Intense global presence </w:t>
      </w:r>
      <w:r>
        <w:rPr>
          <w:sz w:val="24"/>
          <w:szCs w:val="24"/>
          <w:lang w:val="en-GB"/>
        </w:rPr>
        <w:t xml:space="preserve">is a significant strength of UK-based hospitality companies for managing their potential hospitality business. In terms of acquiring successful business growth, this company deals in third-party ownership. Along with that, digital technology inclusion is also vital for companies to manage their business growth and operation. However, this company depends on the franchise for conducting their international business planning and operations (Tan and Despotis, 2021). In response to the business planning and operational insulations, lack of data security and owned properties can pose a threat to business planning. In order to meet this issue, these companies have planned to expand their business in the </w:t>
      </w:r>
      <w:r>
        <w:rPr>
          <w:i/>
          <w:sz w:val="24"/>
          <w:szCs w:val="24"/>
          <w:lang w:val="en-GB"/>
        </w:rPr>
        <w:t xml:space="preserve">Asia Pacific </w:t>
      </w:r>
      <w:r>
        <w:rPr>
          <w:sz w:val="24"/>
          <w:szCs w:val="24"/>
          <w:lang w:val="en-GB"/>
        </w:rPr>
        <w:t xml:space="preserve">region (Wood, 2020, p.139). There are different popular tourist destinations in the chosen region and hence, hospitality companies have a potential scope to expand their business in these chosen areas. High competition from other international companies like </w:t>
      </w:r>
      <w:r>
        <w:rPr>
          <w:i/>
          <w:sz w:val="24"/>
          <w:szCs w:val="24"/>
          <w:lang w:val="en-GB"/>
        </w:rPr>
        <w:t xml:space="preserve">Radisson, Marriott, and IHG </w:t>
      </w:r>
      <w:r>
        <w:rPr>
          <w:sz w:val="24"/>
          <w:szCs w:val="24"/>
          <w:lang w:val="en-GB"/>
        </w:rPr>
        <w:t xml:space="preserve">are posing a threat to the business operations of this company. Economic uncertainty can also pose a threat to the company in managing business plans and operational evaluations as per the requirements. </w:t>
      </w:r>
    </w:p>
    <w:p>
      <w:pPr>
        <w:pStyle w:val="3"/>
        <w:spacing w:line="360" w:lineRule="auto"/>
        <w:jc w:val="center"/>
        <w:rPr>
          <w:sz w:val="24"/>
          <w:szCs w:val="24"/>
          <w:lang w:val="en-GB"/>
        </w:rPr>
      </w:pPr>
      <w:r>
        <w:rPr>
          <w:sz w:val="24"/>
          <w:szCs w:val="24"/>
          <w:lang w:val="en-IN" w:eastAsia="en-IN"/>
        </w:rPr>
        <w:drawing>
          <wp:inline distT="114300" distB="114300" distL="114300" distR="114300">
            <wp:extent cx="3209925" cy="2181225"/>
            <wp:effectExtent l="38100" t="57150" r="123825" b="10477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8"/>
                    <a:srcRect/>
                    <a:stretch>
                      <a:fillRect/>
                    </a:stretch>
                  </pic:blipFill>
                  <pic:spPr>
                    <a:xfrm>
                      <a:off x="0" y="0"/>
                      <a:ext cx="3209925" cy="21812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3"/>
        <w:spacing w:line="360" w:lineRule="auto"/>
        <w:jc w:val="center"/>
        <w:rPr>
          <w:b/>
          <w:sz w:val="24"/>
          <w:szCs w:val="24"/>
          <w:lang w:val="en-GB"/>
        </w:rPr>
      </w:pPr>
      <w:r>
        <w:rPr>
          <w:b/>
          <w:sz w:val="24"/>
          <w:szCs w:val="24"/>
          <w:lang w:val="en-GB"/>
        </w:rPr>
        <w:t>Figure 2: Market size of UK’s hospitality industry</w:t>
      </w:r>
    </w:p>
    <w:p>
      <w:pPr>
        <w:pStyle w:val="3"/>
        <w:spacing w:line="360" w:lineRule="auto"/>
        <w:jc w:val="center"/>
        <w:rPr>
          <w:sz w:val="24"/>
          <w:szCs w:val="24"/>
          <w:lang w:val="en-GB"/>
        </w:rPr>
      </w:pPr>
      <w:r>
        <w:rPr>
          <w:sz w:val="24"/>
          <w:szCs w:val="24"/>
          <w:lang w:val="en-GB"/>
        </w:rPr>
        <w:t>(Source: Statista.com, 2022)</w:t>
      </w:r>
    </w:p>
    <w:p>
      <w:pPr>
        <w:pStyle w:val="4"/>
        <w:rPr>
          <w:lang w:val="en-GB"/>
        </w:rPr>
      </w:pPr>
      <w:bookmarkStart w:id="10" w:name="_Toc165308854"/>
      <w:r>
        <w:rPr>
          <w:lang w:val="en-GB"/>
        </w:rPr>
        <w:t>The emergence of work models</w:t>
      </w:r>
      <w:bookmarkEnd w:id="10"/>
    </w:p>
    <w:p>
      <w:pPr>
        <w:pStyle w:val="3"/>
        <w:spacing w:line="360" w:lineRule="auto"/>
        <w:jc w:val="both"/>
        <w:rPr>
          <w:sz w:val="24"/>
          <w:szCs w:val="24"/>
          <w:lang w:val="en-GB"/>
        </w:rPr>
      </w:pPr>
      <w:r>
        <w:rPr>
          <w:sz w:val="24"/>
          <w:szCs w:val="24"/>
          <w:lang w:val="en-GB"/>
        </w:rPr>
        <w:t xml:space="preserve">Over the last five years, hospitality companies have adopted three significant working models; </w:t>
      </w:r>
      <w:r>
        <w:rPr>
          <w:i/>
          <w:sz w:val="24"/>
          <w:szCs w:val="24"/>
          <w:lang w:val="en-GB"/>
        </w:rPr>
        <w:t xml:space="preserve">regular presence, remote </w:t>
      </w:r>
      <w:r>
        <w:rPr>
          <w:sz w:val="24"/>
          <w:szCs w:val="24"/>
          <w:lang w:val="en-GB"/>
        </w:rPr>
        <w:t xml:space="preserve">and </w:t>
      </w:r>
      <w:r>
        <w:rPr>
          <w:i/>
          <w:sz w:val="24"/>
          <w:szCs w:val="24"/>
          <w:lang w:val="en-GB"/>
        </w:rPr>
        <w:t xml:space="preserve">hybrid model. </w:t>
      </w:r>
      <w:r>
        <w:rPr>
          <w:sz w:val="24"/>
          <w:szCs w:val="24"/>
          <w:lang w:val="en-GB"/>
        </w:rPr>
        <w:t xml:space="preserve">Meira </w:t>
      </w:r>
      <w:r>
        <w:rPr>
          <w:i/>
          <w:sz w:val="24"/>
          <w:szCs w:val="24"/>
          <w:lang w:val="en-GB"/>
        </w:rPr>
        <w:t xml:space="preserve">et al., </w:t>
      </w:r>
      <w:r>
        <w:rPr>
          <w:sz w:val="24"/>
          <w:szCs w:val="24"/>
          <w:lang w:val="en-GB"/>
        </w:rPr>
        <w:t xml:space="preserve">(2023, p.158) commented that remote and hybrid working models became popular after the pandemic period and in the current working situation, many companies are providing their expensive focus on business development planning and operations to achieve successful growth in employee management. In the hospitality industry, managers from supply chain, customer management, and marketing can work in both the remote and hybrid models of working. However, the employees who deal in the front office, housekeeping and kitchen, need to work from the office/workplace regularly. Brunetto and Beattie (2020, p.04) viewed shift and rotational strategies are vital for hospitality companies to manage their potential growth aspect to deal with business planning and operational implementations. In response to operational planning and development, companies are responsible for managing their employee base as per the profit generation objectives. This profit generation objective is vital for hospitality companies to acquire successful business growth for achieving objectives. </w:t>
      </w:r>
    </w:p>
    <w:p>
      <w:pPr>
        <w:pStyle w:val="3"/>
        <w:spacing w:line="360" w:lineRule="auto"/>
        <w:jc w:val="both"/>
        <w:rPr>
          <w:sz w:val="24"/>
          <w:szCs w:val="24"/>
          <w:lang w:val="en-GB"/>
        </w:rPr>
      </w:pPr>
      <w:r>
        <w:rPr>
          <w:sz w:val="24"/>
          <w:szCs w:val="24"/>
          <w:lang w:val="en-GB"/>
        </w:rPr>
        <w:t xml:space="preserve">Remote working can help the managers of the hotel industry to achieve success in terms of business planning and operational insulations for better performance in business complexity management. Supply observation, material tracking and customer feedback collection are vital aspects of managing the business plan and operational insulations. These operational insulations of hybrid planning can also help the employees to maintain a flexible working culture. Greasidou and Valachis (2022, p.110) commented that flexibility is vital for companies to allow a successful growth plan for business analysis and implementation. This business analysis and implementation are significant for accumulating a growth plan in employee operations. Rossidis </w:t>
      </w:r>
      <w:r>
        <w:rPr>
          <w:i/>
          <w:sz w:val="24"/>
          <w:szCs w:val="24"/>
          <w:lang w:val="en-GB"/>
        </w:rPr>
        <w:t>et al.,</w:t>
      </w:r>
      <w:r>
        <w:rPr>
          <w:sz w:val="24"/>
          <w:szCs w:val="24"/>
          <w:lang w:val="en-GB"/>
        </w:rPr>
        <w:t xml:space="preserve"> (2021, p.338) argued that remote and hybrid models of working can pose a threat to the business development planning of different hospitality organisations. In terms of achieving success for the planned business, operational implications and strategic planning are vital for acquiring potential plans to deal with the socio-political as well as economic factors for achieving success in the business development operations. Over the last five years, especially from 2020, hybrid and remote working have generated for gathering a potential value addition in business responsibility management and planning. </w:t>
      </w:r>
    </w:p>
    <w:p>
      <w:pPr>
        <w:pStyle w:val="4"/>
        <w:rPr>
          <w:lang w:val="en-GB"/>
        </w:rPr>
      </w:pPr>
      <w:bookmarkStart w:id="11" w:name="_Toc165308855"/>
      <w:r>
        <w:rPr>
          <w:lang w:val="en-GB"/>
        </w:rPr>
        <w:t>Potential solutions</w:t>
      </w:r>
      <w:bookmarkEnd w:id="11"/>
    </w:p>
    <w:p>
      <w:pPr>
        <w:pStyle w:val="3"/>
        <w:spacing w:line="360" w:lineRule="auto"/>
        <w:jc w:val="both"/>
        <w:rPr>
          <w:sz w:val="24"/>
          <w:szCs w:val="24"/>
          <w:lang w:val="en-GB"/>
        </w:rPr>
      </w:pPr>
      <w:r>
        <w:rPr>
          <w:i/>
          <w:sz w:val="24"/>
          <w:szCs w:val="24"/>
          <w:lang w:val="en-GB"/>
        </w:rPr>
        <w:t xml:space="preserve">Digital Communication </w:t>
      </w:r>
      <w:r>
        <w:rPr>
          <w:sz w:val="24"/>
          <w:szCs w:val="24"/>
          <w:lang w:val="en-GB"/>
        </w:rPr>
        <w:t xml:space="preserve">is a significant potential solution for managing better business growth and analytical implementations. In response to the current operational planning, different hospitality companies in the UK are currently focusing on developing digital communication among their employee base. This digital communication strategy can applied in the context of customer communication and feedback collection. This feedback collection is vital for the companies to manage a potential plan of action and development. V de Souza Meira </w:t>
      </w:r>
      <w:r>
        <w:rPr>
          <w:i/>
          <w:sz w:val="24"/>
          <w:szCs w:val="24"/>
          <w:lang w:val="en-GB"/>
        </w:rPr>
        <w:t>et al.,</w:t>
      </w:r>
      <w:r>
        <w:rPr>
          <w:sz w:val="24"/>
          <w:szCs w:val="24"/>
          <w:lang w:val="en-GB"/>
        </w:rPr>
        <w:t xml:space="preserve"> (2022, p.198) viewed that digital communication is a vital strategy for companies to manage business growth and operational implementations. In terms of business growth and operation management, potential communication skills are significant. Zhang (2020, p.03) argued that in the hospitality industry, various companies are managing their digital observation to generate better outcomes. </w:t>
      </w:r>
    </w:p>
    <w:p>
      <w:pPr>
        <w:pStyle w:val="3"/>
        <w:spacing w:line="360" w:lineRule="auto"/>
        <w:jc w:val="both"/>
        <w:rPr>
          <w:sz w:val="24"/>
          <w:szCs w:val="24"/>
          <w:lang w:val="en-GB"/>
        </w:rPr>
      </w:pPr>
      <w:r>
        <w:rPr>
          <w:i/>
          <w:sz w:val="24"/>
          <w:szCs w:val="24"/>
          <w:lang w:val="en-GB"/>
        </w:rPr>
        <w:t xml:space="preserve">Tracking with RFID and digital data transmission </w:t>
      </w:r>
      <w:r>
        <w:rPr>
          <w:sz w:val="24"/>
          <w:szCs w:val="24"/>
          <w:lang w:val="en-GB"/>
        </w:rPr>
        <w:t xml:space="preserve">are the two potential strategies for managing the issues regarding workplace operations. Chan </w:t>
      </w:r>
      <w:r>
        <w:rPr>
          <w:i/>
          <w:sz w:val="24"/>
          <w:szCs w:val="24"/>
          <w:lang w:val="en-GB"/>
        </w:rPr>
        <w:t>et al.,</w:t>
      </w:r>
      <w:r>
        <w:rPr>
          <w:sz w:val="24"/>
          <w:szCs w:val="24"/>
          <w:lang w:val="en-GB"/>
        </w:rPr>
        <w:t xml:space="preserve"> (2021, p.9024) viewed that flexibility management is significant for companies to achieve successful business planning and operational insulations. In response to the strategic business planning and employee management in the hospitality sector, an organisational growth plan is vital for the companies to deal with the proposed planning and strategic implementations. Wood (2020, p.142) mentioned that RFID technology is vital for employees to identify the tracking process and take their actions accordingly. Hence, the employees who are included in the remote and hybrid working models can access this. After conducting a successful propositional analysis, business management planning and operational insulations are also significant for allowing a strategic action plan for dealing with the growth opportunity and management.  </w:t>
      </w:r>
    </w:p>
    <w:p>
      <w:pPr>
        <w:pStyle w:val="2"/>
        <w:rPr>
          <w:lang w:val="en-GB"/>
        </w:rPr>
      </w:pPr>
      <w:bookmarkStart w:id="12" w:name="_Toc165308856"/>
      <w:r>
        <w:rPr>
          <w:lang w:val="en-GB"/>
        </w:rPr>
        <w:t>Evaluation and Conclusion</w:t>
      </w:r>
      <w:bookmarkEnd w:id="12"/>
    </w:p>
    <w:p>
      <w:pPr>
        <w:pStyle w:val="4"/>
        <w:rPr>
          <w:lang w:val="en-GB"/>
        </w:rPr>
      </w:pPr>
      <w:bookmarkStart w:id="13" w:name="_Toc165308857"/>
      <w:r>
        <w:rPr>
          <w:lang w:val="en-GB"/>
        </w:rPr>
        <w:t>Main findings</w:t>
      </w:r>
      <w:bookmarkEnd w:id="13"/>
    </w:p>
    <w:p>
      <w:pPr>
        <w:pStyle w:val="3"/>
        <w:spacing w:line="360" w:lineRule="auto"/>
        <w:jc w:val="both"/>
        <w:rPr>
          <w:sz w:val="24"/>
          <w:szCs w:val="24"/>
          <w:lang w:val="en-GB"/>
        </w:rPr>
      </w:pPr>
      <w:r>
        <w:rPr>
          <w:sz w:val="24"/>
          <w:szCs w:val="24"/>
          <w:lang w:val="en-GB"/>
        </w:rPr>
        <w:t xml:space="preserve">This proposal found that remote and hybrid working are the two significant styles for managing business plans and operational insulations. </w:t>
      </w:r>
      <w:r>
        <w:rPr>
          <w:i/>
          <w:sz w:val="24"/>
          <w:szCs w:val="24"/>
          <w:lang w:val="en-GB"/>
        </w:rPr>
        <w:t xml:space="preserve">Cultural differences </w:t>
      </w:r>
      <w:r>
        <w:rPr>
          <w:sz w:val="24"/>
          <w:szCs w:val="24"/>
          <w:lang w:val="en-GB"/>
        </w:rPr>
        <w:t xml:space="preserve">and the </w:t>
      </w:r>
      <w:r>
        <w:rPr>
          <w:i/>
          <w:sz w:val="24"/>
          <w:szCs w:val="24"/>
          <w:lang w:val="en-GB"/>
        </w:rPr>
        <w:t xml:space="preserve">Skill gap </w:t>
      </w:r>
      <w:r>
        <w:rPr>
          <w:sz w:val="24"/>
          <w:szCs w:val="24"/>
          <w:lang w:val="en-GB"/>
        </w:rPr>
        <w:t xml:space="preserve">are the two important issues, found in this project proposal on Hilton. This project would focus on managing the skill growth of employees in terms of successful operational development in employee management planning for this hospitality organisation. Digital communication with remote and hybrid workplace models would be evaluated in the project for conducting a successful plan of action regarding the operational workforce and hospitality management. In the last five years, the hospitality sector has become highly competitive due to the pandemic situation. </w:t>
      </w:r>
    </w:p>
    <w:p>
      <w:pPr>
        <w:pStyle w:val="3"/>
        <w:spacing w:line="360" w:lineRule="auto"/>
        <w:jc w:val="center"/>
        <w:rPr>
          <w:sz w:val="24"/>
          <w:szCs w:val="24"/>
          <w:lang w:val="en-GB"/>
        </w:rPr>
      </w:pPr>
      <w:r>
        <w:rPr>
          <w:sz w:val="24"/>
          <w:szCs w:val="24"/>
          <w:lang w:val="en-IN" w:eastAsia="en-IN"/>
        </w:rPr>
        <w:drawing>
          <wp:inline distT="114300" distB="114300" distL="114300" distR="114300">
            <wp:extent cx="3238500" cy="21812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9"/>
                    <a:srcRect/>
                    <a:stretch>
                      <a:fillRect/>
                    </a:stretch>
                  </pic:blipFill>
                  <pic:spPr>
                    <a:xfrm>
                      <a:off x="0" y="0"/>
                      <a:ext cx="3238500" cy="2181225"/>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3: Hilton's worldwide revenue in USD</w:t>
      </w:r>
    </w:p>
    <w:p>
      <w:pPr>
        <w:pStyle w:val="3"/>
        <w:spacing w:line="360" w:lineRule="auto"/>
        <w:jc w:val="center"/>
        <w:rPr>
          <w:sz w:val="24"/>
          <w:szCs w:val="24"/>
          <w:lang w:val="en-GB"/>
        </w:rPr>
      </w:pPr>
      <w:r>
        <w:rPr>
          <w:sz w:val="24"/>
          <w:szCs w:val="24"/>
          <w:lang w:val="en-GB"/>
        </w:rPr>
        <w:t>(Source: Statista.com, 2024)</w:t>
      </w:r>
    </w:p>
    <w:p>
      <w:pPr>
        <w:pStyle w:val="4"/>
        <w:rPr>
          <w:lang w:val="en-GB"/>
        </w:rPr>
      </w:pPr>
      <w:bookmarkStart w:id="14" w:name="_Toc165308858"/>
      <w:r>
        <w:rPr>
          <w:lang w:val="en-GB"/>
        </w:rPr>
        <w:t>Evaluation</w:t>
      </w:r>
      <w:bookmarkEnd w:id="14"/>
    </w:p>
    <w:p>
      <w:pPr>
        <w:pStyle w:val="3"/>
        <w:spacing w:line="360" w:lineRule="auto"/>
        <w:jc w:val="both"/>
        <w:rPr>
          <w:sz w:val="24"/>
          <w:szCs w:val="24"/>
          <w:lang w:val="en-GB"/>
        </w:rPr>
      </w:pPr>
      <w:r>
        <w:rPr>
          <w:sz w:val="24"/>
          <w:szCs w:val="24"/>
          <w:lang w:val="en-GB"/>
        </w:rPr>
        <w:t xml:space="preserve">This proposal evaluated the UK-based international hospitality organisation for achieving a successful plan for business growth and development. This proposal has been formulated from the point of view of the General Manager who has assigned the human resource manager of Hilton to prepare a proposal. Hence, this project will focus on the feasibility of digital communication implementation in Hilton to provide better flexibility to the employees of remote and hybrid operations. In order to deal with business planning and development, strategic scopes and vitalisations are helpful for companies to deal with the socio-cultural and economic factors. Skill management is a vital strategy of Hilton and this project will also focus on that. </w:t>
      </w:r>
    </w:p>
    <w:p>
      <w:pPr>
        <w:pStyle w:val="4"/>
        <w:rPr>
          <w:lang w:val="en-GB"/>
        </w:rPr>
      </w:pPr>
      <w:bookmarkStart w:id="15" w:name="_Toc165308859"/>
      <w:r>
        <w:rPr>
          <w:lang w:val="en-GB"/>
        </w:rPr>
        <w:t>Recommendations</w:t>
      </w:r>
      <w:bookmarkEnd w:id="15"/>
    </w:p>
    <w:p>
      <w:pPr>
        <w:pStyle w:val="3"/>
        <w:spacing w:line="360" w:lineRule="auto"/>
        <w:jc w:val="both"/>
        <w:rPr>
          <w:sz w:val="24"/>
          <w:szCs w:val="24"/>
          <w:lang w:val="en-GB"/>
        </w:rPr>
      </w:pPr>
      <w:r>
        <w:rPr>
          <w:sz w:val="24"/>
          <w:szCs w:val="24"/>
          <w:lang w:val="en-GB"/>
        </w:rPr>
        <w:t xml:space="preserve">This project could recommend </w:t>
      </w:r>
      <w:r>
        <w:rPr>
          <w:i/>
          <w:sz w:val="24"/>
          <w:szCs w:val="24"/>
          <w:lang w:val="en-GB"/>
        </w:rPr>
        <w:t xml:space="preserve">digital communication </w:t>
      </w:r>
      <w:r>
        <w:rPr>
          <w:sz w:val="24"/>
          <w:szCs w:val="24"/>
          <w:lang w:val="en-GB"/>
        </w:rPr>
        <w:t xml:space="preserve">as an effective strategy for Hilton as well as the operations workforce of the UK-based hospitality industry. This digital communication can help companies to achieve success through better employee engagement and workplace inclusions. In response to the workplace management and strategic inclusions, this digital communication plays a strategic role for better operational policy, especially for the remote and hybrid model working employees. In order to manage a planned strategic application </w:t>
      </w:r>
      <w:r>
        <w:rPr>
          <w:i/>
          <w:sz w:val="24"/>
          <w:szCs w:val="24"/>
          <w:lang w:val="en-GB"/>
        </w:rPr>
        <w:t xml:space="preserve">data analytics </w:t>
      </w:r>
      <w:r>
        <w:rPr>
          <w:sz w:val="24"/>
          <w:szCs w:val="24"/>
          <w:lang w:val="en-GB"/>
        </w:rPr>
        <w:t xml:space="preserve">and its implementation can play a strategic role in managing justified business growth. Customer management operations and strategic implementations can have a potential development through this policy. </w:t>
      </w:r>
    </w:p>
    <w:p>
      <w:pPr>
        <w:pStyle w:val="4"/>
        <w:rPr>
          <w:lang w:val="en-GB"/>
        </w:rPr>
      </w:pPr>
      <w:bookmarkStart w:id="16" w:name="_Toc165308860"/>
      <w:r>
        <w:rPr>
          <w:lang w:val="en-GB"/>
        </w:rPr>
        <w:t>Conclusion</w:t>
      </w:r>
      <w:bookmarkEnd w:id="16"/>
      <w:r>
        <w:rPr>
          <w:lang w:val="en-GB"/>
        </w:rPr>
        <w:t xml:space="preserve"> </w:t>
      </w:r>
    </w:p>
    <w:p>
      <w:pPr>
        <w:pStyle w:val="3"/>
        <w:spacing w:line="360" w:lineRule="auto"/>
        <w:jc w:val="both"/>
        <w:rPr>
          <w:sz w:val="24"/>
          <w:szCs w:val="24"/>
          <w:lang w:val="en-GB"/>
        </w:rPr>
      </w:pPr>
      <w:r>
        <w:rPr>
          <w:sz w:val="24"/>
          <w:szCs w:val="24"/>
          <w:lang w:val="en-GB"/>
        </w:rPr>
        <w:t xml:space="preserve">Based on the above study, it can conclude that the socio-economic and political implementations play a strategic role in the betterment of business and operation. In response to business management planning and operational implementation, </w:t>
      </w:r>
      <w:r>
        <w:rPr>
          <w:i/>
          <w:sz w:val="24"/>
          <w:szCs w:val="24"/>
          <w:lang w:val="en-GB"/>
        </w:rPr>
        <w:t xml:space="preserve">digital communication, </w:t>
      </w:r>
      <w:r>
        <w:rPr>
          <w:sz w:val="24"/>
          <w:szCs w:val="24"/>
          <w:lang w:val="en-GB"/>
        </w:rPr>
        <w:t xml:space="preserve">and </w:t>
      </w:r>
      <w:r>
        <w:rPr>
          <w:i/>
          <w:sz w:val="24"/>
          <w:szCs w:val="24"/>
          <w:lang w:val="en-GB"/>
        </w:rPr>
        <w:t xml:space="preserve">data analytics </w:t>
      </w:r>
      <w:r>
        <w:rPr>
          <w:sz w:val="24"/>
          <w:szCs w:val="24"/>
          <w:lang w:val="en-GB"/>
        </w:rPr>
        <w:t xml:space="preserve">are the two strategic approaches. The General Manager of Hilton, who formulated this proposal, outlined that </w:t>
      </w:r>
      <w:r>
        <w:rPr>
          <w:i/>
          <w:sz w:val="24"/>
          <w:szCs w:val="24"/>
          <w:lang w:val="en-GB"/>
        </w:rPr>
        <w:t xml:space="preserve">remote </w:t>
      </w:r>
      <w:r>
        <w:rPr>
          <w:sz w:val="24"/>
          <w:szCs w:val="24"/>
          <w:lang w:val="en-GB"/>
        </w:rPr>
        <w:t xml:space="preserve">and </w:t>
      </w:r>
      <w:r>
        <w:rPr>
          <w:i/>
          <w:sz w:val="24"/>
          <w:szCs w:val="24"/>
          <w:lang w:val="en-GB"/>
        </w:rPr>
        <w:t xml:space="preserve">hybrid </w:t>
      </w:r>
      <w:r>
        <w:rPr>
          <w:sz w:val="24"/>
          <w:szCs w:val="24"/>
          <w:lang w:val="en-GB"/>
        </w:rPr>
        <w:t>working models have currently in practice for the last five years. Due to the emancipation of the pandemic, these models have become popular in the hospitality industry in the UK. Therefore, digital communication and data analytics can include more flexibility for the operators, which will  further discussed in the proposal.</w:t>
      </w:r>
      <w:r>
        <w:rPr>
          <w:lang w:val="en-GB"/>
        </w:rPr>
        <w:br w:type="page"/>
      </w:r>
    </w:p>
    <w:p>
      <w:pPr>
        <w:pStyle w:val="2"/>
        <w:rPr>
          <w:lang w:val="en-GB"/>
        </w:rPr>
      </w:pPr>
      <w:bookmarkStart w:id="17" w:name="_Toc165308861"/>
      <w:r>
        <w:rPr>
          <w:lang w:val="en-GB"/>
        </w:rPr>
        <w:t>Reference List</w:t>
      </w:r>
      <w:bookmarkEnd w:id="17"/>
    </w:p>
    <w:p>
      <w:pPr>
        <w:pStyle w:val="3"/>
        <w:spacing w:before="240" w:after="240" w:line="360" w:lineRule="auto"/>
        <w:jc w:val="both"/>
        <w:rPr>
          <w:sz w:val="24"/>
          <w:szCs w:val="24"/>
          <w:u w:val="single"/>
          <w:lang w:val="en-GB"/>
        </w:rPr>
      </w:pPr>
      <w:r>
        <w:rPr>
          <w:sz w:val="24"/>
          <w:szCs w:val="24"/>
          <w:highlight w:val="white"/>
          <w:lang w:val="en-GB"/>
        </w:rPr>
        <w:t xml:space="preserve">Brunetto, Y. and Beattie, R., 2020. Changing role of HRM in the public sector. </w:t>
      </w:r>
      <w:r>
        <w:rPr>
          <w:i/>
          <w:sz w:val="24"/>
          <w:szCs w:val="24"/>
          <w:lang w:val="en-GB"/>
        </w:rPr>
        <w:t>Public Management Review</w:t>
      </w:r>
      <w:r>
        <w:rPr>
          <w:sz w:val="24"/>
          <w:szCs w:val="24"/>
          <w:lang w:val="en-GB"/>
        </w:rPr>
        <w:t xml:space="preserve">, </w:t>
      </w:r>
      <w:r>
        <w:rPr>
          <w:i/>
          <w:sz w:val="24"/>
          <w:szCs w:val="24"/>
          <w:lang w:val="en-GB"/>
        </w:rPr>
        <w:t>22</w:t>
      </w:r>
      <w:r>
        <w:rPr>
          <w:sz w:val="24"/>
          <w:szCs w:val="24"/>
          <w:lang w:val="en-GB"/>
        </w:rPr>
        <w:t>(1), pp.1-5.</w:t>
      </w:r>
      <w:r>
        <w:fldChar w:fldCharType="begin"/>
      </w:r>
      <w:r>
        <w:instrText xml:space="preserve"> HYPERLINK "https://www.tandfonline.com/doi/pdf/10.1080/14719037.2019.1645876"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"https://www.tandfonline.com/doi/pdf/10.1080/14719037.2019.1645876" \h </w:instrText>
      </w:r>
      <w:r>
        <w:fldChar w:fldCharType="separate"/>
      </w:r>
      <w:r>
        <w:rPr>
          <w:sz w:val="24"/>
          <w:szCs w:val="24"/>
          <w:u w:val="single"/>
          <w:lang w:val="en-GB"/>
        </w:rPr>
        <w:t>https://www.tandfonline.com/doi/pdf/10.1080/14719037.2019.1645876</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Chan, J.K.L., Stephen, S.G.A. and Andi Kele, A.T., 2021. Exploring sustainable human resource practices and framework in star-rated hotels. </w:t>
      </w:r>
      <w:r>
        <w:rPr>
          <w:i/>
          <w:sz w:val="24"/>
          <w:szCs w:val="24"/>
          <w:lang w:val="en-GB"/>
        </w:rPr>
        <w:t>Sustainability</w:t>
      </w:r>
      <w:r>
        <w:rPr>
          <w:sz w:val="24"/>
          <w:szCs w:val="24"/>
          <w:lang w:val="en-GB"/>
        </w:rPr>
        <w:t xml:space="preserve">, </w:t>
      </w:r>
      <w:r>
        <w:rPr>
          <w:i/>
          <w:sz w:val="24"/>
          <w:szCs w:val="24"/>
          <w:lang w:val="en-GB"/>
        </w:rPr>
        <w:t>13</w:t>
      </w:r>
      <w:r>
        <w:rPr>
          <w:sz w:val="24"/>
          <w:szCs w:val="24"/>
          <w:lang w:val="en-GB"/>
        </w:rPr>
        <w:t>(16), p.9024.</w:t>
      </w:r>
      <w:r>
        <w:fldChar w:fldCharType="begin"/>
      </w:r>
      <w:r>
        <w:instrText xml:space="preserve"> HYPERLINK "https://www.mdpi.com/2071-1050/13/16/9024/pdf"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"https://www.mdpi.com/2071-1050/13/16/9024/pdf" \h </w:instrText>
      </w:r>
      <w:r>
        <w:fldChar w:fldCharType="separate"/>
      </w:r>
      <w:r>
        <w:rPr>
          <w:sz w:val="24"/>
          <w:szCs w:val="24"/>
          <w:u w:val="single"/>
          <w:lang w:val="en-GB"/>
        </w:rPr>
        <w:t>https://www.mdpi.com/2071-1050/13/16/9024/pdf</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Greasidou, M. and Valachis, I., 2022. The role of human resource management in service quality improvement of hotel businesses. </w:t>
      </w:r>
      <w:r>
        <w:rPr>
          <w:i/>
          <w:sz w:val="24"/>
          <w:szCs w:val="24"/>
          <w:lang w:val="en-GB"/>
        </w:rPr>
        <w:t>Enlightening Tourism. A Pathmaking Journal</w:t>
      </w:r>
      <w:r>
        <w:rPr>
          <w:sz w:val="24"/>
          <w:szCs w:val="24"/>
          <w:lang w:val="en-GB"/>
        </w:rPr>
        <w:t xml:space="preserve">, </w:t>
      </w:r>
      <w:r>
        <w:rPr>
          <w:i/>
          <w:sz w:val="24"/>
          <w:szCs w:val="24"/>
          <w:lang w:val="en-GB"/>
        </w:rPr>
        <w:t>12</w:t>
      </w:r>
      <w:r>
        <w:rPr>
          <w:sz w:val="24"/>
          <w:szCs w:val="24"/>
          <w:lang w:val="en-GB"/>
        </w:rPr>
        <w:t>(3), pp.105-135.</w:t>
      </w:r>
      <w:r>
        <w:fldChar w:fldCharType="begin"/>
      </w:r>
      <w:r>
        <w:instrText xml:space="preserve"> HYPERLINK "https://www.uhu.es/publicaciones/ojs/index.php/et/article/download/7277/6337"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"https://www.uhu.es/publicaciones/ojs/index.php/et/article/download/7277/6337" \h </w:instrText>
      </w:r>
      <w:r>
        <w:fldChar w:fldCharType="separate"/>
      </w:r>
      <w:r>
        <w:rPr>
          <w:sz w:val="24"/>
          <w:szCs w:val="24"/>
          <w:u w:val="single"/>
          <w:lang w:val="en-GB"/>
        </w:rPr>
        <w:t>https://www.uhu.es/publicaciones/ojs/index.php/et/article/download/7277/6337</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Meira, J.V.D.S., Hancer, M., Anjos, S.J.G.D. and Eves, A., 2023. Human resources practices and employee motivation in the hospitality industry: A cross-cultural research. </w:t>
      </w:r>
      <w:r>
        <w:rPr>
          <w:i/>
          <w:sz w:val="24"/>
          <w:szCs w:val="24"/>
          <w:lang w:val="en-GB"/>
        </w:rPr>
        <w:t>Tourism and hospitality management</w:t>
      </w:r>
      <w:r>
        <w:rPr>
          <w:sz w:val="24"/>
          <w:szCs w:val="24"/>
          <w:lang w:val="en-GB"/>
        </w:rPr>
        <w:t xml:space="preserve">, </w:t>
      </w:r>
      <w:r>
        <w:rPr>
          <w:i/>
          <w:sz w:val="24"/>
          <w:szCs w:val="24"/>
          <w:lang w:val="en-GB"/>
        </w:rPr>
        <w:t>29</w:t>
      </w:r>
      <w:r>
        <w:rPr>
          <w:sz w:val="24"/>
          <w:szCs w:val="24"/>
          <w:lang w:val="en-GB"/>
        </w:rPr>
        <w:t>(2), pp.157-167.</w:t>
      </w:r>
      <w:r>
        <w:fldChar w:fldCharType="begin"/>
      </w:r>
      <w:r>
        <w:instrText xml:space="preserve"> HYPERLINK "https://hrcak.srce.hr/file/435052"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"https://hrcak.srce.hr/file/435052" \h </w:instrText>
      </w:r>
      <w:r>
        <w:fldChar w:fldCharType="separate"/>
      </w:r>
      <w:r>
        <w:rPr>
          <w:sz w:val="24"/>
          <w:szCs w:val="24"/>
          <w:u w:val="single"/>
          <w:lang w:val="en-GB"/>
        </w:rPr>
        <w:t>https://hrcak.srce.hr/file/435052</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Neupane, R. and Khanal, T.R., 2022. Evaluation of The Impacts of Training on Employee Performance in The UK Hotel Industry: An Analysis of Employees’ Perspectives at Marriott International. </w:t>
      </w:r>
      <w:r>
        <w:rPr>
          <w:i/>
          <w:sz w:val="24"/>
          <w:szCs w:val="24"/>
          <w:lang w:val="en-GB"/>
        </w:rPr>
        <w:t>International Journal of Research-GRANTHAALAYAH</w:t>
      </w:r>
      <w:r>
        <w:rPr>
          <w:sz w:val="24"/>
          <w:szCs w:val="24"/>
          <w:lang w:val="en-GB"/>
        </w:rPr>
        <w:t xml:space="preserve">, </w:t>
      </w:r>
      <w:r>
        <w:rPr>
          <w:i/>
          <w:sz w:val="24"/>
          <w:szCs w:val="24"/>
          <w:lang w:val="en-GB"/>
        </w:rPr>
        <w:t>10</w:t>
      </w:r>
      <w:r>
        <w:rPr>
          <w:sz w:val="24"/>
          <w:szCs w:val="24"/>
          <w:lang w:val="en-GB"/>
        </w:rPr>
        <w:t>(3), pp.57-85.</w:t>
      </w:r>
      <w:r>
        <w:fldChar w:fldCharType="begin"/>
      </w:r>
      <w:r>
        <w:instrText xml:space="preserve"> HYPERLINK "https://pdfs.semanticscholar.org/9998/18868ef301d019696060860db1525b03a38f.pdf"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"https://pdfs.semanticscholar.org/9998/18868ef301d019696060860db1525b03a38f.pdf" \h </w:instrText>
      </w:r>
      <w:r>
        <w:fldChar w:fldCharType="separate"/>
      </w:r>
      <w:r>
        <w:rPr>
          <w:sz w:val="24"/>
          <w:szCs w:val="24"/>
          <w:u w:val="single"/>
          <w:lang w:val="en-GB"/>
        </w:rPr>
        <w:t>https://pdfs.semanticscholar.org/9998/18868ef301d019696060860db1525b03a38f.pdf</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Papademetriou, C., Anastasiadou, S. and Papalexandris, S., 2023. The effect of sustainable human resource management practices on customer satisfaction, service quality, and institutional performance in hotel businesses. </w:t>
      </w:r>
      <w:r>
        <w:rPr>
          <w:i/>
          <w:sz w:val="24"/>
          <w:szCs w:val="24"/>
          <w:lang w:val="en-GB"/>
        </w:rPr>
        <w:t>Sustainability</w:t>
      </w:r>
      <w:r>
        <w:rPr>
          <w:sz w:val="24"/>
          <w:szCs w:val="24"/>
          <w:lang w:val="en-GB"/>
        </w:rPr>
        <w:t xml:space="preserve">, </w:t>
      </w:r>
      <w:r>
        <w:rPr>
          <w:i/>
          <w:sz w:val="24"/>
          <w:szCs w:val="24"/>
          <w:lang w:val="en-GB"/>
        </w:rPr>
        <w:t>15</w:t>
      </w:r>
      <w:r>
        <w:rPr>
          <w:sz w:val="24"/>
          <w:szCs w:val="24"/>
          <w:lang w:val="en-GB"/>
        </w:rPr>
        <w:t>(10), p.8251.</w:t>
      </w:r>
      <w:r>
        <w:fldChar w:fldCharType="begin"/>
      </w:r>
      <w:r>
        <w:instrText xml:space="preserve"> HYPERLINK "https://www.mdpi.com/2071-1050/15/10/8251/pdf"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"https://www.mdpi.com/2071-1050/15/10/8251/pdf" \h </w:instrText>
      </w:r>
      <w:r>
        <w:fldChar w:fldCharType="separate"/>
      </w:r>
      <w:r>
        <w:rPr>
          <w:sz w:val="24"/>
          <w:szCs w:val="24"/>
          <w:u w:val="single"/>
          <w:lang w:val="en-GB"/>
        </w:rPr>
        <w:t>https://www.mdpi.com/2071-1050/15/10/8251/pdf</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Rossidis, I., Belias, D. and Vasiliadis, L., 2021, June. Strategic human resource management in the international hospitality industry. An extensive literature review. In </w:t>
      </w:r>
      <w:r>
        <w:rPr>
          <w:i/>
          <w:sz w:val="24"/>
          <w:szCs w:val="24"/>
          <w:lang w:val="en-GB"/>
        </w:rPr>
        <w:t>Culture and Tourism in a Smart, Globalized, and Sustainable World: 7th International Conference of IACuDiT, Hydra, Greece, 2020</w:t>
      </w:r>
      <w:r>
        <w:rPr>
          <w:sz w:val="24"/>
          <w:szCs w:val="24"/>
          <w:lang w:val="en-GB"/>
        </w:rPr>
        <w:t xml:space="preserve"> (pp. 337-346). Cham: Springer International Publishing.</w:t>
      </w:r>
      <w:r>
        <w:rPr>
          <w:sz w:val="24"/>
          <w:szCs w:val="24"/>
          <w:lang w:val="en-GB"/>
        </w:rPr>
        <w:fldChar w:fldCharType="begin"/>
      </w:r>
      <w:r>
        <w:rPr>
          <w:sz w:val="24"/>
          <w:szCs w:val="24"/>
          <w:lang w:val="en-GB"/>
        </w:rPr>
        <w:instrText xml:space="preserve"> HYPERLINK "https://link.springer.com/chapter/10.1007/978-3-030-72469-6_22" \h </w:instrText>
      </w:r>
      <w:r>
        <w:rPr>
          <w:sz w:val="24"/>
          <w:szCs w:val="24"/>
          <w:lang w:val="en-GB"/>
        </w:rPr>
        <w:fldChar w:fldCharType="separate"/>
      </w:r>
      <w:r>
        <w:rPr>
          <w:sz w:val="24"/>
          <w:szCs w:val="24"/>
          <w:lang w:val="en-GB"/>
        </w:rPr>
        <w:t xml:space="preserve"> </w:t>
      </w:r>
      <w:r>
        <w:rPr>
          <w:sz w:val="24"/>
          <w:szCs w:val="24"/>
          <w:lang w:val="en-GB"/>
        </w:rPr>
        <w:fldChar w:fldCharType="end"/>
      </w:r>
      <w:r>
        <w:fldChar w:fldCharType="begin"/>
      </w:r>
      <w:r>
        <w:instrText xml:space="preserve"> HYPERLINK "https://link.springer.com/chapter/10.1007/978-3-030-72469-6_22" \h </w:instrText>
      </w:r>
      <w:r>
        <w:fldChar w:fldCharType="separate"/>
      </w:r>
      <w:r>
        <w:rPr>
          <w:sz w:val="24"/>
          <w:szCs w:val="24"/>
          <w:u w:val="single"/>
          <w:lang w:val="en-GB"/>
        </w:rPr>
        <w:t>https://link.springer.com/chapter/10.1007/978-3-030-72469-6_22</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Sarwar, H., Ishaq, M.I. and Franzoni, S., 2024. Influence of HRM on CSR and performance of upscale hotels in developed and developing countries. </w:t>
      </w:r>
      <w:r>
        <w:rPr>
          <w:i/>
          <w:sz w:val="24"/>
          <w:szCs w:val="24"/>
          <w:lang w:val="en-GB"/>
        </w:rPr>
        <w:t>Environment, Development and Sustainability</w:t>
      </w:r>
      <w:r>
        <w:rPr>
          <w:sz w:val="24"/>
          <w:szCs w:val="24"/>
          <w:lang w:val="en-GB"/>
        </w:rPr>
        <w:t xml:space="preserve">, </w:t>
      </w:r>
      <w:r>
        <w:rPr>
          <w:i/>
          <w:sz w:val="24"/>
          <w:szCs w:val="24"/>
          <w:lang w:val="en-GB"/>
        </w:rPr>
        <w:t>26</w:t>
      </w:r>
      <w:r>
        <w:rPr>
          <w:sz w:val="24"/>
          <w:szCs w:val="24"/>
          <w:lang w:val="en-GB"/>
        </w:rPr>
        <w:t>(1), pp.335-357.</w:t>
      </w:r>
      <w:r>
        <w:fldChar w:fldCharType="begin"/>
      </w:r>
      <w:r>
        <w:instrText xml:space="preserve"> HYPERLINK "https://link.springer.com/content/pdf/10.1007/s10668-022-02711-x.pdf"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"https://link.springer.com/content/pdf/10.1007/s10668-022-02711-x.pdf" \h </w:instrText>
      </w:r>
      <w:r>
        <w:fldChar w:fldCharType="separate"/>
      </w:r>
      <w:r>
        <w:rPr>
          <w:sz w:val="24"/>
          <w:szCs w:val="24"/>
          <w:u w:val="single"/>
          <w:lang w:val="en-GB"/>
        </w:rPr>
        <w:t>https://link.springer.com/content/pdf/10.1007/s10668-022-02711-x.pdf</w:t>
      </w:r>
      <w:r>
        <w:rPr>
          <w:sz w:val="24"/>
          <w:szCs w:val="24"/>
          <w:u w:val="single"/>
          <w:lang w:val="en-GB"/>
        </w:rPr>
        <w:fldChar w:fldCharType="end"/>
      </w:r>
    </w:p>
    <w:p>
      <w:pPr>
        <w:pStyle w:val="3"/>
        <w:spacing w:before="240" w:after="240" w:line="360" w:lineRule="auto"/>
        <w:jc w:val="both"/>
        <w:rPr>
          <w:sz w:val="24"/>
          <w:szCs w:val="24"/>
          <w:highlight w:val="white"/>
          <w:lang w:val="en-GB"/>
        </w:rPr>
      </w:pPr>
      <w:r>
        <w:rPr>
          <w:sz w:val="24"/>
          <w:szCs w:val="24"/>
          <w:highlight w:val="white"/>
          <w:lang w:val="en-GB"/>
        </w:rPr>
        <w:t xml:space="preserve">Statista.com, 2024, </w:t>
      </w:r>
      <w:r>
        <w:rPr>
          <w:i/>
          <w:sz w:val="24"/>
          <w:szCs w:val="24"/>
          <w:highlight w:val="white"/>
          <w:lang w:val="en-GB"/>
        </w:rPr>
        <w:t xml:space="preserve">Market size of the hotel industry in the United Kingdom from 2013 to 2022, with a forecast for 2023, </w:t>
      </w:r>
      <w:r>
        <w:rPr>
          <w:sz w:val="24"/>
          <w:szCs w:val="24"/>
          <w:highlight w:val="white"/>
          <w:lang w:val="en-GB"/>
        </w:rPr>
        <w:t>Available from: https://www.statista.com/statistics/1364712/hotel-industry-market-size-uk/ Accessed on [29</w:t>
      </w:r>
      <w:r>
        <w:rPr>
          <w:sz w:val="24"/>
          <w:szCs w:val="24"/>
          <w:highlight w:val="white"/>
          <w:vertAlign w:val="superscript"/>
          <w:lang w:val="en-GB"/>
        </w:rPr>
        <w:t>th</w:t>
      </w:r>
      <w:r>
        <w:rPr>
          <w:sz w:val="24"/>
          <w:szCs w:val="24"/>
          <w:highlight w:val="white"/>
          <w:lang w:val="en-GB"/>
        </w:rPr>
        <w:t xml:space="preserve"> April, 2024]</w:t>
      </w:r>
    </w:p>
    <w:p>
      <w:pPr>
        <w:pStyle w:val="3"/>
        <w:spacing w:before="240" w:after="240" w:line="360" w:lineRule="auto"/>
        <w:jc w:val="both"/>
        <w:rPr>
          <w:sz w:val="24"/>
          <w:szCs w:val="24"/>
          <w:highlight w:val="white"/>
          <w:lang w:val="en-GB"/>
        </w:rPr>
      </w:pPr>
      <w:r>
        <w:rPr>
          <w:sz w:val="24"/>
          <w:szCs w:val="24"/>
          <w:highlight w:val="white"/>
          <w:lang w:val="en-GB"/>
        </w:rPr>
        <w:t xml:space="preserve">Statista.com, 2024, </w:t>
      </w:r>
      <w:r>
        <w:rPr>
          <w:i/>
          <w:sz w:val="24"/>
          <w:szCs w:val="24"/>
          <w:highlight w:val="white"/>
          <w:lang w:val="en-GB"/>
        </w:rPr>
        <w:t xml:space="preserve">Number of Hilton Worldwide Holdings employees from 2013 to 2023, </w:t>
      </w:r>
      <w:r>
        <w:rPr>
          <w:sz w:val="24"/>
          <w:szCs w:val="24"/>
          <w:highlight w:val="white"/>
          <w:lang w:val="en-GB"/>
        </w:rPr>
        <w:t>Available from: https://www.statista.com/statistics/297758/number-of-hilton-worldwide-employees/#:~:text=employed%20approximately%20178%20thousand%20people,pre%2Dpandemic%20levels%20in%202023. Accessed on [29</w:t>
      </w:r>
      <w:r>
        <w:rPr>
          <w:sz w:val="24"/>
          <w:szCs w:val="24"/>
          <w:highlight w:val="white"/>
          <w:vertAlign w:val="superscript"/>
          <w:lang w:val="en-GB"/>
        </w:rPr>
        <w:t>th</w:t>
      </w:r>
      <w:r>
        <w:rPr>
          <w:sz w:val="24"/>
          <w:szCs w:val="24"/>
          <w:highlight w:val="white"/>
          <w:lang w:val="en-GB"/>
        </w:rPr>
        <w:t xml:space="preserve"> April, 2024]</w:t>
      </w:r>
    </w:p>
    <w:p>
      <w:pPr>
        <w:pStyle w:val="3"/>
        <w:spacing w:before="240" w:after="240" w:line="360" w:lineRule="auto"/>
        <w:jc w:val="both"/>
        <w:rPr>
          <w:sz w:val="24"/>
          <w:szCs w:val="24"/>
          <w:highlight w:val="white"/>
          <w:lang w:val="en-GB"/>
        </w:rPr>
      </w:pPr>
      <w:r>
        <w:rPr>
          <w:sz w:val="24"/>
          <w:szCs w:val="24"/>
          <w:highlight w:val="white"/>
          <w:lang w:val="en-GB"/>
        </w:rPr>
        <w:t xml:space="preserve">Statista.com, 2024, </w:t>
      </w:r>
      <w:r>
        <w:rPr>
          <w:i/>
          <w:sz w:val="24"/>
          <w:szCs w:val="24"/>
          <w:highlight w:val="white"/>
          <w:lang w:val="en-GB"/>
        </w:rPr>
        <w:t xml:space="preserve">Revenue of Hilton Worldwide Holdings from 2009 to 2023, </w:t>
      </w:r>
      <w:r>
        <w:rPr>
          <w:sz w:val="24"/>
          <w:szCs w:val="24"/>
          <w:highlight w:val="white"/>
          <w:lang w:val="en-GB"/>
        </w:rPr>
        <w:t>Available from: https://www.statista.com/statistics/297760/revenue-of-hilton-worldwide-holdings-inc/ Accessed on [29</w:t>
      </w:r>
      <w:r>
        <w:rPr>
          <w:sz w:val="24"/>
          <w:szCs w:val="24"/>
          <w:highlight w:val="white"/>
          <w:vertAlign w:val="superscript"/>
          <w:lang w:val="en-GB"/>
        </w:rPr>
        <w:t>th</w:t>
      </w:r>
      <w:r>
        <w:rPr>
          <w:sz w:val="24"/>
          <w:szCs w:val="24"/>
          <w:highlight w:val="white"/>
          <w:lang w:val="en-GB"/>
        </w:rPr>
        <w:t xml:space="preserve"> April, 2024]</w:t>
      </w:r>
    </w:p>
    <w:p>
      <w:pPr>
        <w:pStyle w:val="3"/>
        <w:spacing w:before="240" w:after="240" w:line="360" w:lineRule="auto"/>
        <w:jc w:val="both"/>
        <w:rPr>
          <w:sz w:val="24"/>
          <w:szCs w:val="24"/>
          <w:highlight w:val="white"/>
          <w:lang w:val="en-GB"/>
        </w:rPr>
      </w:pPr>
      <w:r>
        <w:rPr>
          <w:sz w:val="24"/>
          <w:szCs w:val="24"/>
          <w:highlight w:val="white"/>
          <w:lang w:val="en-GB"/>
        </w:rPr>
        <w:t xml:space="preserve">stories-editor.hilton.com, 2023, </w:t>
      </w:r>
      <w:r>
        <w:rPr>
          <w:i/>
          <w:sz w:val="24"/>
          <w:szCs w:val="24"/>
          <w:highlight w:val="white"/>
          <w:lang w:val="en-GB"/>
        </w:rPr>
        <w:t xml:space="preserve">2023 Hilton Year in Review, </w:t>
      </w:r>
      <w:r>
        <w:rPr>
          <w:sz w:val="24"/>
          <w:szCs w:val="24"/>
          <w:highlight w:val="white"/>
          <w:lang w:val="en-GB"/>
        </w:rPr>
        <w:t>Available from: https://stories.hilton.com/2023-annual-report Accessed on [29</w:t>
      </w:r>
      <w:r>
        <w:rPr>
          <w:sz w:val="24"/>
          <w:szCs w:val="24"/>
          <w:highlight w:val="white"/>
          <w:vertAlign w:val="superscript"/>
          <w:lang w:val="en-GB"/>
        </w:rPr>
        <w:t>th</w:t>
      </w:r>
      <w:r>
        <w:rPr>
          <w:sz w:val="24"/>
          <w:szCs w:val="24"/>
          <w:highlight w:val="white"/>
          <w:lang w:val="en-GB"/>
        </w:rPr>
        <w:t xml:space="preserve"> April, 2024]</w:t>
      </w:r>
    </w:p>
    <w:p>
      <w:pPr>
        <w:pStyle w:val="3"/>
        <w:spacing w:before="240" w:after="240" w:line="360" w:lineRule="auto"/>
        <w:jc w:val="both"/>
        <w:rPr>
          <w:sz w:val="24"/>
          <w:szCs w:val="24"/>
          <w:u w:val="single"/>
          <w:lang w:val="en-GB"/>
        </w:rPr>
      </w:pPr>
      <w:r>
        <w:rPr>
          <w:sz w:val="24"/>
          <w:szCs w:val="24"/>
          <w:highlight w:val="white"/>
          <w:lang w:val="en-GB"/>
        </w:rPr>
        <w:t xml:space="preserve">Tan, Y. and Despotis, D., 2021. Investigation of efficiency in the UK hotel industry: a network data envelopment analysis approach. </w:t>
      </w:r>
      <w:r>
        <w:rPr>
          <w:i/>
          <w:sz w:val="24"/>
          <w:szCs w:val="24"/>
          <w:lang w:val="en-GB"/>
        </w:rPr>
        <w:t>International Journal of Contemporary Hospitality Management</w:t>
      </w:r>
      <w:r>
        <w:rPr>
          <w:sz w:val="24"/>
          <w:szCs w:val="24"/>
          <w:lang w:val="en-GB"/>
        </w:rPr>
        <w:t xml:space="preserve">, </w:t>
      </w:r>
      <w:r>
        <w:rPr>
          <w:i/>
          <w:sz w:val="24"/>
          <w:szCs w:val="24"/>
          <w:lang w:val="en-GB"/>
        </w:rPr>
        <w:t>33</w:t>
      </w:r>
      <w:r>
        <w:rPr>
          <w:sz w:val="24"/>
          <w:szCs w:val="24"/>
          <w:lang w:val="en-GB"/>
        </w:rPr>
        <w:t>(3), pp.1080-1104.</w:t>
      </w:r>
      <w:r>
        <w:fldChar w:fldCharType="begin"/>
      </w:r>
      <w:r>
        <w:instrText xml:space="preserve"> HYPERLINK "https://pure.hud.ac.uk/ws/files/34921450/CHECKED_IJCHM_revised_manuscript_02012021.pdf"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"https://pure.hud.ac.uk/ws/files/34921450/CHECKED_IJCHM_revised_manuscript_02012021.pdf" \h </w:instrText>
      </w:r>
      <w:r>
        <w:fldChar w:fldCharType="separate"/>
      </w:r>
      <w:r>
        <w:rPr>
          <w:sz w:val="24"/>
          <w:szCs w:val="24"/>
          <w:u w:val="single"/>
          <w:lang w:val="en-GB"/>
        </w:rPr>
        <w:t>https://pure.hud.ac.uk/ws/files/34921450/CHECKED_IJCHM_revised_manuscript_02012021.pdf</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V de Souza Meira, J., Hancer, M., Anjos, S.J.D. and Eves, A., 2022. Studying the relationship between human resources practices, employee motivation, and online hotel reviews: An empirical approach to the hospitality industry. </w:t>
      </w:r>
      <w:r>
        <w:rPr>
          <w:i/>
          <w:sz w:val="24"/>
          <w:szCs w:val="24"/>
          <w:lang w:val="en-GB"/>
        </w:rPr>
        <w:t>Tourism and Hospitality Research</w:t>
      </w:r>
      <w:r>
        <w:rPr>
          <w:sz w:val="24"/>
          <w:szCs w:val="24"/>
          <w:lang w:val="en-GB"/>
        </w:rPr>
        <w:t xml:space="preserve">, </w:t>
      </w:r>
      <w:r>
        <w:rPr>
          <w:i/>
          <w:sz w:val="24"/>
          <w:szCs w:val="24"/>
          <w:lang w:val="en-GB"/>
        </w:rPr>
        <w:t>22</w:t>
      </w:r>
      <w:r>
        <w:rPr>
          <w:sz w:val="24"/>
          <w:szCs w:val="24"/>
          <w:lang w:val="en-GB"/>
        </w:rPr>
        <w:t>(2), pp.196-208.</w:t>
      </w:r>
      <w:r>
        <w:fldChar w:fldCharType="begin"/>
      </w:r>
      <w:r>
        <w:instrText xml:space="preserve"> HYPERLINK "https://journals.sagepub.com/doi/abs/10.1177/14673584211024710"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"https://journals.sagepub.com/doi/abs/10.1177/14673584211024710" \h </w:instrText>
      </w:r>
      <w:r>
        <w:fldChar w:fldCharType="separate"/>
      </w:r>
      <w:r>
        <w:rPr>
          <w:sz w:val="24"/>
          <w:szCs w:val="24"/>
          <w:u w:val="single"/>
          <w:lang w:val="en-GB"/>
        </w:rPr>
        <w:t>https://journals.sagepub.com/doi/abs/10.1177/14673584211024710</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Wood, R.C., 2020. Perspectives on hospitality industry trade unionism in the UK and beyond. </w:t>
      </w:r>
      <w:r>
        <w:rPr>
          <w:i/>
          <w:sz w:val="24"/>
          <w:szCs w:val="24"/>
          <w:lang w:val="en-GB"/>
        </w:rPr>
        <w:t>Research in Hospitality Management</w:t>
      </w:r>
      <w:r>
        <w:rPr>
          <w:sz w:val="24"/>
          <w:szCs w:val="24"/>
          <w:lang w:val="en-GB"/>
        </w:rPr>
        <w:t xml:space="preserve">, </w:t>
      </w:r>
      <w:r>
        <w:rPr>
          <w:i/>
          <w:sz w:val="24"/>
          <w:szCs w:val="24"/>
          <w:lang w:val="en-GB"/>
        </w:rPr>
        <w:t>10</w:t>
      </w:r>
      <w:r>
        <w:rPr>
          <w:sz w:val="24"/>
          <w:szCs w:val="24"/>
          <w:lang w:val="en-GB"/>
        </w:rPr>
        <w:t>(2), pp.137-147.</w:t>
      </w:r>
      <w:r>
        <w:fldChar w:fldCharType="begin"/>
      </w:r>
      <w:r>
        <w:instrText xml:space="preserve"> HYPERLINK "https://www.tandfonline.com/doi/pdf/10.1080/22243534.2020.1869456"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"https://www.tandfonline.com/doi/pdf/10.1080/22243534.2020.1869456" \h </w:instrText>
      </w:r>
      <w:r>
        <w:fldChar w:fldCharType="separate"/>
      </w:r>
      <w:r>
        <w:rPr>
          <w:sz w:val="24"/>
          <w:szCs w:val="24"/>
          <w:u w:val="single"/>
          <w:lang w:val="en-GB"/>
        </w:rPr>
        <w:t>https://www.tandfonline.com/doi/pdf/10.1080/22243534.2020.1869456</w:t>
      </w:r>
      <w:r>
        <w:rPr>
          <w:sz w:val="24"/>
          <w:szCs w:val="24"/>
          <w:u w:val="single"/>
          <w:lang w:val="en-GB"/>
        </w:rPr>
        <w:fldChar w:fldCharType="end"/>
      </w:r>
    </w:p>
    <w:p>
      <w:pPr>
        <w:pStyle w:val="3"/>
        <w:spacing w:before="240" w:after="240" w:line="360" w:lineRule="auto"/>
        <w:jc w:val="both"/>
        <w:rPr>
          <w:sz w:val="24"/>
          <w:szCs w:val="24"/>
          <w:u w:val="single"/>
          <w:lang w:val="en-GB"/>
        </w:rPr>
      </w:pPr>
      <w:r>
        <w:rPr>
          <w:sz w:val="24"/>
          <w:szCs w:val="24"/>
          <w:highlight w:val="white"/>
          <w:lang w:val="en-GB"/>
        </w:rPr>
        <w:t xml:space="preserve">Zhang, Y., 2020. Being Boutique in a Hotel Cluster: The Benefits and Threats of Agglomeration. </w:t>
      </w:r>
      <w:r>
        <w:rPr>
          <w:i/>
          <w:sz w:val="24"/>
          <w:szCs w:val="24"/>
          <w:lang w:val="en-GB"/>
        </w:rPr>
        <w:t>Journal of Strategic Innovation &amp; Sustainability</w:t>
      </w:r>
      <w:r>
        <w:rPr>
          <w:sz w:val="24"/>
          <w:szCs w:val="24"/>
          <w:lang w:val="en-GB"/>
        </w:rPr>
        <w:t xml:space="preserve">, </w:t>
      </w:r>
      <w:r>
        <w:rPr>
          <w:i/>
          <w:sz w:val="24"/>
          <w:szCs w:val="24"/>
          <w:lang w:val="en-GB"/>
        </w:rPr>
        <w:t>15</w:t>
      </w:r>
      <w:r>
        <w:rPr>
          <w:sz w:val="24"/>
          <w:szCs w:val="24"/>
          <w:lang w:val="en-GB"/>
        </w:rPr>
        <w:t>(4).</w:t>
      </w:r>
      <w:r>
        <w:fldChar w:fldCharType="begin"/>
      </w:r>
      <w:r>
        <w:instrText xml:space="preserve"> HYPERLINK "http://www.na-businesspress.com/JSIS/JSIS15-4/5_ZhangFinal.pdf"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"http://www.na-businesspress.com/JSIS/JSIS15-4/5_ZhangFinal.pdf" \h </w:instrText>
      </w:r>
      <w:r>
        <w:fldChar w:fldCharType="separate"/>
      </w:r>
      <w:r>
        <w:rPr>
          <w:sz w:val="24"/>
          <w:szCs w:val="24"/>
          <w:u w:val="single"/>
          <w:lang w:val="en-GB"/>
        </w:rPr>
        <w:t>http://www.na-businesspress.com/JSIS/JSIS15-4/5_ZhangFinal.pdf</w:t>
      </w:r>
      <w:r>
        <w:rPr>
          <w:sz w:val="24"/>
          <w:szCs w:val="24"/>
          <w:u w:val="single"/>
          <w:lang w:val="en-GB"/>
        </w:rPr>
        <w:fldChar w:fldCharType="end"/>
      </w:r>
    </w:p>
    <w:p>
      <w:pPr>
        <w:pStyle w:val="3"/>
        <w:spacing w:before="240" w:after="240" w:line="360" w:lineRule="auto"/>
        <w:jc w:val="both"/>
        <w:rPr>
          <w:sz w:val="24"/>
          <w:szCs w:val="24"/>
          <w:highlight w:val="white"/>
          <w:lang w:val="en-GB"/>
        </w:rPr>
      </w:pPr>
      <w:r>
        <w:rPr>
          <w:sz w:val="24"/>
          <w:szCs w:val="24"/>
          <w:highlight w:val="white"/>
          <w:lang w:val="en-GB"/>
        </w:rPr>
        <w:t xml:space="preserve">                                                 </w:t>
      </w:r>
    </w:p>
    <w:p>
      <w:pPr>
        <w:pStyle w:val="3"/>
        <w:spacing w:line="360" w:lineRule="auto"/>
        <w:jc w:val="both"/>
        <w:rPr>
          <w:sz w:val="24"/>
          <w:szCs w:val="24"/>
          <w:lang w:val="en-GB"/>
        </w:rPr>
      </w:pPr>
      <w:r>
        <w:rPr>
          <w:sz w:val="24"/>
          <w:szCs w:val="24"/>
          <w:lang w:val="en-GB"/>
        </w:rPr>
        <w:t xml:space="preserve"> </w:t>
      </w:r>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8255608"/>
      <w:docPartObj>
        <w:docPartGallery w:val="autotext"/>
      </w:docPartObj>
    </w:sdtPr>
    <w:sdtContent>
      <w:p>
        <w:pPr>
          <w:pStyle w:val="14"/>
          <w:jc w:val="right"/>
        </w:pPr>
        <w:r>
          <w:rPr>
            <w:sz w:val="24"/>
            <w:szCs w:val="24"/>
          </w:rPr>
          <w:fldChar w:fldCharType="begin"/>
        </w:r>
        <w:r>
          <w:rPr>
            <w:sz w:val="24"/>
            <w:szCs w:val="24"/>
          </w:rPr>
          <w:instrText xml:space="preserve"> PAGE   \* MERGEFORMAT </w:instrText>
        </w:r>
        <w:r>
          <w:rPr>
            <w:sz w:val="24"/>
            <w:szCs w:val="24"/>
          </w:rPr>
          <w:fldChar w:fldCharType="separate"/>
        </w:r>
        <w:r>
          <w:rPr>
            <w:sz w:val="24"/>
            <w:szCs w:val="24"/>
          </w:rPr>
          <w:t>15</w:t>
        </w:r>
        <w:r>
          <w:rPr>
            <w:sz w:val="24"/>
            <w:szCs w:val="24"/>
          </w:rP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9841D3"/>
    <w:multiLevelType w:val="multilevel"/>
    <w:tmpl w:val="019841D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5C5127A"/>
    <w:multiLevelType w:val="multilevel"/>
    <w:tmpl w:val="05C5127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114F47E8"/>
    <w:multiLevelType w:val="multilevel"/>
    <w:tmpl w:val="114F47E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17875E1E"/>
    <w:multiLevelType w:val="multilevel"/>
    <w:tmpl w:val="17875E1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190F047E"/>
    <w:multiLevelType w:val="multilevel"/>
    <w:tmpl w:val="190F047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1A7C42F0"/>
    <w:multiLevelType w:val="multilevel"/>
    <w:tmpl w:val="1A7C42F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1E205B7D"/>
    <w:multiLevelType w:val="multilevel"/>
    <w:tmpl w:val="1E205B7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21B71B73"/>
    <w:multiLevelType w:val="multilevel"/>
    <w:tmpl w:val="21B71B7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nsid w:val="31AE19FB"/>
    <w:multiLevelType w:val="multilevel"/>
    <w:tmpl w:val="31AE19F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nsid w:val="325829B9"/>
    <w:multiLevelType w:val="multilevel"/>
    <w:tmpl w:val="325829B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nsid w:val="32E82862"/>
    <w:multiLevelType w:val="multilevel"/>
    <w:tmpl w:val="32E8286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nsid w:val="33950EC9"/>
    <w:multiLevelType w:val="multilevel"/>
    <w:tmpl w:val="33950EC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nsid w:val="356C25FB"/>
    <w:multiLevelType w:val="multilevel"/>
    <w:tmpl w:val="356C25F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3">
    <w:nsid w:val="3BAB42E9"/>
    <w:multiLevelType w:val="multilevel"/>
    <w:tmpl w:val="3BAB42E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4">
    <w:nsid w:val="5571050E"/>
    <w:multiLevelType w:val="multilevel"/>
    <w:tmpl w:val="5571050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5">
    <w:nsid w:val="55934111"/>
    <w:multiLevelType w:val="multilevel"/>
    <w:tmpl w:val="5593411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6">
    <w:nsid w:val="5E674F5A"/>
    <w:multiLevelType w:val="multilevel"/>
    <w:tmpl w:val="5E674F5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7">
    <w:nsid w:val="60573188"/>
    <w:multiLevelType w:val="multilevel"/>
    <w:tmpl w:val="6057318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8">
    <w:nsid w:val="67EE7383"/>
    <w:multiLevelType w:val="multilevel"/>
    <w:tmpl w:val="67EE738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9">
    <w:nsid w:val="694C638A"/>
    <w:multiLevelType w:val="multilevel"/>
    <w:tmpl w:val="694C638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0">
    <w:nsid w:val="7198289C"/>
    <w:multiLevelType w:val="multilevel"/>
    <w:tmpl w:val="7198289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1">
    <w:nsid w:val="7A9D38A6"/>
    <w:multiLevelType w:val="multilevel"/>
    <w:tmpl w:val="7A9D38A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1"/>
  </w:num>
  <w:num w:numId="2">
    <w:abstractNumId w:val="7"/>
  </w:num>
  <w:num w:numId="3">
    <w:abstractNumId w:val="6"/>
  </w:num>
  <w:num w:numId="4">
    <w:abstractNumId w:val="19"/>
  </w:num>
  <w:num w:numId="5">
    <w:abstractNumId w:val="14"/>
  </w:num>
  <w:num w:numId="6">
    <w:abstractNumId w:val="0"/>
  </w:num>
  <w:num w:numId="7">
    <w:abstractNumId w:val="11"/>
  </w:num>
  <w:num w:numId="8">
    <w:abstractNumId w:val="15"/>
  </w:num>
  <w:num w:numId="9">
    <w:abstractNumId w:val="4"/>
  </w:num>
  <w:num w:numId="10">
    <w:abstractNumId w:val="2"/>
  </w:num>
  <w:num w:numId="11">
    <w:abstractNumId w:val="8"/>
  </w:num>
  <w:num w:numId="12">
    <w:abstractNumId w:val="12"/>
  </w:num>
  <w:num w:numId="13">
    <w:abstractNumId w:val="17"/>
  </w:num>
  <w:num w:numId="14">
    <w:abstractNumId w:val="10"/>
  </w:num>
  <w:num w:numId="15">
    <w:abstractNumId w:val="1"/>
  </w:num>
  <w:num w:numId="16">
    <w:abstractNumId w:val="18"/>
  </w:num>
  <w:num w:numId="17">
    <w:abstractNumId w:val="13"/>
  </w:num>
  <w:num w:numId="18">
    <w:abstractNumId w:val="3"/>
  </w:num>
  <w:num w:numId="19">
    <w:abstractNumId w:val="5"/>
  </w:num>
  <w:num w:numId="20">
    <w:abstractNumId w:val="16"/>
  </w:num>
  <w:num w:numId="21">
    <w:abstractNumId w:val="20"/>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293C"/>
    <w:rsid w:val="000A3961"/>
    <w:rsid w:val="00396615"/>
    <w:rsid w:val="005E25B0"/>
    <w:rsid w:val="006C433E"/>
    <w:rsid w:val="00780794"/>
    <w:rsid w:val="008023BB"/>
    <w:rsid w:val="00894EAB"/>
    <w:rsid w:val="008A2627"/>
    <w:rsid w:val="009D075A"/>
    <w:rsid w:val="00A86C7A"/>
    <w:rsid w:val="00BF293C"/>
    <w:rsid w:val="00C87732"/>
    <w:rsid w:val="00D55C40"/>
    <w:rsid w:val="00DE317D"/>
    <w:rsid w:val="00E64AF2"/>
    <w:rsid w:val="00E80349"/>
    <w:rsid w:val="00FD09EB"/>
    <w:rsid w:val="1C13050A"/>
    <w:rsid w:val="668206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zh-CN" w:bidi="ar-SA"/>
    </w:rPr>
  </w:style>
  <w:style w:type="paragraph" w:styleId="2">
    <w:name w:val="heading 1"/>
    <w:basedOn w:val="3"/>
    <w:next w:val="3"/>
    <w:autoRedefine/>
    <w:uiPriority w:val="0"/>
    <w:pPr>
      <w:keepNext/>
      <w:keepLines/>
      <w:spacing w:before="400" w:after="120" w:line="360" w:lineRule="auto"/>
      <w:jc w:val="both"/>
      <w:outlineLvl w:val="0"/>
    </w:pPr>
    <w:rPr>
      <w:b/>
      <w:color w:val="000000" w:themeColor="text1"/>
      <w:sz w:val="24"/>
      <w:szCs w:val="40"/>
      <w14:textFill>
        <w14:solidFill>
          <w14:schemeClr w14:val="tx1"/>
        </w14:solidFill>
      </w14:textFill>
    </w:rPr>
  </w:style>
  <w:style w:type="paragraph" w:styleId="4">
    <w:name w:val="heading 2"/>
    <w:basedOn w:val="3"/>
    <w:next w:val="3"/>
    <w:autoRedefine/>
    <w:uiPriority w:val="0"/>
    <w:pPr>
      <w:keepNext/>
      <w:keepLines/>
      <w:spacing w:before="360" w:after="120" w:line="360" w:lineRule="auto"/>
      <w:jc w:val="both"/>
      <w:outlineLvl w:val="1"/>
    </w:pPr>
    <w:rPr>
      <w:b/>
      <w:i/>
      <w:color w:val="000000" w:themeColor="text1"/>
      <w:sz w:val="24"/>
      <w:szCs w:val="32"/>
      <w14:textFill>
        <w14:solidFill>
          <w14:schemeClr w14:val="tx1"/>
        </w14:solidFill>
      </w14:textFill>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autoRedefine/>
    <w:qFormat/>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autoRedefine/>
    <w:semiHidden/>
    <w:unhideWhenUsed/>
    <w:qFormat/>
    <w:uiPriority w:val="99"/>
    <w:tblPr>
      <w:tblCellMar>
        <w:top w:w="0" w:type="dxa"/>
        <w:left w:w="108" w:type="dxa"/>
        <w:bottom w:w="0" w:type="dxa"/>
        <w:right w:w="108" w:type="dxa"/>
      </w:tblCellMar>
    </w:tblPr>
  </w:style>
  <w:style w:type="paragraph" w:customStyle="1" w:styleId="3">
    <w:name w:val="Normal1"/>
    <w:autoRedefine/>
    <w:qFormat/>
    <w:uiPriority w:val="0"/>
    <w:pPr>
      <w:spacing w:line="276" w:lineRule="auto"/>
    </w:pPr>
    <w:rPr>
      <w:rFonts w:ascii="Arial" w:hAnsi="Arial" w:eastAsia="Arial" w:cs="Arial"/>
      <w:sz w:val="22"/>
      <w:szCs w:val="22"/>
      <w:lang w:val="en-US" w:eastAsia="zh-CN" w:bidi="ar-SA"/>
    </w:rPr>
  </w:style>
  <w:style w:type="paragraph" w:styleId="11">
    <w:name w:val="Balloon Text"/>
    <w:basedOn w:val="1"/>
    <w:link w:val="26"/>
    <w:autoRedefine/>
    <w:semiHidden/>
    <w:unhideWhenUsed/>
    <w:qFormat/>
    <w:uiPriority w:val="99"/>
    <w:pPr>
      <w:spacing w:line="240" w:lineRule="auto"/>
    </w:pPr>
    <w:rPr>
      <w:rFonts w:ascii="Tahoma" w:hAnsi="Tahoma" w:cs="Tahoma"/>
      <w:sz w:val="16"/>
      <w:szCs w:val="16"/>
    </w:rPr>
  </w:style>
  <w:style w:type="character" w:styleId="12">
    <w:name w:val="annotation reference"/>
    <w:basedOn w:val="9"/>
    <w:autoRedefine/>
    <w:semiHidden/>
    <w:unhideWhenUsed/>
    <w:qFormat/>
    <w:uiPriority w:val="99"/>
    <w:rPr>
      <w:sz w:val="16"/>
      <w:szCs w:val="16"/>
    </w:rPr>
  </w:style>
  <w:style w:type="paragraph" w:styleId="13">
    <w:name w:val="annotation text"/>
    <w:basedOn w:val="1"/>
    <w:link w:val="25"/>
    <w:autoRedefine/>
    <w:semiHidden/>
    <w:unhideWhenUsed/>
    <w:qFormat/>
    <w:uiPriority w:val="99"/>
    <w:pPr>
      <w:spacing w:line="240" w:lineRule="auto"/>
    </w:pPr>
    <w:rPr>
      <w:sz w:val="20"/>
      <w:szCs w:val="20"/>
    </w:rPr>
  </w:style>
  <w:style w:type="paragraph" w:styleId="14">
    <w:name w:val="footer"/>
    <w:basedOn w:val="1"/>
    <w:link w:val="29"/>
    <w:autoRedefine/>
    <w:unhideWhenUsed/>
    <w:qFormat/>
    <w:uiPriority w:val="99"/>
    <w:pPr>
      <w:tabs>
        <w:tab w:val="center" w:pos="4680"/>
        <w:tab w:val="right" w:pos="9360"/>
      </w:tabs>
      <w:spacing w:line="240" w:lineRule="auto"/>
    </w:pPr>
  </w:style>
  <w:style w:type="paragraph" w:styleId="15">
    <w:name w:val="header"/>
    <w:basedOn w:val="1"/>
    <w:link w:val="28"/>
    <w:autoRedefine/>
    <w:semiHidden/>
    <w:unhideWhenUsed/>
    <w:qFormat/>
    <w:uiPriority w:val="99"/>
    <w:pPr>
      <w:tabs>
        <w:tab w:val="center" w:pos="4680"/>
        <w:tab w:val="right" w:pos="9360"/>
      </w:tabs>
      <w:spacing w:line="240" w:lineRule="auto"/>
    </w:pPr>
  </w:style>
  <w:style w:type="character" w:styleId="16">
    <w:name w:val="Hyperlink"/>
    <w:basedOn w:val="9"/>
    <w:autoRedefine/>
    <w:unhideWhenUsed/>
    <w:qFormat/>
    <w:uiPriority w:val="99"/>
    <w:rPr>
      <w:color w:val="0000FF" w:themeColor="hyperlink"/>
      <w:u w:val="single"/>
      <w14:textFill>
        <w14:solidFill>
          <w14:schemeClr w14:val="hlink"/>
        </w14:solidFill>
      </w14:textFill>
    </w:rPr>
  </w:style>
  <w:style w:type="paragraph" w:styleId="17">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18">
    <w:name w:val="Subtitle"/>
    <w:basedOn w:val="3"/>
    <w:next w:val="3"/>
    <w:autoRedefine/>
    <w:qFormat/>
    <w:uiPriority w:val="0"/>
    <w:pPr>
      <w:keepNext/>
      <w:keepLines/>
      <w:spacing w:after="320"/>
    </w:pPr>
    <w:rPr>
      <w:color w:val="666666"/>
      <w:sz w:val="30"/>
      <w:szCs w:val="30"/>
    </w:rPr>
  </w:style>
  <w:style w:type="table" w:styleId="19">
    <w:name w:val="Table Grid"/>
    <w:basedOn w:val="10"/>
    <w:autoRedefine/>
    <w:qFormat/>
    <w:uiPriority w:val="59"/>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20">
    <w:name w:val="Title"/>
    <w:basedOn w:val="3"/>
    <w:next w:val="3"/>
    <w:autoRedefine/>
    <w:qFormat/>
    <w:uiPriority w:val="0"/>
    <w:pPr>
      <w:keepNext/>
      <w:keepLines/>
      <w:spacing w:after="60"/>
    </w:pPr>
    <w:rPr>
      <w:sz w:val="52"/>
      <w:szCs w:val="52"/>
    </w:rPr>
  </w:style>
  <w:style w:type="paragraph" w:styleId="21">
    <w:name w:val="toc 1"/>
    <w:basedOn w:val="1"/>
    <w:next w:val="1"/>
    <w:autoRedefine/>
    <w:unhideWhenUsed/>
    <w:qFormat/>
    <w:uiPriority w:val="39"/>
    <w:pPr>
      <w:spacing w:after="100"/>
    </w:pPr>
  </w:style>
  <w:style w:type="paragraph" w:styleId="22">
    <w:name w:val="toc 2"/>
    <w:basedOn w:val="1"/>
    <w:next w:val="1"/>
    <w:autoRedefine/>
    <w:unhideWhenUsed/>
    <w:qFormat/>
    <w:uiPriority w:val="39"/>
    <w:pPr>
      <w:spacing w:after="100"/>
      <w:ind w:left="220"/>
    </w:pPr>
  </w:style>
  <w:style w:type="table" w:customStyle="1" w:styleId="23">
    <w:name w:val="_Style 12"/>
    <w:basedOn w:val="10"/>
    <w:autoRedefine/>
    <w:qFormat/>
    <w:uiPriority w:val="0"/>
    <w:tblPr>
      <w:tblCellMar>
        <w:top w:w="100" w:type="dxa"/>
        <w:left w:w="100" w:type="dxa"/>
        <w:bottom w:w="100" w:type="dxa"/>
        <w:right w:w="100" w:type="dxa"/>
      </w:tblCellMar>
    </w:tblPr>
  </w:style>
  <w:style w:type="table" w:customStyle="1" w:styleId="24">
    <w:name w:val="_Style 13"/>
    <w:basedOn w:val="10"/>
    <w:autoRedefine/>
    <w:qFormat/>
    <w:uiPriority w:val="0"/>
    <w:tblPr>
      <w:tblCellMar>
        <w:top w:w="100" w:type="dxa"/>
        <w:left w:w="100" w:type="dxa"/>
        <w:bottom w:w="100" w:type="dxa"/>
        <w:right w:w="100" w:type="dxa"/>
      </w:tblCellMar>
    </w:tblPr>
  </w:style>
  <w:style w:type="character" w:customStyle="1" w:styleId="25">
    <w:name w:val="Comment Text Char"/>
    <w:basedOn w:val="9"/>
    <w:link w:val="13"/>
    <w:autoRedefine/>
    <w:semiHidden/>
    <w:qFormat/>
    <w:uiPriority w:val="99"/>
    <w:rPr>
      <w:sz w:val="20"/>
      <w:szCs w:val="20"/>
    </w:rPr>
  </w:style>
  <w:style w:type="character" w:customStyle="1" w:styleId="26">
    <w:name w:val="Balloon Text Char"/>
    <w:basedOn w:val="9"/>
    <w:link w:val="11"/>
    <w:autoRedefine/>
    <w:semiHidden/>
    <w:qFormat/>
    <w:uiPriority w:val="99"/>
    <w:rPr>
      <w:rFonts w:ascii="Tahoma" w:hAnsi="Tahoma" w:cs="Tahoma"/>
      <w:sz w:val="16"/>
      <w:szCs w:val="16"/>
    </w:rPr>
  </w:style>
  <w:style w:type="paragraph" w:customStyle="1" w:styleId="27">
    <w:name w:val="TOC Heading"/>
    <w:basedOn w:val="2"/>
    <w:next w:val="1"/>
    <w:autoRedefine/>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 w:val="28"/>
      <w:szCs w:val="28"/>
      <w:lang w:eastAsia="en-US"/>
    </w:rPr>
  </w:style>
  <w:style w:type="character" w:customStyle="1" w:styleId="28">
    <w:name w:val="Header Char"/>
    <w:basedOn w:val="9"/>
    <w:link w:val="15"/>
    <w:autoRedefine/>
    <w:semiHidden/>
    <w:qFormat/>
    <w:uiPriority w:val="99"/>
  </w:style>
  <w:style w:type="character" w:customStyle="1" w:styleId="29">
    <w:name w:val="Footer Char"/>
    <w:basedOn w:val="9"/>
    <w:link w:val="14"/>
    <w:autoRedefine/>
    <w:qFormat/>
    <w:uiPriority w:val="99"/>
  </w:style>
  <w:style w:type="table" w:customStyle="1" w:styleId="30">
    <w:name w:val="Grid Table 5 Dark Accent 1"/>
    <w:basedOn w:val="10"/>
    <w:autoRedefine/>
    <w:qFormat/>
    <w:uiPriority w:val="50"/>
    <w:pPr>
      <w:spacing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BE5F1" w:themeFill="accent1"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F81BD" w:themeFill="accent1"/>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F81BD" w:themeFill="accent1"/>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4F81BD" w:themeFill="accent1"/>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F81BD" w:themeFill="accent1"/>
      </w:tcPr>
    </w:tblStylePr>
    <w:tblStylePr w:type="band1Vert">
      <w:tcPr>
        <w:shd w:val="clear" w:color="auto" w:fill="B8CCE4" w:themeFill="accent1" w:themeFillTint="66"/>
      </w:tcPr>
    </w:tblStylePr>
    <w:tblStylePr w:type="band1Horz">
      <w:tcPr>
        <w:shd w:val="clear" w:color="auto" w:fill="B8CCE4" w:themeFill="accent1" w:themeFillTint="66"/>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44A313-8699-419F-B52F-2E7AE118D80D}">
  <ds:schemaRefs/>
</ds:datastoreItem>
</file>

<file path=docProps/app.xml><?xml version="1.0" encoding="utf-8"?>
<Properties xmlns="http://schemas.openxmlformats.org/officeDocument/2006/extended-properties" xmlns:vt="http://schemas.openxmlformats.org/officeDocument/2006/docPropsVTypes">
  <Template>Normal</Template>
  <Pages>15</Pages>
  <Words>3506</Words>
  <Characters>19985</Characters>
  <Lines>166</Lines>
  <Paragraphs>46</Paragraphs>
  <TotalTime>0</TotalTime>
  <ScaleCrop>false</ScaleCrop>
  <LinksUpToDate>false</LinksUpToDate>
  <CharactersWithSpaces>23445</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2024-04-29T13:35:00Z</dcterms:created>
  <dc:creator>user</dc:creator>
  <cp:lastModifiedBy>i study</cp:lastModifiedBy>
  <dcterms:modified xsi:type="dcterms:W3CDTF">2024-05-07T15:33:16Z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75EA565448F345E0A6C665718D1D50CC_12</vt:lpwstr>
  </property>
</Properties>
</file>