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EF712" w14:textId="0F8CB887" w:rsidR="00402E93" w:rsidRDefault="00402E93" w:rsidP="00402E93">
      <w:pPr>
        <w:rPr>
          <w:rFonts w:cs="Arial"/>
          <w:color w:val="000000"/>
          <w:sz w:val="24"/>
          <w:szCs w:val="24"/>
        </w:rPr>
      </w:pPr>
    </w:p>
    <w:p w14:paraId="248FCA7E" w14:textId="3B580722" w:rsidR="00392234" w:rsidRDefault="00392234" w:rsidP="00402E93">
      <w:pPr>
        <w:rPr>
          <w:rFonts w:cs="Arial"/>
          <w:color w:val="000000"/>
          <w:sz w:val="24"/>
          <w:szCs w:val="24"/>
        </w:rPr>
      </w:pPr>
    </w:p>
    <w:p w14:paraId="3B168881" w14:textId="77777777" w:rsidR="00392234" w:rsidRPr="00402E93" w:rsidRDefault="00392234" w:rsidP="00402E93">
      <w:pPr>
        <w:rPr>
          <w:rFonts w:cs="Arial"/>
          <w:color w:val="000000"/>
          <w:sz w:val="24"/>
          <w:szCs w:val="24"/>
        </w:rPr>
      </w:pPr>
    </w:p>
    <w:p w14:paraId="72191F83" w14:textId="77777777" w:rsidR="00402E93" w:rsidRPr="00402E93" w:rsidRDefault="00402E93" w:rsidP="00402E93">
      <w:pPr>
        <w:rPr>
          <w:rFonts w:cs="Arial"/>
          <w:color w:val="000000"/>
          <w:sz w:val="24"/>
          <w:szCs w:val="24"/>
        </w:rPr>
      </w:pPr>
    </w:p>
    <w:p w14:paraId="48DAEAB6" w14:textId="77777777" w:rsidR="00402E93" w:rsidRPr="00402E93" w:rsidRDefault="00402E93" w:rsidP="00402E93">
      <w:pPr>
        <w:rPr>
          <w:rFonts w:cs="Arial"/>
          <w:color w:val="000000"/>
          <w:sz w:val="24"/>
          <w:szCs w:val="24"/>
        </w:rPr>
      </w:pPr>
    </w:p>
    <w:p w14:paraId="116B275B" w14:textId="77777777" w:rsidR="00402E93" w:rsidRPr="00402E93" w:rsidRDefault="00402E93" w:rsidP="00402E93">
      <w:pPr>
        <w:rPr>
          <w:rFonts w:cs="Arial"/>
          <w:color w:val="000000"/>
          <w:sz w:val="24"/>
          <w:szCs w:val="24"/>
        </w:rPr>
      </w:pPr>
    </w:p>
    <w:p w14:paraId="56D17C5D" w14:textId="77777777" w:rsidR="00402E93" w:rsidRPr="00402E93" w:rsidRDefault="00402E93" w:rsidP="00402E93">
      <w:pPr>
        <w:rPr>
          <w:rFonts w:cs="Arial"/>
          <w:color w:val="000000"/>
          <w:sz w:val="24"/>
          <w:szCs w:val="24"/>
        </w:rPr>
      </w:pPr>
    </w:p>
    <w:p w14:paraId="3D9CDF5E" w14:textId="77777777" w:rsidR="00402E93" w:rsidRPr="00402E93" w:rsidRDefault="00402E93" w:rsidP="00402E93">
      <w:pPr>
        <w:rPr>
          <w:rFonts w:cs="Arial"/>
          <w:color w:val="000000"/>
          <w:sz w:val="24"/>
          <w:szCs w:val="24"/>
        </w:rPr>
      </w:pPr>
    </w:p>
    <w:p w14:paraId="4631DBFC" w14:textId="77777777" w:rsidR="00402E93" w:rsidRPr="00402E93" w:rsidRDefault="00402E93" w:rsidP="00402E93">
      <w:pPr>
        <w:rPr>
          <w:rFonts w:cs="Arial"/>
          <w:color w:val="000000"/>
          <w:sz w:val="24"/>
          <w:szCs w:val="24"/>
        </w:rPr>
      </w:pPr>
    </w:p>
    <w:p w14:paraId="01D12D4A" w14:textId="77777777" w:rsidR="00402E93" w:rsidRPr="00402E93" w:rsidRDefault="00402E93" w:rsidP="00402E93">
      <w:pPr>
        <w:jc w:val="center"/>
        <w:rPr>
          <w:rFonts w:cs="Arial"/>
          <w:b/>
          <w:bCs/>
          <w:color w:val="000000"/>
          <w:sz w:val="24"/>
          <w:szCs w:val="24"/>
        </w:rPr>
      </w:pPr>
      <w:r w:rsidRPr="00402E93">
        <w:rPr>
          <w:rFonts w:cs="Arial"/>
          <w:b/>
          <w:bCs/>
          <w:color w:val="000000"/>
          <w:sz w:val="24"/>
          <w:szCs w:val="24"/>
        </w:rPr>
        <w:t>Component 1 - Individual Report</w:t>
      </w:r>
    </w:p>
    <w:p w14:paraId="50C32216" w14:textId="4738E241" w:rsidR="00402E93" w:rsidRPr="00402E93" w:rsidRDefault="00402E93" w:rsidP="00402E93">
      <w:pPr>
        <w:jc w:val="center"/>
        <w:rPr>
          <w:rFonts w:cs="Arial"/>
          <w:color w:val="000000"/>
          <w:sz w:val="24"/>
          <w:szCs w:val="24"/>
        </w:rPr>
      </w:pPr>
      <w:r w:rsidRPr="00402E93">
        <w:rPr>
          <w:rFonts w:cs="Arial"/>
          <w:color w:val="000000"/>
          <w:sz w:val="24"/>
          <w:szCs w:val="24"/>
        </w:rPr>
        <w:t>Student Name:</w:t>
      </w:r>
      <w:r w:rsidR="00687D01">
        <w:rPr>
          <w:rFonts w:cs="Arial"/>
          <w:color w:val="000000"/>
          <w:sz w:val="24"/>
          <w:szCs w:val="24"/>
        </w:rPr>
        <w:t xml:space="preserve"> Ana Maria Parau </w:t>
      </w:r>
    </w:p>
    <w:p w14:paraId="68FF744B" w14:textId="4465313F" w:rsidR="00402E93" w:rsidRPr="00402E93" w:rsidRDefault="00402E93" w:rsidP="00402E93">
      <w:pPr>
        <w:jc w:val="center"/>
        <w:rPr>
          <w:rFonts w:cs="Arial"/>
          <w:color w:val="000000"/>
          <w:sz w:val="24"/>
          <w:szCs w:val="24"/>
        </w:rPr>
      </w:pPr>
      <w:r w:rsidRPr="00402E93">
        <w:rPr>
          <w:rFonts w:cs="Arial"/>
          <w:color w:val="000000"/>
          <w:sz w:val="24"/>
          <w:szCs w:val="24"/>
        </w:rPr>
        <w:t>Student Number:</w:t>
      </w:r>
      <w:r w:rsidR="00372578">
        <w:rPr>
          <w:rFonts w:cs="Arial"/>
          <w:color w:val="000000"/>
          <w:sz w:val="24"/>
          <w:szCs w:val="24"/>
        </w:rPr>
        <w:t xml:space="preserve"> 2123792</w:t>
      </w:r>
    </w:p>
    <w:p w14:paraId="1FA15C54" w14:textId="42F4333C" w:rsidR="00B91F8B" w:rsidRDefault="00402E93" w:rsidP="00402E93">
      <w:pPr>
        <w:jc w:val="center"/>
        <w:rPr>
          <w:rFonts w:cs="Arial"/>
          <w:color w:val="000000"/>
          <w:sz w:val="24"/>
          <w:szCs w:val="24"/>
        </w:rPr>
      </w:pPr>
      <w:r w:rsidRPr="00402E93">
        <w:rPr>
          <w:rFonts w:cs="Arial"/>
          <w:color w:val="000000"/>
          <w:sz w:val="24"/>
          <w:szCs w:val="24"/>
        </w:rPr>
        <w:t>Lecturer Name:</w:t>
      </w:r>
      <w:r w:rsidR="00B91F8B">
        <w:rPr>
          <w:rFonts w:cs="Arial"/>
          <w:color w:val="000000"/>
          <w:sz w:val="24"/>
          <w:szCs w:val="24"/>
        </w:rPr>
        <w:t xml:space="preserve"> </w:t>
      </w:r>
      <w:r w:rsidR="005F679A">
        <w:rPr>
          <w:rFonts w:cs="Arial"/>
          <w:color w:val="000000"/>
          <w:sz w:val="24"/>
          <w:szCs w:val="24"/>
        </w:rPr>
        <w:t>M</w:t>
      </w:r>
      <w:r w:rsidR="000B2F84">
        <w:rPr>
          <w:rFonts w:cs="Arial"/>
          <w:color w:val="000000"/>
          <w:sz w:val="24"/>
          <w:szCs w:val="24"/>
        </w:rPr>
        <w:t xml:space="preserve">uno </w:t>
      </w:r>
      <w:r w:rsidR="00614602">
        <w:rPr>
          <w:rFonts w:cs="Arial"/>
          <w:color w:val="000000"/>
          <w:sz w:val="24"/>
          <w:szCs w:val="24"/>
        </w:rPr>
        <w:t xml:space="preserve">Zuwirai </w:t>
      </w:r>
    </w:p>
    <w:p w14:paraId="1DD1F140" w14:textId="1739CE05" w:rsidR="00402E93" w:rsidRPr="00402E93" w:rsidRDefault="00402E93" w:rsidP="00402E93">
      <w:pPr>
        <w:jc w:val="center"/>
        <w:rPr>
          <w:rFonts w:cs="Arial"/>
          <w:b/>
          <w:bCs/>
          <w:color w:val="000000"/>
          <w:sz w:val="24"/>
          <w:szCs w:val="24"/>
        </w:rPr>
      </w:pPr>
      <w:r w:rsidRPr="00402E93">
        <w:rPr>
          <w:rFonts w:cs="Arial"/>
          <w:b/>
          <w:bCs/>
          <w:color w:val="000000"/>
          <w:sz w:val="24"/>
          <w:szCs w:val="24"/>
        </w:rPr>
        <w:t>LCBB5002_BIRM</w:t>
      </w:r>
    </w:p>
    <w:p w14:paraId="1A20DFF8" w14:textId="77777777" w:rsidR="00402E93" w:rsidRPr="00402E93" w:rsidRDefault="00402E93" w:rsidP="00402E93">
      <w:pPr>
        <w:jc w:val="center"/>
        <w:rPr>
          <w:rFonts w:cs="Arial"/>
          <w:b/>
          <w:bCs/>
          <w:color w:val="000000"/>
          <w:sz w:val="24"/>
          <w:szCs w:val="24"/>
        </w:rPr>
      </w:pPr>
      <w:r w:rsidRPr="00402E93">
        <w:rPr>
          <w:rFonts w:cs="Arial"/>
          <w:b/>
          <w:bCs/>
          <w:color w:val="000000"/>
          <w:sz w:val="24"/>
          <w:szCs w:val="24"/>
        </w:rPr>
        <w:t>Management Accounting</w:t>
      </w:r>
    </w:p>
    <w:p w14:paraId="7A3CFE03" w14:textId="77777777" w:rsidR="00402E93" w:rsidRPr="00402E93" w:rsidRDefault="00402E93" w:rsidP="00402E93">
      <w:pPr>
        <w:rPr>
          <w:rFonts w:cs="Arial"/>
          <w:color w:val="000000"/>
          <w:sz w:val="24"/>
          <w:szCs w:val="24"/>
        </w:rPr>
      </w:pPr>
    </w:p>
    <w:p w14:paraId="10E9BFE4" w14:textId="77777777" w:rsidR="00402E93" w:rsidRPr="00402E93" w:rsidRDefault="00402E93" w:rsidP="00402E93">
      <w:pPr>
        <w:rPr>
          <w:rFonts w:cs="Arial"/>
          <w:color w:val="000000"/>
          <w:sz w:val="24"/>
          <w:szCs w:val="24"/>
        </w:rPr>
      </w:pPr>
    </w:p>
    <w:p w14:paraId="7273389C" w14:textId="77777777" w:rsidR="00402E93" w:rsidRPr="00402E93" w:rsidRDefault="00402E93" w:rsidP="00402E93">
      <w:pPr>
        <w:rPr>
          <w:rFonts w:cs="Arial"/>
          <w:color w:val="000000"/>
          <w:sz w:val="24"/>
          <w:szCs w:val="24"/>
        </w:rPr>
      </w:pPr>
    </w:p>
    <w:p w14:paraId="494FAE02" w14:textId="77777777" w:rsidR="00402E93" w:rsidRPr="00402E93" w:rsidRDefault="00402E93" w:rsidP="00402E93">
      <w:pPr>
        <w:rPr>
          <w:rFonts w:cs="Arial"/>
          <w:color w:val="000000"/>
          <w:sz w:val="24"/>
          <w:szCs w:val="24"/>
        </w:rPr>
      </w:pPr>
    </w:p>
    <w:p w14:paraId="10D36DF4" w14:textId="77777777" w:rsidR="00402E93" w:rsidRPr="00402E93" w:rsidRDefault="00402E93" w:rsidP="00402E93">
      <w:pPr>
        <w:rPr>
          <w:rFonts w:cs="Arial"/>
          <w:color w:val="000000"/>
          <w:sz w:val="24"/>
          <w:szCs w:val="24"/>
        </w:rPr>
      </w:pPr>
    </w:p>
    <w:p w14:paraId="1A2DDA59" w14:textId="77777777" w:rsidR="00402E93" w:rsidRPr="00402E93" w:rsidRDefault="00402E93" w:rsidP="00402E93">
      <w:pPr>
        <w:rPr>
          <w:rFonts w:cs="Arial"/>
          <w:color w:val="000000"/>
          <w:sz w:val="24"/>
          <w:szCs w:val="24"/>
        </w:rPr>
      </w:pPr>
    </w:p>
    <w:p w14:paraId="6C1E3E5A" w14:textId="77777777" w:rsidR="00402E93" w:rsidRPr="00402E93" w:rsidRDefault="00402E93" w:rsidP="00402E93">
      <w:pPr>
        <w:rPr>
          <w:rFonts w:cs="Arial"/>
          <w:color w:val="000000"/>
          <w:sz w:val="24"/>
          <w:szCs w:val="24"/>
        </w:rPr>
      </w:pPr>
    </w:p>
    <w:p w14:paraId="5F4B0179" w14:textId="77777777" w:rsidR="00402E93" w:rsidRPr="00402E93" w:rsidRDefault="00402E93" w:rsidP="00402E93">
      <w:pPr>
        <w:rPr>
          <w:rFonts w:cs="Arial"/>
          <w:color w:val="000000"/>
          <w:sz w:val="24"/>
          <w:szCs w:val="24"/>
        </w:rPr>
      </w:pPr>
    </w:p>
    <w:p w14:paraId="5B8465AF" w14:textId="77777777" w:rsidR="00402E93" w:rsidRPr="00402E93" w:rsidRDefault="00402E93" w:rsidP="00402E93">
      <w:pPr>
        <w:rPr>
          <w:rFonts w:cs="Arial"/>
          <w:color w:val="000000"/>
          <w:sz w:val="24"/>
          <w:szCs w:val="24"/>
        </w:rPr>
      </w:pPr>
    </w:p>
    <w:p w14:paraId="013DC58B" w14:textId="77777777" w:rsidR="00402E93" w:rsidRPr="00402E93" w:rsidRDefault="00402E93" w:rsidP="00402E93">
      <w:pPr>
        <w:rPr>
          <w:rFonts w:cs="Arial"/>
          <w:color w:val="000000"/>
          <w:sz w:val="24"/>
          <w:szCs w:val="24"/>
        </w:rPr>
      </w:pPr>
    </w:p>
    <w:p w14:paraId="39D0063E" w14:textId="77777777" w:rsidR="00402E93" w:rsidRPr="00402E93" w:rsidRDefault="00402E93" w:rsidP="00402E93">
      <w:pPr>
        <w:rPr>
          <w:rFonts w:cs="Arial"/>
          <w:color w:val="000000"/>
          <w:sz w:val="24"/>
          <w:szCs w:val="24"/>
        </w:rPr>
      </w:pPr>
    </w:p>
    <w:sdt>
      <w:sdtPr>
        <w:rPr>
          <w:rFonts w:cs="Arial"/>
          <w:color w:val="000000"/>
          <w:sz w:val="24"/>
          <w:szCs w:val="24"/>
        </w:rPr>
        <w:id w:val="-2141098255"/>
        <w:docPartObj>
          <w:docPartGallery w:val="Table of Contents"/>
          <w:docPartUnique/>
        </w:docPartObj>
      </w:sdtPr>
      <w:sdtEndPr/>
      <w:sdtContent>
        <w:p w14:paraId="645EE8AA" w14:textId="045415A1" w:rsidR="00402E93" w:rsidRPr="00DC2A7C" w:rsidRDefault="00402E93" w:rsidP="00402E93">
          <w:pPr>
            <w:rPr>
              <w:rStyle w:val="Titlu1Caracter"/>
            </w:rPr>
          </w:pPr>
          <w:r w:rsidRPr="00DC2A7C">
            <w:rPr>
              <w:rStyle w:val="Titlu1Caracter"/>
            </w:rPr>
            <w:t xml:space="preserve">Table of </w:t>
          </w:r>
          <w:r w:rsidR="00DC2A7C" w:rsidRPr="00DC2A7C">
            <w:rPr>
              <w:rStyle w:val="Titlu1Caracter"/>
            </w:rPr>
            <w:t>C</w:t>
          </w:r>
          <w:r w:rsidRPr="00DC2A7C">
            <w:rPr>
              <w:rStyle w:val="Titlu1Caracter"/>
            </w:rPr>
            <w:t>ontents</w:t>
          </w:r>
        </w:p>
        <w:p w14:paraId="7981CF0E" w14:textId="3C8346B2" w:rsidR="00334D06" w:rsidRDefault="00402E93">
          <w:pPr>
            <w:pStyle w:val="Cuprins1"/>
            <w:tabs>
              <w:tab w:val="left" w:pos="440"/>
              <w:tab w:val="right" w:leader="dot" w:pos="9016"/>
            </w:tabs>
            <w:rPr>
              <w:rFonts w:asciiTheme="minorHAnsi" w:eastAsiaTheme="minorEastAsia" w:hAnsiTheme="minorHAnsi"/>
              <w:noProof/>
            </w:rPr>
          </w:pPr>
          <w:r w:rsidRPr="00402E93">
            <w:rPr>
              <w:rFonts w:ascii="Times New Roman" w:hAnsi="Times New Roman" w:cs="Times New Roman"/>
              <w:b/>
              <w:bCs/>
              <w:color w:val="000000"/>
              <w:sz w:val="24"/>
              <w:szCs w:val="24"/>
            </w:rPr>
            <w:fldChar w:fldCharType="begin"/>
          </w:r>
          <w:r w:rsidRPr="00402E93">
            <w:rPr>
              <w:rFonts w:ascii="Times New Roman" w:hAnsi="Times New Roman" w:cs="Times New Roman"/>
              <w:b/>
              <w:bCs/>
              <w:color w:val="000000"/>
              <w:sz w:val="24"/>
              <w:szCs w:val="24"/>
            </w:rPr>
            <w:instrText xml:space="preserve"> TOC \o "1-3" \h \z \u </w:instrText>
          </w:r>
          <w:r w:rsidRPr="00402E93">
            <w:rPr>
              <w:rFonts w:ascii="Times New Roman" w:hAnsi="Times New Roman" w:cs="Times New Roman"/>
              <w:b/>
              <w:bCs/>
              <w:color w:val="000000"/>
              <w:sz w:val="24"/>
              <w:szCs w:val="24"/>
            </w:rPr>
            <w:fldChar w:fldCharType="separate"/>
          </w:r>
          <w:hyperlink w:anchor="_Toc127400471" w:history="1">
            <w:r w:rsidR="00334D06" w:rsidRPr="00AE0533">
              <w:rPr>
                <w:rStyle w:val="Hyperlink"/>
                <w:noProof/>
              </w:rPr>
              <w:t>1.</w:t>
            </w:r>
            <w:r w:rsidR="00334D06">
              <w:rPr>
                <w:rFonts w:asciiTheme="minorHAnsi" w:eastAsiaTheme="minorEastAsia" w:hAnsiTheme="minorHAnsi"/>
                <w:noProof/>
              </w:rPr>
              <w:tab/>
            </w:r>
            <w:r w:rsidR="00334D06" w:rsidRPr="00AE0533">
              <w:rPr>
                <w:rStyle w:val="Hyperlink"/>
                <w:noProof/>
              </w:rPr>
              <w:t>Introduction</w:t>
            </w:r>
            <w:r w:rsidR="00334D06">
              <w:rPr>
                <w:noProof/>
                <w:webHidden/>
              </w:rPr>
              <w:tab/>
            </w:r>
            <w:r w:rsidR="00334D06">
              <w:rPr>
                <w:noProof/>
                <w:webHidden/>
              </w:rPr>
              <w:fldChar w:fldCharType="begin"/>
            </w:r>
            <w:r w:rsidR="00334D06">
              <w:rPr>
                <w:noProof/>
                <w:webHidden/>
              </w:rPr>
              <w:instrText xml:space="preserve"> PAGEREF _Toc127400471 \h </w:instrText>
            </w:r>
            <w:r w:rsidR="00334D06">
              <w:rPr>
                <w:noProof/>
                <w:webHidden/>
              </w:rPr>
            </w:r>
            <w:r w:rsidR="00334D06">
              <w:rPr>
                <w:noProof/>
                <w:webHidden/>
              </w:rPr>
              <w:fldChar w:fldCharType="separate"/>
            </w:r>
            <w:r w:rsidR="00334D06">
              <w:rPr>
                <w:noProof/>
                <w:webHidden/>
              </w:rPr>
              <w:t>3</w:t>
            </w:r>
            <w:r w:rsidR="00334D06">
              <w:rPr>
                <w:noProof/>
                <w:webHidden/>
              </w:rPr>
              <w:fldChar w:fldCharType="end"/>
            </w:r>
          </w:hyperlink>
        </w:p>
        <w:p w14:paraId="03F146F9" w14:textId="67C25377" w:rsidR="00334D06" w:rsidRDefault="00863B58">
          <w:pPr>
            <w:pStyle w:val="Cuprins1"/>
            <w:tabs>
              <w:tab w:val="left" w:pos="440"/>
              <w:tab w:val="right" w:leader="dot" w:pos="9016"/>
            </w:tabs>
            <w:rPr>
              <w:rFonts w:asciiTheme="minorHAnsi" w:eastAsiaTheme="minorEastAsia" w:hAnsiTheme="minorHAnsi"/>
              <w:noProof/>
            </w:rPr>
          </w:pPr>
          <w:hyperlink w:anchor="_Toc127400472" w:history="1">
            <w:r w:rsidR="00334D06" w:rsidRPr="00AE0533">
              <w:rPr>
                <w:rStyle w:val="Hyperlink"/>
                <w:noProof/>
              </w:rPr>
              <w:t>2.</w:t>
            </w:r>
            <w:r w:rsidR="00334D06">
              <w:rPr>
                <w:rFonts w:asciiTheme="minorHAnsi" w:eastAsiaTheme="minorEastAsia" w:hAnsiTheme="minorHAnsi"/>
                <w:noProof/>
              </w:rPr>
              <w:tab/>
            </w:r>
            <w:r w:rsidR="00334D06" w:rsidRPr="00AE0533">
              <w:rPr>
                <w:rStyle w:val="Hyperlink"/>
                <w:noProof/>
              </w:rPr>
              <w:t>Subheadings</w:t>
            </w:r>
            <w:r w:rsidR="00334D06">
              <w:rPr>
                <w:noProof/>
                <w:webHidden/>
              </w:rPr>
              <w:tab/>
            </w:r>
            <w:r w:rsidR="00334D06">
              <w:rPr>
                <w:noProof/>
                <w:webHidden/>
              </w:rPr>
              <w:fldChar w:fldCharType="begin"/>
            </w:r>
            <w:r w:rsidR="00334D06">
              <w:rPr>
                <w:noProof/>
                <w:webHidden/>
              </w:rPr>
              <w:instrText xml:space="preserve"> PAGEREF _Toc127400472 \h </w:instrText>
            </w:r>
            <w:r w:rsidR="00334D06">
              <w:rPr>
                <w:noProof/>
                <w:webHidden/>
              </w:rPr>
            </w:r>
            <w:r w:rsidR="00334D06">
              <w:rPr>
                <w:noProof/>
                <w:webHidden/>
              </w:rPr>
              <w:fldChar w:fldCharType="separate"/>
            </w:r>
            <w:r w:rsidR="00334D06">
              <w:rPr>
                <w:noProof/>
                <w:webHidden/>
              </w:rPr>
              <w:t>3</w:t>
            </w:r>
            <w:r w:rsidR="00334D06">
              <w:rPr>
                <w:noProof/>
                <w:webHidden/>
              </w:rPr>
              <w:fldChar w:fldCharType="end"/>
            </w:r>
          </w:hyperlink>
        </w:p>
        <w:p w14:paraId="5A3C6DBC" w14:textId="1404996F" w:rsidR="00334D06" w:rsidRDefault="00863B58">
          <w:pPr>
            <w:pStyle w:val="Cuprins3"/>
            <w:tabs>
              <w:tab w:val="left" w:pos="880"/>
              <w:tab w:val="right" w:leader="dot" w:pos="9016"/>
            </w:tabs>
            <w:rPr>
              <w:rFonts w:asciiTheme="minorHAnsi" w:eastAsiaTheme="minorEastAsia" w:hAnsiTheme="minorHAnsi"/>
              <w:noProof/>
            </w:rPr>
          </w:pPr>
          <w:hyperlink w:anchor="_Toc127400473" w:history="1">
            <w:r w:rsidR="00334D06" w:rsidRPr="00AE0533">
              <w:rPr>
                <w:rStyle w:val="Hyperlink"/>
                <w:noProof/>
              </w:rPr>
              <w:t>a)</w:t>
            </w:r>
            <w:r w:rsidR="00334D06">
              <w:rPr>
                <w:rFonts w:asciiTheme="minorHAnsi" w:eastAsiaTheme="minorEastAsia" w:hAnsiTheme="minorHAnsi"/>
                <w:noProof/>
              </w:rPr>
              <w:tab/>
            </w:r>
            <w:r w:rsidR="00334D06" w:rsidRPr="00AE0533">
              <w:rPr>
                <w:rStyle w:val="Hyperlink"/>
                <w:noProof/>
              </w:rPr>
              <w:t>Differences between marginal costing and absorption costing techniques considering their applicability and benefits</w:t>
            </w:r>
            <w:r w:rsidR="00334D06">
              <w:rPr>
                <w:noProof/>
                <w:webHidden/>
              </w:rPr>
              <w:tab/>
            </w:r>
            <w:r w:rsidR="00334D06">
              <w:rPr>
                <w:noProof/>
                <w:webHidden/>
              </w:rPr>
              <w:fldChar w:fldCharType="begin"/>
            </w:r>
            <w:r w:rsidR="00334D06">
              <w:rPr>
                <w:noProof/>
                <w:webHidden/>
              </w:rPr>
              <w:instrText xml:space="preserve"> PAGEREF _Toc127400473 \h </w:instrText>
            </w:r>
            <w:r w:rsidR="00334D06">
              <w:rPr>
                <w:noProof/>
                <w:webHidden/>
              </w:rPr>
            </w:r>
            <w:r w:rsidR="00334D06">
              <w:rPr>
                <w:noProof/>
                <w:webHidden/>
              </w:rPr>
              <w:fldChar w:fldCharType="separate"/>
            </w:r>
            <w:r w:rsidR="00334D06">
              <w:rPr>
                <w:noProof/>
                <w:webHidden/>
              </w:rPr>
              <w:t>3</w:t>
            </w:r>
            <w:r w:rsidR="00334D06">
              <w:rPr>
                <w:noProof/>
                <w:webHidden/>
              </w:rPr>
              <w:fldChar w:fldCharType="end"/>
            </w:r>
          </w:hyperlink>
        </w:p>
        <w:p w14:paraId="5B4AB6BD" w14:textId="49B76BD3" w:rsidR="00334D06" w:rsidRDefault="00863B58">
          <w:pPr>
            <w:pStyle w:val="Cuprins3"/>
            <w:tabs>
              <w:tab w:val="left" w:pos="880"/>
              <w:tab w:val="right" w:leader="dot" w:pos="9016"/>
            </w:tabs>
            <w:rPr>
              <w:rFonts w:asciiTheme="minorHAnsi" w:eastAsiaTheme="minorEastAsia" w:hAnsiTheme="minorHAnsi"/>
              <w:noProof/>
            </w:rPr>
          </w:pPr>
          <w:hyperlink w:anchor="_Toc127400474" w:history="1">
            <w:r w:rsidR="00334D06" w:rsidRPr="00AE0533">
              <w:rPr>
                <w:rStyle w:val="Hyperlink"/>
                <w:noProof/>
              </w:rPr>
              <w:t>b)</w:t>
            </w:r>
            <w:r w:rsidR="00334D06">
              <w:rPr>
                <w:rFonts w:asciiTheme="minorHAnsi" w:eastAsiaTheme="minorEastAsia" w:hAnsiTheme="minorHAnsi"/>
                <w:noProof/>
              </w:rPr>
              <w:tab/>
            </w:r>
            <w:r w:rsidR="00334D06" w:rsidRPr="00AE0533">
              <w:rPr>
                <w:rStyle w:val="Hyperlink"/>
                <w:noProof/>
              </w:rPr>
              <w:t xml:space="preserve">Preparing a Marginal Costing Statement </w:t>
            </w:r>
            <w:r w:rsidR="00334D06" w:rsidRPr="00AE0533">
              <w:rPr>
                <w:rStyle w:val="Hyperlink"/>
                <w:b/>
                <w:noProof/>
              </w:rPr>
              <w:t xml:space="preserve">for each product and total </w:t>
            </w:r>
            <w:r w:rsidR="00334D06" w:rsidRPr="00AE0533">
              <w:rPr>
                <w:rStyle w:val="Hyperlink"/>
                <w:noProof/>
              </w:rPr>
              <w:t>for the month of December 2022</w:t>
            </w:r>
            <w:r w:rsidR="00334D06">
              <w:rPr>
                <w:noProof/>
                <w:webHidden/>
              </w:rPr>
              <w:tab/>
            </w:r>
            <w:r w:rsidR="00334D06">
              <w:rPr>
                <w:noProof/>
                <w:webHidden/>
              </w:rPr>
              <w:fldChar w:fldCharType="begin"/>
            </w:r>
            <w:r w:rsidR="00334D06">
              <w:rPr>
                <w:noProof/>
                <w:webHidden/>
              </w:rPr>
              <w:instrText xml:space="preserve"> PAGEREF _Toc127400474 \h </w:instrText>
            </w:r>
            <w:r w:rsidR="00334D06">
              <w:rPr>
                <w:noProof/>
                <w:webHidden/>
              </w:rPr>
            </w:r>
            <w:r w:rsidR="00334D06">
              <w:rPr>
                <w:noProof/>
                <w:webHidden/>
              </w:rPr>
              <w:fldChar w:fldCharType="separate"/>
            </w:r>
            <w:r w:rsidR="00334D06">
              <w:rPr>
                <w:noProof/>
                <w:webHidden/>
              </w:rPr>
              <w:t>4</w:t>
            </w:r>
            <w:r w:rsidR="00334D06">
              <w:rPr>
                <w:noProof/>
                <w:webHidden/>
              </w:rPr>
              <w:fldChar w:fldCharType="end"/>
            </w:r>
          </w:hyperlink>
        </w:p>
        <w:p w14:paraId="5C514AA6" w14:textId="694A6EAE" w:rsidR="00334D06" w:rsidRDefault="00863B58">
          <w:pPr>
            <w:pStyle w:val="Cuprins3"/>
            <w:tabs>
              <w:tab w:val="left" w:pos="880"/>
              <w:tab w:val="right" w:leader="dot" w:pos="9016"/>
            </w:tabs>
            <w:rPr>
              <w:rFonts w:asciiTheme="minorHAnsi" w:eastAsiaTheme="minorEastAsia" w:hAnsiTheme="minorHAnsi"/>
              <w:noProof/>
            </w:rPr>
          </w:pPr>
          <w:hyperlink w:anchor="_Toc127400475" w:history="1">
            <w:r w:rsidR="00334D06" w:rsidRPr="00AE0533">
              <w:rPr>
                <w:rStyle w:val="Hyperlink"/>
                <w:noProof/>
              </w:rPr>
              <w:t>c)</w:t>
            </w:r>
            <w:r w:rsidR="00334D06">
              <w:rPr>
                <w:rFonts w:asciiTheme="minorHAnsi" w:eastAsiaTheme="minorEastAsia" w:hAnsiTheme="minorHAnsi"/>
                <w:noProof/>
              </w:rPr>
              <w:tab/>
            </w:r>
            <w:r w:rsidR="00334D06" w:rsidRPr="00AE0533">
              <w:rPr>
                <w:rStyle w:val="Hyperlink"/>
                <w:noProof/>
              </w:rPr>
              <w:t xml:space="preserve">Based on the calculation of part (b) above, advising if MSG </w:t>
            </w:r>
            <w:r w:rsidR="00334D06" w:rsidRPr="00AE0533">
              <w:rPr>
                <w:rStyle w:val="Hyperlink"/>
                <w:b/>
                <w:bCs/>
                <w:noProof/>
              </w:rPr>
              <w:t>should stop the production of Hoists</w:t>
            </w:r>
            <w:r w:rsidR="00334D06">
              <w:rPr>
                <w:noProof/>
                <w:webHidden/>
              </w:rPr>
              <w:tab/>
            </w:r>
            <w:r w:rsidR="00334D06">
              <w:rPr>
                <w:noProof/>
                <w:webHidden/>
              </w:rPr>
              <w:fldChar w:fldCharType="begin"/>
            </w:r>
            <w:r w:rsidR="00334D06">
              <w:rPr>
                <w:noProof/>
                <w:webHidden/>
              </w:rPr>
              <w:instrText xml:space="preserve"> PAGEREF _Toc127400475 \h </w:instrText>
            </w:r>
            <w:r w:rsidR="00334D06">
              <w:rPr>
                <w:noProof/>
                <w:webHidden/>
              </w:rPr>
            </w:r>
            <w:r w:rsidR="00334D06">
              <w:rPr>
                <w:noProof/>
                <w:webHidden/>
              </w:rPr>
              <w:fldChar w:fldCharType="separate"/>
            </w:r>
            <w:r w:rsidR="00334D06">
              <w:rPr>
                <w:noProof/>
                <w:webHidden/>
              </w:rPr>
              <w:t>5</w:t>
            </w:r>
            <w:r w:rsidR="00334D06">
              <w:rPr>
                <w:noProof/>
                <w:webHidden/>
              </w:rPr>
              <w:fldChar w:fldCharType="end"/>
            </w:r>
          </w:hyperlink>
        </w:p>
        <w:p w14:paraId="35A9A1EA" w14:textId="38E01F6A" w:rsidR="00334D06" w:rsidRDefault="00863B58">
          <w:pPr>
            <w:pStyle w:val="Cuprins3"/>
            <w:tabs>
              <w:tab w:val="left" w:pos="880"/>
              <w:tab w:val="right" w:leader="dot" w:pos="9016"/>
            </w:tabs>
            <w:rPr>
              <w:rFonts w:asciiTheme="minorHAnsi" w:eastAsiaTheme="minorEastAsia" w:hAnsiTheme="minorHAnsi"/>
              <w:noProof/>
            </w:rPr>
          </w:pPr>
          <w:hyperlink w:anchor="_Toc127400476" w:history="1">
            <w:r w:rsidR="00334D06" w:rsidRPr="00AE0533">
              <w:rPr>
                <w:rStyle w:val="Hyperlink"/>
                <w:noProof/>
              </w:rPr>
              <w:t>d)</w:t>
            </w:r>
            <w:r w:rsidR="00334D06">
              <w:rPr>
                <w:rFonts w:asciiTheme="minorHAnsi" w:eastAsiaTheme="minorEastAsia" w:hAnsiTheme="minorHAnsi"/>
                <w:noProof/>
              </w:rPr>
              <w:tab/>
            </w:r>
            <w:r w:rsidR="00334D06" w:rsidRPr="00AE0533">
              <w:rPr>
                <w:rStyle w:val="Hyperlink"/>
                <w:noProof/>
              </w:rPr>
              <w:t>Based on the calculation of part (b) above, advising if MSG should stop the production of Mobile Beds</w:t>
            </w:r>
            <w:r w:rsidR="00334D06">
              <w:rPr>
                <w:noProof/>
                <w:webHidden/>
              </w:rPr>
              <w:tab/>
            </w:r>
            <w:r w:rsidR="00334D06">
              <w:rPr>
                <w:noProof/>
                <w:webHidden/>
              </w:rPr>
              <w:fldChar w:fldCharType="begin"/>
            </w:r>
            <w:r w:rsidR="00334D06">
              <w:rPr>
                <w:noProof/>
                <w:webHidden/>
              </w:rPr>
              <w:instrText xml:space="preserve"> PAGEREF _Toc127400476 \h </w:instrText>
            </w:r>
            <w:r w:rsidR="00334D06">
              <w:rPr>
                <w:noProof/>
                <w:webHidden/>
              </w:rPr>
            </w:r>
            <w:r w:rsidR="00334D06">
              <w:rPr>
                <w:noProof/>
                <w:webHidden/>
              </w:rPr>
              <w:fldChar w:fldCharType="separate"/>
            </w:r>
            <w:r w:rsidR="00334D06">
              <w:rPr>
                <w:noProof/>
                <w:webHidden/>
              </w:rPr>
              <w:t>6</w:t>
            </w:r>
            <w:r w:rsidR="00334D06">
              <w:rPr>
                <w:noProof/>
                <w:webHidden/>
              </w:rPr>
              <w:fldChar w:fldCharType="end"/>
            </w:r>
          </w:hyperlink>
        </w:p>
        <w:p w14:paraId="47B55F28" w14:textId="20713321" w:rsidR="00334D06" w:rsidRDefault="00863B58">
          <w:pPr>
            <w:pStyle w:val="Cuprins3"/>
            <w:tabs>
              <w:tab w:val="left" w:pos="880"/>
              <w:tab w:val="right" w:leader="dot" w:pos="9016"/>
            </w:tabs>
            <w:rPr>
              <w:rFonts w:asciiTheme="minorHAnsi" w:eastAsiaTheme="minorEastAsia" w:hAnsiTheme="minorHAnsi"/>
              <w:noProof/>
            </w:rPr>
          </w:pPr>
          <w:hyperlink w:anchor="_Toc127400477" w:history="1">
            <w:r w:rsidR="00334D06" w:rsidRPr="00AE0533">
              <w:rPr>
                <w:rStyle w:val="Hyperlink"/>
                <w:noProof/>
              </w:rPr>
              <w:t>e)</w:t>
            </w:r>
            <w:r w:rsidR="00334D06">
              <w:rPr>
                <w:rFonts w:asciiTheme="minorHAnsi" w:eastAsiaTheme="minorEastAsia" w:hAnsiTheme="minorHAnsi"/>
                <w:noProof/>
              </w:rPr>
              <w:tab/>
            </w:r>
            <w:r w:rsidR="00334D06" w:rsidRPr="00AE0533">
              <w:rPr>
                <w:rStyle w:val="Hyperlink"/>
                <w:noProof/>
              </w:rPr>
              <w:t>Qualitative issues that Mobility Group should consider in making the decision to cease production of Hoists and Mobile Beds</w:t>
            </w:r>
            <w:r w:rsidR="00334D06">
              <w:rPr>
                <w:noProof/>
                <w:webHidden/>
              </w:rPr>
              <w:tab/>
            </w:r>
            <w:r w:rsidR="00334D06">
              <w:rPr>
                <w:noProof/>
                <w:webHidden/>
              </w:rPr>
              <w:fldChar w:fldCharType="begin"/>
            </w:r>
            <w:r w:rsidR="00334D06">
              <w:rPr>
                <w:noProof/>
                <w:webHidden/>
              </w:rPr>
              <w:instrText xml:space="preserve"> PAGEREF _Toc127400477 \h </w:instrText>
            </w:r>
            <w:r w:rsidR="00334D06">
              <w:rPr>
                <w:noProof/>
                <w:webHidden/>
              </w:rPr>
            </w:r>
            <w:r w:rsidR="00334D06">
              <w:rPr>
                <w:noProof/>
                <w:webHidden/>
              </w:rPr>
              <w:fldChar w:fldCharType="separate"/>
            </w:r>
            <w:r w:rsidR="00334D06">
              <w:rPr>
                <w:noProof/>
                <w:webHidden/>
              </w:rPr>
              <w:t>7</w:t>
            </w:r>
            <w:r w:rsidR="00334D06">
              <w:rPr>
                <w:noProof/>
                <w:webHidden/>
              </w:rPr>
              <w:fldChar w:fldCharType="end"/>
            </w:r>
          </w:hyperlink>
        </w:p>
        <w:p w14:paraId="14105082" w14:textId="0F24AC09" w:rsidR="00334D06" w:rsidRDefault="00863B58">
          <w:pPr>
            <w:pStyle w:val="Cuprins2"/>
            <w:tabs>
              <w:tab w:val="right" w:leader="dot" w:pos="9016"/>
            </w:tabs>
            <w:rPr>
              <w:rFonts w:asciiTheme="minorHAnsi" w:eastAsiaTheme="minorEastAsia" w:hAnsiTheme="minorHAnsi"/>
              <w:noProof/>
            </w:rPr>
          </w:pPr>
          <w:hyperlink w:anchor="_Toc127400478" w:history="1">
            <w:r w:rsidR="00334D06" w:rsidRPr="00AE0533">
              <w:rPr>
                <w:rStyle w:val="Hyperlink"/>
                <w:noProof/>
              </w:rPr>
              <w:t>2.1 Conclusion</w:t>
            </w:r>
            <w:r w:rsidR="00334D06">
              <w:rPr>
                <w:noProof/>
                <w:webHidden/>
              </w:rPr>
              <w:tab/>
            </w:r>
            <w:r w:rsidR="00334D06">
              <w:rPr>
                <w:noProof/>
                <w:webHidden/>
              </w:rPr>
              <w:fldChar w:fldCharType="begin"/>
            </w:r>
            <w:r w:rsidR="00334D06">
              <w:rPr>
                <w:noProof/>
                <w:webHidden/>
              </w:rPr>
              <w:instrText xml:space="preserve"> PAGEREF _Toc127400478 \h </w:instrText>
            </w:r>
            <w:r w:rsidR="00334D06">
              <w:rPr>
                <w:noProof/>
                <w:webHidden/>
              </w:rPr>
            </w:r>
            <w:r w:rsidR="00334D06">
              <w:rPr>
                <w:noProof/>
                <w:webHidden/>
              </w:rPr>
              <w:fldChar w:fldCharType="separate"/>
            </w:r>
            <w:r w:rsidR="00334D06">
              <w:rPr>
                <w:noProof/>
                <w:webHidden/>
              </w:rPr>
              <w:t>8</w:t>
            </w:r>
            <w:r w:rsidR="00334D06">
              <w:rPr>
                <w:noProof/>
                <w:webHidden/>
              </w:rPr>
              <w:fldChar w:fldCharType="end"/>
            </w:r>
          </w:hyperlink>
        </w:p>
        <w:p w14:paraId="50ED4FEF" w14:textId="62B2CE63" w:rsidR="00334D06" w:rsidRDefault="00863B58">
          <w:pPr>
            <w:pStyle w:val="Cuprins2"/>
            <w:tabs>
              <w:tab w:val="right" w:leader="dot" w:pos="9016"/>
            </w:tabs>
            <w:rPr>
              <w:rFonts w:asciiTheme="minorHAnsi" w:eastAsiaTheme="minorEastAsia" w:hAnsiTheme="minorHAnsi"/>
              <w:noProof/>
            </w:rPr>
          </w:pPr>
          <w:hyperlink w:anchor="_Toc127400479" w:history="1">
            <w:r w:rsidR="00334D06" w:rsidRPr="00AE0533">
              <w:rPr>
                <w:rStyle w:val="Hyperlink"/>
                <w:noProof/>
              </w:rPr>
              <w:t>2.2 Recommendations</w:t>
            </w:r>
            <w:r w:rsidR="00334D06">
              <w:rPr>
                <w:noProof/>
                <w:webHidden/>
              </w:rPr>
              <w:tab/>
            </w:r>
            <w:r w:rsidR="00334D06">
              <w:rPr>
                <w:noProof/>
                <w:webHidden/>
              </w:rPr>
              <w:fldChar w:fldCharType="begin"/>
            </w:r>
            <w:r w:rsidR="00334D06">
              <w:rPr>
                <w:noProof/>
                <w:webHidden/>
              </w:rPr>
              <w:instrText xml:space="preserve"> PAGEREF _Toc127400479 \h </w:instrText>
            </w:r>
            <w:r w:rsidR="00334D06">
              <w:rPr>
                <w:noProof/>
                <w:webHidden/>
              </w:rPr>
            </w:r>
            <w:r w:rsidR="00334D06">
              <w:rPr>
                <w:noProof/>
                <w:webHidden/>
              </w:rPr>
              <w:fldChar w:fldCharType="separate"/>
            </w:r>
            <w:r w:rsidR="00334D06">
              <w:rPr>
                <w:noProof/>
                <w:webHidden/>
              </w:rPr>
              <w:t>8</w:t>
            </w:r>
            <w:r w:rsidR="00334D06">
              <w:rPr>
                <w:noProof/>
                <w:webHidden/>
              </w:rPr>
              <w:fldChar w:fldCharType="end"/>
            </w:r>
          </w:hyperlink>
        </w:p>
        <w:p w14:paraId="3B207351" w14:textId="4F02F752" w:rsidR="00334D06" w:rsidRDefault="00863B58">
          <w:pPr>
            <w:pStyle w:val="Cuprins2"/>
            <w:tabs>
              <w:tab w:val="right" w:leader="dot" w:pos="9016"/>
            </w:tabs>
            <w:rPr>
              <w:rFonts w:asciiTheme="minorHAnsi" w:eastAsiaTheme="minorEastAsia" w:hAnsiTheme="minorHAnsi"/>
              <w:noProof/>
            </w:rPr>
          </w:pPr>
          <w:hyperlink w:anchor="_Toc127400480" w:history="1">
            <w:r w:rsidR="00334D06" w:rsidRPr="00AE0533">
              <w:rPr>
                <w:rStyle w:val="Hyperlink"/>
                <w:noProof/>
              </w:rPr>
              <w:t>2.3 Reference List</w:t>
            </w:r>
            <w:r w:rsidR="00334D06">
              <w:rPr>
                <w:noProof/>
                <w:webHidden/>
              </w:rPr>
              <w:tab/>
            </w:r>
            <w:r w:rsidR="00334D06">
              <w:rPr>
                <w:noProof/>
                <w:webHidden/>
              </w:rPr>
              <w:fldChar w:fldCharType="begin"/>
            </w:r>
            <w:r w:rsidR="00334D06">
              <w:rPr>
                <w:noProof/>
                <w:webHidden/>
              </w:rPr>
              <w:instrText xml:space="preserve"> PAGEREF _Toc127400480 \h </w:instrText>
            </w:r>
            <w:r w:rsidR="00334D06">
              <w:rPr>
                <w:noProof/>
                <w:webHidden/>
              </w:rPr>
            </w:r>
            <w:r w:rsidR="00334D06">
              <w:rPr>
                <w:noProof/>
                <w:webHidden/>
              </w:rPr>
              <w:fldChar w:fldCharType="separate"/>
            </w:r>
            <w:r w:rsidR="00334D06">
              <w:rPr>
                <w:noProof/>
                <w:webHidden/>
              </w:rPr>
              <w:t>9</w:t>
            </w:r>
            <w:r w:rsidR="00334D06">
              <w:rPr>
                <w:noProof/>
                <w:webHidden/>
              </w:rPr>
              <w:fldChar w:fldCharType="end"/>
            </w:r>
          </w:hyperlink>
        </w:p>
        <w:p w14:paraId="66F4CF0D" w14:textId="07C89EF4" w:rsidR="00334D06" w:rsidRDefault="00863B58">
          <w:pPr>
            <w:pStyle w:val="Cuprins1"/>
            <w:tabs>
              <w:tab w:val="left" w:pos="440"/>
              <w:tab w:val="right" w:leader="dot" w:pos="9016"/>
            </w:tabs>
            <w:rPr>
              <w:rFonts w:asciiTheme="minorHAnsi" w:eastAsiaTheme="minorEastAsia" w:hAnsiTheme="minorHAnsi"/>
              <w:noProof/>
            </w:rPr>
          </w:pPr>
          <w:hyperlink w:anchor="_Toc127400481" w:history="1">
            <w:r w:rsidR="00334D06" w:rsidRPr="00AE0533">
              <w:rPr>
                <w:rStyle w:val="Hyperlink"/>
                <w:bCs/>
                <w:noProof/>
              </w:rPr>
              <w:t>5.</w:t>
            </w:r>
            <w:r w:rsidR="00334D06">
              <w:rPr>
                <w:rFonts w:asciiTheme="minorHAnsi" w:eastAsiaTheme="minorEastAsia" w:hAnsiTheme="minorHAnsi"/>
                <w:noProof/>
              </w:rPr>
              <w:tab/>
            </w:r>
            <w:r w:rsidR="00334D06" w:rsidRPr="00AE0533">
              <w:rPr>
                <w:rStyle w:val="Hyperlink"/>
                <w:bCs/>
                <w:noProof/>
              </w:rPr>
              <w:t>Appendix A</w:t>
            </w:r>
            <w:r w:rsidR="00334D06">
              <w:rPr>
                <w:noProof/>
                <w:webHidden/>
              </w:rPr>
              <w:tab/>
            </w:r>
            <w:r w:rsidR="00334D06">
              <w:rPr>
                <w:noProof/>
                <w:webHidden/>
              </w:rPr>
              <w:fldChar w:fldCharType="begin"/>
            </w:r>
            <w:r w:rsidR="00334D06">
              <w:rPr>
                <w:noProof/>
                <w:webHidden/>
              </w:rPr>
              <w:instrText xml:space="preserve"> PAGEREF _Toc127400481 \h </w:instrText>
            </w:r>
            <w:r w:rsidR="00334D06">
              <w:rPr>
                <w:noProof/>
                <w:webHidden/>
              </w:rPr>
            </w:r>
            <w:r w:rsidR="00334D06">
              <w:rPr>
                <w:noProof/>
                <w:webHidden/>
              </w:rPr>
              <w:fldChar w:fldCharType="separate"/>
            </w:r>
            <w:r w:rsidR="00334D06">
              <w:rPr>
                <w:noProof/>
                <w:webHidden/>
              </w:rPr>
              <w:t>10</w:t>
            </w:r>
            <w:r w:rsidR="00334D06">
              <w:rPr>
                <w:noProof/>
                <w:webHidden/>
              </w:rPr>
              <w:fldChar w:fldCharType="end"/>
            </w:r>
          </w:hyperlink>
        </w:p>
        <w:p w14:paraId="30179374" w14:textId="58B823C0" w:rsidR="00402E93" w:rsidRPr="00402E93" w:rsidRDefault="00402E93" w:rsidP="00402E93">
          <w:pPr>
            <w:rPr>
              <w:rFonts w:cs="Arial"/>
              <w:color w:val="000000"/>
              <w:sz w:val="24"/>
              <w:szCs w:val="24"/>
            </w:rPr>
          </w:pPr>
          <w:r w:rsidRPr="00402E93">
            <w:rPr>
              <w:rFonts w:ascii="Times New Roman" w:hAnsi="Times New Roman" w:cs="Times New Roman"/>
              <w:color w:val="000000"/>
              <w:sz w:val="24"/>
              <w:szCs w:val="24"/>
            </w:rPr>
            <w:fldChar w:fldCharType="end"/>
          </w:r>
        </w:p>
      </w:sdtContent>
    </w:sdt>
    <w:p w14:paraId="1380993E" w14:textId="77777777" w:rsidR="00402E93" w:rsidRPr="00402E93" w:rsidRDefault="00402E93" w:rsidP="00402E93">
      <w:pPr>
        <w:rPr>
          <w:rFonts w:cs="Arial"/>
          <w:color w:val="000000"/>
          <w:sz w:val="24"/>
          <w:szCs w:val="24"/>
        </w:rPr>
      </w:pPr>
    </w:p>
    <w:p w14:paraId="478399AB" w14:textId="77777777" w:rsidR="00402E93" w:rsidRPr="00402E93" w:rsidRDefault="00402E93" w:rsidP="00402E93">
      <w:pPr>
        <w:rPr>
          <w:rFonts w:cs="Arial"/>
          <w:color w:val="000000"/>
          <w:sz w:val="24"/>
          <w:szCs w:val="24"/>
        </w:rPr>
      </w:pPr>
    </w:p>
    <w:p w14:paraId="1EAB0D2A" w14:textId="77777777" w:rsidR="00402E93" w:rsidRPr="00402E93" w:rsidRDefault="00402E93" w:rsidP="00402E93">
      <w:pPr>
        <w:rPr>
          <w:rFonts w:cs="Arial"/>
          <w:color w:val="000000"/>
          <w:sz w:val="24"/>
          <w:szCs w:val="24"/>
        </w:rPr>
      </w:pPr>
    </w:p>
    <w:p w14:paraId="2324C825" w14:textId="77777777" w:rsidR="00402E93" w:rsidRPr="00402E93" w:rsidRDefault="00402E93" w:rsidP="00402E93">
      <w:pPr>
        <w:rPr>
          <w:rFonts w:cs="Arial"/>
          <w:color w:val="000000"/>
          <w:sz w:val="24"/>
          <w:szCs w:val="24"/>
        </w:rPr>
      </w:pPr>
    </w:p>
    <w:p w14:paraId="551EFCA5" w14:textId="77777777" w:rsidR="00402E93" w:rsidRPr="00402E93" w:rsidRDefault="00402E93" w:rsidP="00402E93">
      <w:pPr>
        <w:rPr>
          <w:rFonts w:cs="Arial"/>
          <w:color w:val="000000"/>
          <w:sz w:val="24"/>
          <w:szCs w:val="24"/>
        </w:rPr>
      </w:pPr>
    </w:p>
    <w:p w14:paraId="20CF318A" w14:textId="77777777" w:rsidR="00402E93" w:rsidRPr="00402E93" w:rsidRDefault="00402E93" w:rsidP="00402E93">
      <w:pPr>
        <w:rPr>
          <w:rFonts w:cs="Arial"/>
          <w:color w:val="000000"/>
          <w:sz w:val="24"/>
          <w:szCs w:val="24"/>
        </w:rPr>
      </w:pPr>
    </w:p>
    <w:p w14:paraId="47AC4EAD" w14:textId="77777777" w:rsidR="00402E93" w:rsidRPr="00402E93" w:rsidRDefault="00402E93" w:rsidP="00402E93">
      <w:pPr>
        <w:rPr>
          <w:rFonts w:cs="Arial"/>
          <w:color w:val="000000"/>
          <w:sz w:val="24"/>
          <w:szCs w:val="24"/>
        </w:rPr>
      </w:pPr>
    </w:p>
    <w:p w14:paraId="4BE6A90D" w14:textId="77777777" w:rsidR="009C16D2" w:rsidRDefault="009C16D2">
      <w:pPr>
        <w:spacing w:line="259" w:lineRule="auto"/>
        <w:jc w:val="left"/>
        <w:rPr>
          <w:rFonts w:cs="Arial"/>
          <w:color w:val="000000"/>
          <w:sz w:val="24"/>
          <w:szCs w:val="24"/>
        </w:rPr>
      </w:pPr>
      <w:r>
        <w:rPr>
          <w:rFonts w:cs="Arial"/>
          <w:color w:val="000000"/>
          <w:sz w:val="24"/>
          <w:szCs w:val="24"/>
        </w:rPr>
        <w:br w:type="page"/>
      </w:r>
    </w:p>
    <w:p w14:paraId="44B834C9" w14:textId="38CA81E9" w:rsidR="00402E93" w:rsidRPr="00402E93" w:rsidRDefault="00402E93" w:rsidP="00402E93">
      <w:pPr>
        <w:rPr>
          <w:rFonts w:cs="Arial"/>
          <w:b/>
          <w:bCs/>
          <w:color w:val="000000"/>
          <w:sz w:val="24"/>
          <w:szCs w:val="24"/>
        </w:rPr>
      </w:pPr>
      <w:r w:rsidRPr="00402E93">
        <w:rPr>
          <w:rFonts w:cs="Arial"/>
          <w:b/>
          <w:bCs/>
          <w:color w:val="000000"/>
          <w:sz w:val="24"/>
          <w:szCs w:val="24"/>
        </w:rPr>
        <w:t>REPORT</w:t>
      </w:r>
    </w:p>
    <w:p w14:paraId="69CDDCC8" w14:textId="77777777" w:rsidR="00402E93" w:rsidRPr="00402E93" w:rsidRDefault="00402E93" w:rsidP="00402E93">
      <w:pPr>
        <w:rPr>
          <w:rFonts w:cs="Arial"/>
          <w:b/>
          <w:bCs/>
          <w:color w:val="000000"/>
          <w:sz w:val="24"/>
          <w:szCs w:val="24"/>
        </w:rPr>
      </w:pPr>
    </w:p>
    <w:p w14:paraId="618DC57F" w14:textId="08301743" w:rsidR="00A53CD9" w:rsidRDefault="00402E93" w:rsidP="00402E93">
      <w:pPr>
        <w:rPr>
          <w:rFonts w:cs="Arial"/>
          <w:b/>
          <w:bCs/>
          <w:color w:val="000000"/>
          <w:sz w:val="24"/>
          <w:szCs w:val="24"/>
        </w:rPr>
      </w:pPr>
      <w:r w:rsidRPr="00402E93">
        <w:rPr>
          <w:rFonts w:cs="Arial"/>
          <w:b/>
          <w:bCs/>
          <w:color w:val="000000"/>
          <w:sz w:val="24"/>
          <w:szCs w:val="24"/>
        </w:rPr>
        <w:t>To</w:t>
      </w:r>
      <w:commentRangeStart w:id="0"/>
      <w:r w:rsidRPr="00402E93">
        <w:rPr>
          <w:rFonts w:cs="Arial"/>
          <w:b/>
          <w:bCs/>
          <w:color w:val="000000"/>
          <w:sz w:val="24"/>
          <w:szCs w:val="24"/>
        </w:rPr>
        <w:t>:</w:t>
      </w:r>
      <w:r w:rsidR="00EA3EEE">
        <w:rPr>
          <w:rFonts w:cs="Arial"/>
          <w:b/>
          <w:bCs/>
          <w:color w:val="000000"/>
          <w:sz w:val="24"/>
          <w:szCs w:val="24"/>
        </w:rPr>
        <w:t xml:space="preserve"> </w:t>
      </w:r>
      <w:r w:rsidR="00A53CD9">
        <w:rPr>
          <w:rFonts w:cs="Arial"/>
          <w:b/>
          <w:bCs/>
          <w:color w:val="000000"/>
          <w:sz w:val="24"/>
          <w:szCs w:val="24"/>
        </w:rPr>
        <w:t>Managemen</w:t>
      </w:r>
      <w:r w:rsidR="00BF6935">
        <w:rPr>
          <w:rFonts w:cs="Arial"/>
          <w:b/>
          <w:bCs/>
          <w:color w:val="000000"/>
          <w:sz w:val="24"/>
          <w:szCs w:val="24"/>
        </w:rPr>
        <w:t xml:space="preserve">t of </w:t>
      </w:r>
      <w:r w:rsidR="00BF6935" w:rsidRPr="00BF6935">
        <w:rPr>
          <w:rFonts w:cs="Arial"/>
          <w:b/>
          <w:bCs/>
          <w:color w:val="000000"/>
          <w:sz w:val="24"/>
          <w:szCs w:val="24"/>
        </w:rPr>
        <w:t>Mobility Globa</w:t>
      </w:r>
      <w:r w:rsidR="00BF6935">
        <w:rPr>
          <w:rFonts w:cs="Arial"/>
          <w:b/>
          <w:bCs/>
          <w:color w:val="000000"/>
          <w:sz w:val="24"/>
          <w:szCs w:val="24"/>
        </w:rPr>
        <w:t xml:space="preserve">l </w:t>
      </w:r>
      <w:r w:rsidR="00A53CD9">
        <w:rPr>
          <w:rFonts w:cs="Arial"/>
          <w:b/>
          <w:bCs/>
          <w:color w:val="000000"/>
          <w:sz w:val="24"/>
          <w:szCs w:val="24"/>
        </w:rPr>
        <w:t xml:space="preserve"> </w:t>
      </w:r>
      <w:commentRangeEnd w:id="0"/>
      <w:r w:rsidR="0009572E">
        <w:rPr>
          <w:rStyle w:val="Referincomentariu"/>
        </w:rPr>
        <w:commentReference w:id="0"/>
      </w:r>
    </w:p>
    <w:p w14:paraId="4D8FC5BA" w14:textId="1FA147DD" w:rsidR="002C60CE" w:rsidRPr="00402E93" w:rsidRDefault="00402E93" w:rsidP="00402E93">
      <w:pPr>
        <w:rPr>
          <w:rFonts w:cs="Arial"/>
          <w:b/>
          <w:bCs/>
          <w:color w:val="000000"/>
          <w:sz w:val="24"/>
          <w:szCs w:val="24"/>
        </w:rPr>
      </w:pPr>
      <w:r w:rsidRPr="00402E93">
        <w:rPr>
          <w:rFonts w:cs="Arial"/>
          <w:b/>
          <w:bCs/>
          <w:color w:val="000000"/>
          <w:sz w:val="24"/>
          <w:szCs w:val="24"/>
        </w:rPr>
        <w:t>From:</w:t>
      </w:r>
      <w:r w:rsidR="002C60CE">
        <w:rPr>
          <w:rFonts w:cs="Arial"/>
          <w:b/>
          <w:bCs/>
          <w:color w:val="000000"/>
          <w:sz w:val="24"/>
          <w:szCs w:val="24"/>
        </w:rPr>
        <w:t xml:space="preserve"> Ana-Maria Parau </w:t>
      </w:r>
    </w:p>
    <w:p w14:paraId="11C61BB3" w14:textId="76183CA9" w:rsidR="00402E93" w:rsidRPr="00402E93" w:rsidRDefault="00402E93" w:rsidP="00402E93">
      <w:pPr>
        <w:rPr>
          <w:rFonts w:cs="Arial"/>
          <w:b/>
          <w:bCs/>
          <w:color w:val="000000"/>
          <w:sz w:val="24"/>
          <w:szCs w:val="24"/>
        </w:rPr>
      </w:pPr>
      <w:r w:rsidRPr="00402E93">
        <w:rPr>
          <w:rFonts w:cs="Arial"/>
          <w:b/>
          <w:bCs/>
          <w:color w:val="000000"/>
          <w:sz w:val="24"/>
          <w:szCs w:val="24"/>
        </w:rPr>
        <w:t>Date:</w:t>
      </w:r>
      <w:r w:rsidR="002C60CE">
        <w:rPr>
          <w:rFonts w:cs="Arial"/>
          <w:b/>
          <w:bCs/>
          <w:color w:val="000000"/>
          <w:sz w:val="24"/>
          <w:szCs w:val="24"/>
        </w:rPr>
        <w:t xml:space="preserve"> </w:t>
      </w:r>
      <w:r w:rsidR="000B2F84">
        <w:rPr>
          <w:rFonts w:cs="Arial"/>
          <w:b/>
          <w:bCs/>
          <w:color w:val="000000"/>
          <w:sz w:val="24"/>
          <w:szCs w:val="24"/>
        </w:rPr>
        <w:t>04.03.2023</w:t>
      </w:r>
    </w:p>
    <w:p w14:paraId="7F64EE44" w14:textId="72F9A65D" w:rsidR="00402E93" w:rsidRDefault="00402E93" w:rsidP="0060619F">
      <w:pPr>
        <w:rPr>
          <w:rFonts w:cs="Arial"/>
          <w:b/>
          <w:bCs/>
          <w:color w:val="000000"/>
          <w:sz w:val="24"/>
          <w:szCs w:val="24"/>
        </w:rPr>
      </w:pPr>
      <w:r w:rsidRPr="00402E93">
        <w:rPr>
          <w:rFonts w:cs="Arial"/>
          <w:b/>
          <w:bCs/>
          <w:color w:val="000000"/>
          <w:sz w:val="24"/>
          <w:szCs w:val="24"/>
        </w:rPr>
        <w:t>Subject:</w:t>
      </w:r>
      <w:r w:rsidR="000B2F84">
        <w:rPr>
          <w:rFonts w:cs="Arial"/>
          <w:b/>
          <w:bCs/>
          <w:color w:val="000000"/>
          <w:sz w:val="24"/>
          <w:szCs w:val="24"/>
        </w:rPr>
        <w:t xml:space="preserve"> </w:t>
      </w:r>
      <w:r w:rsidR="00BF6935" w:rsidRPr="00BF6935">
        <w:rPr>
          <w:rFonts w:cs="Arial"/>
          <w:b/>
          <w:bCs/>
          <w:color w:val="000000"/>
          <w:sz w:val="24"/>
          <w:szCs w:val="24"/>
        </w:rPr>
        <w:t>Cost Accounting Methods and Financial Analysis</w:t>
      </w:r>
      <w:r w:rsidR="00BF6935">
        <w:rPr>
          <w:rFonts w:cs="Arial"/>
          <w:b/>
          <w:bCs/>
          <w:color w:val="000000"/>
          <w:sz w:val="24"/>
          <w:szCs w:val="24"/>
        </w:rPr>
        <w:t xml:space="preserve"> on MG</w:t>
      </w:r>
    </w:p>
    <w:p w14:paraId="40A05AB4" w14:textId="77777777" w:rsidR="00487DC6" w:rsidRDefault="00487DC6" w:rsidP="0060619F">
      <w:pPr>
        <w:rPr>
          <w:rFonts w:cs="Arial"/>
          <w:b/>
          <w:bCs/>
          <w:color w:val="000000"/>
          <w:sz w:val="24"/>
          <w:szCs w:val="24"/>
        </w:rPr>
      </w:pPr>
    </w:p>
    <w:p w14:paraId="579799A6" w14:textId="79979420" w:rsidR="00402E93" w:rsidRPr="00402E93" w:rsidRDefault="00402E93" w:rsidP="00402E93">
      <w:pPr>
        <w:pStyle w:val="Titlu1"/>
        <w:numPr>
          <w:ilvl w:val="0"/>
          <w:numId w:val="2"/>
        </w:numPr>
      </w:pPr>
      <w:bookmarkStart w:id="1" w:name="_Toc127400471"/>
      <w:r w:rsidRPr="00402E93">
        <w:t>Introduction</w:t>
      </w:r>
      <w:bookmarkEnd w:id="1"/>
    </w:p>
    <w:p w14:paraId="6262C15A" w14:textId="1CB39B4A" w:rsidR="00487DC6" w:rsidRPr="00402E93" w:rsidRDefault="00BB3589" w:rsidP="00796BC1">
      <w:r w:rsidRPr="00BB3589">
        <w:t xml:space="preserve">Assuming that the MG Finance Manager is currently involved in project planning workshops, this report is being drafted for the MG Executive Committee on the proposed suspension of Hoist and Mobile Bed production. </w:t>
      </w:r>
      <w:r w:rsidR="00BF6935" w:rsidRPr="00BF6935">
        <w:t>This report aims to analyse the financial health and profitability of a company by examining the cost accounting methods of marginal costing and absorption costing. The report will cover the differences between these two methods, their applicability, and benefits. Furthermore, it will provide recommendations on how to make informed decisions about production, pricing, resource allocation, and product discontinuation by taking into account both quantitative and qualitative factors. To conduct the analysis, relevant data and financial information will be collected and analysed using tools such as financial statements, costing techniques, and financial ratios. The report will conclude by summarizing the key findings and recommendations for the company to improve its financial health and achieve sustainable growth.</w:t>
      </w:r>
      <w:r w:rsidR="00BF6935">
        <w:t xml:space="preserve"> </w:t>
      </w:r>
    </w:p>
    <w:p w14:paraId="469C4E7F" w14:textId="73BD41CC" w:rsidR="00402E93" w:rsidRPr="00402E93" w:rsidRDefault="00402E93" w:rsidP="00402E93">
      <w:pPr>
        <w:pStyle w:val="Titlu1"/>
        <w:numPr>
          <w:ilvl w:val="0"/>
          <w:numId w:val="2"/>
        </w:numPr>
      </w:pPr>
      <w:bookmarkStart w:id="2" w:name="_Toc127400472"/>
      <w:r w:rsidRPr="00402E93">
        <w:t>Subheadings</w:t>
      </w:r>
      <w:bookmarkEnd w:id="2"/>
    </w:p>
    <w:p w14:paraId="61E3DCAA" w14:textId="3EA00991" w:rsidR="00C94D40" w:rsidRPr="00DC2A7C" w:rsidRDefault="00BF6935" w:rsidP="00DC2A7C">
      <w:pPr>
        <w:pStyle w:val="Titlu3"/>
      </w:pPr>
      <w:r>
        <w:t>Absorption and marginal costing differences</w:t>
      </w:r>
    </w:p>
    <w:p w14:paraId="4E932210" w14:textId="126EF7E4" w:rsidR="00340415" w:rsidRPr="00340415" w:rsidRDefault="00BB3589" w:rsidP="00340415">
      <w:r w:rsidRPr="00BB3589">
        <w:t>Two popular cost accounting techniques for calculating the cost of goods sold (COGS) and, consequently, the sustainability of a corporation depends on marginal costing and absorption costing</w:t>
      </w:r>
      <w:r w:rsidR="00F21407">
        <w:t xml:space="preserve"> </w:t>
      </w:r>
      <w:r w:rsidR="00F21407" w:rsidRPr="00F21407">
        <w:t>(Seal et al., 2019)</w:t>
      </w:r>
      <w:r w:rsidR="00340415" w:rsidRPr="00340415">
        <w:t>.</w:t>
      </w:r>
    </w:p>
    <w:p w14:paraId="63758428" w14:textId="479A2FBC" w:rsidR="00340415" w:rsidRPr="00340415" w:rsidRDefault="00BB3589" w:rsidP="00340415">
      <w:r w:rsidRPr="00BB3589">
        <w:t>Only the actual or adjustable costs of creating a good, such as raw resources and direct labour, are taken into account in marginal costing. The only expenses included in the cost of the product are the variable costs since these costs are entirely incorporated into the selling price of the product. This method, which excludes any fixed expenditures, provides a more realistic representation of the actual cost of creating a product</w:t>
      </w:r>
      <w:r w:rsidR="00F21407">
        <w:t xml:space="preserve"> </w:t>
      </w:r>
      <w:r w:rsidR="00F21407" w:rsidRPr="00F21407">
        <w:t>(Bragg, 2022)</w:t>
      </w:r>
      <w:r w:rsidR="00340415" w:rsidRPr="00340415">
        <w:t>.</w:t>
      </w:r>
      <w:r w:rsidR="007B69C7">
        <w:t xml:space="preserve"> </w:t>
      </w:r>
      <w:r w:rsidR="00EC7D47" w:rsidRPr="00EC7D47">
        <w:t>While traditional costing methods focus only on the variable expenses, absorption costing takes into account both types of expenses</w:t>
      </w:r>
      <w:r w:rsidR="00BF6935">
        <w:t xml:space="preserve"> </w:t>
      </w:r>
      <w:r w:rsidR="00BF6935" w:rsidRPr="00BF6935">
        <w:t>(Absorption costing 2022)</w:t>
      </w:r>
      <w:r w:rsidR="00EC7D47" w:rsidRPr="00EC7D47">
        <w:t xml:space="preserve">. A percentage of the fixed expenses are included in the cost of goods sold since they are amortised over the total number of units manufactured. As it takes into account both variable and fixed expenses, this method is more thorough and paints a more accurate </w:t>
      </w:r>
      <w:commentRangeStart w:id="3"/>
      <w:r w:rsidR="00EC7D47" w:rsidRPr="00EC7D47">
        <w:t xml:space="preserve">representation of the </w:t>
      </w:r>
      <w:r w:rsidR="00EC7D47">
        <w:t>firm</w:t>
      </w:r>
      <w:r w:rsidR="00EC7D47" w:rsidRPr="00EC7D47">
        <w:t>'s financial condition</w:t>
      </w:r>
      <w:r w:rsidR="00340415" w:rsidRPr="00340415">
        <w:t>.</w:t>
      </w:r>
    </w:p>
    <w:p w14:paraId="76D41620" w14:textId="3379703C" w:rsidR="00340415" w:rsidRPr="00340415" w:rsidRDefault="00BB5C2A" w:rsidP="00340415">
      <w:r w:rsidRPr="00BB5C2A">
        <w:t>Each approach's usefulness is conditional on the nature of the enterprise and the specifics of the data that must be gathered. For companies with significant levels of fixed expenditures, such as manufacturing facilities, absorption costing may better reflect the actual price of goods produced. However, marginal costing may be more illuminating for organisations that have low fixed costs but large variable expenses</w:t>
      </w:r>
      <w:r w:rsidR="00340415" w:rsidRPr="00340415">
        <w:t>.</w:t>
      </w:r>
      <w:r w:rsidR="007B69C7">
        <w:t xml:space="preserve"> </w:t>
      </w:r>
      <w:r w:rsidRPr="00BB5C2A">
        <w:t>The advantages of contribution margin include a deeper knowledge of the variable costs, that is the amount of income which is left behind once all variable expenses have been paid. Such evidence is helpful for making choices concerning price, output and resource management</w:t>
      </w:r>
      <w:r w:rsidR="00F21407">
        <w:t xml:space="preserve"> </w:t>
      </w:r>
      <w:r w:rsidR="00F21407" w:rsidRPr="00F21407">
        <w:t>(Röller, 2020)</w:t>
      </w:r>
      <w:r w:rsidR="00340415" w:rsidRPr="00340415">
        <w:t>.</w:t>
      </w:r>
      <w:r w:rsidR="007B69C7">
        <w:t xml:space="preserve"> </w:t>
      </w:r>
      <w:r w:rsidR="006F4939" w:rsidRPr="006F4939">
        <w:t>On the contrary, absorption costing gives a greater knowledge of the business's performance, since it incorporates both fixed and variable expenses. This data is helpful for making choices regarding expenditures, such as increasing output or acquiring new technology</w:t>
      </w:r>
      <w:r w:rsidR="00F21407">
        <w:t xml:space="preserve"> </w:t>
      </w:r>
      <w:r w:rsidR="00F21407" w:rsidRPr="00F21407">
        <w:t>(Absorption costing: Definition, tips and examples | indeed.com 2023)</w:t>
      </w:r>
      <w:r w:rsidR="00340415" w:rsidRPr="00340415">
        <w:t>.</w:t>
      </w:r>
    </w:p>
    <w:p w14:paraId="5F80E159" w14:textId="26FA5243" w:rsidR="00D76C14" w:rsidRPr="00340415" w:rsidRDefault="00033184" w:rsidP="00340415">
      <w:r w:rsidRPr="00033184">
        <w:t>As a conclusion, marginal costing and absorption costing both have their advantages and disadvantages, and the decision between the two approaches will rely on the nature of the company and the information needed. Both approaches have their place, but they sho</w:t>
      </w:r>
      <w:commentRangeEnd w:id="3"/>
      <w:r w:rsidR="0009572E">
        <w:rPr>
          <w:rStyle w:val="Referincomentariu"/>
        </w:rPr>
        <w:commentReference w:id="3"/>
      </w:r>
      <w:r w:rsidRPr="00033184">
        <w:t>uld be utilised together to give a fuller picture of a business's fiscal viability and prosperity</w:t>
      </w:r>
      <w:r w:rsidR="00340415" w:rsidRPr="00340415">
        <w:t>.</w:t>
      </w:r>
    </w:p>
    <w:p w14:paraId="6B2DB6F7" w14:textId="4DB5E4EB" w:rsidR="00150B19" w:rsidRDefault="00150B19" w:rsidP="00DC2A7C">
      <w:pPr>
        <w:pStyle w:val="Titlu3"/>
      </w:pPr>
      <w:bookmarkStart w:id="4" w:name="_Toc127400474"/>
      <w:r>
        <w:t>Prepar</w:t>
      </w:r>
      <w:r w:rsidR="00FF5402">
        <w:t>ing</w:t>
      </w:r>
      <w:r>
        <w:t xml:space="preserve"> a Marginal Costing Statement </w:t>
      </w:r>
      <w:r>
        <w:rPr>
          <w:b/>
        </w:rPr>
        <w:t xml:space="preserve">for each product and total </w:t>
      </w:r>
      <w:r>
        <w:t>for the month of December 2022</w:t>
      </w:r>
      <w:bookmarkEnd w:id="4"/>
    </w:p>
    <w:p w14:paraId="14C717EA" w14:textId="28699EDD" w:rsidR="009F32A0" w:rsidRDefault="009C2BE3" w:rsidP="009F32A0">
      <w:r w:rsidRPr="009C2BE3">
        <w:t>Marginal costing is a method of cost accounting that emphasises the importance of taking into account the incremental cost of manufacturing an extra unit of a product when setting prices and determining output levels</w:t>
      </w:r>
      <w:r w:rsidR="00F21407">
        <w:t xml:space="preserve"> </w:t>
      </w:r>
      <w:r w:rsidR="00F21407" w:rsidRPr="00F21407">
        <w:t>(Seal et al., 2019)</w:t>
      </w:r>
      <w:r w:rsidR="009F32A0">
        <w:t xml:space="preserve">. </w:t>
      </w:r>
      <w:r w:rsidRPr="009C2BE3">
        <w:t>In contrast to absorption costing, which takes into account both the variable (materials, labour, and overhead) and fixed (building, utilities, etc.) costs of manufacturing a product, this approach only takes into account the latter (such as rent, property taxes, and insurance). When making decisions about how much to produce in the future, marginal costing simply takes into account the expenses that fluctuate with each new unit. This strategy is often utilised in pricing choices and other forms of short-term decision-making because it is a more straightforward way to assess how variations in production volume affect total costs</w:t>
      </w:r>
      <w:r w:rsidR="00F21407">
        <w:t xml:space="preserve"> </w:t>
      </w:r>
      <w:r w:rsidR="00F21407" w:rsidRPr="00F21407">
        <w:t>(What is managerial accounting and how it helps managers? 2023)</w:t>
      </w:r>
      <w:r w:rsidR="009F32A0">
        <w:t>.</w:t>
      </w:r>
    </w:p>
    <w:p w14:paraId="77003BCE" w14:textId="77777777" w:rsidR="00E80BF7" w:rsidRPr="009F32A0" w:rsidRDefault="00E80BF7" w:rsidP="009F32A0"/>
    <w:tbl>
      <w:tblPr>
        <w:tblStyle w:val="Tabelgril3-Accentuare5"/>
        <w:tblW w:w="9480" w:type="dxa"/>
        <w:tblLook w:val="04A0" w:firstRow="1" w:lastRow="0" w:firstColumn="1" w:lastColumn="0" w:noHBand="0" w:noVBand="1"/>
      </w:tblPr>
      <w:tblGrid>
        <w:gridCol w:w="2958"/>
        <w:gridCol w:w="1734"/>
        <w:gridCol w:w="1480"/>
        <w:gridCol w:w="1733"/>
        <w:gridCol w:w="1575"/>
      </w:tblGrid>
      <w:tr w:rsidR="00FF5402" w:rsidRPr="00FF5402" w14:paraId="69B8A02A" w14:textId="77777777" w:rsidTr="00DC2A7C">
        <w:trPr>
          <w:cnfStyle w:val="100000000000" w:firstRow="1" w:lastRow="0" w:firstColumn="0" w:lastColumn="0" w:oddVBand="0" w:evenVBand="0" w:oddHBand="0" w:evenHBand="0" w:firstRowFirstColumn="0" w:firstRowLastColumn="0" w:lastRowFirstColumn="0" w:lastRowLastColumn="0"/>
          <w:trHeight w:val="360"/>
        </w:trPr>
        <w:tc>
          <w:tcPr>
            <w:cnfStyle w:val="001000000100" w:firstRow="0" w:lastRow="0" w:firstColumn="1" w:lastColumn="0" w:oddVBand="0" w:evenVBand="0" w:oddHBand="0" w:evenHBand="0" w:firstRowFirstColumn="1" w:firstRowLastColumn="0" w:lastRowFirstColumn="0" w:lastRowLastColumn="0"/>
            <w:tcW w:w="9480" w:type="dxa"/>
            <w:gridSpan w:val="5"/>
            <w:noWrap/>
            <w:hideMark/>
          </w:tcPr>
          <w:p w14:paraId="3708DAA4" w14:textId="77777777" w:rsidR="00FF5402" w:rsidRPr="00FF5402" w:rsidRDefault="00FF5402" w:rsidP="00FF5402">
            <w:pPr>
              <w:spacing w:line="240" w:lineRule="auto"/>
              <w:jc w:val="center"/>
              <w:rPr>
                <w:rFonts w:eastAsia="Times New Roman" w:cs="Arial"/>
                <w:b w:val="0"/>
                <w:bCs w:val="0"/>
                <w:color w:val="000000"/>
                <w:sz w:val="28"/>
              </w:rPr>
            </w:pPr>
            <w:r w:rsidRPr="00FF5402">
              <w:rPr>
                <w:rFonts w:eastAsia="Times New Roman" w:cs="Arial"/>
                <w:color w:val="000000"/>
                <w:sz w:val="28"/>
              </w:rPr>
              <w:t>Marginal Costing Statement (For the month of December 2022)</w:t>
            </w:r>
          </w:p>
        </w:tc>
      </w:tr>
      <w:tr w:rsidR="00FF5402" w:rsidRPr="00FF5402" w14:paraId="575AC555" w14:textId="77777777" w:rsidTr="00DC2A7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6AE55C3F" w14:textId="77777777" w:rsidR="00FF5402" w:rsidRPr="00FF5402" w:rsidRDefault="00FF5402" w:rsidP="00FF5402">
            <w:pPr>
              <w:spacing w:line="240" w:lineRule="auto"/>
              <w:jc w:val="center"/>
              <w:rPr>
                <w:rFonts w:eastAsia="Times New Roman" w:cs="Arial"/>
                <w:b/>
                <w:bCs/>
                <w:color w:val="000000"/>
                <w:sz w:val="28"/>
              </w:rPr>
            </w:pPr>
            <w:r w:rsidRPr="00FF5402">
              <w:rPr>
                <w:rFonts w:eastAsia="Times New Roman" w:cs="Arial"/>
                <w:b/>
                <w:bCs/>
                <w:color w:val="000000"/>
                <w:sz w:val="28"/>
              </w:rPr>
              <w:t> </w:t>
            </w:r>
          </w:p>
        </w:tc>
        <w:tc>
          <w:tcPr>
            <w:tcW w:w="1734" w:type="dxa"/>
            <w:noWrap/>
            <w:hideMark/>
          </w:tcPr>
          <w:p w14:paraId="7C10D9CA"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p>
        </w:tc>
        <w:tc>
          <w:tcPr>
            <w:tcW w:w="1480" w:type="dxa"/>
            <w:noWrap/>
            <w:hideMark/>
          </w:tcPr>
          <w:p w14:paraId="2D8012CB"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733" w:type="dxa"/>
            <w:noWrap/>
            <w:hideMark/>
          </w:tcPr>
          <w:p w14:paraId="255DCBB1"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575" w:type="dxa"/>
            <w:noWrap/>
            <w:hideMark/>
          </w:tcPr>
          <w:p w14:paraId="1A5C05E4"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r w:rsidRPr="00FF5402">
              <w:rPr>
                <w:rFonts w:eastAsia="Times New Roman" w:cs="Arial"/>
                <w:b/>
                <w:bCs/>
                <w:color w:val="000000"/>
                <w:sz w:val="28"/>
              </w:rPr>
              <w:t> </w:t>
            </w:r>
          </w:p>
        </w:tc>
      </w:tr>
      <w:tr w:rsidR="00FF5402" w:rsidRPr="00FF5402" w14:paraId="52D5B3BC"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50512EFC" w14:textId="77777777" w:rsidR="00FF5402" w:rsidRPr="00FF5402" w:rsidRDefault="00FF5402" w:rsidP="00FF5402">
            <w:pPr>
              <w:spacing w:line="240" w:lineRule="auto"/>
              <w:jc w:val="left"/>
              <w:rPr>
                <w:rFonts w:eastAsia="Times New Roman" w:cs="Arial"/>
                <w:color w:val="000000"/>
                <w:szCs w:val="22"/>
              </w:rPr>
            </w:pPr>
            <w:r w:rsidRPr="00FF5402">
              <w:rPr>
                <w:rFonts w:eastAsia="Times New Roman" w:cs="Arial"/>
                <w:color w:val="000000"/>
                <w:szCs w:val="22"/>
              </w:rPr>
              <w:t> </w:t>
            </w:r>
          </w:p>
        </w:tc>
        <w:tc>
          <w:tcPr>
            <w:tcW w:w="6522" w:type="dxa"/>
            <w:gridSpan w:val="4"/>
            <w:noWrap/>
            <w:hideMark/>
          </w:tcPr>
          <w:p w14:paraId="558462F8" w14:textId="77777777" w:rsidR="00FF5402" w:rsidRPr="00FF5402" w:rsidRDefault="00FF5402" w:rsidP="00FF5402">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rPr>
            </w:pPr>
            <w:r w:rsidRPr="00FF5402">
              <w:rPr>
                <w:rFonts w:eastAsia="Times New Roman" w:cs="Arial"/>
                <w:b/>
                <w:bCs/>
                <w:color w:val="000000"/>
                <w:szCs w:val="22"/>
              </w:rPr>
              <w:t>in Pounds</w:t>
            </w:r>
          </w:p>
        </w:tc>
      </w:tr>
      <w:tr w:rsidR="00FF5402" w:rsidRPr="00FF5402" w14:paraId="2B0C5B4C"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6B5D25DC" w14:textId="77777777" w:rsidR="00FF5402" w:rsidRPr="00FF5402" w:rsidRDefault="00FF5402" w:rsidP="00FF5402">
            <w:pPr>
              <w:spacing w:line="240" w:lineRule="auto"/>
              <w:jc w:val="left"/>
              <w:rPr>
                <w:rFonts w:eastAsia="Times New Roman" w:cs="Arial"/>
                <w:color w:val="000000"/>
                <w:szCs w:val="22"/>
              </w:rPr>
            </w:pPr>
            <w:r w:rsidRPr="00FF5402">
              <w:rPr>
                <w:rFonts w:eastAsia="Times New Roman" w:cs="Arial"/>
                <w:color w:val="000000"/>
                <w:szCs w:val="22"/>
              </w:rPr>
              <w:t> </w:t>
            </w:r>
          </w:p>
        </w:tc>
        <w:tc>
          <w:tcPr>
            <w:tcW w:w="1734" w:type="dxa"/>
            <w:noWrap/>
            <w:hideMark/>
          </w:tcPr>
          <w:p w14:paraId="6F825EB5"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FF5402">
              <w:rPr>
                <w:rFonts w:eastAsia="Times New Roman" w:cs="Arial"/>
                <w:b/>
                <w:bCs/>
                <w:color w:val="000000"/>
                <w:szCs w:val="22"/>
              </w:rPr>
              <w:t>Wheelchairs</w:t>
            </w:r>
          </w:p>
        </w:tc>
        <w:tc>
          <w:tcPr>
            <w:tcW w:w="1480" w:type="dxa"/>
            <w:noWrap/>
            <w:hideMark/>
          </w:tcPr>
          <w:p w14:paraId="77783445"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FF5402">
              <w:rPr>
                <w:rFonts w:eastAsia="Times New Roman" w:cs="Arial"/>
                <w:b/>
                <w:bCs/>
                <w:color w:val="000000"/>
                <w:szCs w:val="22"/>
              </w:rPr>
              <w:t>Hoists</w:t>
            </w:r>
          </w:p>
        </w:tc>
        <w:tc>
          <w:tcPr>
            <w:tcW w:w="1733" w:type="dxa"/>
            <w:noWrap/>
            <w:hideMark/>
          </w:tcPr>
          <w:p w14:paraId="597A3845"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FF5402">
              <w:rPr>
                <w:rFonts w:eastAsia="Times New Roman" w:cs="Arial"/>
                <w:b/>
                <w:bCs/>
                <w:color w:val="000000"/>
                <w:szCs w:val="22"/>
              </w:rPr>
              <w:t>Mobile Beds</w:t>
            </w:r>
          </w:p>
        </w:tc>
        <w:tc>
          <w:tcPr>
            <w:tcW w:w="1575" w:type="dxa"/>
            <w:noWrap/>
            <w:hideMark/>
          </w:tcPr>
          <w:p w14:paraId="40CD9CFD" w14:textId="77777777" w:rsidR="00FF5402" w:rsidRPr="00FF5402" w:rsidRDefault="00FF5402" w:rsidP="00FF5402">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FF5402">
              <w:rPr>
                <w:rFonts w:eastAsia="Times New Roman" w:cs="Arial"/>
                <w:b/>
                <w:bCs/>
                <w:color w:val="000000"/>
                <w:szCs w:val="22"/>
              </w:rPr>
              <w:t>Total</w:t>
            </w:r>
          </w:p>
        </w:tc>
      </w:tr>
      <w:tr w:rsidR="00FF5402" w:rsidRPr="00FF5402" w14:paraId="487AC792"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14172DBB" w14:textId="77777777" w:rsidR="00FF5402" w:rsidRPr="00FF5402" w:rsidRDefault="00FF5402" w:rsidP="00FF5402">
            <w:pPr>
              <w:spacing w:line="240" w:lineRule="auto"/>
              <w:jc w:val="right"/>
              <w:rPr>
                <w:rFonts w:eastAsia="Times New Roman" w:cs="Arial"/>
                <w:b/>
                <w:bCs/>
                <w:color w:val="000000"/>
                <w:szCs w:val="22"/>
              </w:rPr>
            </w:pPr>
            <w:r w:rsidRPr="00FF5402">
              <w:rPr>
                <w:rFonts w:eastAsia="Times New Roman" w:cs="Arial"/>
                <w:b/>
                <w:bCs/>
                <w:color w:val="000000"/>
                <w:szCs w:val="22"/>
              </w:rPr>
              <w:t>Sales revenue</w:t>
            </w:r>
          </w:p>
        </w:tc>
        <w:tc>
          <w:tcPr>
            <w:tcW w:w="1734" w:type="dxa"/>
            <w:noWrap/>
            <w:hideMark/>
          </w:tcPr>
          <w:p w14:paraId="58421E79"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£20,100.00</w:t>
            </w:r>
          </w:p>
        </w:tc>
        <w:tc>
          <w:tcPr>
            <w:tcW w:w="1480" w:type="dxa"/>
            <w:noWrap/>
            <w:hideMark/>
          </w:tcPr>
          <w:p w14:paraId="7B97E2FE"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£18,630.00</w:t>
            </w:r>
          </w:p>
        </w:tc>
        <w:tc>
          <w:tcPr>
            <w:tcW w:w="1733" w:type="dxa"/>
            <w:noWrap/>
            <w:hideMark/>
          </w:tcPr>
          <w:p w14:paraId="0CEC1EB7"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£19,302.00</w:t>
            </w:r>
          </w:p>
        </w:tc>
        <w:tc>
          <w:tcPr>
            <w:tcW w:w="1575" w:type="dxa"/>
            <w:noWrap/>
            <w:hideMark/>
          </w:tcPr>
          <w:p w14:paraId="59631072"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£58,032.00</w:t>
            </w:r>
          </w:p>
        </w:tc>
      </w:tr>
      <w:tr w:rsidR="00FF5402" w:rsidRPr="00FF5402" w14:paraId="01F8D6BE"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294703EF" w14:textId="77777777" w:rsidR="00FF5402" w:rsidRPr="00FF5402" w:rsidRDefault="00FF5402" w:rsidP="00FF5402">
            <w:pPr>
              <w:spacing w:line="240" w:lineRule="auto"/>
              <w:jc w:val="right"/>
              <w:rPr>
                <w:rFonts w:eastAsia="Times New Roman" w:cs="Arial"/>
                <w:b/>
                <w:bCs/>
                <w:color w:val="000000"/>
                <w:szCs w:val="22"/>
              </w:rPr>
            </w:pPr>
            <w:r w:rsidRPr="00FF5402">
              <w:rPr>
                <w:rFonts w:eastAsia="Times New Roman" w:cs="Arial"/>
                <w:b/>
                <w:bCs/>
                <w:color w:val="000000"/>
                <w:szCs w:val="22"/>
              </w:rPr>
              <w:t> </w:t>
            </w:r>
          </w:p>
        </w:tc>
        <w:tc>
          <w:tcPr>
            <w:tcW w:w="1734" w:type="dxa"/>
            <w:noWrap/>
            <w:hideMark/>
          </w:tcPr>
          <w:p w14:paraId="246E9DC6"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p>
        </w:tc>
        <w:tc>
          <w:tcPr>
            <w:tcW w:w="1480" w:type="dxa"/>
            <w:noWrap/>
            <w:hideMark/>
          </w:tcPr>
          <w:p w14:paraId="42A78660"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733" w:type="dxa"/>
            <w:noWrap/>
            <w:hideMark/>
          </w:tcPr>
          <w:p w14:paraId="2FDAFBB9"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575" w:type="dxa"/>
            <w:noWrap/>
            <w:hideMark/>
          </w:tcPr>
          <w:p w14:paraId="7EF7C2CB"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 </w:t>
            </w:r>
          </w:p>
        </w:tc>
      </w:tr>
      <w:tr w:rsidR="00FF5402" w:rsidRPr="00FF5402" w14:paraId="0FFEF806"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4252E734" w14:textId="77777777" w:rsidR="00FF5402" w:rsidRPr="00FF5402" w:rsidRDefault="00FF5402" w:rsidP="00FF5402">
            <w:pPr>
              <w:spacing w:line="240" w:lineRule="auto"/>
              <w:jc w:val="left"/>
              <w:rPr>
                <w:rFonts w:eastAsia="Times New Roman" w:cs="Arial"/>
                <w:color w:val="000000"/>
                <w:szCs w:val="22"/>
              </w:rPr>
            </w:pPr>
            <w:r w:rsidRPr="00FF5402">
              <w:rPr>
                <w:rFonts w:eastAsia="Times New Roman" w:cs="Arial"/>
                <w:color w:val="000000"/>
                <w:szCs w:val="22"/>
              </w:rPr>
              <w:t>Production Cost:</w:t>
            </w:r>
          </w:p>
        </w:tc>
        <w:tc>
          <w:tcPr>
            <w:tcW w:w="1734" w:type="dxa"/>
            <w:noWrap/>
            <w:hideMark/>
          </w:tcPr>
          <w:p w14:paraId="017C87DE"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480" w:type="dxa"/>
            <w:noWrap/>
            <w:hideMark/>
          </w:tcPr>
          <w:p w14:paraId="21750F31"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733" w:type="dxa"/>
            <w:noWrap/>
            <w:hideMark/>
          </w:tcPr>
          <w:p w14:paraId="22D47F7B"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575" w:type="dxa"/>
            <w:noWrap/>
            <w:hideMark/>
          </w:tcPr>
          <w:p w14:paraId="4D2B44E6"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 </w:t>
            </w:r>
          </w:p>
        </w:tc>
      </w:tr>
      <w:tr w:rsidR="00FF5402" w:rsidRPr="00FF5402" w14:paraId="0BD0C4FF"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437DAC7C" w14:textId="77777777" w:rsidR="00FF5402" w:rsidRPr="00FF5402" w:rsidRDefault="00FF5402" w:rsidP="00FF5402">
            <w:pPr>
              <w:spacing w:line="240" w:lineRule="auto"/>
              <w:jc w:val="right"/>
              <w:rPr>
                <w:rFonts w:eastAsia="Times New Roman" w:cs="Arial"/>
                <w:color w:val="000000"/>
                <w:szCs w:val="22"/>
              </w:rPr>
            </w:pPr>
            <w:r w:rsidRPr="00FF5402">
              <w:rPr>
                <w:rFonts w:eastAsia="Times New Roman" w:cs="Arial"/>
                <w:color w:val="000000"/>
                <w:szCs w:val="22"/>
              </w:rPr>
              <w:t>Direct Material</w:t>
            </w:r>
          </w:p>
        </w:tc>
        <w:tc>
          <w:tcPr>
            <w:tcW w:w="1734" w:type="dxa"/>
            <w:noWrap/>
            <w:hideMark/>
          </w:tcPr>
          <w:p w14:paraId="474EF4A0"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-£4,623.00</w:t>
            </w:r>
          </w:p>
        </w:tc>
        <w:tc>
          <w:tcPr>
            <w:tcW w:w="1480" w:type="dxa"/>
            <w:noWrap/>
            <w:hideMark/>
          </w:tcPr>
          <w:p w14:paraId="3B0B8753"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-£6,893.10</w:t>
            </w:r>
          </w:p>
        </w:tc>
        <w:tc>
          <w:tcPr>
            <w:tcW w:w="1733" w:type="dxa"/>
            <w:noWrap/>
            <w:hideMark/>
          </w:tcPr>
          <w:p w14:paraId="445355E4"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-£9,264.96</w:t>
            </w:r>
          </w:p>
        </w:tc>
        <w:tc>
          <w:tcPr>
            <w:tcW w:w="1575" w:type="dxa"/>
            <w:noWrap/>
            <w:hideMark/>
          </w:tcPr>
          <w:p w14:paraId="4C12E465"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-£20,781.06</w:t>
            </w:r>
          </w:p>
        </w:tc>
      </w:tr>
      <w:tr w:rsidR="00FF5402" w:rsidRPr="00FF5402" w14:paraId="28D52D9D"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632216FE" w14:textId="77777777" w:rsidR="00FF5402" w:rsidRPr="00FF5402" w:rsidRDefault="00FF5402" w:rsidP="00FF5402">
            <w:pPr>
              <w:spacing w:line="240" w:lineRule="auto"/>
              <w:jc w:val="right"/>
              <w:rPr>
                <w:rFonts w:eastAsia="Times New Roman" w:cs="Arial"/>
                <w:color w:val="000000"/>
                <w:szCs w:val="22"/>
              </w:rPr>
            </w:pPr>
            <w:r w:rsidRPr="00FF5402">
              <w:rPr>
                <w:rFonts w:eastAsia="Times New Roman" w:cs="Arial"/>
                <w:color w:val="000000"/>
                <w:szCs w:val="22"/>
              </w:rPr>
              <w:t>Direct Labour</w:t>
            </w:r>
          </w:p>
        </w:tc>
        <w:tc>
          <w:tcPr>
            <w:tcW w:w="1734" w:type="dxa"/>
            <w:noWrap/>
            <w:hideMark/>
          </w:tcPr>
          <w:p w14:paraId="2DD8FC7F"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-£6,231.00</w:t>
            </w:r>
          </w:p>
        </w:tc>
        <w:tc>
          <w:tcPr>
            <w:tcW w:w="1480" w:type="dxa"/>
            <w:noWrap/>
            <w:hideMark/>
          </w:tcPr>
          <w:p w14:paraId="785B4F07"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-£7,824.60</w:t>
            </w:r>
          </w:p>
        </w:tc>
        <w:tc>
          <w:tcPr>
            <w:tcW w:w="1733" w:type="dxa"/>
            <w:noWrap/>
            <w:hideMark/>
          </w:tcPr>
          <w:p w14:paraId="61F3B6E7"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-£6,755.70</w:t>
            </w:r>
          </w:p>
        </w:tc>
        <w:tc>
          <w:tcPr>
            <w:tcW w:w="1575" w:type="dxa"/>
            <w:noWrap/>
            <w:hideMark/>
          </w:tcPr>
          <w:p w14:paraId="5DBCA364"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FF0000"/>
                <w:szCs w:val="22"/>
              </w:rPr>
              <w:t>-£20,811.30</w:t>
            </w:r>
          </w:p>
        </w:tc>
      </w:tr>
      <w:tr w:rsidR="00FF5402" w:rsidRPr="00FF5402" w14:paraId="0CC44454"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1543A44C" w14:textId="77777777" w:rsidR="00FF5402" w:rsidRPr="00FF5402" w:rsidRDefault="00FF5402" w:rsidP="00FF5402">
            <w:pPr>
              <w:spacing w:line="240" w:lineRule="auto"/>
              <w:jc w:val="right"/>
              <w:rPr>
                <w:rFonts w:eastAsia="Times New Roman" w:cs="Arial"/>
                <w:color w:val="000000"/>
                <w:szCs w:val="22"/>
              </w:rPr>
            </w:pPr>
            <w:r w:rsidRPr="00FF5402">
              <w:rPr>
                <w:rFonts w:eastAsia="Times New Roman" w:cs="Arial"/>
                <w:color w:val="000000"/>
                <w:szCs w:val="22"/>
              </w:rPr>
              <w:t>Other Variable Expenses</w:t>
            </w:r>
          </w:p>
        </w:tc>
        <w:tc>
          <w:tcPr>
            <w:tcW w:w="1734" w:type="dxa"/>
            <w:noWrap/>
            <w:hideMark/>
          </w:tcPr>
          <w:p w14:paraId="5F02BD4B"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-£2,211.00</w:t>
            </w:r>
          </w:p>
        </w:tc>
        <w:tc>
          <w:tcPr>
            <w:tcW w:w="1480" w:type="dxa"/>
            <w:noWrap/>
            <w:hideMark/>
          </w:tcPr>
          <w:p w14:paraId="0724BD3E"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-£4,657.50</w:t>
            </w:r>
          </w:p>
        </w:tc>
        <w:tc>
          <w:tcPr>
            <w:tcW w:w="1733" w:type="dxa"/>
            <w:noWrap/>
            <w:hideMark/>
          </w:tcPr>
          <w:p w14:paraId="277CA295"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-£3,088.32</w:t>
            </w:r>
          </w:p>
        </w:tc>
        <w:tc>
          <w:tcPr>
            <w:tcW w:w="1575" w:type="dxa"/>
            <w:noWrap/>
            <w:hideMark/>
          </w:tcPr>
          <w:p w14:paraId="7375E44D"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-£9,956.82</w:t>
            </w:r>
          </w:p>
        </w:tc>
      </w:tr>
      <w:tr w:rsidR="00FF5402" w:rsidRPr="00FF5402" w14:paraId="72BB5B2A"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hideMark/>
          </w:tcPr>
          <w:p w14:paraId="607E02C9" w14:textId="77777777" w:rsidR="00FF5402" w:rsidRPr="00FF5402" w:rsidRDefault="00FF5402" w:rsidP="00FF5402">
            <w:pPr>
              <w:spacing w:line="240" w:lineRule="auto"/>
              <w:jc w:val="right"/>
              <w:rPr>
                <w:rFonts w:eastAsia="Times New Roman" w:cs="Arial"/>
                <w:b/>
                <w:bCs/>
                <w:color w:val="000000"/>
                <w:szCs w:val="22"/>
              </w:rPr>
            </w:pPr>
            <w:r w:rsidRPr="00FF5402">
              <w:rPr>
                <w:rFonts w:eastAsia="Times New Roman" w:cs="Arial"/>
                <w:b/>
                <w:bCs/>
                <w:color w:val="000000"/>
                <w:szCs w:val="22"/>
              </w:rPr>
              <w:t>Contribution Margin</w:t>
            </w:r>
          </w:p>
        </w:tc>
        <w:tc>
          <w:tcPr>
            <w:tcW w:w="1734" w:type="dxa"/>
            <w:noWrap/>
            <w:hideMark/>
          </w:tcPr>
          <w:p w14:paraId="5D3DC2AB"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000000"/>
                <w:szCs w:val="22"/>
                <w:u w:val="double"/>
              </w:rPr>
              <w:t>£7,035.00</w:t>
            </w:r>
          </w:p>
        </w:tc>
        <w:tc>
          <w:tcPr>
            <w:tcW w:w="1480" w:type="dxa"/>
            <w:noWrap/>
            <w:hideMark/>
          </w:tcPr>
          <w:p w14:paraId="2561F84F"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FF0000"/>
                <w:szCs w:val="22"/>
                <w:u w:val="double"/>
              </w:rPr>
              <w:t>-£745.20</w:t>
            </w:r>
          </w:p>
        </w:tc>
        <w:tc>
          <w:tcPr>
            <w:tcW w:w="1733" w:type="dxa"/>
            <w:noWrap/>
            <w:hideMark/>
          </w:tcPr>
          <w:p w14:paraId="3A7FAE8A"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000000"/>
                <w:szCs w:val="22"/>
                <w:u w:val="double"/>
              </w:rPr>
              <w:t>£193.02</w:t>
            </w:r>
          </w:p>
        </w:tc>
        <w:tc>
          <w:tcPr>
            <w:tcW w:w="1575" w:type="dxa"/>
            <w:noWrap/>
            <w:hideMark/>
          </w:tcPr>
          <w:p w14:paraId="4F57B4AE"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000000"/>
                <w:szCs w:val="22"/>
                <w:u w:val="double"/>
              </w:rPr>
              <w:t>£6,482.82</w:t>
            </w:r>
          </w:p>
        </w:tc>
      </w:tr>
      <w:tr w:rsidR="00FF5402" w:rsidRPr="00FF5402" w14:paraId="784BAEE2"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18A53FF0" w14:textId="77777777" w:rsidR="00FF5402" w:rsidRPr="00FF5402" w:rsidRDefault="00FF5402" w:rsidP="00FF5402">
            <w:pPr>
              <w:spacing w:line="240" w:lineRule="auto"/>
              <w:jc w:val="left"/>
              <w:rPr>
                <w:rFonts w:eastAsia="Times New Roman" w:cs="Arial"/>
                <w:color w:val="000000"/>
                <w:szCs w:val="22"/>
              </w:rPr>
            </w:pPr>
            <w:r w:rsidRPr="00FF5402">
              <w:rPr>
                <w:rFonts w:eastAsia="Times New Roman" w:cs="Arial"/>
                <w:color w:val="000000"/>
                <w:szCs w:val="22"/>
              </w:rPr>
              <w:t> </w:t>
            </w:r>
          </w:p>
        </w:tc>
        <w:tc>
          <w:tcPr>
            <w:tcW w:w="1734" w:type="dxa"/>
            <w:noWrap/>
            <w:hideMark/>
          </w:tcPr>
          <w:p w14:paraId="1692A066"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p>
        </w:tc>
        <w:tc>
          <w:tcPr>
            <w:tcW w:w="1480" w:type="dxa"/>
            <w:noWrap/>
            <w:hideMark/>
          </w:tcPr>
          <w:p w14:paraId="1220241A"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733" w:type="dxa"/>
            <w:noWrap/>
            <w:hideMark/>
          </w:tcPr>
          <w:p w14:paraId="7615B203"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575" w:type="dxa"/>
            <w:noWrap/>
            <w:hideMark/>
          </w:tcPr>
          <w:p w14:paraId="395B229D" w14:textId="77777777" w:rsidR="00FF5402" w:rsidRPr="00FF5402" w:rsidRDefault="00FF5402" w:rsidP="00FF5402">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 </w:t>
            </w:r>
          </w:p>
        </w:tc>
      </w:tr>
      <w:tr w:rsidR="00FF5402" w:rsidRPr="00FF5402" w14:paraId="29B7DE26" w14:textId="77777777" w:rsidTr="00DC2A7C">
        <w:trPr>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0A8109BE" w14:textId="77777777" w:rsidR="00FF5402" w:rsidRPr="00FF5402" w:rsidRDefault="00FF5402" w:rsidP="00FF5402">
            <w:pPr>
              <w:spacing w:line="240" w:lineRule="auto"/>
              <w:jc w:val="left"/>
              <w:rPr>
                <w:rFonts w:eastAsia="Times New Roman" w:cs="Arial"/>
                <w:color w:val="000000"/>
                <w:szCs w:val="22"/>
              </w:rPr>
            </w:pPr>
            <w:r w:rsidRPr="00FF5402">
              <w:rPr>
                <w:rFonts w:eastAsia="Times New Roman" w:cs="Arial"/>
                <w:color w:val="000000"/>
                <w:szCs w:val="22"/>
              </w:rPr>
              <w:t>Fixed Costs:</w:t>
            </w:r>
          </w:p>
        </w:tc>
        <w:tc>
          <w:tcPr>
            <w:tcW w:w="1734" w:type="dxa"/>
            <w:noWrap/>
            <w:hideMark/>
          </w:tcPr>
          <w:p w14:paraId="135F7865"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480" w:type="dxa"/>
            <w:noWrap/>
            <w:hideMark/>
          </w:tcPr>
          <w:p w14:paraId="509A8146"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733" w:type="dxa"/>
            <w:noWrap/>
            <w:hideMark/>
          </w:tcPr>
          <w:p w14:paraId="525E3850"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575" w:type="dxa"/>
            <w:noWrap/>
            <w:hideMark/>
          </w:tcPr>
          <w:p w14:paraId="03A345C2" w14:textId="77777777" w:rsidR="00FF5402" w:rsidRPr="00FF5402" w:rsidRDefault="00FF5402" w:rsidP="00FF5402">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FF5402">
              <w:rPr>
                <w:rFonts w:eastAsia="Times New Roman" w:cs="Arial"/>
                <w:color w:val="000000"/>
                <w:szCs w:val="22"/>
              </w:rPr>
              <w:t> </w:t>
            </w:r>
          </w:p>
        </w:tc>
      </w:tr>
      <w:tr w:rsidR="00FF5402" w:rsidRPr="00FF5402" w14:paraId="61F954E6" w14:textId="77777777" w:rsidTr="00DC2A7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0DD213E7" w14:textId="77777777" w:rsidR="00FF5402" w:rsidRPr="00FF5402" w:rsidRDefault="00FF5402" w:rsidP="00FF5402">
            <w:pPr>
              <w:spacing w:line="240" w:lineRule="auto"/>
              <w:jc w:val="right"/>
              <w:rPr>
                <w:rFonts w:eastAsia="Times New Roman" w:cs="Arial"/>
                <w:color w:val="000000"/>
                <w:szCs w:val="22"/>
              </w:rPr>
            </w:pPr>
            <w:r w:rsidRPr="00FF5402">
              <w:rPr>
                <w:rFonts w:eastAsia="Times New Roman" w:cs="Arial"/>
                <w:color w:val="000000"/>
                <w:szCs w:val="22"/>
              </w:rPr>
              <w:t>Fixed Overheads</w:t>
            </w:r>
          </w:p>
        </w:tc>
        <w:tc>
          <w:tcPr>
            <w:tcW w:w="1734" w:type="dxa"/>
            <w:noWrap/>
            <w:hideMark/>
          </w:tcPr>
          <w:p w14:paraId="4F522BF4"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-£6,030.00</w:t>
            </w:r>
          </w:p>
        </w:tc>
        <w:tc>
          <w:tcPr>
            <w:tcW w:w="1480" w:type="dxa"/>
            <w:noWrap/>
            <w:hideMark/>
          </w:tcPr>
          <w:p w14:paraId="1E6D21D5"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-£5,961.60</w:t>
            </w:r>
          </w:p>
        </w:tc>
        <w:tc>
          <w:tcPr>
            <w:tcW w:w="1733" w:type="dxa"/>
            <w:noWrap/>
            <w:hideMark/>
          </w:tcPr>
          <w:p w14:paraId="5BB7BB53"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-£7,334.76</w:t>
            </w:r>
          </w:p>
        </w:tc>
        <w:tc>
          <w:tcPr>
            <w:tcW w:w="1575" w:type="dxa"/>
            <w:noWrap/>
            <w:hideMark/>
          </w:tcPr>
          <w:p w14:paraId="329A3BEA" w14:textId="77777777" w:rsidR="00FF5402" w:rsidRPr="00FF5402" w:rsidRDefault="00FF5402" w:rsidP="00FF5402">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FF5402">
              <w:rPr>
                <w:rFonts w:eastAsia="Times New Roman" w:cs="Arial"/>
                <w:color w:val="FF0000"/>
                <w:szCs w:val="22"/>
                <w:u w:val="single"/>
              </w:rPr>
              <w:t>-£19,326.36</w:t>
            </w:r>
          </w:p>
        </w:tc>
      </w:tr>
      <w:tr w:rsidR="00FF5402" w:rsidRPr="00FF5402" w14:paraId="3493741D" w14:textId="77777777" w:rsidTr="00DC2A7C">
        <w:trPr>
          <w:trHeight w:val="300"/>
        </w:trPr>
        <w:tc>
          <w:tcPr>
            <w:cnfStyle w:val="001000000000" w:firstRow="0" w:lastRow="0" w:firstColumn="1" w:lastColumn="0" w:oddVBand="0" w:evenVBand="0" w:oddHBand="0" w:evenHBand="0" w:firstRowFirstColumn="0" w:firstRowLastColumn="0" w:lastRowFirstColumn="0" w:lastRowLastColumn="0"/>
            <w:tcW w:w="2958" w:type="dxa"/>
            <w:noWrap/>
            <w:hideMark/>
          </w:tcPr>
          <w:p w14:paraId="353AF40A" w14:textId="77777777" w:rsidR="00FF5402" w:rsidRPr="00FF5402" w:rsidRDefault="00FF5402" w:rsidP="00FF5402">
            <w:pPr>
              <w:spacing w:line="240" w:lineRule="auto"/>
              <w:jc w:val="right"/>
              <w:rPr>
                <w:rFonts w:eastAsia="Times New Roman" w:cs="Arial"/>
                <w:b/>
                <w:bCs/>
                <w:color w:val="000000"/>
                <w:szCs w:val="22"/>
              </w:rPr>
            </w:pPr>
            <w:r w:rsidRPr="00FF5402">
              <w:rPr>
                <w:rFonts w:eastAsia="Times New Roman" w:cs="Arial"/>
                <w:b/>
                <w:bCs/>
                <w:color w:val="000000"/>
                <w:szCs w:val="22"/>
              </w:rPr>
              <w:t>Profit</w:t>
            </w:r>
          </w:p>
        </w:tc>
        <w:tc>
          <w:tcPr>
            <w:tcW w:w="1734" w:type="dxa"/>
            <w:noWrap/>
            <w:hideMark/>
          </w:tcPr>
          <w:p w14:paraId="31B10078"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000000"/>
                <w:szCs w:val="22"/>
                <w:u w:val="double"/>
              </w:rPr>
              <w:t>£1,005.00</w:t>
            </w:r>
          </w:p>
        </w:tc>
        <w:tc>
          <w:tcPr>
            <w:tcW w:w="1480" w:type="dxa"/>
            <w:noWrap/>
            <w:hideMark/>
          </w:tcPr>
          <w:p w14:paraId="6E6BD774"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FF0000"/>
                <w:szCs w:val="22"/>
                <w:u w:val="double"/>
              </w:rPr>
              <w:t>-£6,706.80</w:t>
            </w:r>
          </w:p>
        </w:tc>
        <w:tc>
          <w:tcPr>
            <w:tcW w:w="1733" w:type="dxa"/>
            <w:noWrap/>
            <w:hideMark/>
          </w:tcPr>
          <w:p w14:paraId="3A357181"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FF0000"/>
                <w:szCs w:val="22"/>
                <w:u w:val="double"/>
              </w:rPr>
              <w:t>-£7,141.74</w:t>
            </w:r>
          </w:p>
        </w:tc>
        <w:tc>
          <w:tcPr>
            <w:tcW w:w="1575" w:type="dxa"/>
            <w:noWrap/>
            <w:hideMark/>
          </w:tcPr>
          <w:p w14:paraId="2F503F26" w14:textId="77777777" w:rsidR="00FF5402" w:rsidRPr="00FF5402" w:rsidRDefault="00FF5402" w:rsidP="00FF5402">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FF5402">
              <w:rPr>
                <w:rFonts w:eastAsia="Times New Roman" w:cs="Arial"/>
                <w:b/>
                <w:bCs/>
                <w:color w:val="FF0000"/>
                <w:szCs w:val="22"/>
                <w:u w:val="double"/>
              </w:rPr>
              <w:t>-£12,843.54</w:t>
            </w:r>
          </w:p>
        </w:tc>
      </w:tr>
    </w:tbl>
    <w:p w14:paraId="79F76CFF" w14:textId="4B8B70DA" w:rsidR="009F32A0" w:rsidRPr="009F32A0" w:rsidRDefault="00150B19" w:rsidP="00DC2A7C">
      <w:pPr>
        <w:pStyle w:val="Titlu3"/>
        <w:rPr>
          <w:b/>
          <w:bCs/>
        </w:rPr>
      </w:pPr>
      <w:bookmarkStart w:id="5" w:name="_Toc127400475"/>
      <w:r>
        <w:t xml:space="preserve">Based on the </w:t>
      </w:r>
      <w:r w:rsidR="009F32A0">
        <w:t>calculation of</w:t>
      </w:r>
      <w:r>
        <w:t xml:space="preserve"> part (</w:t>
      </w:r>
      <w:r w:rsidR="009F32A0">
        <w:t>b</w:t>
      </w:r>
      <w:r>
        <w:t>) above, advis</w:t>
      </w:r>
      <w:r w:rsidR="009F32A0">
        <w:t>ing</w:t>
      </w:r>
      <w:r>
        <w:t xml:space="preserve"> if MSG </w:t>
      </w:r>
      <w:r>
        <w:rPr>
          <w:b/>
          <w:bCs/>
        </w:rPr>
        <w:t>should stop the production of Hoists</w:t>
      </w:r>
      <w:bookmarkEnd w:id="5"/>
    </w:p>
    <w:p w14:paraId="16C9C674" w14:textId="2C0014F9" w:rsidR="007B69C7" w:rsidRPr="009F32A0" w:rsidRDefault="007B69C7" w:rsidP="009F32A0">
      <w:commentRangeStart w:id="6"/>
      <w:r w:rsidRPr="007B69C7">
        <w:t>Based on the marginal costing statement, it is recommended that the company should discontinue the production of Hoists, as it is incurring a loss of -£6,706.80. The marginal costing method indicates that if the income from selling Hoists is less than the variable expenses associated with making them, then the company is losing money. Therefore, it appears that manufacturing Hoists is not profitable for the firm and should be discontinued to improve the financial health of the company.</w:t>
      </w:r>
    </w:p>
    <w:p w14:paraId="53D10CA7" w14:textId="05CD53E8" w:rsidR="00150B19" w:rsidRDefault="00674744" w:rsidP="00680CDC">
      <w:r w:rsidRPr="00674744">
        <w:t xml:space="preserve">Here is a Marginal Costing Statement that illustrates </w:t>
      </w:r>
      <w:commentRangeEnd w:id="6"/>
      <w:r w:rsidR="0009572E">
        <w:rPr>
          <w:rStyle w:val="Referincomentariu"/>
        </w:rPr>
        <w:commentReference w:id="6"/>
      </w:r>
      <w:r w:rsidRPr="00674744">
        <w:t>the outcomes if MSG ceases producing hoists</w:t>
      </w:r>
      <w:r w:rsidR="00680CDC">
        <w:t>-</w:t>
      </w:r>
    </w:p>
    <w:tbl>
      <w:tblPr>
        <w:tblStyle w:val="Tabelsimplu5"/>
        <w:tblW w:w="8920" w:type="dxa"/>
        <w:tblLook w:val="04A0" w:firstRow="1" w:lastRow="0" w:firstColumn="1" w:lastColumn="0" w:noHBand="0" w:noVBand="1"/>
      </w:tblPr>
      <w:tblGrid>
        <w:gridCol w:w="3769"/>
        <w:gridCol w:w="1772"/>
        <w:gridCol w:w="1770"/>
        <w:gridCol w:w="1609"/>
      </w:tblGrid>
      <w:tr w:rsidR="007B69C7" w:rsidRPr="007B69C7" w14:paraId="5E01C037" w14:textId="77777777" w:rsidTr="007B69C7">
        <w:trPr>
          <w:cnfStyle w:val="100000000000" w:firstRow="1" w:lastRow="0" w:firstColumn="0" w:lastColumn="0" w:oddVBand="0" w:evenVBand="0" w:oddHBand="0" w:evenHBand="0" w:firstRowFirstColumn="0" w:firstRowLastColumn="0" w:lastRowFirstColumn="0" w:lastRowLastColumn="0"/>
          <w:trHeight w:val="360"/>
        </w:trPr>
        <w:tc>
          <w:tcPr>
            <w:cnfStyle w:val="001000000100" w:firstRow="0" w:lastRow="0" w:firstColumn="1" w:lastColumn="0" w:oddVBand="0" w:evenVBand="0" w:oddHBand="0" w:evenHBand="0" w:firstRowFirstColumn="1" w:firstRowLastColumn="0" w:lastRowFirstColumn="0" w:lastRowLastColumn="0"/>
            <w:tcW w:w="8920" w:type="dxa"/>
            <w:gridSpan w:val="4"/>
            <w:noWrap/>
            <w:hideMark/>
          </w:tcPr>
          <w:p w14:paraId="66A4DEBC" w14:textId="77777777" w:rsidR="007B69C7" w:rsidRPr="007B69C7" w:rsidRDefault="007B69C7" w:rsidP="007B69C7">
            <w:pPr>
              <w:spacing w:line="240" w:lineRule="auto"/>
              <w:jc w:val="center"/>
              <w:rPr>
                <w:rFonts w:eastAsia="Times New Roman" w:cs="Arial"/>
                <w:b/>
                <w:bCs/>
                <w:color w:val="000000"/>
                <w:sz w:val="28"/>
              </w:rPr>
            </w:pPr>
            <w:r w:rsidRPr="007B69C7">
              <w:rPr>
                <w:rFonts w:eastAsia="Times New Roman" w:cs="Arial"/>
                <w:b/>
                <w:bCs/>
                <w:color w:val="000000"/>
                <w:sz w:val="28"/>
              </w:rPr>
              <w:t>Marginal Costing Statement (For the month of December 2022)</w:t>
            </w:r>
          </w:p>
        </w:tc>
      </w:tr>
      <w:tr w:rsidR="007B69C7" w:rsidRPr="007B69C7" w14:paraId="4D2A1068" w14:textId="77777777" w:rsidTr="007B69C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0437E9BB" w14:textId="77777777" w:rsidR="007B69C7" w:rsidRPr="007B69C7" w:rsidRDefault="007B69C7" w:rsidP="007B69C7">
            <w:pPr>
              <w:spacing w:line="240" w:lineRule="auto"/>
              <w:jc w:val="center"/>
              <w:rPr>
                <w:rFonts w:eastAsia="Times New Roman" w:cs="Arial"/>
                <w:b/>
                <w:bCs/>
                <w:color w:val="000000"/>
                <w:sz w:val="28"/>
              </w:rPr>
            </w:pPr>
            <w:r w:rsidRPr="007B69C7">
              <w:rPr>
                <w:rFonts w:eastAsia="Times New Roman" w:cs="Arial"/>
                <w:b/>
                <w:bCs/>
                <w:color w:val="000000"/>
                <w:sz w:val="28"/>
              </w:rPr>
              <w:t> </w:t>
            </w:r>
          </w:p>
        </w:tc>
        <w:tc>
          <w:tcPr>
            <w:tcW w:w="1772" w:type="dxa"/>
            <w:noWrap/>
            <w:hideMark/>
          </w:tcPr>
          <w:p w14:paraId="700E660D"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p>
        </w:tc>
        <w:tc>
          <w:tcPr>
            <w:tcW w:w="1770" w:type="dxa"/>
            <w:noWrap/>
            <w:hideMark/>
          </w:tcPr>
          <w:p w14:paraId="736DE69F"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09" w:type="dxa"/>
            <w:noWrap/>
            <w:hideMark/>
          </w:tcPr>
          <w:p w14:paraId="5A356329"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r w:rsidRPr="007B69C7">
              <w:rPr>
                <w:rFonts w:eastAsia="Times New Roman" w:cs="Arial"/>
                <w:b/>
                <w:bCs/>
                <w:color w:val="000000"/>
                <w:sz w:val="28"/>
              </w:rPr>
              <w:t> </w:t>
            </w:r>
          </w:p>
        </w:tc>
      </w:tr>
      <w:tr w:rsidR="007B69C7" w:rsidRPr="007B69C7" w14:paraId="100D7076"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61C450ED"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5151" w:type="dxa"/>
            <w:gridSpan w:val="3"/>
            <w:noWrap/>
            <w:hideMark/>
          </w:tcPr>
          <w:p w14:paraId="43618A8F" w14:textId="77777777" w:rsidR="007B69C7" w:rsidRPr="007B69C7" w:rsidRDefault="007B69C7" w:rsidP="007B69C7">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in Pounds</w:t>
            </w:r>
          </w:p>
        </w:tc>
      </w:tr>
      <w:tr w:rsidR="007B69C7" w:rsidRPr="007B69C7" w14:paraId="4CDD539E"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6EA0108B"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1772" w:type="dxa"/>
            <w:noWrap/>
            <w:hideMark/>
          </w:tcPr>
          <w:p w14:paraId="0DA78EBF"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Wheelchairs</w:t>
            </w:r>
          </w:p>
        </w:tc>
        <w:tc>
          <w:tcPr>
            <w:tcW w:w="1770" w:type="dxa"/>
            <w:noWrap/>
            <w:hideMark/>
          </w:tcPr>
          <w:p w14:paraId="701BFEBD"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Mobile Beds</w:t>
            </w:r>
          </w:p>
        </w:tc>
        <w:tc>
          <w:tcPr>
            <w:tcW w:w="1609" w:type="dxa"/>
            <w:noWrap/>
            <w:hideMark/>
          </w:tcPr>
          <w:p w14:paraId="7D089231"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Total</w:t>
            </w:r>
          </w:p>
        </w:tc>
      </w:tr>
      <w:tr w:rsidR="007B69C7" w:rsidRPr="007B69C7" w14:paraId="31E51544"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61DDAAF0"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Sales revenue</w:t>
            </w:r>
          </w:p>
        </w:tc>
        <w:tc>
          <w:tcPr>
            <w:tcW w:w="1772" w:type="dxa"/>
            <w:noWrap/>
            <w:hideMark/>
          </w:tcPr>
          <w:p w14:paraId="0FF3B187"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£20,100.00</w:t>
            </w:r>
          </w:p>
        </w:tc>
        <w:tc>
          <w:tcPr>
            <w:tcW w:w="1770" w:type="dxa"/>
            <w:noWrap/>
            <w:hideMark/>
          </w:tcPr>
          <w:p w14:paraId="12EE3095"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£19,302.00</w:t>
            </w:r>
          </w:p>
        </w:tc>
        <w:tc>
          <w:tcPr>
            <w:tcW w:w="1609" w:type="dxa"/>
            <w:noWrap/>
            <w:hideMark/>
          </w:tcPr>
          <w:p w14:paraId="56CA81DE"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£39,402.00</w:t>
            </w:r>
          </w:p>
        </w:tc>
      </w:tr>
      <w:tr w:rsidR="007B69C7" w:rsidRPr="007B69C7" w14:paraId="2C687B8B"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3C6D8F98"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 </w:t>
            </w:r>
          </w:p>
        </w:tc>
        <w:tc>
          <w:tcPr>
            <w:tcW w:w="1772" w:type="dxa"/>
            <w:noWrap/>
            <w:hideMark/>
          </w:tcPr>
          <w:p w14:paraId="522A9568"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p>
        </w:tc>
        <w:tc>
          <w:tcPr>
            <w:tcW w:w="1770" w:type="dxa"/>
            <w:noWrap/>
            <w:hideMark/>
          </w:tcPr>
          <w:p w14:paraId="46B292CB"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09" w:type="dxa"/>
            <w:noWrap/>
            <w:hideMark/>
          </w:tcPr>
          <w:p w14:paraId="4BB651AF"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087DB239"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3F585C96"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Production Cost:</w:t>
            </w:r>
          </w:p>
        </w:tc>
        <w:tc>
          <w:tcPr>
            <w:tcW w:w="1772" w:type="dxa"/>
            <w:noWrap/>
            <w:hideMark/>
          </w:tcPr>
          <w:p w14:paraId="3BE4BF35"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770" w:type="dxa"/>
            <w:noWrap/>
            <w:hideMark/>
          </w:tcPr>
          <w:p w14:paraId="5188307D"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609" w:type="dxa"/>
            <w:noWrap/>
            <w:hideMark/>
          </w:tcPr>
          <w:p w14:paraId="70B91C40"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5CEBD248"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592AE8A2"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Direct Material</w:t>
            </w:r>
          </w:p>
        </w:tc>
        <w:tc>
          <w:tcPr>
            <w:tcW w:w="1772" w:type="dxa"/>
            <w:noWrap/>
            <w:hideMark/>
          </w:tcPr>
          <w:p w14:paraId="5E2B63F8"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-£4,623.00</w:t>
            </w:r>
          </w:p>
        </w:tc>
        <w:tc>
          <w:tcPr>
            <w:tcW w:w="1770" w:type="dxa"/>
            <w:noWrap/>
            <w:hideMark/>
          </w:tcPr>
          <w:p w14:paraId="41A7081F"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-£9,264.96</w:t>
            </w:r>
          </w:p>
        </w:tc>
        <w:tc>
          <w:tcPr>
            <w:tcW w:w="1609" w:type="dxa"/>
            <w:noWrap/>
            <w:hideMark/>
          </w:tcPr>
          <w:p w14:paraId="3FEF5DBC"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-£13,887.96</w:t>
            </w:r>
          </w:p>
        </w:tc>
      </w:tr>
      <w:tr w:rsidR="007B69C7" w:rsidRPr="007B69C7" w14:paraId="1D59667B"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5DEEFDF4"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Direct Labour</w:t>
            </w:r>
          </w:p>
        </w:tc>
        <w:tc>
          <w:tcPr>
            <w:tcW w:w="1772" w:type="dxa"/>
            <w:noWrap/>
            <w:hideMark/>
          </w:tcPr>
          <w:p w14:paraId="349165C3"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-£6,231.00</w:t>
            </w:r>
          </w:p>
        </w:tc>
        <w:tc>
          <w:tcPr>
            <w:tcW w:w="1770" w:type="dxa"/>
            <w:noWrap/>
            <w:hideMark/>
          </w:tcPr>
          <w:p w14:paraId="48F9C7CD"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-£6,755.70</w:t>
            </w:r>
          </w:p>
        </w:tc>
        <w:tc>
          <w:tcPr>
            <w:tcW w:w="1609" w:type="dxa"/>
            <w:noWrap/>
            <w:hideMark/>
          </w:tcPr>
          <w:p w14:paraId="3172D4C5"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-£12,986.70</w:t>
            </w:r>
          </w:p>
        </w:tc>
      </w:tr>
      <w:tr w:rsidR="007B69C7" w:rsidRPr="007B69C7" w14:paraId="3F2E1373"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09BD3928"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Other Variable Expenses</w:t>
            </w:r>
          </w:p>
        </w:tc>
        <w:tc>
          <w:tcPr>
            <w:tcW w:w="1772" w:type="dxa"/>
            <w:noWrap/>
            <w:hideMark/>
          </w:tcPr>
          <w:p w14:paraId="3B46570C"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-£2,211.00</w:t>
            </w:r>
          </w:p>
        </w:tc>
        <w:tc>
          <w:tcPr>
            <w:tcW w:w="1770" w:type="dxa"/>
            <w:noWrap/>
            <w:hideMark/>
          </w:tcPr>
          <w:p w14:paraId="148644F3"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-£3,088.32</w:t>
            </w:r>
          </w:p>
        </w:tc>
        <w:tc>
          <w:tcPr>
            <w:tcW w:w="1609" w:type="dxa"/>
            <w:noWrap/>
            <w:hideMark/>
          </w:tcPr>
          <w:p w14:paraId="7E0FCCBB"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-£5,299.32</w:t>
            </w:r>
          </w:p>
        </w:tc>
      </w:tr>
      <w:tr w:rsidR="007B69C7" w:rsidRPr="007B69C7" w14:paraId="6B42E11C"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hideMark/>
          </w:tcPr>
          <w:p w14:paraId="65AD03CF"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Contribution Margin</w:t>
            </w:r>
          </w:p>
        </w:tc>
        <w:tc>
          <w:tcPr>
            <w:tcW w:w="1772" w:type="dxa"/>
            <w:noWrap/>
            <w:hideMark/>
          </w:tcPr>
          <w:p w14:paraId="3977FEA8"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£7,035.00</w:t>
            </w:r>
          </w:p>
        </w:tc>
        <w:tc>
          <w:tcPr>
            <w:tcW w:w="1770" w:type="dxa"/>
            <w:noWrap/>
            <w:hideMark/>
          </w:tcPr>
          <w:p w14:paraId="4B71406F"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£193.02</w:t>
            </w:r>
          </w:p>
        </w:tc>
        <w:tc>
          <w:tcPr>
            <w:tcW w:w="1609" w:type="dxa"/>
            <w:noWrap/>
            <w:hideMark/>
          </w:tcPr>
          <w:p w14:paraId="52C1AE27"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£7,228.02</w:t>
            </w:r>
          </w:p>
        </w:tc>
      </w:tr>
      <w:tr w:rsidR="007B69C7" w:rsidRPr="007B69C7" w14:paraId="702C15A1"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7FC2F24B"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1772" w:type="dxa"/>
            <w:noWrap/>
            <w:hideMark/>
          </w:tcPr>
          <w:p w14:paraId="74D622A6"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p>
        </w:tc>
        <w:tc>
          <w:tcPr>
            <w:tcW w:w="1770" w:type="dxa"/>
            <w:noWrap/>
            <w:hideMark/>
          </w:tcPr>
          <w:p w14:paraId="55FC40CD"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09" w:type="dxa"/>
            <w:noWrap/>
            <w:hideMark/>
          </w:tcPr>
          <w:p w14:paraId="494ED41C"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7034E5F7" w14:textId="77777777" w:rsidTr="007B69C7">
        <w:trPr>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6646AB0F"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Fixed Costs:</w:t>
            </w:r>
          </w:p>
        </w:tc>
        <w:tc>
          <w:tcPr>
            <w:tcW w:w="1772" w:type="dxa"/>
            <w:noWrap/>
            <w:hideMark/>
          </w:tcPr>
          <w:p w14:paraId="401D5C1B"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770" w:type="dxa"/>
            <w:noWrap/>
            <w:hideMark/>
          </w:tcPr>
          <w:p w14:paraId="416342BD"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609" w:type="dxa"/>
            <w:noWrap/>
            <w:hideMark/>
          </w:tcPr>
          <w:p w14:paraId="180418B7"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7064FE87" w14:textId="77777777" w:rsidTr="007B69C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38672B7E"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Fixed Overheads</w:t>
            </w:r>
          </w:p>
        </w:tc>
        <w:tc>
          <w:tcPr>
            <w:tcW w:w="1772" w:type="dxa"/>
            <w:noWrap/>
            <w:hideMark/>
          </w:tcPr>
          <w:p w14:paraId="68FC56DD"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-£6,030.00</w:t>
            </w:r>
          </w:p>
        </w:tc>
        <w:tc>
          <w:tcPr>
            <w:tcW w:w="1770" w:type="dxa"/>
            <w:noWrap/>
            <w:hideMark/>
          </w:tcPr>
          <w:p w14:paraId="339D512D"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-£7,334.76</w:t>
            </w:r>
          </w:p>
        </w:tc>
        <w:tc>
          <w:tcPr>
            <w:tcW w:w="1609" w:type="dxa"/>
            <w:noWrap/>
            <w:hideMark/>
          </w:tcPr>
          <w:p w14:paraId="353FEC9C"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-£19,326.36</w:t>
            </w:r>
          </w:p>
        </w:tc>
      </w:tr>
      <w:tr w:rsidR="007B69C7" w:rsidRPr="007B69C7" w14:paraId="1437115E" w14:textId="77777777" w:rsidTr="007B69C7">
        <w:trPr>
          <w:trHeight w:val="300"/>
        </w:trPr>
        <w:tc>
          <w:tcPr>
            <w:cnfStyle w:val="001000000000" w:firstRow="0" w:lastRow="0" w:firstColumn="1" w:lastColumn="0" w:oddVBand="0" w:evenVBand="0" w:oddHBand="0" w:evenHBand="0" w:firstRowFirstColumn="0" w:firstRowLastColumn="0" w:lastRowFirstColumn="0" w:lastRowLastColumn="0"/>
            <w:tcW w:w="3769" w:type="dxa"/>
            <w:noWrap/>
            <w:hideMark/>
          </w:tcPr>
          <w:p w14:paraId="6D85636C"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Profit</w:t>
            </w:r>
          </w:p>
        </w:tc>
        <w:tc>
          <w:tcPr>
            <w:tcW w:w="1772" w:type="dxa"/>
            <w:noWrap/>
            <w:hideMark/>
          </w:tcPr>
          <w:p w14:paraId="3144131B"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£1,005.00</w:t>
            </w:r>
          </w:p>
        </w:tc>
        <w:tc>
          <w:tcPr>
            <w:tcW w:w="1770" w:type="dxa"/>
            <w:noWrap/>
            <w:hideMark/>
          </w:tcPr>
          <w:p w14:paraId="1B9DC9CE"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FF0000"/>
                <w:szCs w:val="22"/>
                <w:u w:val="double"/>
              </w:rPr>
              <w:t>-£7,141.74</w:t>
            </w:r>
          </w:p>
        </w:tc>
        <w:tc>
          <w:tcPr>
            <w:tcW w:w="1609" w:type="dxa"/>
            <w:noWrap/>
            <w:hideMark/>
          </w:tcPr>
          <w:p w14:paraId="0F5392E5"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FF0000"/>
                <w:szCs w:val="22"/>
                <w:u w:val="double"/>
              </w:rPr>
              <w:t>-£12,098.34</w:t>
            </w:r>
          </w:p>
        </w:tc>
      </w:tr>
    </w:tbl>
    <w:p w14:paraId="1AE78EB1" w14:textId="77777777" w:rsidR="00923D31" w:rsidRDefault="00923D31" w:rsidP="00923D31">
      <w:pPr>
        <w:spacing w:after="0" w:line="240" w:lineRule="auto"/>
        <w:rPr>
          <w:rFonts w:eastAsia="Times New Roman" w:cs="Arial"/>
          <w:color w:val="000000"/>
          <w:szCs w:val="22"/>
        </w:rPr>
      </w:pPr>
    </w:p>
    <w:p w14:paraId="7D488B8D" w14:textId="51068606" w:rsidR="00D76C14" w:rsidRPr="00C859A6" w:rsidRDefault="00674744" w:rsidP="00C859A6">
      <w:pPr>
        <w:spacing w:after="0"/>
        <w:rPr>
          <w:rFonts w:eastAsia="Times New Roman" w:cs="Arial"/>
          <w:color w:val="000000"/>
          <w:szCs w:val="22"/>
        </w:rPr>
      </w:pPr>
      <w:r w:rsidRPr="00674744">
        <w:rPr>
          <w:rFonts w:eastAsia="Times New Roman" w:cs="Arial"/>
          <w:color w:val="000000"/>
          <w:szCs w:val="22"/>
        </w:rPr>
        <w:t xml:space="preserve">Therefore, it is possible to observe that once the manufacturing of hoists was stopped, the overall contribution margin rose to £7,228.02 from £6482.82 and the total profit </w:t>
      </w:r>
      <w:r w:rsidR="007B69C7">
        <w:rPr>
          <w:rFonts w:eastAsia="Times New Roman" w:cs="Arial"/>
          <w:color w:val="000000"/>
          <w:szCs w:val="22"/>
        </w:rPr>
        <w:t xml:space="preserve">also decreased slightly to </w:t>
      </w:r>
      <w:r w:rsidR="007B69C7" w:rsidRPr="00674744">
        <w:rPr>
          <w:rFonts w:eastAsia="Times New Roman" w:cs="Arial"/>
          <w:color w:val="000000"/>
          <w:szCs w:val="22"/>
        </w:rPr>
        <w:t>£-</w:t>
      </w:r>
      <w:r w:rsidR="007B69C7">
        <w:rPr>
          <w:rFonts w:eastAsia="Times New Roman" w:cs="Arial"/>
          <w:color w:val="000000"/>
          <w:szCs w:val="22"/>
        </w:rPr>
        <w:t>12,098.34</w:t>
      </w:r>
      <w:r w:rsidRPr="00674744">
        <w:rPr>
          <w:rFonts w:eastAsia="Times New Roman" w:cs="Arial"/>
          <w:color w:val="000000"/>
          <w:szCs w:val="22"/>
        </w:rPr>
        <w:t xml:space="preserve"> from £-12843.54</w:t>
      </w:r>
      <w:r w:rsidR="007B69C7">
        <w:rPr>
          <w:rFonts w:eastAsia="Times New Roman" w:cs="Arial"/>
          <w:color w:val="000000"/>
          <w:szCs w:val="22"/>
        </w:rPr>
        <w:t>.</w:t>
      </w:r>
    </w:p>
    <w:p w14:paraId="23EBB247" w14:textId="4284CC6B" w:rsidR="00C859A6" w:rsidRPr="0009572E" w:rsidRDefault="00C859A6" w:rsidP="00DC2A7C">
      <w:pPr>
        <w:pStyle w:val="Titlu3"/>
        <w:rPr>
          <w:b/>
          <w:bCs/>
          <w:highlight w:val="yellow"/>
        </w:rPr>
      </w:pPr>
      <w:bookmarkStart w:id="7" w:name="_Toc127400476"/>
      <w:r w:rsidRPr="0009572E">
        <w:rPr>
          <w:highlight w:val="yellow"/>
        </w:rPr>
        <w:t xml:space="preserve">Based on the calculation of part (b) above, advising if MSG should stop the production of </w:t>
      </w:r>
      <w:bookmarkStart w:id="8" w:name="_Hlk126951870"/>
      <w:r w:rsidRPr="0009572E">
        <w:rPr>
          <w:highlight w:val="yellow"/>
        </w:rPr>
        <w:t>Mobile Beds</w:t>
      </w:r>
      <w:bookmarkEnd w:id="7"/>
      <w:bookmarkEnd w:id="8"/>
    </w:p>
    <w:p w14:paraId="2423052B" w14:textId="22184C9C" w:rsidR="00C859A6" w:rsidRDefault="007B1D7E" w:rsidP="006B24B4">
      <w:r w:rsidRPr="007B1D7E">
        <w:t xml:space="preserve">A marginal </w:t>
      </w:r>
      <w:commentRangeStart w:id="9"/>
      <w:r w:rsidRPr="007B1D7E">
        <w:t>costing statement would show that the firm is still losing money even if the variable costs of making Mobile Beds are less than the revenue produced from selling them if the contribution margin for Mobile Bed production is £193.02 and the loss is -£7,141.74. The company's inability to turn a profit from the manufacturing of Mobile Beds may be attributable to the high fixed expenses incurred by the business. Production of Mobile Beds should be halted if the fixed expenses are not being covered by sales of other goods or services</w:t>
      </w:r>
      <w:r w:rsidR="00C859A6">
        <w:t xml:space="preserve">. </w:t>
      </w:r>
    </w:p>
    <w:p w14:paraId="7C183150" w14:textId="0AB47609" w:rsidR="00C94D40" w:rsidRDefault="00674744" w:rsidP="00C859A6">
      <w:r w:rsidRPr="00674744">
        <w:t xml:space="preserve">Here is a Marginal Costing Statement that illustrates the outcomes if MSG ceases producing </w:t>
      </w:r>
      <w:r w:rsidR="00BC6C47" w:rsidRPr="00BC6C47">
        <w:t>Mobile Beds</w:t>
      </w:r>
      <w:r w:rsidR="00512D5C">
        <w:t xml:space="preserve"> </w:t>
      </w:r>
      <w:r w:rsidR="00512D5C" w:rsidRPr="00512D5C">
        <w:t>(Garikaib, 2022)</w:t>
      </w:r>
      <w:r w:rsidR="00C859A6">
        <w:t>-</w:t>
      </w:r>
    </w:p>
    <w:tbl>
      <w:tblPr>
        <w:tblStyle w:val="Tabelsimplu5"/>
        <w:tblW w:w="8860" w:type="dxa"/>
        <w:jc w:val="center"/>
        <w:tblLook w:val="04A0" w:firstRow="1" w:lastRow="0" w:firstColumn="1" w:lastColumn="0" w:noHBand="0" w:noVBand="1"/>
      </w:tblPr>
      <w:tblGrid>
        <w:gridCol w:w="3856"/>
        <w:gridCol w:w="1812"/>
        <w:gridCol w:w="1546"/>
        <w:gridCol w:w="1646"/>
      </w:tblGrid>
      <w:tr w:rsidR="007B69C7" w:rsidRPr="007B69C7" w14:paraId="0EA06491" w14:textId="77777777" w:rsidTr="007B69C7">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100" w:firstRow="0" w:lastRow="0" w:firstColumn="1" w:lastColumn="0" w:oddVBand="0" w:evenVBand="0" w:oddHBand="0" w:evenHBand="0" w:firstRowFirstColumn="1" w:firstRowLastColumn="0" w:lastRowFirstColumn="0" w:lastRowLastColumn="0"/>
            <w:tcW w:w="8860" w:type="dxa"/>
            <w:gridSpan w:val="4"/>
            <w:noWrap/>
            <w:hideMark/>
          </w:tcPr>
          <w:p w14:paraId="352CB173" w14:textId="77777777" w:rsidR="007B69C7" w:rsidRPr="007B69C7" w:rsidRDefault="007B69C7" w:rsidP="007B69C7">
            <w:pPr>
              <w:spacing w:line="240" w:lineRule="auto"/>
              <w:jc w:val="center"/>
              <w:rPr>
                <w:rFonts w:eastAsia="Times New Roman" w:cs="Arial"/>
                <w:b/>
                <w:bCs/>
                <w:color w:val="000000"/>
                <w:sz w:val="28"/>
              </w:rPr>
            </w:pPr>
            <w:r w:rsidRPr="007B69C7">
              <w:rPr>
                <w:rFonts w:eastAsia="Times New Roman" w:cs="Arial"/>
                <w:b/>
                <w:bCs/>
                <w:color w:val="000000"/>
                <w:sz w:val="28"/>
              </w:rPr>
              <w:t>Marginal Costing Statement (For the month of December 2022)</w:t>
            </w:r>
          </w:p>
        </w:tc>
      </w:tr>
      <w:tr w:rsidR="007B69C7" w:rsidRPr="007B69C7" w14:paraId="300A14EC" w14:textId="77777777" w:rsidTr="007B69C7">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3A3ED5B5" w14:textId="77777777" w:rsidR="007B69C7" w:rsidRPr="007B69C7" w:rsidRDefault="007B69C7" w:rsidP="007B69C7">
            <w:pPr>
              <w:spacing w:line="240" w:lineRule="auto"/>
              <w:jc w:val="center"/>
              <w:rPr>
                <w:rFonts w:eastAsia="Times New Roman" w:cs="Arial"/>
                <w:b/>
                <w:bCs/>
                <w:color w:val="000000"/>
                <w:sz w:val="28"/>
              </w:rPr>
            </w:pPr>
            <w:r w:rsidRPr="007B69C7">
              <w:rPr>
                <w:rFonts w:eastAsia="Times New Roman" w:cs="Arial"/>
                <w:b/>
                <w:bCs/>
                <w:color w:val="000000"/>
                <w:sz w:val="28"/>
              </w:rPr>
              <w:t> </w:t>
            </w:r>
          </w:p>
        </w:tc>
        <w:tc>
          <w:tcPr>
            <w:tcW w:w="1812" w:type="dxa"/>
            <w:noWrap/>
            <w:hideMark/>
          </w:tcPr>
          <w:p w14:paraId="17996217"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p>
        </w:tc>
        <w:tc>
          <w:tcPr>
            <w:tcW w:w="1546" w:type="dxa"/>
            <w:noWrap/>
            <w:hideMark/>
          </w:tcPr>
          <w:p w14:paraId="7254BDF5"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46" w:type="dxa"/>
            <w:noWrap/>
            <w:hideMark/>
          </w:tcPr>
          <w:p w14:paraId="38084349"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8"/>
              </w:rPr>
            </w:pPr>
            <w:r w:rsidRPr="007B69C7">
              <w:rPr>
                <w:rFonts w:eastAsia="Times New Roman" w:cs="Arial"/>
                <w:b/>
                <w:bCs/>
                <w:color w:val="000000"/>
                <w:sz w:val="28"/>
              </w:rPr>
              <w:t> </w:t>
            </w:r>
          </w:p>
        </w:tc>
      </w:tr>
      <w:tr w:rsidR="007B69C7" w:rsidRPr="007B69C7" w14:paraId="5BC7C0BD"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0DD16D91"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5004" w:type="dxa"/>
            <w:gridSpan w:val="3"/>
            <w:noWrap/>
            <w:hideMark/>
          </w:tcPr>
          <w:p w14:paraId="36650042" w14:textId="77777777" w:rsidR="007B69C7" w:rsidRPr="007B69C7" w:rsidRDefault="007B69C7" w:rsidP="007B69C7">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in Pounds</w:t>
            </w:r>
          </w:p>
        </w:tc>
      </w:tr>
      <w:tr w:rsidR="007B69C7" w:rsidRPr="007B69C7" w14:paraId="214E5CFF"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1939E78E"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1812" w:type="dxa"/>
            <w:noWrap/>
            <w:hideMark/>
          </w:tcPr>
          <w:p w14:paraId="5D7504B5"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Wheelchairs</w:t>
            </w:r>
          </w:p>
        </w:tc>
        <w:tc>
          <w:tcPr>
            <w:tcW w:w="1546" w:type="dxa"/>
            <w:noWrap/>
            <w:hideMark/>
          </w:tcPr>
          <w:p w14:paraId="6D427096"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Hoists</w:t>
            </w:r>
          </w:p>
        </w:tc>
        <w:tc>
          <w:tcPr>
            <w:tcW w:w="1646" w:type="dxa"/>
            <w:noWrap/>
            <w:hideMark/>
          </w:tcPr>
          <w:p w14:paraId="28E62CB8" w14:textId="77777777" w:rsidR="007B69C7" w:rsidRPr="007B69C7" w:rsidRDefault="007B69C7" w:rsidP="007B69C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r w:rsidRPr="007B69C7">
              <w:rPr>
                <w:rFonts w:eastAsia="Times New Roman" w:cs="Arial"/>
                <w:b/>
                <w:bCs/>
                <w:color w:val="000000"/>
                <w:szCs w:val="22"/>
              </w:rPr>
              <w:t>Total</w:t>
            </w:r>
          </w:p>
        </w:tc>
      </w:tr>
      <w:tr w:rsidR="007B69C7" w:rsidRPr="007B69C7" w14:paraId="3F749D9D"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5652676B"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Sales revenue</w:t>
            </w:r>
          </w:p>
        </w:tc>
        <w:tc>
          <w:tcPr>
            <w:tcW w:w="1812" w:type="dxa"/>
            <w:noWrap/>
            <w:hideMark/>
          </w:tcPr>
          <w:p w14:paraId="32566A55"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£20,100.00</w:t>
            </w:r>
          </w:p>
        </w:tc>
        <w:tc>
          <w:tcPr>
            <w:tcW w:w="1546" w:type="dxa"/>
            <w:noWrap/>
            <w:hideMark/>
          </w:tcPr>
          <w:p w14:paraId="383A1F63"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£18,630.00</w:t>
            </w:r>
          </w:p>
        </w:tc>
        <w:tc>
          <w:tcPr>
            <w:tcW w:w="1646" w:type="dxa"/>
            <w:noWrap/>
            <w:hideMark/>
          </w:tcPr>
          <w:p w14:paraId="28D2F102"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£38,730.00</w:t>
            </w:r>
          </w:p>
        </w:tc>
      </w:tr>
      <w:tr w:rsidR="007B69C7" w:rsidRPr="007B69C7" w14:paraId="50C81AA8"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77CF593D"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 </w:t>
            </w:r>
          </w:p>
        </w:tc>
        <w:tc>
          <w:tcPr>
            <w:tcW w:w="1812" w:type="dxa"/>
            <w:noWrap/>
            <w:hideMark/>
          </w:tcPr>
          <w:p w14:paraId="689F64C1"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2"/>
              </w:rPr>
            </w:pPr>
          </w:p>
        </w:tc>
        <w:tc>
          <w:tcPr>
            <w:tcW w:w="1546" w:type="dxa"/>
            <w:noWrap/>
            <w:hideMark/>
          </w:tcPr>
          <w:p w14:paraId="45E93A06"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46" w:type="dxa"/>
            <w:noWrap/>
            <w:hideMark/>
          </w:tcPr>
          <w:p w14:paraId="1F63BFF7"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1146B583"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27B37427"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Production Cost:</w:t>
            </w:r>
          </w:p>
        </w:tc>
        <w:tc>
          <w:tcPr>
            <w:tcW w:w="1812" w:type="dxa"/>
            <w:noWrap/>
            <w:hideMark/>
          </w:tcPr>
          <w:p w14:paraId="2A7BBCD5"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546" w:type="dxa"/>
            <w:noWrap/>
            <w:hideMark/>
          </w:tcPr>
          <w:p w14:paraId="680807DA"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646" w:type="dxa"/>
            <w:noWrap/>
            <w:hideMark/>
          </w:tcPr>
          <w:p w14:paraId="1722132F"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4D426F9C"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60AE2859"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Direct Material</w:t>
            </w:r>
          </w:p>
        </w:tc>
        <w:tc>
          <w:tcPr>
            <w:tcW w:w="1812" w:type="dxa"/>
            <w:noWrap/>
            <w:hideMark/>
          </w:tcPr>
          <w:p w14:paraId="144EBC4C"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-£4,623.00</w:t>
            </w:r>
          </w:p>
        </w:tc>
        <w:tc>
          <w:tcPr>
            <w:tcW w:w="1546" w:type="dxa"/>
            <w:noWrap/>
            <w:hideMark/>
          </w:tcPr>
          <w:p w14:paraId="2B9A5A8B"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-£6,893.10</w:t>
            </w:r>
          </w:p>
        </w:tc>
        <w:tc>
          <w:tcPr>
            <w:tcW w:w="1646" w:type="dxa"/>
            <w:noWrap/>
            <w:hideMark/>
          </w:tcPr>
          <w:p w14:paraId="5B906368"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-£11,516.10</w:t>
            </w:r>
          </w:p>
        </w:tc>
      </w:tr>
      <w:tr w:rsidR="007B69C7" w:rsidRPr="007B69C7" w14:paraId="363316FA"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08C0A3EB"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Direct Labour</w:t>
            </w:r>
          </w:p>
        </w:tc>
        <w:tc>
          <w:tcPr>
            <w:tcW w:w="1812" w:type="dxa"/>
            <w:noWrap/>
            <w:hideMark/>
          </w:tcPr>
          <w:p w14:paraId="615D2597"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-£6,231.00</w:t>
            </w:r>
          </w:p>
        </w:tc>
        <w:tc>
          <w:tcPr>
            <w:tcW w:w="1546" w:type="dxa"/>
            <w:noWrap/>
            <w:hideMark/>
          </w:tcPr>
          <w:p w14:paraId="4D780D09"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-£7,824.60</w:t>
            </w:r>
          </w:p>
        </w:tc>
        <w:tc>
          <w:tcPr>
            <w:tcW w:w="1646" w:type="dxa"/>
            <w:noWrap/>
            <w:hideMark/>
          </w:tcPr>
          <w:p w14:paraId="119903CA"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FF0000"/>
                <w:szCs w:val="22"/>
              </w:rPr>
              <w:t>-£14,055.60</w:t>
            </w:r>
          </w:p>
        </w:tc>
      </w:tr>
      <w:tr w:rsidR="007B69C7" w:rsidRPr="007B69C7" w14:paraId="0BC207CB"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6105504E"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Other Variable Expenses</w:t>
            </w:r>
          </w:p>
        </w:tc>
        <w:tc>
          <w:tcPr>
            <w:tcW w:w="1812" w:type="dxa"/>
            <w:noWrap/>
            <w:hideMark/>
          </w:tcPr>
          <w:p w14:paraId="23E6B839"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-£2,211.00</w:t>
            </w:r>
          </w:p>
        </w:tc>
        <w:tc>
          <w:tcPr>
            <w:tcW w:w="1546" w:type="dxa"/>
            <w:noWrap/>
            <w:hideMark/>
          </w:tcPr>
          <w:p w14:paraId="65362E28"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-£4,657.50</w:t>
            </w:r>
          </w:p>
        </w:tc>
        <w:tc>
          <w:tcPr>
            <w:tcW w:w="1646" w:type="dxa"/>
            <w:noWrap/>
            <w:hideMark/>
          </w:tcPr>
          <w:p w14:paraId="6A95B15C"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-£6,868.50</w:t>
            </w:r>
          </w:p>
        </w:tc>
      </w:tr>
      <w:tr w:rsidR="007B69C7" w:rsidRPr="007B69C7" w14:paraId="4A50A7A7"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hideMark/>
          </w:tcPr>
          <w:p w14:paraId="2DB1A368"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Contribution Margin</w:t>
            </w:r>
          </w:p>
        </w:tc>
        <w:tc>
          <w:tcPr>
            <w:tcW w:w="1812" w:type="dxa"/>
            <w:noWrap/>
            <w:hideMark/>
          </w:tcPr>
          <w:p w14:paraId="12D68A27"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£7,035.00</w:t>
            </w:r>
          </w:p>
        </w:tc>
        <w:tc>
          <w:tcPr>
            <w:tcW w:w="1546" w:type="dxa"/>
            <w:noWrap/>
            <w:hideMark/>
          </w:tcPr>
          <w:p w14:paraId="4B7EA494"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FF0000"/>
                <w:szCs w:val="22"/>
                <w:u w:val="double"/>
              </w:rPr>
              <w:t>-£745.20</w:t>
            </w:r>
          </w:p>
        </w:tc>
        <w:tc>
          <w:tcPr>
            <w:tcW w:w="1646" w:type="dxa"/>
            <w:noWrap/>
            <w:hideMark/>
          </w:tcPr>
          <w:p w14:paraId="547C9443"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£6,289.80</w:t>
            </w:r>
          </w:p>
        </w:tc>
      </w:tr>
      <w:tr w:rsidR="007B69C7" w:rsidRPr="007B69C7" w14:paraId="68019B3E"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133C9F4B"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 </w:t>
            </w:r>
          </w:p>
        </w:tc>
        <w:tc>
          <w:tcPr>
            <w:tcW w:w="1812" w:type="dxa"/>
            <w:noWrap/>
            <w:hideMark/>
          </w:tcPr>
          <w:p w14:paraId="17B7A9C2"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p>
        </w:tc>
        <w:tc>
          <w:tcPr>
            <w:tcW w:w="1546" w:type="dxa"/>
            <w:noWrap/>
            <w:hideMark/>
          </w:tcPr>
          <w:p w14:paraId="7BF84313"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646" w:type="dxa"/>
            <w:noWrap/>
            <w:hideMark/>
          </w:tcPr>
          <w:p w14:paraId="7E323AAB" w14:textId="77777777" w:rsidR="007B69C7" w:rsidRPr="007B69C7" w:rsidRDefault="007B69C7" w:rsidP="007B69C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18E55808" w14:textId="77777777" w:rsidTr="007B69C7">
        <w:trPr>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20AD93BC" w14:textId="77777777" w:rsidR="007B69C7" w:rsidRPr="007B69C7" w:rsidRDefault="007B69C7" w:rsidP="007B69C7">
            <w:pPr>
              <w:spacing w:line="240" w:lineRule="auto"/>
              <w:jc w:val="left"/>
              <w:rPr>
                <w:rFonts w:eastAsia="Times New Roman" w:cs="Arial"/>
                <w:color w:val="000000"/>
                <w:szCs w:val="22"/>
              </w:rPr>
            </w:pPr>
            <w:r w:rsidRPr="007B69C7">
              <w:rPr>
                <w:rFonts w:eastAsia="Times New Roman" w:cs="Arial"/>
                <w:color w:val="000000"/>
                <w:szCs w:val="22"/>
              </w:rPr>
              <w:t>Fixed Costs:</w:t>
            </w:r>
          </w:p>
        </w:tc>
        <w:tc>
          <w:tcPr>
            <w:tcW w:w="1812" w:type="dxa"/>
            <w:noWrap/>
            <w:hideMark/>
          </w:tcPr>
          <w:p w14:paraId="3E095097"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p>
        </w:tc>
        <w:tc>
          <w:tcPr>
            <w:tcW w:w="1546" w:type="dxa"/>
            <w:noWrap/>
            <w:hideMark/>
          </w:tcPr>
          <w:p w14:paraId="06657AAA"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646" w:type="dxa"/>
            <w:noWrap/>
            <w:hideMark/>
          </w:tcPr>
          <w:p w14:paraId="7E1F7C02" w14:textId="77777777" w:rsidR="007B69C7" w:rsidRPr="007B69C7" w:rsidRDefault="007B69C7" w:rsidP="007B69C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2"/>
              </w:rPr>
            </w:pPr>
            <w:r w:rsidRPr="007B69C7">
              <w:rPr>
                <w:rFonts w:eastAsia="Times New Roman" w:cs="Arial"/>
                <w:color w:val="000000"/>
                <w:szCs w:val="22"/>
              </w:rPr>
              <w:t> </w:t>
            </w:r>
          </w:p>
        </w:tc>
      </w:tr>
      <w:tr w:rsidR="007B69C7" w:rsidRPr="007B69C7" w14:paraId="5897C5D5" w14:textId="77777777" w:rsidTr="007B69C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316EF5C3" w14:textId="77777777" w:rsidR="007B69C7" w:rsidRPr="007B69C7" w:rsidRDefault="007B69C7" w:rsidP="007B69C7">
            <w:pPr>
              <w:spacing w:line="240" w:lineRule="auto"/>
              <w:jc w:val="right"/>
              <w:rPr>
                <w:rFonts w:eastAsia="Times New Roman" w:cs="Arial"/>
                <w:color w:val="000000"/>
                <w:szCs w:val="22"/>
              </w:rPr>
            </w:pPr>
            <w:r w:rsidRPr="007B69C7">
              <w:rPr>
                <w:rFonts w:eastAsia="Times New Roman" w:cs="Arial"/>
                <w:color w:val="000000"/>
                <w:szCs w:val="22"/>
              </w:rPr>
              <w:t>Fixed Overheads</w:t>
            </w:r>
          </w:p>
        </w:tc>
        <w:tc>
          <w:tcPr>
            <w:tcW w:w="1812" w:type="dxa"/>
            <w:noWrap/>
            <w:hideMark/>
          </w:tcPr>
          <w:p w14:paraId="08D6FEED"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-£6,030.00</w:t>
            </w:r>
          </w:p>
        </w:tc>
        <w:tc>
          <w:tcPr>
            <w:tcW w:w="1546" w:type="dxa"/>
            <w:noWrap/>
            <w:hideMark/>
          </w:tcPr>
          <w:p w14:paraId="3AFE8FB5"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-£5,961.60</w:t>
            </w:r>
          </w:p>
        </w:tc>
        <w:tc>
          <w:tcPr>
            <w:tcW w:w="1646" w:type="dxa"/>
            <w:noWrap/>
            <w:hideMark/>
          </w:tcPr>
          <w:p w14:paraId="52DBE2C7" w14:textId="77777777" w:rsidR="007B69C7" w:rsidRPr="007B69C7" w:rsidRDefault="007B69C7" w:rsidP="007B69C7">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2"/>
                <w:u w:val="single"/>
              </w:rPr>
            </w:pPr>
            <w:r w:rsidRPr="007B69C7">
              <w:rPr>
                <w:rFonts w:eastAsia="Times New Roman" w:cs="Arial"/>
                <w:color w:val="FF0000"/>
                <w:szCs w:val="22"/>
                <w:u w:val="single"/>
              </w:rPr>
              <w:t>-£19,326.36</w:t>
            </w:r>
          </w:p>
        </w:tc>
      </w:tr>
      <w:tr w:rsidR="007B69C7" w:rsidRPr="007B69C7" w14:paraId="02E24EEF" w14:textId="77777777" w:rsidTr="007B69C7">
        <w:trPr>
          <w:trHeight w:val="300"/>
          <w:jc w:val="center"/>
        </w:trPr>
        <w:tc>
          <w:tcPr>
            <w:cnfStyle w:val="001000000000" w:firstRow="0" w:lastRow="0" w:firstColumn="1" w:lastColumn="0" w:oddVBand="0" w:evenVBand="0" w:oddHBand="0" w:evenHBand="0" w:firstRowFirstColumn="0" w:firstRowLastColumn="0" w:lastRowFirstColumn="0" w:lastRowLastColumn="0"/>
            <w:tcW w:w="3856" w:type="dxa"/>
            <w:noWrap/>
            <w:hideMark/>
          </w:tcPr>
          <w:p w14:paraId="518D588A" w14:textId="77777777" w:rsidR="007B69C7" w:rsidRPr="007B69C7" w:rsidRDefault="007B69C7" w:rsidP="007B69C7">
            <w:pPr>
              <w:spacing w:line="240" w:lineRule="auto"/>
              <w:jc w:val="right"/>
              <w:rPr>
                <w:rFonts w:eastAsia="Times New Roman" w:cs="Arial"/>
                <w:b/>
                <w:bCs/>
                <w:color w:val="000000"/>
                <w:szCs w:val="22"/>
              </w:rPr>
            </w:pPr>
            <w:r w:rsidRPr="007B69C7">
              <w:rPr>
                <w:rFonts w:eastAsia="Times New Roman" w:cs="Arial"/>
                <w:b/>
                <w:bCs/>
                <w:color w:val="000000"/>
                <w:szCs w:val="22"/>
              </w:rPr>
              <w:t>Profit</w:t>
            </w:r>
          </w:p>
        </w:tc>
        <w:tc>
          <w:tcPr>
            <w:tcW w:w="1812" w:type="dxa"/>
            <w:noWrap/>
            <w:hideMark/>
          </w:tcPr>
          <w:p w14:paraId="368A9002"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000000"/>
                <w:szCs w:val="22"/>
                <w:u w:val="double"/>
              </w:rPr>
              <w:t>£1,005.00</w:t>
            </w:r>
          </w:p>
        </w:tc>
        <w:tc>
          <w:tcPr>
            <w:tcW w:w="1546" w:type="dxa"/>
            <w:noWrap/>
            <w:hideMark/>
          </w:tcPr>
          <w:p w14:paraId="7CC36973"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FF0000"/>
                <w:szCs w:val="22"/>
                <w:u w:val="double"/>
              </w:rPr>
              <w:t>-£6,706.80</w:t>
            </w:r>
          </w:p>
        </w:tc>
        <w:tc>
          <w:tcPr>
            <w:tcW w:w="1646" w:type="dxa"/>
            <w:noWrap/>
            <w:hideMark/>
          </w:tcPr>
          <w:p w14:paraId="6FB160FA" w14:textId="77777777" w:rsidR="007B69C7" w:rsidRPr="007B69C7" w:rsidRDefault="007B69C7" w:rsidP="007B69C7">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2"/>
                <w:u w:val="double"/>
              </w:rPr>
            </w:pPr>
            <w:r w:rsidRPr="007B69C7">
              <w:rPr>
                <w:rFonts w:eastAsia="Times New Roman" w:cs="Arial"/>
                <w:b/>
                <w:bCs/>
                <w:color w:val="FF0000"/>
                <w:szCs w:val="22"/>
                <w:u w:val="double"/>
              </w:rPr>
              <w:t>-£13,036.56</w:t>
            </w:r>
          </w:p>
        </w:tc>
      </w:tr>
    </w:tbl>
    <w:p w14:paraId="584A261E" w14:textId="2FA5359D" w:rsidR="00C859A6" w:rsidRDefault="00C859A6" w:rsidP="00C94D40"/>
    <w:p w14:paraId="4F06ACA6" w14:textId="3E77589E" w:rsidR="007D6F15" w:rsidRPr="00C94D40" w:rsidRDefault="00674744" w:rsidP="00C94D40">
      <w:r w:rsidRPr="00674744">
        <w:t xml:space="preserve">Consequently, it can be seen that the overall contribution margin drops from £6482.82 to £6,289.80 once the manufacture of hoists is stopped. </w:t>
      </w:r>
      <w:r>
        <w:t>Again</w:t>
      </w:r>
      <w:r w:rsidRPr="00674744">
        <w:t xml:space="preserve">, the overall profit </w:t>
      </w:r>
      <w:r w:rsidR="006B5EC0">
        <w:t xml:space="preserve">increased </w:t>
      </w:r>
      <w:r w:rsidRPr="00674744">
        <w:t>from £-12843.54</w:t>
      </w:r>
      <w:r>
        <w:t xml:space="preserve"> to </w:t>
      </w:r>
      <w:r w:rsidRPr="00674744">
        <w:t>-£</w:t>
      </w:r>
      <w:r w:rsidR="006B5EC0">
        <w:t>13.036.56</w:t>
      </w:r>
      <w:r>
        <w:t>.</w:t>
      </w:r>
      <w:commentRangeEnd w:id="9"/>
      <w:r w:rsidR="0009572E">
        <w:rPr>
          <w:rStyle w:val="Referincomentariu"/>
        </w:rPr>
        <w:commentReference w:id="9"/>
      </w:r>
    </w:p>
    <w:p w14:paraId="61EAD7F1" w14:textId="21EB964D" w:rsidR="00402E93" w:rsidRDefault="00EA0D29" w:rsidP="00DC2A7C">
      <w:pPr>
        <w:pStyle w:val="Titlu3"/>
      </w:pPr>
      <w:bookmarkStart w:id="10" w:name="_Toc127400477"/>
      <w:r>
        <w:t>Q</w:t>
      </w:r>
      <w:r w:rsidR="00150B19">
        <w:t>ualitative issues that Mobility Group should consider in making the decision to cease production of Hoists and Mobile Beds</w:t>
      </w:r>
      <w:bookmarkEnd w:id="10"/>
    </w:p>
    <w:p w14:paraId="3975559A" w14:textId="77777777" w:rsidR="007B1D7E" w:rsidRDefault="007B1D7E" w:rsidP="007B1D7E">
      <w:r w:rsidRPr="007B1D7E">
        <w:t>To maximise profits, Mobility Group has to do more than just stop making hoists and mobile beds</w:t>
      </w:r>
      <w:r>
        <w:t xml:space="preserve"> </w:t>
      </w:r>
      <w:r w:rsidR="00512D5C" w:rsidRPr="00512D5C">
        <w:t>(Qualitative characteristics of accounting information 2017)</w:t>
      </w:r>
      <w:r w:rsidR="00CC1D40" w:rsidRPr="00CC1D40">
        <w:t xml:space="preserve">. </w:t>
      </w:r>
      <w:r>
        <w:t>Possible examples of such choices include:</w:t>
      </w:r>
    </w:p>
    <w:p w14:paraId="0F7D04CE" w14:textId="2BBCF362" w:rsidR="007B1D7E" w:rsidRDefault="007B1D7E" w:rsidP="007B1D7E">
      <w:pPr>
        <w:pStyle w:val="Listparagraf"/>
        <w:numPr>
          <w:ilvl w:val="0"/>
          <w:numId w:val="14"/>
        </w:numPr>
      </w:pPr>
      <w:r>
        <w:t>Lowering fixed expenses: Costs like rent, utilities, and personnel could be cut, or better terms might be negotiated with vendors and service providers.</w:t>
      </w:r>
    </w:p>
    <w:p w14:paraId="6E8FEEA0" w14:textId="05E232C5" w:rsidR="007B1D7E" w:rsidRDefault="007B1D7E" w:rsidP="007B1D7E">
      <w:pPr>
        <w:pStyle w:val="Listparagraf"/>
        <w:numPr>
          <w:ilvl w:val="0"/>
          <w:numId w:val="14"/>
        </w:numPr>
      </w:pPr>
      <w:r>
        <w:t>Effectiveness Improvement: This may entail minimising inefficiencies in operations or increasing productivity in manufacturing.</w:t>
      </w:r>
    </w:p>
    <w:p w14:paraId="2FD0A47A" w14:textId="302E3A93" w:rsidR="007B1D7E" w:rsidRDefault="007B1D7E" w:rsidP="007B1D7E">
      <w:pPr>
        <w:pStyle w:val="Listparagraf"/>
        <w:numPr>
          <w:ilvl w:val="0"/>
          <w:numId w:val="14"/>
        </w:numPr>
      </w:pPr>
      <w:r>
        <w:t>Expanding the range of products available: In order to generate income and lessen the effect of fluctuations in the demand for almost any one commodity, it may be necessary to create new goods or extend into other markets.</w:t>
      </w:r>
    </w:p>
    <w:p w14:paraId="3FA4370F" w14:textId="5BF8A8D2" w:rsidR="007B1D7E" w:rsidRPr="00CC1D40" w:rsidRDefault="007B1D7E" w:rsidP="007B1D7E">
      <w:pPr>
        <w:pStyle w:val="Listparagraf"/>
        <w:numPr>
          <w:ilvl w:val="0"/>
          <w:numId w:val="14"/>
        </w:numPr>
      </w:pPr>
      <w:r>
        <w:t>Enhancing Pricing Methods: As an example, the price of an existing product may need to be changed so that it more accurately reflects the price of manufacturing or the current state of the market.</w:t>
      </w:r>
    </w:p>
    <w:p w14:paraId="1C847277" w14:textId="16950FD9" w:rsidR="00674744" w:rsidRPr="00CC1D40" w:rsidRDefault="007B1D7E" w:rsidP="007B1D7E">
      <w:r w:rsidRPr="007B1D7E">
        <w:t>When deciding whether or not to stop creating Hoists and Mobile Beds, Mobility Group should take a number of qualitative considerations into account</w:t>
      </w:r>
      <w:r>
        <w:t xml:space="preserve"> </w:t>
      </w:r>
      <w:r w:rsidR="00512D5C" w:rsidRPr="00512D5C">
        <w:t>(Qualitative Research in Accounting &amp;amp; Management 2020)</w:t>
      </w:r>
      <w:r w:rsidR="00CC1D40" w:rsidRPr="00CC1D40">
        <w:t>:</w:t>
      </w:r>
    </w:p>
    <w:p w14:paraId="188E1364" w14:textId="50A544CA" w:rsidR="007B1D7E" w:rsidRDefault="007B1D7E" w:rsidP="007B1D7E">
      <w:pPr>
        <w:pStyle w:val="Listparagraf"/>
        <w:numPr>
          <w:ilvl w:val="0"/>
          <w:numId w:val="15"/>
        </w:numPr>
      </w:pPr>
      <w:r>
        <w:t>Needs of consumers: It is essential to think about the current demand for these goods and whether or not it will grow in the near future.</w:t>
      </w:r>
    </w:p>
    <w:p w14:paraId="018B525E" w14:textId="78FD51F1" w:rsidR="007B1D7E" w:rsidRDefault="007B1D7E" w:rsidP="007B1D7E">
      <w:pPr>
        <w:pStyle w:val="Listparagraf"/>
        <w:numPr>
          <w:ilvl w:val="0"/>
          <w:numId w:val="15"/>
        </w:numPr>
      </w:pPr>
      <w:r>
        <w:t>Competition: Market rivalry should be taken into account since it may have an effect on profits.</w:t>
      </w:r>
    </w:p>
    <w:p w14:paraId="5751E773" w14:textId="293D7540" w:rsidR="007B1D7E" w:rsidRDefault="007B1D7E" w:rsidP="007B1D7E">
      <w:pPr>
        <w:pStyle w:val="Listparagraf"/>
        <w:numPr>
          <w:ilvl w:val="0"/>
          <w:numId w:val="15"/>
        </w:numPr>
      </w:pPr>
      <w:r>
        <w:t>The pricing model: Weighing the fixed and variable expenses of manufacturing Hoists and Mobile Beds against the potential for a profit is crucial.</w:t>
      </w:r>
    </w:p>
    <w:p w14:paraId="120E341C" w14:textId="35C7E4E7" w:rsidR="007B1D7E" w:rsidRDefault="007B1D7E" w:rsidP="007B1D7E">
      <w:pPr>
        <w:pStyle w:val="Listparagraf"/>
        <w:numPr>
          <w:ilvl w:val="0"/>
          <w:numId w:val="15"/>
        </w:numPr>
      </w:pPr>
      <w:r>
        <w:t>Effects on Staff: It's crucial to think about how shutting down manufacturing of these goods might affect workers, in terms of both job losses and morale.</w:t>
      </w:r>
    </w:p>
    <w:p w14:paraId="14016C08" w14:textId="5C63BAAC" w:rsidR="007B1D7E" w:rsidRDefault="007B1D7E" w:rsidP="007B1D7E">
      <w:pPr>
        <w:pStyle w:val="Listparagraf"/>
        <w:numPr>
          <w:ilvl w:val="0"/>
          <w:numId w:val="15"/>
        </w:numPr>
      </w:pPr>
      <w:r>
        <w:t>Reputation: Stopping manufacture of these items might have a negative effect on the company's image and reputation.</w:t>
      </w:r>
    </w:p>
    <w:p w14:paraId="7A72FB46" w14:textId="4B69EF14" w:rsidR="00EF51DC" w:rsidRDefault="00EF51DC" w:rsidP="00EF51DC">
      <w:r>
        <w:t>Based on the analysis of the marginal costing statement, it is recommended that Mobility Group should discontinue the production of Hoists and Mobile Beds to improve the financial health of the company. However, simply discontinuing the production of these items may not be enough to maximize profits. To achieve this, the company should consider implementing strategies such as lowering fixed expenses, improving effectiveness, expanding the range of products available, and enhancing pricing methods. These strategies can help the company to increase revenue and reduce costs, leading to increased profitability.</w:t>
      </w:r>
    </w:p>
    <w:p w14:paraId="384DDD27" w14:textId="3A05BADE" w:rsidR="00EF51DC" w:rsidRDefault="00EF51DC" w:rsidP="00EF51DC">
      <w:r>
        <w:t>Moreover, when making the decision to stop manufacturing Hoists and Mobile Beds, Mobility Group should consider various qualitative factors. These include the current and future demand for these goods, market competition, the pricing model, the impact on staff, and the company's reputation. Considering these factors will help the company to make an informed decision that takes into account both financial and non-financial aspects.</w:t>
      </w:r>
    </w:p>
    <w:p w14:paraId="79A3FE6D" w14:textId="5FAD1988" w:rsidR="00DC2A7C" w:rsidRDefault="00EF51DC" w:rsidP="00EF51DC">
      <w:pPr>
        <w:rPr>
          <w:rFonts w:eastAsiaTheme="majorEastAsia" w:cstheme="majorBidi"/>
          <w:b/>
          <w:sz w:val="28"/>
          <w:szCs w:val="33"/>
        </w:rPr>
      </w:pPr>
      <w:r>
        <w:t>In conclusion, to maximize profits, Mobility Group should not only discontinue the production of Hoists and Mobile Beds but also implement strategies to increase revenue and reduce costs. Moreover, the decision to stop manufacturing these items should be made after considering various qualitative factors that may impact the company's financial and non-financial performance.</w:t>
      </w:r>
      <w:r w:rsidR="00DC2A7C">
        <w:br w:type="page"/>
      </w:r>
    </w:p>
    <w:p w14:paraId="096B27AC" w14:textId="65474160" w:rsidR="00402E93" w:rsidRPr="00DC2A7C" w:rsidRDefault="00402E93" w:rsidP="00DC2A7C">
      <w:pPr>
        <w:pStyle w:val="Titlu2"/>
      </w:pPr>
      <w:bookmarkStart w:id="11" w:name="_Toc127400478"/>
      <w:r w:rsidRPr="00DC2A7C">
        <w:t>2.1 Conclusion</w:t>
      </w:r>
      <w:bookmarkEnd w:id="11"/>
    </w:p>
    <w:p w14:paraId="2CB7B137" w14:textId="56CE047D" w:rsidR="00402E93" w:rsidRPr="00402E93" w:rsidRDefault="009C63E7" w:rsidP="00F3567E">
      <w:r w:rsidRPr="009C63E7">
        <w:t>Cost accounting techniques such as marginal costing and absorption costing are crucial for calculating a company's cost of goods sold and assessing its financial health. Unlike marginal costing, which only takes into account the direct or variable costs, absorption costing takes into account both types of expenses. It's up to the specifics of the company and the information needed to determine which of the two approaches is best. Both approaches have their advantages and disadvantages, therefore they should be used together to provide a more accurate representation of the firm's financial condition and prosperity. Incorporating both quantitative and qualitative variables, a thorough study of all expenses incurred in making the decision to cease manufacturing of a product is necessary</w:t>
      </w:r>
      <w:r w:rsidR="002E629E" w:rsidRPr="002E629E">
        <w:t>.</w:t>
      </w:r>
    </w:p>
    <w:p w14:paraId="1E165B02" w14:textId="3A1B916C" w:rsidR="00402E93" w:rsidRPr="00402E93" w:rsidRDefault="00402E93" w:rsidP="00DC2A7C">
      <w:pPr>
        <w:pStyle w:val="Titlu2"/>
      </w:pPr>
      <w:bookmarkStart w:id="12" w:name="_Toc127400479"/>
      <w:r>
        <w:t xml:space="preserve">2.2 </w:t>
      </w:r>
      <w:r w:rsidRPr="00402E93">
        <w:t>Recommendations</w:t>
      </w:r>
      <w:bookmarkEnd w:id="12"/>
    </w:p>
    <w:p w14:paraId="5AAE0EE7" w14:textId="75D49F3F" w:rsidR="00402E93" w:rsidRPr="00402E93" w:rsidRDefault="009C63E7" w:rsidP="00F3567E">
      <w:r w:rsidRPr="009C63E7">
        <w:t>According to what has been discussed till now, it seems that a combination of marginal costing and absorption costing is necessary to gain an accurate view of a business's financial health and profitability. The fixed expenses and their effect on the company's financial health must be taken into consideration when making choices manufacturing products, marketing, distribution of resources, acquisitions, and product discontinuance, among other things. Long-term viability and steady growth must be taken into account when deciding whether or not to discontinue a product. The company should also think about other potential methods of raising profits, such cutting expenses, improving productivity, and entering untapped areas. In order to make well-informed choices that contribute to the company's long-term development and performance, constant cost and profit monitoring and review is required</w:t>
      </w:r>
      <w:r w:rsidR="002E629E" w:rsidRPr="002E629E">
        <w:t>.</w:t>
      </w:r>
    </w:p>
    <w:p w14:paraId="627E9014" w14:textId="77777777" w:rsidR="00402E93" w:rsidRPr="00402E93" w:rsidRDefault="00402E93" w:rsidP="00402E93">
      <w:pPr>
        <w:rPr>
          <w:rFonts w:cs="Arial"/>
          <w:color w:val="000000"/>
          <w:sz w:val="24"/>
          <w:szCs w:val="24"/>
        </w:rPr>
      </w:pPr>
    </w:p>
    <w:p w14:paraId="2C6A3924" w14:textId="77777777" w:rsidR="00402E93" w:rsidRPr="00402E93" w:rsidRDefault="00402E93" w:rsidP="00402E93">
      <w:pPr>
        <w:rPr>
          <w:rFonts w:cs="Arial"/>
          <w:color w:val="000000"/>
          <w:sz w:val="24"/>
          <w:szCs w:val="24"/>
        </w:rPr>
      </w:pPr>
    </w:p>
    <w:p w14:paraId="2EA04C13" w14:textId="77777777" w:rsidR="002F02A2" w:rsidRDefault="002F02A2">
      <w:pPr>
        <w:spacing w:line="259" w:lineRule="auto"/>
        <w:jc w:val="left"/>
        <w:rPr>
          <w:rFonts w:eastAsiaTheme="majorEastAsia" w:cstheme="majorBidi"/>
          <w:b/>
          <w:sz w:val="28"/>
          <w:szCs w:val="33"/>
        </w:rPr>
      </w:pPr>
      <w:r>
        <w:br w:type="page"/>
      </w:r>
    </w:p>
    <w:p w14:paraId="021EE6CF" w14:textId="3627C43E" w:rsidR="00402E93" w:rsidRPr="00402E93" w:rsidRDefault="00402E93" w:rsidP="00DC2A7C">
      <w:pPr>
        <w:pStyle w:val="Titlu2"/>
      </w:pPr>
      <w:bookmarkStart w:id="13" w:name="_Toc127400480"/>
      <w:r>
        <w:t xml:space="preserve">2.3 </w:t>
      </w:r>
      <w:r w:rsidRPr="00402E93">
        <w:t>Reference List</w:t>
      </w:r>
      <w:bookmarkEnd w:id="13"/>
    </w:p>
    <w:p w14:paraId="756ED47D" w14:textId="77777777" w:rsidR="00512D5C" w:rsidRPr="00512D5C" w:rsidRDefault="00512D5C" w:rsidP="00512D5C">
      <w:pPr>
        <w:pStyle w:val="Listparagraf"/>
        <w:numPr>
          <w:ilvl w:val="0"/>
          <w:numId w:val="12"/>
        </w:numPr>
      </w:pPr>
      <w:r w:rsidRPr="00512D5C">
        <w:rPr>
          <w:i/>
          <w:iCs/>
        </w:rPr>
        <w:t>Absorption costing</w:t>
      </w:r>
      <w:r w:rsidRPr="00512D5C">
        <w:t xml:space="preserve"> (2022) </w:t>
      </w:r>
      <w:r w:rsidRPr="00512D5C">
        <w:rPr>
          <w:i/>
          <w:iCs/>
        </w:rPr>
        <w:t>Corporate Finance Institute</w:t>
      </w:r>
      <w:r w:rsidRPr="00512D5C">
        <w:t xml:space="preserve">. Available at: https://corporatefinanceinstitute.com/resources/accounting/absorption-costing-guide/ (Accessed: February 10, 2023). </w:t>
      </w:r>
    </w:p>
    <w:p w14:paraId="6BCAD3AB" w14:textId="77777777" w:rsidR="00512D5C" w:rsidRPr="00512D5C" w:rsidRDefault="00512D5C" w:rsidP="00512D5C">
      <w:pPr>
        <w:pStyle w:val="Listparagraf"/>
        <w:numPr>
          <w:ilvl w:val="0"/>
          <w:numId w:val="12"/>
        </w:numPr>
      </w:pPr>
      <w:r w:rsidRPr="00512D5C">
        <w:rPr>
          <w:i/>
          <w:iCs/>
        </w:rPr>
        <w:t>Absorption costing: Definition, tips and examples | indeed.com</w:t>
      </w:r>
      <w:r w:rsidRPr="00512D5C">
        <w:t xml:space="preserve"> (no date). Available at: https://www.indeed.com/career-advice/career-development/absorption-costing (Accessed: February 10, 2023). </w:t>
      </w:r>
    </w:p>
    <w:p w14:paraId="22055FA1" w14:textId="77777777" w:rsidR="00512D5C" w:rsidRPr="00512D5C" w:rsidRDefault="00512D5C" w:rsidP="00512D5C">
      <w:pPr>
        <w:pStyle w:val="Listparagraf"/>
        <w:numPr>
          <w:ilvl w:val="0"/>
          <w:numId w:val="12"/>
        </w:numPr>
      </w:pPr>
      <w:r w:rsidRPr="00512D5C">
        <w:t xml:space="preserve">Bragg, S. (2022) </w:t>
      </w:r>
      <w:r w:rsidRPr="00512D5C">
        <w:rPr>
          <w:i/>
          <w:iCs/>
        </w:rPr>
        <w:t>Marginal cost definition</w:t>
      </w:r>
      <w:r w:rsidRPr="00512D5C">
        <w:t xml:space="preserve">, </w:t>
      </w:r>
      <w:r w:rsidRPr="00512D5C">
        <w:rPr>
          <w:i/>
          <w:iCs/>
        </w:rPr>
        <w:t>AccountingTools</w:t>
      </w:r>
      <w:r w:rsidRPr="00512D5C">
        <w:t xml:space="preserve">. AccountingTools. Available at: https://www.accountingtools.com/articles/what-is-marginal-cost.html (Accessed: February 10, 2023). </w:t>
      </w:r>
    </w:p>
    <w:p w14:paraId="5E7BE316" w14:textId="77777777" w:rsidR="00512D5C" w:rsidRPr="00512D5C" w:rsidRDefault="00512D5C" w:rsidP="00512D5C">
      <w:pPr>
        <w:pStyle w:val="Listparagraf"/>
        <w:numPr>
          <w:ilvl w:val="0"/>
          <w:numId w:val="12"/>
        </w:numPr>
      </w:pPr>
      <w:r w:rsidRPr="00512D5C">
        <w:t xml:space="preserve">Garikaib (2022) </w:t>
      </w:r>
      <w:r w:rsidRPr="00512D5C">
        <w:rPr>
          <w:i/>
          <w:iCs/>
        </w:rPr>
        <w:t>Marginal costing: Statement of profit worked example</w:t>
      </w:r>
      <w:r w:rsidRPr="00512D5C">
        <w:t xml:space="preserve">, </w:t>
      </w:r>
      <w:r w:rsidRPr="00512D5C">
        <w:rPr>
          <w:i/>
          <w:iCs/>
        </w:rPr>
        <w:t>Free ZIMSEC &amp; Cambridge Revision Notes</w:t>
      </w:r>
      <w:r w:rsidRPr="00512D5C">
        <w:t xml:space="preserve">. Available at: https://revision.co.zw/marginal-costing-statement-of-profit-2/ (Accessed: February 10, 2023). </w:t>
      </w:r>
    </w:p>
    <w:p w14:paraId="71E63AF4" w14:textId="77777777" w:rsidR="00512D5C" w:rsidRPr="00512D5C" w:rsidRDefault="00512D5C" w:rsidP="00512D5C">
      <w:pPr>
        <w:pStyle w:val="Listparagraf"/>
        <w:numPr>
          <w:ilvl w:val="0"/>
          <w:numId w:val="12"/>
        </w:numPr>
      </w:pPr>
      <w:r w:rsidRPr="00512D5C">
        <w:rPr>
          <w:i/>
          <w:iCs/>
        </w:rPr>
        <w:t>Qualitative characteristics of accounting information</w:t>
      </w:r>
      <w:r w:rsidRPr="00512D5C">
        <w:t xml:space="preserve"> (2017) </w:t>
      </w:r>
      <w:r w:rsidRPr="00512D5C">
        <w:rPr>
          <w:i/>
          <w:iCs/>
        </w:rPr>
        <w:t>My Accounting Course</w:t>
      </w:r>
      <w:r w:rsidRPr="00512D5C">
        <w:t xml:space="preserve">. Available at: https://www.myaccountingcourse.com/accounting-principles/qualitative-characteristics (Accessed: February 10, 2023). </w:t>
      </w:r>
    </w:p>
    <w:p w14:paraId="024EC0EC" w14:textId="77777777" w:rsidR="00512D5C" w:rsidRPr="00512D5C" w:rsidRDefault="00512D5C" w:rsidP="00512D5C">
      <w:pPr>
        <w:pStyle w:val="Listparagraf"/>
        <w:numPr>
          <w:ilvl w:val="0"/>
          <w:numId w:val="12"/>
        </w:numPr>
      </w:pPr>
      <w:r w:rsidRPr="00512D5C">
        <w:rPr>
          <w:i/>
          <w:iCs/>
        </w:rPr>
        <w:t>Qualitative Research in Accounting &amp; Management</w:t>
      </w:r>
      <w:r w:rsidRPr="00512D5C">
        <w:t xml:space="preserve"> (2020) </w:t>
      </w:r>
      <w:r w:rsidRPr="00512D5C">
        <w:rPr>
          <w:i/>
          <w:iCs/>
        </w:rPr>
        <w:t>Qualitative Research in Accounting &amp; Management | Emerald Insight</w:t>
      </w:r>
      <w:r w:rsidRPr="00512D5C">
        <w:t xml:space="preserve">. Available at: https://www.emerald.com/insight/publication/issn/1176-6093 (Accessed: February 10, 2023). </w:t>
      </w:r>
    </w:p>
    <w:p w14:paraId="65527D51" w14:textId="77777777" w:rsidR="00512D5C" w:rsidRPr="00512D5C" w:rsidRDefault="00512D5C" w:rsidP="00512D5C">
      <w:pPr>
        <w:pStyle w:val="Listparagraf"/>
        <w:numPr>
          <w:ilvl w:val="0"/>
          <w:numId w:val="12"/>
        </w:numPr>
      </w:pPr>
      <w:r w:rsidRPr="00512D5C">
        <w:t xml:space="preserve">Röller, L.-H. (2020) “Flexible budgeting / marginal cost accounting,” </w:t>
      </w:r>
      <w:r w:rsidRPr="00512D5C">
        <w:rPr>
          <w:i/>
          <w:iCs/>
        </w:rPr>
        <w:t>Management Accounting</w:t>
      </w:r>
      <w:r w:rsidRPr="00512D5C">
        <w:t xml:space="preserve"> [Preprint]. Available at: https://doi.org/10.24053/9783739880280-252. </w:t>
      </w:r>
    </w:p>
    <w:p w14:paraId="3031BF8C" w14:textId="77777777" w:rsidR="00512D5C" w:rsidRPr="00512D5C" w:rsidRDefault="00512D5C" w:rsidP="00512D5C">
      <w:pPr>
        <w:pStyle w:val="Listparagraf"/>
        <w:numPr>
          <w:ilvl w:val="0"/>
          <w:numId w:val="12"/>
        </w:numPr>
      </w:pPr>
      <w:r w:rsidRPr="00512D5C">
        <w:t xml:space="preserve">Seal, W.B. </w:t>
      </w:r>
      <w:r w:rsidRPr="00512D5C">
        <w:rPr>
          <w:i/>
          <w:iCs/>
        </w:rPr>
        <w:t>et al.</w:t>
      </w:r>
      <w:r w:rsidRPr="00512D5C">
        <w:t xml:space="preserve"> (2019) </w:t>
      </w:r>
      <w:r w:rsidRPr="00512D5C">
        <w:rPr>
          <w:i/>
          <w:iCs/>
        </w:rPr>
        <w:t>Management accounting</w:t>
      </w:r>
      <w:r w:rsidRPr="00512D5C">
        <w:t xml:space="preserve">. London: McGraw-Hill Education. </w:t>
      </w:r>
    </w:p>
    <w:p w14:paraId="6D80314D" w14:textId="77777777" w:rsidR="00512D5C" w:rsidRPr="00512D5C" w:rsidRDefault="00512D5C" w:rsidP="00512D5C">
      <w:pPr>
        <w:pStyle w:val="Listparagraf"/>
        <w:numPr>
          <w:ilvl w:val="0"/>
          <w:numId w:val="12"/>
        </w:numPr>
      </w:pPr>
      <w:r w:rsidRPr="00512D5C">
        <w:t xml:space="preserve">True Tamplin, B.S. (2023) </w:t>
      </w:r>
      <w:r w:rsidRPr="00512D5C">
        <w:rPr>
          <w:i/>
          <w:iCs/>
        </w:rPr>
        <w:t>Marginal costing: Definition, merits, limitations and examples</w:t>
      </w:r>
      <w:r w:rsidRPr="00512D5C">
        <w:t xml:space="preserve">, </w:t>
      </w:r>
      <w:r w:rsidRPr="00512D5C">
        <w:rPr>
          <w:i/>
          <w:iCs/>
        </w:rPr>
        <w:t>Finance Strategist</w:t>
      </w:r>
      <w:r w:rsidRPr="00512D5C">
        <w:t xml:space="preserve">. Finance Strategists. Available at: https://financestrategists.com/accounting/management-accounting/marginal-costing/ (Accessed: February 10, 2023). </w:t>
      </w:r>
    </w:p>
    <w:p w14:paraId="5EC52023" w14:textId="77777777" w:rsidR="00512D5C" w:rsidRPr="00512D5C" w:rsidRDefault="00512D5C" w:rsidP="00512D5C">
      <w:pPr>
        <w:pStyle w:val="Listparagraf"/>
        <w:numPr>
          <w:ilvl w:val="0"/>
          <w:numId w:val="12"/>
        </w:numPr>
      </w:pPr>
      <w:r w:rsidRPr="00512D5C">
        <w:rPr>
          <w:i/>
          <w:iCs/>
        </w:rPr>
        <w:t>What is managerial accounting and how it helps managers?</w:t>
      </w:r>
      <w:r w:rsidRPr="00512D5C">
        <w:t xml:space="preserve"> (2023) </w:t>
      </w:r>
      <w:r w:rsidRPr="00512D5C">
        <w:rPr>
          <w:i/>
          <w:iCs/>
        </w:rPr>
        <w:t>FreshBooks</w:t>
      </w:r>
      <w:r w:rsidRPr="00512D5C">
        <w:t xml:space="preserve">. Available at: https://www.freshbooks.com/hub/accounting/managerial-accounting-helps-managers (Accessed: February 10, 2023). </w:t>
      </w:r>
    </w:p>
    <w:p w14:paraId="720E3C8D" w14:textId="77777777" w:rsidR="00402E93" w:rsidRPr="00512D5C" w:rsidRDefault="00402E93" w:rsidP="00512D5C">
      <w:pPr>
        <w:pStyle w:val="Listparagraf"/>
        <w:numPr>
          <w:ilvl w:val="0"/>
          <w:numId w:val="12"/>
        </w:numPr>
        <w:rPr>
          <w:rStyle w:val="Titlu1Caracter"/>
          <w:sz w:val="22"/>
          <w:szCs w:val="22"/>
        </w:rPr>
      </w:pPr>
      <w:r w:rsidRPr="00512D5C">
        <w:rPr>
          <w:rStyle w:val="Titlu1Caracter"/>
          <w:sz w:val="22"/>
          <w:szCs w:val="22"/>
        </w:rPr>
        <w:br w:type="page"/>
      </w:r>
    </w:p>
    <w:p w14:paraId="3B2A7897" w14:textId="33CED04B" w:rsidR="00402E93" w:rsidRPr="00DC2A7C" w:rsidRDefault="00402E93" w:rsidP="007B1D7E">
      <w:pPr>
        <w:pStyle w:val="Titlu1"/>
        <w:numPr>
          <w:ilvl w:val="0"/>
          <w:numId w:val="14"/>
        </w:numPr>
        <w:rPr>
          <w:rStyle w:val="Titlu1Caracter"/>
          <w:bCs/>
        </w:rPr>
      </w:pPr>
      <w:bookmarkStart w:id="14" w:name="_Toc127400481"/>
      <w:r w:rsidRPr="00DC2A7C">
        <w:rPr>
          <w:rStyle w:val="Titlu1Caracter"/>
          <w:bCs/>
        </w:rPr>
        <w:t>Appendix A</w:t>
      </w:r>
      <w:bookmarkEnd w:id="14"/>
      <w:r w:rsidRPr="00DC2A7C">
        <w:rPr>
          <w:bCs/>
        </w:rPr>
        <w:t xml:space="preserve"> </w:t>
      </w:r>
    </w:p>
    <w:p w14:paraId="3344F58A" w14:textId="12AAF22D" w:rsidR="005D55D7" w:rsidRPr="00150B19" w:rsidRDefault="00150B19" w:rsidP="002E629E">
      <w:pPr>
        <w:ind w:left="360"/>
      </w:pPr>
      <w:r w:rsidRPr="002E629E">
        <w:rPr>
          <w:rFonts w:cs="Arial"/>
          <w:sz w:val="24"/>
          <w:szCs w:val="24"/>
        </w:rPr>
        <w:t>Mobility Global (MG)’s given case:</w:t>
      </w:r>
    </w:p>
    <w:p w14:paraId="43195468" w14:textId="3D7845D4" w:rsidR="00150B19" w:rsidRPr="00402E93" w:rsidRDefault="00150B19" w:rsidP="00150B19">
      <w:pPr>
        <w:ind w:left="360"/>
      </w:pPr>
      <w:r w:rsidRPr="00150B19">
        <w:rPr>
          <w:noProof/>
        </w:rPr>
        <w:drawing>
          <wp:inline distT="0" distB="0" distL="0" distR="0" wp14:anchorId="4A1B987A" wp14:editId="2189825E">
            <wp:extent cx="5731510" cy="45116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511675"/>
                    </a:xfrm>
                    <a:prstGeom prst="rect">
                      <a:avLst/>
                    </a:prstGeom>
                  </pic:spPr>
                </pic:pic>
              </a:graphicData>
            </a:graphic>
          </wp:inline>
        </w:drawing>
      </w:r>
    </w:p>
    <w:sectPr w:rsidR="00150B19" w:rsidRPr="00402E93" w:rsidSect="00E62723">
      <w:footerReference w:type="default" r:id="rId13"/>
      <w:pgSz w:w="11906" w:h="16838" w:code="9"/>
      <w:pgMar w:top="1440" w:right="1440" w:bottom="1440" w:left="1440" w:header="720" w:footer="720" w:gutter="0"/>
      <w:cols w:space="720"/>
      <w:noEndnote/>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odzinesa Zuwirai" w:date="2023-03-01T05:45:00Z" w:initials="MZ">
    <w:p w14:paraId="57B2D828" w14:textId="226BF69B" w:rsidR="0009572E" w:rsidRDefault="0009572E">
      <w:pPr>
        <w:pStyle w:val="Textcomentariu"/>
      </w:pPr>
      <w:r>
        <w:rPr>
          <w:rStyle w:val="Referincomentariu"/>
        </w:rPr>
        <w:annotationRef/>
      </w:r>
      <w:r>
        <w:t>To be addressed to Directors or Management of MG please</w:t>
      </w:r>
    </w:p>
  </w:comment>
  <w:comment w:id="3" w:author="Munodzinesa Zuwirai" w:date="2023-03-01T05:47:00Z" w:initials="MZ">
    <w:p w14:paraId="353C6674" w14:textId="4F4231B3" w:rsidR="0009572E" w:rsidRDefault="0009572E">
      <w:pPr>
        <w:pStyle w:val="Textcomentariu"/>
      </w:pPr>
      <w:r>
        <w:rPr>
          <w:rStyle w:val="Referincomentariu"/>
        </w:rPr>
        <w:annotationRef/>
      </w:r>
      <w:r>
        <w:t>Ensure this is your original work. It is an individual report. Please be critical in analysis applying to the scenario</w:t>
      </w:r>
    </w:p>
  </w:comment>
  <w:comment w:id="6" w:author="Munodzinesa Zuwirai" w:date="2023-03-01T05:48:00Z" w:initials="MZ">
    <w:p w14:paraId="39798628" w14:textId="6C936523" w:rsidR="0009572E" w:rsidRDefault="0009572E">
      <w:pPr>
        <w:pStyle w:val="Textcomentariu"/>
      </w:pPr>
      <w:r>
        <w:rPr>
          <w:rStyle w:val="Referincomentariu"/>
        </w:rPr>
        <w:annotationRef/>
      </w:r>
      <w:r>
        <w:t xml:space="preserve">Recommendation is based on contribution under marginal costing </w:t>
      </w:r>
    </w:p>
  </w:comment>
  <w:comment w:id="9" w:author="Munodzinesa Zuwirai" w:date="2023-03-01T05:49:00Z" w:initials="MZ">
    <w:p w14:paraId="77B7D938" w14:textId="77777777" w:rsidR="0009572E" w:rsidRDefault="0009572E" w:rsidP="0009572E">
      <w:pPr>
        <w:pStyle w:val="Textcomentariu"/>
      </w:pPr>
      <w:r>
        <w:rPr>
          <w:rStyle w:val="Referincomentariu"/>
        </w:rPr>
        <w:annotationRef/>
      </w:r>
      <w:r>
        <w:t>Decision based on contribution. Total fixed costs are unaffected by the stoppage</w:t>
      </w:r>
    </w:p>
    <w:p w14:paraId="27610303" w14:textId="63153067" w:rsidR="0009572E" w:rsidRDefault="0009572E">
      <w:pPr>
        <w:pStyle w:val="Textcomentariu"/>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B2D828" w15:done="1"/>
  <w15:commentEx w15:paraId="353C6674" w15:done="1"/>
  <w15:commentEx w15:paraId="39798628" w15:done="1"/>
  <w15:commentEx w15:paraId="2761030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96507" w16cex:dateUtc="2023-03-01T05:45:00Z"/>
  <w16cex:commentExtensible w16cex:durableId="27A9655F" w16cex:dateUtc="2023-03-01T05:47:00Z"/>
  <w16cex:commentExtensible w16cex:durableId="27A965A3" w16cex:dateUtc="2023-03-01T05:48:00Z"/>
  <w16cex:commentExtensible w16cex:durableId="27A965E0" w16cex:dateUtc="2023-03-01T0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B2D828" w16cid:durableId="27A96507"/>
  <w16cid:commentId w16cid:paraId="353C6674" w16cid:durableId="27A9655F"/>
  <w16cid:commentId w16cid:paraId="39798628" w16cid:durableId="27A965A3"/>
  <w16cid:commentId w16cid:paraId="27610303" w16cid:durableId="27A965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86233" w14:textId="77777777" w:rsidR="00947923" w:rsidRDefault="00947923" w:rsidP="00E62723">
      <w:pPr>
        <w:spacing w:after="0" w:line="240" w:lineRule="auto"/>
      </w:pPr>
      <w:r>
        <w:separator/>
      </w:r>
    </w:p>
  </w:endnote>
  <w:endnote w:type="continuationSeparator" w:id="0">
    <w:p w14:paraId="0E3A87F9" w14:textId="77777777" w:rsidR="00947923" w:rsidRDefault="00947923" w:rsidP="00E62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479001"/>
      <w:docPartObj>
        <w:docPartGallery w:val="Page Numbers (Bottom of Page)"/>
        <w:docPartUnique/>
      </w:docPartObj>
    </w:sdtPr>
    <w:sdtEndPr>
      <w:rPr>
        <w:noProof/>
      </w:rPr>
    </w:sdtEndPr>
    <w:sdtContent>
      <w:p w14:paraId="3EE289BF" w14:textId="569AAA10" w:rsidR="002E629E" w:rsidRDefault="002E629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5E4907F" w14:textId="77777777" w:rsidR="00E62723" w:rsidRDefault="00E6272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714E9" w14:textId="77777777" w:rsidR="00947923" w:rsidRDefault="00947923" w:rsidP="00E62723">
      <w:pPr>
        <w:spacing w:after="0" w:line="240" w:lineRule="auto"/>
      </w:pPr>
      <w:r>
        <w:separator/>
      </w:r>
    </w:p>
  </w:footnote>
  <w:footnote w:type="continuationSeparator" w:id="0">
    <w:p w14:paraId="401D2EB9" w14:textId="77777777" w:rsidR="00947923" w:rsidRDefault="00947923" w:rsidP="00E62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87F"/>
    <w:multiLevelType w:val="hybridMultilevel"/>
    <w:tmpl w:val="A10612D2"/>
    <w:lvl w:ilvl="0" w:tplc="1000000F">
      <w:start w:val="1"/>
      <w:numFmt w:val="lowerLetter"/>
      <w:lvlText w:val="%1)"/>
      <w:lvlJc w:val="left"/>
      <w:pPr>
        <w:ind w:left="360" w:hanging="360"/>
      </w:pPr>
      <w:rPr>
        <w:b w:val="0"/>
        <w:bCs/>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 w15:restartNumberingAfterBreak="0">
    <w:nsid w:val="09ED6BD7"/>
    <w:multiLevelType w:val="multilevel"/>
    <w:tmpl w:val="9C82C59C"/>
    <w:lvl w:ilvl="0">
      <w:start w:val="1"/>
      <w:numFmt w:val="decimal"/>
      <w:lvlText w:val="%1."/>
      <w:lvlJc w:val="left"/>
      <w:pPr>
        <w:ind w:left="720" w:hanging="360"/>
      </w:pPr>
      <w:rPr>
        <w:b/>
        <w:bCs/>
        <w:color w:val="00206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0CBE0717"/>
    <w:multiLevelType w:val="hybridMultilevel"/>
    <w:tmpl w:val="7F0EB840"/>
    <w:lvl w:ilvl="0" w:tplc="FFFFFFF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 w15:restartNumberingAfterBreak="0">
    <w:nsid w:val="0CCA48D0"/>
    <w:multiLevelType w:val="hybridMultilevel"/>
    <w:tmpl w:val="1FCE73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6505D9"/>
    <w:multiLevelType w:val="hybridMultilevel"/>
    <w:tmpl w:val="F4B42054"/>
    <w:lvl w:ilvl="0" w:tplc="091E3594">
      <w:start w:val="1"/>
      <w:numFmt w:val="decimal"/>
      <w:lvlText w:val="%1."/>
      <w:lvlJc w:val="left"/>
      <w:pPr>
        <w:ind w:left="720" w:hanging="360"/>
      </w:pPr>
      <w:rPr>
        <w:rFonts w:cs="Arial" w:hint="default"/>
        <w:color w:val="000000"/>
        <w:sz w:val="24"/>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6D05C27"/>
    <w:multiLevelType w:val="multilevel"/>
    <w:tmpl w:val="41C81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23809"/>
    <w:multiLevelType w:val="hybridMultilevel"/>
    <w:tmpl w:val="897602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6275E0"/>
    <w:multiLevelType w:val="multilevel"/>
    <w:tmpl w:val="AFE8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B4773"/>
    <w:multiLevelType w:val="hybridMultilevel"/>
    <w:tmpl w:val="6EB23598"/>
    <w:lvl w:ilvl="0" w:tplc="10000017">
      <w:start w:val="1"/>
      <w:numFmt w:val="lowerLetter"/>
      <w:lvlText w:val="%1)"/>
      <w:lvlJc w:val="left"/>
      <w:pPr>
        <w:ind w:left="720" w:hanging="360"/>
      </w:pPr>
      <w:rPr>
        <w:rFonts w:hint="default"/>
        <w:b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3F641A7F"/>
    <w:multiLevelType w:val="multilevel"/>
    <w:tmpl w:val="4F5871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AE6764"/>
    <w:multiLevelType w:val="hybridMultilevel"/>
    <w:tmpl w:val="855A4CE4"/>
    <w:lvl w:ilvl="0" w:tplc="FFFFFFF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707D4DC6"/>
    <w:multiLevelType w:val="hybridMultilevel"/>
    <w:tmpl w:val="1FCE734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7D172E81"/>
    <w:multiLevelType w:val="hybridMultilevel"/>
    <w:tmpl w:val="701C6BEC"/>
    <w:lvl w:ilvl="0" w:tplc="9466732C">
      <w:start w:val="1"/>
      <w:numFmt w:val="lowerLetter"/>
      <w:pStyle w:val="Titlu3"/>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7FC506AD"/>
    <w:multiLevelType w:val="multilevel"/>
    <w:tmpl w:val="A858C1A6"/>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685935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7889659">
    <w:abstractNumId w:val="11"/>
  </w:num>
  <w:num w:numId="3" w16cid:durableId="1850870928">
    <w:abstractNumId w:val="9"/>
  </w:num>
  <w:num w:numId="4" w16cid:durableId="636495583">
    <w:abstractNumId w:val="4"/>
  </w:num>
  <w:num w:numId="5" w16cid:durableId="796484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0621664">
    <w:abstractNumId w:val="8"/>
  </w:num>
  <w:num w:numId="7" w16cid:durableId="1845514428">
    <w:abstractNumId w:val="0"/>
  </w:num>
  <w:num w:numId="8" w16cid:durableId="1759135021">
    <w:abstractNumId w:val="7"/>
  </w:num>
  <w:num w:numId="9" w16cid:durableId="358048214">
    <w:abstractNumId w:val="5"/>
  </w:num>
  <w:num w:numId="10" w16cid:durableId="1526601951">
    <w:abstractNumId w:val="0"/>
    <w:lvlOverride w:ilvl="0">
      <w:startOverride w:val="1"/>
    </w:lvlOverride>
  </w:num>
  <w:num w:numId="11" w16cid:durableId="1776365092">
    <w:abstractNumId w:val="6"/>
  </w:num>
  <w:num w:numId="12" w16cid:durableId="164125645">
    <w:abstractNumId w:val="2"/>
  </w:num>
  <w:num w:numId="13" w16cid:durableId="895043675">
    <w:abstractNumId w:val="12"/>
  </w:num>
  <w:num w:numId="14" w16cid:durableId="705984870">
    <w:abstractNumId w:val="3"/>
  </w:num>
  <w:num w:numId="15" w16cid:durableId="17846739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odzinesa Zuwirai">
    <w15:presenceInfo w15:providerId="None" w15:userId="Munodzinesa Zuwir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zNLM0sTQwtDA1MTNR0lEKTi0uzszPAykwqwUAw61ZiywAAAA="/>
  </w:docVars>
  <w:rsids>
    <w:rsidRoot w:val="00AE7577"/>
    <w:rsid w:val="00033184"/>
    <w:rsid w:val="0009572E"/>
    <w:rsid w:val="000B2F84"/>
    <w:rsid w:val="000F04C1"/>
    <w:rsid w:val="000F40BE"/>
    <w:rsid w:val="00150B19"/>
    <w:rsid w:val="00157B99"/>
    <w:rsid w:val="001A2C34"/>
    <w:rsid w:val="002A2E94"/>
    <w:rsid w:val="002B2B95"/>
    <w:rsid w:val="002C60CE"/>
    <w:rsid w:val="002E629E"/>
    <w:rsid w:val="002F02A2"/>
    <w:rsid w:val="00334D06"/>
    <w:rsid w:val="00340415"/>
    <w:rsid w:val="00372578"/>
    <w:rsid w:val="00392234"/>
    <w:rsid w:val="003D4027"/>
    <w:rsid w:val="00402E93"/>
    <w:rsid w:val="0043750B"/>
    <w:rsid w:val="00454594"/>
    <w:rsid w:val="00480D86"/>
    <w:rsid w:val="00487DC6"/>
    <w:rsid w:val="00495AC7"/>
    <w:rsid w:val="004A570A"/>
    <w:rsid w:val="004E6000"/>
    <w:rsid w:val="00512D5C"/>
    <w:rsid w:val="005547E6"/>
    <w:rsid w:val="005D55D7"/>
    <w:rsid w:val="005F679A"/>
    <w:rsid w:val="005F6CA2"/>
    <w:rsid w:val="0060619F"/>
    <w:rsid w:val="00614602"/>
    <w:rsid w:val="00674744"/>
    <w:rsid w:val="0067658E"/>
    <w:rsid w:val="00680CDC"/>
    <w:rsid w:val="00687D01"/>
    <w:rsid w:val="006B24B4"/>
    <w:rsid w:val="006B5EC0"/>
    <w:rsid w:val="006C4C13"/>
    <w:rsid w:val="006D66CA"/>
    <w:rsid w:val="006F4939"/>
    <w:rsid w:val="007274F5"/>
    <w:rsid w:val="00796BC1"/>
    <w:rsid w:val="007B1D7E"/>
    <w:rsid w:val="007B69C7"/>
    <w:rsid w:val="007D6F15"/>
    <w:rsid w:val="00863B58"/>
    <w:rsid w:val="008A1031"/>
    <w:rsid w:val="00911F3C"/>
    <w:rsid w:val="00923D31"/>
    <w:rsid w:val="00927AD5"/>
    <w:rsid w:val="00947923"/>
    <w:rsid w:val="009A0776"/>
    <w:rsid w:val="009C16D2"/>
    <w:rsid w:val="009C2BE3"/>
    <w:rsid w:val="009C4BFE"/>
    <w:rsid w:val="009C63E7"/>
    <w:rsid w:val="009F32A0"/>
    <w:rsid w:val="00A43BAF"/>
    <w:rsid w:val="00A53CD9"/>
    <w:rsid w:val="00AD0574"/>
    <w:rsid w:val="00AD1902"/>
    <w:rsid w:val="00AE7577"/>
    <w:rsid w:val="00B20F53"/>
    <w:rsid w:val="00B91F8B"/>
    <w:rsid w:val="00BB3589"/>
    <w:rsid w:val="00BB5C2A"/>
    <w:rsid w:val="00BC6C47"/>
    <w:rsid w:val="00BF6935"/>
    <w:rsid w:val="00C62AE9"/>
    <w:rsid w:val="00C859A6"/>
    <w:rsid w:val="00C9201C"/>
    <w:rsid w:val="00C94D40"/>
    <w:rsid w:val="00CC1D40"/>
    <w:rsid w:val="00D76C14"/>
    <w:rsid w:val="00DC2A7C"/>
    <w:rsid w:val="00DF11E6"/>
    <w:rsid w:val="00E034E5"/>
    <w:rsid w:val="00E62723"/>
    <w:rsid w:val="00E80BF7"/>
    <w:rsid w:val="00E90892"/>
    <w:rsid w:val="00EA0D29"/>
    <w:rsid w:val="00EA3EEE"/>
    <w:rsid w:val="00EC7D47"/>
    <w:rsid w:val="00EF51DC"/>
    <w:rsid w:val="00F21407"/>
    <w:rsid w:val="00F32B45"/>
    <w:rsid w:val="00F3567E"/>
    <w:rsid w:val="00F90267"/>
    <w:rsid w:val="00FA09F2"/>
    <w:rsid w:val="00FA740B"/>
    <w:rsid w:val="00FB4256"/>
    <w:rsid w:val="00FF54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2B9B"/>
  <w15:chartTrackingRefBased/>
  <w15:docId w15:val="{5035C25F-86EE-4856-B896-72643256D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027"/>
    <w:pPr>
      <w:spacing w:line="360" w:lineRule="auto"/>
      <w:jc w:val="both"/>
    </w:pPr>
    <w:rPr>
      <w:rFonts w:ascii="Arial" w:hAnsi="Arial"/>
      <w:lang w:val="en-GB"/>
    </w:rPr>
  </w:style>
  <w:style w:type="paragraph" w:styleId="Titlu1">
    <w:name w:val="heading 1"/>
    <w:basedOn w:val="Normal"/>
    <w:next w:val="Normal"/>
    <w:link w:val="Titlu1Caracter"/>
    <w:uiPriority w:val="9"/>
    <w:qFormat/>
    <w:rsid w:val="00DC2A7C"/>
    <w:pPr>
      <w:keepNext/>
      <w:keepLines/>
      <w:spacing w:before="240" w:after="0"/>
      <w:outlineLvl w:val="0"/>
    </w:pPr>
    <w:rPr>
      <w:rFonts w:eastAsiaTheme="majorEastAsia" w:cstheme="majorBidi"/>
      <w:color w:val="0070C0"/>
      <w:sz w:val="32"/>
      <w:szCs w:val="40"/>
    </w:rPr>
  </w:style>
  <w:style w:type="paragraph" w:styleId="Titlu2">
    <w:name w:val="heading 2"/>
    <w:basedOn w:val="Normal"/>
    <w:next w:val="Normal"/>
    <w:link w:val="Titlu2Caracter"/>
    <w:uiPriority w:val="9"/>
    <w:unhideWhenUsed/>
    <w:qFormat/>
    <w:rsid w:val="00DC2A7C"/>
    <w:pPr>
      <w:keepNext/>
      <w:keepLines/>
      <w:spacing w:before="40" w:after="0"/>
      <w:outlineLvl w:val="1"/>
    </w:pPr>
    <w:rPr>
      <w:rFonts w:eastAsiaTheme="majorEastAsia" w:cstheme="majorBidi"/>
      <w:bCs/>
      <w:sz w:val="28"/>
      <w:szCs w:val="33"/>
    </w:rPr>
  </w:style>
  <w:style w:type="paragraph" w:styleId="Titlu3">
    <w:name w:val="heading 3"/>
    <w:basedOn w:val="Normal"/>
    <w:next w:val="Normal"/>
    <w:link w:val="Titlu3Caracter"/>
    <w:uiPriority w:val="9"/>
    <w:unhideWhenUsed/>
    <w:qFormat/>
    <w:rsid w:val="00DC2A7C"/>
    <w:pPr>
      <w:keepNext/>
      <w:keepLines/>
      <w:numPr>
        <w:numId w:val="13"/>
      </w:numPr>
      <w:spacing w:before="280" w:after="240"/>
      <w:outlineLvl w:val="2"/>
    </w:pPr>
    <w:rPr>
      <w:rFonts w:eastAsiaTheme="majorEastAsia" w:cs="Arial"/>
      <w:i/>
      <w:iCs/>
      <w:color w:val="1F3763" w:themeColor="accent1" w:themeShade="7F"/>
      <w:sz w:val="24"/>
      <w:szCs w:val="3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4E6000"/>
    <w:pPr>
      <w:autoSpaceDE w:val="0"/>
      <w:autoSpaceDN w:val="0"/>
      <w:adjustRightInd w:val="0"/>
      <w:spacing w:after="0" w:line="240" w:lineRule="auto"/>
    </w:pPr>
    <w:rPr>
      <w:rFonts w:ascii="Arial" w:hAnsi="Arial" w:cs="Arial"/>
      <w:color w:val="000000"/>
      <w:sz w:val="24"/>
      <w:szCs w:val="24"/>
    </w:rPr>
  </w:style>
  <w:style w:type="character" w:customStyle="1" w:styleId="Titlu1Caracter">
    <w:name w:val="Titlu 1 Caracter"/>
    <w:basedOn w:val="Fontdeparagrafimplicit"/>
    <w:link w:val="Titlu1"/>
    <w:uiPriority w:val="9"/>
    <w:rsid w:val="00DC2A7C"/>
    <w:rPr>
      <w:rFonts w:ascii="Arial" w:eastAsiaTheme="majorEastAsia" w:hAnsi="Arial" w:cstheme="majorBidi"/>
      <w:color w:val="0070C0"/>
      <w:sz w:val="32"/>
      <w:szCs w:val="40"/>
      <w:lang w:val="en-GB"/>
    </w:rPr>
  </w:style>
  <w:style w:type="character" w:customStyle="1" w:styleId="Titlu2Caracter">
    <w:name w:val="Titlu 2 Caracter"/>
    <w:basedOn w:val="Fontdeparagrafimplicit"/>
    <w:link w:val="Titlu2"/>
    <w:uiPriority w:val="9"/>
    <w:rsid w:val="00DC2A7C"/>
    <w:rPr>
      <w:rFonts w:ascii="Arial" w:eastAsiaTheme="majorEastAsia" w:hAnsi="Arial" w:cstheme="majorBidi"/>
      <w:bCs/>
      <w:sz w:val="28"/>
      <w:szCs w:val="33"/>
      <w:lang w:val="en-GB"/>
    </w:rPr>
  </w:style>
  <w:style w:type="paragraph" w:styleId="Titlucuprins">
    <w:name w:val="TOC Heading"/>
    <w:basedOn w:val="Titlu1"/>
    <w:next w:val="Normal"/>
    <w:uiPriority w:val="39"/>
    <w:unhideWhenUsed/>
    <w:qFormat/>
    <w:rsid w:val="00E62723"/>
    <w:pPr>
      <w:spacing w:line="259" w:lineRule="auto"/>
      <w:jc w:val="left"/>
      <w:outlineLvl w:val="9"/>
    </w:pPr>
    <w:rPr>
      <w:rFonts w:asciiTheme="majorHAnsi" w:hAnsiTheme="majorHAnsi"/>
      <w:b/>
      <w:color w:val="2F5496" w:themeColor="accent1" w:themeShade="BF"/>
      <w:szCs w:val="32"/>
      <w:lang w:val="en-US" w:bidi="ar-SA"/>
    </w:rPr>
  </w:style>
  <w:style w:type="paragraph" w:styleId="Cuprins1">
    <w:name w:val="toc 1"/>
    <w:basedOn w:val="Normal"/>
    <w:next w:val="Normal"/>
    <w:autoRedefine/>
    <w:uiPriority w:val="39"/>
    <w:unhideWhenUsed/>
    <w:rsid w:val="00E62723"/>
    <w:pPr>
      <w:spacing w:after="100"/>
    </w:pPr>
  </w:style>
  <w:style w:type="character" w:styleId="Hyperlink">
    <w:name w:val="Hyperlink"/>
    <w:basedOn w:val="Fontdeparagrafimplicit"/>
    <w:uiPriority w:val="99"/>
    <w:unhideWhenUsed/>
    <w:rsid w:val="00E62723"/>
    <w:rPr>
      <w:color w:val="0563C1" w:themeColor="hyperlink"/>
      <w:u w:val="single"/>
    </w:rPr>
  </w:style>
  <w:style w:type="paragraph" w:styleId="Antet">
    <w:name w:val="header"/>
    <w:basedOn w:val="Normal"/>
    <w:link w:val="AntetCaracter"/>
    <w:uiPriority w:val="99"/>
    <w:unhideWhenUsed/>
    <w:rsid w:val="00E6272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62723"/>
    <w:rPr>
      <w:rFonts w:ascii="Times New Roman" w:hAnsi="Times New Roman"/>
      <w:lang w:val="en-GB"/>
    </w:rPr>
  </w:style>
  <w:style w:type="paragraph" w:styleId="Subsol">
    <w:name w:val="footer"/>
    <w:basedOn w:val="Normal"/>
    <w:link w:val="SubsolCaracter"/>
    <w:uiPriority w:val="99"/>
    <w:unhideWhenUsed/>
    <w:rsid w:val="00E6272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62723"/>
    <w:rPr>
      <w:rFonts w:ascii="Times New Roman" w:hAnsi="Times New Roman"/>
      <w:lang w:val="en-GB"/>
    </w:rPr>
  </w:style>
  <w:style w:type="character" w:styleId="MeniuneNerezolvat">
    <w:name w:val="Unresolved Mention"/>
    <w:basedOn w:val="Fontdeparagrafimplicit"/>
    <w:uiPriority w:val="99"/>
    <w:semiHidden/>
    <w:unhideWhenUsed/>
    <w:rsid w:val="00402E93"/>
    <w:rPr>
      <w:color w:val="605E5C"/>
      <w:shd w:val="clear" w:color="auto" w:fill="E1DFDD"/>
    </w:rPr>
  </w:style>
  <w:style w:type="paragraph" w:styleId="Listparagraf">
    <w:name w:val="List Paragraph"/>
    <w:basedOn w:val="Normal"/>
    <w:uiPriority w:val="1"/>
    <w:qFormat/>
    <w:rsid w:val="00402E93"/>
    <w:pPr>
      <w:ind w:left="720"/>
      <w:contextualSpacing/>
    </w:pPr>
  </w:style>
  <w:style w:type="paragraph" w:styleId="Cuprins2">
    <w:name w:val="toc 2"/>
    <w:basedOn w:val="Normal"/>
    <w:next w:val="Normal"/>
    <w:autoRedefine/>
    <w:uiPriority w:val="39"/>
    <w:unhideWhenUsed/>
    <w:rsid w:val="00402E93"/>
    <w:pPr>
      <w:spacing w:after="100"/>
      <w:ind w:left="220"/>
    </w:pPr>
  </w:style>
  <w:style w:type="character" w:customStyle="1" w:styleId="Titlu3Caracter">
    <w:name w:val="Titlu 3 Caracter"/>
    <w:basedOn w:val="Fontdeparagrafimplicit"/>
    <w:link w:val="Titlu3"/>
    <w:uiPriority w:val="9"/>
    <w:rsid w:val="00DC2A7C"/>
    <w:rPr>
      <w:rFonts w:ascii="Arial" w:eastAsiaTheme="majorEastAsia" w:hAnsi="Arial" w:cs="Arial"/>
      <w:i/>
      <w:iCs/>
      <w:color w:val="1F3763" w:themeColor="accent1" w:themeShade="7F"/>
      <w:sz w:val="24"/>
      <w:szCs w:val="30"/>
      <w:lang w:val="en-GB"/>
    </w:rPr>
  </w:style>
  <w:style w:type="paragraph" w:styleId="Cuprins3">
    <w:name w:val="toc 3"/>
    <w:basedOn w:val="Normal"/>
    <w:next w:val="Normal"/>
    <w:autoRedefine/>
    <w:uiPriority w:val="39"/>
    <w:unhideWhenUsed/>
    <w:rsid w:val="00D76C14"/>
    <w:pPr>
      <w:spacing w:after="100"/>
      <w:ind w:left="440"/>
    </w:pPr>
  </w:style>
  <w:style w:type="table" w:styleId="Tabelgril3-Accentuare5">
    <w:name w:val="Grid Table 3 Accent 5"/>
    <w:basedOn w:val="TabelNormal"/>
    <w:uiPriority w:val="48"/>
    <w:rsid w:val="00DC2A7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Referincomentariu">
    <w:name w:val="annotation reference"/>
    <w:basedOn w:val="Fontdeparagrafimplicit"/>
    <w:uiPriority w:val="99"/>
    <w:semiHidden/>
    <w:unhideWhenUsed/>
    <w:rsid w:val="0009572E"/>
    <w:rPr>
      <w:sz w:val="16"/>
      <w:szCs w:val="16"/>
    </w:rPr>
  </w:style>
  <w:style w:type="paragraph" w:styleId="Textcomentariu">
    <w:name w:val="annotation text"/>
    <w:basedOn w:val="Normal"/>
    <w:link w:val="TextcomentariuCaracter"/>
    <w:uiPriority w:val="99"/>
    <w:semiHidden/>
    <w:unhideWhenUsed/>
    <w:rsid w:val="0009572E"/>
    <w:pPr>
      <w:spacing w:line="240" w:lineRule="auto"/>
    </w:pPr>
    <w:rPr>
      <w:sz w:val="20"/>
      <w:szCs w:val="25"/>
    </w:rPr>
  </w:style>
  <w:style w:type="character" w:customStyle="1" w:styleId="TextcomentariuCaracter">
    <w:name w:val="Text comentariu Caracter"/>
    <w:basedOn w:val="Fontdeparagrafimplicit"/>
    <w:link w:val="Textcomentariu"/>
    <w:uiPriority w:val="99"/>
    <w:semiHidden/>
    <w:rsid w:val="0009572E"/>
    <w:rPr>
      <w:rFonts w:ascii="Arial" w:hAnsi="Arial"/>
      <w:sz w:val="20"/>
      <w:szCs w:val="25"/>
      <w:lang w:val="en-GB"/>
    </w:rPr>
  </w:style>
  <w:style w:type="paragraph" w:styleId="SubiectComentariu">
    <w:name w:val="annotation subject"/>
    <w:basedOn w:val="Textcomentariu"/>
    <w:next w:val="Textcomentariu"/>
    <w:link w:val="SubiectComentariuCaracter"/>
    <w:uiPriority w:val="99"/>
    <w:semiHidden/>
    <w:unhideWhenUsed/>
    <w:rsid w:val="0009572E"/>
    <w:rPr>
      <w:b/>
      <w:bCs/>
    </w:rPr>
  </w:style>
  <w:style w:type="character" w:customStyle="1" w:styleId="SubiectComentariuCaracter">
    <w:name w:val="Subiect Comentariu Caracter"/>
    <w:basedOn w:val="TextcomentariuCaracter"/>
    <w:link w:val="SubiectComentariu"/>
    <w:uiPriority w:val="99"/>
    <w:semiHidden/>
    <w:rsid w:val="0009572E"/>
    <w:rPr>
      <w:rFonts w:ascii="Arial" w:hAnsi="Arial"/>
      <w:b/>
      <w:bCs/>
      <w:sz w:val="20"/>
      <w:szCs w:val="25"/>
      <w:lang w:val="en-GB"/>
    </w:rPr>
  </w:style>
  <w:style w:type="table" w:styleId="Tabelsimplu5">
    <w:name w:val="Plain Table 5"/>
    <w:basedOn w:val="TabelNormal"/>
    <w:uiPriority w:val="45"/>
    <w:rsid w:val="007B69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primar3">
    <w:name w:val="Plain Table 3"/>
    <w:basedOn w:val="TabelNormal"/>
    <w:uiPriority w:val="43"/>
    <w:rsid w:val="007B69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5418">
      <w:bodyDiv w:val="1"/>
      <w:marLeft w:val="0"/>
      <w:marRight w:val="0"/>
      <w:marTop w:val="0"/>
      <w:marBottom w:val="0"/>
      <w:divBdr>
        <w:top w:val="none" w:sz="0" w:space="0" w:color="auto"/>
        <w:left w:val="none" w:sz="0" w:space="0" w:color="auto"/>
        <w:bottom w:val="none" w:sz="0" w:space="0" w:color="auto"/>
        <w:right w:val="none" w:sz="0" w:space="0" w:color="auto"/>
      </w:divBdr>
    </w:div>
    <w:div w:id="90591146">
      <w:bodyDiv w:val="1"/>
      <w:marLeft w:val="0"/>
      <w:marRight w:val="0"/>
      <w:marTop w:val="0"/>
      <w:marBottom w:val="0"/>
      <w:divBdr>
        <w:top w:val="none" w:sz="0" w:space="0" w:color="auto"/>
        <w:left w:val="none" w:sz="0" w:space="0" w:color="auto"/>
        <w:bottom w:val="none" w:sz="0" w:space="0" w:color="auto"/>
        <w:right w:val="none" w:sz="0" w:space="0" w:color="auto"/>
      </w:divBdr>
    </w:div>
    <w:div w:id="216480890">
      <w:bodyDiv w:val="1"/>
      <w:marLeft w:val="0"/>
      <w:marRight w:val="0"/>
      <w:marTop w:val="0"/>
      <w:marBottom w:val="0"/>
      <w:divBdr>
        <w:top w:val="none" w:sz="0" w:space="0" w:color="auto"/>
        <w:left w:val="none" w:sz="0" w:space="0" w:color="auto"/>
        <w:bottom w:val="none" w:sz="0" w:space="0" w:color="auto"/>
        <w:right w:val="none" w:sz="0" w:space="0" w:color="auto"/>
      </w:divBdr>
    </w:div>
    <w:div w:id="396708585">
      <w:bodyDiv w:val="1"/>
      <w:marLeft w:val="0"/>
      <w:marRight w:val="0"/>
      <w:marTop w:val="0"/>
      <w:marBottom w:val="0"/>
      <w:divBdr>
        <w:top w:val="none" w:sz="0" w:space="0" w:color="auto"/>
        <w:left w:val="none" w:sz="0" w:space="0" w:color="auto"/>
        <w:bottom w:val="none" w:sz="0" w:space="0" w:color="auto"/>
        <w:right w:val="none" w:sz="0" w:space="0" w:color="auto"/>
      </w:divBdr>
    </w:div>
    <w:div w:id="531766908">
      <w:bodyDiv w:val="1"/>
      <w:marLeft w:val="0"/>
      <w:marRight w:val="0"/>
      <w:marTop w:val="0"/>
      <w:marBottom w:val="0"/>
      <w:divBdr>
        <w:top w:val="none" w:sz="0" w:space="0" w:color="auto"/>
        <w:left w:val="none" w:sz="0" w:space="0" w:color="auto"/>
        <w:bottom w:val="none" w:sz="0" w:space="0" w:color="auto"/>
        <w:right w:val="none" w:sz="0" w:space="0" w:color="auto"/>
      </w:divBdr>
    </w:div>
    <w:div w:id="782379020">
      <w:bodyDiv w:val="1"/>
      <w:marLeft w:val="0"/>
      <w:marRight w:val="0"/>
      <w:marTop w:val="0"/>
      <w:marBottom w:val="0"/>
      <w:divBdr>
        <w:top w:val="none" w:sz="0" w:space="0" w:color="auto"/>
        <w:left w:val="none" w:sz="0" w:space="0" w:color="auto"/>
        <w:bottom w:val="none" w:sz="0" w:space="0" w:color="auto"/>
        <w:right w:val="none" w:sz="0" w:space="0" w:color="auto"/>
      </w:divBdr>
    </w:div>
    <w:div w:id="930284657">
      <w:bodyDiv w:val="1"/>
      <w:marLeft w:val="0"/>
      <w:marRight w:val="0"/>
      <w:marTop w:val="0"/>
      <w:marBottom w:val="0"/>
      <w:divBdr>
        <w:top w:val="none" w:sz="0" w:space="0" w:color="auto"/>
        <w:left w:val="none" w:sz="0" w:space="0" w:color="auto"/>
        <w:bottom w:val="none" w:sz="0" w:space="0" w:color="auto"/>
        <w:right w:val="none" w:sz="0" w:space="0" w:color="auto"/>
      </w:divBdr>
    </w:div>
    <w:div w:id="1159614331">
      <w:bodyDiv w:val="1"/>
      <w:marLeft w:val="0"/>
      <w:marRight w:val="0"/>
      <w:marTop w:val="0"/>
      <w:marBottom w:val="0"/>
      <w:divBdr>
        <w:top w:val="none" w:sz="0" w:space="0" w:color="auto"/>
        <w:left w:val="none" w:sz="0" w:space="0" w:color="auto"/>
        <w:bottom w:val="none" w:sz="0" w:space="0" w:color="auto"/>
        <w:right w:val="none" w:sz="0" w:space="0" w:color="auto"/>
      </w:divBdr>
    </w:div>
    <w:div w:id="1207985947">
      <w:bodyDiv w:val="1"/>
      <w:marLeft w:val="0"/>
      <w:marRight w:val="0"/>
      <w:marTop w:val="0"/>
      <w:marBottom w:val="0"/>
      <w:divBdr>
        <w:top w:val="none" w:sz="0" w:space="0" w:color="auto"/>
        <w:left w:val="none" w:sz="0" w:space="0" w:color="auto"/>
        <w:bottom w:val="none" w:sz="0" w:space="0" w:color="auto"/>
        <w:right w:val="none" w:sz="0" w:space="0" w:color="auto"/>
      </w:divBdr>
    </w:div>
    <w:div w:id="1303920739">
      <w:bodyDiv w:val="1"/>
      <w:marLeft w:val="0"/>
      <w:marRight w:val="0"/>
      <w:marTop w:val="0"/>
      <w:marBottom w:val="0"/>
      <w:divBdr>
        <w:top w:val="none" w:sz="0" w:space="0" w:color="auto"/>
        <w:left w:val="none" w:sz="0" w:space="0" w:color="auto"/>
        <w:bottom w:val="none" w:sz="0" w:space="0" w:color="auto"/>
        <w:right w:val="none" w:sz="0" w:space="0" w:color="auto"/>
      </w:divBdr>
    </w:div>
    <w:div w:id="1378428193">
      <w:bodyDiv w:val="1"/>
      <w:marLeft w:val="0"/>
      <w:marRight w:val="0"/>
      <w:marTop w:val="0"/>
      <w:marBottom w:val="0"/>
      <w:divBdr>
        <w:top w:val="none" w:sz="0" w:space="0" w:color="auto"/>
        <w:left w:val="none" w:sz="0" w:space="0" w:color="auto"/>
        <w:bottom w:val="none" w:sz="0" w:space="0" w:color="auto"/>
        <w:right w:val="none" w:sz="0" w:space="0" w:color="auto"/>
      </w:divBdr>
    </w:div>
    <w:div w:id="1383939757">
      <w:bodyDiv w:val="1"/>
      <w:marLeft w:val="0"/>
      <w:marRight w:val="0"/>
      <w:marTop w:val="0"/>
      <w:marBottom w:val="0"/>
      <w:divBdr>
        <w:top w:val="none" w:sz="0" w:space="0" w:color="auto"/>
        <w:left w:val="none" w:sz="0" w:space="0" w:color="auto"/>
        <w:bottom w:val="none" w:sz="0" w:space="0" w:color="auto"/>
        <w:right w:val="none" w:sz="0" w:space="0" w:color="auto"/>
      </w:divBdr>
    </w:div>
    <w:div w:id="1489201112">
      <w:bodyDiv w:val="1"/>
      <w:marLeft w:val="0"/>
      <w:marRight w:val="0"/>
      <w:marTop w:val="0"/>
      <w:marBottom w:val="0"/>
      <w:divBdr>
        <w:top w:val="none" w:sz="0" w:space="0" w:color="auto"/>
        <w:left w:val="none" w:sz="0" w:space="0" w:color="auto"/>
        <w:bottom w:val="none" w:sz="0" w:space="0" w:color="auto"/>
        <w:right w:val="none" w:sz="0" w:space="0" w:color="auto"/>
      </w:divBdr>
    </w:div>
    <w:div w:id="1520580035">
      <w:bodyDiv w:val="1"/>
      <w:marLeft w:val="0"/>
      <w:marRight w:val="0"/>
      <w:marTop w:val="0"/>
      <w:marBottom w:val="0"/>
      <w:divBdr>
        <w:top w:val="none" w:sz="0" w:space="0" w:color="auto"/>
        <w:left w:val="none" w:sz="0" w:space="0" w:color="auto"/>
        <w:bottom w:val="none" w:sz="0" w:space="0" w:color="auto"/>
        <w:right w:val="none" w:sz="0" w:space="0" w:color="auto"/>
      </w:divBdr>
    </w:div>
    <w:div w:id="1560483537">
      <w:bodyDiv w:val="1"/>
      <w:marLeft w:val="0"/>
      <w:marRight w:val="0"/>
      <w:marTop w:val="0"/>
      <w:marBottom w:val="0"/>
      <w:divBdr>
        <w:top w:val="none" w:sz="0" w:space="0" w:color="auto"/>
        <w:left w:val="none" w:sz="0" w:space="0" w:color="auto"/>
        <w:bottom w:val="none" w:sz="0" w:space="0" w:color="auto"/>
        <w:right w:val="none" w:sz="0" w:space="0" w:color="auto"/>
      </w:divBdr>
    </w:div>
    <w:div w:id="1759672853">
      <w:bodyDiv w:val="1"/>
      <w:marLeft w:val="0"/>
      <w:marRight w:val="0"/>
      <w:marTop w:val="0"/>
      <w:marBottom w:val="0"/>
      <w:divBdr>
        <w:top w:val="none" w:sz="0" w:space="0" w:color="auto"/>
        <w:left w:val="none" w:sz="0" w:space="0" w:color="auto"/>
        <w:bottom w:val="none" w:sz="0" w:space="0" w:color="auto"/>
        <w:right w:val="none" w:sz="0" w:space="0" w:color="auto"/>
      </w:divBdr>
    </w:div>
    <w:div w:id="1780638689">
      <w:bodyDiv w:val="1"/>
      <w:marLeft w:val="0"/>
      <w:marRight w:val="0"/>
      <w:marTop w:val="0"/>
      <w:marBottom w:val="0"/>
      <w:divBdr>
        <w:top w:val="none" w:sz="0" w:space="0" w:color="auto"/>
        <w:left w:val="none" w:sz="0" w:space="0" w:color="auto"/>
        <w:bottom w:val="none" w:sz="0" w:space="0" w:color="auto"/>
        <w:right w:val="none" w:sz="0" w:space="0" w:color="auto"/>
      </w:divBdr>
    </w:div>
    <w:div w:id="1798987987">
      <w:bodyDiv w:val="1"/>
      <w:marLeft w:val="0"/>
      <w:marRight w:val="0"/>
      <w:marTop w:val="0"/>
      <w:marBottom w:val="0"/>
      <w:divBdr>
        <w:top w:val="none" w:sz="0" w:space="0" w:color="auto"/>
        <w:left w:val="none" w:sz="0" w:space="0" w:color="auto"/>
        <w:bottom w:val="none" w:sz="0" w:space="0" w:color="auto"/>
        <w:right w:val="none" w:sz="0" w:space="0" w:color="auto"/>
      </w:divBdr>
    </w:div>
    <w:div w:id="1952660146">
      <w:bodyDiv w:val="1"/>
      <w:marLeft w:val="0"/>
      <w:marRight w:val="0"/>
      <w:marTop w:val="0"/>
      <w:marBottom w:val="0"/>
      <w:divBdr>
        <w:top w:val="none" w:sz="0" w:space="0" w:color="auto"/>
        <w:left w:val="none" w:sz="0" w:space="0" w:color="auto"/>
        <w:bottom w:val="none" w:sz="0" w:space="0" w:color="auto"/>
        <w:right w:val="none" w:sz="0" w:space="0" w:color="auto"/>
      </w:divBdr>
    </w:div>
    <w:div w:id="1970940791">
      <w:bodyDiv w:val="1"/>
      <w:marLeft w:val="0"/>
      <w:marRight w:val="0"/>
      <w:marTop w:val="0"/>
      <w:marBottom w:val="0"/>
      <w:divBdr>
        <w:top w:val="none" w:sz="0" w:space="0" w:color="auto"/>
        <w:left w:val="none" w:sz="0" w:space="0" w:color="auto"/>
        <w:bottom w:val="none" w:sz="0" w:space="0" w:color="auto"/>
        <w:right w:val="none" w:sz="0" w:space="0" w:color="auto"/>
      </w:divBdr>
    </w:div>
    <w:div w:id="2004314635">
      <w:bodyDiv w:val="1"/>
      <w:marLeft w:val="0"/>
      <w:marRight w:val="0"/>
      <w:marTop w:val="0"/>
      <w:marBottom w:val="0"/>
      <w:divBdr>
        <w:top w:val="none" w:sz="0" w:space="0" w:color="auto"/>
        <w:left w:val="none" w:sz="0" w:space="0" w:color="auto"/>
        <w:bottom w:val="none" w:sz="0" w:space="0" w:color="auto"/>
        <w:right w:val="none" w:sz="0" w:space="0" w:color="auto"/>
      </w:divBdr>
    </w:div>
    <w:div w:id="2053338425">
      <w:bodyDiv w:val="1"/>
      <w:marLeft w:val="0"/>
      <w:marRight w:val="0"/>
      <w:marTop w:val="0"/>
      <w:marBottom w:val="0"/>
      <w:divBdr>
        <w:top w:val="none" w:sz="0" w:space="0" w:color="auto"/>
        <w:left w:val="none" w:sz="0" w:space="0" w:color="auto"/>
        <w:bottom w:val="none" w:sz="0" w:space="0" w:color="auto"/>
        <w:right w:val="none" w:sz="0" w:space="0" w:color="auto"/>
      </w:divBdr>
    </w:div>
    <w:div w:id="2135125703">
      <w:bodyDiv w:val="1"/>
      <w:marLeft w:val="0"/>
      <w:marRight w:val="0"/>
      <w:marTop w:val="0"/>
      <w:marBottom w:val="0"/>
      <w:divBdr>
        <w:top w:val="none" w:sz="0" w:space="0" w:color="auto"/>
        <w:left w:val="none" w:sz="0" w:space="0" w:color="auto"/>
        <w:bottom w:val="none" w:sz="0" w:space="0" w:color="auto"/>
        <w:right w:val="none" w:sz="0" w:space="0" w:color="auto"/>
      </w:divBdr>
    </w:div>
    <w:div w:id="213759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1.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8/08/relationships/commentsExtensible" Target="commentsExtensible.xml" /><Relationship Id="rId5" Type="http://schemas.openxmlformats.org/officeDocument/2006/relationships/webSettings" Target="webSettings.xml" /><Relationship Id="rId15" Type="http://schemas.microsoft.com/office/2011/relationships/people" Target="people.xml" /><Relationship Id="rId10" Type="http://schemas.microsoft.com/office/2016/09/relationships/commentsIds" Target="commentsIds.xml" /><Relationship Id="rId4" Type="http://schemas.openxmlformats.org/officeDocument/2006/relationships/settings" Target="settings.xml" /><Relationship Id="rId9" Type="http://schemas.microsoft.com/office/2011/relationships/commentsExtended" Target="commentsExtended.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61614-03F6-41F1-AB3C-18212B962D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2499</Words>
  <Characters>14500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Tasnim</dc:creator>
  <cp:keywords/>
  <dc:description/>
  <cp:lastModifiedBy>Andreea Apostol</cp:lastModifiedBy>
  <cp:revision>2</cp:revision>
  <dcterms:created xsi:type="dcterms:W3CDTF">2023-03-04T14:35:00Z</dcterms:created>
  <dcterms:modified xsi:type="dcterms:W3CDTF">2023-03-04T14:35:00Z</dcterms:modified>
</cp:coreProperties>
</file>