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90515" w14:textId="2B1CEC73" w:rsidR="00896ECA" w:rsidRDefault="00896ECA" w:rsidP="00301C63">
      <w:pPr>
        <w:jc w:val="center"/>
      </w:pPr>
    </w:p>
    <w:p w14:paraId="4C64CAEC" w14:textId="1228D37C" w:rsidR="00896ECA" w:rsidRDefault="009B2E5F" w:rsidP="00896ECA">
      <w:pPr>
        <w:jc w:val="center"/>
      </w:pPr>
      <w:r w:rsidRPr="00896ECA">
        <w:rPr>
          <w:b/>
          <w:bCs/>
        </w:rPr>
        <w:t>Module:</w:t>
      </w:r>
      <w:r>
        <w:t xml:space="preserve"> </w:t>
      </w:r>
      <w:r w:rsidRPr="00896ECA">
        <w:rPr>
          <w:i/>
          <w:iCs/>
          <w:u w:val="single"/>
        </w:rPr>
        <w:t>Project Management</w:t>
      </w:r>
    </w:p>
    <w:p w14:paraId="5C0FBD14" w14:textId="0723B68F" w:rsidR="00896ECA" w:rsidRDefault="009B2E5F" w:rsidP="0094637F">
      <w:pPr>
        <w:jc w:val="center"/>
        <w:rPr>
          <w:i/>
          <w:iCs/>
          <w:u w:val="single"/>
        </w:rPr>
      </w:pPr>
      <w:r w:rsidRPr="00896ECA">
        <w:rPr>
          <w:b/>
          <w:bCs/>
        </w:rPr>
        <w:t>Module Code:</w:t>
      </w:r>
      <w:r>
        <w:t xml:space="preserve"> </w:t>
      </w:r>
      <w:r w:rsidRPr="00896ECA">
        <w:rPr>
          <w:i/>
          <w:iCs/>
          <w:u w:val="single"/>
        </w:rPr>
        <w:t>LCLM5003</w:t>
      </w:r>
    </w:p>
    <w:p w14:paraId="6C9796CD" w14:textId="747679B1" w:rsidR="00896ECA" w:rsidRDefault="009B2E5F" w:rsidP="00896ECA">
      <w:pPr>
        <w:jc w:val="center"/>
      </w:pPr>
      <w:r w:rsidRPr="005F7001">
        <w:rPr>
          <w:b/>
          <w:bCs/>
          <w:i/>
          <w:iCs/>
        </w:rPr>
        <w:t>Student Name</w:t>
      </w:r>
      <w:r w:rsidRPr="00A154D0">
        <w:rPr>
          <w:i/>
          <w:iCs/>
        </w:rPr>
        <w:t>:</w:t>
      </w:r>
      <w:r w:rsidR="00A154D0">
        <w:t xml:space="preserve"> </w:t>
      </w:r>
      <w:r w:rsidR="00A154D0" w:rsidRPr="00A154D0">
        <w:rPr>
          <w:u w:val="double"/>
        </w:rPr>
        <w:t>Nadia Qamar</w:t>
      </w:r>
    </w:p>
    <w:p w14:paraId="7517C88B" w14:textId="77327D7A" w:rsidR="00114CB8" w:rsidRPr="0094637F" w:rsidRDefault="009B2E5F" w:rsidP="0094637F">
      <w:pPr>
        <w:jc w:val="center"/>
        <w:rPr>
          <w:u w:val="double"/>
        </w:rPr>
      </w:pPr>
      <w:r w:rsidRPr="005F7001">
        <w:rPr>
          <w:b/>
          <w:bCs/>
          <w:i/>
          <w:iCs/>
        </w:rPr>
        <w:t>Student ID:</w:t>
      </w:r>
      <w:r w:rsidR="00A154D0">
        <w:t xml:space="preserve"> </w:t>
      </w:r>
      <w:r w:rsidR="00A154D0" w:rsidRPr="00A154D0">
        <w:rPr>
          <w:u w:val="double"/>
        </w:rPr>
        <w:t>2312083</w:t>
      </w:r>
    </w:p>
    <w:p w14:paraId="6ADB497C" w14:textId="33825998" w:rsidR="00301C63" w:rsidRDefault="009B2E5F" w:rsidP="00301C63">
      <w:pPr>
        <w:spacing w:after="240"/>
        <w:jc w:val="center"/>
        <w:rPr>
          <w:u w:val="single"/>
        </w:rPr>
      </w:pPr>
      <w:r w:rsidRPr="00114CB8">
        <w:rPr>
          <w:b/>
          <w:bCs/>
          <w:i/>
          <w:iCs/>
        </w:rPr>
        <w:t>Assignment Title:</w:t>
      </w:r>
      <w:r w:rsidRPr="00114CB8">
        <w:rPr>
          <w:u w:val="single"/>
        </w:rPr>
        <w:t xml:space="preserve"> A Project Portfolio.</w:t>
      </w:r>
    </w:p>
    <w:p w14:paraId="2AB3F130" w14:textId="77777777" w:rsidR="00301C63" w:rsidRPr="00301C63" w:rsidRDefault="00301C63" w:rsidP="00301C63">
      <w:pPr>
        <w:spacing w:after="240"/>
        <w:jc w:val="center"/>
        <w:rPr>
          <w:u w:val="single"/>
        </w:rPr>
      </w:pPr>
    </w:p>
    <w:p w14:paraId="718114C1" w14:textId="54389787" w:rsidR="00697673" w:rsidRDefault="009B2E5F" w:rsidP="0008164F">
      <w:pPr>
        <w:jc w:val="center"/>
        <w:rPr>
          <w:b/>
          <w:bCs/>
          <w:u w:val="thick"/>
        </w:rPr>
      </w:pPr>
      <w:r w:rsidRPr="0008164F">
        <w:rPr>
          <w:b/>
          <w:bCs/>
          <w:u w:val="thick"/>
        </w:rPr>
        <w:t>SUSTAINABLE REDESIGN OF MANCHESTER CENTRAL TRANSPORT HUB FOR NET-ZERO URBAN MOBILITY AND ECONOMIC RECOVERY</w:t>
      </w:r>
    </w:p>
    <w:p w14:paraId="1A19EEC3" w14:textId="6FE964B6" w:rsidR="00301C63" w:rsidRDefault="00301C63" w:rsidP="0008164F">
      <w:pPr>
        <w:jc w:val="center"/>
        <w:rPr>
          <w:b/>
          <w:bCs/>
          <w:u w:val="thick"/>
        </w:rPr>
      </w:pPr>
    </w:p>
    <w:p w14:paraId="4C14B9C6" w14:textId="687E9898" w:rsidR="00301C63" w:rsidRPr="004A5447" w:rsidRDefault="00301C63" w:rsidP="00301C63">
      <w:pPr>
        <w:jc w:val="center"/>
        <w:rPr>
          <w:b/>
          <w:bCs/>
          <w:color w:val="009ED6"/>
        </w:rPr>
      </w:pPr>
      <w:r w:rsidRPr="00301C63">
        <w:rPr>
          <w:b/>
          <w:bCs/>
          <w:color w:val="002060"/>
        </w:rPr>
        <w:t xml:space="preserve">Part A (Poster) </w:t>
      </w:r>
    </w:p>
    <w:p w14:paraId="5227B78C" w14:textId="749B37C0" w:rsidR="00301C63" w:rsidRPr="004A5447" w:rsidRDefault="00301C63" w:rsidP="00301C63">
      <w:pPr>
        <w:jc w:val="center"/>
        <w:rPr>
          <w:b/>
          <w:bCs/>
          <w:color w:val="009ED6"/>
        </w:rPr>
      </w:pPr>
      <w:r w:rsidRPr="00301C63">
        <w:rPr>
          <w:b/>
          <w:bCs/>
          <w:color w:val="002060"/>
        </w:rPr>
        <w:t xml:space="preserve">Part B (Reflection on Feedback) </w:t>
      </w:r>
    </w:p>
    <w:p w14:paraId="58B94ECC" w14:textId="7079AFB5" w:rsidR="00301C63" w:rsidRDefault="00301C63" w:rsidP="00301C63">
      <w:pPr>
        <w:jc w:val="center"/>
        <w:rPr>
          <w:b/>
          <w:bCs/>
          <w:color w:val="009ED6"/>
        </w:rPr>
      </w:pPr>
      <w:r w:rsidRPr="00301C63">
        <w:rPr>
          <w:b/>
          <w:bCs/>
          <w:color w:val="002060"/>
        </w:rPr>
        <w:t xml:space="preserve">Part C (Project Management Plan) </w:t>
      </w:r>
    </w:p>
    <w:p w14:paraId="67C98AF5" w14:textId="77777777" w:rsidR="00301C63" w:rsidRDefault="00301C63" w:rsidP="0008164F">
      <w:pPr>
        <w:jc w:val="center"/>
        <w:rPr>
          <w:b/>
          <w:bCs/>
          <w:u w:val="thick"/>
        </w:rPr>
      </w:pPr>
    </w:p>
    <w:p w14:paraId="06BAD926" w14:textId="49292C6B" w:rsidR="00697673" w:rsidRDefault="00697673" w:rsidP="00697673"/>
    <w:p w14:paraId="0ADFEF09" w14:textId="25BEAE24" w:rsidR="00405883" w:rsidRPr="000750AD" w:rsidRDefault="009B2E5F" w:rsidP="000750AD">
      <w:pPr>
        <w:spacing w:before="0" w:after="160" w:line="259" w:lineRule="auto"/>
      </w:pPr>
      <w:r>
        <w:br w:type="page"/>
      </w:r>
    </w:p>
    <w:p w14:paraId="553A3C44" w14:textId="6EBD5539" w:rsidR="00697673" w:rsidRDefault="00F56F0E" w:rsidP="00E85084">
      <w:pPr>
        <w:pStyle w:val="Heading1"/>
        <w:jc w:val="center"/>
      </w:pPr>
      <w:r w:rsidRPr="00173941">
        <w:rPr>
          <w:noProof/>
        </w:rPr>
        <w:lastRenderedPageBreak/>
        <w:drawing>
          <wp:anchor distT="0" distB="0" distL="114300" distR="114300" simplePos="0" relativeHeight="251658240" behindDoc="1" locked="0" layoutInCell="1" allowOverlap="1" wp14:anchorId="5E1DAB4E" wp14:editId="4F72FEE5">
            <wp:simplePos x="0" y="0"/>
            <wp:positionH relativeFrom="column">
              <wp:posOffset>-774065</wp:posOffset>
            </wp:positionH>
            <wp:positionV relativeFrom="paragraph">
              <wp:posOffset>506730</wp:posOffset>
            </wp:positionV>
            <wp:extent cx="7480935" cy="5261610"/>
            <wp:effectExtent l="19050" t="19050" r="24765" b="15240"/>
            <wp:wrapTight wrapText="bothSides">
              <wp:wrapPolygon edited="0">
                <wp:start x="-55" y="-78"/>
                <wp:lineTo x="-55" y="21584"/>
                <wp:lineTo x="21617" y="21584"/>
                <wp:lineTo x="21617" y="-78"/>
                <wp:lineTo x="-55" y="-78"/>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480935" cy="526161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009B2E5F" w:rsidRPr="006A32DF">
        <w:t xml:space="preserve">PART </w:t>
      </w:r>
      <w:r w:rsidR="003E0D89">
        <w:t>(</w:t>
      </w:r>
      <w:r w:rsidR="009B2E5F" w:rsidRPr="006A32DF">
        <w:t>A</w:t>
      </w:r>
      <w:r w:rsidR="003E0D89">
        <w:t>)</w:t>
      </w:r>
      <w:r w:rsidR="009B2E5F">
        <w:t xml:space="preserve"> – </w:t>
      </w:r>
      <w:r w:rsidR="009B2E5F" w:rsidRPr="006A32DF">
        <w:t>PROJECT</w:t>
      </w:r>
      <w:r w:rsidR="009B2E5F">
        <w:t xml:space="preserve"> </w:t>
      </w:r>
      <w:r w:rsidR="009B2E5F" w:rsidRPr="006A32DF">
        <w:t xml:space="preserve">PROPOSAL </w:t>
      </w:r>
      <w:r w:rsidR="003E0D89" w:rsidRPr="003E0D89">
        <w:t xml:space="preserve">ACADEMIC </w:t>
      </w:r>
      <w:r w:rsidR="009B2E5F" w:rsidRPr="006A32DF">
        <w:t>POSTER</w:t>
      </w:r>
    </w:p>
    <w:p w14:paraId="0514C4C7" w14:textId="69A15EC3" w:rsidR="00173941" w:rsidRDefault="00173941" w:rsidP="00F56F0E">
      <w:pPr>
        <w:jc w:val="center"/>
      </w:pPr>
    </w:p>
    <w:p w14:paraId="54BBEA80" w14:textId="77777777" w:rsidR="00173941" w:rsidRPr="00173941" w:rsidRDefault="00173941" w:rsidP="00173941"/>
    <w:p w14:paraId="6EECB49C" w14:textId="2A9D3C7F" w:rsidR="005D2B88" w:rsidRDefault="005D2B88">
      <w:pPr>
        <w:spacing w:before="0" w:after="160" w:line="259" w:lineRule="auto"/>
      </w:pPr>
    </w:p>
    <w:p w14:paraId="1A3A1BAF" w14:textId="67597BBB" w:rsidR="00051556" w:rsidRDefault="009B2E5F">
      <w:pPr>
        <w:spacing w:before="0" w:after="160" w:line="259" w:lineRule="auto"/>
      </w:pPr>
      <w:r>
        <w:br w:type="page"/>
      </w:r>
    </w:p>
    <w:sdt>
      <w:sdtPr>
        <w:rPr>
          <w:rFonts w:ascii="Times New Roman" w:eastAsiaTheme="minorHAnsi" w:hAnsi="Times New Roman" w:cs="Times New Roman"/>
          <w:i w:val="0"/>
          <w:color w:val="auto"/>
          <w:sz w:val="24"/>
          <w:szCs w:val="24"/>
        </w:rPr>
        <w:id w:val="2117247389"/>
        <w:docPartObj>
          <w:docPartGallery w:val="Table of Contents"/>
          <w:docPartUnique/>
        </w:docPartObj>
      </w:sdtPr>
      <w:sdtEndPr>
        <w:rPr>
          <w:rFonts w:cstheme="minorBidi"/>
          <w:b/>
          <w:bCs/>
          <w:noProof/>
          <w:szCs w:val="22"/>
        </w:rPr>
      </w:sdtEndPr>
      <w:sdtContent>
        <w:p w14:paraId="2DACE3EE" w14:textId="77777777" w:rsidR="00F56F0E" w:rsidRPr="00375AE1" w:rsidRDefault="00F56F0E" w:rsidP="00F56F0E">
          <w:pPr>
            <w:pStyle w:val="TOCHeading"/>
            <w:spacing w:after="240"/>
            <w:rPr>
              <w:rFonts w:ascii="Times New Roman" w:hAnsi="Times New Roman" w:cs="Times New Roman"/>
              <w:b/>
              <w:bCs/>
              <w:color w:val="auto"/>
              <w:sz w:val="24"/>
              <w:szCs w:val="24"/>
            </w:rPr>
          </w:pPr>
          <w:r w:rsidRPr="00375AE1">
            <w:rPr>
              <w:rFonts w:ascii="Times New Roman" w:hAnsi="Times New Roman" w:cs="Times New Roman"/>
              <w:b/>
              <w:bCs/>
              <w:color w:val="auto"/>
              <w:sz w:val="24"/>
              <w:szCs w:val="24"/>
            </w:rPr>
            <w:t>Table of Contents</w:t>
          </w:r>
        </w:p>
        <w:p w14:paraId="1F80E9AD" w14:textId="1FE17370" w:rsidR="00C653A5" w:rsidRDefault="00C653A5" w:rsidP="00C653A5">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34506848" w:history="1">
            <w:r w:rsidRPr="007D399E">
              <w:rPr>
                <w:rStyle w:val="Hyperlink"/>
                <w:noProof/>
              </w:rPr>
              <w:t>Part B – Reflection on Feedback</w:t>
            </w:r>
            <w:r>
              <w:rPr>
                <w:noProof/>
                <w:webHidden/>
              </w:rPr>
              <w:tab/>
              <w:t>4</w:t>
            </w:r>
          </w:hyperlink>
        </w:p>
        <w:p w14:paraId="2F915D87" w14:textId="20FDDBAD" w:rsidR="00C653A5" w:rsidRDefault="00C653A5" w:rsidP="00C653A5">
          <w:pPr>
            <w:pStyle w:val="TOC2"/>
            <w:tabs>
              <w:tab w:val="left" w:pos="660"/>
              <w:tab w:val="right" w:leader="dot" w:pos="9350"/>
            </w:tabs>
            <w:rPr>
              <w:rFonts w:asciiTheme="minorHAnsi" w:eastAsiaTheme="minorEastAsia" w:hAnsiTheme="minorHAnsi"/>
              <w:noProof/>
              <w:sz w:val="22"/>
              <w:lang w:val="en-US"/>
            </w:rPr>
          </w:pPr>
          <w:hyperlink w:anchor="_Toc234506849" w:history="1">
            <w:r w:rsidRPr="007D399E">
              <w:rPr>
                <w:rStyle w:val="Hyperlink"/>
                <w:rFonts w:ascii="Wingdings" w:hAnsi="Wingdings"/>
                <w:noProof/>
              </w:rPr>
              <w:t></w:t>
            </w:r>
            <w:r>
              <w:rPr>
                <w:rFonts w:asciiTheme="minorHAnsi" w:eastAsiaTheme="minorEastAsia" w:hAnsiTheme="minorHAnsi"/>
                <w:noProof/>
                <w:sz w:val="22"/>
                <w:lang w:val="en-US"/>
              </w:rPr>
              <w:tab/>
            </w:r>
            <w:r w:rsidRPr="007D399E">
              <w:rPr>
                <w:rStyle w:val="Hyperlink"/>
                <w:noProof/>
              </w:rPr>
              <w:t>Identification of Key Strengths</w:t>
            </w:r>
            <w:r>
              <w:rPr>
                <w:noProof/>
                <w:webHidden/>
              </w:rPr>
              <w:tab/>
              <w:t>4</w:t>
            </w:r>
          </w:hyperlink>
        </w:p>
        <w:p w14:paraId="76BDC90D" w14:textId="6C5FA39F" w:rsidR="00C653A5" w:rsidRDefault="00C653A5" w:rsidP="00C653A5">
          <w:pPr>
            <w:pStyle w:val="TOC2"/>
            <w:tabs>
              <w:tab w:val="left" w:pos="660"/>
              <w:tab w:val="right" w:leader="dot" w:pos="9350"/>
            </w:tabs>
            <w:rPr>
              <w:rFonts w:asciiTheme="minorHAnsi" w:eastAsiaTheme="minorEastAsia" w:hAnsiTheme="minorHAnsi"/>
              <w:noProof/>
              <w:sz w:val="22"/>
              <w:lang w:val="en-US"/>
            </w:rPr>
          </w:pPr>
          <w:hyperlink w:anchor="_Toc234506850" w:history="1">
            <w:r w:rsidRPr="007D399E">
              <w:rPr>
                <w:rStyle w:val="Hyperlink"/>
                <w:rFonts w:ascii="Wingdings" w:hAnsi="Wingdings"/>
                <w:noProof/>
              </w:rPr>
              <w:t></w:t>
            </w:r>
            <w:r>
              <w:rPr>
                <w:rFonts w:asciiTheme="minorHAnsi" w:eastAsiaTheme="minorEastAsia" w:hAnsiTheme="minorHAnsi"/>
                <w:noProof/>
                <w:sz w:val="22"/>
                <w:lang w:val="en-US"/>
              </w:rPr>
              <w:tab/>
            </w:r>
            <w:r w:rsidRPr="007D399E">
              <w:rPr>
                <w:rStyle w:val="Hyperlink"/>
                <w:noProof/>
              </w:rPr>
              <w:t>Areas for Improvements</w:t>
            </w:r>
            <w:r>
              <w:rPr>
                <w:noProof/>
                <w:webHidden/>
              </w:rPr>
              <w:tab/>
              <w:t>4</w:t>
            </w:r>
          </w:hyperlink>
        </w:p>
        <w:p w14:paraId="69D6DCB9" w14:textId="3C9AAB57" w:rsidR="00C653A5" w:rsidRDefault="00C653A5" w:rsidP="00C653A5">
          <w:pPr>
            <w:pStyle w:val="TOC2"/>
            <w:tabs>
              <w:tab w:val="left" w:pos="660"/>
              <w:tab w:val="right" w:leader="dot" w:pos="9350"/>
            </w:tabs>
            <w:rPr>
              <w:rFonts w:asciiTheme="minorHAnsi" w:eastAsiaTheme="minorEastAsia" w:hAnsiTheme="minorHAnsi"/>
              <w:noProof/>
              <w:sz w:val="22"/>
              <w:lang w:val="en-US"/>
            </w:rPr>
          </w:pPr>
          <w:hyperlink w:anchor="_Toc234506851" w:history="1">
            <w:r w:rsidRPr="007D399E">
              <w:rPr>
                <w:rStyle w:val="Hyperlink"/>
                <w:rFonts w:ascii="Wingdings" w:hAnsi="Wingdings"/>
                <w:noProof/>
              </w:rPr>
              <w:t></w:t>
            </w:r>
            <w:r>
              <w:rPr>
                <w:rFonts w:asciiTheme="minorHAnsi" w:eastAsiaTheme="minorEastAsia" w:hAnsiTheme="minorHAnsi"/>
                <w:noProof/>
                <w:sz w:val="22"/>
                <w:lang w:val="en-US"/>
              </w:rPr>
              <w:tab/>
            </w:r>
            <w:r w:rsidRPr="007D399E">
              <w:rPr>
                <w:rStyle w:val="Hyperlink"/>
                <w:noProof/>
              </w:rPr>
              <w:t>Feedback Informed Changes to Final Project Management Plan</w:t>
            </w:r>
            <w:r>
              <w:rPr>
                <w:noProof/>
                <w:webHidden/>
              </w:rPr>
              <w:tab/>
              <w:t>5</w:t>
            </w:r>
          </w:hyperlink>
        </w:p>
        <w:p w14:paraId="26A9AB1E" w14:textId="2D9AD417" w:rsidR="00E85084" w:rsidRPr="00C653A5" w:rsidRDefault="00C653A5">
          <w:pPr>
            <w:pStyle w:val="TOC1"/>
            <w:tabs>
              <w:tab w:val="right" w:leader="dot" w:pos="9350"/>
            </w:tabs>
            <w:rPr>
              <w:rFonts w:asciiTheme="minorHAnsi" w:eastAsiaTheme="minorEastAsia" w:hAnsiTheme="minorHAnsi"/>
              <w:noProof/>
              <w:sz w:val="22"/>
              <w:lang w:val="en-US"/>
            </w:rPr>
          </w:pPr>
          <w:r>
            <w:rPr>
              <w:b/>
              <w:bCs/>
              <w:noProof/>
            </w:rPr>
            <w:fldChar w:fldCharType="end"/>
          </w:r>
          <w:r w:rsidR="00F56F0E" w:rsidRPr="00C653A5">
            <w:rPr>
              <w:rFonts w:cs="Times New Roman"/>
              <w:szCs w:val="24"/>
            </w:rPr>
            <w:fldChar w:fldCharType="begin"/>
          </w:r>
          <w:r w:rsidR="00F56F0E" w:rsidRPr="00C653A5">
            <w:rPr>
              <w:rFonts w:cs="Times New Roman"/>
              <w:szCs w:val="24"/>
            </w:rPr>
            <w:instrText xml:space="preserve"> TOC \o "1-3" \h \z \u </w:instrText>
          </w:r>
          <w:r w:rsidR="00F56F0E" w:rsidRPr="00C653A5">
            <w:rPr>
              <w:rFonts w:cs="Times New Roman"/>
              <w:szCs w:val="24"/>
            </w:rPr>
            <w:fldChar w:fldCharType="separate"/>
          </w:r>
          <w:hyperlink w:anchor="_Toc234325418" w:history="1"/>
          <w:hyperlink w:anchor="_Toc234325419" w:history="1">
            <w:r w:rsidR="00E85084" w:rsidRPr="00C653A5">
              <w:rPr>
                <w:rStyle w:val="Hyperlink"/>
                <w:noProof/>
                <w:color w:val="auto"/>
              </w:rPr>
              <w:t>References</w:t>
            </w:r>
            <w:r w:rsidR="00E85084" w:rsidRPr="00C653A5">
              <w:rPr>
                <w:noProof/>
                <w:webHidden/>
              </w:rPr>
              <w:tab/>
            </w:r>
            <w:r w:rsidR="00E85084" w:rsidRPr="00C653A5">
              <w:rPr>
                <w:noProof/>
                <w:webHidden/>
              </w:rPr>
              <w:fldChar w:fldCharType="begin"/>
            </w:r>
            <w:r w:rsidR="00E85084" w:rsidRPr="00C653A5">
              <w:rPr>
                <w:noProof/>
                <w:webHidden/>
              </w:rPr>
              <w:instrText xml:space="preserve"> PAGEREF _Toc234325419 \h </w:instrText>
            </w:r>
            <w:r w:rsidR="00E85084" w:rsidRPr="00C653A5">
              <w:rPr>
                <w:noProof/>
                <w:webHidden/>
              </w:rPr>
            </w:r>
            <w:r w:rsidR="00E85084" w:rsidRPr="00C653A5">
              <w:rPr>
                <w:noProof/>
                <w:webHidden/>
              </w:rPr>
              <w:fldChar w:fldCharType="separate"/>
            </w:r>
            <w:r w:rsidR="00E85084" w:rsidRPr="00C653A5">
              <w:rPr>
                <w:noProof/>
                <w:webHidden/>
              </w:rPr>
              <w:t>17</w:t>
            </w:r>
            <w:r w:rsidR="00E85084" w:rsidRPr="00C653A5">
              <w:rPr>
                <w:noProof/>
                <w:webHidden/>
              </w:rPr>
              <w:fldChar w:fldCharType="end"/>
            </w:r>
          </w:hyperlink>
        </w:p>
        <w:p w14:paraId="0A01612F" w14:textId="561663BB" w:rsidR="00F56F0E" w:rsidRPr="00F56F0E" w:rsidRDefault="00F56F0E" w:rsidP="00F56F0E">
          <w:pPr>
            <w:rPr>
              <w:b/>
              <w:bCs/>
              <w:noProof/>
            </w:rPr>
          </w:pPr>
          <w:r w:rsidRPr="00C653A5">
            <w:rPr>
              <w:rFonts w:cs="Times New Roman"/>
              <w:b/>
              <w:bCs/>
              <w:noProof/>
              <w:szCs w:val="24"/>
            </w:rPr>
            <w:fldChar w:fldCharType="end"/>
          </w:r>
        </w:p>
      </w:sdtContent>
    </w:sdt>
    <w:p w14:paraId="1C208B6E" w14:textId="2791BD6D" w:rsidR="000750AD" w:rsidRDefault="000750AD" w:rsidP="000750AD"/>
    <w:p w14:paraId="1D1CB67F" w14:textId="7191ECF1" w:rsidR="000750AD" w:rsidRDefault="000750AD" w:rsidP="000750AD"/>
    <w:p w14:paraId="063BCC58" w14:textId="3F1B09EF" w:rsidR="000750AD" w:rsidRDefault="000750AD" w:rsidP="000750AD"/>
    <w:p w14:paraId="0B58F7FC" w14:textId="6F2E3012" w:rsidR="000750AD" w:rsidRDefault="000750AD" w:rsidP="000750AD"/>
    <w:p w14:paraId="59F72536" w14:textId="795B806D" w:rsidR="000750AD" w:rsidRDefault="000750AD" w:rsidP="000750AD"/>
    <w:p w14:paraId="465AC072" w14:textId="2295B028" w:rsidR="000750AD" w:rsidRDefault="000750AD" w:rsidP="000750AD"/>
    <w:p w14:paraId="6393A0BB" w14:textId="318A1A99" w:rsidR="000750AD" w:rsidRDefault="000750AD" w:rsidP="000750AD"/>
    <w:p w14:paraId="1A2B324E" w14:textId="0635A232" w:rsidR="000750AD" w:rsidRDefault="000750AD" w:rsidP="000750AD"/>
    <w:p w14:paraId="529C130F" w14:textId="4893F772" w:rsidR="000750AD" w:rsidRDefault="000750AD" w:rsidP="000750AD"/>
    <w:p w14:paraId="6F88B7D0" w14:textId="6B0099E0" w:rsidR="000750AD" w:rsidRDefault="000750AD" w:rsidP="000750AD"/>
    <w:p w14:paraId="111C1532" w14:textId="7D65EB83" w:rsidR="000750AD" w:rsidRDefault="000750AD" w:rsidP="000750AD"/>
    <w:p w14:paraId="4A090450" w14:textId="56F7577D" w:rsidR="000750AD" w:rsidRDefault="000750AD" w:rsidP="000750AD"/>
    <w:p w14:paraId="4E3CC47A" w14:textId="309D4303" w:rsidR="00F44F04" w:rsidRDefault="009B2E5F" w:rsidP="00E85084">
      <w:pPr>
        <w:pStyle w:val="Heading1"/>
        <w:jc w:val="center"/>
      </w:pPr>
      <w:bookmarkStart w:id="0" w:name="_Toc234325418"/>
      <w:bookmarkStart w:id="1" w:name="_Hlk234506689"/>
      <w:r w:rsidRPr="00051556">
        <w:lastRenderedPageBreak/>
        <w:t>Part B – Reflection on Feedback</w:t>
      </w:r>
      <w:bookmarkEnd w:id="0"/>
    </w:p>
    <w:p w14:paraId="27F25129" w14:textId="0CE5A6EC" w:rsidR="00F4038B" w:rsidRDefault="00F4038B" w:rsidP="00F4038B">
      <w:r>
        <w:t xml:space="preserve">My tutor and peers have given me some </w:t>
      </w:r>
      <w:r w:rsidR="00E74D9B">
        <w:t>valuable feedback</w:t>
      </w:r>
      <w:r>
        <w:t xml:space="preserve"> on the strengths of my project proposals and on what I need to do to improve my project management plan. This feedback has helped me to reflect on and assess the quality of my initial work and the structured approach to project management that I would need to adopt to improve the final submission.</w:t>
      </w:r>
    </w:p>
    <w:p w14:paraId="2CD83F60" w14:textId="5ADE1F5F" w:rsidR="002D2352" w:rsidRDefault="002D2352" w:rsidP="00C653A5">
      <w:pPr>
        <w:pStyle w:val="Heading2"/>
      </w:pPr>
      <w:bookmarkStart w:id="2" w:name="_Hlk234506800"/>
      <w:r>
        <w:t>Identification of Key Strengths</w:t>
      </w:r>
    </w:p>
    <w:bookmarkEnd w:id="2"/>
    <w:p w14:paraId="1620610F" w14:textId="2C2D4969" w:rsidR="00F4038B" w:rsidRDefault="00F4038B" w:rsidP="00F4038B">
      <w:r>
        <w:t xml:space="preserve">A key strength identified within the feedback was the clear justification of the sustainable redesign of Manchester Central Transport Hub. I successfully highlighted the interconnectedity of issues of ageing infrastructure, accessibility, congestion, freight </w:t>
      </w:r>
      <w:r w:rsidR="00FB7026">
        <w:t>efficiency,</w:t>
      </w:r>
      <w:r>
        <w:t xml:space="preserve"> and regional economic recovery that the proposed redevelopment tackled rather than stopping at the construction itself. This </w:t>
      </w:r>
      <w:r w:rsidR="00FB7026">
        <w:t>integrated approach</w:t>
      </w:r>
      <w:r>
        <w:t xml:space="preserve"> was the result of the vision of infrastructure planning in the era, which aimed to achieve multiple goals, including environmental, social, and economic purposes, through a single investment (Hadjidemetriou et al., 2022). A further recognised strength was my focus on digital transformation in the field of passenger management, integrated </w:t>
      </w:r>
      <w:r w:rsidR="00FB7026">
        <w:t>ticketing,</w:t>
      </w:r>
      <w:r>
        <w:t xml:space="preserve"> and real-time information systems with AI. In my personal experience, I have seen how real-time updates of the services provided, especially during disruptive events, have helped to mitigate uncertainty and enhance people's trust in the transportation services. This led me to understand the value of smart mobility technologies to operational efficiency and user satisfaction.</w:t>
      </w:r>
    </w:p>
    <w:p w14:paraId="72951FCD" w14:textId="2BF047DB" w:rsidR="002D2352" w:rsidRDefault="002D2352" w:rsidP="00C653A5">
      <w:pPr>
        <w:pStyle w:val="Heading2"/>
      </w:pPr>
      <w:r>
        <w:t xml:space="preserve">Areas for Improvements </w:t>
      </w:r>
    </w:p>
    <w:p w14:paraId="73383F65" w14:textId="5F2BFA33" w:rsidR="00F4038B" w:rsidRDefault="00F4038B" w:rsidP="00F4038B">
      <w:r>
        <w:t xml:space="preserve">The strengths were acknowledged in the feedback, but there are some areas which also need further development. I had suitable goals, but they were not quantifiable and had no quantified time scales. Project management literature consistently states that SMART goals facilitate project monitoring, accountability and project performance measurement since measurable outcomes allow project managers to make objective assessments of project progress (Amin et al., 2023). I also realised that my stakeholder discussion was more about identifying who the key organisations are, rather than assessing their influence, </w:t>
      </w:r>
      <w:r w:rsidR="00FB7026">
        <w:t>interests,</w:t>
      </w:r>
      <w:r>
        <w:t xml:space="preserve"> or communication needs. Likewise, my treatment of project risks was descriptive, where mitigation measures, contingency plans and ownership responsibilities were not fully developed. This feedback got me to think </w:t>
      </w:r>
      <w:r>
        <w:lastRenderedPageBreak/>
        <w:t xml:space="preserve">about effective project management and realise that it is not just about </w:t>
      </w:r>
      <w:r w:rsidR="00E74D9B">
        <w:t>clever ideas</w:t>
      </w:r>
      <w:r>
        <w:t xml:space="preserve">; </w:t>
      </w:r>
      <w:r w:rsidR="00FB7026">
        <w:t>it is</w:t>
      </w:r>
      <w:r>
        <w:t xml:space="preserve"> about planning systems! Even well-designed infrastructure proposals can have implementation challenges without measurable goals, structured </w:t>
      </w:r>
      <w:r w:rsidR="00FB7026">
        <w:t>governance,</w:t>
      </w:r>
      <w:r>
        <w:t xml:space="preserve"> and </w:t>
      </w:r>
      <w:r w:rsidR="00FB7026">
        <w:t>initiative-taking</w:t>
      </w:r>
      <w:r>
        <w:t xml:space="preserve"> risk management.</w:t>
      </w:r>
    </w:p>
    <w:p w14:paraId="1DA10A51" w14:textId="7A0E474B" w:rsidR="002D2352" w:rsidRDefault="002D2352" w:rsidP="00C653A5">
      <w:pPr>
        <w:pStyle w:val="Heading2"/>
      </w:pPr>
      <w:r>
        <w:t xml:space="preserve">Feedback Informed Changes to </w:t>
      </w:r>
      <w:r w:rsidR="00C653A5">
        <w:t xml:space="preserve">Final Project Management Plan </w:t>
      </w:r>
    </w:p>
    <w:p w14:paraId="4B45B578" w14:textId="78EFE42B" w:rsidR="00136B35" w:rsidRDefault="00F4038B" w:rsidP="00F4038B">
      <w:r>
        <w:t xml:space="preserve">The feedback was directly used to make several improvements in my final project plan for project management. First, the objectives will be SMART, with the addition of quantifiable carbon-reduction targets, accessibility indicators, operational reliability </w:t>
      </w:r>
      <w:r w:rsidR="00FB7026">
        <w:t>measures,</w:t>
      </w:r>
      <w:r>
        <w:t xml:space="preserve"> and completion deadlines. Secondly, a detailed stakeholder power and interest matrix and communication plan will establish the engagement approaches for Manchester City Council, Network Rail, Transport for Greater Manchester, contractors, </w:t>
      </w:r>
      <w:r w:rsidR="00FB7026">
        <w:t>businesses,</w:t>
      </w:r>
      <w:r>
        <w:t xml:space="preserve"> and local communities. Third, governance will be improved with a detailed work breakdown structure, Gantt chart, responsibility </w:t>
      </w:r>
      <w:r w:rsidR="00FB7026">
        <w:t>matrix,</w:t>
      </w:r>
      <w:r>
        <w:t xml:space="preserve"> and stage gate reviews. The risk will then be controlled by a probability-impact matrix with named owners, risk mitigation and contingency actions and monitoring mechanisms. Systematic governance and risk management enhance the performance of delivering infrastructure projects, while enhancing academic rigour and implementation</w:t>
      </w:r>
      <w:r w:rsidR="007C78D4" w:rsidRPr="007C78D4">
        <w:t>.</w:t>
      </w:r>
      <w:r>
        <w:t xml:space="preserve"> </w:t>
      </w:r>
    </w:p>
    <w:p w14:paraId="5912E6FD" w14:textId="1809002E" w:rsidR="009A5C1F" w:rsidRDefault="009A5C1F" w:rsidP="00F4038B">
      <w:r>
        <w:t>Additionally</w:t>
      </w:r>
      <w:r w:rsidRPr="009A5C1F">
        <w:t xml:space="preserve">, this feedback has had a major impact on my personal learning and future attitude toward project management. I have identified to being innovative in my solutions, </w:t>
      </w:r>
      <w:r>
        <w:t xml:space="preserve">that </w:t>
      </w:r>
      <w:r w:rsidRPr="009A5C1F">
        <w:t xml:space="preserve">I need to be capable of applying structured governance and evidence-based decision-making and measurable planning across the project life cycle to ensure that projects are delivered successfully. For future projects I will regularly be creating SMART objectives, stakeholder engagement plans, detailed risk </w:t>
      </w:r>
      <w:r w:rsidR="00FB7026" w:rsidRPr="009A5C1F">
        <w:t>registers,</w:t>
      </w:r>
      <w:r w:rsidRPr="009A5C1F">
        <w:t xml:space="preserve"> and governance framework from the beginning. This is a reflective experience that has further reinforced my confidence with using the tool of professional Project Management in complex infrastructure and sustainability projects</w:t>
      </w:r>
      <w:r>
        <w:t>.</w:t>
      </w:r>
    </w:p>
    <w:bookmarkEnd w:id="1"/>
    <w:p w14:paraId="67A3EC6B" w14:textId="16B1C0E1" w:rsidR="00FA40FD" w:rsidRDefault="00FA40FD" w:rsidP="00EE2309"/>
    <w:p w14:paraId="3C4142D1" w14:textId="2EAD25EB" w:rsidR="00FA40FD" w:rsidRDefault="00FA40FD" w:rsidP="00EE2309"/>
    <w:p w14:paraId="4394619E" w14:textId="2E71BB8C" w:rsidR="00FA40FD" w:rsidRDefault="00FA40FD" w:rsidP="00EE2309"/>
    <w:p w14:paraId="5C34B8D5" w14:textId="6DA3AE73" w:rsidR="00FA40FD" w:rsidRDefault="00FA40FD" w:rsidP="00EE2309"/>
    <w:sdt>
      <w:sdtPr>
        <w:rPr>
          <w:rFonts w:ascii="Times New Roman" w:eastAsiaTheme="minorHAnsi" w:hAnsi="Times New Roman" w:cs="Times New Roman"/>
          <w:i w:val="0"/>
          <w:color w:val="auto"/>
          <w:sz w:val="24"/>
          <w:szCs w:val="24"/>
        </w:rPr>
        <w:id w:val="-1418165887"/>
        <w:docPartObj>
          <w:docPartGallery w:val="Table of Contents"/>
          <w:docPartUnique/>
        </w:docPartObj>
      </w:sdtPr>
      <w:sdtEndPr>
        <w:rPr>
          <w:rFonts w:cstheme="minorBidi"/>
          <w:b/>
          <w:bCs/>
          <w:noProof/>
          <w:szCs w:val="22"/>
        </w:rPr>
      </w:sdtEndPr>
      <w:sdtContent>
        <w:p w14:paraId="405566C8" w14:textId="77777777" w:rsidR="000750AD" w:rsidRPr="004150CB" w:rsidRDefault="000750AD" w:rsidP="000750AD">
          <w:pPr>
            <w:pStyle w:val="TOCHeading"/>
            <w:spacing w:after="240"/>
            <w:rPr>
              <w:rFonts w:ascii="Times New Roman" w:hAnsi="Times New Roman" w:cs="Times New Roman"/>
              <w:b/>
              <w:bCs/>
              <w:color w:val="auto"/>
              <w:sz w:val="24"/>
              <w:szCs w:val="24"/>
            </w:rPr>
          </w:pPr>
          <w:r w:rsidRPr="004150CB">
            <w:rPr>
              <w:rFonts w:ascii="Times New Roman" w:hAnsi="Times New Roman" w:cs="Times New Roman"/>
              <w:b/>
              <w:bCs/>
              <w:color w:val="auto"/>
              <w:sz w:val="24"/>
              <w:szCs w:val="24"/>
            </w:rPr>
            <w:t>Table of Contents</w:t>
          </w:r>
        </w:p>
        <w:p w14:paraId="2BD59E4E" w14:textId="1B902512" w:rsidR="00E85084" w:rsidRDefault="000750AD">
          <w:pPr>
            <w:pStyle w:val="TOC1"/>
            <w:tabs>
              <w:tab w:val="right" w:leader="dot" w:pos="9350"/>
            </w:tabs>
            <w:rPr>
              <w:rFonts w:asciiTheme="minorHAnsi" w:eastAsiaTheme="minorEastAsia" w:hAnsiTheme="minorHAnsi"/>
              <w:noProof/>
              <w:sz w:val="22"/>
              <w:lang w:val="en-US"/>
            </w:rPr>
          </w:pPr>
          <w:r w:rsidRPr="00B0623C">
            <w:rPr>
              <w:rFonts w:cs="Times New Roman"/>
              <w:szCs w:val="24"/>
            </w:rPr>
            <w:fldChar w:fldCharType="begin"/>
          </w:r>
          <w:r w:rsidRPr="00B0623C">
            <w:rPr>
              <w:rFonts w:cs="Times New Roman"/>
              <w:szCs w:val="24"/>
            </w:rPr>
            <w:instrText xml:space="preserve"> TOC \o "1-3" \h \z \u </w:instrText>
          </w:r>
          <w:r w:rsidRPr="00B0623C">
            <w:rPr>
              <w:rFonts w:cs="Times New Roman"/>
              <w:szCs w:val="24"/>
            </w:rPr>
            <w:fldChar w:fldCharType="separate"/>
          </w:r>
          <w:hyperlink w:anchor="_Toc234325523" w:history="1">
            <w:r w:rsidR="00E85084" w:rsidRPr="00307BF0">
              <w:rPr>
                <w:rStyle w:val="Hyperlink"/>
                <w:noProof/>
              </w:rPr>
              <w:t>Part C  – Project Management Plan</w:t>
            </w:r>
            <w:r w:rsidR="00E85084">
              <w:rPr>
                <w:noProof/>
                <w:webHidden/>
              </w:rPr>
              <w:tab/>
            </w:r>
            <w:r w:rsidR="00E85084">
              <w:rPr>
                <w:noProof/>
                <w:webHidden/>
              </w:rPr>
              <w:fldChar w:fldCharType="begin"/>
            </w:r>
            <w:r w:rsidR="00E85084">
              <w:rPr>
                <w:noProof/>
                <w:webHidden/>
              </w:rPr>
              <w:instrText xml:space="preserve"> PAGEREF _Toc234325523 \h </w:instrText>
            </w:r>
            <w:r w:rsidR="00E85084">
              <w:rPr>
                <w:noProof/>
                <w:webHidden/>
              </w:rPr>
            </w:r>
            <w:r w:rsidR="00E85084">
              <w:rPr>
                <w:noProof/>
                <w:webHidden/>
              </w:rPr>
              <w:fldChar w:fldCharType="separate"/>
            </w:r>
            <w:r w:rsidR="00E85084">
              <w:rPr>
                <w:noProof/>
                <w:webHidden/>
              </w:rPr>
              <w:t>7</w:t>
            </w:r>
            <w:r w:rsidR="00E85084">
              <w:rPr>
                <w:noProof/>
                <w:webHidden/>
              </w:rPr>
              <w:fldChar w:fldCharType="end"/>
            </w:r>
          </w:hyperlink>
        </w:p>
        <w:p w14:paraId="3D26D580" w14:textId="34F7D76B" w:rsidR="00E85084" w:rsidRDefault="00E85084">
          <w:pPr>
            <w:pStyle w:val="TOC2"/>
            <w:tabs>
              <w:tab w:val="left" w:pos="660"/>
              <w:tab w:val="right" w:leader="dot" w:pos="9350"/>
            </w:tabs>
            <w:rPr>
              <w:rFonts w:asciiTheme="minorHAnsi" w:eastAsiaTheme="minorEastAsia" w:hAnsiTheme="minorHAnsi"/>
              <w:noProof/>
              <w:sz w:val="22"/>
              <w:lang w:val="en-US"/>
            </w:rPr>
          </w:pPr>
          <w:hyperlink w:anchor="_Toc234325524" w:history="1">
            <w:r w:rsidRPr="00307BF0">
              <w:rPr>
                <w:rStyle w:val="Hyperlink"/>
                <w:rFonts w:ascii="Wingdings" w:hAnsi="Wingdings"/>
                <w:noProof/>
              </w:rPr>
              <w:t></w:t>
            </w:r>
            <w:r>
              <w:rPr>
                <w:rFonts w:asciiTheme="minorHAnsi" w:eastAsiaTheme="minorEastAsia" w:hAnsiTheme="minorHAnsi"/>
                <w:noProof/>
                <w:sz w:val="22"/>
                <w:lang w:val="en-US"/>
              </w:rPr>
              <w:tab/>
            </w:r>
            <w:r w:rsidRPr="00307BF0">
              <w:rPr>
                <w:rStyle w:val="Hyperlink"/>
                <w:noProof/>
              </w:rPr>
              <w:t>Introduction</w:t>
            </w:r>
            <w:r>
              <w:rPr>
                <w:noProof/>
                <w:webHidden/>
              </w:rPr>
              <w:tab/>
            </w:r>
            <w:r>
              <w:rPr>
                <w:noProof/>
                <w:webHidden/>
              </w:rPr>
              <w:fldChar w:fldCharType="begin"/>
            </w:r>
            <w:r>
              <w:rPr>
                <w:noProof/>
                <w:webHidden/>
              </w:rPr>
              <w:instrText xml:space="preserve"> PAGEREF _Toc234325524 \h </w:instrText>
            </w:r>
            <w:r>
              <w:rPr>
                <w:noProof/>
                <w:webHidden/>
              </w:rPr>
            </w:r>
            <w:r>
              <w:rPr>
                <w:noProof/>
                <w:webHidden/>
              </w:rPr>
              <w:fldChar w:fldCharType="separate"/>
            </w:r>
            <w:r>
              <w:rPr>
                <w:noProof/>
                <w:webHidden/>
              </w:rPr>
              <w:t>7</w:t>
            </w:r>
            <w:r>
              <w:rPr>
                <w:noProof/>
                <w:webHidden/>
              </w:rPr>
              <w:fldChar w:fldCharType="end"/>
            </w:r>
          </w:hyperlink>
        </w:p>
        <w:p w14:paraId="15D96E10" w14:textId="1E1BFE4E" w:rsidR="00E85084" w:rsidRDefault="00E85084">
          <w:pPr>
            <w:pStyle w:val="TOC2"/>
            <w:tabs>
              <w:tab w:val="left" w:pos="660"/>
              <w:tab w:val="right" w:leader="dot" w:pos="9350"/>
            </w:tabs>
            <w:rPr>
              <w:rFonts w:asciiTheme="minorHAnsi" w:eastAsiaTheme="minorEastAsia" w:hAnsiTheme="minorHAnsi"/>
              <w:noProof/>
              <w:sz w:val="22"/>
              <w:lang w:val="en-US"/>
            </w:rPr>
          </w:pPr>
          <w:hyperlink w:anchor="_Toc234325525" w:history="1">
            <w:r w:rsidRPr="00307BF0">
              <w:rPr>
                <w:rStyle w:val="Hyperlink"/>
                <w:rFonts w:ascii="Wingdings" w:hAnsi="Wingdings"/>
                <w:noProof/>
              </w:rPr>
              <w:t></w:t>
            </w:r>
            <w:r>
              <w:rPr>
                <w:rFonts w:asciiTheme="minorHAnsi" w:eastAsiaTheme="minorEastAsia" w:hAnsiTheme="minorHAnsi"/>
                <w:noProof/>
                <w:sz w:val="22"/>
                <w:lang w:val="en-US"/>
              </w:rPr>
              <w:tab/>
            </w:r>
            <w:r w:rsidRPr="00307BF0">
              <w:rPr>
                <w:rStyle w:val="Hyperlink"/>
                <w:noProof/>
              </w:rPr>
              <w:t>Project Description</w:t>
            </w:r>
            <w:r>
              <w:rPr>
                <w:noProof/>
                <w:webHidden/>
              </w:rPr>
              <w:tab/>
            </w:r>
            <w:r>
              <w:rPr>
                <w:noProof/>
                <w:webHidden/>
              </w:rPr>
              <w:fldChar w:fldCharType="begin"/>
            </w:r>
            <w:r>
              <w:rPr>
                <w:noProof/>
                <w:webHidden/>
              </w:rPr>
              <w:instrText xml:space="preserve"> PAGEREF _Toc234325525 \h </w:instrText>
            </w:r>
            <w:r>
              <w:rPr>
                <w:noProof/>
                <w:webHidden/>
              </w:rPr>
            </w:r>
            <w:r>
              <w:rPr>
                <w:noProof/>
                <w:webHidden/>
              </w:rPr>
              <w:fldChar w:fldCharType="separate"/>
            </w:r>
            <w:r>
              <w:rPr>
                <w:noProof/>
                <w:webHidden/>
              </w:rPr>
              <w:t>7</w:t>
            </w:r>
            <w:r>
              <w:rPr>
                <w:noProof/>
                <w:webHidden/>
              </w:rPr>
              <w:fldChar w:fldCharType="end"/>
            </w:r>
          </w:hyperlink>
        </w:p>
        <w:p w14:paraId="51601821" w14:textId="7066E6CD" w:rsidR="00E85084" w:rsidRDefault="00E85084">
          <w:pPr>
            <w:pStyle w:val="TOC2"/>
            <w:tabs>
              <w:tab w:val="left" w:pos="660"/>
              <w:tab w:val="right" w:leader="dot" w:pos="9350"/>
            </w:tabs>
            <w:rPr>
              <w:rFonts w:asciiTheme="minorHAnsi" w:eastAsiaTheme="minorEastAsia" w:hAnsiTheme="minorHAnsi"/>
              <w:noProof/>
              <w:sz w:val="22"/>
              <w:lang w:val="en-US"/>
            </w:rPr>
          </w:pPr>
          <w:hyperlink w:anchor="_Toc234325526" w:history="1">
            <w:r w:rsidRPr="00307BF0">
              <w:rPr>
                <w:rStyle w:val="Hyperlink"/>
                <w:rFonts w:ascii="Wingdings" w:hAnsi="Wingdings"/>
                <w:noProof/>
              </w:rPr>
              <w:t></w:t>
            </w:r>
            <w:r>
              <w:rPr>
                <w:rFonts w:asciiTheme="minorHAnsi" w:eastAsiaTheme="minorEastAsia" w:hAnsiTheme="minorHAnsi"/>
                <w:noProof/>
                <w:sz w:val="22"/>
                <w:lang w:val="en-US"/>
              </w:rPr>
              <w:tab/>
            </w:r>
            <w:r w:rsidRPr="00307BF0">
              <w:rPr>
                <w:rStyle w:val="Hyperlink"/>
                <w:noProof/>
              </w:rPr>
              <w:t>Scope</w:t>
            </w:r>
            <w:r>
              <w:rPr>
                <w:noProof/>
                <w:webHidden/>
              </w:rPr>
              <w:tab/>
            </w:r>
            <w:r>
              <w:rPr>
                <w:noProof/>
                <w:webHidden/>
              </w:rPr>
              <w:fldChar w:fldCharType="begin"/>
            </w:r>
            <w:r>
              <w:rPr>
                <w:noProof/>
                <w:webHidden/>
              </w:rPr>
              <w:instrText xml:space="preserve"> PAGEREF _Toc234325526 \h </w:instrText>
            </w:r>
            <w:r>
              <w:rPr>
                <w:noProof/>
                <w:webHidden/>
              </w:rPr>
            </w:r>
            <w:r>
              <w:rPr>
                <w:noProof/>
                <w:webHidden/>
              </w:rPr>
              <w:fldChar w:fldCharType="separate"/>
            </w:r>
            <w:r>
              <w:rPr>
                <w:noProof/>
                <w:webHidden/>
              </w:rPr>
              <w:t>8</w:t>
            </w:r>
            <w:r>
              <w:rPr>
                <w:noProof/>
                <w:webHidden/>
              </w:rPr>
              <w:fldChar w:fldCharType="end"/>
            </w:r>
          </w:hyperlink>
        </w:p>
        <w:p w14:paraId="6E8A8C4B" w14:textId="4D54FD97" w:rsidR="00E85084" w:rsidRDefault="00E85084">
          <w:pPr>
            <w:pStyle w:val="TOC2"/>
            <w:tabs>
              <w:tab w:val="left" w:pos="660"/>
              <w:tab w:val="right" w:leader="dot" w:pos="9350"/>
            </w:tabs>
            <w:rPr>
              <w:rFonts w:asciiTheme="minorHAnsi" w:eastAsiaTheme="minorEastAsia" w:hAnsiTheme="minorHAnsi"/>
              <w:noProof/>
              <w:sz w:val="22"/>
              <w:lang w:val="en-US"/>
            </w:rPr>
          </w:pPr>
          <w:hyperlink w:anchor="_Toc234325527" w:history="1">
            <w:r w:rsidRPr="00307BF0">
              <w:rPr>
                <w:rStyle w:val="Hyperlink"/>
                <w:rFonts w:ascii="Wingdings" w:hAnsi="Wingdings"/>
                <w:noProof/>
                <w:lang w:val="en-US"/>
              </w:rPr>
              <w:t></w:t>
            </w:r>
            <w:r>
              <w:rPr>
                <w:rFonts w:asciiTheme="minorHAnsi" w:eastAsiaTheme="minorEastAsia" w:hAnsiTheme="minorHAnsi"/>
                <w:noProof/>
                <w:sz w:val="22"/>
                <w:lang w:val="en-US"/>
              </w:rPr>
              <w:tab/>
            </w:r>
            <w:r w:rsidRPr="00307BF0">
              <w:rPr>
                <w:rStyle w:val="Hyperlink"/>
                <w:noProof/>
                <w:lang w:val="en-US"/>
              </w:rPr>
              <w:t>Work Breakdown Structure (WBS)</w:t>
            </w:r>
            <w:r>
              <w:rPr>
                <w:noProof/>
                <w:webHidden/>
              </w:rPr>
              <w:tab/>
            </w:r>
            <w:r>
              <w:rPr>
                <w:noProof/>
                <w:webHidden/>
              </w:rPr>
              <w:fldChar w:fldCharType="begin"/>
            </w:r>
            <w:r>
              <w:rPr>
                <w:noProof/>
                <w:webHidden/>
              </w:rPr>
              <w:instrText xml:space="preserve"> PAGEREF _Toc234325527 \h </w:instrText>
            </w:r>
            <w:r>
              <w:rPr>
                <w:noProof/>
                <w:webHidden/>
              </w:rPr>
            </w:r>
            <w:r>
              <w:rPr>
                <w:noProof/>
                <w:webHidden/>
              </w:rPr>
              <w:fldChar w:fldCharType="separate"/>
            </w:r>
            <w:r>
              <w:rPr>
                <w:noProof/>
                <w:webHidden/>
              </w:rPr>
              <w:t>9</w:t>
            </w:r>
            <w:r>
              <w:rPr>
                <w:noProof/>
                <w:webHidden/>
              </w:rPr>
              <w:fldChar w:fldCharType="end"/>
            </w:r>
          </w:hyperlink>
        </w:p>
        <w:p w14:paraId="5434FF13" w14:textId="4E214496" w:rsidR="00E85084" w:rsidRDefault="00E85084">
          <w:pPr>
            <w:pStyle w:val="TOC2"/>
            <w:tabs>
              <w:tab w:val="left" w:pos="660"/>
              <w:tab w:val="right" w:leader="dot" w:pos="9350"/>
            </w:tabs>
            <w:rPr>
              <w:rFonts w:asciiTheme="minorHAnsi" w:eastAsiaTheme="minorEastAsia" w:hAnsiTheme="minorHAnsi"/>
              <w:noProof/>
              <w:sz w:val="22"/>
              <w:lang w:val="en-US"/>
            </w:rPr>
          </w:pPr>
          <w:hyperlink w:anchor="_Toc234325528" w:history="1">
            <w:r w:rsidRPr="00307BF0">
              <w:rPr>
                <w:rStyle w:val="Hyperlink"/>
                <w:rFonts w:ascii="Wingdings" w:hAnsi="Wingdings"/>
                <w:noProof/>
              </w:rPr>
              <w:t></w:t>
            </w:r>
            <w:r>
              <w:rPr>
                <w:rFonts w:asciiTheme="minorHAnsi" w:eastAsiaTheme="minorEastAsia" w:hAnsiTheme="minorHAnsi"/>
                <w:noProof/>
                <w:sz w:val="22"/>
                <w:lang w:val="en-US"/>
              </w:rPr>
              <w:tab/>
            </w:r>
            <w:r w:rsidRPr="00307BF0">
              <w:rPr>
                <w:rStyle w:val="Hyperlink"/>
                <w:noProof/>
              </w:rPr>
              <w:t>The Quad Chart</w:t>
            </w:r>
            <w:r>
              <w:rPr>
                <w:noProof/>
                <w:webHidden/>
              </w:rPr>
              <w:tab/>
            </w:r>
            <w:r>
              <w:rPr>
                <w:noProof/>
                <w:webHidden/>
              </w:rPr>
              <w:fldChar w:fldCharType="begin"/>
            </w:r>
            <w:r>
              <w:rPr>
                <w:noProof/>
                <w:webHidden/>
              </w:rPr>
              <w:instrText xml:space="preserve"> PAGEREF _Toc234325528 \h </w:instrText>
            </w:r>
            <w:r>
              <w:rPr>
                <w:noProof/>
                <w:webHidden/>
              </w:rPr>
            </w:r>
            <w:r>
              <w:rPr>
                <w:noProof/>
                <w:webHidden/>
              </w:rPr>
              <w:fldChar w:fldCharType="separate"/>
            </w:r>
            <w:r>
              <w:rPr>
                <w:noProof/>
                <w:webHidden/>
              </w:rPr>
              <w:t>11</w:t>
            </w:r>
            <w:r>
              <w:rPr>
                <w:noProof/>
                <w:webHidden/>
              </w:rPr>
              <w:fldChar w:fldCharType="end"/>
            </w:r>
          </w:hyperlink>
        </w:p>
        <w:p w14:paraId="102A500D" w14:textId="4BAEC226" w:rsidR="00E85084" w:rsidRDefault="00E85084">
          <w:pPr>
            <w:pStyle w:val="TOC2"/>
            <w:tabs>
              <w:tab w:val="left" w:pos="660"/>
              <w:tab w:val="right" w:leader="dot" w:pos="9350"/>
            </w:tabs>
            <w:rPr>
              <w:rFonts w:asciiTheme="minorHAnsi" w:eastAsiaTheme="minorEastAsia" w:hAnsiTheme="minorHAnsi"/>
              <w:noProof/>
              <w:sz w:val="22"/>
              <w:lang w:val="en-US"/>
            </w:rPr>
          </w:pPr>
          <w:hyperlink w:anchor="_Toc234325529" w:history="1">
            <w:r w:rsidRPr="00307BF0">
              <w:rPr>
                <w:rStyle w:val="Hyperlink"/>
                <w:rFonts w:ascii="Wingdings" w:hAnsi="Wingdings"/>
                <w:noProof/>
              </w:rPr>
              <w:t></w:t>
            </w:r>
            <w:r>
              <w:rPr>
                <w:rFonts w:asciiTheme="minorHAnsi" w:eastAsiaTheme="minorEastAsia" w:hAnsiTheme="minorHAnsi"/>
                <w:noProof/>
                <w:sz w:val="22"/>
                <w:lang w:val="en-US"/>
              </w:rPr>
              <w:tab/>
            </w:r>
            <w:r w:rsidRPr="00307BF0">
              <w:rPr>
                <w:rStyle w:val="Hyperlink"/>
                <w:noProof/>
              </w:rPr>
              <w:t>Gantt Chart</w:t>
            </w:r>
            <w:r>
              <w:rPr>
                <w:noProof/>
                <w:webHidden/>
              </w:rPr>
              <w:tab/>
            </w:r>
            <w:r>
              <w:rPr>
                <w:noProof/>
                <w:webHidden/>
              </w:rPr>
              <w:fldChar w:fldCharType="begin"/>
            </w:r>
            <w:r>
              <w:rPr>
                <w:noProof/>
                <w:webHidden/>
              </w:rPr>
              <w:instrText xml:space="preserve"> PAGEREF _Toc234325529 \h </w:instrText>
            </w:r>
            <w:r>
              <w:rPr>
                <w:noProof/>
                <w:webHidden/>
              </w:rPr>
            </w:r>
            <w:r>
              <w:rPr>
                <w:noProof/>
                <w:webHidden/>
              </w:rPr>
              <w:fldChar w:fldCharType="separate"/>
            </w:r>
            <w:r>
              <w:rPr>
                <w:noProof/>
                <w:webHidden/>
              </w:rPr>
              <w:t>12</w:t>
            </w:r>
            <w:r>
              <w:rPr>
                <w:noProof/>
                <w:webHidden/>
              </w:rPr>
              <w:fldChar w:fldCharType="end"/>
            </w:r>
          </w:hyperlink>
        </w:p>
        <w:p w14:paraId="424DB586" w14:textId="5D4F2915" w:rsidR="00E85084" w:rsidRDefault="00E85084">
          <w:pPr>
            <w:pStyle w:val="TOC2"/>
            <w:tabs>
              <w:tab w:val="left" w:pos="660"/>
              <w:tab w:val="right" w:leader="dot" w:pos="9350"/>
            </w:tabs>
            <w:rPr>
              <w:rFonts w:asciiTheme="minorHAnsi" w:eastAsiaTheme="minorEastAsia" w:hAnsiTheme="minorHAnsi"/>
              <w:noProof/>
              <w:sz w:val="22"/>
              <w:lang w:val="en-US"/>
            </w:rPr>
          </w:pPr>
          <w:hyperlink w:anchor="_Toc234325530" w:history="1">
            <w:r w:rsidRPr="00307BF0">
              <w:rPr>
                <w:rStyle w:val="Hyperlink"/>
                <w:rFonts w:ascii="Wingdings" w:hAnsi="Wingdings"/>
                <w:noProof/>
              </w:rPr>
              <w:t></w:t>
            </w:r>
            <w:r>
              <w:rPr>
                <w:rFonts w:asciiTheme="minorHAnsi" w:eastAsiaTheme="minorEastAsia" w:hAnsiTheme="minorHAnsi"/>
                <w:noProof/>
                <w:sz w:val="22"/>
                <w:lang w:val="en-US"/>
              </w:rPr>
              <w:tab/>
            </w:r>
            <w:r w:rsidRPr="00307BF0">
              <w:rPr>
                <w:rStyle w:val="Hyperlink"/>
                <w:noProof/>
              </w:rPr>
              <w:t>Stakeholders’ Involvement</w:t>
            </w:r>
            <w:r>
              <w:rPr>
                <w:noProof/>
                <w:webHidden/>
              </w:rPr>
              <w:tab/>
            </w:r>
            <w:r>
              <w:rPr>
                <w:noProof/>
                <w:webHidden/>
              </w:rPr>
              <w:fldChar w:fldCharType="begin"/>
            </w:r>
            <w:r>
              <w:rPr>
                <w:noProof/>
                <w:webHidden/>
              </w:rPr>
              <w:instrText xml:space="preserve"> PAGEREF _Toc234325530 \h </w:instrText>
            </w:r>
            <w:r>
              <w:rPr>
                <w:noProof/>
                <w:webHidden/>
              </w:rPr>
            </w:r>
            <w:r>
              <w:rPr>
                <w:noProof/>
                <w:webHidden/>
              </w:rPr>
              <w:fldChar w:fldCharType="separate"/>
            </w:r>
            <w:r>
              <w:rPr>
                <w:noProof/>
                <w:webHidden/>
              </w:rPr>
              <w:t>13</w:t>
            </w:r>
            <w:r>
              <w:rPr>
                <w:noProof/>
                <w:webHidden/>
              </w:rPr>
              <w:fldChar w:fldCharType="end"/>
            </w:r>
          </w:hyperlink>
        </w:p>
        <w:p w14:paraId="3A39B55D" w14:textId="14CA428C" w:rsidR="00E85084" w:rsidRDefault="00E85084">
          <w:pPr>
            <w:pStyle w:val="TOC2"/>
            <w:tabs>
              <w:tab w:val="left" w:pos="660"/>
              <w:tab w:val="right" w:leader="dot" w:pos="9350"/>
            </w:tabs>
            <w:rPr>
              <w:rFonts w:asciiTheme="minorHAnsi" w:eastAsiaTheme="minorEastAsia" w:hAnsiTheme="minorHAnsi"/>
              <w:noProof/>
              <w:sz w:val="22"/>
              <w:lang w:val="en-US"/>
            </w:rPr>
          </w:pPr>
          <w:hyperlink w:anchor="_Toc234325531" w:history="1">
            <w:r w:rsidRPr="00307BF0">
              <w:rPr>
                <w:rStyle w:val="Hyperlink"/>
                <w:rFonts w:ascii="Wingdings" w:hAnsi="Wingdings"/>
                <w:noProof/>
              </w:rPr>
              <w:t></w:t>
            </w:r>
            <w:r>
              <w:rPr>
                <w:rFonts w:asciiTheme="minorHAnsi" w:eastAsiaTheme="minorEastAsia" w:hAnsiTheme="minorHAnsi"/>
                <w:noProof/>
                <w:sz w:val="22"/>
                <w:lang w:val="en-US"/>
              </w:rPr>
              <w:tab/>
            </w:r>
            <w:r w:rsidRPr="00307BF0">
              <w:rPr>
                <w:rStyle w:val="Hyperlink"/>
                <w:noProof/>
              </w:rPr>
              <w:t>Allocation of Resources</w:t>
            </w:r>
            <w:r>
              <w:rPr>
                <w:noProof/>
                <w:webHidden/>
              </w:rPr>
              <w:tab/>
            </w:r>
            <w:r>
              <w:rPr>
                <w:noProof/>
                <w:webHidden/>
              </w:rPr>
              <w:fldChar w:fldCharType="begin"/>
            </w:r>
            <w:r>
              <w:rPr>
                <w:noProof/>
                <w:webHidden/>
              </w:rPr>
              <w:instrText xml:space="preserve"> PAGEREF _Toc234325531 \h </w:instrText>
            </w:r>
            <w:r>
              <w:rPr>
                <w:noProof/>
                <w:webHidden/>
              </w:rPr>
            </w:r>
            <w:r>
              <w:rPr>
                <w:noProof/>
                <w:webHidden/>
              </w:rPr>
              <w:fldChar w:fldCharType="separate"/>
            </w:r>
            <w:r>
              <w:rPr>
                <w:noProof/>
                <w:webHidden/>
              </w:rPr>
              <w:t>14</w:t>
            </w:r>
            <w:r>
              <w:rPr>
                <w:noProof/>
                <w:webHidden/>
              </w:rPr>
              <w:fldChar w:fldCharType="end"/>
            </w:r>
          </w:hyperlink>
        </w:p>
        <w:p w14:paraId="52EF88E6" w14:textId="17111D96" w:rsidR="00E85084" w:rsidRDefault="00E85084">
          <w:pPr>
            <w:pStyle w:val="TOC2"/>
            <w:tabs>
              <w:tab w:val="left" w:pos="660"/>
              <w:tab w:val="right" w:leader="dot" w:pos="9350"/>
            </w:tabs>
            <w:rPr>
              <w:rFonts w:asciiTheme="minorHAnsi" w:eastAsiaTheme="minorEastAsia" w:hAnsiTheme="minorHAnsi"/>
              <w:noProof/>
              <w:sz w:val="22"/>
              <w:lang w:val="en-US"/>
            </w:rPr>
          </w:pPr>
          <w:hyperlink w:anchor="_Toc234325532" w:history="1">
            <w:r w:rsidRPr="00307BF0">
              <w:rPr>
                <w:rStyle w:val="Hyperlink"/>
                <w:rFonts w:ascii="Wingdings" w:hAnsi="Wingdings"/>
                <w:noProof/>
              </w:rPr>
              <w:t></w:t>
            </w:r>
            <w:r>
              <w:rPr>
                <w:rFonts w:asciiTheme="minorHAnsi" w:eastAsiaTheme="minorEastAsia" w:hAnsiTheme="minorHAnsi"/>
                <w:noProof/>
                <w:sz w:val="22"/>
                <w:lang w:val="en-US"/>
              </w:rPr>
              <w:tab/>
            </w:r>
            <w:r w:rsidRPr="00307BF0">
              <w:rPr>
                <w:rStyle w:val="Hyperlink"/>
                <w:noProof/>
              </w:rPr>
              <w:t>Risk Analysis</w:t>
            </w:r>
            <w:r>
              <w:rPr>
                <w:noProof/>
                <w:webHidden/>
              </w:rPr>
              <w:tab/>
            </w:r>
            <w:r>
              <w:rPr>
                <w:noProof/>
                <w:webHidden/>
              </w:rPr>
              <w:fldChar w:fldCharType="begin"/>
            </w:r>
            <w:r>
              <w:rPr>
                <w:noProof/>
                <w:webHidden/>
              </w:rPr>
              <w:instrText xml:space="preserve"> PAGEREF _Toc234325532 \h </w:instrText>
            </w:r>
            <w:r>
              <w:rPr>
                <w:noProof/>
                <w:webHidden/>
              </w:rPr>
            </w:r>
            <w:r>
              <w:rPr>
                <w:noProof/>
                <w:webHidden/>
              </w:rPr>
              <w:fldChar w:fldCharType="separate"/>
            </w:r>
            <w:r>
              <w:rPr>
                <w:noProof/>
                <w:webHidden/>
              </w:rPr>
              <w:t>15</w:t>
            </w:r>
            <w:r>
              <w:rPr>
                <w:noProof/>
                <w:webHidden/>
              </w:rPr>
              <w:fldChar w:fldCharType="end"/>
            </w:r>
          </w:hyperlink>
        </w:p>
        <w:p w14:paraId="4A63D0C5" w14:textId="54B7216C" w:rsidR="00E85084" w:rsidRDefault="00E85084">
          <w:pPr>
            <w:pStyle w:val="TOC2"/>
            <w:tabs>
              <w:tab w:val="left" w:pos="660"/>
              <w:tab w:val="right" w:leader="dot" w:pos="9350"/>
            </w:tabs>
            <w:rPr>
              <w:rFonts w:asciiTheme="minorHAnsi" w:eastAsiaTheme="minorEastAsia" w:hAnsiTheme="minorHAnsi"/>
              <w:noProof/>
              <w:sz w:val="22"/>
              <w:lang w:val="en-US"/>
            </w:rPr>
          </w:pPr>
          <w:hyperlink w:anchor="_Toc234325533" w:history="1">
            <w:r w:rsidRPr="00307BF0">
              <w:rPr>
                <w:rStyle w:val="Hyperlink"/>
                <w:rFonts w:ascii="Wingdings" w:hAnsi="Wingdings"/>
                <w:noProof/>
              </w:rPr>
              <w:t></w:t>
            </w:r>
            <w:r>
              <w:rPr>
                <w:rFonts w:asciiTheme="minorHAnsi" w:eastAsiaTheme="minorEastAsia" w:hAnsiTheme="minorHAnsi"/>
                <w:noProof/>
                <w:sz w:val="22"/>
                <w:lang w:val="en-US"/>
              </w:rPr>
              <w:tab/>
            </w:r>
            <w:r w:rsidRPr="00307BF0">
              <w:rPr>
                <w:rStyle w:val="Hyperlink"/>
                <w:noProof/>
              </w:rPr>
              <w:t>Conclusion</w:t>
            </w:r>
            <w:r>
              <w:rPr>
                <w:noProof/>
                <w:webHidden/>
              </w:rPr>
              <w:tab/>
            </w:r>
            <w:r>
              <w:rPr>
                <w:noProof/>
                <w:webHidden/>
              </w:rPr>
              <w:fldChar w:fldCharType="begin"/>
            </w:r>
            <w:r>
              <w:rPr>
                <w:noProof/>
                <w:webHidden/>
              </w:rPr>
              <w:instrText xml:space="preserve"> PAGEREF _Toc234325533 \h </w:instrText>
            </w:r>
            <w:r>
              <w:rPr>
                <w:noProof/>
                <w:webHidden/>
              </w:rPr>
            </w:r>
            <w:r>
              <w:rPr>
                <w:noProof/>
                <w:webHidden/>
              </w:rPr>
              <w:fldChar w:fldCharType="separate"/>
            </w:r>
            <w:r>
              <w:rPr>
                <w:noProof/>
                <w:webHidden/>
              </w:rPr>
              <w:t>16</w:t>
            </w:r>
            <w:r>
              <w:rPr>
                <w:noProof/>
                <w:webHidden/>
              </w:rPr>
              <w:fldChar w:fldCharType="end"/>
            </w:r>
          </w:hyperlink>
        </w:p>
        <w:p w14:paraId="724D0103" w14:textId="34A40DDA" w:rsidR="00E85084" w:rsidRDefault="00E85084">
          <w:pPr>
            <w:pStyle w:val="TOC1"/>
            <w:tabs>
              <w:tab w:val="right" w:leader="dot" w:pos="9350"/>
            </w:tabs>
            <w:rPr>
              <w:rFonts w:asciiTheme="minorHAnsi" w:eastAsiaTheme="minorEastAsia" w:hAnsiTheme="minorHAnsi"/>
              <w:noProof/>
              <w:sz w:val="22"/>
              <w:lang w:val="en-US"/>
            </w:rPr>
          </w:pPr>
          <w:hyperlink w:anchor="_Toc234325534" w:history="1">
            <w:r w:rsidRPr="00307BF0">
              <w:rPr>
                <w:rStyle w:val="Hyperlink"/>
                <w:noProof/>
              </w:rPr>
              <w:t>References</w:t>
            </w:r>
            <w:r>
              <w:rPr>
                <w:noProof/>
                <w:webHidden/>
              </w:rPr>
              <w:tab/>
            </w:r>
            <w:r>
              <w:rPr>
                <w:noProof/>
                <w:webHidden/>
              </w:rPr>
              <w:fldChar w:fldCharType="begin"/>
            </w:r>
            <w:r>
              <w:rPr>
                <w:noProof/>
                <w:webHidden/>
              </w:rPr>
              <w:instrText xml:space="preserve"> PAGEREF _Toc234325534 \h </w:instrText>
            </w:r>
            <w:r>
              <w:rPr>
                <w:noProof/>
                <w:webHidden/>
              </w:rPr>
            </w:r>
            <w:r>
              <w:rPr>
                <w:noProof/>
                <w:webHidden/>
              </w:rPr>
              <w:fldChar w:fldCharType="separate"/>
            </w:r>
            <w:r>
              <w:rPr>
                <w:noProof/>
                <w:webHidden/>
              </w:rPr>
              <w:t>17</w:t>
            </w:r>
            <w:r>
              <w:rPr>
                <w:noProof/>
                <w:webHidden/>
              </w:rPr>
              <w:fldChar w:fldCharType="end"/>
            </w:r>
          </w:hyperlink>
        </w:p>
        <w:p w14:paraId="384D36CF" w14:textId="0F2CBC11" w:rsidR="000750AD" w:rsidRPr="000750AD" w:rsidRDefault="000750AD" w:rsidP="000750AD">
          <w:pPr>
            <w:rPr>
              <w:b/>
              <w:bCs/>
              <w:noProof/>
            </w:rPr>
          </w:pPr>
          <w:r w:rsidRPr="00B0623C">
            <w:rPr>
              <w:rFonts w:cs="Times New Roman"/>
              <w:b/>
              <w:bCs/>
              <w:noProof/>
              <w:szCs w:val="24"/>
            </w:rPr>
            <w:fldChar w:fldCharType="end"/>
          </w:r>
        </w:p>
      </w:sdtContent>
    </w:sdt>
    <w:p w14:paraId="503E91BF" w14:textId="0B6A324B" w:rsidR="00E85084" w:rsidRDefault="00E85084" w:rsidP="00E85084"/>
    <w:p w14:paraId="04181BED" w14:textId="2BF3FAD0" w:rsidR="00E85084" w:rsidRDefault="00E85084" w:rsidP="00E85084"/>
    <w:p w14:paraId="49E9BB61" w14:textId="26C64C76" w:rsidR="00E85084" w:rsidRDefault="00E85084" w:rsidP="00E85084"/>
    <w:p w14:paraId="207004A4" w14:textId="046EBCC8" w:rsidR="00E85084" w:rsidRDefault="00E85084" w:rsidP="00E85084"/>
    <w:p w14:paraId="274CF6C9" w14:textId="77777777" w:rsidR="00E85084" w:rsidRDefault="00E85084" w:rsidP="00E85084"/>
    <w:p w14:paraId="5BCCF5DB" w14:textId="11B6EE4D" w:rsidR="009C1056" w:rsidRPr="009C1056" w:rsidRDefault="009B2E5F" w:rsidP="00E85084">
      <w:pPr>
        <w:pStyle w:val="Heading1"/>
        <w:jc w:val="center"/>
      </w:pPr>
      <w:bookmarkStart w:id="3" w:name="_Toc234325523"/>
      <w:r w:rsidRPr="009C1056">
        <w:lastRenderedPageBreak/>
        <w:t xml:space="preserve">Part </w:t>
      </w:r>
      <w:r w:rsidR="00037250" w:rsidRPr="009C1056">
        <w:t>C –</w:t>
      </w:r>
      <w:r w:rsidRPr="009C1056">
        <w:t xml:space="preserve"> Project Management Plan</w:t>
      </w:r>
      <w:bookmarkEnd w:id="3"/>
    </w:p>
    <w:p w14:paraId="6100C3C6" w14:textId="77777777" w:rsidR="009C1056" w:rsidRPr="009C1056" w:rsidRDefault="009B2E5F" w:rsidP="00E85084">
      <w:pPr>
        <w:pStyle w:val="Heading2"/>
      </w:pPr>
      <w:bookmarkStart w:id="4" w:name="_Toc234325524"/>
      <w:r w:rsidRPr="009C1056">
        <w:t>Introduction</w:t>
      </w:r>
      <w:bookmarkEnd w:id="4"/>
    </w:p>
    <w:p w14:paraId="028E44DA" w14:textId="3A14DED9" w:rsidR="009C1056" w:rsidRDefault="009B2E5F" w:rsidP="009C1056">
      <w:r w:rsidRPr="00F82E0D">
        <w:t xml:space="preserve">Proposed as an intervention vital to the regeneration of Manchester Central Transport Hub, the ageing interchange is no longer meeting today's expectations for safety and accessibility standards and will be closed in the hypothetical 2025. This need for renewal is emphasised by Manchester Piccadilly station, the second busiest station in Britain outside London, with 25.8 million passenger arrivals and departures in 2023/24 (Britton, 2024). Significant pressure on accessibility is seen in the 47,202 PAS that were recorded at Piccadilly over the same period (Network Rail, 2019), demonstrating the importance of inclusive interchange design. Greater Manchester's carbon footprint is 39% attributed to transport, 3.9 MtCO₂, requiring strategic integration and low-carbon operations. (Anciaes and Jones, 2023) The project rationale will, therefore, integrate the developments of the assets with the welfare of renewable energy, smart ticketing, real-time management and coordinated rail, </w:t>
      </w:r>
      <w:r w:rsidR="00FB7026" w:rsidRPr="00F82E0D">
        <w:t>bus,</w:t>
      </w:r>
      <w:r w:rsidRPr="00F82E0D">
        <w:t xml:space="preserve"> and freight. This management plan will outline the scope, work packages, schedule, resources required, stakeholder engagement and risk controls for this project. It will serve as an easily translatable blueprint to ease the delivery of a resilient, </w:t>
      </w:r>
      <w:r w:rsidR="00FB7026" w:rsidRPr="00F82E0D">
        <w:t>accessible,</w:t>
      </w:r>
      <w:r w:rsidRPr="00F82E0D">
        <w:t xml:space="preserve"> and economically productive interchange to relevant stakeholders. The plan will be finalised with a review of the readiness of delivery and expected strategic value.</w:t>
      </w:r>
    </w:p>
    <w:p w14:paraId="524E1530" w14:textId="77777777" w:rsidR="00F82E0D" w:rsidRPr="009C1056" w:rsidRDefault="00F82E0D" w:rsidP="009C1056"/>
    <w:p w14:paraId="26F408EF" w14:textId="77777777" w:rsidR="009C1056" w:rsidRPr="009C1056" w:rsidRDefault="009B2E5F" w:rsidP="00E85084">
      <w:pPr>
        <w:pStyle w:val="Heading2"/>
      </w:pPr>
      <w:bookmarkStart w:id="5" w:name="_Toc234325525"/>
      <w:r w:rsidRPr="009C1056">
        <w:t>Project Description</w:t>
      </w:r>
      <w:bookmarkEnd w:id="5"/>
    </w:p>
    <w:p w14:paraId="1120DFD2" w14:textId="6EAED0D3" w:rsidR="00F82E0D" w:rsidRPr="00F82E0D" w:rsidRDefault="009B2E5F" w:rsidP="00F82E0D">
      <w:r w:rsidRPr="00F82E0D">
        <w:t xml:space="preserve">To redevelop Manchester Central Transport Hub into a resilient, Multi-Modal, Rail-Bus-Active Travel-Urban-Freight interchange destined to become a net-zero facility. The proposal addresses the anticipated closure of redundant hub infrastructure, and Manchester Piccadilly is selected as the operational target, as it was the second busiest station outside of London with 25.8 million passenger entries and exits from the station in 2023/24 according to Britton (2024). The facility will be re-designed to include barrier-free routes, lifts, tactile wayfinding, sheltered interchange space </w:t>
      </w:r>
      <w:r w:rsidR="00AF2B09">
        <w:t>as well as</w:t>
      </w:r>
      <w:r w:rsidRPr="00F82E0D">
        <w:t xml:space="preserve"> </w:t>
      </w:r>
      <w:r w:rsidR="00037250" w:rsidRPr="00F82E0D">
        <w:t>digitally accessible</w:t>
      </w:r>
      <w:r w:rsidRPr="00F82E0D">
        <w:t xml:space="preserve"> passenger information. The intervention is supported by 47,202 instances of passenger assistance requests (PARs) made at Piccadilly in 2023/24, which represents the material demand for inclusive station operation (Network Rail, 2019). The project </w:t>
      </w:r>
      <w:r w:rsidRPr="00F82E0D">
        <w:lastRenderedPageBreak/>
        <w:t xml:space="preserve">will be managed following the guidelines of SMART as the objectives are specific, measurable, achievable, relevant and </w:t>
      </w:r>
      <w:r w:rsidR="00037250" w:rsidRPr="00F82E0D">
        <w:t>time bound</w:t>
      </w:r>
      <w:r w:rsidRPr="00F82E0D">
        <w:t>.</w:t>
      </w:r>
    </w:p>
    <w:p w14:paraId="16965CE0" w14:textId="77777777" w:rsidR="00F82E0D" w:rsidRDefault="009B2E5F" w:rsidP="00F82E0D">
      <w:pPr>
        <w:pStyle w:val="ListParagraph"/>
        <w:numPr>
          <w:ilvl w:val="0"/>
          <w:numId w:val="12"/>
        </w:numPr>
      </w:pPr>
      <w:r w:rsidRPr="00F82E0D">
        <w:t>Objective 1: At project completion in 2030, restore integrated rail, bus &amp; freight operations and have 95% scheduled-service reliability.</w:t>
      </w:r>
    </w:p>
    <w:p w14:paraId="53F82E87" w14:textId="77777777" w:rsidR="00F82E0D" w:rsidRDefault="009B2E5F" w:rsidP="00F82E0D">
      <w:pPr>
        <w:pStyle w:val="ListParagraph"/>
        <w:numPr>
          <w:ilvl w:val="0"/>
          <w:numId w:val="12"/>
        </w:numPr>
      </w:pPr>
      <w:r w:rsidRPr="00F82E0D">
        <w:t>Objective 2: Implementation of PV Renewables and energy-efficient systems, as well as electric-bus charging, will help to reduce operational carbon emissions by 40% by 2030 compared to 2025.</w:t>
      </w:r>
    </w:p>
    <w:p w14:paraId="6F619161" w14:textId="77777777" w:rsidR="00F82E0D" w:rsidRDefault="009B2E5F" w:rsidP="00F82E0D">
      <w:pPr>
        <w:pStyle w:val="ListParagraph"/>
        <w:numPr>
          <w:ilvl w:val="0"/>
          <w:numId w:val="12"/>
        </w:numPr>
      </w:pPr>
      <w:r w:rsidRPr="00F82E0D">
        <w:t>Objective 3: Prior to 2030, implement 100 % Step Free passenger routes and make all interchange information available in real-time and accessible via all modes.</w:t>
      </w:r>
    </w:p>
    <w:p w14:paraId="57038913" w14:textId="2AC87538" w:rsidR="00F82E0D" w:rsidRPr="009C1056" w:rsidRDefault="009B2E5F" w:rsidP="00F82E0D">
      <w:r w:rsidRPr="00F82E0D">
        <w:t xml:space="preserve">By 2038, Greater Manchester will be aiming to reach carbon-neutral status and to successfully make infrastructure choices that will lead to modal shift and transport emissions reductions (Crowther et al., 2023). The assessment of success will be through reaching the criteria of operational readiness, carbon monitoring, reliable passenger flow, construction </w:t>
      </w:r>
      <w:r w:rsidR="00FB7026" w:rsidRPr="00F82E0D">
        <w:t>safety,</w:t>
      </w:r>
      <w:r w:rsidRPr="00F82E0D">
        <w:t xml:space="preserve"> and acceptance of stakeholders. The Bee Network aims to be an integrated bus, tram, cycle, </w:t>
      </w:r>
      <w:r w:rsidR="00FB7026" w:rsidRPr="00F82E0D">
        <w:t>walk,</w:t>
      </w:r>
      <w:r w:rsidRPr="00F82E0D">
        <w:t xml:space="preserve"> and rail by 2025 (Manchester), 2030 (London). As such, measurable environmental, </w:t>
      </w:r>
      <w:r w:rsidR="00FB7026" w:rsidRPr="00F82E0D">
        <w:t>social,</w:t>
      </w:r>
      <w:r w:rsidRPr="00F82E0D">
        <w:t xml:space="preserve"> and economic benefits will be created for residents, visitors, </w:t>
      </w:r>
      <w:r w:rsidR="00FB7026" w:rsidRPr="00F82E0D">
        <w:t>employers,</w:t>
      </w:r>
      <w:r w:rsidRPr="00F82E0D">
        <w:t xml:space="preserve"> and </w:t>
      </w:r>
      <w:r w:rsidR="00FB7026" w:rsidRPr="00F82E0D">
        <w:t>coordination</w:t>
      </w:r>
      <w:r w:rsidRPr="00F82E0D">
        <w:t xml:space="preserve"> operators as part of this project.</w:t>
      </w:r>
    </w:p>
    <w:p w14:paraId="0B1B4C8B" w14:textId="77777777" w:rsidR="009C1056" w:rsidRPr="009C1056" w:rsidRDefault="009C1056" w:rsidP="009C1056"/>
    <w:p w14:paraId="3154398D" w14:textId="77777777" w:rsidR="009C1056" w:rsidRPr="009C1056" w:rsidRDefault="009B2E5F" w:rsidP="00E85084">
      <w:pPr>
        <w:pStyle w:val="Heading2"/>
      </w:pPr>
      <w:bookmarkStart w:id="6" w:name="_Toc234325526"/>
      <w:r w:rsidRPr="009C1056">
        <w:t>Scope</w:t>
      </w:r>
      <w:bookmarkEnd w:id="6"/>
    </w:p>
    <w:p w14:paraId="2FD72238" w14:textId="7764177C" w:rsidR="00F82E0D" w:rsidRDefault="009B2E5F" w:rsidP="00503EFC">
      <w:r w:rsidRPr="00F82E0D">
        <w:t xml:space="preserve">The project will include the full redevelopment of the defined Manchester Central Transport Hub site from 2026 to 2030. In scope works include safely removing old, unsafe buildings, building integrated interchange and rail, </w:t>
      </w:r>
      <w:r w:rsidR="00FB7026" w:rsidRPr="00F82E0D">
        <w:t>bus,</w:t>
      </w:r>
      <w:r w:rsidRPr="00F82E0D">
        <w:t xml:space="preserve"> and freight facilities, installing step-free access, introducing lifts, tactile paving, creating sheltered waiting areas, providing secure cycle storage and public realm improvements. Digital deliverables include account-based ticketing, real-time passenger-information displays, AI-supported crowd management, integrated control-room </w:t>
      </w:r>
      <w:r w:rsidR="00FB7026" w:rsidRPr="00F82E0D">
        <w:t>systems,</w:t>
      </w:r>
      <w:r w:rsidRPr="00F82E0D">
        <w:t xml:space="preserve"> and cybersecurity controls. Environmental works will involve fitting rooftop photovoltaic panels, energy-efficient lighting, </w:t>
      </w:r>
      <w:r w:rsidR="00FB7026" w:rsidRPr="00F82E0D">
        <w:t>ventilation,</w:t>
      </w:r>
      <w:r w:rsidRPr="00F82E0D">
        <w:t xml:space="preserve"> and heating, charging electric buses, providing sustainable drainage and low-emission space for the consolidation of vehicle freight.</w:t>
      </w:r>
    </w:p>
    <w:p w14:paraId="4199219E" w14:textId="4074D848" w:rsidR="00211050" w:rsidRPr="009C1056" w:rsidRDefault="009B2E5F" w:rsidP="00211050">
      <w:r w:rsidRPr="00211050">
        <w:lastRenderedPageBreak/>
        <w:t xml:space="preserve">By 2030, the project will be commissioned, and at that time, the environmental outcomes will include Operational carbon emission reduction of 40% when compared to the 2025 baseline and 95% scheduled-service reliability, with 100% step-free interchange routes. The scope exclusions include regional rail-route expansion, motorway improvements, redesign of private roads outside the hub area and acquisitions of rolling stock and citywide bus-network reform. Some factors that hinder key constraints are essential services, statutory planning approval, rail possessions, funding, and construction site safety. The formal approval of any impact on cost, schedule, carbon </w:t>
      </w:r>
      <w:r w:rsidR="00FB7026" w:rsidRPr="00211050">
        <w:t>target,</w:t>
      </w:r>
      <w:r w:rsidRPr="00211050">
        <w:t xml:space="preserve"> or operational capacity applies to any change that has an impact.</w:t>
      </w:r>
    </w:p>
    <w:p w14:paraId="09112642" w14:textId="77777777" w:rsidR="009C1056" w:rsidRPr="009C1056" w:rsidRDefault="009C1056" w:rsidP="009C1056"/>
    <w:p w14:paraId="71F56394" w14:textId="77777777" w:rsidR="009C1056" w:rsidRPr="009C1056" w:rsidRDefault="009B2E5F" w:rsidP="00E85084">
      <w:pPr>
        <w:pStyle w:val="Heading2"/>
        <w:rPr>
          <w:lang w:val="en-US"/>
        </w:rPr>
      </w:pPr>
      <w:bookmarkStart w:id="7" w:name="_Toc234325527"/>
      <w:r w:rsidRPr="009C1056">
        <w:rPr>
          <w:lang w:val="en-US"/>
        </w:rPr>
        <w:t>Work Breakdown Structure (WBS)</w:t>
      </w:r>
      <w:bookmarkEnd w:id="7"/>
    </w:p>
    <w:p w14:paraId="7CA187D5" w14:textId="407A5B60" w:rsidR="000D7255" w:rsidRPr="00133D2A" w:rsidRDefault="009B2E5F" w:rsidP="00133D2A">
      <w:pPr>
        <w:rPr>
          <w:lang w:val="en-US"/>
        </w:rPr>
      </w:pPr>
      <w:r w:rsidRPr="000D7255">
        <w:rPr>
          <w:lang w:val="en-US"/>
        </w:rPr>
        <w:t xml:space="preserve">The Work Breakdown Structure breaks down the Manchester Central Transport Hub programme into nine controlled deliverable streams that allow for accountable planning, cost estimation and integration of schedules. It starts with governance and the formation of the project board, business case, funding approvals, reporting process and change control authority. This is particularly crucial as the Infrastructure and Projects Authority (IPDA) mandates that large-scale projects have clear accountability, a reassuring guarantee and significant decision-making documented to flow fluently through delivery (Moshood et al., 2025). Preparing for and gaining approval of structural, environmental, utilities, accessibility and passenger-flow surveys before detailed design, environmental assessment and statutory consents. The package of work will include civil engineering, rail systems, digital technology and </w:t>
      </w:r>
      <w:r w:rsidR="00037250" w:rsidRPr="000D7255">
        <w:rPr>
          <w:lang w:val="en-US"/>
        </w:rPr>
        <w:t>renewable energy</w:t>
      </w:r>
      <w:r w:rsidRPr="000D7255">
        <w:rPr>
          <w:lang w:val="en-US"/>
        </w:rPr>
        <w:t xml:space="preserve"> innovations, which will be supplied by selecting the highest-quality, lowest-cost, least-carbon and most-social-value bids. Public procurement policies ensure that contracting authorities are treating suppliers equally, transparently and proportionately (Hamilton, 2022).</w:t>
      </w:r>
    </w:p>
    <w:p w14:paraId="79E7E3CC" w14:textId="501B0185" w:rsidR="000D7255" w:rsidRDefault="009B2E5F" w:rsidP="000D7255">
      <w:pPr>
        <w:rPr>
          <w:lang w:val="en-US"/>
        </w:rPr>
      </w:pPr>
      <w:r w:rsidRPr="000D7255">
        <w:rPr>
          <w:lang w:val="en-US"/>
        </w:rPr>
        <w:t xml:space="preserve">Temporary diversions, isolation of utilities, removal of unsafe assets and remediation of contaminated land will all be done during enable works prior to construction. Core infrastructure is being built to provide rail interfaces, bus bays, freight area, lifts and ramps, tactile surfaces, cycle storage, drainage and public realm. The accessibility package will be checked against the Equality Act 2010 duty to make reasonable adjustments for disabled persons (GOV.UK, 2010). Net zero systems have photovoltaics, efficient building services, electric bus charging and </w:t>
      </w:r>
      <w:r w:rsidRPr="000D7255">
        <w:rPr>
          <w:lang w:val="en-US"/>
        </w:rPr>
        <w:lastRenderedPageBreak/>
        <w:t>Sustainable drainage. Digital mobility integration will use account-based ticketing, live information, analytics for managing crowds, control-room interfaces and cybersecurity protection. Testing, commissioning and handover will ensure that safety, accessibility, interoperability and operational readiness are confirmed. Finally, benefits realisation will be tracking the 40% operational-carbon reduction, 95% reliability target and gauge stakeholder satisfaction, and lessons learned will be closing contracts and enhancing future urban infrastructure delivery.</w:t>
      </w:r>
    </w:p>
    <w:p w14:paraId="07601B01" w14:textId="6DDFAC07" w:rsidR="00133D2A" w:rsidRDefault="007F34FF" w:rsidP="00840DCE">
      <w:pPr>
        <w:keepNext/>
        <w:spacing w:before="0" w:after="0"/>
        <w:jc w:val="center"/>
      </w:pPr>
      <w:r>
        <w:rPr>
          <w:noProof/>
          <w:lang w:val="en-US"/>
        </w:rPr>
        <w:drawing>
          <wp:inline distT="0" distB="0" distL="0" distR="0" wp14:anchorId="38D77BDC" wp14:editId="180FB54B">
            <wp:extent cx="5943600" cy="3445565"/>
            <wp:effectExtent l="19050" t="19050" r="19050" b="215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3043"/>
                    <a:stretch/>
                  </pic:blipFill>
                  <pic:spPr bwMode="auto">
                    <a:xfrm>
                      <a:off x="0" y="0"/>
                      <a:ext cx="5943600" cy="3445565"/>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p>
    <w:p w14:paraId="4B827A7F" w14:textId="77777777" w:rsidR="00133D2A" w:rsidRPr="00840DCE" w:rsidRDefault="009B2E5F" w:rsidP="00133D2A">
      <w:pPr>
        <w:pStyle w:val="Caption"/>
        <w:spacing w:before="0"/>
        <w:jc w:val="center"/>
        <w:rPr>
          <w:sz w:val="24"/>
          <w:szCs w:val="24"/>
        </w:rPr>
      </w:pPr>
      <w:r w:rsidRPr="00840DCE">
        <w:rPr>
          <w:sz w:val="24"/>
          <w:szCs w:val="24"/>
        </w:rPr>
        <w:t xml:space="preserve">Figure </w:t>
      </w:r>
      <w:r w:rsidRPr="00840DCE">
        <w:rPr>
          <w:sz w:val="24"/>
          <w:szCs w:val="24"/>
        </w:rPr>
        <w:fldChar w:fldCharType="begin"/>
      </w:r>
      <w:r w:rsidRPr="00840DCE">
        <w:rPr>
          <w:sz w:val="24"/>
          <w:szCs w:val="24"/>
        </w:rPr>
        <w:instrText xml:space="preserve"> SEQ Figure \* ARABIC </w:instrText>
      </w:r>
      <w:r w:rsidRPr="00840DCE">
        <w:rPr>
          <w:sz w:val="24"/>
          <w:szCs w:val="24"/>
        </w:rPr>
        <w:fldChar w:fldCharType="separate"/>
      </w:r>
      <w:r w:rsidRPr="00840DCE">
        <w:rPr>
          <w:noProof/>
          <w:sz w:val="24"/>
          <w:szCs w:val="24"/>
        </w:rPr>
        <w:t>1</w:t>
      </w:r>
      <w:r w:rsidRPr="00840DCE">
        <w:rPr>
          <w:sz w:val="24"/>
          <w:szCs w:val="24"/>
        </w:rPr>
        <w:fldChar w:fldCharType="end"/>
      </w:r>
      <w:r w:rsidRPr="00840DCE">
        <w:rPr>
          <w:sz w:val="24"/>
          <w:szCs w:val="24"/>
        </w:rPr>
        <w:t>: Work Breakdown Structure Decomposes the Manchester Central Transport Hub Programme</w:t>
      </w:r>
    </w:p>
    <w:p w14:paraId="35E262FE" w14:textId="2C0EC337" w:rsidR="002C2831" w:rsidRPr="002C2831" w:rsidRDefault="002C2831" w:rsidP="009C1056">
      <w:pPr>
        <w:rPr>
          <w:highlight w:val="yellow"/>
          <w:lang w:val="en-US"/>
        </w:rPr>
        <w:sectPr w:rsidR="002C2831" w:rsidRPr="002C2831" w:rsidSect="00B43D18">
          <w:footerReference w:type="default" r:id="rId10"/>
          <w:pgSz w:w="12240" w:h="15840"/>
          <w:pgMar w:top="1440" w:right="1440" w:bottom="1440" w:left="1440" w:header="720" w:footer="720" w:gutter="0"/>
          <w:cols w:space="720"/>
          <w:docGrid w:linePitch="360"/>
        </w:sectPr>
      </w:pPr>
      <w:r w:rsidRPr="002C2831">
        <w:rPr>
          <w:lang w:val="en-US"/>
        </w:rPr>
        <w:t>The Work Breakdown Structure has a hierarchical numbering system starting from 1.0 through 9.0 for the major work packages and 1.1 through 1.4 and 2.1 through 2.4 for the subordinate activities. Ownership is assigned for each major deliverable for greater accountability and performance monitoring. Governance is led by Manchester City Council (1.0), planning and approvals are managed by procurement specialists (3.0), principal contractors (4.0–6.0) deliver construction work and net-zero infrastructure, and digital system providers (7.0) implement smart technologies, and Transport for Greater Manchester (8.0–9.0) oversees commissioning, benefits realisation and project closure</w:t>
      </w:r>
      <w:r>
        <w:rPr>
          <w:lang w:val="en-US"/>
        </w:rPr>
        <w:t xml:space="preserve">. </w:t>
      </w:r>
    </w:p>
    <w:p w14:paraId="178FDC5E" w14:textId="3C2165E9" w:rsidR="009C1056" w:rsidRPr="009C1056" w:rsidRDefault="009B2E5F" w:rsidP="00E85084">
      <w:pPr>
        <w:pStyle w:val="Heading2"/>
      </w:pPr>
      <w:bookmarkStart w:id="8" w:name="_Toc234325528"/>
      <w:r w:rsidRPr="009C1056">
        <w:lastRenderedPageBreak/>
        <w:t>The Quad Chart</w:t>
      </w:r>
      <w:bookmarkEnd w:id="8"/>
    </w:p>
    <w:p w14:paraId="0F328F87" w14:textId="08F0D475" w:rsidR="000D7255" w:rsidRDefault="009B2E5F" w:rsidP="00B43D18">
      <w:r w:rsidRPr="00604C6F">
        <w:t xml:space="preserve">One visual management instrument for decision-making is a quad chart, which succinctly presents the objectives, </w:t>
      </w:r>
      <w:r w:rsidR="00FB7026" w:rsidRPr="00604C6F">
        <w:t>time</w:t>
      </w:r>
      <w:r w:rsidRPr="00604C6F">
        <w:t xml:space="preserve">, </w:t>
      </w:r>
      <w:r w:rsidR="00FB7026" w:rsidRPr="00604C6F">
        <w:t>resources,</w:t>
      </w:r>
      <w:r w:rsidRPr="00604C6F">
        <w:t xml:space="preserve"> and risks (Murphet, 2022).</w:t>
      </w:r>
    </w:p>
    <w:p w14:paraId="3E81422C" w14:textId="5BD29804" w:rsidR="00604C6F" w:rsidRPr="00604C6F" w:rsidRDefault="009B2E5F" w:rsidP="00B43D18">
      <w:pPr>
        <w:rPr>
          <w:highlight w:val="yellow"/>
        </w:rPr>
      </w:pPr>
      <w:r w:rsidRPr="00F16E6B">
        <w:rPr>
          <w:b/>
          <w:bCs/>
          <w:u w:val="single"/>
        </w:rPr>
        <w:t>Objectives and Benefits:</w:t>
      </w:r>
      <w:r>
        <w:t xml:space="preserve"> </w:t>
      </w:r>
      <w:r w:rsidRPr="00604C6F">
        <w:t>The scheme will re-open with 100% step-free interchange routes, 95% scheduled-service reliability and a 40% operational-carbon reduction compared to the 2025 baseline in 2030. By 2038, Greater Manchester has a statutory target to become carbon neutral by 2038 (Manchester, 2025), and these outcomes play a key role in meeting that target.</w:t>
      </w:r>
    </w:p>
    <w:p w14:paraId="683C7250" w14:textId="4982EBAD" w:rsidR="00604C6F" w:rsidRPr="00CE6E25" w:rsidRDefault="009B2E5F" w:rsidP="00B43D18">
      <w:pPr>
        <w:rPr>
          <w:highlight w:val="yellow"/>
        </w:rPr>
      </w:pPr>
      <w:r w:rsidRPr="00F16E6B">
        <w:rPr>
          <w:b/>
          <w:bCs/>
          <w:u w:val="single"/>
        </w:rPr>
        <w:t xml:space="preserve">Schedule and </w:t>
      </w:r>
      <w:r w:rsidR="00F16E6B" w:rsidRPr="00F16E6B">
        <w:rPr>
          <w:b/>
          <w:bCs/>
          <w:u w:val="single"/>
        </w:rPr>
        <w:t>M</w:t>
      </w:r>
      <w:r w:rsidRPr="00F16E6B">
        <w:rPr>
          <w:b/>
          <w:bCs/>
          <w:u w:val="single"/>
        </w:rPr>
        <w:t>ilestones:</w:t>
      </w:r>
      <w:r>
        <w:t xml:space="preserve"> </w:t>
      </w:r>
      <w:r w:rsidR="00976E22" w:rsidRPr="00976E22">
        <w:t xml:space="preserve">The design and approval process will take place from January 2026 until December 2026, procurement and enabling works from January 2027 until June 2028, construction from July 2028 until December 2029 and testing, </w:t>
      </w:r>
      <w:r w:rsidR="00FB7026" w:rsidRPr="00976E22">
        <w:t>commissioning,</w:t>
      </w:r>
      <w:r w:rsidR="00976E22" w:rsidRPr="00976E22">
        <w:t xml:space="preserve"> and handover from January to June 2030. Rail possessions will be planned in a sequence during less busy periods to ensure continuity of service.</w:t>
      </w:r>
    </w:p>
    <w:p w14:paraId="3B2B603C" w14:textId="5A306981" w:rsidR="00F16E6B" w:rsidRDefault="009B2E5F" w:rsidP="00B43D18">
      <w:r w:rsidRPr="00F16E6B">
        <w:rPr>
          <w:b/>
          <w:bCs/>
          <w:u w:val="single"/>
        </w:rPr>
        <w:t>Resources and Governance:</w:t>
      </w:r>
      <w:r>
        <w:t xml:space="preserve"> </w:t>
      </w:r>
      <w:r w:rsidR="00CD7885" w:rsidRPr="00CD7885">
        <w:t>Manchester City Council will be the project board chairman; Transport for Greater Manchester will provide leadership for service integration; Network Rail will sign off on rail interface approvals, whilst a main contractor will be responsible for site delivery. Financial resources will comprise public funds, financing from operators and green financing tools.</w:t>
      </w:r>
    </w:p>
    <w:p w14:paraId="58DD6D0A" w14:textId="249BBC78" w:rsidR="009C1056" w:rsidRDefault="009B2E5F" w:rsidP="00B43D18">
      <w:r w:rsidRPr="00F16E6B">
        <w:rPr>
          <w:b/>
          <w:bCs/>
          <w:u w:val="single"/>
        </w:rPr>
        <w:t>Principal</w:t>
      </w:r>
      <w:r w:rsidR="00F16E6B" w:rsidRPr="00F16E6B">
        <w:rPr>
          <w:b/>
          <w:bCs/>
          <w:u w:val="single"/>
        </w:rPr>
        <w:t xml:space="preserve"> R</w:t>
      </w:r>
      <w:r w:rsidRPr="00F16E6B">
        <w:rPr>
          <w:b/>
          <w:bCs/>
          <w:u w:val="single"/>
        </w:rPr>
        <w:t>isks:</w:t>
      </w:r>
      <w:r>
        <w:t xml:space="preserve"> </w:t>
      </w:r>
      <w:r w:rsidR="00CD7885" w:rsidRPr="00CD7885">
        <w:t xml:space="preserve">Cost escalation, slow approvals, disruption, supply chain shortages, and failure caused by a cyber system will be mitigated by contingencies, stage gate, differences, framework procurement, penetration testing, and manual </w:t>
      </w:r>
      <w:r w:rsidR="000B239F" w:rsidRPr="00CD7885">
        <w:t>fallback</w:t>
      </w:r>
      <w:r w:rsidR="00CD7885" w:rsidRPr="00CD7885">
        <w:t xml:space="preserve"> procedures. As such, the quad chart will allow for quick governance-level review and coordination of delivery decisions.</w:t>
      </w:r>
    </w:p>
    <w:p w14:paraId="641DE3EE" w14:textId="38E57B37" w:rsidR="00F16E6B" w:rsidRDefault="00F16E6B" w:rsidP="00B43D18"/>
    <w:p w14:paraId="56B4BEA7" w14:textId="6F02E60E" w:rsidR="008C654B" w:rsidRDefault="008C654B" w:rsidP="00B43D18"/>
    <w:p w14:paraId="5D409BAC" w14:textId="77777777" w:rsidR="008C654B" w:rsidRPr="009C1056" w:rsidRDefault="008C654B" w:rsidP="00B43D18"/>
    <w:p w14:paraId="00CEDDFE" w14:textId="2AF12688" w:rsidR="00F16E6B" w:rsidRDefault="009B2E5F" w:rsidP="00E85084">
      <w:pPr>
        <w:pStyle w:val="Heading2"/>
      </w:pPr>
      <w:bookmarkStart w:id="9" w:name="_Toc234325529"/>
      <w:r w:rsidRPr="009C1056">
        <w:lastRenderedPageBreak/>
        <w:t>Gantt Chart</w:t>
      </w:r>
      <w:bookmarkEnd w:id="9"/>
    </w:p>
    <w:p w14:paraId="07B931DD" w14:textId="090250E1" w:rsidR="008C654B" w:rsidRPr="008C654B" w:rsidRDefault="009B2E5F" w:rsidP="008C654B">
      <w:pPr>
        <w:pStyle w:val="Caption"/>
        <w:keepNext/>
        <w:rPr>
          <w:sz w:val="24"/>
          <w:szCs w:val="24"/>
        </w:rPr>
      </w:pPr>
      <w:r w:rsidRPr="008C654B">
        <w:rPr>
          <w:sz w:val="24"/>
          <w:szCs w:val="24"/>
        </w:rPr>
        <w:t xml:space="preserve">Table </w:t>
      </w:r>
      <w:r w:rsidRPr="008C654B">
        <w:rPr>
          <w:sz w:val="24"/>
          <w:szCs w:val="24"/>
        </w:rPr>
        <w:fldChar w:fldCharType="begin"/>
      </w:r>
      <w:r w:rsidRPr="008C654B">
        <w:rPr>
          <w:sz w:val="24"/>
          <w:szCs w:val="24"/>
        </w:rPr>
        <w:instrText xml:space="preserve"> SEQ Table \* ARABIC </w:instrText>
      </w:r>
      <w:r w:rsidRPr="008C654B">
        <w:rPr>
          <w:sz w:val="24"/>
          <w:szCs w:val="24"/>
        </w:rPr>
        <w:fldChar w:fldCharType="separate"/>
      </w:r>
      <w:r w:rsidRPr="008C654B">
        <w:rPr>
          <w:noProof/>
          <w:sz w:val="24"/>
          <w:szCs w:val="24"/>
        </w:rPr>
        <w:t>1</w:t>
      </w:r>
      <w:r w:rsidRPr="008C654B">
        <w:rPr>
          <w:sz w:val="24"/>
          <w:szCs w:val="24"/>
        </w:rPr>
        <w:fldChar w:fldCharType="end"/>
      </w:r>
      <w:r w:rsidRPr="008C654B">
        <w:rPr>
          <w:sz w:val="24"/>
          <w:szCs w:val="24"/>
        </w:rPr>
        <w:t>: Gantt Chart</w:t>
      </w:r>
    </w:p>
    <w:tbl>
      <w:tblPr>
        <w:tblStyle w:val="TableGrid1"/>
        <w:tblW w:w="11961" w:type="dxa"/>
        <w:jc w:val="center"/>
        <w:tblLook w:val="04A0" w:firstRow="1" w:lastRow="0" w:firstColumn="1" w:lastColumn="0" w:noHBand="0" w:noVBand="1"/>
      </w:tblPr>
      <w:tblGrid>
        <w:gridCol w:w="1737"/>
        <w:gridCol w:w="852"/>
        <w:gridCol w:w="852"/>
        <w:gridCol w:w="852"/>
        <w:gridCol w:w="852"/>
        <w:gridCol w:w="852"/>
        <w:gridCol w:w="852"/>
        <w:gridCol w:w="852"/>
        <w:gridCol w:w="852"/>
        <w:gridCol w:w="852"/>
        <w:gridCol w:w="852"/>
        <w:gridCol w:w="852"/>
        <w:gridCol w:w="852"/>
      </w:tblGrid>
      <w:tr w:rsidR="00FC0F60" w14:paraId="6BF86525" w14:textId="77777777" w:rsidTr="00840DCE">
        <w:trPr>
          <w:trHeight w:val="557"/>
          <w:jc w:val="center"/>
        </w:trPr>
        <w:tc>
          <w:tcPr>
            <w:tcW w:w="0" w:type="auto"/>
            <w:tcBorders>
              <w:top w:val="single" w:sz="12" w:space="0" w:color="auto"/>
              <w:left w:val="single" w:sz="12" w:space="0" w:color="auto"/>
            </w:tcBorders>
            <w:hideMark/>
          </w:tcPr>
          <w:p w14:paraId="39E944EC" w14:textId="77777777" w:rsidR="00F16E6B" w:rsidRPr="008C654B" w:rsidRDefault="009B2E5F" w:rsidP="008C654B">
            <w:pPr>
              <w:jc w:val="center"/>
              <w:rPr>
                <w:b/>
                <w:bCs/>
                <w:sz w:val="22"/>
                <w:szCs w:val="20"/>
                <w:lang w:val="en-US"/>
              </w:rPr>
            </w:pPr>
            <w:r w:rsidRPr="008C654B">
              <w:rPr>
                <w:b/>
                <w:bCs/>
                <w:sz w:val="22"/>
                <w:szCs w:val="20"/>
                <w:lang w:val="en-US"/>
              </w:rPr>
              <w:t>Work package</w:t>
            </w:r>
          </w:p>
        </w:tc>
        <w:tc>
          <w:tcPr>
            <w:tcW w:w="0" w:type="auto"/>
            <w:tcBorders>
              <w:top w:val="single" w:sz="12" w:space="0" w:color="auto"/>
            </w:tcBorders>
            <w:hideMark/>
          </w:tcPr>
          <w:p w14:paraId="4505DD0A" w14:textId="606E60D6" w:rsidR="00F16E6B" w:rsidRPr="008C654B" w:rsidRDefault="009B2E5F" w:rsidP="008C654B">
            <w:pPr>
              <w:jc w:val="center"/>
              <w:rPr>
                <w:b/>
                <w:bCs/>
                <w:sz w:val="22"/>
                <w:szCs w:val="20"/>
                <w:lang w:val="en-US"/>
              </w:rPr>
            </w:pPr>
            <w:r w:rsidRPr="008C654B">
              <w:rPr>
                <w:b/>
                <w:bCs/>
                <w:sz w:val="22"/>
                <w:szCs w:val="20"/>
                <w:lang w:val="en-US"/>
              </w:rPr>
              <w:t>M</w:t>
            </w:r>
            <w:r w:rsidR="00B8792D" w:rsidRPr="008C654B">
              <w:rPr>
                <w:b/>
                <w:bCs/>
                <w:sz w:val="22"/>
                <w:szCs w:val="20"/>
                <w:lang w:val="en-US"/>
              </w:rPr>
              <w:t xml:space="preserve">onth - </w:t>
            </w:r>
            <w:r w:rsidRPr="008C654B">
              <w:rPr>
                <w:b/>
                <w:bCs/>
                <w:sz w:val="22"/>
                <w:szCs w:val="20"/>
                <w:lang w:val="en-US"/>
              </w:rPr>
              <w:t>01</w:t>
            </w:r>
          </w:p>
        </w:tc>
        <w:tc>
          <w:tcPr>
            <w:tcW w:w="0" w:type="auto"/>
            <w:tcBorders>
              <w:top w:val="single" w:sz="12" w:space="0" w:color="auto"/>
            </w:tcBorders>
            <w:hideMark/>
          </w:tcPr>
          <w:p w14:paraId="0CFD912B" w14:textId="79613EFA" w:rsidR="00F16E6B" w:rsidRPr="008C654B" w:rsidRDefault="009B2E5F" w:rsidP="008C654B">
            <w:pPr>
              <w:jc w:val="center"/>
              <w:rPr>
                <w:b/>
                <w:bCs/>
                <w:sz w:val="22"/>
                <w:szCs w:val="20"/>
                <w:lang w:val="en-US"/>
              </w:rPr>
            </w:pPr>
            <w:r w:rsidRPr="008C654B">
              <w:rPr>
                <w:b/>
                <w:bCs/>
                <w:sz w:val="22"/>
                <w:szCs w:val="20"/>
                <w:lang w:val="en-US"/>
              </w:rPr>
              <w:t>Month - 02</w:t>
            </w:r>
          </w:p>
        </w:tc>
        <w:tc>
          <w:tcPr>
            <w:tcW w:w="0" w:type="auto"/>
            <w:tcBorders>
              <w:top w:val="single" w:sz="12" w:space="0" w:color="auto"/>
            </w:tcBorders>
            <w:hideMark/>
          </w:tcPr>
          <w:p w14:paraId="76B6CB80" w14:textId="2DA915AF" w:rsidR="00F16E6B" w:rsidRPr="008C654B" w:rsidRDefault="009B2E5F" w:rsidP="008C654B">
            <w:pPr>
              <w:jc w:val="center"/>
              <w:rPr>
                <w:b/>
                <w:bCs/>
                <w:sz w:val="22"/>
                <w:szCs w:val="20"/>
                <w:lang w:val="en-US"/>
              </w:rPr>
            </w:pPr>
            <w:r w:rsidRPr="008C654B">
              <w:rPr>
                <w:b/>
                <w:bCs/>
                <w:sz w:val="22"/>
                <w:szCs w:val="20"/>
                <w:lang w:val="en-US"/>
              </w:rPr>
              <w:t>Month - 03</w:t>
            </w:r>
          </w:p>
        </w:tc>
        <w:tc>
          <w:tcPr>
            <w:tcW w:w="0" w:type="auto"/>
            <w:tcBorders>
              <w:top w:val="single" w:sz="12" w:space="0" w:color="auto"/>
            </w:tcBorders>
            <w:hideMark/>
          </w:tcPr>
          <w:p w14:paraId="5DA9E622" w14:textId="0BE60C5F" w:rsidR="00F16E6B" w:rsidRPr="008C654B" w:rsidRDefault="009B2E5F" w:rsidP="008C654B">
            <w:pPr>
              <w:jc w:val="center"/>
              <w:rPr>
                <w:b/>
                <w:bCs/>
                <w:sz w:val="22"/>
                <w:szCs w:val="20"/>
                <w:lang w:val="en-US"/>
              </w:rPr>
            </w:pPr>
            <w:r w:rsidRPr="008C654B">
              <w:rPr>
                <w:b/>
                <w:bCs/>
                <w:sz w:val="22"/>
                <w:szCs w:val="20"/>
                <w:lang w:val="en-US"/>
              </w:rPr>
              <w:t>Month - 04</w:t>
            </w:r>
          </w:p>
        </w:tc>
        <w:tc>
          <w:tcPr>
            <w:tcW w:w="0" w:type="auto"/>
            <w:tcBorders>
              <w:top w:val="single" w:sz="12" w:space="0" w:color="auto"/>
            </w:tcBorders>
            <w:hideMark/>
          </w:tcPr>
          <w:p w14:paraId="59EE9146" w14:textId="2C8C642E" w:rsidR="00F16E6B" w:rsidRPr="008C654B" w:rsidRDefault="009B2E5F" w:rsidP="008C654B">
            <w:pPr>
              <w:jc w:val="center"/>
              <w:rPr>
                <w:b/>
                <w:bCs/>
                <w:sz w:val="22"/>
                <w:szCs w:val="20"/>
                <w:lang w:val="en-US"/>
              </w:rPr>
            </w:pPr>
            <w:r w:rsidRPr="008C654B">
              <w:rPr>
                <w:b/>
                <w:bCs/>
                <w:sz w:val="22"/>
                <w:szCs w:val="20"/>
                <w:lang w:val="en-US"/>
              </w:rPr>
              <w:t>Month - 05</w:t>
            </w:r>
          </w:p>
        </w:tc>
        <w:tc>
          <w:tcPr>
            <w:tcW w:w="0" w:type="auto"/>
            <w:tcBorders>
              <w:top w:val="single" w:sz="12" w:space="0" w:color="auto"/>
            </w:tcBorders>
            <w:hideMark/>
          </w:tcPr>
          <w:p w14:paraId="30480BFD" w14:textId="1AEE4254" w:rsidR="00F16E6B" w:rsidRPr="008C654B" w:rsidRDefault="009B2E5F" w:rsidP="008C654B">
            <w:pPr>
              <w:jc w:val="center"/>
              <w:rPr>
                <w:b/>
                <w:bCs/>
                <w:sz w:val="22"/>
                <w:szCs w:val="20"/>
                <w:lang w:val="en-US"/>
              </w:rPr>
            </w:pPr>
            <w:r w:rsidRPr="008C654B">
              <w:rPr>
                <w:b/>
                <w:bCs/>
                <w:sz w:val="22"/>
                <w:szCs w:val="20"/>
                <w:lang w:val="en-US"/>
              </w:rPr>
              <w:t>Month - 06</w:t>
            </w:r>
          </w:p>
        </w:tc>
        <w:tc>
          <w:tcPr>
            <w:tcW w:w="0" w:type="auto"/>
            <w:tcBorders>
              <w:top w:val="single" w:sz="12" w:space="0" w:color="auto"/>
            </w:tcBorders>
            <w:hideMark/>
          </w:tcPr>
          <w:p w14:paraId="5700AF6B" w14:textId="677196EA" w:rsidR="00F16E6B" w:rsidRPr="008C654B" w:rsidRDefault="009B2E5F" w:rsidP="008C654B">
            <w:pPr>
              <w:jc w:val="center"/>
              <w:rPr>
                <w:b/>
                <w:bCs/>
                <w:sz w:val="22"/>
                <w:szCs w:val="20"/>
                <w:lang w:val="en-US"/>
              </w:rPr>
            </w:pPr>
            <w:r w:rsidRPr="008C654B">
              <w:rPr>
                <w:b/>
                <w:bCs/>
                <w:sz w:val="22"/>
                <w:szCs w:val="20"/>
                <w:lang w:val="en-US"/>
              </w:rPr>
              <w:t>Month - 07</w:t>
            </w:r>
          </w:p>
        </w:tc>
        <w:tc>
          <w:tcPr>
            <w:tcW w:w="0" w:type="auto"/>
            <w:tcBorders>
              <w:top w:val="single" w:sz="12" w:space="0" w:color="auto"/>
            </w:tcBorders>
            <w:hideMark/>
          </w:tcPr>
          <w:p w14:paraId="505672CA" w14:textId="376CB561" w:rsidR="00F16E6B" w:rsidRPr="008C654B" w:rsidRDefault="009B2E5F" w:rsidP="008C654B">
            <w:pPr>
              <w:jc w:val="center"/>
              <w:rPr>
                <w:b/>
                <w:bCs/>
                <w:sz w:val="22"/>
                <w:szCs w:val="20"/>
                <w:lang w:val="en-US"/>
              </w:rPr>
            </w:pPr>
            <w:r w:rsidRPr="008C654B">
              <w:rPr>
                <w:b/>
                <w:bCs/>
                <w:sz w:val="22"/>
                <w:szCs w:val="20"/>
                <w:lang w:val="en-US"/>
              </w:rPr>
              <w:t>Month - 08</w:t>
            </w:r>
          </w:p>
        </w:tc>
        <w:tc>
          <w:tcPr>
            <w:tcW w:w="0" w:type="auto"/>
            <w:tcBorders>
              <w:top w:val="single" w:sz="12" w:space="0" w:color="auto"/>
            </w:tcBorders>
            <w:hideMark/>
          </w:tcPr>
          <w:p w14:paraId="1F7E7DD6" w14:textId="4A708CE3" w:rsidR="00F16E6B" w:rsidRPr="008C654B" w:rsidRDefault="009B2E5F" w:rsidP="008C654B">
            <w:pPr>
              <w:jc w:val="center"/>
              <w:rPr>
                <w:b/>
                <w:bCs/>
                <w:sz w:val="22"/>
                <w:szCs w:val="20"/>
                <w:lang w:val="en-US"/>
              </w:rPr>
            </w:pPr>
            <w:r w:rsidRPr="008C654B">
              <w:rPr>
                <w:b/>
                <w:bCs/>
                <w:sz w:val="22"/>
                <w:szCs w:val="20"/>
                <w:lang w:val="en-US"/>
              </w:rPr>
              <w:t>Month - 09</w:t>
            </w:r>
          </w:p>
        </w:tc>
        <w:tc>
          <w:tcPr>
            <w:tcW w:w="0" w:type="auto"/>
            <w:tcBorders>
              <w:top w:val="single" w:sz="12" w:space="0" w:color="auto"/>
            </w:tcBorders>
            <w:hideMark/>
          </w:tcPr>
          <w:p w14:paraId="52AE3509" w14:textId="6DE363C8" w:rsidR="00F16E6B" w:rsidRPr="008C654B" w:rsidRDefault="009B2E5F" w:rsidP="008C654B">
            <w:pPr>
              <w:jc w:val="center"/>
              <w:rPr>
                <w:b/>
                <w:bCs/>
                <w:sz w:val="22"/>
                <w:szCs w:val="20"/>
                <w:lang w:val="en-US"/>
              </w:rPr>
            </w:pPr>
            <w:r w:rsidRPr="008C654B">
              <w:rPr>
                <w:b/>
                <w:bCs/>
                <w:sz w:val="22"/>
                <w:szCs w:val="20"/>
                <w:lang w:val="en-US"/>
              </w:rPr>
              <w:t>Month - 10</w:t>
            </w:r>
          </w:p>
        </w:tc>
        <w:tc>
          <w:tcPr>
            <w:tcW w:w="0" w:type="auto"/>
            <w:tcBorders>
              <w:top w:val="single" w:sz="12" w:space="0" w:color="auto"/>
            </w:tcBorders>
            <w:hideMark/>
          </w:tcPr>
          <w:p w14:paraId="00358040" w14:textId="566D3763" w:rsidR="00F16E6B" w:rsidRPr="008C654B" w:rsidRDefault="009B2E5F" w:rsidP="008C654B">
            <w:pPr>
              <w:jc w:val="center"/>
              <w:rPr>
                <w:b/>
                <w:bCs/>
                <w:sz w:val="22"/>
                <w:szCs w:val="20"/>
                <w:lang w:val="en-US"/>
              </w:rPr>
            </w:pPr>
            <w:r w:rsidRPr="008C654B">
              <w:rPr>
                <w:b/>
                <w:bCs/>
                <w:sz w:val="22"/>
                <w:szCs w:val="20"/>
                <w:lang w:val="en-US"/>
              </w:rPr>
              <w:t>Month - 11</w:t>
            </w:r>
          </w:p>
        </w:tc>
        <w:tc>
          <w:tcPr>
            <w:tcW w:w="852" w:type="dxa"/>
            <w:tcBorders>
              <w:top w:val="single" w:sz="12" w:space="0" w:color="auto"/>
              <w:right w:val="single" w:sz="12" w:space="0" w:color="auto"/>
            </w:tcBorders>
            <w:hideMark/>
          </w:tcPr>
          <w:p w14:paraId="1F85D2E5" w14:textId="22349136" w:rsidR="00F16E6B" w:rsidRPr="008C654B" w:rsidRDefault="009B2E5F" w:rsidP="008C654B">
            <w:pPr>
              <w:jc w:val="center"/>
              <w:rPr>
                <w:b/>
                <w:bCs/>
                <w:sz w:val="22"/>
                <w:szCs w:val="20"/>
                <w:lang w:val="en-US"/>
              </w:rPr>
            </w:pPr>
            <w:r w:rsidRPr="008C654B">
              <w:rPr>
                <w:b/>
                <w:bCs/>
                <w:sz w:val="22"/>
                <w:szCs w:val="20"/>
                <w:lang w:val="en-US"/>
              </w:rPr>
              <w:t>Month - 12</w:t>
            </w:r>
          </w:p>
        </w:tc>
      </w:tr>
      <w:tr w:rsidR="00FC0F60" w14:paraId="7E9CA077" w14:textId="77777777" w:rsidTr="00840DCE">
        <w:trPr>
          <w:trHeight w:val="836"/>
          <w:jc w:val="center"/>
        </w:trPr>
        <w:tc>
          <w:tcPr>
            <w:tcW w:w="0" w:type="auto"/>
            <w:tcBorders>
              <w:left w:val="single" w:sz="12" w:space="0" w:color="auto"/>
            </w:tcBorders>
            <w:hideMark/>
          </w:tcPr>
          <w:p w14:paraId="334D2F62" w14:textId="77777777" w:rsidR="00F16E6B" w:rsidRPr="008C654B" w:rsidRDefault="009B2E5F" w:rsidP="008C654B">
            <w:pPr>
              <w:rPr>
                <w:b/>
                <w:bCs/>
                <w:lang w:val="en-US"/>
              </w:rPr>
            </w:pPr>
            <w:r w:rsidRPr="008C654B">
              <w:rPr>
                <w:b/>
                <w:bCs/>
                <w:lang w:val="en-US"/>
              </w:rPr>
              <w:t>Governance, surveys and approvals</w:t>
            </w:r>
          </w:p>
        </w:tc>
        <w:tc>
          <w:tcPr>
            <w:tcW w:w="0" w:type="auto"/>
            <w:shd w:val="clear" w:color="auto" w:fill="5B9BD5" w:themeFill="accent1"/>
            <w:hideMark/>
          </w:tcPr>
          <w:p w14:paraId="331F8EA8" w14:textId="6CD39939" w:rsidR="00F16E6B" w:rsidRPr="00F16E6B" w:rsidRDefault="00F16E6B" w:rsidP="008C654B">
            <w:pPr>
              <w:rPr>
                <w:lang w:val="en-US"/>
              </w:rPr>
            </w:pPr>
          </w:p>
        </w:tc>
        <w:tc>
          <w:tcPr>
            <w:tcW w:w="0" w:type="auto"/>
            <w:shd w:val="clear" w:color="auto" w:fill="5B9BD5" w:themeFill="accent1"/>
            <w:hideMark/>
          </w:tcPr>
          <w:p w14:paraId="5CB08484" w14:textId="406138FA" w:rsidR="00F16E6B" w:rsidRPr="00F16E6B" w:rsidRDefault="00F16E6B" w:rsidP="008C654B">
            <w:pPr>
              <w:rPr>
                <w:lang w:val="en-US"/>
              </w:rPr>
            </w:pPr>
          </w:p>
        </w:tc>
        <w:tc>
          <w:tcPr>
            <w:tcW w:w="0" w:type="auto"/>
            <w:shd w:val="clear" w:color="auto" w:fill="5B9BD5" w:themeFill="accent1"/>
            <w:hideMark/>
          </w:tcPr>
          <w:p w14:paraId="7AD8B2B6" w14:textId="33BEF8F2" w:rsidR="00F16E6B" w:rsidRPr="00F16E6B" w:rsidRDefault="00F16E6B" w:rsidP="008C654B">
            <w:pPr>
              <w:rPr>
                <w:lang w:val="en-US"/>
              </w:rPr>
            </w:pPr>
          </w:p>
        </w:tc>
        <w:tc>
          <w:tcPr>
            <w:tcW w:w="0" w:type="auto"/>
            <w:shd w:val="clear" w:color="auto" w:fill="5B9BD5" w:themeFill="accent1"/>
            <w:hideMark/>
          </w:tcPr>
          <w:p w14:paraId="664CEC7F" w14:textId="5FF421BB" w:rsidR="00F16E6B" w:rsidRPr="00F16E6B" w:rsidRDefault="00F16E6B" w:rsidP="008C654B">
            <w:pPr>
              <w:rPr>
                <w:lang w:val="en-US"/>
              </w:rPr>
            </w:pPr>
          </w:p>
        </w:tc>
        <w:tc>
          <w:tcPr>
            <w:tcW w:w="0" w:type="auto"/>
            <w:hideMark/>
          </w:tcPr>
          <w:p w14:paraId="3019B20F" w14:textId="77777777" w:rsidR="00F16E6B" w:rsidRPr="00F16E6B" w:rsidRDefault="00F16E6B" w:rsidP="008C654B">
            <w:pPr>
              <w:rPr>
                <w:lang w:val="en-US"/>
              </w:rPr>
            </w:pPr>
          </w:p>
        </w:tc>
        <w:tc>
          <w:tcPr>
            <w:tcW w:w="0" w:type="auto"/>
            <w:hideMark/>
          </w:tcPr>
          <w:p w14:paraId="64D0AED5" w14:textId="77777777" w:rsidR="00F16E6B" w:rsidRPr="00F16E6B" w:rsidRDefault="00F16E6B" w:rsidP="008C654B">
            <w:pPr>
              <w:rPr>
                <w:sz w:val="20"/>
                <w:szCs w:val="20"/>
                <w:lang w:val="en-US"/>
              </w:rPr>
            </w:pPr>
          </w:p>
        </w:tc>
        <w:tc>
          <w:tcPr>
            <w:tcW w:w="0" w:type="auto"/>
            <w:hideMark/>
          </w:tcPr>
          <w:p w14:paraId="34D002DD" w14:textId="77777777" w:rsidR="00F16E6B" w:rsidRPr="00F16E6B" w:rsidRDefault="00F16E6B" w:rsidP="008C654B">
            <w:pPr>
              <w:rPr>
                <w:sz w:val="20"/>
                <w:szCs w:val="20"/>
                <w:lang w:val="en-US"/>
              </w:rPr>
            </w:pPr>
          </w:p>
        </w:tc>
        <w:tc>
          <w:tcPr>
            <w:tcW w:w="0" w:type="auto"/>
            <w:hideMark/>
          </w:tcPr>
          <w:p w14:paraId="2B0A97D3" w14:textId="77777777" w:rsidR="00F16E6B" w:rsidRPr="00F16E6B" w:rsidRDefault="00F16E6B" w:rsidP="008C654B">
            <w:pPr>
              <w:rPr>
                <w:sz w:val="20"/>
                <w:szCs w:val="20"/>
                <w:lang w:val="en-US"/>
              </w:rPr>
            </w:pPr>
          </w:p>
        </w:tc>
        <w:tc>
          <w:tcPr>
            <w:tcW w:w="0" w:type="auto"/>
            <w:hideMark/>
          </w:tcPr>
          <w:p w14:paraId="506F54B1" w14:textId="77777777" w:rsidR="00F16E6B" w:rsidRPr="00F16E6B" w:rsidRDefault="00F16E6B" w:rsidP="008C654B">
            <w:pPr>
              <w:rPr>
                <w:sz w:val="20"/>
                <w:szCs w:val="20"/>
                <w:lang w:val="en-US"/>
              </w:rPr>
            </w:pPr>
          </w:p>
        </w:tc>
        <w:tc>
          <w:tcPr>
            <w:tcW w:w="0" w:type="auto"/>
            <w:hideMark/>
          </w:tcPr>
          <w:p w14:paraId="5A10D860" w14:textId="77777777" w:rsidR="00F16E6B" w:rsidRPr="00F16E6B" w:rsidRDefault="00F16E6B" w:rsidP="008C654B">
            <w:pPr>
              <w:rPr>
                <w:sz w:val="20"/>
                <w:szCs w:val="20"/>
                <w:lang w:val="en-US"/>
              </w:rPr>
            </w:pPr>
          </w:p>
        </w:tc>
        <w:tc>
          <w:tcPr>
            <w:tcW w:w="0" w:type="auto"/>
            <w:hideMark/>
          </w:tcPr>
          <w:p w14:paraId="5349BF0E" w14:textId="77777777" w:rsidR="00F16E6B" w:rsidRPr="00F16E6B" w:rsidRDefault="00F16E6B" w:rsidP="008C654B">
            <w:pPr>
              <w:rPr>
                <w:sz w:val="20"/>
                <w:szCs w:val="20"/>
                <w:lang w:val="en-US"/>
              </w:rPr>
            </w:pPr>
          </w:p>
        </w:tc>
        <w:tc>
          <w:tcPr>
            <w:tcW w:w="852" w:type="dxa"/>
            <w:tcBorders>
              <w:right w:val="single" w:sz="12" w:space="0" w:color="auto"/>
            </w:tcBorders>
            <w:hideMark/>
          </w:tcPr>
          <w:p w14:paraId="4F33504E" w14:textId="77777777" w:rsidR="00F16E6B" w:rsidRPr="00F16E6B" w:rsidRDefault="00F16E6B" w:rsidP="008C654B">
            <w:pPr>
              <w:rPr>
                <w:sz w:val="20"/>
                <w:szCs w:val="20"/>
                <w:lang w:val="en-US"/>
              </w:rPr>
            </w:pPr>
          </w:p>
        </w:tc>
      </w:tr>
      <w:tr w:rsidR="00FC0F60" w14:paraId="07FD5644" w14:textId="77777777" w:rsidTr="00840DCE">
        <w:trPr>
          <w:trHeight w:val="824"/>
          <w:jc w:val="center"/>
        </w:trPr>
        <w:tc>
          <w:tcPr>
            <w:tcW w:w="0" w:type="auto"/>
            <w:tcBorders>
              <w:left w:val="single" w:sz="12" w:space="0" w:color="auto"/>
            </w:tcBorders>
            <w:hideMark/>
          </w:tcPr>
          <w:p w14:paraId="59C4F728" w14:textId="77777777" w:rsidR="00F16E6B" w:rsidRPr="008C654B" w:rsidRDefault="009B2E5F" w:rsidP="008C654B">
            <w:pPr>
              <w:rPr>
                <w:b/>
                <w:bCs/>
                <w:lang w:val="en-US"/>
              </w:rPr>
            </w:pPr>
            <w:r w:rsidRPr="008C654B">
              <w:rPr>
                <w:b/>
                <w:bCs/>
                <w:lang w:val="en-US"/>
              </w:rPr>
              <w:t>Detailed design and procurement</w:t>
            </w:r>
          </w:p>
        </w:tc>
        <w:tc>
          <w:tcPr>
            <w:tcW w:w="0" w:type="auto"/>
            <w:hideMark/>
          </w:tcPr>
          <w:p w14:paraId="744A922B" w14:textId="77777777" w:rsidR="00F16E6B" w:rsidRPr="00F16E6B" w:rsidRDefault="00F16E6B" w:rsidP="008C654B">
            <w:pPr>
              <w:rPr>
                <w:lang w:val="en-US"/>
              </w:rPr>
            </w:pPr>
          </w:p>
        </w:tc>
        <w:tc>
          <w:tcPr>
            <w:tcW w:w="0" w:type="auto"/>
            <w:hideMark/>
          </w:tcPr>
          <w:p w14:paraId="6BD67740" w14:textId="77777777" w:rsidR="00F16E6B" w:rsidRPr="00F16E6B" w:rsidRDefault="00F16E6B" w:rsidP="008C654B">
            <w:pPr>
              <w:rPr>
                <w:sz w:val="20"/>
                <w:szCs w:val="20"/>
                <w:lang w:val="en-US"/>
              </w:rPr>
            </w:pPr>
          </w:p>
        </w:tc>
        <w:tc>
          <w:tcPr>
            <w:tcW w:w="0" w:type="auto"/>
            <w:shd w:val="clear" w:color="auto" w:fill="5B9BD5" w:themeFill="accent1"/>
            <w:hideMark/>
          </w:tcPr>
          <w:p w14:paraId="1DA9C75E" w14:textId="544115F4" w:rsidR="00F16E6B" w:rsidRPr="00F16E6B" w:rsidRDefault="00F16E6B" w:rsidP="008C654B">
            <w:pPr>
              <w:rPr>
                <w:lang w:val="en-US"/>
              </w:rPr>
            </w:pPr>
          </w:p>
        </w:tc>
        <w:tc>
          <w:tcPr>
            <w:tcW w:w="0" w:type="auto"/>
            <w:shd w:val="clear" w:color="auto" w:fill="5B9BD5" w:themeFill="accent1"/>
            <w:hideMark/>
          </w:tcPr>
          <w:p w14:paraId="15521108" w14:textId="57E3ABC2" w:rsidR="00F16E6B" w:rsidRPr="00F16E6B" w:rsidRDefault="00F16E6B" w:rsidP="008C654B">
            <w:pPr>
              <w:rPr>
                <w:lang w:val="en-US"/>
              </w:rPr>
            </w:pPr>
          </w:p>
        </w:tc>
        <w:tc>
          <w:tcPr>
            <w:tcW w:w="0" w:type="auto"/>
            <w:shd w:val="clear" w:color="auto" w:fill="5B9BD5" w:themeFill="accent1"/>
            <w:hideMark/>
          </w:tcPr>
          <w:p w14:paraId="08641602" w14:textId="5778FF36" w:rsidR="00F16E6B" w:rsidRPr="00F16E6B" w:rsidRDefault="00F16E6B" w:rsidP="008C654B">
            <w:pPr>
              <w:rPr>
                <w:lang w:val="en-US"/>
              </w:rPr>
            </w:pPr>
          </w:p>
        </w:tc>
        <w:tc>
          <w:tcPr>
            <w:tcW w:w="0" w:type="auto"/>
            <w:shd w:val="clear" w:color="auto" w:fill="5B9BD5" w:themeFill="accent1"/>
            <w:hideMark/>
          </w:tcPr>
          <w:p w14:paraId="02AD03C0" w14:textId="06110EFF" w:rsidR="00F16E6B" w:rsidRPr="00F16E6B" w:rsidRDefault="00F16E6B" w:rsidP="008C654B">
            <w:pPr>
              <w:rPr>
                <w:lang w:val="en-US"/>
              </w:rPr>
            </w:pPr>
          </w:p>
        </w:tc>
        <w:tc>
          <w:tcPr>
            <w:tcW w:w="0" w:type="auto"/>
            <w:hideMark/>
          </w:tcPr>
          <w:p w14:paraId="427598FE" w14:textId="77777777" w:rsidR="00F16E6B" w:rsidRPr="00F16E6B" w:rsidRDefault="00F16E6B" w:rsidP="008C654B">
            <w:pPr>
              <w:rPr>
                <w:lang w:val="en-US"/>
              </w:rPr>
            </w:pPr>
          </w:p>
        </w:tc>
        <w:tc>
          <w:tcPr>
            <w:tcW w:w="0" w:type="auto"/>
            <w:hideMark/>
          </w:tcPr>
          <w:p w14:paraId="347B239D" w14:textId="77777777" w:rsidR="00F16E6B" w:rsidRPr="00F16E6B" w:rsidRDefault="00F16E6B" w:rsidP="008C654B">
            <w:pPr>
              <w:rPr>
                <w:sz w:val="20"/>
                <w:szCs w:val="20"/>
                <w:lang w:val="en-US"/>
              </w:rPr>
            </w:pPr>
          </w:p>
        </w:tc>
        <w:tc>
          <w:tcPr>
            <w:tcW w:w="0" w:type="auto"/>
            <w:hideMark/>
          </w:tcPr>
          <w:p w14:paraId="7312189F" w14:textId="77777777" w:rsidR="00F16E6B" w:rsidRPr="00F16E6B" w:rsidRDefault="00F16E6B" w:rsidP="008C654B">
            <w:pPr>
              <w:rPr>
                <w:sz w:val="20"/>
                <w:szCs w:val="20"/>
                <w:lang w:val="en-US"/>
              </w:rPr>
            </w:pPr>
          </w:p>
        </w:tc>
        <w:tc>
          <w:tcPr>
            <w:tcW w:w="0" w:type="auto"/>
            <w:hideMark/>
          </w:tcPr>
          <w:p w14:paraId="18477CC2" w14:textId="77777777" w:rsidR="00F16E6B" w:rsidRPr="00F16E6B" w:rsidRDefault="00F16E6B" w:rsidP="008C654B">
            <w:pPr>
              <w:rPr>
                <w:sz w:val="20"/>
                <w:szCs w:val="20"/>
                <w:lang w:val="en-US"/>
              </w:rPr>
            </w:pPr>
          </w:p>
        </w:tc>
        <w:tc>
          <w:tcPr>
            <w:tcW w:w="0" w:type="auto"/>
            <w:hideMark/>
          </w:tcPr>
          <w:p w14:paraId="0989CEA9" w14:textId="77777777" w:rsidR="00F16E6B" w:rsidRPr="00F16E6B" w:rsidRDefault="00F16E6B" w:rsidP="008C654B">
            <w:pPr>
              <w:rPr>
                <w:sz w:val="20"/>
                <w:szCs w:val="20"/>
                <w:lang w:val="en-US"/>
              </w:rPr>
            </w:pPr>
          </w:p>
        </w:tc>
        <w:tc>
          <w:tcPr>
            <w:tcW w:w="852" w:type="dxa"/>
            <w:tcBorders>
              <w:right w:val="single" w:sz="12" w:space="0" w:color="auto"/>
            </w:tcBorders>
            <w:hideMark/>
          </w:tcPr>
          <w:p w14:paraId="06C9D502" w14:textId="77777777" w:rsidR="00F16E6B" w:rsidRPr="00F16E6B" w:rsidRDefault="00F16E6B" w:rsidP="008C654B">
            <w:pPr>
              <w:rPr>
                <w:sz w:val="20"/>
                <w:szCs w:val="20"/>
                <w:lang w:val="en-US"/>
              </w:rPr>
            </w:pPr>
          </w:p>
        </w:tc>
      </w:tr>
      <w:tr w:rsidR="00FC0F60" w14:paraId="07FC7870" w14:textId="77777777" w:rsidTr="00840DCE">
        <w:trPr>
          <w:trHeight w:val="836"/>
          <w:jc w:val="center"/>
        </w:trPr>
        <w:tc>
          <w:tcPr>
            <w:tcW w:w="0" w:type="auto"/>
            <w:tcBorders>
              <w:left w:val="single" w:sz="12" w:space="0" w:color="auto"/>
            </w:tcBorders>
            <w:hideMark/>
          </w:tcPr>
          <w:p w14:paraId="1CE32C72" w14:textId="77777777" w:rsidR="00F16E6B" w:rsidRPr="008C654B" w:rsidRDefault="009B2E5F" w:rsidP="008C654B">
            <w:pPr>
              <w:rPr>
                <w:b/>
                <w:bCs/>
                <w:lang w:val="en-US"/>
              </w:rPr>
            </w:pPr>
            <w:r w:rsidRPr="008C654B">
              <w:rPr>
                <w:b/>
                <w:bCs/>
                <w:lang w:val="en-US"/>
              </w:rPr>
              <w:t>Enabling works and diversions</w:t>
            </w:r>
          </w:p>
        </w:tc>
        <w:tc>
          <w:tcPr>
            <w:tcW w:w="0" w:type="auto"/>
            <w:hideMark/>
          </w:tcPr>
          <w:p w14:paraId="522CDEAA" w14:textId="77777777" w:rsidR="00F16E6B" w:rsidRPr="00F16E6B" w:rsidRDefault="00F16E6B" w:rsidP="008C654B">
            <w:pPr>
              <w:rPr>
                <w:lang w:val="en-US"/>
              </w:rPr>
            </w:pPr>
          </w:p>
        </w:tc>
        <w:tc>
          <w:tcPr>
            <w:tcW w:w="0" w:type="auto"/>
            <w:hideMark/>
          </w:tcPr>
          <w:p w14:paraId="1E670404" w14:textId="77777777" w:rsidR="00F16E6B" w:rsidRPr="00F16E6B" w:rsidRDefault="00F16E6B" w:rsidP="008C654B">
            <w:pPr>
              <w:rPr>
                <w:sz w:val="20"/>
                <w:szCs w:val="20"/>
                <w:lang w:val="en-US"/>
              </w:rPr>
            </w:pPr>
          </w:p>
        </w:tc>
        <w:tc>
          <w:tcPr>
            <w:tcW w:w="0" w:type="auto"/>
            <w:hideMark/>
          </w:tcPr>
          <w:p w14:paraId="7111C246" w14:textId="77777777" w:rsidR="00F16E6B" w:rsidRPr="00F16E6B" w:rsidRDefault="00F16E6B" w:rsidP="008C654B">
            <w:pPr>
              <w:rPr>
                <w:sz w:val="20"/>
                <w:szCs w:val="20"/>
                <w:lang w:val="en-US"/>
              </w:rPr>
            </w:pPr>
          </w:p>
        </w:tc>
        <w:tc>
          <w:tcPr>
            <w:tcW w:w="0" w:type="auto"/>
            <w:hideMark/>
          </w:tcPr>
          <w:p w14:paraId="5156F9CE" w14:textId="77777777" w:rsidR="00F16E6B" w:rsidRPr="00F16E6B" w:rsidRDefault="00F16E6B" w:rsidP="008C654B">
            <w:pPr>
              <w:rPr>
                <w:sz w:val="20"/>
                <w:szCs w:val="20"/>
                <w:lang w:val="en-US"/>
              </w:rPr>
            </w:pPr>
          </w:p>
        </w:tc>
        <w:tc>
          <w:tcPr>
            <w:tcW w:w="0" w:type="auto"/>
            <w:shd w:val="clear" w:color="auto" w:fill="5B9BD5" w:themeFill="accent1"/>
            <w:hideMark/>
          </w:tcPr>
          <w:p w14:paraId="10BA2FC7" w14:textId="75C0F201" w:rsidR="00F16E6B" w:rsidRPr="00F16E6B" w:rsidRDefault="00F16E6B" w:rsidP="008C654B">
            <w:pPr>
              <w:rPr>
                <w:lang w:val="en-US"/>
              </w:rPr>
            </w:pPr>
          </w:p>
        </w:tc>
        <w:tc>
          <w:tcPr>
            <w:tcW w:w="0" w:type="auto"/>
            <w:shd w:val="clear" w:color="auto" w:fill="5B9BD5" w:themeFill="accent1"/>
            <w:hideMark/>
          </w:tcPr>
          <w:p w14:paraId="51C793E6" w14:textId="0C6E124E" w:rsidR="00F16E6B" w:rsidRPr="00F16E6B" w:rsidRDefault="00F16E6B" w:rsidP="008C654B">
            <w:pPr>
              <w:rPr>
                <w:lang w:val="en-US"/>
              </w:rPr>
            </w:pPr>
          </w:p>
        </w:tc>
        <w:tc>
          <w:tcPr>
            <w:tcW w:w="0" w:type="auto"/>
            <w:shd w:val="clear" w:color="auto" w:fill="5B9BD5" w:themeFill="accent1"/>
            <w:hideMark/>
          </w:tcPr>
          <w:p w14:paraId="7081B7A4" w14:textId="7B8730F5" w:rsidR="00F16E6B" w:rsidRPr="00F16E6B" w:rsidRDefault="00F16E6B" w:rsidP="008C654B">
            <w:pPr>
              <w:rPr>
                <w:lang w:val="en-US"/>
              </w:rPr>
            </w:pPr>
          </w:p>
        </w:tc>
        <w:tc>
          <w:tcPr>
            <w:tcW w:w="0" w:type="auto"/>
            <w:hideMark/>
          </w:tcPr>
          <w:p w14:paraId="3B6F0DA8" w14:textId="77777777" w:rsidR="00F16E6B" w:rsidRPr="00F16E6B" w:rsidRDefault="00F16E6B" w:rsidP="008C654B">
            <w:pPr>
              <w:rPr>
                <w:lang w:val="en-US"/>
              </w:rPr>
            </w:pPr>
          </w:p>
        </w:tc>
        <w:tc>
          <w:tcPr>
            <w:tcW w:w="0" w:type="auto"/>
            <w:hideMark/>
          </w:tcPr>
          <w:p w14:paraId="2E6BC245" w14:textId="77777777" w:rsidR="00F16E6B" w:rsidRPr="00F16E6B" w:rsidRDefault="00F16E6B" w:rsidP="008C654B">
            <w:pPr>
              <w:rPr>
                <w:sz w:val="20"/>
                <w:szCs w:val="20"/>
                <w:lang w:val="en-US"/>
              </w:rPr>
            </w:pPr>
          </w:p>
        </w:tc>
        <w:tc>
          <w:tcPr>
            <w:tcW w:w="0" w:type="auto"/>
            <w:hideMark/>
          </w:tcPr>
          <w:p w14:paraId="77089B8B" w14:textId="77777777" w:rsidR="00F16E6B" w:rsidRPr="00F16E6B" w:rsidRDefault="00F16E6B" w:rsidP="008C654B">
            <w:pPr>
              <w:rPr>
                <w:sz w:val="20"/>
                <w:szCs w:val="20"/>
                <w:lang w:val="en-US"/>
              </w:rPr>
            </w:pPr>
          </w:p>
        </w:tc>
        <w:tc>
          <w:tcPr>
            <w:tcW w:w="0" w:type="auto"/>
            <w:hideMark/>
          </w:tcPr>
          <w:p w14:paraId="20441278" w14:textId="77777777" w:rsidR="00F16E6B" w:rsidRPr="00F16E6B" w:rsidRDefault="00F16E6B" w:rsidP="008C654B">
            <w:pPr>
              <w:rPr>
                <w:sz w:val="20"/>
                <w:szCs w:val="20"/>
                <w:lang w:val="en-US"/>
              </w:rPr>
            </w:pPr>
          </w:p>
        </w:tc>
        <w:tc>
          <w:tcPr>
            <w:tcW w:w="852" w:type="dxa"/>
            <w:tcBorders>
              <w:right w:val="single" w:sz="12" w:space="0" w:color="auto"/>
            </w:tcBorders>
            <w:hideMark/>
          </w:tcPr>
          <w:p w14:paraId="6E853984" w14:textId="77777777" w:rsidR="00F16E6B" w:rsidRPr="00F16E6B" w:rsidRDefault="00F16E6B" w:rsidP="008C654B">
            <w:pPr>
              <w:rPr>
                <w:sz w:val="20"/>
                <w:szCs w:val="20"/>
                <w:lang w:val="en-US"/>
              </w:rPr>
            </w:pPr>
          </w:p>
        </w:tc>
      </w:tr>
      <w:tr w:rsidR="00FC0F60" w14:paraId="0E646B68" w14:textId="77777777" w:rsidTr="00840DCE">
        <w:trPr>
          <w:trHeight w:val="836"/>
          <w:jc w:val="center"/>
        </w:trPr>
        <w:tc>
          <w:tcPr>
            <w:tcW w:w="0" w:type="auto"/>
            <w:tcBorders>
              <w:left w:val="single" w:sz="12" w:space="0" w:color="auto"/>
            </w:tcBorders>
            <w:hideMark/>
          </w:tcPr>
          <w:p w14:paraId="7BA52159" w14:textId="77777777" w:rsidR="00F16E6B" w:rsidRPr="008C654B" w:rsidRDefault="009B2E5F" w:rsidP="008C654B">
            <w:pPr>
              <w:rPr>
                <w:b/>
                <w:bCs/>
                <w:lang w:val="en-US"/>
              </w:rPr>
            </w:pPr>
            <w:r w:rsidRPr="008C654B">
              <w:rPr>
                <w:b/>
                <w:bCs/>
                <w:lang w:val="en-US"/>
              </w:rPr>
              <w:t>Demolition and core construction</w:t>
            </w:r>
          </w:p>
        </w:tc>
        <w:tc>
          <w:tcPr>
            <w:tcW w:w="0" w:type="auto"/>
            <w:hideMark/>
          </w:tcPr>
          <w:p w14:paraId="08FD4A2C" w14:textId="77777777" w:rsidR="00F16E6B" w:rsidRPr="00F16E6B" w:rsidRDefault="00F16E6B" w:rsidP="008C654B">
            <w:pPr>
              <w:rPr>
                <w:lang w:val="en-US"/>
              </w:rPr>
            </w:pPr>
          </w:p>
        </w:tc>
        <w:tc>
          <w:tcPr>
            <w:tcW w:w="0" w:type="auto"/>
            <w:hideMark/>
          </w:tcPr>
          <w:p w14:paraId="781330C1" w14:textId="77777777" w:rsidR="00F16E6B" w:rsidRPr="00F16E6B" w:rsidRDefault="00F16E6B" w:rsidP="008C654B">
            <w:pPr>
              <w:rPr>
                <w:sz w:val="20"/>
                <w:szCs w:val="20"/>
                <w:lang w:val="en-US"/>
              </w:rPr>
            </w:pPr>
          </w:p>
        </w:tc>
        <w:tc>
          <w:tcPr>
            <w:tcW w:w="0" w:type="auto"/>
            <w:hideMark/>
          </w:tcPr>
          <w:p w14:paraId="134253DA" w14:textId="77777777" w:rsidR="00F16E6B" w:rsidRPr="00F16E6B" w:rsidRDefault="00F16E6B" w:rsidP="008C654B">
            <w:pPr>
              <w:rPr>
                <w:sz w:val="20"/>
                <w:szCs w:val="20"/>
                <w:lang w:val="en-US"/>
              </w:rPr>
            </w:pPr>
          </w:p>
        </w:tc>
        <w:tc>
          <w:tcPr>
            <w:tcW w:w="0" w:type="auto"/>
            <w:hideMark/>
          </w:tcPr>
          <w:p w14:paraId="72978FDC" w14:textId="77777777" w:rsidR="00F16E6B" w:rsidRPr="00F16E6B" w:rsidRDefault="00F16E6B" w:rsidP="008C654B">
            <w:pPr>
              <w:rPr>
                <w:sz w:val="20"/>
                <w:szCs w:val="20"/>
                <w:lang w:val="en-US"/>
              </w:rPr>
            </w:pPr>
          </w:p>
        </w:tc>
        <w:tc>
          <w:tcPr>
            <w:tcW w:w="0" w:type="auto"/>
            <w:hideMark/>
          </w:tcPr>
          <w:p w14:paraId="3B76D792" w14:textId="77777777" w:rsidR="00F16E6B" w:rsidRPr="00F16E6B" w:rsidRDefault="00F16E6B" w:rsidP="008C654B">
            <w:pPr>
              <w:rPr>
                <w:sz w:val="20"/>
                <w:szCs w:val="20"/>
                <w:lang w:val="en-US"/>
              </w:rPr>
            </w:pPr>
          </w:p>
        </w:tc>
        <w:tc>
          <w:tcPr>
            <w:tcW w:w="0" w:type="auto"/>
            <w:hideMark/>
          </w:tcPr>
          <w:p w14:paraId="5938BE33" w14:textId="77777777" w:rsidR="00F16E6B" w:rsidRPr="00F16E6B" w:rsidRDefault="00F16E6B" w:rsidP="008C654B">
            <w:pPr>
              <w:rPr>
                <w:sz w:val="20"/>
                <w:szCs w:val="20"/>
                <w:lang w:val="en-US"/>
              </w:rPr>
            </w:pPr>
          </w:p>
        </w:tc>
        <w:tc>
          <w:tcPr>
            <w:tcW w:w="0" w:type="auto"/>
            <w:shd w:val="clear" w:color="auto" w:fill="5B9BD5" w:themeFill="accent1"/>
            <w:hideMark/>
          </w:tcPr>
          <w:p w14:paraId="70E59346" w14:textId="49451D70" w:rsidR="00F16E6B" w:rsidRPr="00F16E6B" w:rsidRDefault="00F16E6B" w:rsidP="008C654B">
            <w:pPr>
              <w:rPr>
                <w:lang w:val="en-US"/>
              </w:rPr>
            </w:pPr>
          </w:p>
        </w:tc>
        <w:tc>
          <w:tcPr>
            <w:tcW w:w="0" w:type="auto"/>
            <w:shd w:val="clear" w:color="auto" w:fill="5B9BD5" w:themeFill="accent1"/>
            <w:hideMark/>
          </w:tcPr>
          <w:p w14:paraId="324FE216" w14:textId="2B432091" w:rsidR="00F16E6B" w:rsidRPr="00F16E6B" w:rsidRDefault="00F16E6B" w:rsidP="008C654B">
            <w:pPr>
              <w:rPr>
                <w:lang w:val="en-US"/>
              </w:rPr>
            </w:pPr>
          </w:p>
        </w:tc>
        <w:tc>
          <w:tcPr>
            <w:tcW w:w="0" w:type="auto"/>
            <w:shd w:val="clear" w:color="auto" w:fill="5B9BD5" w:themeFill="accent1"/>
            <w:hideMark/>
          </w:tcPr>
          <w:p w14:paraId="3DA130FF" w14:textId="00DFF83E" w:rsidR="00F16E6B" w:rsidRPr="00F16E6B" w:rsidRDefault="00F16E6B" w:rsidP="008C654B">
            <w:pPr>
              <w:rPr>
                <w:lang w:val="en-US"/>
              </w:rPr>
            </w:pPr>
          </w:p>
        </w:tc>
        <w:tc>
          <w:tcPr>
            <w:tcW w:w="0" w:type="auto"/>
            <w:shd w:val="clear" w:color="auto" w:fill="5B9BD5" w:themeFill="accent1"/>
            <w:hideMark/>
          </w:tcPr>
          <w:p w14:paraId="6BE179A8" w14:textId="54E56EFE" w:rsidR="00F16E6B" w:rsidRPr="00F16E6B" w:rsidRDefault="00F16E6B" w:rsidP="008C654B">
            <w:pPr>
              <w:rPr>
                <w:lang w:val="en-US"/>
              </w:rPr>
            </w:pPr>
          </w:p>
        </w:tc>
        <w:tc>
          <w:tcPr>
            <w:tcW w:w="0" w:type="auto"/>
            <w:hideMark/>
          </w:tcPr>
          <w:p w14:paraId="440505C3" w14:textId="77777777" w:rsidR="00F16E6B" w:rsidRPr="00F16E6B" w:rsidRDefault="00F16E6B" w:rsidP="008C654B">
            <w:pPr>
              <w:rPr>
                <w:lang w:val="en-US"/>
              </w:rPr>
            </w:pPr>
          </w:p>
        </w:tc>
        <w:tc>
          <w:tcPr>
            <w:tcW w:w="852" w:type="dxa"/>
            <w:tcBorders>
              <w:right w:val="single" w:sz="12" w:space="0" w:color="auto"/>
            </w:tcBorders>
            <w:hideMark/>
          </w:tcPr>
          <w:p w14:paraId="0FBADAB1" w14:textId="77777777" w:rsidR="00F16E6B" w:rsidRPr="00F16E6B" w:rsidRDefault="00F16E6B" w:rsidP="008C654B">
            <w:pPr>
              <w:rPr>
                <w:sz w:val="20"/>
                <w:szCs w:val="20"/>
                <w:lang w:val="en-US"/>
              </w:rPr>
            </w:pPr>
          </w:p>
        </w:tc>
      </w:tr>
      <w:tr w:rsidR="00FC0F60" w14:paraId="4AF496AC" w14:textId="77777777" w:rsidTr="00840DCE">
        <w:trPr>
          <w:trHeight w:val="836"/>
          <w:jc w:val="center"/>
        </w:trPr>
        <w:tc>
          <w:tcPr>
            <w:tcW w:w="0" w:type="auto"/>
            <w:tcBorders>
              <w:left w:val="single" w:sz="12" w:space="0" w:color="auto"/>
            </w:tcBorders>
            <w:hideMark/>
          </w:tcPr>
          <w:p w14:paraId="3D79239D" w14:textId="77777777" w:rsidR="00F16E6B" w:rsidRPr="008C654B" w:rsidRDefault="009B2E5F" w:rsidP="008C654B">
            <w:pPr>
              <w:rPr>
                <w:b/>
                <w:bCs/>
                <w:lang w:val="en-US"/>
              </w:rPr>
            </w:pPr>
            <w:r w:rsidRPr="008C654B">
              <w:rPr>
                <w:b/>
                <w:bCs/>
                <w:lang w:val="en-US"/>
              </w:rPr>
              <w:t>Net-zero and digital installation</w:t>
            </w:r>
          </w:p>
        </w:tc>
        <w:tc>
          <w:tcPr>
            <w:tcW w:w="0" w:type="auto"/>
            <w:hideMark/>
          </w:tcPr>
          <w:p w14:paraId="6B5805AA" w14:textId="77777777" w:rsidR="00F16E6B" w:rsidRPr="00F16E6B" w:rsidRDefault="00F16E6B" w:rsidP="008C654B">
            <w:pPr>
              <w:rPr>
                <w:lang w:val="en-US"/>
              </w:rPr>
            </w:pPr>
          </w:p>
        </w:tc>
        <w:tc>
          <w:tcPr>
            <w:tcW w:w="0" w:type="auto"/>
            <w:hideMark/>
          </w:tcPr>
          <w:p w14:paraId="2ADE3D7A" w14:textId="77777777" w:rsidR="00F16E6B" w:rsidRPr="00F16E6B" w:rsidRDefault="00F16E6B" w:rsidP="008C654B">
            <w:pPr>
              <w:rPr>
                <w:sz w:val="20"/>
                <w:szCs w:val="20"/>
                <w:lang w:val="en-US"/>
              </w:rPr>
            </w:pPr>
          </w:p>
        </w:tc>
        <w:tc>
          <w:tcPr>
            <w:tcW w:w="0" w:type="auto"/>
            <w:hideMark/>
          </w:tcPr>
          <w:p w14:paraId="2AE92865" w14:textId="77777777" w:rsidR="00F16E6B" w:rsidRPr="00F16E6B" w:rsidRDefault="00F16E6B" w:rsidP="008C654B">
            <w:pPr>
              <w:rPr>
                <w:sz w:val="20"/>
                <w:szCs w:val="20"/>
                <w:lang w:val="en-US"/>
              </w:rPr>
            </w:pPr>
          </w:p>
        </w:tc>
        <w:tc>
          <w:tcPr>
            <w:tcW w:w="0" w:type="auto"/>
            <w:hideMark/>
          </w:tcPr>
          <w:p w14:paraId="4DBF7193" w14:textId="77777777" w:rsidR="00F16E6B" w:rsidRPr="00F16E6B" w:rsidRDefault="00F16E6B" w:rsidP="008C654B">
            <w:pPr>
              <w:rPr>
                <w:sz w:val="20"/>
                <w:szCs w:val="20"/>
                <w:lang w:val="en-US"/>
              </w:rPr>
            </w:pPr>
          </w:p>
        </w:tc>
        <w:tc>
          <w:tcPr>
            <w:tcW w:w="0" w:type="auto"/>
            <w:hideMark/>
          </w:tcPr>
          <w:p w14:paraId="4474E7CC" w14:textId="77777777" w:rsidR="00F16E6B" w:rsidRPr="00F16E6B" w:rsidRDefault="00F16E6B" w:rsidP="008C654B">
            <w:pPr>
              <w:rPr>
                <w:sz w:val="20"/>
                <w:szCs w:val="20"/>
                <w:lang w:val="en-US"/>
              </w:rPr>
            </w:pPr>
          </w:p>
        </w:tc>
        <w:tc>
          <w:tcPr>
            <w:tcW w:w="0" w:type="auto"/>
            <w:hideMark/>
          </w:tcPr>
          <w:p w14:paraId="53ED5D51" w14:textId="77777777" w:rsidR="00F16E6B" w:rsidRPr="00F16E6B" w:rsidRDefault="00F16E6B" w:rsidP="008C654B">
            <w:pPr>
              <w:rPr>
                <w:sz w:val="20"/>
                <w:szCs w:val="20"/>
                <w:lang w:val="en-US"/>
              </w:rPr>
            </w:pPr>
          </w:p>
        </w:tc>
        <w:tc>
          <w:tcPr>
            <w:tcW w:w="0" w:type="auto"/>
            <w:hideMark/>
          </w:tcPr>
          <w:p w14:paraId="5421CEF5" w14:textId="77777777" w:rsidR="00F16E6B" w:rsidRPr="00F16E6B" w:rsidRDefault="00F16E6B" w:rsidP="008C654B">
            <w:pPr>
              <w:rPr>
                <w:sz w:val="20"/>
                <w:szCs w:val="20"/>
                <w:lang w:val="en-US"/>
              </w:rPr>
            </w:pPr>
          </w:p>
        </w:tc>
        <w:tc>
          <w:tcPr>
            <w:tcW w:w="0" w:type="auto"/>
            <w:hideMark/>
          </w:tcPr>
          <w:p w14:paraId="300D6160" w14:textId="77777777" w:rsidR="00F16E6B" w:rsidRPr="00F16E6B" w:rsidRDefault="00F16E6B" w:rsidP="008C654B">
            <w:pPr>
              <w:rPr>
                <w:sz w:val="20"/>
                <w:szCs w:val="20"/>
                <w:lang w:val="en-US"/>
              </w:rPr>
            </w:pPr>
          </w:p>
        </w:tc>
        <w:tc>
          <w:tcPr>
            <w:tcW w:w="0" w:type="auto"/>
            <w:shd w:val="clear" w:color="auto" w:fill="5B9BD5" w:themeFill="accent1"/>
            <w:hideMark/>
          </w:tcPr>
          <w:p w14:paraId="0C5D6796" w14:textId="44ED0BAB" w:rsidR="00F16E6B" w:rsidRPr="00F16E6B" w:rsidRDefault="00F16E6B" w:rsidP="008C654B">
            <w:pPr>
              <w:rPr>
                <w:lang w:val="en-US"/>
              </w:rPr>
            </w:pPr>
          </w:p>
        </w:tc>
        <w:tc>
          <w:tcPr>
            <w:tcW w:w="0" w:type="auto"/>
            <w:shd w:val="clear" w:color="auto" w:fill="5B9BD5" w:themeFill="accent1"/>
            <w:hideMark/>
          </w:tcPr>
          <w:p w14:paraId="765B9272" w14:textId="59F91D7C" w:rsidR="00F16E6B" w:rsidRPr="00F16E6B" w:rsidRDefault="00F16E6B" w:rsidP="008C654B">
            <w:pPr>
              <w:rPr>
                <w:lang w:val="en-US"/>
              </w:rPr>
            </w:pPr>
          </w:p>
        </w:tc>
        <w:tc>
          <w:tcPr>
            <w:tcW w:w="0" w:type="auto"/>
            <w:shd w:val="clear" w:color="auto" w:fill="5B9BD5" w:themeFill="accent1"/>
            <w:hideMark/>
          </w:tcPr>
          <w:p w14:paraId="320E1F05" w14:textId="5DA33A1C" w:rsidR="00F16E6B" w:rsidRPr="00F16E6B" w:rsidRDefault="00F16E6B" w:rsidP="008C654B">
            <w:pPr>
              <w:rPr>
                <w:lang w:val="en-US"/>
              </w:rPr>
            </w:pPr>
          </w:p>
        </w:tc>
        <w:tc>
          <w:tcPr>
            <w:tcW w:w="852" w:type="dxa"/>
            <w:tcBorders>
              <w:right w:val="single" w:sz="12" w:space="0" w:color="auto"/>
            </w:tcBorders>
            <w:hideMark/>
          </w:tcPr>
          <w:p w14:paraId="62C8C32E" w14:textId="77777777" w:rsidR="00F16E6B" w:rsidRPr="00F16E6B" w:rsidRDefault="00F16E6B" w:rsidP="008C654B">
            <w:pPr>
              <w:rPr>
                <w:lang w:val="en-US"/>
              </w:rPr>
            </w:pPr>
          </w:p>
        </w:tc>
      </w:tr>
      <w:tr w:rsidR="00FC0F60" w14:paraId="644E2587" w14:textId="77777777" w:rsidTr="00840DCE">
        <w:trPr>
          <w:trHeight w:val="836"/>
          <w:jc w:val="center"/>
        </w:trPr>
        <w:tc>
          <w:tcPr>
            <w:tcW w:w="0" w:type="auto"/>
            <w:tcBorders>
              <w:left w:val="single" w:sz="12" w:space="0" w:color="auto"/>
              <w:bottom w:val="single" w:sz="12" w:space="0" w:color="auto"/>
            </w:tcBorders>
            <w:hideMark/>
          </w:tcPr>
          <w:p w14:paraId="244531F5" w14:textId="77777777" w:rsidR="00F16E6B" w:rsidRPr="008C654B" w:rsidRDefault="009B2E5F" w:rsidP="008C654B">
            <w:pPr>
              <w:rPr>
                <w:b/>
                <w:bCs/>
                <w:lang w:val="en-US"/>
              </w:rPr>
            </w:pPr>
            <w:r w:rsidRPr="008C654B">
              <w:rPr>
                <w:b/>
                <w:bCs/>
                <w:lang w:val="en-US"/>
              </w:rPr>
              <w:t>Testing, commissioning and handover</w:t>
            </w:r>
          </w:p>
        </w:tc>
        <w:tc>
          <w:tcPr>
            <w:tcW w:w="0" w:type="auto"/>
            <w:tcBorders>
              <w:bottom w:val="single" w:sz="12" w:space="0" w:color="auto"/>
            </w:tcBorders>
            <w:hideMark/>
          </w:tcPr>
          <w:p w14:paraId="0D9A45F2" w14:textId="77777777" w:rsidR="00F16E6B" w:rsidRPr="00F16E6B" w:rsidRDefault="00F16E6B" w:rsidP="008C654B">
            <w:pPr>
              <w:rPr>
                <w:lang w:val="en-US"/>
              </w:rPr>
            </w:pPr>
          </w:p>
        </w:tc>
        <w:tc>
          <w:tcPr>
            <w:tcW w:w="0" w:type="auto"/>
            <w:tcBorders>
              <w:bottom w:val="single" w:sz="12" w:space="0" w:color="auto"/>
            </w:tcBorders>
            <w:hideMark/>
          </w:tcPr>
          <w:p w14:paraId="727A0265" w14:textId="77777777" w:rsidR="00F16E6B" w:rsidRPr="00F16E6B" w:rsidRDefault="00F16E6B" w:rsidP="008C654B">
            <w:pPr>
              <w:rPr>
                <w:sz w:val="20"/>
                <w:szCs w:val="20"/>
                <w:lang w:val="en-US"/>
              </w:rPr>
            </w:pPr>
          </w:p>
        </w:tc>
        <w:tc>
          <w:tcPr>
            <w:tcW w:w="0" w:type="auto"/>
            <w:tcBorders>
              <w:bottom w:val="single" w:sz="12" w:space="0" w:color="auto"/>
            </w:tcBorders>
            <w:hideMark/>
          </w:tcPr>
          <w:p w14:paraId="4DBAC058" w14:textId="77777777" w:rsidR="00F16E6B" w:rsidRPr="00F16E6B" w:rsidRDefault="00F16E6B" w:rsidP="008C654B">
            <w:pPr>
              <w:rPr>
                <w:sz w:val="20"/>
                <w:szCs w:val="20"/>
                <w:lang w:val="en-US"/>
              </w:rPr>
            </w:pPr>
          </w:p>
        </w:tc>
        <w:tc>
          <w:tcPr>
            <w:tcW w:w="0" w:type="auto"/>
            <w:tcBorders>
              <w:bottom w:val="single" w:sz="12" w:space="0" w:color="auto"/>
            </w:tcBorders>
            <w:hideMark/>
          </w:tcPr>
          <w:p w14:paraId="1071E04A" w14:textId="77777777" w:rsidR="00F16E6B" w:rsidRPr="00F16E6B" w:rsidRDefault="00F16E6B" w:rsidP="008C654B">
            <w:pPr>
              <w:rPr>
                <w:sz w:val="20"/>
                <w:szCs w:val="20"/>
                <w:lang w:val="en-US"/>
              </w:rPr>
            </w:pPr>
          </w:p>
        </w:tc>
        <w:tc>
          <w:tcPr>
            <w:tcW w:w="0" w:type="auto"/>
            <w:tcBorders>
              <w:bottom w:val="single" w:sz="12" w:space="0" w:color="auto"/>
            </w:tcBorders>
            <w:hideMark/>
          </w:tcPr>
          <w:p w14:paraId="7BB63512" w14:textId="77777777" w:rsidR="00F16E6B" w:rsidRPr="00F16E6B" w:rsidRDefault="00F16E6B" w:rsidP="008C654B">
            <w:pPr>
              <w:rPr>
                <w:sz w:val="20"/>
                <w:szCs w:val="20"/>
                <w:lang w:val="en-US"/>
              </w:rPr>
            </w:pPr>
          </w:p>
        </w:tc>
        <w:tc>
          <w:tcPr>
            <w:tcW w:w="0" w:type="auto"/>
            <w:tcBorders>
              <w:bottom w:val="single" w:sz="12" w:space="0" w:color="auto"/>
            </w:tcBorders>
            <w:hideMark/>
          </w:tcPr>
          <w:p w14:paraId="181EEA9A" w14:textId="77777777" w:rsidR="00F16E6B" w:rsidRPr="00F16E6B" w:rsidRDefault="00F16E6B" w:rsidP="008C654B">
            <w:pPr>
              <w:rPr>
                <w:sz w:val="20"/>
                <w:szCs w:val="20"/>
                <w:lang w:val="en-US"/>
              </w:rPr>
            </w:pPr>
          </w:p>
        </w:tc>
        <w:tc>
          <w:tcPr>
            <w:tcW w:w="0" w:type="auto"/>
            <w:tcBorders>
              <w:bottom w:val="single" w:sz="12" w:space="0" w:color="auto"/>
            </w:tcBorders>
            <w:hideMark/>
          </w:tcPr>
          <w:p w14:paraId="751AE18C" w14:textId="77777777" w:rsidR="00F16E6B" w:rsidRPr="00F16E6B" w:rsidRDefault="00F16E6B" w:rsidP="008C654B">
            <w:pPr>
              <w:rPr>
                <w:sz w:val="20"/>
                <w:szCs w:val="20"/>
                <w:lang w:val="en-US"/>
              </w:rPr>
            </w:pPr>
          </w:p>
        </w:tc>
        <w:tc>
          <w:tcPr>
            <w:tcW w:w="0" w:type="auto"/>
            <w:tcBorders>
              <w:bottom w:val="single" w:sz="12" w:space="0" w:color="auto"/>
            </w:tcBorders>
            <w:hideMark/>
          </w:tcPr>
          <w:p w14:paraId="234B9C44" w14:textId="77777777" w:rsidR="00F16E6B" w:rsidRPr="00F16E6B" w:rsidRDefault="00F16E6B" w:rsidP="008C654B">
            <w:pPr>
              <w:rPr>
                <w:sz w:val="20"/>
                <w:szCs w:val="20"/>
                <w:lang w:val="en-US"/>
              </w:rPr>
            </w:pPr>
          </w:p>
        </w:tc>
        <w:tc>
          <w:tcPr>
            <w:tcW w:w="0" w:type="auto"/>
            <w:tcBorders>
              <w:bottom w:val="single" w:sz="12" w:space="0" w:color="auto"/>
            </w:tcBorders>
            <w:hideMark/>
          </w:tcPr>
          <w:p w14:paraId="26B69F77" w14:textId="77777777" w:rsidR="00F16E6B" w:rsidRPr="00F16E6B" w:rsidRDefault="00F16E6B" w:rsidP="008C654B">
            <w:pPr>
              <w:rPr>
                <w:sz w:val="20"/>
                <w:szCs w:val="20"/>
                <w:lang w:val="en-US"/>
              </w:rPr>
            </w:pPr>
          </w:p>
        </w:tc>
        <w:tc>
          <w:tcPr>
            <w:tcW w:w="0" w:type="auto"/>
            <w:tcBorders>
              <w:bottom w:val="single" w:sz="12" w:space="0" w:color="auto"/>
            </w:tcBorders>
            <w:hideMark/>
          </w:tcPr>
          <w:p w14:paraId="47106C00" w14:textId="77777777" w:rsidR="00F16E6B" w:rsidRPr="00F16E6B" w:rsidRDefault="00F16E6B" w:rsidP="008C654B">
            <w:pPr>
              <w:rPr>
                <w:sz w:val="20"/>
                <w:szCs w:val="20"/>
                <w:lang w:val="en-US"/>
              </w:rPr>
            </w:pPr>
          </w:p>
        </w:tc>
        <w:tc>
          <w:tcPr>
            <w:tcW w:w="0" w:type="auto"/>
            <w:tcBorders>
              <w:bottom w:val="single" w:sz="12" w:space="0" w:color="auto"/>
            </w:tcBorders>
            <w:shd w:val="clear" w:color="auto" w:fill="5B9BD5" w:themeFill="accent1"/>
            <w:hideMark/>
          </w:tcPr>
          <w:p w14:paraId="5C0C18AF" w14:textId="0960B242" w:rsidR="00F16E6B" w:rsidRPr="00F16E6B" w:rsidRDefault="00F16E6B" w:rsidP="008C654B">
            <w:pPr>
              <w:rPr>
                <w:lang w:val="en-US"/>
              </w:rPr>
            </w:pPr>
          </w:p>
        </w:tc>
        <w:tc>
          <w:tcPr>
            <w:tcW w:w="852" w:type="dxa"/>
            <w:tcBorders>
              <w:bottom w:val="single" w:sz="12" w:space="0" w:color="auto"/>
              <w:right w:val="single" w:sz="12" w:space="0" w:color="auto"/>
            </w:tcBorders>
            <w:shd w:val="clear" w:color="auto" w:fill="5B9BD5" w:themeFill="accent1"/>
            <w:hideMark/>
          </w:tcPr>
          <w:p w14:paraId="571BE5DD" w14:textId="6ADF08C7" w:rsidR="00F16E6B" w:rsidRPr="00F16E6B" w:rsidRDefault="00F16E6B" w:rsidP="008C654B">
            <w:pPr>
              <w:rPr>
                <w:lang w:val="en-US"/>
              </w:rPr>
            </w:pPr>
          </w:p>
        </w:tc>
      </w:tr>
    </w:tbl>
    <w:p w14:paraId="078203E9" w14:textId="25748CA0" w:rsidR="00290416" w:rsidRDefault="009B2E5F" w:rsidP="007D778B">
      <w:r w:rsidRPr="006252D7">
        <w:lastRenderedPageBreak/>
        <w:t xml:space="preserve">The </w:t>
      </w:r>
      <w:r w:rsidR="00BF10FB" w:rsidRPr="006252D7">
        <w:t>12-month</w:t>
      </w:r>
      <w:r w:rsidRPr="006252D7">
        <w:t xml:space="preserve"> programme starts with governance, baseline </w:t>
      </w:r>
      <w:r w:rsidR="00FB7026" w:rsidRPr="006252D7">
        <w:t>surveys,</w:t>
      </w:r>
      <w:r w:rsidRPr="006252D7">
        <w:t xml:space="preserve"> and statutory approvals in Months 01-04, before progressing through a sequence of activities, </w:t>
      </w:r>
      <w:r w:rsidR="00FB7026" w:rsidRPr="006252D7">
        <w:t>durations,</w:t>
      </w:r>
      <w:r w:rsidRPr="006252D7">
        <w:t xml:space="preserve"> and dependencies to monitor conclusion in Months 11-12. The detailed design and procurement processes occur side-by-side within Months 03 – 06, which reduces the programme duration without eliminating any approval gateways. Work is done to enable, and passenger diversions from the line and site are </w:t>
      </w:r>
      <w:r w:rsidR="00FB7026" w:rsidRPr="006252D7">
        <w:t>conducted</w:t>
      </w:r>
      <w:r w:rsidRPr="006252D7">
        <w:t xml:space="preserve"> in Months 05 - 07 prior to the start of demolition. During Months 07–10, referencing the critical path, the Core construction is built, with the end date of the critical path depending on the completion of the Core construction. Installing PV, electric-bus charging, </w:t>
      </w:r>
      <w:r w:rsidR="00FB7026" w:rsidRPr="006252D7">
        <w:t>ticketing,</w:t>
      </w:r>
      <w:r w:rsidRPr="006252D7">
        <w:t xml:space="preserve"> and real-time systems are done during Months 09–11. </w:t>
      </w:r>
      <w:r w:rsidR="00E74D9B" w:rsidRPr="006252D7">
        <w:t>Evaluate</w:t>
      </w:r>
      <w:r w:rsidRPr="006252D7">
        <w:t>, Accessibility Assurance, Operational Trials and Handover take place from Months 11-12. Progress reviews will be conducted monthly to determine progress and compare to milestones and recover the delays; the latter will be escalated if not recovered.</w:t>
      </w:r>
    </w:p>
    <w:p w14:paraId="6511B665" w14:textId="77777777" w:rsidR="008C654B" w:rsidRPr="009C1056" w:rsidRDefault="008C654B" w:rsidP="008C654B"/>
    <w:p w14:paraId="0F1EA176" w14:textId="77777777" w:rsidR="009C1056" w:rsidRPr="009C1056" w:rsidRDefault="009B2E5F" w:rsidP="00E85084">
      <w:pPr>
        <w:pStyle w:val="Heading2"/>
      </w:pPr>
      <w:bookmarkStart w:id="10" w:name="_Toc234325530"/>
      <w:r w:rsidRPr="009C1056">
        <w:t>Stakeholders’ Involvement</w:t>
      </w:r>
      <w:bookmarkEnd w:id="10"/>
    </w:p>
    <w:p w14:paraId="1807C630" w14:textId="218DE532" w:rsidR="001C0EF3" w:rsidRDefault="009B2E5F" w:rsidP="00C34FC4">
      <w:r w:rsidRPr="001C0EF3">
        <w:t>Stakeholder engagement will be managed through a power-interest matrix, which will differentiate between parties who make decisions, who deliver on the agreements, regulators, and affected users. The programme will be funded by Manchester City Council, operate under a monthly Project Board with Manchester City Council as the chair, and will decide on planning, land-</w:t>
      </w:r>
      <w:r w:rsidR="00FB7026" w:rsidRPr="001C0EF3">
        <w:t>use,</w:t>
      </w:r>
      <w:r w:rsidRPr="001C0EF3">
        <w:t xml:space="preserve"> and regeneration. Manchester, 2025, recognises Piccadilly as a strategic gateway that needs to be developed through integrated transport-led development (UITD). Temporary service planning and passenger communication are clearly allocated responsibilities for local transport services within the Greater Manchester Combined Authority framework (Carter et al., 2024) and will be led by Transport for Greater Manchester. The role of Network Rail will be to approve the design for the rail interface, </w:t>
      </w:r>
      <w:r w:rsidR="00FB7026" w:rsidRPr="001C0EF3">
        <w:t>possessions,</w:t>
      </w:r>
      <w:r w:rsidRPr="001C0EF3">
        <w:t xml:space="preserve"> and operational safety arrangements, with a focus on funding assurance and policy development given to the Department for Transport.</w:t>
      </w:r>
    </w:p>
    <w:p w14:paraId="37F22EF3" w14:textId="6D4CEA56" w:rsidR="00552954" w:rsidRPr="009C1056" w:rsidRDefault="009B2E5F" w:rsidP="00976B57">
      <w:r w:rsidRPr="00552954">
        <w:t xml:space="preserve">The principal contractor, specialist designers and digital suppliers will report cost, quality, safety, carbon </w:t>
      </w:r>
      <w:r w:rsidR="00FB7026" w:rsidRPr="00552954">
        <w:t>performance,</w:t>
      </w:r>
      <w:r w:rsidRPr="00552954">
        <w:t xml:space="preserve"> and attend, maintain and participate in weekly delivery meetings. The Environment Agency will be looking at flood-risk, </w:t>
      </w:r>
      <w:r w:rsidR="00FB7026" w:rsidRPr="00552954">
        <w:t>drainage,</w:t>
      </w:r>
      <w:r w:rsidRPr="00552954">
        <w:t xml:space="preserve"> and pollution-control measures as </w:t>
      </w:r>
      <w:r w:rsidRPr="00552954">
        <w:lastRenderedPageBreak/>
        <w:t xml:space="preserve">part of the requirement for regulating environmental protection (Woods, 2024). Quarterly workshops, easy access </w:t>
      </w:r>
      <w:r w:rsidR="00FB7026" w:rsidRPr="00552954">
        <w:t>surveys,</w:t>
      </w:r>
      <w:r w:rsidRPr="00552954">
        <w:t xml:space="preserve"> and briefings on construction impacts will involve residents, commuters, disability organisations, </w:t>
      </w:r>
      <w:r w:rsidR="00FB7026" w:rsidRPr="00552954">
        <w:t>businesses,</w:t>
      </w:r>
      <w:r w:rsidRPr="00552954">
        <w:t xml:space="preserve"> and freight operators. This is key as public authorities are accountable to meet the needs of disabled users when providing services (Balaji 2025). A stakeholder register will contain interests, influence, frequency of communication, concerns, </w:t>
      </w:r>
      <w:r w:rsidR="00FB7026" w:rsidRPr="00552954">
        <w:t>actions,</w:t>
      </w:r>
      <w:r w:rsidRPr="00552954">
        <w:t xml:space="preserve"> and owners accountable. Programme continuity and public legitimacy will be maintained through the Project Board to settle escalated disputes within </w:t>
      </w:r>
      <w:r w:rsidR="00FB7026" w:rsidRPr="00552954">
        <w:t>ten</w:t>
      </w:r>
      <w:r w:rsidRPr="00552954">
        <w:t xml:space="preserve"> working days.</w:t>
      </w:r>
    </w:p>
    <w:p w14:paraId="1F1CA05C" w14:textId="77777777" w:rsidR="009C1056" w:rsidRPr="009C1056" w:rsidRDefault="009C1056" w:rsidP="009C1056"/>
    <w:p w14:paraId="2840A1D8" w14:textId="77777777" w:rsidR="009C1056" w:rsidRPr="009C1056" w:rsidRDefault="009B2E5F" w:rsidP="00E85084">
      <w:pPr>
        <w:pStyle w:val="Heading2"/>
      </w:pPr>
      <w:bookmarkStart w:id="11" w:name="_Toc234325531"/>
      <w:r w:rsidRPr="009C1056">
        <w:t>Allocation of Resources</w:t>
      </w:r>
      <w:bookmarkEnd w:id="11"/>
    </w:p>
    <w:p w14:paraId="253A19DE" w14:textId="6E985D1B" w:rsidR="00B87C45" w:rsidRDefault="009B2E5F" w:rsidP="00801E3E">
      <w:pPr>
        <w:rPr>
          <w:highlight w:val="yellow"/>
        </w:rPr>
      </w:pPr>
      <w:r w:rsidRPr="00B87C45">
        <w:t xml:space="preserve">Financial, human, physical, </w:t>
      </w:r>
      <w:r w:rsidR="00FB7026" w:rsidRPr="00B87C45">
        <w:t>technological,</w:t>
      </w:r>
      <w:r w:rsidRPr="00B87C45">
        <w:t xml:space="preserve"> and environmental inputs will be combined for resource allocation, using a 12-month baseline schedule. Manchester City Council and the Department for Transport will fund the infrastructure, and spending will not be considered until the Project Board has received stage-gate assurance. Public investment decisions – require the public Treasury Green Book to show strategic, economic, commercial, financial and management cases (HM Treasury, 2026). A cost manager will keep a cost-loaded schedule, forecast cash flow monthly and manage approved change requests for contingency spending. The principal contractor will be responsible for a usability specialist, rail-interface, civil engineer, architect, quantity surveyor, accessibility adviser, environmental manager, electrician, health-and-safety experts, as well as digital-system engineers.</w:t>
      </w:r>
    </w:p>
    <w:p w14:paraId="43A04550" w14:textId="05F8B5E3" w:rsidR="00B87C45" w:rsidRDefault="009B2E5F" w:rsidP="009B6175">
      <w:r w:rsidRPr="00B87C45">
        <w:t xml:space="preserve">Labour needs will be compared to construction productivity, possession </w:t>
      </w:r>
      <w:r w:rsidR="00FB7026" w:rsidRPr="00B87C45">
        <w:t>windows,</w:t>
      </w:r>
      <w:r w:rsidRPr="00B87C45">
        <w:t xml:space="preserve"> and critical-path activities weekly. Isla will leverage temporary bus capability, lifting equipment, low-emission plant, construction materials, PV panels, charge units, lifts and ticketing hardware and control room servers. Whole-life value, carbon </w:t>
      </w:r>
      <w:r w:rsidR="00FB7026" w:rsidRPr="00B87C45">
        <w:t>performance,</w:t>
      </w:r>
      <w:r w:rsidRPr="00B87C45">
        <w:t xml:space="preserve"> and supply-chain resilience will be key issues in the procurement process, in line with public procurement policy objectives (Lesniewska, 2026). Digital resource will comprise secured cloud storage, interoperable data platforms, cybersecurity </w:t>
      </w:r>
      <w:r w:rsidR="00FB7026" w:rsidRPr="00B87C45">
        <w:t>testing,</w:t>
      </w:r>
      <w:r w:rsidRPr="00B87C45">
        <w:t xml:space="preserve"> and operational dashboards. There will be Sustainable Drainage features, Biodiversity Planting, and Waste-Segregation facilities as environmental resources. </w:t>
      </w:r>
      <w:r w:rsidRPr="00B87C45">
        <w:lastRenderedPageBreak/>
        <w:t>Reporting resource utilisation will alert to shortages early, allowing resequencing, supplier escalation, or budgeted reallocation as resource requirements.</w:t>
      </w:r>
    </w:p>
    <w:p w14:paraId="15637228" w14:textId="77777777" w:rsidR="00B87C45" w:rsidRPr="009C1056" w:rsidRDefault="00B87C45" w:rsidP="009B6175"/>
    <w:p w14:paraId="516C76D3" w14:textId="77777777" w:rsidR="009C1056" w:rsidRPr="009C1056" w:rsidRDefault="009B2E5F" w:rsidP="00E85084">
      <w:pPr>
        <w:pStyle w:val="Heading2"/>
      </w:pPr>
      <w:bookmarkStart w:id="12" w:name="_Toc234325532"/>
      <w:r w:rsidRPr="009C1056">
        <w:t>Risk Analysis</w:t>
      </w:r>
      <w:bookmarkEnd w:id="12"/>
    </w:p>
    <w:p w14:paraId="20A9A22F" w14:textId="1685CF59" w:rsidR="00F17C6F" w:rsidRDefault="009B2E5F" w:rsidP="00801E3E">
      <w:r w:rsidRPr="00B87C45">
        <w:t xml:space="preserve">Risk analysis is a process of systematically identifying and analysing </w:t>
      </w:r>
      <w:r w:rsidR="00037250" w:rsidRPr="00B87C45">
        <w:t>uncertainties and</w:t>
      </w:r>
      <w:r w:rsidRPr="00B87C45">
        <w:t xml:space="preserve"> assigning appropriate responses to risks </w:t>
      </w:r>
      <w:r w:rsidR="00FB7026" w:rsidRPr="00B87C45">
        <w:t>safeguarding</w:t>
      </w:r>
      <w:r w:rsidRPr="00B87C45">
        <w:t xml:space="preserve"> project goals, while also assessing the probability and impacts of risks (Zhang et al., 2024). Threats will be assigned a score in the risk register using a probability x impact matrix of 5 x 5; this will range from 1 to 25. Risks with a score of ≥ 15 are reported monthly to the Project Board, have named owners, and have funded contingency actions applied. Cost escalation is important as UK public works programmes have been impacted by affordability and delays in completion rates</w:t>
      </w:r>
      <w:r w:rsidR="007717CA">
        <w:t>, as per the study</w:t>
      </w:r>
      <w:r w:rsidRPr="00B87C45">
        <w:t xml:space="preserve"> (Onalaja, 2023). Early market input, suitable ‘best value' type fixed-price packages, value engineering reviews and a controlled contingency reserve will be deployed by the commercial manager.</w:t>
      </w:r>
      <w:r>
        <w:t xml:space="preserve"> </w:t>
      </w:r>
      <w:r w:rsidRPr="00F17C6F">
        <w:t xml:space="preserve">Operations and reputation risk from construction disruption exists due to the need to maintain operations of the rail, bus, </w:t>
      </w:r>
      <w:r w:rsidR="00FB7026" w:rsidRPr="00F17C6F">
        <w:t>freight,</w:t>
      </w:r>
      <w:r w:rsidRPr="00F17C6F">
        <w:t xml:space="preserve"> and pedestrian systems during redevelopment. </w:t>
      </w:r>
    </w:p>
    <w:p w14:paraId="4BCFB0B3" w14:textId="6934D3D9" w:rsidR="00AF2B09" w:rsidRDefault="007717CA" w:rsidP="00801E3E">
      <w:r>
        <w:t xml:space="preserve">In terms of </w:t>
      </w:r>
      <w:r w:rsidR="00AF2B09">
        <w:t>work distribution, t</w:t>
      </w:r>
      <w:r w:rsidR="009B2E5F" w:rsidRPr="00F17C6F">
        <w:t xml:space="preserve">he operations manager will allocate possessions between times of lower demand, issue signed temporary routes, post notices and keep track of passenger-flow data every day. Appropriate method statements, competence checks, segregation of work areas and independent audits are required for health and safety risk activities such as lifting, live rail interface, and confined areas. </w:t>
      </w:r>
      <w:r w:rsidR="00FB7026" w:rsidRPr="00F17C6F">
        <w:t>To</w:t>
      </w:r>
      <w:r w:rsidR="009B2E5F" w:rsidRPr="00F17C6F">
        <w:t xml:space="preserve"> build, occupational hazards must be systematically managed (Cook et al., 2022).</w:t>
      </w:r>
      <w:r w:rsidR="009B2E5F">
        <w:t xml:space="preserve"> </w:t>
      </w:r>
      <w:r w:rsidR="009B2E5F" w:rsidRPr="00F17C6F">
        <w:t>Digital integration failure is high because ticketing systems and passenger information, and the control room, for it, also need to be able to exchange data effectively. Interoperability, staged testing, penetration testing, supplier agreements, and manual fallback procedures will be a digital lead necessity. Supplier, access-</w:t>
      </w:r>
      <w:r w:rsidR="00FB7026" w:rsidRPr="00F17C6F">
        <w:t>control,</w:t>
      </w:r>
      <w:r w:rsidR="009B2E5F" w:rsidRPr="00F17C6F">
        <w:t xml:space="preserve"> and incident-response risks will be covered by cybersecurity controls (Green, 2023). </w:t>
      </w:r>
    </w:p>
    <w:p w14:paraId="44E087AF" w14:textId="21D8DB14" w:rsidR="00801E3E" w:rsidRDefault="00AF2B09" w:rsidP="00801E3E">
      <w:r>
        <w:t>In addition, the e</w:t>
      </w:r>
      <w:r w:rsidR="009B2E5F" w:rsidRPr="00F17C6F">
        <w:t xml:space="preserve">nvironmental risks are contaminated land, flooding, noise, </w:t>
      </w:r>
      <w:r w:rsidR="00FB7026" w:rsidRPr="00F17C6F">
        <w:t>dust,</w:t>
      </w:r>
      <w:r w:rsidR="009B2E5F" w:rsidRPr="00F17C6F">
        <w:t xml:space="preserve"> and delayed consent. </w:t>
      </w:r>
      <w:r>
        <w:t>These c</w:t>
      </w:r>
      <w:r w:rsidRPr="00F17C6F">
        <w:t>onservational</w:t>
      </w:r>
      <w:r w:rsidR="009B2E5F" w:rsidRPr="00F17C6F">
        <w:t xml:space="preserve"> </w:t>
      </w:r>
      <w:r w:rsidRPr="00F17C6F">
        <w:t>hazards</w:t>
      </w:r>
      <w:r w:rsidR="009B2E5F" w:rsidRPr="00F17C6F">
        <w:t xml:space="preserve"> are a subset of planning risks. The environmental manager </w:t>
      </w:r>
      <w:r w:rsidR="009B2E5F" w:rsidRPr="00F17C6F">
        <w:lastRenderedPageBreak/>
        <w:t>will conduct surveys, undertake sustainable drainage, and secure ongoing regulator engagement. Consultation will be made easily available, schedules will be published, and complaints will be settled in a timely manner to minimise stakeholder resistance. RoA Ratings, Triggers, Mitigations and Residual exposures will be updated weekly. Escalation and recovery planning/final change-control decisions will result from risks that go beyond tolerance.</w:t>
      </w:r>
    </w:p>
    <w:p w14:paraId="4785DABD" w14:textId="77777777" w:rsidR="00F17C6F" w:rsidRPr="009C1056" w:rsidRDefault="00F17C6F" w:rsidP="00801E3E"/>
    <w:p w14:paraId="11E0385C" w14:textId="77777777" w:rsidR="009C1056" w:rsidRPr="009C1056" w:rsidRDefault="009B2E5F" w:rsidP="00E85084">
      <w:pPr>
        <w:pStyle w:val="Heading2"/>
      </w:pPr>
      <w:bookmarkStart w:id="13" w:name="_Toc234325533"/>
      <w:r w:rsidRPr="009C1056">
        <w:t>Conclusion</w:t>
      </w:r>
      <w:bookmarkEnd w:id="13"/>
    </w:p>
    <w:p w14:paraId="3960108A" w14:textId="2BA54970" w:rsidR="00F17C6F" w:rsidRDefault="009B2E5F" w:rsidP="00F17C6F">
      <w:r w:rsidRPr="00F17C6F">
        <w:t xml:space="preserve">This project management plan sets out a managed delivery route to make Manchester Central Transport Hub a controlled delivery to deliver an integrated, accessible and net-zero transport hub. Clear scope boundaries, SMART objectives, work packages, schedule control, stakeholder governance, resource </w:t>
      </w:r>
      <w:r w:rsidR="00FB7026" w:rsidRPr="00F17C6F">
        <w:t>allocation,</w:t>
      </w:r>
      <w:r w:rsidRPr="00F17C6F">
        <w:t xml:space="preserve"> and risk mitigation ensure full accountability during implementation. Emphasis is placed on safe operations with continuity on rail, bus, </w:t>
      </w:r>
      <w:r w:rsidR="00FB7026" w:rsidRPr="00F17C6F">
        <w:t>freight,</w:t>
      </w:r>
      <w:r w:rsidRPr="00F17C6F">
        <w:t xml:space="preserve"> and pedestrian transport, in addition to the provision of renewable energy, electric charging, digital mobility and inclusive access systems in a 12-month programme. Success will be achieved via 100% step free, 95% scheduled-service reliability, and a 40% reduction against the baseline from an operational-carbon view. This will therefore establish Greater Manchester as a resilient, economically </w:t>
      </w:r>
      <w:r w:rsidR="00FB7026" w:rsidRPr="00F17C6F">
        <w:t>robust,</w:t>
      </w:r>
      <w:r w:rsidRPr="00F17C6F">
        <w:t xml:space="preserve"> and passenger-friendly region with sustainable urban transport.</w:t>
      </w:r>
    </w:p>
    <w:p w14:paraId="0878031F" w14:textId="6F80C059" w:rsidR="001F79E8" w:rsidRDefault="009B2E5F" w:rsidP="00F17C6F">
      <w:r>
        <w:br w:type="page"/>
      </w:r>
    </w:p>
    <w:p w14:paraId="5E3D87A1" w14:textId="1DD8641E" w:rsidR="006A32DF" w:rsidRDefault="009B2E5F" w:rsidP="00E85084">
      <w:pPr>
        <w:pStyle w:val="Heading1"/>
        <w:jc w:val="center"/>
      </w:pPr>
      <w:bookmarkStart w:id="14" w:name="_Toc234325419"/>
      <w:bookmarkStart w:id="15" w:name="_Toc234325534"/>
      <w:r w:rsidRPr="008B3947">
        <w:lastRenderedPageBreak/>
        <w:t>References</w:t>
      </w:r>
      <w:bookmarkEnd w:id="14"/>
      <w:bookmarkEnd w:id="15"/>
    </w:p>
    <w:p w14:paraId="57F0C0A7" w14:textId="77777777" w:rsidR="00E842E7" w:rsidRPr="00E842E7" w:rsidRDefault="00E842E7" w:rsidP="00E842E7">
      <w:pPr>
        <w:rPr>
          <w:color w:val="0070C0"/>
        </w:rPr>
      </w:pPr>
      <w:r w:rsidRPr="00E842E7">
        <w:rPr>
          <w:color w:val="0070C0"/>
        </w:rPr>
        <w:t>Amin, H., Scheepers, H. and Malik, M., (2023). Project monitoring and evaluation to engage stakeholders of international development projects for community impact. </w:t>
      </w:r>
      <w:r w:rsidRPr="00E842E7">
        <w:rPr>
          <w:i/>
          <w:iCs/>
          <w:color w:val="0070C0"/>
        </w:rPr>
        <w:t>International Journal of Managing Projects in Business</w:t>
      </w:r>
      <w:r w:rsidRPr="00E842E7">
        <w:rPr>
          <w:color w:val="0070C0"/>
        </w:rPr>
        <w:t>, </w:t>
      </w:r>
      <w:r w:rsidRPr="00E842E7">
        <w:rPr>
          <w:i/>
          <w:iCs/>
          <w:color w:val="0070C0"/>
        </w:rPr>
        <w:t>16</w:t>
      </w:r>
      <w:r w:rsidRPr="00E842E7">
        <w:rPr>
          <w:color w:val="0070C0"/>
        </w:rPr>
        <w:t>(2), pp.405-427.</w:t>
      </w:r>
    </w:p>
    <w:p w14:paraId="4A1B9F4F" w14:textId="71D63683" w:rsidR="00E842E7" w:rsidRPr="00E842E7" w:rsidRDefault="00E842E7" w:rsidP="00E842E7">
      <w:pPr>
        <w:rPr>
          <w:color w:val="0070C0"/>
        </w:rPr>
      </w:pPr>
      <w:r w:rsidRPr="00E842E7">
        <w:rPr>
          <w:color w:val="0070C0"/>
        </w:rPr>
        <w:t xml:space="preserve">Anciaes, P. and Jones, P., (2023). Developing low-carbon freight microhubs in London-Principles, </w:t>
      </w:r>
      <w:r w:rsidR="00FB7026" w:rsidRPr="00E842E7">
        <w:rPr>
          <w:color w:val="0070C0"/>
        </w:rPr>
        <w:t>benefits,</w:t>
      </w:r>
      <w:r w:rsidRPr="00E842E7">
        <w:rPr>
          <w:color w:val="0070C0"/>
        </w:rPr>
        <w:t xml:space="preserve"> and locational analysis.</w:t>
      </w:r>
    </w:p>
    <w:p w14:paraId="20BB6EF8" w14:textId="77777777" w:rsidR="00E842E7" w:rsidRPr="00E842E7" w:rsidRDefault="00E842E7" w:rsidP="00E842E7">
      <w:pPr>
        <w:rPr>
          <w:color w:val="0070C0"/>
        </w:rPr>
      </w:pPr>
      <w:r w:rsidRPr="00E842E7">
        <w:rPr>
          <w:color w:val="0070C0"/>
        </w:rPr>
        <w:t>Balaji, K., (2025). E-Government and E-Governance: Driving digital transformation in public administration. </w:t>
      </w:r>
      <w:r w:rsidRPr="00E842E7">
        <w:rPr>
          <w:i/>
          <w:iCs/>
          <w:color w:val="0070C0"/>
        </w:rPr>
        <w:t>Public governance practices in the age of AI</w:t>
      </w:r>
      <w:r w:rsidRPr="00E842E7">
        <w:rPr>
          <w:color w:val="0070C0"/>
        </w:rPr>
        <w:t>, pp.23-44.</w:t>
      </w:r>
    </w:p>
    <w:p w14:paraId="519CEEB1" w14:textId="77777777" w:rsidR="00E842E7" w:rsidRPr="00E842E7" w:rsidRDefault="00E842E7" w:rsidP="00E842E7">
      <w:pPr>
        <w:rPr>
          <w:color w:val="0070C0"/>
        </w:rPr>
      </w:pPr>
      <w:r w:rsidRPr="00E842E7">
        <w:rPr>
          <w:color w:val="0070C0"/>
        </w:rPr>
        <w:t xml:space="preserve">Britton, P. (2024). </w:t>
      </w:r>
      <w:r w:rsidRPr="00E842E7">
        <w:rPr>
          <w:i/>
          <w:iCs/>
          <w:color w:val="0070C0"/>
        </w:rPr>
        <w:t>Manchester Piccadilly named second busiest railway station outside London</w:t>
      </w:r>
      <w:r w:rsidRPr="00E842E7">
        <w:rPr>
          <w:color w:val="0070C0"/>
        </w:rPr>
        <w:t xml:space="preserve">. [online] Manchester Evening News. Available at: </w:t>
      </w:r>
      <w:hyperlink r:id="rId11" w:history="1">
        <w:r w:rsidRPr="00E842E7">
          <w:rPr>
            <w:rStyle w:val="Hyperlink"/>
            <w:color w:val="0070C0"/>
          </w:rPr>
          <w:t>https://www.manchestereveningnews.co.uk/news/greater-manchester-news/manchester-piccadilly-named-second-busiest-30418978</w:t>
        </w:r>
      </w:hyperlink>
      <w:r w:rsidRPr="00E842E7">
        <w:rPr>
          <w:color w:val="0070C0"/>
        </w:rPr>
        <w:t xml:space="preserve"> [Accessed 24 Jun. 2026].</w:t>
      </w:r>
    </w:p>
    <w:p w14:paraId="0C7DEAE6" w14:textId="77777777" w:rsidR="00E842E7" w:rsidRPr="00E842E7" w:rsidRDefault="00E842E7" w:rsidP="00E842E7">
      <w:pPr>
        <w:rPr>
          <w:color w:val="0070C0"/>
        </w:rPr>
      </w:pPr>
      <w:r w:rsidRPr="00E842E7">
        <w:rPr>
          <w:color w:val="0070C0"/>
        </w:rPr>
        <w:t>Carter, J., Labib, S.M. and Mell, I., (2024). Understanding and assessing climate change risk to green infrastructure: Experiences from greater manchester (UK). </w:t>
      </w:r>
      <w:r w:rsidRPr="00E842E7">
        <w:rPr>
          <w:i/>
          <w:iCs/>
          <w:color w:val="0070C0"/>
        </w:rPr>
        <w:t>Land</w:t>
      </w:r>
      <w:r w:rsidRPr="00E842E7">
        <w:rPr>
          <w:color w:val="0070C0"/>
        </w:rPr>
        <w:t>, </w:t>
      </w:r>
      <w:r w:rsidRPr="00E842E7">
        <w:rPr>
          <w:i/>
          <w:iCs/>
          <w:color w:val="0070C0"/>
        </w:rPr>
        <w:t>13</w:t>
      </w:r>
      <w:r w:rsidRPr="00E842E7">
        <w:rPr>
          <w:color w:val="0070C0"/>
        </w:rPr>
        <w:t>(5), p.697.</w:t>
      </w:r>
    </w:p>
    <w:p w14:paraId="55A930ED" w14:textId="77777777" w:rsidR="00E842E7" w:rsidRPr="00E842E7" w:rsidRDefault="00E842E7" w:rsidP="00E842E7">
      <w:pPr>
        <w:rPr>
          <w:color w:val="0070C0"/>
        </w:rPr>
      </w:pPr>
      <w:r w:rsidRPr="00E842E7">
        <w:rPr>
          <w:color w:val="0070C0"/>
        </w:rPr>
        <w:t>Cook, E., Velis, C.A. and Black, L., (2022). Construction and demolition waste management: a systematic scoping review of risks to occupational and public health. </w:t>
      </w:r>
      <w:r w:rsidRPr="00E842E7">
        <w:rPr>
          <w:i/>
          <w:iCs/>
          <w:color w:val="0070C0"/>
        </w:rPr>
        <w:t>Frontiers in Sustainability</w:t>
      </w:r>
      <w:r w:rsidRPr="00E842E7">
        <w:rPr>
          <w:color w:val="0070C0"/>
        </w:rPr>
        <w:t>, </w:t>
      </w:r>
      <w:r w:rsidRPr="00E842E7">
        <w:rPr>
          <w:i/>
          <w:iCs/>
          <w:color w:val="0070C0"/>
        </w:rPr>
        <w:t>3</w:t>
      </w:r>
      <w:r w:rsidRPr="00E842E7">
        <w:rPr>
          <w:color w:val="0070C0"/>
        </w:rPr>
        <w:t>, p.924926.</w:t>
      </w:r>
    </w:p>
    <w:p w14:paraId="56C6D6DA" w14:textId="77777777" w:rsidR="00E842E7" w:rsidRPr="00E842E7" w:rsidRDefault="00E842E7" w:rsidP="00E842E7">
      <w:pPr>
        <w:rPr>
          <w:color w:val="0070C0"/>
        </w:rPr>
      </w:pPr>
      <w:r w:rsidRPr="00E842E7">
        <w:rPr>
          <w:color w:val="0070C0"/>
        </w:rPr>
        <w:t>Crowther, A., Petrova, S., Evans, J. and Scott, K., (2023). Making and mobilising place: The governance of Greater Manchester’s decarbonisation ambitions. </w:t>
      </w:r>
      <w:r w:rsidRPr="00E842E7">
        <w:rPr>
          <w:i/>
          <w:iCs/>
          <w:color w:val="0070C0"/>
        </w:rPr>
        <w:t>Norsk Geografisk Tidsskrift-Norwegian Journal of Geography</w:t>
      </w:r>
      <w:r w:rsidRPr="00E842E7">
        <w:rPr>
          <w:color w:val="0070C0"/>
        </w:rPr>
        <w:t>, </w:t>
      </w:r>
      <w:r w:rsidRPr="00E842E7">
        <w:rPr>
          <w:i/>
          <w:iCs/>
          <w:color w:val="0070C0"/>
        </w:rPr>
        <w:t>77</w:t>
      </w:r>
      <w:r w:rsidRPr="00E842E7">
        <w:rPr>
          <w:color w:val="0070C0"/>
        </w:rPr>
        <w:t>(3), pp.157-170.</w:t>
      </w:r>
    </w:p>
    <w:p w14:paraId="252D5279" w14:textId="77777777" w:rsidR="00E842E7" w:rsidRPr="00E842E7" w:rsidRDefault="00E842E7" w:rsidP="00E842E7">
      <w:pPr>
        <w:rPr>
          <w:color w:val="0070C0"/>
        </w:rPr>
      </w:pPr>
      <w:r w:rsidRPr="00E842E7">
        <w:rPr>
          <w:color w:val="0070C0"/>
        </w:rPr>
        <w:t xml:space="preserve">GOV.UK (2010). </w:t>
      </w:r>
      <w:r w:rsidRPr="00E842E7">
        <w:rPr>
          <w:i/>
          <w:iCs/>
          <w:color w:val="0070C0"/>
        </w:rPr>
        <w:t>Equality Act 2010</w:t>
      </w:r>
      <w:r w:rsidRPr="00E842E7">
        <w:rPr>
          <w:color w:val="0070C0"/>
        </w:rPr>
        <w:t xml:space="preserve">. [online] Legislation.gov.uk. Available at: </w:t>
      </w:r>
      <w:hyperlink r:id="rId12" w:history="1">
        <w:r w:rsidRPr="00E842E7">
          <w:rPr>
            <w:rStyle w:val="Hyperlink"/>
            <w:color w:val="0070C0"/>
          </w:rPr>
          <w:t>https://www.legislation.gov.uk/ukpga/2010/15/contents</w:t>
        </w:r>
      </w:hyperlink>
      <w:r w:rsidRPr="00E842E7">
        <w:rPr>
          <w:color w:val="0070C0"/>
        </w:rPr>
        <w:t xml:space="preserve"> [Accessed 24 Jun. 2026].</w:t>
      </w:r>
    </w:p>
    <w:p w14:paraId="56C1A74D" w14:textId="467CD29E" w:rsidR="00E842E7" w:rsidRPr="00E842E7" w:rsidRDefault="00E842E7" w:rsidP="00E842E7">
      <w:pPr>
        <w:rPr>
          <w:color w:val="0070C0"/>
        </w:rPr>
      </w:pPr>
      <w:r w:rsidRPr="00E842E7">
        <w:rPr>
          <w:color w:val="0070C0"/>
        </w:rPr>
        <w:lastRenderedPageBreak/>
        <w:t xml:space="preserve">Green, C., (2023). Best practices in supplier relationship management and response when supply is disrupted by </w:t>
      </w:r>
      <w:r w:rsidR="00037250" w:rsidRPr="00E842E7">
        <w:rPr>
          <w:color w:val="0070C0"/>
        </w:rPr>
        <w:t>cyber-attack</w:t>
      </w:r>
      <w:r w:rsidRPr="00E842E7">
        <w:rPr>
          <w:color w:val="0070C0"/>
        </w:rPr>
        <w:t>: An incident response framework. </w:t>
      </w:r>
      <w:r w:rsidRPr="00E842E7">
        <w:rPr>
          <w:i/>
          <w:iCs/>
          <w:color w:val="0070C0"/>
        </w:rPr>
        <w:t>Journal of business continuity &amp; emergency planning</w:t>
      </w:r>
      <w:r w:rsidRPr="00E842E7">
        <w:rPr>
          <w:color w:val="0070C0"/>
        </w:rPr>
        <w:t>, </w:t>
      </w:r>
      <w:r w:rsidRPr="00E842E7">
        <w:rPr>
          <w:i/>
          <w:iCs/>
          <w:color w:val="0070C0"/>
        </w:rPr>
        <w:t>17</w:t>
      </w:r>
      <w:r w:rsidRPr="00E842E7">
        <w:rPr>
          <w:color w:val="0070C0"/>
        </w:rPr>
        <w:t>(1), pp.6-15.</w:t>
      </w:r>
    </w:p>
    <w:p w14:paraId="5E3C096A" w14:textId="77777777" w:rsidR="00E842E7" w:rsidRPr="00E842E7" w:rsidRDefault="00E842E7" w:rsidP="00E842E7">
      <w:pPr>
        <w:rPr>
          <w:color w:val="0070C0"/>
        </w:rPr>
      </w:pPr>
      <w:r w:rsidRPr="00E842E7">
        <w:rPr>
          <w:color w:val="0070C0"/>
        </w:rPr>
        <w:t xml:space="preserve">Hadjidemetriou, G. M., Teal, J., Kapetas, L., and Parlikad, A. K. (2022). Flexible planning for intercity multimodal transport infrastructure. Journal of Infrastructure Systems, 28(1), 05021010. </w:t>
      </w:r>
    </w:p>
    <w:p w14:paraId="40421C8C" w14:textId="0FA98BC2" w:rsidR="00E842E7" w:rsidRPr="00E842E7" w:rsidRDefault="00E842E7" w:rsidP="00E842E7">
      <w:pPr>
        <w:rPr>
          <w:color w:val="0070C0"/>
        </w:rPr>
      </w:pPr>
      <w:r w:rsidRPr="00E842E7">
        <w:rPr>
          <w:color w:val="0070C0"/>
        </w:rPr>
        <w:t>Hamilton, S.G., (2022). Public procurement–price-taker or market-</w:t>
      </w:r>
      <w:r w:rsidR="00037250" w:rsidRPr="00E842E7">
        <w:rPr>
          <w:color w:val="0070C0"/>
        </w:rPr>
        <w:t>shaper?</w:t>
      </w:r>
      <w:r w:rsidRPr="00E842E7">
        <w:rPr>
          <w:color w:val="0070C0"/>
        </w:rPr>
        <w:t> </w:t>
      </w:r>
      <w:r w:rsidRPr="00E842E7">
        <w:rPr>
          <w:i/>
          <w:iCs/>
          <w:color w:val="0070C0"/>
        </w:rPr>
        <w:t>Critical perspectives on international business</w:t>
      </w:r>
      <w:r w:rsidRPr="00E842E7">
        <w:rPr>
          <w:color w:val="0070C0"/>
        </w:rPr>
        <w:t>, </w:t>
      </w:r>
      <w:r w:rsidRPr="00E842E7">
        <w:rPr>
          <w:i/>
          <w:iCs/>
          <w:color w:val="0070C0"/>
        </w:rPr>
        <w:t>18</w:t>
      </w:r>
      <w:r w:rsidRPr="00E842E7">
        <w:rPr>
          <w:color w:val="0070C0"/>
        </w:rPr>
        <w:t>(4), pp.574-615.</w:t>
      </w:r>
    </w:p>
    <w:p w14:paraId="434DF60F" w14:textId="77777777" w:rsidR="00E842E7" w:rsidRPr="00E842E7" w:rsidRDefault="00E842E7" w:rsidP="00E842E7">
      <w:pPr>
        <w:rPr>
          <w:color w:val="0070C0"/>
        </w:rPr>
      </w:pPr>
      <w:r w:rsidRPr="00E842E7">
        <w:rPr>
          <w:color w:val="0070C0"/>
        </w:rPr>
        <w:t xml:space="preserve">HM Treasury (2026). </w:t>
      </w:r>
      <w:r w:rsidRPr="00E842E7">
        <w:rPr>
          <w:i/>
          <w:iCs/>
          <w:color w:val="0070C0"/>
        </w:rPr>
        <w:t>THE GREEN BOOK UK GOVERNMENT GUIDANCE ON APPRAISAL</w:t>
      </w:r>
      <w:r w:rsidRPr="00E842E7">
        <w:rPr>
          <w:color w:val="0070C0"/>
        </w:rPr>
        <w:t xml:space="preserve">. [online] Available at: </w:t>
      </w:r>
      <w:hyperlink r:id="rId13" w:history="1">
        <w:r w:rsidRPr="00E842E7">
          <w:rPr>
            <w:rStyle w:val="Hyperlink"/>
            <w:color w:val="0070C0"/>
          </w:rPr>
          <w:t>https://assets.publishing.service.gov.uk/media/698dbcd17da91680ad7f4308/The_Green_Book_2026.pdf</w:t>
        </w:r>
      </w:hyperlink>
      <w:r w:rsidRPr="00E842E7">
        <w:rPr>
          <w:color w:val="0070C0"/>
        </w:rPr>
        <w:t xml:space="preserve"> [Accessed 24 Jun. 2026].</w:t>
      </w:r>
    </w:p>
    <w:p w14:paraId="20E57711" w14:textId="77777777" w:rsidR="00E842E7" w:rsidRPr="00E842E7" w:rsidRDefault="00E842E7" w:rsidP="00E842E7">
      <w:pPr>
        <w:rPr>
          <w:color w:val="0070C0"/>
        </w:rPr>
      </w:pPr>
      <w:r w:rsidRPr="00E842E7">
        <w:rPr>
          <w:color w:val="0070C0"/>
        </w:rPr>
        <w:t>Lesniewska, F., (2026). Tapping into public procurement. </w:t>
      </w:r>
      <w:r w:rsidRPr="00E842E7">
        <w:rPr>
          <w:i/>
          <w:iCs/>
          <w:color w:val="0070C0"/>
        </w:rPr>
        <w:t>A Research Agenda for Law, Finance and the Environment</w:t>
      </w:r>
      <w:r w:rsidRPr="00E842E7">
        <w:rPr>
          <w:color w:val="0070C0"/>
        </w:rPr>
        <w:t>, p.251.</w:t>
      </w:r>
    </w:p>
    <w:p w14:paraId="1E1583F2" w14:textId="77777777" w:rsidR="00E842E7" w:rsidRPr="00E842E7" w:rsidRDefault="00E842E7" w:rsidP="00E842E7">
      <w:pPr>
        <w:rPr>
          <w:color w:val="0070C0"/>
        </w:rPr>
      </w:pPr>
      <w:r w:rsidRPr="00E842E7">
        <w:rPr>
          <w:color w:val="0070C0"/>
        </w:rPr>
        <w:t xml:space="preserve">Manchester, G. (2025). </w:t>
      </w:r>
      <w:r w:rsidRPr="00E842E7">
        <w:rPr>
          <w:i/>
          <w:iCs/>
          <w:color w:val="0070C0"/>
        </w:rPr>
        <w:t>The Bee Network</w:t>
      </w:r>
      <w:r w:rsidRPr="00E842E7">
        <w:rPr>
          <w:color w:val="0070C0"/>
        </w:rPr>
        <w:t xml:space="preserve">. [online] Greater Manchester Combined Authority. Available at: </w:t>
      </w:r>
      <w:hyperlink r:id="rId14" w:history="1">
        <w:r w:rsidRPr="00E842E7">
          <w:rPr>
            <w:rStyle w:val="Hyperlink"/>
            <w:color w:val="0070C0"/>
          </w:rPr>
          <w:t>https://www.greatermanchester-ca.gov.uk/what-we-do/transport/the-bee-network/</w:t>
        </w:r>
      </w:hyperlink>
      <w:r w:rsidRPr="00E842E7">
        <w:rPr>
          <w:color w:val="0070C0"/>
        </w:rPr>
        <w:t xml:space="preserve"> [Accessed 24 Jun. 2026].</w:t>
      </w:r>
    </w:p>
    <w:p w14:paraId="3A739A4E" w14:textId="77777777" w:rsidR="00E842E7" w:rsidRPr="00E842E7" w:rsidRDefault="00E842E7" w:rsidP="00E842E7">
      <w:pPr>
        <w:rPr>
          <w:color w:val="0070C0"/>
        </w:rPr>
      </w:pPr>
      <w:r w:rsidRPr="00E842E7">
        <w:rPr>
          <w:color w:val="0070C0"/>
        </w:rPr>
        <w:t>Moshood, T.D., Rotimi, J.O. and Wajiha, S., (2025). Sustainability principles in infrastructure project delivery: establishing the broader implementation strategies for decision-making. </w:t>
      </w:r>
      <w:r w:rsidRPr="00E842E7">
        <w:rPr>
          <w:i/>
          <w:iCs/>
          <w:color w:val="0070C0"/>
        </w:rPr>
        <w:t>Construction Innovation</w:t>
      </w:r>
      <w:r w:rsidRPr="00E842E7">
        <w:rPr>
          <w:color w:val="0070C0"/>
        </w:rPr>
        <w:t>, </w:t>
      </w:r>
      <w:r w:rsidRPr="00E842E7">
        <w:rPr>
          <w:i/>
          <w:iCs/>
          <w:color w:val="0070C0"/>
        </w:rPr>
        <w:t>25</w:t>
      </w:r>
      <w:r w:rsidRPr="00E842E7">
        <w:rPr>
          <w:color w:val="0070C0"/>
        </w:rPr>
        <w:t>(5), pp.1370-1411.</w:t>
      </w:r>
    </w:p>
    <w:p w14:paraId="7FF36F6F" w14:textId="77777777" w:rsidR="00E842E7" w:rsidRPr="00E842E7" w:rsidRDefault="00E842E7" w:rsidP="00E842E7">
      <w:pPr>
        <w:rPr>
          <w:color w:val="0070C0"/>
        </w:rPr>
      </w:pPr>
      <w:r w:rsidRPr="00E842E7">
        <w:rPr>
          <w:color w:val="0070C0"/>
        </w:rPr>
        <w:t>Murphet, J., (2022). Understanding Quad. </w:t>
      </w:r>
      <w:r w:rsidRPr="00E842E7">
        <w:rPr>
          <w:i/>
          <w:iCs/>
          <w:color w:val="0070C0"/>
        </w:rPr>
        <w:t>Beckett and media</w:t>
      </w:r>
      <w:r w:rsidRPr="00E842E7">
        <w:rPr>
          <w:color w:val="0070C0"/>
        </w:rPr>
        <w:t>, pp.155-76.</w:t>
      </w:r>
    </w:p>
    <w:p w14:paraId="3906F201" w14:textId="77777777" w:rsidR="00E842E7" w:rsidRPr="00E842E7" w:rsidRDefault="00E842E7" w:rsidP="00E842E7">
      <w:pPr>
        <w:rPr>
          <w:color w:val="0070C0"/>
        </w:rPr>
      </w:pPr>
      <w:r w:rsidRPr="00E842E7">
        <w:rPr>
          <w:color w:val="0070C0"/>
        </w:rPr>
        <w:t xml:space="preserve">Network Rail (2019). </w:t>
      </w:r>
      <w:r w:rsidRPr="00E842E7">
        <w:rPr>
          <w:i/>
          <w:iCs/>
          <w:color w:val="0070C0"/>
        </w:rPr>
        <w:t>Manchester Piccadilly’s Assisted Travel Lounge fully opens to passengers</w:t>
      </w:r>
      <w:r w:rsidRPr="00E842E7">
        <w:rPr>
          <w:color w:val="0070C0"/>
        </w:rPr>
        <w:t xml:space="preserve">. [online] Network Rail Media Centre. Available at: </w:t>
      </w:r>
      <w:hyperlink r:id="rId15" w:history="1">
        <w:r w:rsidRPr="00E842E7">
          <w:rPr>
            <w:rStyle w:val="Hyperlink"/>
            <w:color w:val="0070C0"/>
          </w:rPr>
          <w:t>https://www.networkrailmediacentre.co.uk/news/manchester-piccadillys-assisted-travel-lounge-fully-opens-to-passengers</w:t>
        </w:r>
      </w:hyperlink>
      <w:r w:rsidRPr="00E842E7">
        <w:rPr>
          <w:color w:val="0070C0"/>
        </w:rPr>
        <w:t xml:space="preserve"> [Accessed 24 Jun. 2026].</w:t>
      </w:r>
    </w:p>
    <w:p w14:paraId="5A7EF3CB" w14:textId="77777777" w:rsidR="00E842E7" w:rsidRPr="00E842E7" w:rsidRDefault="00E842E7" w:rsidP="00E842E7">
      <w:pPr>
        <w:rPr>
          <w:color w:val="0070C0"/>
        </w:rPr>
      </w:pPr>
      <w:r w:rsidRPr="00E842E7">
        <w:rPr>
          <w:color w:val="0070C0"/>
        </w:rPr>
        <w:lastRenderedPageBreak/>
        <w:t>Onalaja, A.A., (2023). </w:t>
      </w:r>
      <w:r w:rsidRPr="00E842E7">
        <w:rPr>
          <w:i/>
          <w:iCs/>
          <w:color w:val="0070C0"/>
        </w:rPr>
        <w:t>Improving costing in infrastructure projects to accommodate uncertainties</w:t>
      </w:r>
      <w:r w:rsidRPr="00E842E7">
        <w:rPr>
          <w:color w:val="0070C0"/>
        </w:rPr>
        <w:t>. University of Northumbria at Newcastle (United Kingdom).</w:t>
      </w:r>
    </w:p>
    <w:p w14:paraId="535B8E02" w14:textId="77777777" w:rsidR="00E842E7" w:rsidRPr="00E842E7" w:rsidRDefault="00E842E7" w:rsidP="00E842E7">
      <w:pPr>
        <w:rPr>
          <w:color w:val="0070C0"/>
        </w:rPr>
      </w:pPr>
      <w:r w:rsidRPr="00E842E7">
        <w:rPr>
          <w:color w:val="0070C0"/>
        </w:rPr>
        <w:t>Wadhwa, K., (2024). The Role of Gantt Chart in the Project Management.</w:t>
      </w:r>
    </w:p>
    <w:p w14:paraId="7A63C5B4" w14:textId="77777777" w:rsidR="00E842E7" w:rsidRPr="00E842E7" w:rsidRDefault="00E842E7" w:rsidP="00E842E7">
      <w:pPr>
        <w:rPr>
          <w:color w:val="0070C0"/>
        </w:rPr>
      </w:pPr>
      <w:r w:rsidRPr="00E842E7">
        <w:rPr>
          <w:color w:val="0070C0"/>
        </w:rPr>
        <w:t>Woods, N.D., (2024). Structuring Bureaucratic Performance? Assessing the Policy Impact of Environmental Agency Design. </w:t>
      </w:r>
      <w:r w:rsidRPr="00E842E7">
        <w:rPr>
          <w:i/>
          <w:iCs/>
          <w:color w:val="0070C0"/>
        </w:rPr>
        <w:t>Sustainability</w:t>
      </w:r>
      <w:r w:rsidRPr="00E842E7">
        <w:rPr>
          <w:color w:val="0070C0"/>
        </w:rPr>
        <w:t>, </w:t>
      </w:r>
      <w:r w:rsidRPr="00E842E7">
        <w:rPr>
          <w:i/>
          <w:iCs/>
          <w:color w:val="0070C0"/>
        </w:rPr>
        <w:t>16</w:t>
      </w:r>
      <w:r w:rsidRPr="00E842E7">
        <w:rPr>
          <w:color w:val="0070C0"/>
        </w:rPr>
        <w:t>(17), p.7505.</w:t>
      </w:r>
    </w:p>
    <w:p w14:paraId="60A48891" w14:textId="77777777" w:rsidR="00E842E7" w:rsidRPr="00E842E7" w:rsidRDefault="00E842E7" w:rsidP="00E842E7">
      <w:pPr>
        <w:rPr>
          <w:color w:val="0070C0"/>
        </w:rPr>
      </w:pPr>
      <w:r w:rsidRPr="00E842E7">
        <w:rPr>
          <w:color w:val="0070C0"/>
        </w:rPr>
        <w:t>Zhang, X., Goh, M., Bai, S. and Wang, Z., (2024). Risk response decisions for projects in project portfolios considering objective adjustments and project interdependencies. </w:t>
      </w:r>
      <w:r w:rsidRPr="00E842E7">
        <w:rPr>
          <w:i/>
          <w:iCs/>
          <w:color w:val="0070C0"/>
        </w:rPr>
        <w:t>Kybernetes</w:t>
      </w:r>
      <w:r w:rsidRPr="00E842E7">
        <w:rPr>
          <w:color w:val="0070C0"/>
        </w:rPr>
        <w:t>, </w:t>
      </w:r>
      <w:r w:rsidRPr="00E842E7">
        <w:rPr>
          <w:i/>
          <w:iCs/>
          <w:color w:val="0070C0"/>
        </w:rPr>
        <w:t>53</w:t>
      </w:r>
      <w:r w:rsidRPr="00E842E7">
        <w:rPr>
          <w:color w:val="0070C0"/>
        </w:rPr>
        <w:t>(7), pp.2217-2246.</w:t>
      </w:r>
    </w:p>
    <w:p w14:paraId="1185A64C" w14:textId="6E78C2E7" w:rsidR="00E842E7" w:rsidRPr="00E842E7" w:rsidRDefault="00E842E7" w:rsidP="00E842E7">
      <w:r>
        <w:t xml:space="preserve"> </w:t>
      </w:r>
    </w:p>
    <w:sectPr w:rsidR="00E842E7" w:rsidRPr="00E842E7">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DE9EC" w14:textId="77777777" w:rsidR="004B0EEF" w:rsidRDefault="004B0EEF">
      <w:pPr>
        <w:spacing w:before="0" w:after="0" w:line="240" w:lineRule="auto"/>
      </w:pPr>
      <w:r>
        <w:separator/>
      </w:r>
    </w:p>
  </w:endnote>
  <w:endnote w:type="continuationSeparator" w:id="0">
    <w:p w14:paraId="71AF6BFB" w14:textId="77777777" w:rsidR="004B0EEF" w:rsidRDefault="004B0EE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0330533"/>
      <w:docPartObj>
        <w:docPartGallery w:val="Page Numbers (Bottom of Page)"/>
        <w:docPartUnique/>
      </w:docPartObj>
    </w:sdtPr>
    <w:sdtEndPr>
      <w:rPr>
        <w:noProof/>
      </w:rPr>
    </w:sdtEndPr>
    <w:sdtContent>
      <w:p w14:paraId="5AD6CCCA" w14:textId="77777777" w:rsidR="009C1056" w:rsidRDefault="009B2E5F" w:rsidP="009615B4">
        <w:pPr>
          <w:pStyle w:val="Footer"/>
          <w:jc w:val="right"/>
        </w:pPr>
        <w:r>
          <w:fldChar w:fldCharType="begin"/>
        </w:r>
        <w:r>
          <w:instrText xml:space="preserve"> PAGE   \* MERGEFORMAT </w:instrText>
        </w:r>
        <w:r>
          <w:fldChar w:fldCharType="separate"/>
        </w:r>
        <w:r>
          <w:rPr>
            <w:noProof/>
          </w:rPr>
          <w:t>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7870322"/>
      <w:docPartObj>
        <w:docPartGallery w:val="Page Numbers (Bottom of Page)"/>
        <w:docPartUnique/>
      </w:docPartObj>
    </w:sdtPr>
    <w:sdtEndPr>
      <w:rPr>
        <w:noProof/>
      </w:rPr>
    </w:sdtEndPr>
    <w:sdtContent>
      <w:p w14:paraId="7EF17FE9" w14:textId="2EB81C2B" w:rsidR="001B2CC4" w:rsidRDefault="009B2E5F" w:rsidP="00C20B2D">
        <w:pPr>
          <w:pStyle w:val="Footer"/>
          <w:jc w:val="right"/>
        </w:pPr>
        <w:r>
          <w:fldChar w:fldCharType="begin"/>
        </w:r>
        <w:r>
          <w:instrText xml:space="preserve"> PAGE   \* MERGEFORMAT </w:instrText>
        </w:r>
        <w:r>
          <w:fldChar w:fldCharType="separate"/>
        </w:r>
        <w:r w:rsidR="00313136">
          <w:rPr>
            <w:noProof/>
          </w:rPr>
          <w:t>1</w:t>
        </w:r>
        <w:r>
          <w:rPr>
            <w:noProof/>
          </w:rPr>
          <w:fldChar w:fldCharType="end"/>
        </w:r>
      </w:p>
    </w:sdtContent>
  </w:sdt>
  <w:p w14:paraId="79CABD06" w14:textId="77777777" w:rsidR="00117B9D" w:rsidRDefault="00117B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EB383" w14:textId="77777777" w:rsidR="004B0EEF" w:rsidRDefault="004B0EEF">
      <w:pPr>
        <w:spacing w:before="0" w:after="0" w:line="240" w:lineRule="auto"/>
      </w:pPr>
      <w:r>
        <w:separator/>
      </w:r>
    </w:p>
  </w:footnote>
  <w:footnote w:type="continuationSeparator" w:id="0">
    <w:p w14:paraId="2693E4DD" w14:textId="77777777" w:rsidR="004B0EEF" w:rsidRDefault="004B0EE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234"/>
    <w:multiLevelType w:val="hybridMultilevel"/>
    <w:tmpl w:val="AC2CA308"/>
    <w:lvl w:ilvl="0" w:tplc="9DA67A84">
      <w:start w:val="1"/>
      <w:numFmt w:val="lowerRoman"/>
      <w:lvlText w:val="%1."/>
      <w:lvlJc w:val="left"/>
      <w:pPr>
        <w:ind w:left="1080" w:hanging="720"/>
      </w:pPr>
      <w:rPr>
        <w:rFonts w:hint="default"/>
      </w:rPr>
    </w:lvl>
    <w:lvl w:ilvl="1" w:tplc="82F2F048" w:tentative="1">
      <w:start w:val="1"/>
      <w:numFmt w:val="lowerLetter"/>
      <w:lvlText w:val="%2."/>
      <w:lvlJc w:val="left"/>
      <w:pPr>
        <w:ind w:left="1440" w:hanging="360"/>
      </w:pPr>
    </w:lvl>
    <w:lvl w:ilvl="2" w:tplc="867490BA" w:tentative="1">
      <w:start w:val="1"/>
      <w:numFmt w:val="lowerRoman"/>
      <w:lvlText w:val="%3."/>
      <w:lvlJc w:val="right"/>
      <w:pPr>
        <w:ind w:left="2160" w:hanging="180"/>
      </w:pPr>
    </w:lvl>
    <w:lvl w:ilvl="3" w:tplc="A19A0A32" w:tentative="1">
      <w:start w:val="1"/>
      <w:numFmt w:val="decimal"/>
      <w:lvlText w:val="%4."/>
      <w:lvlJc w:val="left"/>
      <w:pPr>
        <w:ind w:left="2880" w:hanging="360"/>
      </w:pPr>
    </w:lvl>
    <w:lvl w:ilvl="4" w:tplc="98CA0E84" w:tentative="1">
      <w:start w:val="1"/>
      <w:numFmt w:val="lowerLetter"/>
      <w:lvlText w:val="%5."/>
      <w:lvlJc w:val="left"/>
      <w:pPr>
        <w:ind w:left="3600" w:hanging="360"/>
      </w:pPr>
    </w:lvl>
    <w:lvl w:ilvl="5" w:tplc="2E22292E" w:tentative="1">
      <w:start w:val="1"/>
      <w:numFmt w:val="lowerRoman"/>
      <w:lvlText w:val="%6."/>
      <w:lvlJc w:val="right"/>
      <w:pPr>
        <w:ind w:left="4320" w:hanging="180"/>
      </w:pPr>
    </w:lvl>
    <w:lvl w:ilvl="6" w:tplc="3C5C0C7C" w:tentative="1">
      <w:start w:val="1"/>
      <w:numFmt w:val="decimal"/>
      <w:lvlText w:val="%7."/>
      <w:lvlJc w:val="left"/>
      <w:pPr>
        <w:ind w:left="5040" w:hanging="360"/>
      </w:pPr>
    </w:lvl>
    <w:lvl w:ilvl="7" w:tplc="658053AC" w:tentative="1">
      <w:start w:val="1"/>
      <w:numFmt w:val="lowerLetter"/>
      <w:lvlText w:val="%8."/>
      <w:lvlJc w:val="left"/>
      <w:pPr>
        <w:ind w:left="5760" w:hanging="360"/>
      </w:pPr>
    </w:lvl>
    <w:lvl w:ilvl="8" w:tplc="6A62B372" w:tentative="1">
      <w:start w:val="1"/>
      <w:numFmt w:val="lowerRoman"/>
      <w:lvlText w:val="%9."/>
      <w:lvlJc w:val="right"/>
      <w:pPr>
        <w:ind w:left="6480" w:hanging="180"/>
      </w:pPr>
    </w:lvl>
  </w:abstractNum>
  <w:abstractNum w:abstractNumId="1" w15:restartNumberingAfterBreak="0">
    <w:nsid w:val="26071304"/>
    <w:multiLevelType w:val="hybridMultilevel"/>
    <w:tmpl w:val="E94804BE"/>
    <w:lvl w:ilvl="0" w:tplc="C31E11CE">
      <w:start w:val="1"/>
      <w:numFmt w:val="bullet"/>
      <w:lvlText w:val=""/>
      <w:lvlJc w:val="left"/>
      <w:pPr>
        <w:ind w:left="720" w:hanging="360"/>
      </w:pPr>
      <w:rPr>
        <w:rFonts w:ascii="Wingdings" w:hAnsi="Wingdings" w:hint="default"/>
      </w:rPr>
    </w:lvl>
    <w:lvl w:ilvl="1" w:tplc="900CA4D6" w:tentative="1">
      <w:start w:val="1"/>
      <w:numFmt w:val="bullet"/>
      <w:lvlText w:val="o"/>
      <w:lvlJc w:val="left"/>
      <w:pPr>
        <w:ind w:left="1440" w:hanging="360"/>
      </w:pPr>
      <w:rPr>
        <w:rFonts w:ascii="Courier New" w:hAnsi="Courier New" w:cs="Courier New" w:hint="default"/>
      </w:rPr>
    </w:lvl>
    <w:lvl w:ilvl="2" w:tplc="160ADCB4" w:tentative="1">
      <w:start w:val="1"/>
      <w:numFmt w:val="bullet"/>
      <w:lvlText w:val=""/>
      <w:lvlJc w:val="left"/>
      <w:pPr>
        <w:ind w:left="2160" w:hanging="360"/>
      </w:pPr>
      <w:rPr>
        <w:rFonts w:ascii="Wingdings" w:hAnsi="Wingdings" w:hint="default"/>
      </w:rPr>
    </w:lvl>
    <w:lvl w:ilvl="3" w:tplc="685E4546" w:tentative="1">
      <w:start w:val="1"/>
      <w:numFmt w:val="bullet"/>
      <w:lvlText w:val=""/>
      <w:lvlJc w:val="left"/>
      <w:pPr>
        <w:ind w:left="2880" w:hanging="360"/>
      </w:pPr>
      <w:rPr>
        <w:rFonts w:ascii="Symbol" w:hAnsi="Symbol" w:hint="default"/>
      </w:rPr>
    </w:lvl>
    <w:lvl w:ilvl="4" w:tplc="FB7C5A80" w:tentative="1">
      <w:start w:val="1"/>
      <w:numFmt w:val="bullet"/>
      <w:lvlText w:val="o"/>
      <w:lvlJc w:val="left"/>
      <w:pPr>
        <w:ind w:left="3600" w:hanging="360"/>
      </w:pPr>
      <w:rPr>
        <w:rFonts w:ascii="Courier New" w:hAnsi="Courier New" w:cs="Courier New" w:hint="default"/>
      </w:rPr>
    </w:lvl>
    <w:lvl w:ilvl="5" w:tplc="5D20F6F0" w:tentative="1">
      <w:start w:val="1"/>
      <w:numFmt w:val="bullet"/>
      <w:lvlText w:val=""/>
      <w:lvlJc w:val="left"/>
      <w:pPr>
        <w:ind w:left="4320" w:hanging="360"/>
      </w:pPr>
      <w:rPr>
        <w:rFonts w:ascii="Wingdings" w:hAnsi="Wingdings" w:hint="default"/>
      </w:rPr>
    </w:lvl>
    <w:lvl w:ilvl="6" w:tplc="16088A3C" w:tentative="1">
      <w:start w:val="1"/>
      <w:numFmt w:val="bullet"/>
      <w:lvlText w:val=""/>
      <w:lvlJc w:val="left"/>
      <w:pPr>
        <w:ind w:left="5040" w:hanging="360"/>
      </w:pPr>
      <w:rPr>
        <w:rFonts w:ascii="Symbol" w:hAnsi="Symbol" w:hint="default"/>
      </w:rPr>
    </w:lvl>
    <w:lvl w:ilvl="7" w:tplc="BEFA381C" w:tentative="1">
      <w:start w:val="1"/>
      <w:numFmt w:val="bullet"/>
      <w:lvlText w:val="o"/>
      <w:lvlJc w:val="left"/>
      <w:pPr>
        <w:ind w:left="5760" w:hanging="360"/>
      </w:pPr>
      <w:rPr>
        <w:rFonts w:ascii="Courier New" w:hAnsi="Courier New" w:cs="Courier New" w:hint="default"/>
      </w:rPr>
    </w:lvl>
    <w:lvl w:ilvl="8" w:tplc="EEA85022" w:tentative="1">
      <w:start w:val="1"/>
      <w:numFmt w:val="bullet"/>
      <w:lvlText w:val=""/>
      <w:lvlJc w:val="left"/>
      <w:pPr>
        <w:ind w:left="6480" w:hanging="360"/>
      </w:pPr>
      <w:rPr>
        <w:rFonts w:ascii="Wingdings" w:hAnsi="Wingdings" w:hint="default"/>
      </w:rPr>
    </w:lvl>
  </w:abstractNum>
  <w:abstractNum w:abstractNumId="2" w15:restartNumberingAfterBreak="0">
    <w:nsid w:val="26BC2172"/>
    <w:multiLevelType w:val="hybridMultilevel"/>
    <w:tmpl w:val="743ED568"/>
    <w:lvl w:ilvl="0" w:tplc="3A54FA34">
      <w:start w:val="1"/>
      <w:numFmt w:val="decimal"/>
      <w:lvlText w:val="%1)"/>
      <w:lvlJc w:val="left"/>
      <w:pPr>
        <w:ind w:left="720" w:hanging="360"/>
      </w:pPr>
    </w:lvl>
    <w:lvl w:ilvl="1" w:tplc="26B42CB0" w:tentative="1">
      <w:start w:val="1"/>
      <w:numFmt w:val="lowerLetter"/>
      <w:lvlText w:val="%2."/>
      <w:lvlJc w:val="left"/>
      <w:pPr>
        <w:ind w:left="1440" w:hanging="360"/>
      </w:pPr>
    </w:lvl>
    <w:lvl w:ilvl="2" w:tplc="DFA42352" w:tentative="1">
      <w:start w:val="1"/>
      <w:numFmt w:val="lowerRoman"/>
      <w:lvlText w:val="%3."/>
      <w:lvlJc w:val="right"/>
      <w:pPr>
        <w:ind w:left="2160" w:hanging="180"/>
      </w:pPr>
    </w:lvl>
    <w:lvl w:ilvl="3" w:tplc="81DC758C" w:tentative="1">
      <w:start w:val="1"/>
      <w:numFmt w:val="decimal"/>
      <w:lvlText w:val="%4."/>
      <w:lvlJc w:val="left"/>
      <w:pPr>
        <w:ind w:left="2880" w:hanging="360"/>
      </w:pPr>
    </w:lvl>
    <w:lvl w:ilvl="4" w:tplc="F0848516" w:tentative="1">
      <w:start w:val="1"/>
      <w:numFmt w:val="lowerLetter"/>
      <w:lvlText w:val="%5."/>
      <w:lvlJc w:val="left"/>
      <w:pPr>
        <w:ind w:left="3600" w:hanging="360"/>
      </w:pPr>
    </w:lvl>
    <w:lvl w:ilvl="5" w:tplc="01EE6B5C" w:tentative="1">
      <w:start w:val="1"/>
      <w:numFmt w:val="lowerRoman"/>
      <w:lvlText w:val="%6."/>
      <w:lvlJc w:val="right"/>
      <w:pPr>
        <w:ind w:left="4320" w:hanging="180"/>
      </w:pPr>
    </w:lvl>
    <w:lvl w:ilvl="6" w:tplc="1758F4DA" w:tentative="1">
      <w:start w:val="1"/>
      <w:numFmt w:val="decimal"/>
      <w:lvlText w:val="%7."/>
      <w:lvlJc w:val="left"/>
      <w:pPr>
        <w:ind w:left="5040" w:hanging="360"/>
      </w:pPr>
    </w:lvl>
    <w:lvl w:ilvl="7" w:tplc="FE68977A" w:tentative="1">
      <w:start w:val="1"/>
      <w:numFmt w:val="lowerLetter"/>
      <w:lvlText w:val="%8."/>
      <w:lvlJc w:val="left"/>
      <w:pPr>
        <w:ind w:left="5760" w:hanging="360"/>
      </w:pPr>
    </w:lvl>
    <w:lvl w:ilvl="8" w:tplc="87B21822" w:tentative="1">
      <w:start w:val="1"/>
      <w:numFmt w:val="lowerRoman"/>
      <w:lvlText w:val="%9."/>
      <w:lvlJc w:val="right"/>
      <w:pPr>
        <w:ind w:left="6480" w:hanging="180"/>
      </w:pPr>
    </w:lvl>
  </w:abstractNum>
  <w:abstractNum w:abstractNumId="3" w15:restartNumberingAfterBreak="0">
    <w:nsid w:val="401C36A1"/>
    <w:multiLevelType w:val="hybridMultilevel"/>
    <w:tmpl w:val="0CD6BA58"/>
    <w:lvl w:ilvl="0" w:tplc="0ABE674C">
      <w:start w:val="1"/>
      <w:numFmt w:val="bullet"/>
      <w:pStyle w:val="Heading3"/>
      <w:lvlText w:val=""/>
      <w:lvlJc w:val="left"/>
      <w:pPr>
        <w:ind w:left="720" w:hanging="360"/>
      </w:pPr>
      <w:rPr>
        <w:rFonts w:ascii="Symbol" w:hAnsi="Symbol" w:hint="default"/>
      </w:rPr>
    </w:lvl>
    <w:lvl w:ilvl="1" w:tplc="3CA4E0DA" w:tentative="1">
      <w:start w:val="1"/>
      <w:numFmt w:val="bullet"/>
      <w:lvlText w:val="o"/>
      <w:lvlJc w:val="left"/>
      <w:pPr>
        <w:ind w:left="1440" w:hanging="360"/>
      </w:pPr>
      <w:rPr>
        <w:rFonts w:ascii="Courier New" w:hAnsi="Courier New" w:cs="Courier New" w:hint="default"/>
      </w:rPr>
    </w:lvl>
    <w:lvl w:ilvl="2" w:tplc="993C0AB2" w:tentative="1">
      <w:start w:val="1"/>
      <w:numFmt w:val="bullet"/>
      <w:lvlText w:val=""/>
      <w:lvlJc w:val="left"/>
      <w:pPr>
        <w:ind w:left="2160" w:hanging="360"/>
      </w:pPr>
      <w:rPr>
        <w:rFonts w:ascii="Wingdings" w:hAnsi="Wingdings" w:hint="default"/>
      </w:rPr>
    </w:lvl>
    <w:lvl w:ilvl="3" w:tplc="BACCD240" w:tentative="1">
      <w:start w:val="1"/>
      <w:numFmt w:val="bullet"/>
      <w:lvlText w:val=""/>
      <w:lvlJc w:val="left"/>
      <w:pPr>
        <w:ind w:left="2880" w:hanging="360"/>
      </w:pPr>
      <w:rPr>
        <w:rFonts w:ascii="Symbol" w:hAnsi="Symbol" w:hint="default"/>
      </w:rPr>
    </w:lvl>
    <w:lvl w:ilvl="4" w:tplc="6832D2A8" w:tentative="1">
      <w:start w:val="1"/>
      <w:numFmt w:val="bullet"/>
      <w:lvlText w:val="o"/>
      <w:lvlJc w:val="left"/>
      <w:pPr>
        <w:ind w:left="3600" w:hanging="360"/>
      </w:pPr>
      <w:rPr>
        <w:rFonts w:ascii="Courier New" w:hAnsi="Courier New" w:cs="Courier New" w:hint="default"/>
      </w:rPr>
    </w:lvl>
    <w:lvl w:ilvl="5" w:tplc="F59C2B8A" w:tentative="1">
      <w:start w:val="1"/>
      <w:numFmt w:val="bullet"/>
      <w:lvlText w:val=""/>
      <w:lvlJc w:val="left"/>
      <w:pPr>
        <w:ind w:left="4320" w:hanging="360"/>
      </w:pPr>
      <w:rPr>
        <w:rFonts w:ascii="Wingdings" w:hAnsi="Wingdings" w:hint="default"/>
      </w:rPr>
    </w:lvl>
    <w:lvl w:ilvl="6" w:tplc="C4D6E828" w:tentative="1">
      <w:start w:val="1"/>
      <w:numFmt w:val="bullet"/>
      <w:lvlText w:val=""/>
      <w:lvlJc w:val="left"/>
      <w:pPr>
        <w:ind w:left="5040" w:hanging="360"/>
      </w:pPr>
      <w:rPr>
        <w:rFonts w:ascii="Symbol" w:hAnsi="Symbol" w:hint="default"/>
      </w:rPr>
    </w:lvl>
    <w:lvl w:ilvl="7" w:tplc="DC08ACAA" w:tentative="1">
      <w:start w:val="1"/>
      <w:numFmt w:val="bullet"/>
      <w:lvlText w:val="o"/>
      <w:lvlJc w:val="left"/>
      <w:pPr>
        <w:ind w:left="5760" w:hanging="360"/>
      </w:pPr>
      <w:rPr>
        <w:rFonts w:ascii="Courier New" w:hAnsi="Courier New" w:cs="Courier New" w:hint="default"/>
      </w:rPr>
    </w:lvl>
    <w:lvl w:ilvl="8" w:tplc="9FE21750" w:tentative="1">
      <w:start w:val="1"/>
      <w:numFmt w:val="bullet"/>
      <w:lvlText w:val=""/>
      <w:lvlJc w:val="left"/>
      <w:pPr>
        <w:ind w:left="6480" w:hanging="360"/>
      </w:pPr>
      <w:rPr>
        <w:rFonts w:ascii="Wingdings" w:hAnsi="Wingdings" w:hint="default"/>
      </w:rPr>
    </w:lvl>
  </w:abstractNum>
  <w:abstractNum w:abstractNumId="4" w15:restartNumberingAfterBreak="0">
    <w:nsid w:val="41E95849"/>
    <w:multiLevelType w:val="multilevel"/>
    <w:tmpl w:val="569A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6D5AC3"/>
    <w:multiLevelType w:val="hybridMultilevel"/>
    <w:tmpl w:val="A1E09B6C"/>
    <w:lvl w:ilvl="0" w:tplc="BEAC449E">
      <w:start w:val="1"/>
      <w:numFmt w:val="decimal"/>
      <w:lvlText w:val="%1."/>
      <w:lvlJc w:val="left"/>
      <w:pPr>
        <w:ind w:left="720" w:hanging="360"/>
      </w:pPr>
      <w:rPr>
        <w:rFonts w:hint="default"/>
      </w:rPr>
    </w:lvl>
    <w:lvl w:ilvl="1" w:tplc="E3BE9250" w:tentative="1">
      <w:start w:val="1"/>
      <w:numFmt w:val="lowerLetter"/>
      <w:lvlText w:val="%2."/>
      <w:lvlJc w:val="left"/>
      <w:pPr>
        <w:ind w:left="1440" w:hanging="360"/>
      </w:pPr>
    </w:lvl>
    <w:lvl w:ilvl="2" w:tplc="8556A644" w:tentative="1">
      <w:start w:val="1"/>
      <w:numFmt w:val="lowerRoman"/>
      <w:lvlText w:val="%3."/>
      <w:lvlJc w:val="right"/>
      <w:pPr>
        <w:ind w:left="2160" w:hanging="180"/>
      </w:pPr>
    </w:lvl>
    <w:lvl w:ilvl="3" w:tplc="0310E06C" w:tentative="1">
      <w:start w:val="1"/>
      <w:numFmt w:val="decimal"/>
      <w:lvlText w:val="%4."/>
      <w:lvlJc w:val="left"/>
      <w:pPr>
        <w:ind w:left="2880" w:hanging="360"/>
      </w:pPr>
    </w:lvl>
    <w:lvl w:ilvl="4" w:tplc="3BC8E2D8" w:tentative="1">
      <w:start w:val="1"/>
      <w:numFmt w:val="lowerLetter"/>
      <w:lvlText w:val="%5."/>
      <w:lvlJc w:val="left"/>
      <w:pPr>
        <w:ind w:left="3600" w:hanging="360"/>
      </w:pPr>
    </w:lvl>
    <w:lvl w:ilvl="5" w:tplc="117644BA" w:tentative="1">
      <w:start w:val="1"/>
      <w:numFmt w:val="lowerRoman"/>
      <w:lvlText w:val="%6."/>
      <w:lvlJc w:val="right"/>
      <w:pPr>
        <w:ind w:left="4320" w:hanging="180"/>
      </w:pPr>
    </w:lvl>
    <w:lvl w:ilvl="6" w:tplc="FF2853C2" w:tentative="1">
      <w:start w:val="1"/>
      <w:numFmt w:val="decimal"/>
      <w:lvlText w:val="%7."/>
      <w:lvlJc w:val="left"/>
      <w:pPr>
        <w:ind w:left="5040" w:hanging="360"/>
      </w:pPr>
    </w:lvl>
    <w:lvl w:ilvl="7" w:tplc="D1E4C3E8" w:tentative="1">
      <w:start w:val="1"/>
      <w:numFmt w:val="lowerLetter"/>
      <w:lvlText w:val="%8."/>
      <w:lvlJc w:val="left"/>
      <w:pPr>
        <w:ind w:left="5760" w:hanging="360"/>
      </w:pPr>
    </w:lvl>
    <w:lvl w:ilvl="8" w:tplc="33DE4FC6" w:tentative="1">
      <w:start w:val="1"/>
      <w:numFmt w:val="lowerRoman"/>
      <w:lvlText w:val="%9."/>
      <w:lvlJc w:val="right"/>
      <w:pPr>
        <w:ind w:left="6480" w:hanging="180"/>
      </w:pPr>
    </w:lvl>
  </w:abstractNum>
  <w:abstractNum w:abstractNumId="6" w15:restartNumberingAfterBreak="0">
    <w:nsid w:val="4D904C5F"/>
    <w:multiLevelType w:val="hybridMultilevel"/>
    <w:tmpl w:val="18C4754C"/>
    <w:lvl w:ilvl="0" w:tplc="C8BC8660">
      <w:numFmt w:val="bullet"/>
      <w:lvlText w:val=""/>
      <w:lvlJc w:val="left"/>
      <w:pPr>
        <w:ind w:left="727" w:hanging="361"/>
      </w:pPr>
      <w:rPr>
        <w:rFonts w:ascii="Wingdings" w:eastAsia="Wingdings" w:hAnsi="Wingdings" w:cs="Wingdings" w:hint="default"/>
        <w:b w:val="0"/>
        <w:bCs w:val="0"/>
        <w:i w:val="0"/>
        <w:iCs w:val="0"/>
        <w:spacing w:val="0"/>
        <w:w w:val="100"/>
        <w:sz w:val="22"/>
        <w:szCs w:val="22"/>
        <w:lang w:val="en-US" w:eastAsia="en-US" w:bidi="ar-SA"/>
      </w:rPr>
    </w:lvl>
    <w:lvl w:ilvl="1" w:tplc="8AC2D576">
      <w:numFmt w:val="bullet"/>
      <w:lvlText w:val="o"/>
      <w:lvlJc w:val="left"/>
      <w:pPr>
        <w:ind w:left="1447" w:hanging="360"/>
      </w:pPr>
      <w:rPr>
        <w:rFonts w:ascii="Courier New" w:eastAsia="Courier New" w:hAnsi="Courier New" w:cs="Courier New" w:hint="default"/>
        <w:b w:val="0"/>
        <w:bCs w:val="0"/>
        <w:i w:val="0"/>
        <w:iCs w:val="0"/>
        <w:spacing w:val="0"/>
        <w:w w:val="100"/>
        <w:sz w:val="22"/>
        <w:szCs w:val="22"/>
        <w:lang w:val="en-US" w:eastAsia="en-US" w:bidi="ar-SA"/>
      </w:rPr>
    </w:lvl>
    <w:lvl w:ilvl="2" w:tplc="CA26A3D8">
      <w:numFmt w:val="bullet"/>
      <w:lvlText w:val="•"/>
      <w:lvlJc w:val="left"/>
      <w:pPr>
        <w:ind w:left="2994" w:hanging="360"/>
      </w:pPr>
      <w:rPr>
        <w:rFonts w:hint="default"/>
        <w:lang w:val="en-US" w:eastAsia="en-US" w:bidi="ar-SA"/>
      </w:rPr>
    </w:lvl>
    <w:lvl w:ilvl="3" w:tplc="3CB69796">
      <w:numFmt w:val="bullet"/>
      <w:lvlText w:val="•"/>
      <w:lvlJc w:val="left"/>
      <w:pPr>
        <w:ind w:left="4549" w:hanging="360"/>
      </w:pPr>
      <w:rPr>
        <w:rFonts w:hint="default"/>
        <w:lang w:val="en-US" w:eastAsia="en-US" w:bidi="ar-SA"/>
      </w:rPr>
    </w:lvl>
    <w:lvl w:ilvl="4" w:tplc="C24EC994">
      <w:numFmt w:val="bullet"/>
      <w:lvlText w:val="•"/>
      <w:lvlJc w:val="left"/>
      <w:pPr>
        <w:ind w:left="6103" w:hanging="360"/>
      </w:pPr>
      <w:rPr>
        <w:rFonts w:hint="default"/>
        <w:lang w:val="en-US" w:eastAsia="en-US" w:bidi="ar-SA"/>
      </w:rPr>
    </w:lvl>
    <w:lvl w:ilvl="5" w:tplc="E3CA67AE">
      <w:numFmt w:val="bullet"/>
      <w:lvlText w:val="•"/>
      <w:lvlJc w:val="left"/>
      <w:pPr>
        <w:ind w:left="7658" w:hanging="360"/>
      </w:pPr>
      <w:rPr>
        <w:rFonts w:hint="default"/>
        <w:lang w:val="en-US" w:eastAsia="en-US" w:bidi="ar-SA"/>
      </w:rPr>
    </w:lvl>
    <w:lvl w:ilvl="6" w:tplc="D43C8D5A">
      <w:numFmt w:val="bullet"/>
      <w:lvlText w:val="•"/>
      <w:lvlJc w:val="left"/>
      <w:pPr>
        <w:ind w:left="9212" w:hanging="360"/>
      </w:pPr>
      <w:rPr>
        <w:rFonts w:hint="default"/>
        <w:lang w:val="en-US" w:eastAsia="en-US" w:bidi="ar-SA"/>
      </w:rPr>
    </w:lvl>
    <w:lvl w:ilvl="7" w:tplc="4D80B23A">
      <w:numFmt w:val="bullet"/>
      <w:lvlText w:val="•"/>
      <w:lvlJc w:val="left"/>
      <w:pPr>
        <w:ind w:left="10767" w:hanging="360"/>
      </w:pPr>
      <w:rPr>
        <w:rFonts w:hint="default"/>
        <w:lang w:val="en-US" w:eastAsia="en-US" w:bidi="ar-SA"/>
      </w:rPr>
    </w:lvl>
    <w:lvl w:ilvl="8" w:tplc="EA4A9BD6">
      <w:numFmt w:val="bullet"/>
      <w:lvlText w:val="•"/>
      <w:lvlJc w:val="left"/>
      <w:pPr>
        <w:ind w:left="12321" w:hanging="360"/>
      </w:pPr>
      <w:rPr>
        <w:rFonts w:hint="default"/>
        <w:lang w:val="en-US" w:eastAsia="en-US" w:bidi="ar-SA"/>
      </w:rPr>
    </w:lvl>
  </w:abstractNum>
  <w:abstractNum w:abstractNumId="7" w15:restartNumberingAfterBreak="0">
    <w:nsid w:val="59E03451"/>
    <w:multiLevelType w:val="hybridMultilevel"/>
    <w:tmpl w:val="AFD89FB8"/>
    <w:lvl w:ilvl="0" w:tplc="67FA521E">
      <w:start w:val="1"/>
      <w:numFmt w:val="bullet"/>
      <w:lvlText w:val=""/>
      <w:lvlJc w:val="left"/>
      <w:pPr>
        <w:ind w:left="720" w:hanging="360"/>
      </w:pPr>
      <w:rPr>
        <w:rFonts w:ascii="Symbol" w:hAnsi="Symbol" w:hint="default"/>
      </w:rPr>
    </w:lvl>
    <w:lvl w:ilvl="1" w:tplc="C3A89A5A" w:tentative="1">
      <w:start w:val="1"/>
      <w:numFmt w:val="bullet"/>
      <w:lvlText w:val="o"/>
      <w:lvlJc w:val="left"/>
      <w:pPr>
        <w:ind w:left="1440" w:hanging="360"/>
      </w:pPr>
      <w:rPr>
        <w:rFonts w:ascii="Courier New" w:hAnsi="Courier New" w:cs="Courier New" w:hint="default"/>
      </w:rPr>
    </w:lvl>
    <w:lvl w:ilvl="2" w:tplc="D6C6ED24" w:tentative="1">
      <w:start w:val="1"/>
      <w:numFmt w:val="bullet"/>
      <w:lvlText w:val=""/>
      <w:lvlJc w:val="left"/>
      <w:pPr>
        <w:ind w:left="2160" w:hanging="360"/>
      </w:pPr>
      <w:rPr>
        <w:rFonts w:ascii="Wingdings" w:hAnsi="Wingdings" w:hint="default"/>
      </w:rPr>
    </w:lvl>
    <w:lvl w:ilvl="3" w:tplc="3588126A" w:tentative="1">
      <w:start w:val="1"/>
      <w:numFmt w:val="bullet"/>
      <w:lvlText w:val=""/>
      <w:lvlJc w:val="left"/>
      <w:pPr>
        <w:ind w:left="2880" w:hanging="360"/>
      </w:pPr>
      <w:rPr>
        <w:rFonts w:ascii="Symbol" w:hAnsi="Symbol" w:hint="default"/>
      </w:rPr>
    </w:lvl>
    <w:lvl w:ilvl="4" w:tplc="C96CE9DC" w:tentative="1">
      <w:start w:val="1"/>
      <w:numFmt w:val="bullet"/>
      <w:lvlText w:val="o"/>
      <w:lvlJc w:val="left"/>
      <w:pPr>
        <w:ind w:left="3600" w:hanging="360"/>
      </w:pPr>
      <w:rPr>
        <w:rFonts w:ascii="Courier New" w:hAnsi="Courier New" w:cs="Courier New" w:hint="default"/>
      </w:rPr>
    </w:lvl>
    <w:lvl w:ilvl="5" w:tplc="4FA28742" w:tentative="1">
      <w:start w:val="1"/>
      <w:numFmt w:val="bullet"/>
      <w:lvlText w:val=""/>
      <w:lvlJc w:val="left"/>
      <w:pPr>
        <w:ind w:left="4320" w:hanging="360"/>
      </w:pPr>
      <w:rPr>
        <w:rFonts w:ascii="Wingdings" w:hAnsi="Wingdings" w:hint="default"/>
      </w:rPr>
    </w:lvl>
    <w:lvl w:ilvl="6" w:tplc="905ED212" w:tentative="1">
      <w:start w:val="1"/>
      <w:numFmt w:val="bullet"/>
      <w:lvlText w:val=""/>
      <w:lvlJc w:val="left"/>
      <w:pPr>
        <w:ind w:left="5040" w:hanging="360"/>
      </w:pPr>
      <w:rPr>
        <w:rFonts w:ascii="Symbol" w:hAnsi="Symbol" w:hint="default"/>
      </w:rPr>
    </w:lvl>
    <w:lvl w:ilvl="7" w:tplc="A09AB754" w:tentative="1">
      <w:start w:val="1"/>
      <w:numFmt w:val="bullet"/>
      <w:lvlText w:val="o"/>
      <w:lvlJc w:val="left"/>
      <w:pPr>
        <w:ind w:left="5760" w:hanging="360"/>
      </w:pPr>
      <w:rPr>
        <w:rFonts w:ascii="Courier New" w:hAnsi="Courier New" w:cs="Courier New" w:hint="default"/>
      </w:rPr>
    </w:lvl>
    <w:lvl w:ilvl="8" w:tplc="B05AD958" w:tentative="1">
      <w:start w:val="1"/>
      <w:numFmt w:val="bullet"/>
      <w:lvlText w:val=""/>
      <w:lvlJc w:val="left"/>
      <w:pPr>
        <w:ind w:left="6480" w:hanging="360"/>
      </w:pPr>
      <w:rPr>
        <w:rFonts w:ascii="Wingdings" w:hAnsi="Wingdings" w:hint="default"/>
      </w:rPr>
    </w:lvl>
  </w:abstractNum>
  <w:abstractNum w:abstractNumId="8" w15:restartNumberingAfterBreak="0">
    <w:nsid w:val="61314F2F"/>
    <w:multiLevelType w:val="hybridMultilevel"/>
    <w:tmpl w:val="2C761CD2"/>
    <w:lvl w:ilvl="0" w:tplc="1B34E86C">
      <w:start w:val="1"/>
      <w:numFmt w:val="bullet"/>
      <w:lvlText w:val=""/>
      <w:lvlJc w:val="left"/>
      <w:pPr>
        <w:ind w:left="360" w:hanging="360"/>
      </w:pPr>
      <w:rPr>
        <w:rFonts w:ascii="Wingdings" w:hAnsi="Wingdings" w:hint="default"/>
      </w:rPr>
    </w:lvl>
    <w:lvl w:ilvl="1" w:tplc="1E6A08B8" w:tentative="1">
      <w:start w:val="1"/>
      <w:numFmt w:val="bullet"/>
      <w:lvlText w:val="o"/>
      <w:lvlJc w:val="left"/>
      <w:pPr>
        <w:ind w:left="1080" w:hanging="360"/>
      </w:pPr>
      <w:rPr>
        <w:rFonts w:ascii="Courier New" w:hAnsi="Courier New" w:cs="Courier New" w:hint="default"/>
      </w:rPr>
    </w:lvl>
    <w:lvl w:ilvl="2" w:tplc="C09C95DE" w:tentative="1">
      <w:start w:val="1"/>
      <w:numFmt w:val="bullet"/>
      <w:lvlText w:val=""/>
      <w:lvlJc w:val="left"/>
      <w:pPr>
        <w:ind w:left="1800" w:hanging="360"/>
      </w:pPr>
      <w:rPr>
        <w:rFonts w:ascii="Wingdings" w:hAnsi="Wingdings" w:hint="default"/>
      </w:rPr>
    </w:lvl>
    <w:lvl w:ilvl="3" w:tplc="F7A4DD78" w:tentative="1">
      <w:start w:val="1"/>
      <w:numFmt w:val="bullet"/>
      <w:lvlText w:val=""/>
      <w:lvlJc w:val="left"/>
      <w:pPr>
        <w:ind w:left="2520" w:hanging="360"/>
      </w:pPr>
      <w:rPr>
        <w:rFonts w:ascii="Symbol" w:hAnsi="Symbol" w:hint="default"/>
      </w:rPr>
    </w:lvl>
    <w:lvl w:ilvl="4" w:tplc="075A8B72" w:tentative="1">
      <w:start w:val="1"/>
      <w:numFmt w:val="bullet"/>
      <w:lvlText w:val="o"/>
      <w:lvlJc w:val="left"/>
      <w:pPr>
        <w:ind w:left="3240" w:hanging="360"/>
      </w:pPr>
      <w:rPr>
        <w:rFonts w:ascii="Courier New" w:hAnsi="Courier New" w:cs="Courier New" w:hint="default"/>
      </w:rPr>
    </w:lvl>
    <w:lvl w:ilvl="5" w:tplc="1AD004B0" w:tentative="1">
      <w:start w:val="1"/>
      <w:numFmt w:val="bullet"/>
      <w:lvlText w:val=""/>
      <w:lvlJc w:val="left"/>
      <w:pPr>
        <w:ind w:left="3960" w:hanging="360"/>
      </w:pPr>
      <w:rPr>
        <w:rFonts w:ascii="Wingdings" w:hAnsi="Wingdings" w:hint="default"/>
      </w:rPr>
    </w:lvl>
    <w:lvl w:ilvl="6" w:tplc="4BA4437A" w:tentative="1">
      <w:start w:val="1"/>
      <w:numFmt w:val="bullet"/>
      <w:lvlText w:val=""/>
      <w:lvlJc w:val="left"/>
      <w:pPr>
        <w:ind w:left="4680" w:hanging="360"/>
      </w:pPr>
      <w:rPr>
        <w:rFonts w:ascii="Symbol" w:hAnsi="Symbol" w:hint="default"/>
      </w:rPr>
    </w:lvl>
    <w:lvl w:ilvl="7" w:tplc="20CC74F8" w:tentative="1">
      <w:start w:val="1"/>
      <w:numFmt w:val="bullet"/>
      <w:lvlText w:val="o"/>
      <w:lvlJc w:val="left"/>
      <w:pPr>
        <w:ind w:left="5400" w:hanging="360"/>
      </w:pPr>
      <w:rPr>
        <w:rFonts w:ascii="Courier New" w:hAnsi="Courier New" w:cs="Courier New" w:hint="default"/>
      </w:rPr>
    </w:lvl>
    <w:lvl w:ilvl="8" w:tplc="DE2E06DE" w:tentative="1">
      <w:start w:val="1"/>
      <w:numFmt w:val="bullet"/>
      <w:lvlText w:val=""/>
      <w:lvlJc w:val="left"/>
      <w:pPr>
        <w:ind w:left="6120" w:hanging="360"/>
      </w:pPr>
      <w:rPr>
        <w:rFonts w:ascii="Wingdings" w:hAnsi="Wingdings" w:hint="default"/>
      </w:rPr>
    </w:lvl>
  </w:abstractNum>
  <w:abstractNum w:abstractNumId="9" w15:restartNumberingAfterBreak="0">
    <w:nsid w:val="6EA75EBF"/>
    <w:multiLevelType w:val="hybridMultilevel"/>
    <w:tmpl w:val="1666B046"/>
    <w:lvl w:ilvl="0" w:tplc="0F7A0C38">
      <w:numFmt w:val="bullet"/>
      <w:lvlText w:val=""/>
      <w:lvlJc w:val="left"/>
      <w:pPr>
        <w:ind w:left="727" w:hanging="361"/>
      </w:pPr>
      <w:rPr>
        <w:rFonts w:ascii="Wingdings" w:eastAsia="Wingdings" w:hAnsi="Wingdings" w:cs="Wingdings" w:hint="default"/>
        <w:b w:val="0"/>
        <w:bCs w:val="0"/>
        <w:i w:val="0"/>
        <w:iCs w:val="0"/>
        <w:spacing w:val="0"/>
        <w:w w:val="100"/>
        <w:sz w:val="22"/>
        <w:szCs w:val="22"/>
        <w:lang w:val="en-US" w:eastAsia="en-US" w:bidi="ar-SA"/>
      </w:rPr>
    </w:lvl>
    <w:lvl w:ilvl="1" w:tplc="FEC0D29C">
      <w:numFmt w:val="bullet"/>
      <w:lvlText w:val="•"/>
      <w:lvlJc w:val="left"/>
      <w:pPr>
        <w:ind w:left="2191" w:hanging="361"/>
      </w:pPr>
      <w:rPr>
        <w:rFonts w:hint="default"/>
        <w:lang w:val="en-US" w:eastAsia="en-US" w:bidi="ar-SA"/>
      </w:rPr>
    </w:lvl>
    <w:lvl w:ilvl="2" w:tplc="4A22625A">
      <w:numFmt w:val="bullet"/>
      <w:lvlText w:val="•"/>
      <w:lvlJc w:val="left"/>
      <w:pPr>
        <w:ind w:left="3662" w:hanging="361"/>
      </w:pPr>
      <w:rPr>
        <w:rFonts w:hint="default"/>
        <w:lang w:val="en-US" w:eastAsia="en-US" w:bidi="ar-SA"/>
      </w:rPr>
    </w:lvl>
    <w:lvl w:ilvl="3" w:tplc="AA32AC52">
      <w:numFmt w:val="bullet"/>
      <w:lvlText w:val="•"/>
      <w:lvlJc w:val="left"/>
      <w:pPr>
        <w:ind w:left="5133" w:hanging="361"/>
      </w:pPr>
      <w:rPr>
        <w:rFonts w:hint="default"/>
        <w:lang w:val="en-US" w:eastAsia="en-US" w:bidi="ar-SA"/>
      </w:rPr>
    </w:lvl>
    <w:lvl w:ilvl="4" w:tplc="6534FB6A">
      <w:numFmt w:val="bullet"/>
      <w:lvlText w:val="•"/>
      <w:lvlJc w:val="left"/>
      <w:pPr>
        <w:ind w:left="6604" w:hanging="361"/>
      </w:pPr>
      <w:rPr>
        <w:rFonts w:hint="default"/>
        <w:lang w:val="en-US" w:eastAsia="en-US" w:bidi="ar-SA"/>
      </w:rPr>
    </w:lvl>
    <w:lvl w:ilvl="5" w:tplc="BE126EAC">
      <w:numFmt w:val="bullet"/>
      <w:lvlText w:val="•"/>
      <w:lvlJc w:val="left"/>
      <w:pPr>
        <w:ind w:left="8075" w:hanging="361"/>
      </w:pPr>
      <w:rPr>
        <w:rFonts w:hint="default"/>
        <w:lang w:val="en-US" w:eastAsia="en-US" w:bidi="ar-SA"/>
      </w:rPr>
    </w:lvl>
    <w:lvl w:ilvl="6" w:tplc="4FDE8636">
      <w:numFmt w:val="bullet"/>
      <w:lvlText w:val="•"/>
      <w:lvlJc w:val="left"/>
      <w:pPr>
        <w:ind w:left="9546" w:hanging="361"/>
      </w:pPr>
      <w:rPr>
        <w:rFonts w:hint="default"/>
        <w:lang w:val="en-US" w:eastAsia="en-US" w:bidi="ar-SA"/>
      </w:rPr>
    </w:lvl>
    <w:lvl w:ilvl="7" w:tplc="51280136">
      <w:numFmt w:val="bullet"/>
      <w:lvlText w:val="•"/>
      <w:lvlJc w:val="left"/>
      <w:pPr>
        <w:ind w:left="11017" w:hanging="361"/>
      </w:pPr>
      <w:rPr>
        <w:rFonts w:hint="default"/>
        <w:lang w:val="en-US" w:eastAsia="en-US" w:bidi="ar-SA"/>
      </w:rPr>
    </w:lvl>
    <w:lvl w:ilvl="8" w:tplc="D8F84AF0">
      <w:numFmt w:val="bullet"/>
      <w:lvlText w:val="•"/>
      <w:lvlJc w:val="left"/>
      <w:pPr>
        <w:ind w:left="12488" w:hanging="361"/>
      </w:pPr>
      <w:rPr>
        <w:rFonts w:hint="default"/>
        <w:lang w:val="en-US" w:eastAsia="en-US" w:bidi="ar-SA"/>
      </w:rPr>
    </w:lvl>
  </w:abstractNum>
  <w:abstractNum w:abstractNumId="10" w15:restartNumberingAfterBreak="0">
    <w:nsid w:val="74A40D92"/>
    <w:multiLevelType w:val="hybridMultilevel"/>
    <w:tmpl w:val="896EDFE8"/>
    <w:lvl w:ilvl="0" w:tplc="A51EDB12">
      <w:start w:val="1"/>
      <w:numFmt w:val="decimal"/>
      <w:lvlText w:val="%1."/>
      <w:lvlJc w:val="left"/>
      <w:pPr>
        <w:ind w:left="360" w:hanging="360"/>
      </w:pPr>
    </w:lvl>
    <w:lvl w:ilvl="1" w:tplc="FEA210D0" w:tentative="1">
      <w:start w:val="1"/>
      <w:numFmt w:val="lowerLetter"/>
      <w:lvlText w:val="%2."/>
      <w:lvlJc w:val="left"/>
      <w:pPr>
        <w:ind w:left="1080" w:hanging="360"/>
      </w:pPr>
    </w:lvl>
    <w:lvl w:ilvl="2" w:tplc="62A6FC7E" w:tentative="1">
      <w:start w:val="1"/>
      <w:numFmt w:val="lowerRoman"/>
      <w:lvlText w:val="%3."/>
      <w:lvlJc w:val="right"/>
      <w:pPr>
        <w:ind w:left="1800" w:hanging="180"/>
      </w:pPr>
    </w:lvl>
    <w:lvl w:ilvl="3" w:tplc="FCE8D45E" w:tentative="1">
      <w:start w:val="1"/>
      <w:numFmt w:val="decimal"/>
      <w:lvlText w:val="%4."/>
      <w:lvlJc w:val="left"/>
      <w:pPr>
        <w:ind w:left="2520" w:hanging="360"/>
      </w:pPr>
    </w:lvl>
    <w:lvl w:ilvl="4" w:tplc="BCE4E910" w:tentative="1">
      <w:start w:val="1"/>
      <w:numFmt w:val="lowerLetter"/>
      <w:lvlText w:val="%5."/>
      <w:lvlJc w:val="left"/>
      <w:pPr>
        <w:ind w:left="3240" w:hanging="360"/>
      </w:pPr>
    </w:lvl>
    <w:lvl w:ilvl="5" w:tplc="B94AF86C" w:tentative="1">
      <w:start w:val="1"/>
      <w:numFmt w:val="lowerRoman"/>
      <w:lvlText w:val="%6."/>
      <w:lvlJc w:val="right"/>
      <w:pPr>
        <w:ind w:left="3960" w:hanging="180"/>
      </w:pPr>
    </w:lvl>
    <w:lvl w:ilvl="6" w:tplc="F53C877E" w:tentative="1">
      <w:start w:val="1"/>
      <w:numFmt w:val="decimal"/>
      <w:lvlText w:val="%7."/>
      <w:lvlJc w:val="left"/>
      <w:pPr>
        <w:ind w:left="4680" w:hanging="360"/>
      </w:pPr>
    </w:lvl>
    <w:lvl w:ilvl="7" w:tplc="5EB00C38" w:tentative="1">
      <w:start w:val="1"/>
      <w:numFmt w:val="lowerLetter"/>
      <w:lvlText w:val="%8."/>
      <w:lvlJc w:val="left"/>
      <w:pPr>
        <w:ind w:left="5400" w:hanging="360"/>
      </w:pPr>
    </w:lvl>
    <w:lvl w:ilvl="8" w:tplc="FD44D1CA" w:tentative="1">
      <w:start w:val="1"/>
      <w:numFmt w:val="lowerRoman"/>
      <w:lvlText w:val="%9."/>
      <w:lvlJc w:val="right"/>
      <w:pPr>
        <w:ind w:left="6120" w:hanging="180"/>
      </w:pPr>
    </w:lvl>
  </w:abstractNum>
  <w:abstractNum w:abstractNumId="11" w15:restartNumberingAfterBreak="0">
    <w:nsid w:val="76BE3A66"/>
    <w:multiLevelType w:val="hybridMultilevel"/>
    <w:tmpl w:val="1578DCCC"/>
    <w:lvl w:ilvl="0" w:tplc="22488296">
      <w:start w:val="1"/>
      <w:numFmt w:val="bullet"/>
      <w:pStyle w:val="Heading2"/>
      <w:lvlText w:val=""/>
      <w:lvlJc w:val="left"/>
      <w:pPr>
        <w:ind w:left="720" w:hanging="360"/>
      </w:pPr>
      <w:rPr>
        <w:rFonts w:ascii="Wingdings" w:hAnsi="Wingdings" w:hint="default"/>
      </w:rPr>
    </w:lvl>
    <w:lvl w:ilvl="1" w:tplc="2D86E864" w:tentative="1">
      <w:start w:val="1"/>
      <w:numFmt w:val="bullet"/>
      <w:lvlText w:val="o"/>
      <w:lvlJc w:val="left"/>
      <w:pPr>
        <w:ind w:left="1440" w:hanging="360"/>
      </w:pPr>
      <w:rPr>
        <w:rFonts w:ascii="Courier New" w:hAnsi="Courier New" w:cs="Courier New" w:hint="default"/>
      </w:rPr>
    </w:lvl>
    <w:lvl w:ilvl="2" w:tplc="C4A6B410" w:tentative="1">
      <w:start w:val="1"/>
      <w:numFmt w:val="bullet"/>
      <w:lvlText w:val=""/>
      <w:lvlJc w:val="left"/>
      <w:pPr>
        <w:ind w:left="2160" w:hanging="360"/>
      </w:pPr>
      <w:rPr>
        <w:rFonts w:ascii="Wingdings" w:hAnsi="Wingdings" w:hint="default"/>
      </w:rPr>
    </w:lvl>
    <w:lvl w:ilvl="3" w:tplc="75584F70" w:tentative="1">
      <w:start w:val="1"/>
      <w:numFmt w:val="bullet"/>
      <w:lvlText w:val=""/>
      <w:lvlJc w:val="left"/>
      <w:pPr>
        <w:ind w:left="2880" w:hanging="360"/>
      </w:pPr>
      <w:rPr>
        <w:rFonts w:ascii="Symbol" w:hAnsi="Symbol" w:hint="default"/>
      </w:rPr>
    </w:lvl>
    <w:lvl w:ilvl="4" w:tplc="0E30A10A" w:tentative="1">
      <w:start w:val="1"/>
      <w:numFmt w:val="bullet"/>
      <w:lvlText w:val="o"/>
      <w:lvlJc w:val="left"/>
      <w:pPr>
        <w:ind w:left="3600" w:hanging="360"/>
      </w:pPr>
      <w:rPr>
        <w:rFonts w:ascii="Courier New" w:hAnsi="Courier New" w:cs="Courier New" w:hint="default"/>
      </w:rPr>
    </w:lvl>
    <w:lvl w:ilvl="5" w:tplc="ACE8D1CE" w:tentative="1">
      <w:start w:val="1"/>
      <w:numFmt w:val="bullet"/>
      <w:lvlText w:val=""/>
      <w:lvlJc w:val="left"/>
      <w:pPr>
        <w:ind w:left="4320" w:hanging="360"/>
      </w:pPr>
      <w:rPr>
        <w:rFonts w:ascii="Wingdings" w:hAnsi="Wingdings" w:hint="default"/>
      </w:rPr>
    </w:lvl>
    <w:lvl w:ilvl="6" w:tplc="66EE279E" w:tentative="1">
      <w:start w:val="1"/>
      <w:numFmt w:val="bullet"/>
      <w:lvlText w:val=""/>
      <w:lvlJc w:val="left"/>
      <w:pPr>
        <w:ind w:left="5040" w:hanging="360"/>
      </w:pPr>
      <w:rPr>
        <w:rFonts w:ascii="Symbol" w:hAnsi="Symbol" w:hint="default"/>
      </w:rPr>
    </w:lvl>
    <w:lvl w:ilvl="7" w:tplc="5C34A078" w:tentative="1">
      <w:start w:val="1"/>
      <w:numFmt w:val="bullet"/>
      <w:lvlText w:val="o"/>
      <w:lvlJc w:val="left"/>
      <w:pPr>
        <w:ind w:left="5760" w:hanging="360"/>
      </w:pPr>
      <w:rPr>
        <w:rFonts w:ascii="Courier New" w:hAnsi="Courier New" w:cs="Courier New" w:hint="default"/>
      </w:rPr>
    </w:lvl>
    <w:lvl w:ilvl="8" w:tplc="A4942AE6" w:tentative="1">
      <w:start w:val="1"/>
      <w:numFmt w:val="bullet"/>
      <w:lvlText w:val=""/>
      <w:lvlJc w:val="left"/>
      <w:pPr>
        <w:ind w:left="6480" w:hanging="360"/>
      </w:pPr>
      <w:rPr>
        <w:rFonts w:ascii="Wingdings" w:hAnsi="Wingdings" w:hint="default"/>
      </w:rPr>
    </w:lvl>
  </w:abstractNum>
  <w:num w:numId="1" w16cid:durableId="196430034">
    <w:abstractNumId w:val="9"/>
  </w:num>
  <w:num w:numId="2" w16cid:durableId="1369799229">
    <w:abstractNumId w:val="6"/>
  </w:num>
  <w:num w:numId="3" w16cid:durableId="779884790">
    <w:abstractNumId w:val="1"/>
  </w:num>
  <w:num w:numId="4" w16cid:durableId="3283846">
    <w:abstractNumId w:val="4"/>
  </w:num>
  <w:num w:numId="5" w16cid:durableId="1544749613">
    <w:abstractNumId w:val="0"/>
  </w:num>
  <w:num w:numId="6" w16cid:durableId="205483128">
    <w:abstractNumId w:val="10"/>
  </w:num>
  <w:num w:numId="7" w16cid:durableId="137766917">
    <w:abstractNumId w:val="8"/>
  </w:num>
  <w:num w:numId="8" w16cid:durableId="1383751379">
    <w:abstractNumId w:val="11"/>
  </w:num>
  <w:num w:numId="9" w16cid:durableId="1317765049">
    <w:abstractNumId w:val="3"/>
  </w:num>
  <w:num w:numId="10" w16cid:durableId="1593515752">
    <w:abstractNumId w:val="5"/>
  </w:num>
  <w:num w:numId="11" w16cid:durableId="2124684216">
    <w:abstractNumId w:val="2"/>
  </w:num>
  <w:num w:numId="12" w16cid:durableId="18090131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7CB"/>
    <w:rsid w:val="0000031E"/>
    <w:rsid w:val="00012659"/>
    <w:rsid w:val="00020F77"/>
    <w:rsid w:val="0002266D"/>
    <w:rsid w:val="000270E4"/>
    <w:rsid w:val="0003451F"/>
    <w:rsid w:val="00037250"/>
    <w:rsid w:val="00051556"/>
    <w:rsid w:val="000573F1"/>
    <w:rsid w:val="000621A9"/>
    <w:rsid w:val="00070329"/>
    <w:rsid w:val="00074531"/>
    <w:rsid w:val="000748DC"/>
    <w:rsid w:val="000750AD"/>
    <w:rsid w:val="0008164F"/>
    <w:rsid w:val="00084BBB"/>
    <w:rsid w:val="00091DEE"/>
    <w:rsid w:val="000922E4"/>
    <w:rsid w:val="000932E2"/>
    <w:rsid w:val="000A0F28"/>
    <w:rsid w:val="000A25A0"/>
    <w:rsid w:val="000A5035"/>
    <w:rsid w:val="000A7127"/>
    <w:rsid w:val="000A777C"/>
    <w:rsid w:val="000A7927"/>
    <w:rsid w:val="000B239F"/>
    <w:rsid w:val="000B604D"/>
    <w:rsid w:val="000C06F5"/>
    <w:rsid w:val="000C0DA8"/>
    <w:rsid w:val="000C1FE9"/>
    <w:rsid w:val="000D7255"/>
    <w:rsid w:val="000E5281"/>
    <w:rsid w:val="00100461"/>
    <w:rsid w:val="001053AF"/>
    <w:rsid w:val="00114CB8"/>
    <w:rsid w:val="00117B9D"/>
    <w:rsid w:val="00117EDF"/>
    <w:rsid w:val="00121807"/>
    <w:rsid w:val="00125661"/>
    <w:rsid w:val="00125C12"/>
    <w:rsid w:val="00130E9F"/>
    <w:rsid w:val="001317F8"/>
    <w:rsid w:val="00133D2A"/>
    <w:rsid w:val="00136B35"/>
    <w:rsid w:val="001456F2"/>
    <w:rsid w:val="00150301"/>
    <w:rsid w:val="00160843"/>
    <w:rsid w:val="00160CFE"/>
    <w:rsid w:val="001634AD"/>
    <w:rsid w:val="001636E9"/>
    <w:rsid w:val="00164EC2"/>
    <w:rsid w:val="001709E0"/>
    <w:rsid w:val="00173941"/>
    <w:rsid w:val="00174912"/>
    <w:rsid w:val="001763D9"/>
    <w:rsid w:val="00177C1D"/>
    <w:rsid w:val="00180C41"/>
    <w:rsid w:val="001834C7"/>
    <w:rsid w:val="001902A0"/>
    <w:rsid w:val="001A1F9B"/>
    <w:rsid w:val="001B2CC4"/>
    <w:rsid w:val="001B4C2E"/>
    <w:rsid w:val="001C0EF3"/>
    <w:rsid w:val="001C0F41"/>
    <w:rsid w:val="001C6EFE"/>
    <w:rsid w:val="001C7E57"/>
    <w:rsid w:val="001D0469"/>
    <w:rsid w:val="001D09C5"/>
    <w:rsid w:val="001D2071"/>
    <w:rsid w:val="001D25DC"/>
    <w:rsid w:val="001D5479"/>
    <w:rsid w:val="001D7DA5"/>
    <w:rsid w:val="001E037B"/>
    <w:rsid w:val="001E1F1A"/>
    <w:rsid w:val="001F3905"/>
    <w:rsid w:val="001F79E8"/>
    <w:rsid w:val="0020262E"/>
    <w:rsid w:val="00206EA8"/>
    <w:rsid w:val="00211050"/>
    <w:rsid w:val="00213968"/>
    <w:rsid w:val="00213E8A"/>
    <w:rsid w:val="00214CB2"/>
    <w:rsid w:val="00215337"/>
    <w:rsid w:val="002202C1"/>
    <w:rsid w:val="00222044"/>
    <w:rsid w:val="00226700"/>
    <w:rsid w:val="00227183"/>
    <w:rsid w:val="00230189"/>
    <w:rsid w:val="0023195B"/>
    <w:rsid w:val="002351AD"/>
    <w:rsid w:val="00236A9C"/>
    <w:rsid w:val="00241310"/>
    <w:rsid w:val="00250014"/>
    <w:rsid w:val="00252E8D"/>
    <w:rsid w:val="00256030"/>
    <w:rsid w:val="002620EF"/>
    <w:rsid w:val="00277720"/>
    <w:rsid w:val="00290416"/>
    <w:rsid w:val="0029194F"/>
    <w:rsid w:val="00291E80"/>
    <w:rsid w:val="0029485F"/>
    <w:rsid w:val="002A7BBD"/>
    <w:rsid w:val="002B10B5"/>
    <w:rsid w:val="002B1441"/>
    <w:rsid w:val="002C0282"/>
    <w:rsid w:val="002C0EDE"/>
    <w:rsid w:val="002C2831"/>
    <w:rsid w:val="002C3B8C"/>
    <w:rsid w:val="002C56DB"/>
    <w:rsid w:val="002D2352"/>
    <w:rsid w:val="002D2938"/>
    <w:rsid w:val="002D31FA"/>
    <w:rsid w:val="002D3DA0"/>
    <w:rsid w:val="002E3B6E"/>
    <w:rsid w:val="002F027F"/>
    <w:rsid w:val="002F4EBD"/>
    <w:rsid w:val="00301C63"/>
    <w:rsid w:val="00303CC9"/>
    <w:rsid w:val="00305783"/>
    <w:rsid w:val="00313136"/>
    <w:rsid w:val="00315559"/>
    <w:rsid w:val="003173C1"/>
    <w:rsid w:val="00320247"/>
    <w:rsid w:val="00330A82"/>
    <w:rsid w:val="003357A3"/>
    <w:rsid w:val="003444F9"/>
    <w:rsid w:val="00344D2F"/>
    <w:rsid w:val="00346FB6"/>
    <w:rsid w:val="00364486"/>
    <w:rsid w:val="00366CAA"/>
    <w:rsid w:val="00375171"/>
    <w:rsid w:val="00375AE1"/>
    <w:rsid w:val="0037615B"/>
    <w:rsid w:val="00381C88"/>
    <w:rsid w:val="00385E95"/>
    <w:rsid w:val="00387AD6"/>
    <w:rsid w:val="003948C5"/>
    <w:rsid w:val="003950A2"/>
    <w:rsid w:val="003A0876"/>
    <w:rsid w:val="003A0F0F"/>
    <w:rsid w:val="003A135F"/>
    <w:rsid w:val="003A16B8"/>
    <w:rsid w:val="003B5EA7"/>
    <w:rsid w:val="003C0F13"/>
    <w:rsid w:val="003C1201"/>
    <w:rsid w:val="003D22B1"/>
    <w:rsid w:val="003D64FF"/>
    <w:rsid w:val="003E0D89"/>
    <w:rsid w:val="003E337F"/>
    <w:rsid w:val="003E4D4C"/>
    <w:rsid w:val="003E5024"/>
    <w:rsid w:val="0040158C"/>
    <w:rsid w:val="004028C4"/>
    <w:rsid w:val="00405883"/>
    <w:rsid w:val="0040655B"/>
    <w:rsid w:val="004067CB"/>
    <w:rsid w:val="0041127B"/>
    <w:rsid w:val="00413696"/>
    <w:rsid w:val="004150CB"/>
    <w:rsid w:val="00420ADD"/>
    <w:rsid w:val="00422327"/>
    <w:rsid w:val="00425DE9"/>
    <w:rsid w:val="00426986"/>
    <w:rsid w:val="004324AA"/>
    <w:rsid w:val="004408FD"/>
    <w:rsid w:val="0045032B"/>
    <w:rsid w:val="00451382"/>
    <w:rsid w:val="004536E0"/>
    <w:rsid w:val="00453767"/>
    <w:rsid w:val="00454279"/>
    <w:rsid w:val="00462354"/>
    <w:rsid w:val="004740BA"/>
    <w:rsid w:val="0049053E"/>
    <w:rsid w:val="00494DD1"/>
    <w:rsid w:val="00497B13"/>
    <w:rsid w:val="004A1D34"/>
    <w:rsid w:val="004A2C54"/>
    <w:rsid w:val="004A50BB"/>
    <w:rsid w:val="004A5447"/>
    <w:rsid w:val="004B0A6E"/>
    <w:rsid w:val="004B0EEF"/>
    <w:rsid w:val="004B227E"/>
    <w:rsid w:val="004B6633"/>
    <w:rsid w:val="004C0506"/>
    <w:rsid w:val="004C3ED3"/>
    <w:rsid w:val="004C62EB"/>
    <w:rsid w:val="004D3E9B"/>
    <w:rsid w:val="004E3BDC"/>
    <w:rsid w:val="004E4373"/>
    <w:rsid w:val="004E5F1F"/>
    <w:rsid w:val="004F6BE5"/>
    <w:rsid w:val="004F79FA"/>
    <w:rsid w:val="00501B64"/>
    <w:rsid w:val="00503EFC"/>
    <w:rsid w:val="005049BC"/>
    <w:rsid w:val="00506E27"/>
    <w:rsid w:val="00507232"/>
    <w:rsid w:val="00507B5F"/>
    <w:rsid w:val="00510B3F"/>
    <w:rsid w:val="00510F33"/>
    <w:rsid w:val="00511218"/>
    <w:rsid w:val="00511DED"/>
    <w:rsid w:val="00524310"/>
    <w:rsid w:val="00534EE8"/>
    <w:rsid w:val="00536B7C"/>
    <w:rsid w:val="00551E37"/>
    <w:rsid w:val="00552954"/>
    <w:rsid w:val="0055797C"/>
    <w:rsid w:val="00560EBD"/>
    <w:rsid w:val="005654EC"/>
    <w:rsid w:val="00573A88"/>
    <w:rsid w:val="00580DCB"/>
    <w:rsid w:val="0059065E"/>
    <w:rsid w:val="00591771"/>
    <w:rsid w:val="00597272"/>
    <w:rsid w:val="005A4572"/>
    <w:rsid w:val="005A60A9"/>
    <w:rsid w:val="005D1AAD"/>
    <w:rsid w:val="005D2B88"/>
    <w:rsid w:val="005D4294"/>
    <w:rsid w:val="005D4BA1"/>
    <w:rsid w:val="005D5AFF"/>
    <w:rsid w:val="005E4830"/>
    <w:rsid w:val="005E4E45"/>
    <w:rsid w:val="005F48A8"/>
    <w:rsid w:val="005F7001"/>
    <w:rsid w:val="00604C6F"/>
    <w:rsid w:val="006075AB"/>
    <w:rsid w:val="00611660"/>
    <w:rsid w:val="00621374"/>
    <w:rsid w:val="006252D7"/>
    <w:rsid w:val="00626DE6"/>
    <w:rsid w:val="006355BF"/>
    <w:rsid w:val="0064067C"/>
    <w:rsid w:val="00644BB5"/>
    <w:rsid w:val="006477A0"/>
    <w:rsid w:val="00661BA3"/>
    <w:rsid w:val="006705D1"/>
    <w:rsid w:val="00671E88"/>
    <w:rsid w:val="006746BC"/>
    <w:rsid w:val="0067669D"/>
    <w:rsid w:val="00685592"/>
    <w:rsid w:val="00695C4B"/>
    <w:rsid w:val="00697673"/>
    <w:rsid w:val="006A32DF"/>
    <w:rsid w:val="006A359B"/>
    <w:rsid w:val="006C0B23"/>
    <w:rsid w:val="006C2305"/>
    <w:rsid w:val="006C4BEA"/>
    <w:rsid w:val="006D0CC1"/>
    <w:rsid w:val="006D4510"/>
    <w:rsid w:val="006D4CCB"/>
    <w:rsid w:val="006E38D7"/>
    <w:rsid w:val="006E5388"/>
    <w:rsid w:val="006E69DA"/>
    <w:rsid w:val="00705A0A"/>
    <w:rsid w:val="00714C40"/>
    <w:rsid w:val="0071504F"/>
    <w:rsid w:val="00731E6D"/>
    <w:rsid w:val="00734D2E"/>
    <w:rsid w:val="00734E1E"/>
    <w:rsid w:val="00741EA6"/>
    <w:rsid w:val="00744384"/>
    <w:rsid w:val="007454CF"/>
    <w:rsid w:val="00757DBC"/>
    <w:rsid w:val="00764ED4"/>
    <w:rsid w:val="007670C4"/>
    <w:rsid w:val="007717CA"/>
    <w:rsid w:val="00771F6B"/>
    <w:rsid w:val="007723C7"/>
    <w:rsid w:val="007808C3"/>
    <w:rsid w:val="00782B9A"/>
    <w:rsid w:val="00785B95"/>
    <w:rsid w:val="00787938"/>
    <w:rsid w:val="00787C94"/>
    <w:rsid w:val="00795783"/>
    <w:rsid w:val="007A7422"/>
    <w:rsid w:val="007B0271"/>
    <w:rsid w:val="007B1C58"/>
    <w:rsid w:val="007C78D4"/>
    <w:rsid w:val="007D778B"/>
    <w:rsid w:val="007E2A51"/>
    <w:rsid w:val="007F34FF"/>
    <w:rsid w:val="00801E3E"/>
    <w:rsid w:val="00805496"/>
    <w:rsid w:val="00807320"/>
    <w:rsid w:val="00821D14"/>
    <w:rsid w:val="008368F2"/>
    <w:rsid w:val="0084074D"/>
    <w:rsid w:val="00840DCE"/>
    <w:rsid w:val="00842605"/>
    <w:rsid w:val="00842CDA"/>
    <w:rsid w:val="00855948"/>
    <w:rsid w:val="00861F3E"/>
    <w:rsid w:val="00870FC9"/>
    <w:rsid w:val="008820F3"/>
    <w:rsid w:val="00895DA3"/>
    <w:rsid w:val="00896ECA"/>
    <w:rsid w:val="008B3947"/>
    <w:rsid w:val="008C3605"/>
    <w:rsid w:val="008C654B"/>
    <w:rsid w:val="008D697D"/>
    <w:rsid w:val="008D6D24"/>
    <w:rsid w:val="008E23B2"/>
    <w:rsid w:val="008E3A43"/>
    <w:rsid w:val="008F0C55"/>
    <w:rsid w:val="008F6015"/>
    <w:rsid w:val="009056EA"/>
    <w:rsid w:val="00905713"/>
    <w:rsid w:val="009079B1"/>
    <w:rsid w:val="00910226"/>
    <w:rsid w:val="00911FEA"/>
    <w:rsid w:val="009273B3"/>
    <w:rsid w:val="00930870"/>
    <w:rsid w:val="009324B1"/>
    <w:rsid w:val="00932D80"/>
    <w:rsid w:val="00933417"/>
    <w:rsid w:val="009375C9"/>
    <w:rsid w:val="00940F1C"/>
    <w:rsid w:val="009428AB"/>
    <w:rsid w:val="009442D0"/>
    <w:rsid w:val="00946260"/>
    <w:rsid w:val="0094637F"/>
    <w:rsid w:val="009514AC"/>
    <w:rsid w:val="00953628"/>
    <w:rsid w:val="00956895"/>
    <w:rsid w:val="009615B4"/>
    <w:rsid w:val="00963C85"/>
    <w:rsid w:val="0097328A"/>
    <w:rsid w:val="00973B34"/>
    <w:rsid w:val="00973F25"/>
    <w:rsid w:val="00976B57"/>
    <w:rsid w:val="00976BCE"/>
    <w:rsid w:val="00976E22"/>
    <w:rsid w:val="00981195"/>
    <w:rsid w:val="00981967"/>
    <w:rsid w:val="009846B0"/>
    <w:rsid w:val="00985060"/>
    <w:rsid w:val="00990352"/>
    <w:rsid w:val="009903F4"/>
    <w:rsid w:val="00990E28"/>
    <w:rsid w:val="00994ADC"/>
    <w:rsid w:val="009979FB"/>
    <w:rsid w:val="009A5C1F"/>
    <w:rsid w:val="009A6BDF"/>
    <w:rsid w:val="009B2E5F"/>
    <w:rsid w:val="009B6175"/>
    <w:rsid w:val="009C1056"/>
    <w:rsid w:val="009C35B4"/>
    <w:rsid w:val="009C5CA6"/>
    <w:rsid w:val="009C62BB"/>
    <w:rsid w:val="009C710C"/>
    <w:rsid w:val="009C7738"/>
    <w:rsid w:val="009D0A5D"/>
    <w:rsid w:val="009D170C"/>
    <w:rsid w:val="009D3103"/>
    <w:rsid w:val="009D6B6B"/>
    <w:rsid w:val="009E0BFB"/>
    <w:rsid w:val="009E5061"/>
    <w:rsid w:val="009E552B"/>
    <w:rsid w:val="009F3926"/>
    <w:rsid w:val="00A0588F"/>
    <w:rsid w:val="00A064A6"/>
    <w:rsid w:val="00A10EC1"/>
    <w:rsid w:val="00A14CD3"/>
    <w:rsid w:val="00A154D0"/>
    <w:rsid w:val="00A16EF3"/>
    <w:rsid w:val="00A17F10"/>
    <w:rsid w:val="00A3399C"/>
    <w:rsid w:val="00A33AA2"/>
    <w:rsid w:val="00A34420"/>
    <w:rsid w:val="00A42408"/>
    <w:rsid w:val="00A63660"/>
    <w:rsid w:val="00A64AFC"/>
    <w:rsid w:val="00A71778"/>
    <w:rsid w:val="00A73EC9"/>
    <w:rsid w:val="00A821AD"/>
    <w:rsid w:val="00A836B4"/>
    <w:rsid w:val="00A84BB7"/>
    <w:rsid w:val="00A86106"/>
    <w:rsid w:val="00A901E2"/>
    <w:rsid w:val="00A92403"/>
    <w:rsid w:val="00A941B0"/>
    <w:rsid w:val="00A94273"/>
    <w:rsid w:val="00AB2114"/>
    <w:rsid w:val="00AC5087"/>
    <w:rsid w:val="00AD2249"/>
    <w:rsid w:val="00AF2B09"/>
    <w:rsid w:val="00AF3533"/>
    <w:rsid w:val="00B00E45"/>
    <w:rsid w:val="00B015EC"/>
    <w:rsid w:val="00B024F8"/>
    <w:rsid w:val="00B0623C"/>
    <w:rsid w:val="00B142DE"/>
    <w:rsid w:val="00B301B6"/>
    <w:rsid w:val="00B3051B"/>
    <w:rsid w:val="00B31652"/>
    <w:rsid w:val="00B33B8E"/>
    <w:rsid w:val="00B4126A"/>
    <w:rsid w:val="00B41CF4"/>
    <w:rsid w:val="00B42C9E"/>
    <w:rsid w:val="00B43D18"/>
    <w:rsid w:val="00B467F0"/>
    <w:rsid w:val="00B46E56"/>
    <w:rsid w:val="00B4755B"/>
    <w:rsid w:val="00B53713"/>
    <w:rsid w:val="00B666AA"/>
    <w:rsid w:val="00B677BA"/>
    <w:rsid w:val="00B83935"/>
    <w:rsid w:val="00B849BA"/>
    <w:rsid w:val="00B8792D"/>
    <w:rsid w:val="00B87C45"/>
    <w:rsid w:val="00B92AD0"/>
    <w:rsid w:val="00B930E5"/>
    <w:rsid w:val="00B96B21"/>
    <w:rsid w:val="00BB0405"/>
    <w:rsid w:val="00BD111E"/>
    <w:rsid w:val="00BD228C"/>
    <w:rsid w:val="00BD345C"/>
    <w:rsid w:val="00BD4415"/>
    <w:rsid w:val="00BD4583"/>
    <w:rsid w:val="00BD5A8F"/>
    <w:rsid w:val="00BD5C4A"/>
    <w:rsid w:val="00BE1A94"/>
    <w:rsid w:val="00BE5474"/>
    <w:rsid w:val="00BE72AF"/>
    <w:rsid w:val="00BF10FB"/>
    <w:rsid w:val="00BF17AF"/>
    <w:rsid w:val="00BF3442"/>
    <w:rsid w:val="00C004ED"/>
    <w:rsid w:val="00C01032"/>
    <w:rsid w:val="00C01F72"/>
    <w:rsid w:val="00C0521F"/>
    <w:rsid w:val="00C074E4"/>
    <w:rsid w:val="00C07F53"/>
    <w:rsid w:val="00C1122B"/>
    <w:rsid w:val="00C1148D"/>
    <w:rsid w:val="00C13F31"/>
    <w:rsid w:val="00C20B2D"/>
    <w:rsid w:val="00C24E96"/>
    <w:rsid w:val="00C33F14"/>
    <w:rsid w:val="00C345F4"/>
    <w:rsid w:val="00C34FC4"/>
    <w:rsid w:val="00C40A9C"/>
    <w:rsid w:val="00C40FE3"/>
    <w:rsid w:val="00C448FB"/>
    <w:rsid w:val="00C45CFD"/>
    <w:rsid w:val="00C6138D"/>
    <w:rsid w:val="00C653A5"/>
    <w:rsid w:val="00C65B40"/>
    <w:rsid w:val="00C74C38"/>
    <w:rsid w:val="00C76977"/>
    <w:rsid w:val="00C769BE"/>
    <w:rsid w:val="00C86209"/>
    <w:rsid w:val="00C923B9"/>
    <w:rsid w:val="00C92423"/>
    <w:rsid w:val="00C92782"/>
    <w:rsid w:val="00C937BB"/>
    <w:rsid w:val="00CA1153"/>
    <w:rsid w:val="00CA1D1D"/>
    <w:rsid w:val="00CA42F1"/>
    <w:rsid w:val="00CA7327"/>
    <w:rsid w:val="00CB5388"/>
    <w:rsid w:val="00CC6B98"/>
    <w:rsid w:val="00CD0ADD"/>
    <w:rsid w:val="00CD0F3A"/>
    <w:rsid w:val="00CD662B"/>
    <w:rsid w:val="00CD6894"/>
    <w:rsid w:val="00CD7885"/>
    <w:rsid w:val="00CE1539"/>
    <w:rsid w:val="00CE25C4"/>
    <w:rsid w:val="00CE2E20"/>
    <w:rsid w:val="00CE2F4D"/>
    <w:rsid w:val="00CE463A"/>
    <w:rsid w:val="00CE4C4B"/>
    <w:rsid w:val="00CE6B39"/>
    <w:rsid w:val="00CE6E25"/>
    <w:rsid w:val="00CF0272"/>
    <w:rsid w:val="00CF2A48"/>
    <w:rsid w:val="00CF5C79"/>
    <w:rsid w:val="00CF6DDF"/>
    <w:rsid w:val="00CF7866"/>
    <w:rsid w:val="00D01174"/>
    <w:rsid w:val="00D023C7"/>
    <w:rsid w:val="00D0278A"/>
    <w:rsid w:val="00D03527"/>
    <w:rsid w:val="00D27950"/>
    <w:rsid w:val="00D328BA"/>
    <w:rsid w:val="00D55714"/>
    <w:rsid w:val="00D56FCB"/>
    <w:rsid w:val="00D610CE"/>
    <w:rsid w:val="00D61D14"/>
    <w:rsid w:val="00D62230"/>
    <w:rsid w:val="00D6435C"/>
    <w:rsid w:val="00D652F1"/>
    <w:rsid w:val="00D81F56"/>
    <w:rsid w:val="00D91689"/>
    <w:rsid w:val="00D9707B"/>
    <w:rsid w:val="00DA0C44"/>
    <w:rsid w:val="00DA2271"/>
    <w:rsid w:val="00DA2EE1"/>
    <w:rsid w:val="00DA6598"/>
    <w:rsid w:val="00DA6B14"/>
    <w:rsid w:val="00DB48D0"/>
    <w:rsid w:val="00DB6655"/>
    <w:rsid w:val="00DC4A07"/>
    <w:rsid w:val="00DC573F"/>
    <w:rsid w:val="00DD2C2F"/>
    <w:rsid w:val="00DD48ED"/>
    <w:rsid w:val="00DD5556"/>
    <w:rsid w:val="00DD6E1E"/>
    <w:rsid w:val="00DE404B"/>
    <w:rsid w:val="00DE4908"/>
    <w:rsid w:val="00DE5D22"/>
    <w:rsid w:val="00DF1906"/>
    <w:rsid w:val="00DF3559"/>
    <w:rsid w:val="00DF3CB7"/>
    <w:rsid w:val="00E0167C"/>
    <w:rsid w:val="00E054C8"/>
    <w:rsid w:val="00E17E36"/>
    <w:rsid w:val="00E20446"/>
    <w:rsid w:val="00E23288"/>
    <w:rsid w:val="00E258F9"/>
    <w:rsid w:val="00E25AFA"/>
    <w:rsid w:val="00E2725F"/>
    <w:rsid w:val="00E275B3"/>
    <w:rsid w:val="00E34A96"/>
    <w:rsid w:val="00E50AE9"/>
    <w:rsid w:val="00E55366"/>
    <w:rsid w:val="00E573DD"/>
    <w:rsid w:val="00E6516A"/>
    <w:rsid w:val="00E670CB"/>
    <w:rsid w:val="00E70FE5"/>
    <w:rsid w:val="00E728DD"/>
    <w:rsid w:val="00E74D9B"/>
    <w:rsid w:val="00E842E7"/>
    <w:rsid w:val="00E85084"/>
    <w:rsid w:val="00EA16CA"/>
    <w:rsid w:val="00EA4658"/>
    <w:rsid w:val="00EA7961"/>
    <w:rsid w:val="00EB1FAE"/>
    <w:rsid w:val="00EB366A"/>
    <w:rsid w:val="00EC3621"/>
    <w:rsid w:val="00EC5316"/>
    <w:rsid w:val="00ED4C27"/>
    <w:rsid w:val="00ED5D80"/>
    <w:rsid w:val="00EE2309"/>
    <w:rsid w:val="00EF5EA5"/>
    <w:rsid w:val="00EF6E38"/>
    <w:rsid w:val="00F00BD2"/>
    <w:rsid w:val="00F00FB7"/>
    <w:rsid w:val="00F02F2F"/>
    <w:rsid w:val="00F10B7F"/>
    <w:rsid w:val="00F13957"/>
    <w:rsid w:val="00F14772"/>
    <w:rsid w:val="00F1595C"/>
    <w:rsid w:val="00F16D19"/>
    <w:rsid w:val="00F16E6B"/>
    <w:rsid w:val="00F176FE"/>
    <w:rsid w:val="00F17C6F"/>
    <w:rsid w:val="00F21A45"/>
    <w:rsid w:val="00F22690"/>
    <w:rsid w:val="00F26DD5"/>
    <w:rsid w:val="00F34374"/>
    <w:rsid w:val="00F4038B"/>
    <w:rsid w:val="00F42A39"/>
    <w:rsid w:val="00F4337C"/>
    <w:rsid w:val="00F43D2A"/>
    <w:rsid w:val="00F4423D"/>
    <w:rsid w:val="00F44F04"/>
    <w:rsid w:val="00F53977"/>
    <w:rsid w:val="00F559FB"/>
    <w:rsid w:val="00F56F0E"/>
    <w:rsid w:val="00F56F72"/>
    <w:rsid w:val="00F64322"/>
    <w:rsid w:val="00F65406"/>
    <w:rsid w:val="00F6544E"/>
    <w:rsid w:val="00F82E0D"/>
    <w:rsid w:val="00F938E1"/>
    <w:rsid w:val="00F96858"/>
    <w:rsid w:val="00FA3BA2"/>
    <w:rsid w:val="00FA40FD"/>
    <w:rsid w:val="00FB41D9"/>
    <w:rsid w:val="00FB43CB"/>
    <w:rsid w:val="00FB6937"/>
    <w:rsid w:val="00FB7026"/>
    <w:rsid w:val="00FC0F60"/>
    <w:rsid w:val="00FD1D27"/>
    <w:rsid w:val="00FD754D"/>
    <w:rsid w:val="00FD7D94"/>
    <w:rsid w:val="00FE1C6C"/>
    <w:rsid w:val="00FE2E88"/>
    <w:rsid w:val="00FE4B2C"/>
    <w:rsid w:val="00FF06AF"/>
    <w:rsid w:val="00FF341D"/>
    <w:rsid w:val="00FF39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9D079"/>
  <w15:chartTrackingRefBased/>
  <w15:docId w15:val="{885D0CCC-A9D5-4FF8-8A85-760BD4520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F0E"/>
    <w:pPr>
      <w:spacing w:before="120" w:after="28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3E0D89"/>
    <w:pPr>
      <w:keepNext/>
      <w:keepLines/>
      <w:spacing w:before="360" w:after="12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31E6D"/>
    <w:pPr>
      <w:keepNext/>
      <w:keepLines/>
      <w:numPr>
        <w:numId w:val="8"/>
      </w:numPr>
      <w:spacing w:before="160" w:after="120"/>
      <w:ind w:left="36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6D4510"/>
    <w:pPr>
      <w:keepNext/>
      <w:keepLines/>
      <w:numPr>
        <w:numId w:val="9"/>
      </w:numPr>
      <w:spacing w:before="40" w:after="0"/>
      <w:jc w:val="center"/>
      <w:outlineLvl w:val="2"/>
    </w:pPr>
    <w:rPr>
      <w:rFonts w:eastAsiaTheme="majorEastAsia" w:cstheme="majorBid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32DF"/>
    <w:pPr>
      <w:spacing w:before="120" w:after="120" w:line="360" w:lineRule="auto"/>
    </w:pPr>
    <w:rPr>
      <w:rFonts w:ascii="Times New Roman" w:hAnsi="Times New Roman"/>
      <w:sz w:val="24"/>
      <w:lang w:val="en-GB"/>
    </w:rPr>
  </w:style>
  <w:style w:type="character" w:customStyle="1" w:styleId="Heading1Char">
    <w:name w:val="Heading 1 Char"/>
    <w:basedOn w:val="DefaultParagraphFont"/>
    <w:link w:val="Heading1"/>
    <w:uiPriority w:val="9"/>
    <w:rsid w:val="003E0D89"/>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731E6D"/>
    <w:rPr>
      <w:rFonts w:ascii="Times New Roman" w:eastAsiaTheme="majorEastAsia" w:hAnsi="Times New Roman" w:cstheme="majorBidi"/>
      <w:b/>
      <w:i/>
      <w:sz w:val="24"/>
      <w:szCs w:val="26"/>
      <w:lang w:val="en-GB"/>
    </w:rPr>
  </w:style>
  <w:style w:type="character" w:customStyle="1" w:styleId="Heading3Char">
    <w:name w:val="Heading 3 Char"/>
    <w:basedOn w:val="DefaultParagraphFont"/>
    <w:link w:val="Heading3"/>
    <w:uiPriority w:val="9"/>
    <w:rsid w:val="006D4510"/>
    <w:rPr>
      <w:rFonts w:ascii="Times New Roman" w:eastAsiaTheme="majorEastAsia" w:hAnsi="Times New Roman" w:cstheme="majorBidi"/>
      <w:sz w:val="24"/>
      <w:szCs w:val="24"/>
      <w:u w:val="single"/>
      <w:lang w:val="en-GB"/>
    </w:rPr>
  </w:style>
  <w:style w:type="paragraph" w:styleId="Header">
    <w:name w:val="header"/>
    <w:basedOn w:val="Normal"/>
    <w:link w:val="HeaderChar"/>
    <w:uiPriority w:val="99"/>
    <w:unhideWhenUsed/>
    <w:rsid w:val="004A2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C54"/>
    <w:rPr>
      <w:rFonts w:ascii="Times New Roman" w:hAnsi="Times New Roman"/>
      <w:sz w:val="24"/>
    </w:rPr>
  </w:style>
  <w:style w:type="paragraph" w:styleId="Footer">
    <w:name w:val="footer"/>
    <w:basedOn w:val="Normal"/>
    <w:link w:val="FooterChar"/>
    <w:uiPriority w:val="99"/>
    <w:unhideWhenUsed/>
    <w:rsid w:val="004A2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C54"/>
    <w:rPr>
      <w:rFonts w:ascii="Times New Roman" w:hAnsi="Times New Roman"/>
      <w:sz w:val="24"/>
    </w:rPr>
  </w:style>
  <w:style w:type="character" w:styleId="Hyperlink">
    <w:name w:val="Hyperlink"/>
    <w:basedOn w:val="DefaultParagraphFont"/>
    <w:uiPriority w:val="99"/>
    <w:unhideWhenUsed/>
    <w:rsid w:val="003D22B1"/>
    <w:rPr>
      <w:color w:val="0563C1" w:themeColor="hyperlink"/>
      <w:u w:val="single"/>
    </w:rPr>
  </w:style>
  <w:style w:type="paragraph" w:styleId="BodyText">
    <w:name w:val="Body Text"/>
    <w:basedOn w:val="Normal"/>
    <w:link w:val="BodyTextChar"/>
    <w:uiPriority w:val="99"/>
    <w:semiHidden/>
    <w:unhideWhenUsed/>
    <w:rsid w:val="009A6BDF"/>
    <w:pPr>
      <w:spacing w:after="120"/>
    </w:pPr>
  </w:style>
  <w:style w:type="character" w:customStyle="1" w:styleId="BodyTextChar">
    <w:name w:val="Body Text Char"/>
    <w:basedOn w:val="DefaultParagraphFont"/>
    <w:link w:val="BodyText"/>
    <w:uiPriority w:val="99"/>
    <w:semiHidden/>
    <w:rsid w:val="009A6BDF"/>
    <w:rPr>
      <w:rFonts w:ascii="Times New Roman" w:hAnsi="Times New Roman"/>
      <w:sz w:val="24"/>
    </w:rPr>
  </w:style>
  <w:style w:type="paragraph" w:styleId="ListParagraph">
    <w:name w:val="List Paragraph"/>
    <w:basedOn w:val="Normal"/>
    <w:uiPriority w:val="34"/>
    <w:qFormat/>
    <w:rsid w:val="009A6BDF"/>
    <w:pPr>
      <w:ind w:left="720"/>
      <w:contextualSpacing/>
    </w:pPr>
  </w:style>
  <w:style w:type="table" w:styleId="TableGrid">
    <w:name w:val="Table Grid"/>
    <w:basedOn w:val="TableNormal"/>
    <w:uiPriority w:val="39"/>
    <w:rsid w:val="00426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42698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1634AD"/>
    <w:pPr>
      <w:spacing w:after="200" w:line="240" w:lineRule="auto"/>
    </w:pPr>
    <w:rPr>
      <w:i/>
      <w:iCs/>
      <w:color w:val="44546A" w:themeColor="text2"/>
      <w:sz w:val="18"/>
      <w:szCs w:val="18"/>
    </w:rPr>
  </w:style>
  <w:style w:type="character" w:styleId="Strong">
    <w:name w:val="Strong"/>
    <w:basedOn w:val="DefaultParagraphFont"/>
    <w:uiPriority w:val="22"/>
    <w:qFormat/>
    <w:rsid w:val="008E23B2"/>
    <w:rPr>
      <w:b/>
      <w:bCs/>
    </w:rPr>
  </w:style>
  <w:style w:type="table" w:styleId="GridTable4-Accent5">
    <w:name w:val="Grid Table 4 Accent 5"/>
    <w:basedOn w:val="TableNormal"/>
    <w:uiPriority w:val="49"/>
    <w:rsid w:val="00F02F2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D01174"/>
    <w:rPr>
      <w:color w:val="605E5C"/>
      <w:shd w:val="clear" w:color="auto" w:fill="E1DFDD"/>
    </w:rPr>
  </w:style>
  <w:style w:type="paragraph" w:styleId="TOCHeading">
    <w:name w:val="TOC Heading"/>
    <w:basedOn w:val="Heading1"/>
    <w:next w:val="Normal"/>
    <w:uiPriority w:val="39"/>
    <w:unhideWhenUsed/>
    <w:qFormat/>
    <w:rsid w:val="004F6BE5"/>
    <w:pPr>
      <w:spacing w:line="259" w:lineRule="auto"/>
      <w:outlineLvl w:val="9"/>
    </w:pPr>
    <w:rPr>
      <w:rFonts w:asciiTheme="majorHAnsi" w:hAnsiTheme="majorHAnsi"/>
      <w:b w:val="0"/>
      <w:i/>
      <w:color w:val="2E74B5" w:themeColor="accent1" w:themeShade="BF"/>
      <w:sz w:val="32"/>
    </w:rPr>
  </w:style>
  <w:style w:type="paragraph" w:styleId="TOC1">
    <w:name w:val="toc 1"/>
    <w:basedOn w:val="Normal"/>
    <w:next w:val="Normal"/>
    <w:autoRedefine/>
    <w:uiPriority w:val="39"/>
    <w:unhideWhenUsed/>
    <w:rsid w:val="004F6BE5"/>
    <w:pPr>
      <w:spacing w:after="100"/>
    </w:pPr>
  </w:style>
  <w:style w:type="paragraph" w:styleId="TOC2">
    <w:name w:val="toc 2"/>
    <w:basedOn w:val="Normal"/>
    <w:next w:val="Normal"/>
    <w:autoRedefine/>
    <w:uiPriority w:val="39"/>
    <w:unhideWhenUsed/>
    <w:rsid w:val="004F6BE5"/>
    <w:pPr>
      <w:spacing w:after="100"/>
      <w:ind w:left="240"/>
    </w:pPr>
  </w:style>
  <w:style w:type="paragraph" w:styleId="TOC3">
    <w:name w:val="toc 3"/>
    <w:basedOn w:val="Normal"/>
    <w:next w:val="Normal"/>
    <w:autoRedefine/>
    <w:uiPriority w:val="39"/>
    <w:unhideWhenUsed/>
    <w:rsid w:val="004F6BE5"/>
    <w:pPr>
      <w:spacing w:after="100"/>
      <w:ind w:left="480"/>
    </w:pPr>
  </w:style>
  <w:style w:type="paragraph" w:styleId="NormalWeb">
    <w:name w:val="Normal (Web)"/>
    <w:basedOn w:val="Normal"/>
    <w:uiPriority w:val="99"/>
    <w:semiHidden/>
    <w:unhideWhenUsed/>
    <w:rsid w:val="00D55714"/>
    <w:pPr>
      <w:spacing w:before="100" w:beforeAutospacing="1" w:after="100" w:afterAutospacing="1" w:line="240" w:lineRule="auto"/>
    </w:pPr>
    <w:rPr>
      <w:rFonts w:eastAsia="Times New Roman" w:cs="Times New Roman"/>
      <w:szCs w:val="24"/>
      <w:lang w:val="en-US"/>
    </w:rPr>
  </w:style>
  <w:style w:type="table" w:styleId="GridTable4-Accent2">
    <w:name w:val="Grid Table 4 Accent 2"/>
    <w:basedOn w:val="TableNormal"/>
    <w:uiPriority w:val="49"/>
    <w:rsid w:val="00F16D1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eGrid1">
    <w:name w:val="Table Grid1"/>
    <w:basedOn w:val="TableNormal"/>
    <w:next w:val="TableGrid"/>
    <w:uiPriority w:val="39"/>
    <w:rsid w:val="009C1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media/698dbcd17da91680ad7f4308/The_Green_Book_2026.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10/15/conten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chestereveningnews.co.uk/news/greater-manchester-news/manchester-piccadilly-named-second-busiest-30418978" TargetMode="External"/><Relationship Id="rId5" Type="http://schemas.openxmlformats.org/officeDocument/2006/relationships/webSettings" Target="webSettings.xml"/><Relationship Id="rId15" Type="http://schemas.openxmlformats.org/officeDocument/2006/relationships/hyperlink" Target="https://www.networkrailmediacentre.co.uk/news/manchester-piccadillys-assisted-travel-lounge-fully-opens-to-passengers"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reatermanchester-ca.gov.uk/what-we-do/transport/the-bee-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5B9CC-0BA8-475F-8605-C1639D20F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19</Pages>
  <Words>4454</Words>
  <Characters>25388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nadia qamar</cp:lastModifiedBy>
  <cp:revision>8</cp:revision>
  <dcterms:created xsi:type="dcterms:W3CDTF">2026-06-16T10:03:00Z</dcterms:created>
  <dcterms:modified xsi:type="dcterms:W3CDTF">2026-07-19T15:35:00Z</dcterms:modified>
</cp:coreProperties>
</file>