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D732C0" w14:textId="0D2130EA" w:rsidR="00A4475E" w:rsidRDefault="00A4475E" w:rsidP="00A4475E">
      <w:pPr>
        <w:jc w:val="center"/>
        <w:rPr>
          <w:rFonts w:ascii="Garamond" w:hAnsi="Garamond"/>
          <w:sz w:val="24"/>
          <w:szCs w:val="24"/>
        </w:rPr>
      </w:pPr>
      <w:r>
        <w:rPr>
          <w:rFonts w:ascii="Garamond" w:hAnsi="Garamond"/>
          <w:i/>
          <w:sz w:val="24"/>
          <w:szCs w:val="24"/>
        </w:rPr>
        <w:t>The</w:t>
      </w:r>
      <w:r w:rsidR="00130A42">
        <w:rPr>
          <w:rFonts w:ascii="Garamond" w:hAnsi="Garamond"/>
          <w:i/>
          <w:sz w:val="24"/>
          <w:szCs w:val="24"/>
        </w:rPr>
        <w:t xml:space="preserve"> Well-Tempered </w:t>
      </w:r>
      <w:proofErr w:type="gramStart"/>
      <w:r w:rsidR="00130A42">
        <w:rPr>
          <w:rFonts w:ascii="Garamond" w:hAnsi="Garamond"/>
          <w:i/>
          <w:sz w:val="24"/>
          <w:szCs w:val="24"/>
        </w:rPr>
        <w:t>Reader :</w:t>
      </w:r>
      <w:proofErr w:type="gramEnd"/>
      <w:r>
        <w:rPr>
          <w:rFonts w:ascii="Garamond" w:hAnsi="Garamond"/>
          <w:i/>
          <w:sz w:val="24"/>
          <w:szCs w:val="24"/>
        </w:rPr>
        <w:t xml:space="preserve"> Renaissance</w:t>
      </w:r>
      <w:r w:rsidR="00130A42">
        <w:rPr>
          <w:rFonts w:ascii="Garamond" w:hAnsi="Garamond"/>
          <w:i/>
          <w:sz w:val="24"/>
          <w:szCs w:val="24"/>
        </w:rPr>
        <w:t xml:space="preserve"> Poetics</w:t>
      </w:r>
    </w:p>
    <w:p w14:paraId="35C2BE93" w14:textId="77777777" w:rsidR="00A4475E" w:rsidRPr="000A22E5" w:rsidRDefault="00A4475E" w:rsidP="00A4475E">
      <w:pPr>
        <w:jc w:val="center"/>
        <w:rPr>
          <w:sz w:val="24"/>
          <w:szCs w:val="24"/>
        </w:rPr>
      </w:pPr>
    </w:p>
    <w:p w14:paraId="0B15EA8B" w14:textId="77777777" w:rsidR="00A4475E" w:rsidRPr="000A22E5" w:rsidRDefault="00A4475E" w:rsidP="00A4475E">
      <w:pPr>
        <w:jc w:val="center"/>
        <w:rPr>
          <w:sz w:val="24"/>
          <w:szCs w:val="24"/>
        </w:rPr>
      </w:pPr>
    </w:p>
    <w:p w14:paraId="62D38181" w14:textId="77777777" w:rsidR="00A4475E" w:rsidRPr="000A22E5" w:rsidRDefault="00A4475E" w:rsidP="00A4475E">
      <w:pPr>
        <w:spacing w:line="360" w:lineRule="auto"/>
        <w:jc w:val="center"/>
        <w:rPr>
          <w:sz w:val="32"/>
        </w:rPr>
      </w:pPr>
      <w:r w:rsidRPr="000A22E5">
        <w:rPr>
          <w:sz w:val="32"/>
        </w:rPr>
        <w:t>S</w:t>
      </w:r>
      <w:r w:rsidR="00AC1A1E" w:rsidRPr="000A22E5">
        <w:rPr>
          <w:sz w:val="32"/>
        </w:rPr>
        <w:t>hakespeare</w:t>
      </w:r>
      <w:r w:rsidRPr="000A22E5">
        <w:rPr>
          <w:sz w:val="32"/>
        </w:rPr>
        <w:t xml:space="preserve">, </w:t>
      </w:r>
      <w:r w:rsidRPr="000A22E5">
        <w:rPr>
          <w:i/>
          <w:sz w:val="32"/>
        </w:rPr>
        <w:t xml:space="preserve">The </w:t>
      </w:r>
      <w:r w:rsidR="00AC1A1E" w:rsidRPr="000A22E5">
        <w:rPr>
          <w:i/>
          <w:sz w:val="32"/>
        </w:rPr>
        <w:t>Tempest</w:t>
      </w:r>
    </w:p>
    <w:p w14:paraId="671C15BE" w14:textId="71C51F25" w:rsidR="00A4475E" w:rsidRPr="000A22E5" w:rsidRDefault="00350A33" w:rsidP="00A4475E">
      <w:pPr>
        <w:tabs>
          <w:tab w:val="left" w:pos="-720"/>
        </w:tabs>
        <w:suppressAutoHyphens/>
        <w:spacing w:line="360" w:lineRule="auto"/>
        <w:jc w:val="center"/>
        <w:rPr>
          <w:sz w:val="32"/>
        </w:rPr>
      </w:pPr>
      <w:r w:rsidRPr="000A22E5">
        <w:rPr>
          <w:sz w:val="32"/>
        </w:rPr>
        <w:t>Suggested Further Reading</w:t>
      </w:r>
    </w:p>
    <w:p w14:paraId="3B7AF8BC" w14:textId="77777777" w:rsidR="00A4475E" w:rsidRPr="000A22E5" w:rsidRDefault="00A4475E" w:rsidP="00A4475E">
      <w:pPr>
        <w:tabs>
          <w:tab w:val="left" w:pos="-720"/>
        </w:tabs>
        <w:suppressAutoHyphens/>
        <w:spacing w:line="360" w:lineRule="auto"/>
        <w:jc w:val="center"/>
        <w:rPr>
          <w:spacing w:val="-3"/>
          <w:sz w:val="24"/>
          <w:szCs w:val="24"/>
        </w:rPr>
      </w:pPr>
    </w:p>
    <w:p w14:paraId="18D879AA" w14:textId="764D7F2D" w:rsidR="003E4345" w:rsidRPr="000A22E5" w:rsidRDefault="003E4345" w:rsidP="00350A33">
      <w:pPr>
        <w:tabs>
          <w:tab w:val="left" w:pos="-720"/>
        </w:tabs>
        <w:suppressAutoHyphens/>
        <w:spacing w:line="360" w:lineRule="auto"/>
        <w:ind w:hanging="720"/>
        <w:rPr>
          <w:spacing w:val="-3"/>
          <w:sz w:val="22"/>
          <w:szCs w:val="22"/>
        </w:rPr>
      </w:pPr>
      <w:r w:rsidRPr="000A22E5">
        <w:rPr>
          <w:spacing w:val="-3"/>
          <w:sz w:val="22"/>
          <w:szCs w:val="22"/>
        </w:rPr>
        <w:t xml:space="preserve">David M. Bergeron, </w:t>
      </w:r>
      <w:r w:rsidRPr="000A22E5">
        <w:rPr>
          <w:i/>
          <w:iCs/>
          <w:spacing w:val="-3"/>
          <w:sz w:val="22"/>
          <w:szCs w:val="22"/>
        </w:rPr>
        <w:t>Shakespeare’s Romances and the Royal Family</w:t>
      </w:r>
      <w:r w:rsidR="000A22E5" w:rsidRPr="000A22E5">
        <w:rPr>
          <w:spacing w:val="-3"/>
          <w:sz w:val="22"/>
          <w:szCs w:val="22"/>
        </w:rPr>
        <w:t xml:space="preserve"> (Lawrence, Kansas, 1985)</w:t>
      </w:r>
    </w:p>
    <w:p w14:paraId="3B0F251B" w14:textId="1F75CF19" w:rsidR="000A22E5" w:rsidRPr="000A22E5" w:rsidRDefault="000A22E5" w:rsidP="00350A33">
      <w:pPr>
        <w:tabs>
          <w:tab w:val="left" w:pos="-720"/>
        </w:tabs>
        <w:suppressAutoHyphens/>
        <w:spacing w:line="360" w:lineRule="auto"/>
        <w:ind w:hanging="720"/>
        <w:rPr>
          <w:spacing w:val="-3"/>
          <w:sz w:val="22"/>
          <w:szCs w:val="22"/>
        </w:rPr>
      </w:pPr>
      <w:r w:rsidRPr="000A22E5">
        <w:rPr>
          <w:spacing w:val="-3"/>
          <w:sz w:val="22"/>
          <w:szCs w:val="22"/>
        </w:rPr>
        <w:t>J.P. Brockbank, ‘</w:t>
      </w:r>
      <w:r w:rsidRPr="000A22E5">
        <w:rPr>
          <w:i/>
          <w:iCs/>
          <w:spacing w:val="-3"/>
          <w:sz w:val="22"/>
          <w:szCs w:val="22"/>
        </w:rPr>
        <w:t>The Tempest</w:t>
      </w:r>
      <w:r w:rsidRPr="000A22E5">
        <w:rPr>
          <w:spacing w:val="-3"/>
          <w:sz w:val="22"/>
          <w:szCs w:val="22"/>
        </w:rPr>
        <w:t xml:space="preserve">: Conventions of Art and Empire’, in </w:t>
      </w:r>
      <w:r w:rsidRPr="000A22E5">
        <w:rPr>
          <w:i/>
          <w:iCs/>
          <w:spacing w:val="-3"/>
          <w:sz w:val="22"/>
          <w:szCs w:val="22"/>
        </w:rPr>
        <w:t>Later Shakespeare</w:t>
      </w:r>
      <w:r w:rsidRPr="000A22E5">
        <w:rPr>
          <w:spacing w:val="-3"/>
          <w:sz w:val="22"/>
          <w:szCs w:val="22"/>
        </w:rPr>
        <w:t>, ed. by J.R. Brown and Bernard Harris (London, 1966), pp. 183-201</w:t>
      </w:r>
    </w:p>
    <w:p w14:paraId="0AFBF0AA" w14:textId="77777777" w:rsidR="000A22E5" w:rsidRPr="000A22E5" w:rsidRDefault="000A22E5" w:rsidP="00350A33">
      <w:pPr>
        <w:tabs>
          <w:tab w:val="left" w:pos="-720"/>
        </w:tabs>
        <w:suppressAutoHyphens/>
        <w:spacing w:line="360" w:lineRule="auto"/>
        <w:ind w:hanging="720"/>
        <w:rPr>
          <w:spacing w:val="-3"/>
          <w:sz w:val="22"/>
          <w:szCs w:val="22"/>
        </w:rPr>
      </w:pPr>
      <w:r w:rsidRPr="000A22E5">
        <w:rPr>
          <w:spacing w:val="-3"/>
          <w:sz w:val="22"/>
          <w:szCs w:val="22"/>
        </w:rPr>
        <w:t xml:space="preserve">Paul Brown, ‘“This thing of darkness I acknowledge mine”: </w:t>
      </w:r>
      <w:r w:rsidRPr="000A22E5">
        <w:rPr>
          <w:i/>
          <w:iCs/>
          <w:spacing w:val="-3"/>
          <w:sz w:val="22"/>
          <w:szCs w:val="22"/>
        </w:rPr>
        <w:t>The Tempest</w:t>
      </w:r>
      <w:r w:rsidRPr="000A22E5">
        <w:rPr>
          <w:spacing w:val="-3"/>
          <w:sz w:val="22"/>
          <w:szCs w:val="22"/>
        </w:rPr>
        <w:t xml:space="preserve"> and the Discourse of Colonialism’, in </w:t>
      </w:r>
      <w:r w:rsidRPr="000A22E5">
        <w:rPr>
          <w:i/>
          <w:iCs/>
          <w:spacing w:val="-3"/>
          <w:sz w:val="22"/>
          <w:szCs w:val="22"/>
        </w:rPr>
        <w:t>Political Shakespeare: New Essays in Cultural Materialism</w:t>
      </w:r>
      <w:r w:rsidRPr="000A22E5">
        <w:rPr>
          <w:spacing w:val="-3"/>
          <w:sz w:val="22"/>
          <w:szCs w:val="22"/>
        </w:rPr>
        <w:t>, ed. by Jonathan Dollimore and Alan Sinfield (Manchester: Manchester University Press, 1985), pp. 48-71</w:t>
      </w:r>
    </w:p>
    <w:p w14:paraId="74771F8C" w14:textId="72C79589" w:rsidR="000A22E5" w:rsidRPr="000A22E5" w:rsidRDefault="000A22E5" w:rsidP="00350A33">
      <w:pPr>
        <w:tabs>
          <w:tab w:val="left" w:pos="-720"/>
        </w:tabs>
        <w:suppressAutoHyphens/>
        <w:spacing w:line="360" w:lineRule="auto"/>
        <w:ind w:hanging="720"/>
        <w:rPr>
          <w:spacing w:val="-3"/>
          <w:sz w:val="22"/>
          <w:szCs w:val="22"/>
        </w:rPr>
      </w:pPr>
      <w:r w:rsidRPr="000A22E5">
        <w:rPr>
          <w:spacing w:val="-3"/>
          <w:sz w:val="22"/>
          <w:szCs w:val="22"/>
        </w:rPr>
        <w:t xml:space="preserve">Paul Cantor, ‘Prospero’s Republic: The Politics of Shakespeare’s </w:t>
      </w:r>
      <w:r w:rsidRPr="000A22E5">
        <w:rPr>
          <w:i/>
          <w:iCs/>
          <w:spacing w:val="-3"/>
          <w:sz w:val="22"/>
          <w:szCs w:val="22"/>
        </w:rPr>
        <w:t>The Tempest</w:t>
      </w:r>
      <w:r w:rsidRPr="000A22E5">
        <w:rPr>
          <w:spacing w:val="-3"/>
          <w:sz w:val="22"/>
          <w:szCs w:val="22"/>
        </w:rPr>
        <w:t xml:space="preserve">’, in </w:t>
      </w:r>
      <w:r w:rsidRPr="000A22E5">
        <w:rPr>
          <w:i/>
          <w:iCs/>
          <w:spacing w:val="-3"/>
          <w:sz w:val="22"/>
          <w:szCs w:val="22"/>
        </w:rPr>
        <w:t>Shakespeare as Political Thinker</w:t>
      </w:r>
      <w:r w:rsidRPr="000A22E5">
        <w:rPr>
          <w:spacing w:val="-3"/>
          <w:sz w:val="22"/>
          <w:szCs w:val="22"/>
        </w:rPr>
        <w:t xml:space="preserve">, ed. by John Alvis and T.G. West (Durham, NC, 1981), pp. 239-55 </w:t>
      </w:r>
    </w:p>
    <w:p w14:paraId="08DB95FE" w14:textId="7C4FB4D0" w:rsidR="00350A33" w:rsidRPr="000A22E5" w:rsidRDefault="00350A33" w:rsidP="00350A33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</w:rPr>
      </w:pPr>
      <w:r w:rsidRPr="000A22E5">
        <w:rPr>
          <w:spacing w:val="-3"/>
          <w:sz w:val="22"/>
          <w:szCs w:val="22"/>
        </w:rPr>
        <w:t xml:space="preserve">Helen Cooper, </w:t>
      </w:r>
      <w:r w:rsidRPr="000A22E5">
        <w:rPr>
          <w:i/>
          <w:spacing w:val="-3"/>
          <w:sz w:val="22"/>
          <w:szCs w:val="22"/>
        </w:rPr>
        <w:t>The English Romance in Time: Transforming Motifs from Geoffrey of Monmouth to the Death of Shakespeare</w:t>
      </w:r>
      <w:r w:rsidRPr="000A22E5">
        <w:rPr>
          <w:spacing w:val="-3"/>
          <w:sz w:val="22"/>
          <w:szCs w:val="22"/>
        </w:rPr>
        <w:t xml:space="preserve"> (Oxford: Oxford University Press, 2004)</w:t>
      </w:r>
    </w:p>
    <w:p w14:paraId="2274C73B" w14:textId="53D40BF5" w:rsidR="00350A33" w:rsidRPr="000A22E5" w:rsidRDefault="00350A33" w:rsidP="00350A33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</w:rPr>
      </w:pPr>
      <w:r w:rsidRPr="000A22E5">
        <w:rPr>
          <w:sz w:val="22"/>
          <w:szCs w:val="22"/>
        </w:rPr>
        <w:t xml:space="preserve">Richard Dutton, </w:t>
      </w:r>
      <w:r w:rsidRPr="000A22E5">
        <w:rPr>
          <w:i/>
          <w:sz w:val="22"/>
          <w:szCs w:val="22"/>
        </w:rPr>
        <w:t>The Oxford Handbook of Early Modern Theatre</w:t>
      </w:r>
      <w:r w:rsidRPr="000A22E5">
        <w:rPr>
          <w:sz w:val="22"/>
          <w:szCs w:val="22"/>
        </w:rPr>
        <w:t xml:space="preserve"> (Oxford: Oxford University Press, 2009)</w:t>
      </w:r>
      <w:proofErr w:type="gramStart"/>
      <w:r w:rsidRPr="000A22E5">
        <w:rPr>
          <w:sz w:val="22"/>
          <w:szCs w:val="22"/>
        </w:rPr>
        <w:tab/>
        <w:t xml:space="preserve">  792.0942</w:t>
      </w:r>
      <w:proofErr w:type="gramEnd"/>
      <w:r w:rsidRPr="000A22E5">
        <w:rPr>
          <w:sz w:val="22"/>
          <w:szCs w:val="22"/>
        </w:rPr>
        <w:t xml:space="preserve"> OXF</w:t>
      </w:r>
    </w:p>
    <w:p w14:paraId="3F054408" w14:textId="2D67446B" w:rsidR="000A22E5" w:rsidRDefault="000A22E5" w:rsidP="000E12FB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  <w:lang w:val="en-GB"/>
        </w:rPr>
      </w:pPr>
      <w:r>
        <w:rPr>
          <w:sz w:val="22"/>
          <w:szCs w:val="22"/>
          <w:lang w:val="en-GB"/>
        </w:rPr>
        <w:t xml:space="preserve">Stephen Greenblatt, ‘Learning to Curse’, in </w:t>
      </w:r>
      <w:r>
        <w:rPr>
          <w:i/>
          <w:iCs/>
          <w:sz w:val="22"/>
          <w:szCs w:val="22"/>
          <w:lang w:val="en-GB"/>
        </w:rPr>
        <w:t>First Images of America</w:t>
      </w:r>
      <w:r>
        <w:rPr>
          <w:sz w:val="22"/>
          <w:szCs w:val="22"/>
          <w:lang w:val="en-GB"/>
        </w:rPr>
        <w:t xml:space="preserve">, ed. by Fredi </w:t>
      </w:r>
      <w:proofErr w:type="spellStart"/>
      <w:r>
        <w:rPr>
          <w:sz w:val="22"/>
          <w:szCs w:val="22"/>
          <w:lang w:val="en-GB"/>
        </w:rPr>
        <w:t>Chiapelli</w:t>
      </w:r>
      <w:proofErr w:type="spellEnd"/>
      <w:r>
        <w:rPr>
          <w:sz w:val="22"/>
          <w:szCs w:val="22"/>
          <w:lang w:val="en-GB"/>
        </w:rPr>
        <w:t xml:space="preserve"> (Berkeley, Calif., 1976), 561-80</w:t>
      </w:r>
    </w:p>
    <w:p w14:paraId="73B869B6" w14:textId="3D0C1704" w:rsidR="00974FF4" w:rsidRPr="00974FF4" w:rsidRDefault="00974FF4" w:rsidP="000E12FB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  <w:lang w:val="en-GB"/>
        </w:rPr>
      </w:pPr>
      <w:r>
        <w:rPr>
          <w:sz w:val="22"/>
          <w:szCs w:val="22"/>
          <w:lang w:val="en-GB"/>
        </w:rPr>
        <w:t>Richard Hillman, ‘</w:t>
      </w:r>
      <w:r>
        <w:rPr>
          <w:i/>
          <w:iCs/>
          <w:sz w:val="22"/>
          <w:szCs w:val="22"/>
          <w:lang w:val="en-GB"/>
        </w:rPr>
        <w:t>The Tempest</w:t>
      </w:r>
      <w:r>
        <w:rPr>
          <w:sz w:val="22"/>
          <w:szCs w:val="22"/>
          <w:lang w:val="en-GB"/>
        </w:rPr>
        <w:t xml:space="preserve"> as Romance and Anti-Romance’, </w:t>
      </w:r>
      <w:r>
        <w:rPr>
          <w:i/>
          <w:iCs/>
          <w:sz w:val="22"/>
          <w:szCs w:val="22"/>
          <w:lang w:val="en-GB"/>
        </w:rPr>
        <w:t>University of Toronto Quarterly</w:t>
      </w:r>
      <w:r>
        <w:rPr>
          <w:sz w:val="22"/>
          <w:szCs w:val="22"/>
          <w:lang w:val="en-GB"/>
        </w:rPr>
        <w:t>, 55 (1985-86), 141-60</w:t>
      </w:r>
    </w:p>
    <w:p w14:paraId="109EC324" w14:textId="7694A184" w:rsidR="00350A33" w:rsidRDefault="00350A33" w:rsidP="000E12FB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  <w:lang w:val="en-GB"/>
        </w:rPr>
      </w:pPr>
      <w:r w:rsidRPr="000A22E5">
        <w:rPr>
          <w:sz w:val="22"/>
          <w:szCs w:val="22"/>
          <w:lang w:val="en-GB"/>
        </w:rPr>
        <w:t xml:space="preserve">Peter Hulme, </w:t>
      </w:r>
      <w:r w:rsidRPr="000A22E5">
        <w:rPr>
          <w:i/>
          <w:sz w:val="22"/>
          <w:szCs w:val="22"/>
          <w:lang w:val="en-GB"/>
        </w:rPr>
        <w:t>Colonial Encounters: Europe and the Native Caribbean, 1492-1797</w:t>
      </w:r>
      <w:r w:rsidRPr="000A22E5">
        <w:rPr>
          <w:sz w:val="22"/>
          <w:szCs w:val="22"/>
          <w:lang w:val="en-GB"/>
        </w:rPr>
        <w:t xml:space="preserve"> (London and New York: Methuen, 1986)</w:t>
      </w:r>
    </w:p>
    <w:p w14:paraId="7132C290" w14:textId="61744296" w:rsidR="00974FF4" w:rsidRPr="00974FF4" w:rsidRDefault="00974FF4" w:rsidP="000E12FB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  <w:lang w:val="en-GB"/>
        </w:rPr>
      </w:pPr>
      <w:r>
        <w:rPr>
          <w:sz w:val="22"/>
          <w:szCs w:val="22"/>
          <w:lang w:val="en-GB"/>
        </w:rPr>
        <w:t xml:space="preserve">Coppélia Kahn, ‘The Providential Tempest and the Shakespearean Family’, in </w:t>
      </w:r>
      <w:r>
        <w:rPr>
          <w:i/>
          <w:iCs/>
          <w:sz w:val="22"/>
          <w:szCs w:val="22"/>
          <w:lang w:val="en-GB"/>
        </w:rPr>
        <w:t>Representing Shakespeare: New Psychoanalytic Essays</w:t>
      </w:r>
      <w:r>
        <w:rPr>
          <w:sz w:val="22"/>
          <w:szCs w:val="22"/>
          <w:lang w:val="en-GB"/>
        </w:rPr>
        <w:t xml:space="preserve">, ed. by M.M. Schwartz and </w:t>
      </w:r>
      <w:r>
        <w:rPr>
          <w:sz w:val="22"/>
          <w:szCs w:val="22"/>
          <w:lang w:val="en-GB"/>
        </w:rPr>
        <w:t>Coppélia Kahn</w:t>
      </w:r>
      <w:r>
        <w:rPr>
          <w:sz w:val="22"/>
          <w:szCs w:val="22"/>
          <w:lang w:val="en-GB"/>
        </w:rPr>
        <w:t xml:space="preserve"> (Baltimore, Md., 1980), pp. 217-43</w:t>
      </w:r>
    </w:p>
    <w:p w14:paraId="0FAF91C8" w14:textId="74A09EA5" w:rsidR="000A22E5" w:rsidRPr="000A22E5" w:rsidRDefault="000A22E5" w:rsidP="000E12FB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  <w:lang w:val="en-GB"/>
        </w:rPr>
      </w:pPr>
      <w:r w:rsidRPr="000A22E5">
        <w:rPr>
          <w:sz w:val="22"/>
          <w:szCs w:val="22"/>
          <w:lang w:val="en-GB"/>
        </w:rPr>
        <w:t xml:space="preserve">C.M. Kay and H.E. Jacobs, eds, </w:t>
      </w:r>
      <w:r w:rsidRPr="000A22E5">
        <w:rPr>
          <w:i/>
          <w:iCs/>
          <w:sz w:val="22"/>
          <w:szCs w:val="22"/>
          <w:lang w:val="en-GB"/>
        </w:rPr>
        <w:t>Shakespeare’s Romances Reconsidered</w:t>
      </w:r>
      <w:r w:rsidRPr="000A22E5">
        <w:rPr>
          <w:sz w:val="22"/>
          <w:szCs w:val="22"/>
          <w:lang w:val="en-GB"/>
        </w:rPr>
        <w:t xml:space="preserve"> (Lincoln, Nebr., 1978)</w:t>
      </w:r>
    </w:p>
    <w:p w14:paraId="24B1D50D" w14:textId="55472A1D" w:rsidR="00350A33" w:rsidRPr="000A22E5" w:rsidRDefault="00350A33" w:rsidP="000E12FB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  <w:lang w:val="en-GB"/>
        </w:rPr>
      </w:pPr>
      <w:r w:rsidRPr="000A22E5">
        <w:rPr>
          <w:sz w:val="22"/>
          <w:szCs w:val="22"/>
          <w:lang w:val="en-GB"/>
        </w:rPr>
        <w:t xml:space="preserve">Arthur F. </w:t>
      </w:r>
      <w:r w:rsidRPr="000A22E5">
        <w:rPr>
          <w:sz w:val="22"/>
          <w:szCs w:val="22"/>
        </w:rPr>
        <w:t xml:space="preserve">Kinney, </w:t>
      </w:r>
      <w:r w:rsidRPr="000A22E5">
        <w:rPr>
          <w:i/>
          <w:sz w:val="22"/>
          <w:szCs w:val="22"/>
        </w:rPr>
        <w:t>The Oxford Handbook of Shakespeare</w:t>
      </w:r>
      <w:r w:rsidRPr="000A22E5">
        <w:rPr>
          <w:sz w:val="22"/>
          <w:szCs w:val="22"/>
        </w:rPr>
        <w:t>. Oxford: Oxford University Press, 2012</w:t>
      </w:r>
    </w:p>
    <w:p w14:paraId="4D041D91" w14:textId="097307AD" w:rsidR="00974FF4" w:rsidRPr="00974FF4" w:rsidRDefault="00974FF4" w:rsidP="000E12FB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  <w:lang w:val="en-GB"/>
        </w:rPr>
      </w:pPr>
      <w:r>
        <w:rPr>
          <w:sz w:val="22"/>
          <w:szCs w:val="22"/>
          <w:lang w:val="en-GB"/>
        </w:rPr>
        <w:t xml:space="preserve">Stephen Orgel, ‘Prospero’s Wife’, in </w:t>
      </w:r>
      <w:r>
        <w:rPr>
          <w:i/>
          <w:iCs/>
          <w:sz w:val="22"/>
          <w:szCs w:val="22"/>
          <w:lang w:val="en-GB"/>
        </w:rPr>
        <w:t>Rewriting the Renaissance: The Discourses of Sexual Difference in Early Modern Europe</w:t>
      </w:r>
      <w:r>
        <w:rPr>
          <w:sz w:val="22"/>
          <w:szCs w:val="22"/>
          <w:lang w:val="en-GB"/>
        </w:rPr>
        <w:t xml:space="preserve">, ed. by Margaret W. Ferguson </w:t>
      </w:r>
      <w:r>
        <w:rPr>
          <w:i/>
          <w:iCs/>
          <w:sz w:val="22"/>
          <w:szCs w:val="22"/>
          <w:lang w:val="en-GB"/>
        </w:rPr>
        <w:t>et al.</w:t>
      </w:r>
      <w:r>
        <w:rPr>
          <w:sz w:val="22"/>
          <w:szCs w:val="22"/>
          <w:lang w:val="en-GB"/>
        </w:rPr>
        <w:t xml:space="preserve"> (Chicago, Ill., 1986), pp. 50-64</w:t>
      </w:r>
    </w:p>
    <w:p w14:paraId="617B04F3" w14:textId="442B5261" w:rsidR="00350A33" w:rsidRPr="000A22E5" w:rsidRDefault="00350A33" w:rsidP="000E12FB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</w:rPr>
      </w:pPr>
      <w:r w:rsidRPr="000A22E5">
        <w:rPr>
          <w:sz w:val="22"/>
          <w:szCs w:val="22"/>
          <w:lang w:val="en-GB"/>
        </w:rPr>
        <w:t>Stephe</w:t>
      </w:r>
      <w:r w:rsidRPr="000A22E5">
        <w:rPr>
          <w:sz w:val="22"/>
          <w:szCs w:val="22"/>
          <w:lang w:val="en-GB"/>
        </w:rPr>
        <w:t xml:space="preserve">n Orgel, Introduction, in Shakespeare, </w:t>
      </w:r>
      <w:r w:rsidRPr="000A22E5">
        <w:rPr>
          <w:i/>
          <w:sz w:val="22"/>
          <w:szCs w:val="22"/>
          <w:lang w:val="en-GB"/>
        </w:rPr>
        <w:t>The Tempest</w:t>
      </w:r>
      <w:r w:rsidRPr="000A22E5">
        <w:rPr>
          <w:sz w:val="22"/>
          <w:szCs w:val="22"/>
          <w:lang w:val="en-GB"/>
        </w:rPr>
        <w:t>, Oxford World’s Classics series (Oxford: Oxford University Press, 1994)</w:t>
      </w:r>
    </w:p>
    <w:p w14:paraId="77A50E8C" w14:textId="434C4EE2" w:rsidR="00A4475E" w:rsidRPr="000A22E5" w:rsidRDefault="0064235B" w:rsidP="000E12FB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</w:rPr>
      </w:pPr>
      <w:r w:rsidRPr="000A22E5">
        <w:rPr>
          <w:sz w:val="22"/>
          <w:szCs w:val="22"/>
        </w:rPr>
        <w:t>Anthony Pagden</w:t>
      </w:r>
      <w:r w:rsidR="00A4475E" w:rsidRPr="000A22E5">
        <w:rPr>
          <w:sz w:val="22"/>
          <w:szCs w:val="22"/>
        </w:rPr>
        <w:t xml:space="preserve">, </w:t>
      </w:r>
      <w:r w:rsidRPr="000A22E5">
        <w:rPr>
          <w:i/>
          <w:iCs/>
          <w:sz w:val="22"/>
          <w:szCs w:val="22"/>
        </w:rPr>
        <w:t>European Encounters with the New World: From Renaissance to Romanticism</w:t>
      </w:r>
      <w:r w:rsidR="00A4475E" w:rsidRPr="000A22E5">
        <w:rPr>
          <w:sz w:val="22"/>
          <w:szCs w:val="22"/>
        </w:rPr>
        <w:t xml:space="preserve"> (</w:t>
      </w:r>
      <w:r w:rsidRPr="000A22E5">
        <w:rPr>
          <w:sz w:val="22"/>
          <w:szCs w:val="22"/>
        </w:rPr>
        <w:t>New Haven: Yale University Press</w:t>
      </w:r>
      <w:r w:rsidR="00F332B3" w:rsidRPr="000A22E5">
        <w:rPr>
          <w:sz w:val="22"/>
          <w:szCs w:val="22"/>
        </w:rPr>
        <w:t>, 1993</w:t>
      </w:r>
      <w:proofErr w:type="gramStart"/>
      <w:r w:rsidR="00C440A5" w:rsidRPr="000A22E5">
        <w:rPr>
          <w:sz w:val="22"/>
          <w:szCs w:val="22"/>
        </w:rPr>
        <w:t xml:space="preserve">)  </w:t>
      </w:r>
      <w:r w:rsidRPr="000A22E5">
        <w:rPr>
          <w:sz w:val="22"/>
          <w:szCs w:val="22"/>
        </w:rPr>
        <w:t>940</w:t>
      </w:r>
      <w:r w:rsidR="00A4475E" w:rsidRPr="000A22E5">
        <w:rPr>
          <w:sz w:val="22"/>
          <w:szCs w:val="22"/>
        </w:rPr>
        <w:t>.</w:t>
      </w:r>
      <w:r w:rsidRPr="000A22E5">
        <w:rPr>
          <w:sz w:val="22"/>
          <w:szCs w:val="22"/>
        </w:rPr>
        <w:t>2</w:t>
      </w:r>
      <w:proofErr w:type="gramEnd"/>
      <w:r w:rsidR="00A4475E" w:rsidRPr="000A22E5">
        <w:rPr>
          <w:sz w:val="22"/>
          <w:szCs w:val="22"/>
        </w:rPr>
        <w:t xml:space="preserve"> </w:t>
      </w:r>
      <w:r w:rsidRPr="000A22E5">
        <w:rPr>
          <w:sz w:val="22"/>
          <w:szCs w:val="22"/>
        </w:rPr>
        <w:t>PAG</w:t>
      </w:r>
    </w:p>
    <w:p w14:paraId="2B75AE35" w14:textId="1CFA27BB" w:rsidR="00350A33" w:rsidRPr="00974FF4" w:rsidRDefault="00350A33" w:rsidP="00974FF4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  <w:lang w:val="en-GB"/>
        </w:rPr>
      </w:pPr>
      <w:r w:rsidRPr="000A22E5">
        <w:rPr>
          <w:sz w:val="22"/>
          <w:szCs w:val="22"/>
          <w:lang w:val="en-GB"/>
        </w:rPr>
        <w:t xml:space="preserve">Frances A. Yates, </w:t>
      </w:r>
      <w:r w:rsidRPr="000A22E5">
        <w:rPr>
          <w:i/>
          <w:sz w:val="22"/>
          <w:szCs w:val="22"/>
          <w:lang w:val="en-GB"/>
        </w:rPr>
        <w:t>Shakespeare’s Last Plays: A New Approach</w:t>
      </w:r>
      <w:r w:rsidRPr="000A22E5">
        <w:rPr>
          <w:sz w:val="22"/>
          <w:szCs w:val="22"/>
          <w:lang w:val="en-GB"/>
        </w:rPr>
        <w:t xml:space="preserve"> (London: Routledge &amp; Kegan Paul, 1975)</w:t>
      </w:r>
    </w:p>
    <w:sectPr w:rsidR="00350A33" w:rsidRPr="00974FF4" w:rsidSect="00ED5E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7D16985" w14:textId="77777777" w:rsidR="00986B05" w:rsidRDefault="00986B05" w:rsidP="00350A33">
      <w:r>
        <w:separator/>
      </w:r>
    </w:p>
  </w:endnote>
  <w:endnote w:type="continuationSeparator" w:id="0">
    <w:p w14:paraId="2612466F" w14:textId="77777777" w:rsidR="00986B05" w:rsidRDefault="00986B05" w:rsidP="00350A3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4FD031" w14:textId="77777777" w:rsidR="00986B05" w:rsidRDefault="00986B05" w:rsidP="00350A33">
      <w:r>
        <w:separator/>
      </w:r>
    </w:p>
  </w:footnote>
  <w:footnote w:type="continuationSeparator" w:id="0">
    <w:p w14:paraId="64122A32" w14:textId="77777777" w:rsidR="00986B05" w:rsidRDefault="00986B05" w:rsidP="00350A3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03861DA"/>
    <w:multiLevelType w:val="hybridMultilevel"/>
    <w:tmpl w:val="9DCE86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5C84BEAE">
      <w:start w:val="1"/>
      <w:numFmt w:val="lowerLetter"/>
      <w:lvlText w:val="%2."/>
      <w:lvlJc w:val="left"/>
      <w:pPr>
        <w:ind w:left="1440" w:hanging="360"/>
      </w:pPr>
      <w:rPr>
        <w:b w:val="0"/>
      </w:rPr>
    </w:lvl>
    <w:lvl w:ilvl="2" w:tplc="8E6677D0">
      <w:start w:val="1"/>
      <w:numFmt w:val="lowerRoman"/>
      <w:lvlText w:val="%3."/>
      <w:lvlJc w:val="right"/>
      <w:pPr>
        <w:ind w:left="2160" w:hanging="180"/>
      </w:pPr>
      <w:rPr>
        <w:b w:val="0"/>
      </w:r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562399655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A4475E"/>
    <w:rsid w:val="000A22E5"/>
    <w:rsid w:val="000E12FB"/>
    <w:rsid w:val="000F56AD"/>
    <w:rsid w:val="00130A42"/>
    <w:rsid w:val="001B4AB6"/>
    <w:rsid w:val="00350A33"/>
    <w:rsid w:val="00376478"/>
    <w:rsid w:val="003E4345"/>
    <w:rsid w:val="004F637D"/>
    <w:rsid w:val="005103BD"/>
    <w:rsid w:val="0053660F"/>
    <w:rsid w:val="0061596D"/>
    <w:rsid w:val="0064235B"/>
    <w:rsid w:val="0071797E"/>
    <w:rsid w:val="007866BF"/>
    <w:rsid w:val="0088519C"/>
    <w:rsid w:val="00974FF4"/>
    <w:rsid w:val="00986B05"/>
    <w:rsid w:val="00A4475E"/>
    <w:rsid w:val="00A64D69"/>
    <w:rsid w:val="00AC1A1E"/>
    <w:rsid w:val="00AC713E"/>
    <w:rsid w:val="00AE2023"/>
    <w:rsid w:val="00BB63D7"/>
    <w:rsid w:val="00C440A5"/>
    <w:rsid w:val="00C77FEF"/>
    <w:rsid w:val="00CD7A47"/>
    <w:rsid w:val="00ED5E1A"/>
    <w:rsid w:val="00F06DCF"/>
    <w:rsid w:val="00F332B3"/>
    <w:rsid w:val="00F43E86"/>
    <w:rsid w:val="00F641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B2302B"/>
  <w15:docId w15:val="{2FBBD56B-108A-4AC4-BF83-5FC47D9DA3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4475E"/>
    <w:pPr>
      <w:overflowPunct w:val="0"/>
      <w:autoSpaceDE w:val="0"/>
      <w:autoSpaceDN w:val="0"/>
      <w:adjustRightInd w:val="0"/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AU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50A3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50A33"/>
    <w:rPr>
      <w:rFonts w:ascii="Times New Roman" w:eastAsia="Times New Roman" w:hAnsi="Times New Roman" w:cs="Times New Roman"/>
      <w:sz w:val="20"/>
      <w:szCs w:val="20"/>
      <w:lang w:val="en-AU"/>
    </w:rPr>
  </w:style>
  <w:style w:type="paragraph" w:styleId="Footer">
    <w:name w:val="footer"/>
    <w:basedOn w:val="Normal"/>
    <w:link w:val="FooterChar"/>
    <w:uiPriority w:val="99"/>
    <w:unhideWhenUsed/>
    <w:rsid w:val="00350A3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50A33"/>
    <w:rPr>
      <w:rFonts w:ascii="Times New Roman" w:eastAsia="Times New Roman" w:hAnsi="Times New Roman" w:cs="Times New Roman"/>
      <w:sz w:val="20"/>
      <w:szCs w:val="20"/>
      <w:lang w:val="en-AU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04056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1</Pages>
  <Words>351</Words>
  <Characters>2005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pn021</dc:creator>
  <cp:lastModifiedBy>Peter Mitchell</cp:lastModifiedBy>
  <cp:revision>6</cp:revision>
  <dcterms:created xsi:type="dcterms:W3CDTF">2015-09-25T10:50:00Z</dcterms:created>
  <dcterms:modified xsi:type="dcterms:W3CDTF">2026-05-03T22:53:00Z</dcterms:modified>
</cp:coreProperties>
</file>