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CD43DE" w14:textId="77777777" w:rsidR="00755300" w:rsidRDefault="00755300" w:rsidP="00755300">
      <w:pPr>
        <w:jc w:val="center"/>
        <w:rPr>
          <w:sz w:val="32"/>
          <w:szCs w:val="32"/>
        </w:rPr>
      </w:pPr>
      <w:r>
        <w:rPr>
          <w:sz w:val="32"/>
          <w:szCs w:val="32"/>
        </w:rPr>
        <w:t>The Three Living and the Three Dead</w:t>
      </w:r>
    </w:p>
    <w:p w14:paraId="29B16D79" w14:textId="77777777" w:rsidR="00755300" w:rsidRDefault="00755300" w:rsidP="00755300">
      <w:pPr>
        <w:jc w:val="center"/>
        <w:rPr>
          <w:sz w:val="28"/>
          <w:szCs w:val="28"/>
        </w:rPr>
      </w:pPr>
      <w:r>
        <w:rPr>
          <w:sz w:val="28"/>
          <w:szCs w:val="28"/>
        </w:rPr>
        <w:t>Intimations of Mortality: Animations of Morality</w:t>
      </w:r>
    </w:p>
    <w:p w14:paraId="16C17BEC" w14:textId="77777777" w:rsidR="00755300" w:rsidRDefault="00755300" w:rsidP="00755300">
      <w:pPr>
        <w:jc w:val="center"/>
        <w:rPr>
          <w:sz w:val="28"/>
          <w:szCs w:val="28"/>
        </w:rPr>
      </w:pPr>
    </w:p>
    <w:p w14:paraId="17BBD2B8" w14:textId="77777777" w:rsidR="00755300" w:rsidRPr="006F7CB1" w:rsidRDefault="00755300" w:rsidP="006F7CB1">
      <w:pPr>
        <w:spacing w:line="360" w:lineRule="auto"/>
        <w:rPr>
          <w:rFonts w:eastAsia="Times New Roman" w:cstheme="minorHAnsi"/>
          <w:color w:val="353D46"/>
          <w:lang w:eastAsia="en-GB"/>
        </w:rPr>
      </w:pPr>
      <w:r w:rsidRPr="006F7CB1">
        <w:t>Slide 1</w:t>
      </w:r>
      <w:r w:rsidRPr="006F7CB1">
        <w:rPr>
          <w:rFonts w:eastAsia="Times New Roman" w:cstheme="minorHAnsi"/>
          <w:color w:val="353D46"/>
          <w:lang w:eastAsia="en-GB"/>
        </w:rPr>
        <w:tab/>
        <w:t xml:space="preserve">The Story of the Three Living Men and the Three Dead Men, from </w:t>
      </w:r>
      <w:r w:rsidRPr="00087F21">
        <w:rPr>
          <w:rFonts w:eastAsia="Times New Roman" w:cstheme="minorHAnsi"/>
          <w:i/>
          <w:color w:val="353D46"/>
          <w:lang w:eastAsia="en-GB"/>
        </w:rPr>
        <w:t>'</w:t>
      </w:r>
      <w:proofErr w:type="spellStart"/>
      <w:r w:rsidRPr="00087F21">
        <w:rPr>
          <w:rFonts w:eastAsia="Times New Roman" w:cstheme="minorHAnsi"/>
          <w:i/>
          <w:color w:val="353D46"/>
          <w:lang w:eastAsia="en-GB"/>
        </w:rPr>
        <w:t>Recueil</w:t>
      </w:r>
      <w:proofErr w:type="spellEnd"/>
      <w:r w:rsidRPr="00087F21">
        <w:rPr>
          <w:rFonts w:eastAsia="Times New Roman" w:cstheme="minorHAnsi"/>
          <w:i/>
          <w:color w:val="353D46"/>
          <w:lang w:eastAsia="en-GB"/>
        </w:rPr>
        <w:t xml:space="preserve"> de Poesies </w:t>
      </w:r>
      <w:proofErr w:type="spellStart"/>
      <w:r w:rsidRPr="00087F21">
        <w:rPr>
          <w:rFonts w:eastAsia="Times New Roman" w:cstheme="minorHAnsi"/>
          <w:i/>
          <w:color w:val="353D46"/>
          <w:lang w:eastAsia="en-GB"/>
        </w:rPr>
        <w:t>Francaises</w:t>
      </w:r>
      <w:proofErr w:type="spellEnd"/>
      <w:r w:rsidRPr="00087F21">
        <w:rPr>
          <w:rFonts w:eastAsia="Times New Roman" w:cstheme="minorHAnsi"/>
          <w:i/>
          <w:color w:val="353D46"/>
          <w:lang w:eastAsia="en-GB"/>
        </w:rPr>
        <w:t>'</w:t>
      </w:r>
      <w:r w:rsidRPr="006F7CB1">
        <w:rPr>
          <w:rFonts w:eastAsia="Times New Roman" w:cstheme="minorHAnsi"/>
          <w:color w:val="353D46"/>
          <w:lang w:eastAsia="en-GB"/>
        </w:rPr>
        <w:t>, c.1280-90 (French Poetry)</w:t>
      </w:r>
    </w:p>
    <w:p w14:paraId="1B8FA959" w14:textId="0984BC34" w:rsidR="00755300" w:rsidRPr="006F7CB1" w:rsidRDefault="00755300" w:rsidP="006F7CB1">
      <w:pPr>
        <w:spacing w:line="360" w:lineRule="auto"/>
        <w:jc w:val="center"/>
        <w:rPr>
          <w:rFonts w:eastAsia="Times New Roman" w:cstheme="minorHAnsi"/>
          <w:color w:val="353D46"/>
          <w:lang w:eastAsia="en-GB"/>
        </w:rPr>
      </w:pPr>
      <w:r w:rsidRPr="006F7CB1">
        <w:rPr>
          <w:noProof/>
        </w:rPr>
        <w:drawing>
          <wp:inline distT="0" distB="0" distL="0" distR="0" wp14:anchorId="182B001A" wp14:editId="04BD7E84">
            <wp:extent cx="5082308" cy="2372324"/>
            <wp:effectExtent l="0" t="0" r="4445" b="9525"/>
            <wp:docPr id="25" name="Picture 25" descr="182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82036.JPG"/>
                    <pic:cNvPicPr>
                      <a:picLocks noChangeAspect="1" noChangeArrowheads="1"/>
                    </pic:cNvPicPr>
                  </pic:nvPicPr>
                  <pic:blipFill>
                    <a:blip r:embed="rId8">
                      <a:extLst>
                        <a:ext uri="{28A0092B-C50C-407E-A947-70E740481C1C}">
                          <a14:useLocalDpi xmlns:a14="http://schemas.microsoft.com/office/drawing/2010/main" val="0"/>
                        </a:ext>
                      </a:extLst>
                    </a:blip>
                    <a:srcRect l="1448" t="-1131" r="1981" b="16949"/>
                    <a:stretch>
                      <a:fillRect/>
                    </a:stretch>
                  </pic:blipFill>
                  <pic:spPr bwMode="auto">
                    <a:xfrm>
                      <a:off x="0" y="0"/>
                      <a:ext cx="5128618" cy="2393940"/>
                    </a:xfrm>
                    <a:prstGeom prst="rect">
                      <a:avLst/>
                    </a:prstGeom>
                    <a:noFill/>
                    <a:ln>
                      <a:noFill/>
                    </a:ln>
                  </pic:spPr>
                </pic:pic>
              </a:graphicData>
            </a:graphic>
          </wp:inline>
        </w:drawing>
      </w:r>
      <w:r w:rsidR="006F7CB1">
        <w:rPr>
          <w:rStyle w:val="FootnoteReference"/>
          <w:rFonts w:eastAsia="Times New Roman" w:cstheme="minorHAnsi"/>
          <w:color w:val="353D46"/>
          <w:lang w:eastAsia="en-GB"/>
        </w:rPr>
        <w:footnoteReference w:id="1"/>
      </w:r>
    </w:p>
    <w:p w14:paraId="71608043" w14:textId="4F4003FA" w:rsidR="00755300" w:rsidRPr="006F7CB1" w:rsidRDefault="00755300" w:rsidP="006F7CB1">
      <w:pPr>
        <w:spacing w:line="360" w:lineRule="auto"/>
      </w:pPr>
      <w:r w:rsidRPr="006F7CB1">
        <w:t>A standard early depiction: three wealthy young men confronted by three skeletons. One of the young men carries a hawk and holds his neighbour’s hand, perhaps for support. The nearest skeleton in dressed in the remains of a high-status gown. There is a gap between the two groups but no tree or cross to separate them. There is no background or landscape.</w:t>
      </w:r>
      <w:r w:rsidR="006F7CB1">
        <w:t xml:space="preserve"> This is the earliest representation I could find.</w:t>
      </w:r>
    </w:p>
    <w:p w14:paraId="1E258EBE" w14:textId="2A2518EA" w:rsidR="00755300" w:rsidRDefault="00755300" w:rsidP="006F7CB1">
      <w:pPr>
        <w:spacing w:line="360" w:lineRule="auto"/>
      </w:pPr>
    </w:p>
    <w:p w14:paraId="21E1C101" w14:textId="77777777" w:rsidR="00755300" w:rsidRPr="006F7CB1" w:rsidRDefault="00755300" w:rsidP="006F7CB1">
      <w:pPr>
        <w:tabs>
          <w:tab w:val="left" w:pos="3060"/>
        </w:tabs>
        <w:spacing w:line="360" w:lineRule="auto"/>
        <w:rPr>
          <w:rFonts w:cstheme="minorHAnsi"/>
          <w:noProof/>
        </w:rPr>
      </w:pPr>
      <w:r w:rsidRPr="006F7CB1">
        <w:lastRenderedPageBreak/>
        <w:t xml:space="preserve">Slide 2   </w:t>
      </w:r>
      <w:r w:rsidRPr="006F7CB1">
        <w:rPr>
          <w:rFonts w:cstheme="minorHAnsi"/>
        </w:rPr>
        <w:t xml:space="preserve">The de Lisle Psalter </w:t>
      </w:r>
      <w:r w:rsidRPr="006F7CB1">
        <w:rPr>
          <w:rFonts w:cstheme="minorHAnsi"/>
          <w:noProof/>
        </w:rPr>
        <w:t>with enlargement of text. 1308-1340, poem in English and French, East Anglia, held at the British Library.</w:t>
      </w:r>
    </w:p>
    <w:p w14:paraId="6CB5FCC2" w14:textId="0BBE7C03" w:rsidR="00755300" w:rsidRPr="006F7CB1" w:rsidRDefault="00755300" w:rsidP="006F7CB1">
      <w:pPr>
        <w:tabs>
          <w:tab w:val="left" w:pos="3060"/>
        </w:tabs>
        <w:spacing w:line="360" w:lineRule="auto"/>
        <w:jc w:val="center"/>
        <w:rPr>
          <w:rFonts w:cstheme="minorHAnsi"/>
          <w:noProof/>
        </w:rPr>
      </w:pPr>
      <w:r w:rsidRPr="006F7CB1">
        <w:rPr>
          <w:noProof/>
        </w:rPr>
        <w:drawing>
          <wp:inline distT="0" distB="0" distL="0" distR="0" wp14:anchorId="44AF9241" wp14:editId="3949465E">
            <wp:extent cx="1636968" cy="2617285"/>
            <wp:effectExtent l="0" t="0" r="1905" b="0"/>
            <wp:docPr id="23" name="Picture 23" descr="The Three Living and the Three Dea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2" descr="The Three Living and the Three Dead"/>
                    <pic:cNvPicPr>
                      <a:picLocks noGrp="1" noChangeAspect="1" noChangeArrowheads="1"/>
                    </pic:cNvPicPr>
                  </pic:nvPicPr>
                  <pic:blipFill>
                    <a:blip r:embed="rId9" cstate="print">
                      <a:extLst>
                        <a:ext uri="{28A0092B-C50C-407E-A947-70E740481C1C}">
                          <a14:useLocalDpi xmlns:a14="http://schemas.microsoft.com/office/drawing/2010/main" val="0"/>
                        </a:ext>
                      </a:extLst>
                    </a:blip>
                    <a:srcRect l="9077" t="8012" r="13695" b="7632"/>
                    <a:stretch>
                      <a:fillRect/>
                    </a:stretch>
                  </pic:blipFill>
                  <pic:spPr bwMode="auto">
                    <a:xfrm>
                      <a:off x="0" y="0"/>
                      <a:ext cx="1641930" cy="2625218"/>
                    </a:xfrm>
                    <a:prstGeom prst="rect">
                      <a:avLst/>
                    </a:prstGeom>
                    <a:noFill/>
                    <a:ln>
                      <a:noFill/>
                    </a:ln>
                  </pic:spPr>
                </pic:pic>
              </a:graphicData>
            </a:graphic>
          </wp:inline>
        </w:drawing>
      </w:r>
      <w:r w:rsidR="006F7CB1">
        <w:rPr>
          <w:rStyle w:val="FootnoteReference"/>
          <w:rFonts w:cstheme="minorHAnsi"/>
          <w:noProof/>
        </w:rPr>
        <w:footnoteReference w:id="2"/>
      </w:r>
    </w:p>
    <w:p w14:paraId="51E4779D" w14:textId="77777777" w:rsidR="00A50428" w:rsidRDefault="00755300" w:rsidP="00A50428">
      <w:pPr>
        <w:tabs>
          <w:tab w:val="left" w:pos="3060"/>
        </w:tabs>
        <w:spacing w:line="360" w:lineRule="auto"/>
        <w:rPr>
          <w:rFonts w:cstheme="minorHAnsi"/>
          <w:noProof/>
        </w:rPr>
      </w:pPr>
      <w:r w:rsidRPr="006F7CB1">
        <w:rPr>
          <w:rFonts w:cstheme="minorHAnsi"/>
          <w:i/>
          <w:iCs/>
          <w:color w:val="333333"/>
          <w:shd w:val="clear" w:color="auto" w:fill="FFFFFF"/>
        </w:rPr>
        <w:t xml:space="preserve">'Le </w:t>
      </w:r>
      <w:proofErr w:type="spellStart"/>
      <w:r w:rsidRPr="006F7CB1">
        <w:rPr>
          <w:rFonts w:cstheme="minorHAnsi"/>
          <w:i/>
          <w:iCs/>
          <w:color w:val="333333"/>
          <w:shd w:val="clear" w:color="auto" w:fill="FFFFFF"/>
        </w:rPr>
        <w:t>dit</w:t>
      </w:r>
      <w:proofErr w:type="spellEnd"/>
      <w:r w:rsidRPr="006F7CB1">
        <w:rPr>
          <w:rFonts w:cstheme="minorHAnsi"/>
          <w:i/>
          <w:iCs/>
          <w:color w:val="333333"/>
          <w:shd w:val="clear" w:color="auto" w:fill="FFFFFF"/>
        </w:rPr>
        <w:t xml:space="preserve"> des trios </w:t>
      </w:r>
      <w:proofErr w:type="spellStart"/>
      <w:r w:rsidRPr="006F7CB1">
        <w:rPr>
          <w:rFonts w:cstheme="minorHAnsi"/>
          <w:i/>
          <w:iCs/>
          <w:color w:val="333333"/>
          <w:shd w:val="clear" w:color="auto" w:fill="FFFFFF"/>
        </w:rPr>
        <w:t>morts</w:t>
      </w:r>
      <w:proofErr w:type="spellEnd"/>
      <w:r w:rsidRPr="006F7CB1">
        <w:rPr>
          <w:rFonts w:cstheme="minorHAnsi"/>
          <w:i/>
          <w:iCs/>
          <w:color w:val="333333"/>
          <w:shd w:val="clear" w:color="auto" w:fill="FFFFFF"/>
        </w:rPr>
        <w:t xml:space="preserve"> et trios </w:t>
      </w:r>
      <w:proofErr w:type="spellStart"/>
      <w:r w:rsidRPr="006F7CB1">
        <w:rPr>
          <w:rFonts w:cstheme="minorHAnsi"/>
          <w:i/>
          <w:iCs/>
          <w:color w:val="333333"/>
          <w:shd w:val="clear" w:color="auto" w:fill="FFFFFF"/>
        </w:rPr>
        <w:t>vifs</w:t>
      </w:r>
      <w:proofErr w:type="spellEnd"/>
      <w:r w:rsidRPr="006F7CB1">
        <w:rPr>
          <w:rFonts w:cstheme="minorHAnsi"/>
          <w:i/>
          <w:iCs/>
          <w:color w:val="333333"/>
          <w:shd w:val="clear" w:color="auto" w:fill="FFFFFF"/>
        </w:rPr>
        <w:t xml:space="preserve">' </w:t>
      </w:r>
      <w:r w:rsidRPr="006F7CB1">
        <w:rPr>
          <w:rFonts w:cstheme="minorHAnsi"/>
          <w:iCs/>
          <w:color w:val="333333"/>
          <w:shd w:val="clear" w:color="auto" w:fill="FFFFFF"/>
        </w:rPr>
        <w:t xml:space="preserve">The poem is written in French, although the line above the picture is Middle English: Living 1: </w:t>
      </w:r>
      <w:r w:rsidRPr="006F7CB1">
        <w:rPr>
          <w:rFonts w:cstheme="minorHAnsi"/>
          <w:color w:val="333333"/>
          <w:shd w:val="clear" w:color="auto" w:fill="FFFFFF"/>
        </w:rPr>
        <w:t>‘I am afraid’ (</w:t>
      </w:r>
      <w:r w:rsidRPr="006F7CB1">
        <w:rPr>
          <w:rFonts w:cstheme="minorHAnsi"/>
          <w:i/>
          <w:iCs/>
          <w:color w:val="333333"/>
          <w:shd w:val="clear" w:color="auto" w:fill="FFFFFF"/>
        </w:rPr>
        <w:t xml:space="preserve">Ich am </w:t>
      </w:r>
      <w:proofErr w:type="spellStart"/>
      <w:r w:rsidRPr="006F7CB1">
        <w:rPr>
          <w:rFonts w:cstheme="minorHAnsi"/>
          <w:i/>
          <w:iCs/>
          <w:color w:val="333333"/>
          <w:shd w:val="clear" w:color="auto" w:fill="FFFFFF"/>
        </w:rPr>
        <w:t>afert</w:t>
      </w:r>
      <w:proofErr w:type="spellEnd"/>
      <w:r w:rsidRPr="006F7CB1">
        <w:rPr>
          <w:rFonts w:cstheme="minorHAnsi"/>
          <w:color w:val="333333"/>
          <w:shd w:val="clear" w:color="auto" w:fill="FFFFFF"/>
        </w:rPr>
        <w:t>), Dead 1: ‘I was well fair’ (</w:t>
      </w:r>
      <w:r w:rsidRPr="006F7CB1">
        <w:rPr>
          <w:rFonts w:cstheme="minorHAnsi"/>
          <w:i/>
          <w:iCs/>
          <w:color w:val="333333"/>
          <w:shd w:val="clear" w:color="auto" w:fill="FFFFFF"/>
        </w:rPr>
        <w:t xml:space="preserve">Ich </w:t>
      </w:r>
      <w:proofErr w:type="spellStart"/>
      <w:r w:rsidRPr="006F7CB1">
        <w:rPr>
          <w:rFonts w:cstheme="minorHAnsi"/>
          <w:i/>
          <w:iCs/>
          <w:color w:val="333333"/>
          <w:shd w:val="clear" w:color="auto" w:fill="FFFFFF"/>
        </w:rPr>
        <w:t>wes</w:t>
      </w:r>
      <w:proofErr w:type="spellEnd"/>
      <w:r w:rsidRPr="006F7CB1">
        <w:rPr>
          <w:rFonts w:cstheme="minorHAnsi"/>
          <w:i/>
          <w:iCs/>
          <w:color w:val="333333"/>
          <w:shd w:val="clear" w:color="auto" w:fill="FFFFFF"/>
        </w:rPr>
        <w:t xml:space="preserve"> </w:t>
      </w:r>
      <w:proofErr w:type="spellStart"/>
      <w:r w:rsidRPr="006F7CB1">
        <w:rPr>
          <w:rFonts w:cstheme="minorHAnsi"/>
          <w:i/>
          <w:iCs/>
          <w:color w:val="333333"/>
          <w:shd w:val="clear" w:color="auto" w:fill="FFFFFF"/>
        </w:rPr>
        <w:t>wel</w:t>
      </w:r>
      <w:proofErr w:type="spellEnd"/>
      <w:r w:rsidRPr="006F7CB1">
        <w:rPr>
          <w:rFonts w:cstheme="minorHAnsi"/>
          <w:i/>
          <w:iCs/>
          <w:color w:val="333333"/>
          <w:shd w:val="clear" w:color="auto" w:fill="FFFFFF"/>
        </w:rPr>
        <w:t xml:space="preserve"> fair</w:t>
      </w:r>
      <w:r w:rsidRPr="006F7CB1">
        <w:rPr>
          <w:rFonts w:cstheme="minorHAnsi"/>
          <w:color w:val="333333"/>
          <w:shd w:val="clear" w:color="auto" w:fill="FFFFFF"/>
        </w:rPr>
        <w:t>); Living 2: ‘Lo, what I see!’ (</w:t>
      </w:r>
      <w:r w:rsidRPr="006F7CB1">
        <w:rPr>
          <w:rFonts w:cstheme="minorHAnsi"/>
          <w:i/>
          <w:iCs/>
          <w:color w:val="333333"/>
          <w:shd w:val="clear" w:color="auto" w:fill="FFFFFF"/>
        </w:rPr>
        <w:t>Lo whet ich se</w:t>
      </w:r>
      <w:r w:rsidRPr="006F7CB1">
        <w:rPr>
          <w:rFonts w:cstheme="minorHAnsi"/>
          <w:color w:val="333333"/>
          <w:shd w:val="clear" w:color="auto" w:fill="FFFFFF"/>
        </w:rPr>
        <w:t>), Dead 2: ‘Such shall you be’ (</w:t>
      </w:r>
      <w:r w:rsidRPr="006F7CB1">
        <w:rPr>
          <w:rFonts w:cstheme="minorHAnsi"/>
          <w:i/>
          <w:iCs/>
          <w:color w:val="333333"/>
          <w:shd w:val="clear" w:color="auto" w:fill="FFFFFF"/>
        </w:rPr>
        <w:t xml:space="preserve">Such </w:t>
      </w:r>
      <w:proofErr w:type="spellStart"/>
      <w:r w:rsidRPr="006F7CB1">
        <w:rPr>
          <w:rFonts w:cstheme="minorHAnsi"/>
          <w:i/>
          <w:iCs/>
          <w:color w:val="333333"/>
          <w:shd w:val="clear" w:color="auto" w:fill="FFFFFF"/>
        </w:rPr>
        <w:t>schel</w:t>
      </w:r>
      <w:proofErr w:type="spellEnd"/>
      <w:r w:rsidRPr="006F7CB1">
        <w:rPr>
          <w:rFonts w:cstheme="minorHAnsi"/>
          <w:i/>
          <w:iCs/>
          <w:color w:val="333333"/>
          <w:shd w:val="clear" w:color="auto" w:fill="FFFFFF"/>
        </w:rPr>
        <w:t xml:space="preserve"> </w:t>
      </w:r>
      <w:proofErr w:type="spellStart"/>
      <w:r w:rsidRPr="006F7CB1">
        <w:rPr>
          <w:rFonts w:cstheme="minorHAnsi"/>
          <w:i/>
          <w:iCs/>
          <w:color w:val="333333"/>
          <w:shd w:val="clear" w:color="auto" w:fill="FFFFFF"/>
        </w:rPr>
        <w:t>tou</w:t>
      </w:r>
      <w:proofErr w:type="spellEnd"/>
      <w:r w:rsidRPr="006F7CB1">
        <w:rPr>
          <w:rFonts w:cstheme="minorHAnsi"/>
          <w:i/>
          <w:iCs/>
          <w:color w:val="333333"/>
          <w:shd w:val="clear" w:color="auto" w:fill="FFFFFF"/>
        </w:rPr>
        <w:t xml:space="preserve"> be</w:t>
      </w:r>
      <w:r w:rsidRPr="006F7CB1">
        <w:rPr>
          <w:rFonts w:cstheme="minorHAnsi"/>
          <w:color w:val="333333"/>
          <w:shd w:val="clear" w:color="auto" w:fill="FFFFFF"/>
        </w:rPr>
        <w:t>); Living 3: ‘Methinks these be devils three’ (</w:t>
      </w:r>
      <w:r w:rsidRPr="006F7CB1">
        <w:rPr>
          <w:rFonts w:cstheme="minorHAnsi"/>
          <w:i/>
          <w:iCs/>
          <w:color w:val="333333"/>
          <w:shd w:val="clear" w:color="auto" w:fill="FFFFFF"/>
        </w:rPr>
        <w:t xml:space="preserve">Me </w:t>
      </w:r>
      <w:proofErr w:type="spellStart"/>
      <w:r w:rsidRPr="006F7CB1">
        <w:rPr>
          <w:rFonts w:cstheme="minorHAnsi"/>
          <w:i/>
          <w:iCs/>
          <w:color w:val="333333"/>
          <w:shd w:val="clear" w:color="auto" w:fill="FFFFFF"/>
        </w:rPr>
        <w:t>þinkes</w:t>
      </w:r>
      <w:proofErr w:type="spellEnd"/>
      <w:r w:rsidRPr="006F7CB1">
        <w:rPr>
          <w:rFonts w:cstheme="minorHAnsi"/>
          <w:i/>
          <w:iCs/>
          <w:color w:val="333333"/>
          <w:shd w:val="clear" w:color="auto" w:fill="FFFFFF"/>
        </w:rPr>
        <w:t xml:space="preserve"> hit bey </w:t>
      </w:r>
      <w:proofErr w:type="spellStart"/>
      <w:r w:rsidRPr="006F7CB1">
        <w:rPr>
          <w:rFonts w:cstheme="minorHAnsi"/>
          <w:i/>
          <w:iCs/>
          <w:color w:val="333333"/>
          <w:shd w:val="clear" w:color="auto" w:fill="FFFFFF"/>
        </w:rPr>
        <w:t>develes</w:t>
      </w:r>
      <w:proofErr w:type="spellEnd"/>
      <w:r w:rsidRPr="006F7CB1">
        <w:rPr>
          <w:rFonts w:cstheme="minorHAnsi"/>
          <w:i/>
          <w:iCs/>
          <w:color w:val="333333"/>
          <w:shd w:val="clear" w:color="auto" w:fill="FFFFFF"/>
        </w:rPr>
        <w:t xml:space="preserve"> </w:t>
      </w:r>
      <w:proofErr w:type="spellStart"/>
      <w:r w:rsidRPr="006F7CB1">
        <w:rPr>
          <w:rFonts w:cstheme="minorHAnsi"/>
          <w:i/>
          <w:iCs/>
          <w:color w:val="333333"/>
          <w:shd w:val="clear" w:color="auto" w:fill="FFFFFF"/>
        </w:rPr>
        <w:t>þre</w:t>
      </w:r>
      <w:proofErr w:type="spellEnd"/>
      <w:r w:rsidRPr="006F7CB1">
        <w:rPr>
          <w:rFonts w:cstheme="minorHAnsi"/>
          <w:color w:val="333333"/>
          <w:shd w:val="clear" w:color="auto" w:fill="FFFFFF"/>
        </w:rPr>
        <w:t>), Dead 3: ‘For God’s love, beware by me’ (</w:t>
      </w:r>
      <w:r w:rsidRPr="006F7CB1">
        <w:rPr>
          <w:rFonts w:cstheme="minorHAnsi"/>
          <w:i/>
          <w:iCs/>
          <w:color w:val="333333"/>
          <w:shd w:val="clear" w:color="auto" w:fill="FFFFFF"/>
        </w:rPr>
        <w:t xml:space="preserve">For </w:t>
      </w:r>
      <w:proofErr w:type="spellStart"/>
      <w:r w:rsidRPr="006F7CB1">
        <w:rPr>
          <w:rFonts w:cstheme="minorHAnsi"/>
          <w:i/>
          <w:iCs/>
          <w:color w:val="333333"/>
          <w:shd w:val="clear" w:color="auto" w:fill="FFFFFF"/>
        </w:rPr>
        <w:t>godes</w:t>
      </w:r>
      <w:proofErr w:type="spellEnd"/>
      <w:r w:rsidRPr="006F7CB1">
        <w:rPr>
          <w:rFonts w:cstheme="minorHAnsi"/>
          <w:i/>
          <w:iCs/>
          <w:color w:val="333333"/>
          <w:shd w:val="clear" w:color="auto" w:fill="FFFFFF"/>
        </w:rPr>
        <w:t xml:space="preserve"> love </w:t>
      </w:r>
      <w:proofErr w:type="spellStart"/>
      <w:r w:rsidRPr="006F7CB1">
        <w:rPr>
          <w:rFonts w:cstheme="minorHAnsi"/>
          <w:i/>
          <w:iCs/>
          <w:color w:val="333333"/>
          <w:shd w:val="clear" w:color="auto" w:fill="FFFFFF"/>
        </w:rPr>
        <w:t>bewer</w:t>
      </w:r>
      <w:proofErr w:type="spellEnd"/>
      <w:r w:rsidRPr="006F7CB1">
        <w:rPr>
          <w:rFonts w:cstheme="minorHAnsi"/>
          <w:i/>
          <w:iCs/>
          <w:color w:val="333333"/>
          <w:shd w:val="clear" w:color="auto" w:fill="FFFFFF"/>
        </w:rPr>
        <w:t xml:space="preserve"> by me</w:t>
      </w:r>
      <w:r w:rsidRPr="006F7CB1">
        <w:rPr>
          <w:rFonts w:cstheme="minorHAnsi"/>
          <w:color w:val="333333"/>
          <w:shd w:val="clear" w:color="auto" w:fill="FFFFFF"/>
        </w:rPr>
        <w:t xml:space="preserve">). From this text we see that the Dead are not evil, but only trying to warn the Living of what is to come. The wealthy and powerful must leave their luxurious lives and turn to God. The dead in this case have no indicators of status, although the Living are well dressed. As in slide 1, a hawk and division between groups. This time there is some background: daisies for the Dead. This flower usually means purity, simplicity, patience – perhaps that last is the clue. Interestingly the </w:t>
      </w:r>
      <w:proofErr w:type="gramStart"/>
      <w:r w:rsidRPr="006F7CB1">
        <w:rPr>
          <w:rFonts w:cstheme="minorHAnsi"/>
          <w:color w:val="333333"/>
          <w:shd w:val="clear" w:color="auto" w:fill="FFFFFF"/>
        </w:rPr>
        <w:t>right hand</w:t>
      </w:r>
      <w:proofErr w:type="gramEnd"/>
      <w:r w:rsidRPr="006F7CB1">
        <w:rPr>
          <w:rFonts w:cstheme="minorHAnsi"/>
          <w:color w:val="333333"/>
          <w:shd w:val="clear" w:color="auto" w:fill="FFFFFF"/>
        </w:rPr>
        <w:t xml:space="preserve"> skeleton looks out at the reader, including them in the meaning of the picture.</w:t>
      </w:r>
    </w:p>
    <w:p w14:paraId="2A57A5B1" w14:textId="7F12C308" w:rsidR="00755300" w:rsidRPr="00A50428" w:rsidRDefault="00755300" w:rsidP="00A50428">
      <w:pPr>
        <w:tabs>
          <w:tab w:val="left" w:pos="3060"/>
        </w:tabs>
        <w:spacing w:line="360" w:lineRule="auto"/>
        <w:rPr>
          <w:rFonts w:cstheme="minorHAnsi"/>
          <w:noProof/>
        </w:rPr>
      </w:pPr>
      <w:r w:rsidRPr="006F7CB1">
        <w:lastRenderedPageBreak/>
        <w:t>Slide 3</w:t>
      </w:r>
      <w:r w:rsidRPr="006F7CB1">
        <w:tab/>
      </w:r>
      <w:r w:rsidRPr="006F7CB1">
        <w:rPr>
          <w:rFonts w:cstheme="minorHAnsi"/>
          <w:i/>
        </w:rPr>
        <w:t>Petites Heures du Duc de Berry</w:t>
      </w:r>
      <w:r w:rsidRPr="006F7CB1">
        <w:rPr>
          <w:rFonts w:cstheme="minorHAnsi"/>
        </w:rPr>
        <w:t>, 1375-1390</w:t>
      </w:r>
      <w:r w:rsidR="0096735C" w:rsidRPr="006F7CB1">
        <w:rPr>
          <w:rFonts w:cstheme="minorHAnsi"/>
        </w:rPr>
        <w:t xml:space="preserve">, </w:t>
      </w:r>
      <w:r w:rsidR="001A7F5E">
        <w:rPr>
          <w:rFonts w:cstheme="minorHAnsi"/>
        </w:rPr>
        <w:t xml:space="preserve">f. 282v. </w:t>
      </w:r>
      <w:r w:rsidRPr="006F7CB1">
        <w:rPr>
          <w:rFonts w:cstheme="minorHAnsi"/>
        </w:rPr>
        <w:t xml:space="preserve">France, held at the </w:t>
      </w:r>
      <w:proofErr w:type="spellStart"/>
      <w:r w:rsidRPr="006F7CB1">
        <w:rPr>
          <w:rFonts w:cstheme="minorHAnsi"/>
          <w:i/>
        </w:rPr>
        <w:t>Bibliotheque</w:t>
      </w:r>
      <w:proofErr w:type="spellEnd"/>
      <w:r w:rsidRPr="006F7CB1">
        <w:rPr>
          <w:rFonts w:cstheme="minorHAnsi"/>
          <w:i/>
        </w:rPr>
        <w:t xml:space="preserve"> </w:t>
      </w:r>
      <w:proofErr w:type="spellStart"/>
      <w:r w:rsidRPr="006F7CB1">
        <w:rPr>
          <w:rFonts w:cstheme="minorHAnsi"/>
          <w:i/>
        </w:rPr>
        <w:t>nationale</w:t>
      </w:r>
      <w:proofErr w:type="spellEnd"/>
      <w:r w:rsidRPr="006F7CB1">
        <w:rPr>
          <w:rFonts w:cstheme="minorHAnsi"/>
          <w:i/>
        </w:rPr>
        <w:t xml:space="preserve"> de France</w:t>
      </w:r>
    </w:p>
    <w:p w14:paraId="7F7C3543" w14:textId="72C76A0C" w:rsidR="00755300" w:rsidRPr="006F7CB1" w:rsidRDefault="00755300" w:rsidP="006F7CB1">
      <w:pPr>
        <w:spacing w:line="360" w:lineRule="auto"/>
        <w:jc w:val="center"/>
        <w:rPr>
          <w:rFonts w:cstheme="minorHAnsi"/>
          <w:i/>
        </w:rPr>
      </w:pPr>
      <w:r w:rsidRPr="006F7CB1">
        <w:rPr>
          <w:noProof/>
        </w:rPr>
        <w:drawing>
          <wp:inline distT="0" distB="0" distL="0" distR="0" wp14:anchorId="1E8A92EB" wp14:editId="045B4F4B">
            <wp:extent cx="4430999" cy="4073236"/>
            <wp:effectExtent l="0" t="0" r="8255" b="3810"/>
            <wp:docPr id="20" name="Picture 20" descr="https://upload.wikimedia.org/wikipedia/commons/5/50/Petites_heures_du_duc_Jean_de_Berry_fol_282r_%28d%C3%A9tail%29.jpg"/>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5/50/Petites_heures_du_duc_Jean_de_Berry_fol_282r_%28d%C3%A9tail%29.jpg"/>
                    <pic:cNvPicPr>
                      <a:picLocks noGrp="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54249" cy="4094609"/>
                    </a:xfrm>
                    <a:prstGeom prst="rect">
                      <a:avLst/>
                    </a:prstGeom>
                    <a:noFill/>
                    <a:ln>
                      <a:noFill/>
                    </a:ln>
                  </pic:spPr>
                </pic:pic>
              </a:graphicData>
            </a:graphic>
          </wp:inline>
        </w:drawing>
      </w:r>
      <w:r w:rsidR="006F7CB1">
        <w:rPr>
          <w:rStyle w:val="FootnoteReference"/>
          <w:rFonts w:cstheme="minorHAnsi"/>
          <w:i/>
        </w:rPr>
        <w:footnoteReference w:id="3"/>
      </w:r>
    </w:p>
    <w:p w14:paraId="5B1453DC" w14:textId="27C23640" w:rsidR="00755300" w:rsidRPr="006F7CB1" w:rsidRDefault="00755300" w:rsidP="006F7CB1">
      <w:pPr>
        <w:spacing w:line="360" w:lineRule="auto"/>
      </w:pPr>
      <w:r w:rsidRPr="006F7CB1">
        <w:t>The Dead here are unclothed, but with ‘real’ faces. The Living are richly dressed and, again, hunting (seen as a pastime of the nobility). They meet in a graveyard and the Living show emotion.</w:t>
      </w:r>
      <w:r w:rsidR="00AD1A03" w:rsidRPr="006F7CB1">
        <w:t xml:space="preserve"> This it typical of the works commissioned by Jean, Duc de Berry: beautifully executed.</w:t>
      </w:r>
    </w:p>
    <w:p w14:paraId="38CC259E" w14:textId="6F2927AB" w:rsidR="00755300" w:rsidRPr="006F7CB1" w:rsidRDefault="00755300" w:rsidP="006F7CB1">
      <w:pPr>
        <w:spacing w:line="360" w:lineRule="auto"/>
        <w:rPr>
          <w:rFonts w:eastAsiaTheme="majorEastAsia" w:cstheme="minorHAnsi"/>
          <w:color w:val="000000" w:themeColor="text1"/>
          <w:kern w:val="24"/>
        </w:rPr>
      </w:pPr>
      <w:r w:rsidRPr="006F7CB1">
        <w:lastRenderedPageBreak/>
        <w:t>Slide 4</w:t>
      </w:r>
      <w:r w:rsidRPr="006F7CB1">
        <w:tab/>
      </w:r>
      <w:r w:rsidRPr="006F7CB1">
        <w:rPr>
          <w:rFonts w:eastAsiaTheme="majorEastAsia" w:cstheme="minorHAnsi"/>
          <w:color w:val="000000" w:themeColor="text1"/>
          <w:kern w:val="24"/>
        </w:rPr>
        <w:t xml:space="preserve">Sacro </w:t>
      </w:r>
      <w:proofErr w:type="spellStart"/>
      <w:r w:rsidRPr="006F7CB1">
        <w:rPr>
          <w:rFonts w:eastAsiaTheme="majorEastAsia" w:cstheme="minorHAnsi"/>
          <w:color w:val="000000" w:themeColor="text1"/>
          <w:kern w:val="24"/>
        </w:rPr>
        <w:t>Speco</w:t>
      </w:r>
      <w:proofErr w:type="spellEnd"/>
      <w:r w:rsidRPr="006F7CB1">
        <w:rPr>
          <w:rFonts w:eastAsiaTheme="majorEastAsia" w:cstheme="minorHAnsi"/>
          <w:color w:val="000000" w:themeColor="text1"/>
          <w:kern w:val="24"/>
        </w:rPr>
        <w:t>, Scala Santa</w:t>
      </w:r>
      <w:r w:rsidR="00EF69DA" w:rsidRPr="006F7CB1">
        <w:rPr>
          <w:rFonts w:eastAsiaTheme="majorEastAsia" w:cstheme="minorHAnsi"/>
          <w:color w:val="000000" w:themeColor="text1"/>
          <w:kern w:val="24"/>
        </w:rPr>
        <w:t>, Subiaco</w:t>
      </w:r>
      <w:r w:rsidRPr="006F7CB1">
        <w:rPr>
          <w:rFonts w:eastAsiaTheme="majorEastAsia" w:cstheme="minorHAnsi"/>
          <w:color w:val="000000" w:themeColor="text1"/>
          <w:kern w:val="24"/>
        </w:rPr>
        <w:t>,</w:t>
      </w:r>
      <w:r w:rsidR="008E2CA9" w:rsidRPr="006F7CB1">
        <w:rPr>
          <w:rFonts w:eastAsiaTheme="majorEastAsia" w:cstheme="minorHAnsi"/>
          <w:color w:val="000000" w:themeColor="text1"/>
          <w:kern w:val="24"/>
        </w:rPr>
        <w:t xml:space="preserve"> Italy.</w:t>
      </w:r>
      <w:r w:rsidRPr="006F7CB1">
        <w:rPr>
          <w:rFonts w:eastAsiaTheme="majorEastAsia" w:cstheme="minorHAnsi"/>
          <w:color w:val="000000" w:themeColor="text1"/>
          <w:kern w:val="24"/>
        </w:rPr>
        <w:t xml:space="preserve"> 14th century wall painting</w:t>
      </w:r>
    </w:p>
    <w:p w14:paraId="0ACBE79B" w14:textId="03D14A4A" w:rsidR="00755300" w:rsidRPr="006F7CB1" w:rsidRDefault="00755300" w:rsidP="006F7CB1">
      <w:pPr>
        <w:spacing w:line="360" w:lineRule="auto"/>
        <w:jc w:val="center"/>
        <w:rPr>
          <w:rFonts w:eastAsiaTheme="majorEastAsia" w:cstheme="minorHAnsi"/>
          <w:color w:val="000000" w:themeColor="text1"/>
          <w:kern w:val="24"/>
        </w:rPr>
      </w:pPr>
      <w:r w:rsidRPr="006F7CB1">
        <w:rPr>
          <w:noProof/>
        </w:rPr>
        <w:drawing>
          <wp:inline distT="0" distB="0" distL="0" distR="0" wp14:anchorId="453309E7" wp14:editId="48D9FBBC">
            <wp:extent cx="4369481" cy="2903060"/>
            <wp:effectExtent l="0" t="0" r="0" b="0"/>
            <wp:docPr id="18" name="Picture 18" descr="Subiaco, Sacro Speco, Scala Santa, The Three Living and the Three Dea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4" descr="Subiaco, Sacro Speco, Scala Santa, The Three Living and the Three Dead"/>
                    <pic:cNvPicPr>
                      <a:picLocks noGrp="1"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83677" cy="2912492"/>
                    </a:xfrm>
                    <a:prstGeom prst="rect">
                      <a:avLst/>
                    </a:prstGeom>
                    <a:noFill/>
                    <a:ln>
                      <a:noFill/>
                    </a:ln>
                  </pic:spPr>
                </pic:pic>
              </a:graphicData>
            </a:graphic>
          </wp:inline>
        </w:drawing>
      </w:r>
      <w:r w:rsidR="006F7CB1">
        <w:rPr>
          <w:rStyle w:val="FootnoteReference"/>
          <w:rFonts w:eastAsiaTheme="majorEastAsia" w:cstheme="minorHAnsi"/>
          <w:color w:val="000000" w:themeColor="text1"/>
          <w:kern w:val="24"/>
        </w:rPr>
        <w:footnoteReference w:id="4"/>
      </w:r>
    </w:p>
    <w:p w14:paraId="4B80EA8B" w14:textId="3B7AF9D2" w:rsidR="00755300" w:rsidRPr="006F7CB1" w:rsidRDefault="00755300" w:rsidP="006F7CB1">
      <w:pPr>
        <w:spacing w:line="360" w:lineRule="auto"/>
      </w:pPr>
      <w:r w:rsidRPr="006F7CB1">
        <w:t xml:space="preserve">A ‘real’ landscape. This time the Dead really are dead: not animated skeletons, but men in coffins. A Hermit has appeared: he seems to be explaining to the Living. He is a mediator, not only between the two groups </w:t>
      </w:r>
      <w:r w:rsidR="00DF0907" w:rsidRPr="006F7CB1">
        <w:t>in</w:t>
      </w:r>
      <w:r w:rsidRPr="006F7CB1">
        <w:t xml:space="preserve"> the painting, but between the viewer and the painting. The Dead are in varying stages of decomposition but the two still clothed wear high status clothes</w:t>
      </w:r>
      <w:r w:rsidR="00DF0907" w:rsidRPr="006F7CB1">
        <w:t xml:space="preserve"> and carry hawks</w:t>
      </w:r>
      <w:r w:rsidRPr="006F7CB1">
        <w:t>.</w:t>
      </w:r>
      <w:r w:rsidR="00EF69DA" w:rsidRPr="006F7CB1">
        <w:t xml:space="preserve"> A variation on the original theme, the meaning remains the same.</w:t>
      </w:r>
      <w:r w:rsidR="00A50428">
        <w:t xml:space="preserve"> This painting, although on a wall, is in a monastery and therefore less public than that shown from </w:t>
      </w:r>
      <w:proofErr w:type="spellStart"/>
      <w:r w:rsidR="00A50428">
        <w:t>Wickhampton</w:t>
      </w:r>
      <w:proofErr w:type="spellEnd"/>
      <w:r w:rsidR="00A50428">
        <w:t>, which perhaps account for the higher quality of the work.</w:t>
      </w:r>
    </w:p>
    <w:p w14:paraId="2BB2AA0B" w14:textId="77777777" w:rsidR="00755300" w:rsidRPr="006F7CB1" w:rsidRDefault="00755300" w:rsidP="006F7CB1">
      <w:pPr>
        <w:spacing w:line="360" w:lineRule="auto"/>
      </w:pPr>
    </w:p>
    <w:p w14:paraId="00322FC8" w14:textId="77777777" w:rsidR="00755300" w:rsidRPr="006F7CB1" w:rsidRDefault="00755300" w:rsidP="006F7CB1">
      <w:pPr>
        <w:spacing w:line="360" w:lineRule="auto"/>
      </w:pPr>
      <w:r w:rsidRPr="006F7CB1">
        <w:lastRenderedPageBreak/>
        <w:t>Slide 5</w:t>
      </w:r>
      <w:r w:rsidRPr="006F7CB1">
        <w:tab/>
        <w:t xml:space="preserve">St Andrew’s church, </w:t>
      </w:r>
      <w:proofErr w:type="spellStart"/>
      <w:r w:rsidRPr="006F7CB1">
        <w:t>Wickhampton</w:t>
      </w:r>
      <w:proofErr w:type="spellEnd"/>
      <w:r w:rsidRPr="006F7CB1">
        <w:t>, Norfolk. 14</w:t>
      </w:r>
      <w:r w:rsidRPr="006F7CB1">
        <w:rPr>
          <w:vertAlign w:val="superscript"/>
        </w:rPr>
        <w:t>th</w:t>
      </w:r>
      <w:r w:rsidRPr="006F7CB1">
        <w:t xml:space="preserve"> century</w:t>
      </w:r>
    </w:p>
    <w:p w14:paraId="205FBF95" w14:textId="4B138C08" w:rsidR="00755300" w:rsidRPr="006F7CB1" w:rsidRDefault="00755300" w:rsidP="006F7CB1">
      <w:pPr>
        <w:spacing w:line="360" w:lineRule="auto"/>
        <w:jc w:val="center"/>
      </w:pPr>
      <w:r w:rsidRPr="006F7CB1">
        <w:rPr>
          <w:noProof/>
        </w:rPr>
        <w:drawing>
          <wp:inline distT="0" distB="0" distL="0" distR="0" wp14:anchorId="520FB62A" wp14:editId="13C61CE1">
            <wp:extent cx="6841558" cy="2685650"/>
            <wp:effectExtent l="0" t="0" r="0" b="635"/>
            <wp:docPr id="17" name="Picture 17" descr="three living and three d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ree living and three dead"/>
                    <pic:cNvPicPr>
                      <a:picLocks noChangeAspect="1" noChangeArrowheads="1"/>
                    </pic:cNvPicPr>
                  </pic:nvPicPr>
                  <pic:blipFill>
                    <a:blip r:embed="rId12">
                      <a:extLst>
                        <a:ext uri="{28A0092B-C50C-407E-A947-70E740481C1C}">
                          <a14:useLocalDpi xmlns:a14="http://schemas.microsoft.com/office/drawing/2010/main" val="0"/>
                        </a:ext>
                      </a:extLst>
                    </a:blip>
                    <a:srcRect t="18475" b="29176"/>
                    <a:stretch>
                      <a:fillRect/>
                    </a:stretch>
                  </pic:blipFill>
                  <pic:spPr bwMode="auto">
                    <a:xfrm>
                      <a:off x="0" y="0"/>
                      <a:ext cx="6853173" cy="2690209"/>
                    </a:xfrm>
                    <a:prstGeom prst="rect">
                      <a:avLst/>
                    </a:prstGeom>
                    <a:noFill/>
                    <a:ln>
                      <a:noFill/>
                    </a:ln>
                  </pic:spPr>
                </pic:pic>
              </a:graphicData>
            </a:graphic>
          </wp:inline>
        </w:drawing>
      </w:r>
      <w:r w:rsidR="006F7CB1">
        <w:rPr>
          <w:rStyle w:val="FootnoteReference"/>
        </w:rPr>
        <w:footnoteReference w:id="5"/>
      </w:r>
    </w:p>
    <w:p w14:paraId="14458C40" w14:textId="77777777" w:rsidR="00755300" w:rsidRPr="006F7CB1" w:rsidRDefault="00755300" w:rsidP="006F7CB1">
      <w:pPr>
        <w:spacing w:line="360" w:lineRule="auto"/>
      </w:pPr>
      <w:r w:rsidRPr="006F7CB1">
        <w:t>Three Living and Three Dead uncovered in the 19</w:t>
      </w:r>
      <w:r w:rsidRPr="006F7CB1">
        <w:rPr>
          <w:vertAlign w:val="superscript"/>
        </w:rPr>
        <w:t>th</w:t>
      </w:r>
      <w:r w:rsidRPr="006F7CB1">
        <w:t xml:space="preserve"> Century. As with many wall paintings, poorly preserved: the paint is very delicate and, with exposure to light and air, prone to decay. Books do not suffer in this was as light and air are excluded. The standard of execution is primitive, but these images are on display for all to see and must have had as much impact on congregations as those in books had on their readers. It is interesting to note that the Living are always nobles, even in this case. Here thought there is a tree separating the two groups.</w:t>
      </w:r>
    </w:p>
    <w:p w14:paraId="4B22424D" w14:textId="324E91E5" w:rsidR="00755300" w:rsidRDefault="00755300" w:rsidP="006F7CB1">
      <w:pPr>
        <w:spacing w:line="360" w:lineRule="auto"/>
      </w:pPr>
    </w:p>
    <w:p w14:paraId="0B3FD3D7" w14:textId="77777777" w:rsidR="00897781" w:rsidRPr="006F7CB1" w:rsidRDefault="00897781" w:rsidP="006F7CB1">
      <w:pPr>
        <w:spacing w:line="360" w:lineRule="auto"/>
      </w:pPr>
    </w:p>
    <w:p w14:paraId="7C564FA6" w14:textId="31549235" w:rsidR="00755300" w:rsidRPr="006F7CB1" w:rsidRDefault="00755300" w:rsidP="006F7CB1">
      <w:pPr>
        <w:spacing w:line="360" w:lineRule="auto"/>
        <w:rPr>
          <w:rFonts w:cstheme="minorHAnsi"/>
        </w:rPr>
      </w:pPr>
      <w:r w:rsidRPr="006F7CB1">
        <w:lastRenderedPageBreak/>
        <w:t>Slide 6</w:t>
      </w:r>
      <w:r w:rsidRPr="006F7CB1">
        <w:tab/>
      </w:r>
      <w:r w:rsidRPr="006F7CB1">
        <w:rPr>
          <w:rFonts w:cstheme="minorHAnsi"/>
        </w:rPr>
        <w:t xml:space="preserve">France c. 1480-90 </w:t>
      </w:r>
      <w:bookmarkStart w:id="0" w:name="_Hlk512952583"/>
      <w:r w:rsidRPr="006F7CB1">
        <w:rPr>
          <w:rFonts w:cstheme="minorHAnsi"/>
        </w:rPr>
        <w:t>Harley MS 2917</w:t>
      </w:r>
      <w:bookmarkEnd w:id="0"/>
      <w:r w:rsidR="00C511AE">
        <w:rPr>
          <w:rFonts w:cstheme="minorHAnsi"/>
        </w:rPr>
        <w:t xml:space="preserve"> f. 119.</w:t>
      </w:r>
      <w:r w:rsidR="009B1613" w:rsidRPr="006F7CB1">
        <w:rPr>
          <w:rFonts w:cstheme="minorHAnsi"/>
        </w:rPr>
        <w:t xml:space="preserve"> Held at the British Library</w:t>
      </w:r>
    </w:p>
    <w:p w14:paraId="163A7EAE" w14:textId="5B317CF4" w:rsidR="00755300" w:rsidRPr="006F7CB1" w:rsidRDefault="00755300" w:rsidP="006F7CB1">
      <w:pPr>
        <w:spacing w:line="360" w:lineRule="auto"/>
        <w:rPr>
          <w:rFonts w:cstheme="minorHAnsi"/>
        </w:rPr>
      </w:pPr>
      <w:r w:rsidRPr="006F7CB1">
        <w:rPr>
          <w:noProof/>
        </w:rPr>
        <w:drawing>
          <wp:inline distT="0" distB="0" distL="0" distR="0" wp14:anchorId="3FCC3B88" wp14:editId="326FD892">
            <wp:extent cx="2428576" cy="3472162"/>
            <wp:effectExtent l="0" t="0" r="0" b="0"/>
            <wp:docPr id="16" name="Picture 16" descr="Three Living and Three Dea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6" descr="Three Living and Three Dead"/>
                    <pic:cNvPicPr>
                      <a:picLocks noGrp="1" noChangeAspect="1" noChangeArrowheads="1"/>
                    </pic:cNvPicPr>
                  </pic:nvPicPr>
                  <pic:blipFill>
                    <a:blip r:embed="rId13" cstate="print">
                      <a:extLst>
                        <a:ext uri="{28A0092B-C50C-407E-A947-70E740481C1C}">
                          <a14:useLocalDpi xmlns:a14="http://schemas.microsoft.com/office/drawing/2010/main" val="0"/>
                        </a:ext>
                      </a:extLst>
                    </a:blip>
                    <a:srcRect l="5832" t="2684" r="10509" b="15273"/>
                    <a:stretch>
                      <a:fillRect/>
                    </a:stretch>
                  </pic:blipFill>
                  <pic:spPr bwMode="auto">
                    <a:xfrm>
                      <a:off x="0" y="0"/>
                      <a:ext cx="2434703" cy="3480922"/>
                    </a:xfrm>
                    <a:prstGeom prst="rect">
                      <a:avLst/>
                    </a:prstGeom>
                    <a:noFill/>
                    <a:ln>
                      <a:noFill/>
                    </a:ln>
                  </pic:spPr>
                </pic:pic>
              </a:graphicData>
            </a:graphic>
          </wp:inline>
        </w:drawing>
      </w:r>
      <w:r w:rsidR="006F7CB1">
        <w:rPr>
          <w:rStyle w:val="FootnoteReference"/>
          <w:rFonts w:cstheme="minorHAnsi"/>
        </w:rPr>
        <w:footnoteReference w:id="6"/>
      </w:r>
    </w:p>
    <w:p w14:paraId="5D1A97ED" w14:textId="197B0FC5" w:rsidR="00755300" w:rsidRPr="006F7CB1" w:rsidRDefault="00755300" w:rsidP="006F7CB1">
      <w:pPr>
        <w:spacing w:line="360" w:lineRule="auto"/>
      </w:pPr>
      <w:r w:rsidRPr="006F7CB1">
        <w:t>A king, an emperor and a pope face their dead counterparts. The characters are not to be identified with ‘real’ people but act as ciphers for the powerful of all kinds. The Living lean back in horror. The landscape is possibly the exterior of a church.</w:t>
      </w:r>
      <w:r w:rsidR="003B046B" w:rsidRPr="006F7CB1">
        <w:t xml:space="preserve"> These paintings </w:t>
      </w:r>
      <w:r w:rsidR="00171B7C" w:rsidRPr="006F7CB1">
        <w:t>frequently</w:t>
      </w:r>
      <w:r w:rsidR="003B046B" w:rsidRPr="006F7CB1">
        <w:t xml:space="preserve"> preface the Office of the dead in Books of </w:t>
      </w:r>
      <w:r w:rsidR="00ED0305" w:rsidRPr="006F7CB1">
        <w:t>Hours but</w:t>
      </w:r>
      <w:r w:rsidR="003B046B" w:rsidRPr="006F7CB1">
        <w:t xml:space="preserve"> are also found in other books</w:t>
      </w:r>
      <w:r w:rsidR="00171B7C" w:rsidRPr="006F7CB1">
        <w:t xml:space="preserve"> and appear only from the thirteenth century onwards, their heyday being the fourteenth and fifteenth centuries.</w:t>
      </w:r>
    </w:p>
    <w:p w14:paraId="60433A35" w14:textId="77777777" w:rsidR="00755300" w:rsidRPr="006F7CB1" w:rsidRDefault="00755300" w:rsidP="006F7CB1">
      <w:pPr>
        <w:spacing w:line="360" w:lineRule="auto"/>
      </w:pPr>
    </w:p>
    <w:p w14:paraId="0E1CFEAA" w14:textId="77777777" w:rsidR="00755300" w:rsidRPr="006F7CB1" w:rsidRDefault="00755300" w:rsidP="006F7CB1">
      <w:pPr>
        <w:spacing w:line="360" w:lineRule="auto"/>
      </w:pPr>
      <w:r w:rsidRPr="006F7CB1">
        <w:t>Slide 7</w:t>
      </w:r>
      <w:r w:rsidRPr="006F7CB1">
        <w:tab/>
        <w:t xml:space="preserve">Held at the Staatliche </w:t>
      </w:r>
      <w:proofErr w:type="spellStart"/>
      <w:r w:rsidRPr="006F7CB1">
        <w:t>Museen</w:t>
      </w:r>
      <w:proofErr w:type="spellEnd"/>
      <w:r w:rsidRPr="006F7CB1">
        <w:t>, Berlin. Woodcut, 15</w:t>
      </w:r>
      <w:r w:rsidRPr="006F7CB1">
        <w:rPr>
          <w:vertAlign w:val="superscript"/>
        </w:rPr>
        <w:t>th</w:t>
      </w:r>
      <w:r w:rsidRPr="006F7CB1">
        <w:t xml:space="preserve"> century.</w:t>
      </w:r>
    </w:p>
    <w:p w14:paraId="09627975" w14:textId="38B831EC" w:rsidR="00755300" w:rsidRPr="006F7CB1" w:rsidRDefault="00755300" w:rsidP="006F7CB1">
      <w:pPr>
        <w:spacing w:line="360" w:lineRule="auto"/>
        <w:jc w:val="center"/>
      </w:pPr>
      <w:r w:rsidRPr="006F7CB1">
        <w:rPr>
          <w:noProof/>
        </w:rPr>
        <w:drawing>
          <wp:inline distT="0" distB="0" distL="0" distR="0" wp14:anchorId="191494D2" wp14:editId="6BA3C8EB">
            <wp:extent cx="4127257" cy="2724017"/>
            <wp:effectExtent l="0" t="0" r="6985" b="635"/>
            <wp:docPr id="15" name="Picture 15" descr="Image result for three living and three dead church"/>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three living and three dead church"/>
                    <pic:cNvPicPr>
                      <a:picLocks noGrp="1" noChangeAspect="1" noChangeArrowheads="1"/>
                    </pic:cNvPicPr>
                  </pic:nvPicPr>
                  <pic:blipFill>
                    <a:blip r:embed="rId14" cstate="print">
                      <a:extLst>
                        <a:ext uri="{28A0092B-C50C-407E-A947-70E740481C1C}">
                          <a14:useLocalDpi xmlns:a14="http://schemas.microsoft.com/office/drawing/2010/main" val="0"/>
                        </a:ext>
                      </a:extLst>
                    </a:blip>
                    <a:srcRect l="2126" t="4205" r="2353" b="11050"/>
                    <a:stretch>
                      <a:fillRect/>
                    </a:stretch>
                  </pic:blipFill>
                  <pic:spPr bwMode="auto">
                    <a:xfrm>
                      <a:off x="0" y="0"/>
                      <a:ext cx="4137065" cy="2730490"/>
                    </a:xfrm>
                    <a:prstGeom prst="rect">
                      <a:avLst/>
                    </a:prstGeom>
                    <a:noFill/>
                    <a:ln>
                      <a:noFill/>
                    </a:ln>
                  </pic:spPr>
                </pic:pic>
              </a:graphicData>
            </a:graphic>
          </wp:inline>
        </w:drawing>
      </w:r>
      <w:r w:rsidR="006F7CB1">
        <w:rPr>
          <w:rStyle w:val="FootnoteReference"/>
        </w:rPr>
        <w:footnoteReference w:id="7"/>
      </w:r>
    </w:p>
    <w:p w14:paraId="21DA2BBD" w14:textId="055FCF9E" w:rsidR="00755300" w:rsidRDefault="00755300" w:rsidP="006F7CB1">
      <w:pPr>
        <w:spacing w:line="360" w:lineRule="auto"/>
      </w:pPr>
      <w:r w:rsidRPr="006F7CB1">
        <w:t>A woodcut from Germany. The artistic quality is less polished than the paintings in the manuscripts, but still bears the original meaning. The young men are still well dressed, still worried by the skeletons. The great benefit of the printed book is its comparative cheapness. This could bring moral texts into many more homes.</w:t>
      </w:r>
    </w:p>
    <w:p w14:paraId="47AC97C5" w14:textId="43474352" w:rsidR="00ED0305" w:rsidRDefault="00ED0305" w:rsidP="006F7CB1">
      <w:pPr>
        <w:spacing w:line="360" w:lineRule="auto"/>
      </w:pPr>
    </w:p>
    <w:p w14:paraId="1FEE8A11" w14:textId="77777777" w:rsidR="00ED0305" w:rsidRPr="006F7CB1" w:rsidRDefault="00ED0305" w:rsidP="006F7CB1">
      <w:pPr>
        <w:spacing w:line="360" w:lineRule="auto"/>
      </w:pPr>
    </w:p>
    <w:p w14:paraId="49CCA7E8" w14:textId="2234C617" w:rsidR="00755300" w:rsidRPr="006F7CB1" w:rsidRDefault="00755300" w:rsidP="006F7CB1">
      <w:pPr>
        <w:spacing w:line="360" w:lineRule="auto"/>
        <w:rPr>
          <w:rFonts w:cstheme="minorHAnsi"/>
        </w:rPr>
      </w:pPr>
      <w:r w:rsidRPr="006F7CB1">
        <w:lastRenderedPageBreak/>
        <w:t>Slide 8</w:t>
      </w:r>
      <w:r w:rsidRPr="006F7CB1">
        <w:tab/>
      </w:r>
      <w:r w:rsidRPr="006F7CB1">
        <w:rPr>
          <w:rFonts w:cstheme="minorHAnsi"/>
        </w:rPr>
        <w:t>The Hours of Joanna I of Castile (the Mad), 1500, S Netherlands, held at the British Library</w:t>
      </w:r>
    </w:p>
    <w:p w14:paraId="4B525C9A" w14:textId="52FA6B48" w:rsidR="00755300" w:rsidRPr="006F7CB1" w:rsidRDefault="00755300" w:rsidP="006F7CB1">
      <w:pPr>
        <w:spacing w:line="360" w:lineRule="auto"/>
        <w:jc w:val="center"/>
        <w:rPr>
          <w:rFonts w:cstheme="minorHAnsi"/>
        </w:rPr>
      </w:pPr>
      <w:bookmarkStart w:id="1" w:name="_GoBack"/>
      <w:bookmarkEnd w:id="1"/>
      <w:r w:rsidRPr="006F7CB1">
        <w:rPr>
          <w:noProof/>
        </w:rPr>
        <w:drawing>
          <wp:inline distT="0" distB="0" distL="0" distR="0" wp14:anchorId="459DE98C" wp14:editId="6A0EDE10">
            <wp:extent cx="3030948" cy="3568078"/>
            <wp:effectExtent l="0" t="0" r="0" b="0"/>
            <wp:docPr id="14" name="Picture 14" descr="Image result for Duc de Berry three living three dead"/>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0" name="Content Placeholder 3" descr="Image result for Duc de Berry three living three dead"/>
                    <pic:cNvPicPr>
                      <a:picLocks noGrp="1" noChangeArrowheads="1"/>
                    </pic:cNvPicPr>
                  </pic:nvPicPr>
                  <pic:blipFill>
                    <a:blip r:embed="rId15" cstate="print">
                      <a:extLst>
                        <a:ext uri="{28A0092B-C50C-407E-A947-70E740481C1C}">
                          <a14:useLocalDpi xmlns:a14="http://schemas.microsoft.com/office/drawing/2010/main" val="0"/>
                        </a:ext>
                      </a:extLst>
                    </a:blip>
                    <a:srcRect l="50" t="438" r="-50" b="703"/>
                    <a:stretch>
                      <a:fillRect/>
                    </a:stretch>
                  </pic:blipFill>
                  <pic:spPr bwMode="auto">
                    <a:xfrm>
                      <a:off x="0" y="0"/>
                      <a:ext cx="3035584" cy="3573536"/>
                    </a:xfrm>
                    <a:prstGeom prst="rect">
                      <a:avLst/>
                    </a:prstGeom>
                    <a:noFill/>
                    <a:ln>
                      <a:noFill/>
                    </a:ln>
                  </pic:spPr>
                </pic:pic>
              </a:graphicData>
            </a:graphic>
          </wp:inline>
        </w:drawing>
      </w:r>
      <w:r w:rsidR="006F7CB1">
        <w:rPr>
          <w:rStyle w:val="FootnoteReference"/>
          <w:rFonts w:cstheme="minorHAnsi"/>
        </w:rPr>
        <w:footnoteReference w:id="8"/>
      </w:r>
    </w:p>
    <w:p w14:paraId="31B75A4F" w14:textId="77777777" w:rsidR="00755300" w:rsidRPr="006F7CB1" w:rsidRDefault="00755300" w:rsidP="006F7CB1">
      <w:pPr>
        <w:spacing w:line="360" w:lineRule="auto"/>
      </w:pPr>
      <w:r w:rsidRPr="006F7CB1">
        <w:t>A woman is centre stage here, as befits the owner of the manuscript. For the first time we see the Living on horseback, increasing their status. They ride fast to escape the menacing, aggressive Dead. A full landscape with a cross, perhaps indicating a graveyard again.</w:t>
      </w:r>
    </w:p>
    <w:p w14:paraId="621064C9" w14:textId="77777777" w:rsidR="00755300" w:rsidRPr="006F7CB1" w:rsidRDefault="00755300" w:rsidP="006F7CB1">
      <w:pPr>
        <w:spacing w:line="360" w:lineRule="auto"/>
      </w:pPr>
    </w:p>
    <w:p w14:paraId="29F755ED" w14:textId="77777777" w:rsidR="00755300" w:rsidRPr="006F7CB1" w:rsidRDefault="00755300" w:rsidP="006F7CB1">
      <w:pPr>
        <w:spacing w:line="360" w:lineRule="auto"/>
      </w:pPr>
      <w:r w:rsidRPr="006F7CB1">
        <w:lastRenderedPageBreak/>
        <w:t>Slide 9</w:t>
      </w:r>
      <w:r w:rsidRPr="006F7CB1">
        <w:tab/>
      </w:r>
      <w:proofErr w:type="spellStart"/>
      <w:r w:rsidRPr="006F7CB1">
        <w:t>Norre</w:t>
      </w:r>
      <w:proofErr w:type="spellEnd"/>
      <w:r w:rsidRPr="006F7CB1">
        <w:t xml:space="preserve"> </w:t>
      </w:r>
      <w:proofErr w:type="spellStart"/>
      <w:r w:rsidRPr="006F7CB1">
        <w:t>Alslev</w:t>
      </w:r>
      <w:proofErr w:type="spellEnd"/>
      <w:r w:rsidRPr="006F7CB1">
        <w:t xml:space="preserve"> church, Denmark c. 1480.</w:t>
      </w:r>
    </w:p>
    <w:p w14:paraId="10A835F3" w14:textId="14FE5DE7" w:rsidR="00755300" w:rsidRPr="006F7CB1" w:rsidRDefault="00755300" w:rsidP="006F7CB1">
      <w:pPr>
        <w:spacing w:line="360" w:lineRule="auto"/>
        <w:jc w:val="center"/>
      </w:pPr>
      <w:r w:rsidRPr="006F7CB1">
        <w:rPr>
          <w:noProof/>
        </w:rPr>
        <w:drawing>
          <wp:inline distT="0" distB="0" distL="0" distR="0" wp14:anchorId="56156E9C" wp14:editId="3978B95A">
            <wp:extent cx="5258403" cy="3267541"/>
            <wp:effectExtent l="0" t="0" r="0" b="9525"/>
            <wp:docPr id="13" name="Picture 13" descr="Dance of death, NÃ¸rre Alslev church, Falster, Denmark, around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ance of death, NÃ¸rre Alslev church, Falster, Denmark, around 1480"/>
                    <pic:cNvPicPr>
                      <a:picLocks noChangeAspect="1" noChangeArrowheads="1"/>
                    </pic:cNvPicPr>
                  </pic:nvPicPr>
                  <pic:blipFill>
                    <a:blip r:embed="rId16">
                      <a:extLst>
                        <a:ext uri="{28A0092B-C50C-407E-A947-70E740481C1C}">
                          <a14:useLocalDpi xmlns:a14="http://schemas.microsoft.com/office/drawing/2010/main" val="0"/>
                        </a:ext>
                      </a:extLst>
                    </a:blip>
                    <a:srcRect t="9792"/>
                    <a:stretch>
                      <a:fillRect/>
                    </a:stretch>
                  </pic:blipFill>
                  <pic:spPr bwMode="auto">
                    <a:xfrm>
                      <a:off x="0" y="0"/>
                      <a:ext cx="5273233" cy="3276756"/>
                    </a:xfrm>
                    <a:prstGeom prst="rect">
                      <a:avLst/>
                    </a:prstGeom>
                    <a:noFill/>
                    <a:ln>
                      <a:noFill/>
                    </a:ln>
                  </pic:spPr>
                </pic:pic>
              </a:graphicData>
            </a:graphic>
          </wp:inline>
        </w:drawing>
      </w:r>
      <w:r w:rsidR="006F7CB1">
        <w:rPr>
          <w:rStyle w:val="FootnoteReference"/>
        </w:rPr>
        <w:footnoteReference w:id="9"/>
      </w:r>
    </w:p>
    <w:p w14:paraId="202A5E61" w14:textId="6153787A" w:rsidR="00755300" w:rsidRPr="006F7CB1" w:rsidRDefault="00755300" w:rsidP="006F7CB1">
      <w:pPr>
        <w:spacing w:line="360" w:lineRule="auto"/>
      </w:pPr>
      <w:r w:rsidRPr="006F7CB1">
        <w:t xml:space="preserve">This is an image that came out of the taste for macabre art: not the Three Living, but this time the Dance of Death. Less exclusively high-status, each of the Living represents a trade or </w:t>
      </w:r>
      <w:r w:rsidR="00F52201" w:rsidRPr="006F7CB1">
        <w:t xml:space="preserve">calling: king, pope, bishop, knight, physician, logician, young man, old man and the fool. </w:t>
      </w:r>
      <w:r w:rsidRPr="006F7CB1">
        <w:t>The idea here is that Death is inescapable: all must follow him in his dance.</w:t>
      </w:r>
      <w:r w:rsidR="00F800BD" w:rsidRPr="006F7CB1">
        <w:t xml:space="preserve"> If you are inspired to look further into the macabre art of the middle ages, there is a world of information available. </w:t>
      </w:r>
    </w:p>
    <w:p w14:paraId="1473846F" w14:textId="77777777" w:rsidR="00755300" w:rsidRPr="006F7CB1" w:rsidRDefault="00755300" w:rsidP="006F7CB1">
      <w:pPr>
        <w:spacing w:line="360" w:lineRule="auto"/>
      </w:pPr>
    </w:p>
    <w:p w14:paraId="2EAC5DF5" w14:textId="77777777" w:rsidR="00755300" w:rsidRPr="006F7CB1" w:rsidRDefault="00755300" w:rsidP="006F7CB1">
      <w:pPr>
        <w:spacing w:line="360" w:lineRule="auto"/>
      </w:pPr>
      <w:r w:rsidRPr="006F7CB1">
        <w:lastRenderedPageBreak/>
        <w:t>Slide 10</w:t>
      </w:r>
      <w:r w:rsidRPr="006F7CB1">
        <w:tab/>
      </w:r>
    </w:p>
    <w:p w14:paraId="6D4755E7" w14:textId="77777777" w:rsidR="006F7CB1" w:rsidRDefault="00755300" w:rsidP="006F7CB1">
      <w:pPr>
        <w:keepNext/>
        <w:spacing w:line="360" w:lineRule="auto"/>
      </w:pPr>
      <w:r w:rsidRPr="006F7CB1">
        <w:rPr>
          <w:noProof/>
        </w:rPr>
        <w:drawing>
          <wp:inline distT="0" distB="0" distL="0" distR="0" wp14:anchorId="0F412CD8" wp14:editId="1BBA4B0E">
            <wp:extent cx="1687830" cy="1930400"/>
            <wp:effectExtent l="0" t="0" r="7620" b="0"/>
            <wp:docPr id="12" name="Picture 12" descr="Image result for stained glass skeleton Bern Cathed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stained glass skeleton Bern Cathedra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87830" cy="1930400"/>
                    </a:xfrm>
                    <a:prstGeom prst="rect">
                      <a:avLst/>
                    </a:prstGeom>
                    <a:noFill/>
                    <a:ln>
                      <a:noFill/>
                    </a:ln>
                  </pic:spPr>
                </pic:pic>
              </a:graphicData>
            </a:graphic>
          </wp:inline>
        </w:drawing>
      </w:r>
    </w:p>
    <w:p w14:paraId="64B76AF6" w14:textId="44B44D7B" w:rsidR="006F7CB1" w:rsidRDefault="00185EE3" w:rsidP="006F7CB1">
      <w:pPr>
        <w:pStyle w:val="Caption"/>
      </w:pPr>
      <w:r>
        <w:t>Plat</w:t>
      </w:r>
      <w:r w:rsidR="006F7CB1">
        <w:t xml:space="preserve">e </w:t>
      </w:r>
      <w:fldSimple w:instr=" SEQ Figure \* ARABIC ">
        <w:r w:rsidR="006F7CB1">
          <w:rPr>
            <w:noProof/>
          </w:rPr>
          <w:t>1</w:t>
        </w:r>
      </w:fldSimple>
      <w:r w:rsidR="006F7CB1">
        <w:t xml:space="preserve"> Munster of Bern, Switzerland</w:t>
      </w:r>
      <w:r>
        <w:t>, 15</w:t>
      </w:r>
      <w:r w:rsidRPr="00185EE3">
        <w:rPr>
          <w:vertAlign w:val="superscript"/>
        </w:rPr>
        <w:t>th</w:t>
      </w:r>
      <w:r>
        <w:t xml:space="preserve"> century</w:t>
      </w:r>
      <w:r>
        <w:rPr>
          <w:rStyle w:val="FootnoteReference"/>
        </w:rPr>
        <w:footnoteReference w:id="10"/>
      </w:r>
    </w:p>
    <w:p w14:paraId="3FB226F6" w14:textId="77777777" w:rsidR="006F7CB1" w:rsidRDefault="00755300" w:rsidP="006F7CB1">
      <w:pPr>
        <w:keepNext/>
        <w:spacing w:line="360" w:lineRule="auto"/>
      </w:pPr>
      <w:r w:rsidRPr="006F7CB1">
        <w:rPr>
          <w:noProof/>
        </w:rPr>
        <w:t xml:space="preserve"> </w:t>
      </w:r>
      <w:r w:rsidRPr="006F7CB1">
        <w:rPr>
          <w:noProof/>
        </w:rPr>
        <w:drawing>
          <wp:inline distT="0" distB="0" distL="0" distR="0" wp14:anchorId="52620999" wp14:editId="18396232">
            <wp:extent cx="2024380" cy="1734820"/>
            <wp:effectExtent l="0" t="0" r="0" b="0"/>
            <wp:docPr id="11" name="Picture 11" descr="Guy Marchant, Musici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uy Marchant, Musician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24380" cy="1734820"/>
                    </a:xfrm>
                    <a:prstGeom prst="rect">
                      <a:avLst/>
                    </a:prstGeom>
                    <a:noFill/>
                    <a:ln>
                      <a:noFill/>
                    </a:ln>
                  </pic:spPr>
                </pic:pic>
              </a:graphicData>
            </a:graphic>
          </wp:inline>
        </w:drawing>
      </w:r>
    </w:p>
    <w:p w14:paraId="308D9159" w14:textId="3B122CEE" w:rsidR="006F7CB1" w:rsidRDefault="00185EE3" w:rsidP="006F7CB1">
      <w:pPr>
        <w:pStyle w:val="Caption"/>
      </w:pPr>
      <w:r>
        <w:t>Plat</w:t>
      </w:r>
      <w:r w:rsidR="006F7CB1">
        <w:t xml:space="preserve">e </w:t>
      </w:r>
      <w:fldSimple w:instr=" SEQ Figure \* ARABIC ">
        <w:r w:rsidR="006F7CB1">
          <w:rPr>
            <w:noProof/>
          </w:rPr>
          <w:t>2</w:t>
        </w:r>
      </w:fldSimple>
      <w:r>
        <w:t xml:space="preserve"> from Le </w:t>
      </w:r>
      <w:proofErr w:type="spellStart"/>
      <w:r>
        <w:t>Miroer</w:t>
      </w:r>
      <w:proofErr w:type="spellEnd"/>
      <w:r>
        <w:t xml:space="preserve"> </w:t>
      </w:r>
      <w:proofErr w:type="spellStart"/>
      <w:r>
        <w:t>Salutaire</w:t>
      </w:r>
      <w:proofErr w:type="spellEnd"/>
      <w:r>
        <w:t>, France, 1486</w:t>
      </w:r>
      <w:r>
        <w:rPr>
          <w:rStyle w:val="FootnoteReference"/>
        </w:rPr>
        <w:footnoteReference w:id="11"/>
      </w:r>
    </w:p>
    <w:p w14:paraId="19098198" w14:textId="546B9EA6" w:rsidR="006F7CB1" w:rsidRDefault="00755300" w:rsidP="006F7CB1">
      <w:pPr>
        <w:keepNext/>
        <w:spacing w:line="360" w:lineRule="auto"/>
      </w:pPr>
      <w:r w:rsidRPr="006F7CB1">
        <w:rPr>
          <w:noProof/>
        </w:rPr>
        <w:lastRenderedPageBreak/>
        <w:t xml:space="preserve"> </w:t>
      </w:r>
      <w:r w:rsidRPr="006F7CB1">
        <w:rPr>
          <w:noProof/>
        </w:rPr>
        <w:drawing>
          <wp:inline distT="0" distB="0" distL="0" distR="0" wp14:anchorId="16171617" wp14:editId="244F61D2">
            <wp:extent cx="1516380" cy="1508125"/>
            <wp:effectExtent l="0" t="0" r="7620" b="0"/>
            <wp:docPr id="9" name="Picture 9" descr="PocÃ©-sur-Cisse_(37)_Ã©glise_saint-Adrien_6.jpg (2592Ã1944)"/>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0" name="Content Placeholder 12" descr="PocÃ©-sur-Cisse_(37)_Ã©glise_saint-Adrien_6.jpg (2592Ã1944)"/>
                    <pic:cNvPicPr>
                      <a:picLocks noGrp="1" noChangeArrowheads="1"/>
                    </pic:cNvPicPr>
                  </pic:nvPicPr>
                  <pic:blipFill>
                    <a:blip r:embed="rId19">
                      <a:extLst>
                        <a:ext uri="{28A0092B-C50C-407E-A947-70E740481C1C}">
                          <a14:useLocalDpi xmlns:a14="http://schemas.microsoft.com/office/drawing/2010/main" val="0"/>
                        </a:ext>
                      </a:extLst>
                    </a:blip>
                    <a:srcRect l="8392" t="14960" r="10284" b="7716"/>
                    <a:stretch>
                      <a:fillRect/>
                    </a:stretch>
                  </pic:blipFill>
                  <pic:spPr bwMode="auto">
                    <a:xfrm>
                      <a:off x="0" y="0"/>
                      <a:ext cx="1516380" cy="1508125"/>
                    </a:xfrm>
                    <a:prstGeom prst="rect">
                      <a:avLst/>
                    </a:prstGeom>
                    <a:noFill/>
                    <a:ln>
                      <a:noFill/>
                    </a:ln>
                  </pic:spPr>
                </pic:pic>
              </a:graphicData>
            </a:graphic>
          </wp:inline>
        </w:drawing>
      </w:r>
    </w:p>
    <w:p w14:paraId="1CBD6136" w14:textId="52C8DF20" w:rsidR="006F7CB1" w:rsidRDefault="00C02209" w:rsidP="006F7CB1">
      <w:pPr>
        <w:pStyle w:val="Caption"/>
      </w:pPr>
      <w:r>
        <w:t>Plat</w:t>
      </w:r>
      <w:r w:rsidR="006F7CB1">
        <w:t xml:space="preserve">e </w:t>
      </w:r>
      <w:fldSimple w:instr=" SEQ Figure \* ARABIC ">
        <w:r w:rsidR="006F7CB1">
          <w:rPr>
            <w:noProof/>
          </w:rPr>
          <w:t>3</w:t>
        </w:r>
      </w:fldSimple>
      <w:r w:rsidR="006F7CB1">
        <w:t xml:space="preserve"> </w:t>
      </w:r>
      <w:proofErr w:type="spellStart"/>
      <w:r w:rsidR="006F7CB1">
        <w:t>Eglise</w:t>
      </w:r>
      <w:proofErr w:type="spellEnd"/>
      <w:r w:rsidR="006F7CB1">
        <w:t xml:space="preserve"> St Adrien</w:t>
      </w:r>
      <w:r>
        <w:rPr>
          <w:rStyle w:val="FootnoteReference"/>
        </w:rPr>
        <w:footnoteReference w:id="12"/>
      </w:r>
    </w:p>
    <w:p w14:paraId="7631E74E" w14:textId="77777777" w:rsidR="006F7CB1" w:rsidRDefault="00755300" w:rsidP="006F7CB1">
      <w:pPr>
        <w:keepNext/>
        <w:spacing w:line="360" w:lineRule="auto"/>
      </w:pPr>
      <w:r w:rsidRPr="006F7CB1">
        <w:rPr>
          <w:noProof/>
        </w:rPr>
        <w:t xml:space="preserve"> </w:t>
      </w:r>
      <w:r w:rsidRPr="006F7CB1">
        <w:rPr>
          <w:noProof/>
        </w:rPr>
        <w:drawing>
          <wp:inline distT="0" distB="0" distL="0" distR="0" wp14:anchorId="0EB72C3A" wp14:editId="62288BCF">
            <wp:extent cx="1560983" cy="2567986"/>
            <wp:effectExtent l="0" t="0" r="1270" b="3810"/>
            <wp:docPr id="8" name="Picture 8" descr="Image result for transi tom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transi tombs"/>
                    <pic:cNvPicPr>
                      <a:picLocks noChangeAspect="1" noChangeArrowheads="1"/>
                    </pic:cNvPicPr>
                  </pic:nvPicPr>
                  <pic:blipFill>
                    <a:blip r:embed="rId20" cstate="print">
                      <a:extLst>
                        <a:ext uri="{28A0092B-C50C-407E-A947-70E740481C1C}">
                          <a14:useLocalDpi xmlns:a14="http://schemas.microsoft.com/office/drawing/2010/main" val="0"/>
                        </a:ext>
                      </a:extLst>
                    </a:blip>
                    <a:srcRect l="7886" t="4349" r="8467" b="7893"/>
                    <a:stretch>
                      <a:fillRect/>
                    </a:stretch>
                  </pic:blipFill>
                  <pic:spPr bwMode="auto">
                    <a:xfrm>
                      <a:off x="0" y="0"/>
                      <a:ext cx="1566396" cy="2576890"/>
                    </a:xfrm>
                    <a:prstGeom prst="rect">
                      <a:avLst/>
                    </a:prstGeom>
                    <a:noFill/>
                    <a:ln>
                      <a:noFill/>
                    </a:ln>
                  </pic:spPr>
                </pic:pic>
              </a:graphicData>
            </a:graphic>
          </wp:inline>
        </w:drawing>
      </w:r>
    </w:p>
    <w:p w14:paraId="738388E1" w14:textId="0AD2BA09" w:rsidR="006F7CB1" w:rsidRDefault="00C02209" w:rsidP="006F7CB1">
      <w:pPr>
        <w:pStyle w:val="Caption"/>
      </w:pPr>
      <w:r>
        <w:t>Plat</w:t>
      </w:r>
      <w:r w:rsidR="006F7CB1">
        <w:t xml:space="preserve">e </w:t>
      </w:r>
      <w:fldSimple w:instr=" SEQ Figure \* ARABIC ">
        <w:r w:rsidR="006F7CB1">
          <w:rPr>
            <w:noProof/>
          </w:rPr>
          <w:t>4</w:t>
        </w:r>
      </w:fldSimple>
      <w:r w:rsidR="006F7CB1">
        <w:t xml:space="preserve"> Tomb of Rene de Chalon</w:t>
      </w:r>
      <w:r w:rsidR="004D4F19">
        <w:t>, Bar le Duc, 1545-1547</w:t>
      </w:r>
      <w:r w:rsidR="004D4F19">
        <w:rPr>
          <w:rStyle w:val="FootnoteReference"/>
        </w:rPr>
        <w:footnoteReference w:id="13"/>
      </w:r>
    </w:p>
    <w:p w14:paraId="75A56273" w14:textId="77777777" w:rsidR="006F7CB1" w:rsidRDefault="00755300" w:rsidP="006F7CB1">
      <w:pPr>
        <w:keepNext/>
        <w:spacing w:line="360" w:lineRule="auto"/>
      </w:pPr>
      <w:r w:rsidRPr="006F7CB1">
        <w:rPr>
          <w:noProof/>
        </w:rPr>
        <w:lastRenderedPageBreak/>
        <w:t xml:space="preserve"> </w:t>
      </w:r>
      <w:r w:rsidRPr="006F7CB1">
        <w:rPr>
          <w:noProof/>
        </w:rPr>
        <w:drawing>
          <wp:inline distT="0" distB="0" distL="0" distR="0" wp14:anchorId="24286591" wp14:editId="7EE5CC80">
            <wp:extent cx="1492885" cy="3016885"/>
            <wp:effectExtent l="0" t="0" r="0" b="0"/>
            <wp:docPr id="5" name="Picture 5" descr="https://upload.wikimedia.org/wikipedia/commons/7/74/Oddington_StAndrew_BrassHamsterl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upload.wikimedia.org/wikipedia/commons/7/74/Oddington_StAndrew_BrassHamsterley.JPG"/>
                    <pic:cNvPicPr>
                      <a:picLocks noChangeAspect="1" noChangeArrowheads="1"/>
                    </pic:cNvPicPr>
                  </pic:nvPicPr>
                  <pic:blipFill>
                    <a:blip r:embed="rId21" cstate="print">
                      <a:extLst>
                        <a:ext uri="{28A0092B-C50C-407E-A947-70E740481C1C}">
                          <a14:useLocalDpi xmlns:a14="http://schemas.microsoft.com/office/drawing/2010/main" val="0"/>
                        </a:ext>
                      </a:extLst>
                    </a:blip>
                    <a:srcRect l="13718" t="6549" r="14307" b="10310"/>
                    <a:stretch>
                      <a:fillRect/>
                    </a:stretch>
                  </pic:blipFill>
                  <pic:spPr bwMode="auto">
                    <a:xfrm>
                      <a:off x="0" y="0"/>
                      <a:ext cx="1492885" cy="3016885"/>
                    </a:xfrm>
                    <a:prstGeom prst="rect">
                      <a:avLst/>
                    </a:prstGeom>
                    <a:noFill/>
                    <a:ln>
                      <a:noFill/>
                    </a:ln>
                  </pic:spPr>
                </pic:pic>
              </a:graphicData>
            </a:graphic>
          </wp:inline>
        </w:drawing>
      </w:r>
    </w:p>
    <w:p w14:paraId="259D4C5C" w14:textId="1B9B94EC" w:rsidR="00755300" w:rsidRDefault="006F7CB1" w:rsidP="006F7CB1">
      <w:pPr>
        <w:pStyle w:val="Caption"/>
        <w:rPr>
          <w:noProof/>
        </w:rPr>
      </w:pPr>
      <w:r>
        <w:t xml:space="preserve">Plate </w:t>
      </w:r>
      <w:fldSimple w:instr=" SEQ Figure \* ARABIC ">
        <w:r>
          <w:rPr>
            <w:noProof/>
          </w:rPr>
          <w:t>5</w:t>
        </w:r>
      </w:fldSimple>
      <w:r>
        <w:t xml:space="preserve"> St Andrew, </w:t>
      </w:r>
      <w:proofErr w:type="spellStart"/>
      <w:r w:rsidR="005846A0">
        <w:t>Oddington</w:t>
      </w:r>
      <w:proofErr w:type="spellEnd"/>
      <w:r>
        <w:t>, Oxfordshire 1515</w:t>
      </w:r>
      <w:r w:rsidR="004D4F19">
        <w:rPr>
          <w:rStyle w:val="FootnoteReference"/>
        </w:rPr>
        <w:footnoteReference w:id="14"/>
      </w:r>
    </w:p>
    <w:p w14:paraId="65FCB1E1" w14:textId="7AC0ED88" w:rsidR="00710621" w:rsidRPr="009A1E2A" w:rsidRDefault="00755300" w:rsidP="006F7CB1">
      <w:pPr>
        <w:spacing w:line="360" w:lineRule="auto"/>
      </w:pPr>
      <w:r w:rsidRPr="006F7CB1">
        <w:t xml:space="preserve">In this final slide we see many other ways in which death was depicted: stained glass, a </w:t>
      </w:r>
      <w:proofErr w:type="spellStart"/>
      <w:r w:rsidRPr="006F7CB1">
        <w:t>transi</w:t>
      </w:r>
      <w:proofErr w:type="spellEnd"/>
      <w:r w:rsidRPr="006F7CB1">
        <w:t xml:space="preserve"> tomb, funerary brass, a misericord and even stained glass. They all come from the medieval period, and all over Europe. </w:t>
      </w:r>
      <w:r w:rsidR="0041126B" w:rsidRPr="006F7CB1">
        <w:t xml:space="preserve">I could have included hundreds of depictions of the Three Living and the Three Dead, of the Dance of Death and of many other representations of skeletons and skulls. </w:t>
      </w:r>
      <w:r w:rsidRPr="006F7CB1">
        <w:t>The fear of death, especially following the Black Death and its recurrences and at a time when there was always war somewhere, showed itself everywhere: in church, in books, on house wal</w:t>
      </w:r>
      <w:r w:rsidR="001667AC" w:rsidRPr="006F7CB1">
        <w:t>ls… If the Dead here are in Purgatory, then the Living can help with intercessory prayers. If they are in Hell then there is no hope: they are damned, and all they can do is to warn the Living to beware of falling into sin.</w:t>
      </w:r>
      <w:r w:rsidRPr="006F7CB1">
        <w:t xml:space="preserve"> The hope was that, by taking the lessons offered by these pieces, the viewer would find salvation.</w:t>
      </w:r>
    </w:p>
    <w:p w14:paraId="1B953940" w14:textId="76BD17F4" w:rsidR="00160209" w:rsidRPr="00657A5D" w:rsidRDefault="00160209" w:rsidP="00657A5D">
      <w:pPr>
        <w:spacing w:line="360" w:lineRule="auto"/>
        <w:rPr>
          <w:rFonts w:cstheme="minorHAnsi"/>
        </w:rPr>
      </w:pPr>
      <w:r w:rsidRPr="00657A5D">
        <w:rPr>
          <w:rFonts w:cstheme="minorHAnsi"/>
        </w:rPr>
        <w:lastRenderedPageBreak/>
        <w:t>Bibliography</w:t>
      </w:r>
    </w:p>
    <w:p w14:paraId="41CDC93C" w14:textId="1741901A" w:rsidR="000F2F82" w:rsidRDefault="00160209" w:rsidP="00657A5D">
      <w:pPr>
        <w:spacing w:line="360" w:lineRule="auto"/>
        <w:rPr>
          <w:rFonts w:cstheme="minorHAnsi"/>
        </w:rPr>
      </w:pPr>
      <w:r w:rsidRPr="00657A5D">
        <w:rPr>
          <w:rFonts w:cstheme="minorHAnsi"/>
        </w:rPr>
        <w:t>Backhouse, Janet</w:t>
      </w:r>
      <w:r w:rsidR="00A65676">
        <w:rPr>
          <w:rFonts w:cstheme="minorHAnsi"/>
        </w:rPr>
        <w:t>,</w:t>
      </w:r>
      <w:r w:rsidRPr="00657A5D">
        <w:rPr>
          <w:rFonts w:cstheme="minorHAnsi"/>
        </w:rPr>
        <w:t xml:space="preserve"> </w:t>
      </w:r>
      <w:r w:rsidRPr="00657A5D">
        <w:rPr>
          <w:rFonts w:cstheme="minorHAnsi"/>
          <w:i/>
        </w:rPr>
        <w:t>Illumination from Books of Hours</w:t>
      </w:r>
      <w:r w:rsidRPr="00657A5D">
        <w:rPr>
          <w:rFonts w:cstheme="minorHAnsi"/>
        </w:rPr>
        <w:t xml:space="preserve"> (London: The British Library Board, 2004)</w:t>
      </w:r>
    </w:p>
    <w:p w14:paraId="15D62B9C" w14:textId="456F1D5B" w:rsidR="00F14422" w:rsidRPr="00657A5D" w:rsidRDefault="00F14422" w:rsidP="00657A5D">
      <w:pPr>
        <w:spacing w:line="360" w:lineRule="auto"/>
        <w:rPr>
          <w:rFonts w:cstheme="minorHAnsi"/>
        </w:rPr>
      </w:pPr>
      <w:proofErr w:type="spellStart"/>
      <w:r>
        <w:rPr>
          <w:rFonts w:cstheme="minorHAnsi"/>
        </w:rPr>
        <w:t>Binsky</w:t>
      </w:r>
      <w:proofErr w:type="spellEnd"/>
      <w:r>
        <w:rPr>
          <w:rFonts w:cstheme="minorHAnsi"/>
        </w:rPr>
        <w:t>, P</w:t>
      </w:r>
      <w:r w:rsidR="00A65676">
        <w:rPr>
          <w:rFonts w:cstheme="minorHAnsi"/>
        </w:rPr>
        <w:t>,</w:t>
      </w:r>
      <w:r>
        <w:rPr>
          <w:rFonts w:cstheme="minorHAnsi"/>
        </w:rPr>
        <w:t xml:space="preserve"> </w:t>
      </w:r>
      <w:r w:rsidRPr="00E72894">
        <w:rPr>
          <w:rFonts w:cstheme="minorHAnsi"/>
          <w:i/>
        </w:rPr>
        <w:t>Medieval Death</w:t>
      </w:r>
      <w:r w:rsidR="00E72894" w:rsidRPr="00E72894">
        <w:rPr>
          <w:rFonts w:cstheme="minorHAnsi"/>
          <w:i/>
        </w:rPr>
        <w:t>: Ritual and Representation</w:t>
      </w:r>
      <w:r w:rsidR="00E72894">
        <w:rPr>
          <w:rFonts w:cstheme="minorHAnsi"/>
        </w:rPr>
        <w:t xml:space="preserve"> (London: British Museum Press, 1996)</w:t>
      </w:r>
    </w:p>
    <w:p w14:paraId="4C642CB2" w14:textId="0CF9C527" w:rsidR="001C3A44" w:rsidRPr="00657A5D" w:rsidRDefault="001C3A44" w:rsidP="00657A5D">
      <w:pPr>
        <w:spacing w:line="360" w:lineRule="auto"/>
        <w:rPr>
          <w:rFonts w:cstheme="minorHAnsi"/>
        </w:rPr>
      </w:pPr>
      <w:r w:rsidRPr="00657A5D">
        <w:rPr>
          <w:rFonts w:cstheme="minorHAnsi"/>
        </w:rPr>
        <w:t xml:space="preserve">Camille, Michael, </w:t>
      </w:r>
      <w:r w:rsidRPr="00657A5D">
        <w:rPr>
          <w:rFonts w:cstheme="minorHAnsi"/>
          <w:i/>
        </w:rPr>
        <w:t>Gothic Art</w:t>
      </w:r>
      <w:r w:rsidRPr="00657A5D">
        <w:rPr>
          <w:rFonts w:cstheme="minorHAnsi"/>
        </w:rPr>
        <w:t xml:space="preserve"> (London: </w:t>
      </w:r>
      <w:proofErr w:type="spellStart"/>
      <w:r w:rsidRPr="00657A5D">
        <w:rPr>
          <w:rFonts w:cstheme="minorHAnsi"/>
        </w:rPr>
        <w:t>Weidenfield</w:t>
      </w:r>
      <w:proofErr w:type="spellEnd"/>
      <w:r w:rsidRPr="00657A5D">
        <w:rPr>
          <w:rFonts w:cstheme="minorHAnsi"/>
        </w:rPr>
        <w:t xml:space="preserve"> &amp; Nicholson, 1996)</w:t>
      </w:r>
    </w:p>
    <w:p w14:paraId="066F60CB" w14:textId="516499B3" w:rsidR="00CC2D11" w:rsidRDefault="00CC2D11" w:rsidP="00657A5D">
      <w:pPr>
        <w:spacing w:line="360" w:lineRule="auto"/>
        <w:rPr>
          <w:rFonts w:cstheme="minorHAnsi"/>
        </w:rPr>
      </w:pPr>
      <w:proofErr w:type="spellStart"/>
      <w:r w:rsidRPr="00657A5D">
        <w:rPr>
          <w:rFonts w:cstheme="minorHAnsi"/>
        </w:rPr>
        <w:t>Courthion</w:t>
      </w:r>
      <w:proofErr w:type="spellEnd"/>
      <w:r w:rsidRPr="00657A5D">
        <w:rPr>
          <w:rFonts w:cstheme="minorHAnsi"/>
        </w:rPr>
        <w:t xml:space="preserve">, Pierre, </w:t>
      </w:r>
      <w:r w:rsidRPr="00657A5D">
        <w:rPr>
          <w:rFonts w:cstheme="minorHAnsi"/>
          <w:i/>
        </w:rPr>
        <w:t>Flemish Painting</w:t>
      </w:r>
      <w:r w:rsidRPr="00657A5D">
        <w:rPr>
          <w:rFonts w:cstheme="minorHAnsi"/>
        </w:rPr>
        <w:t xml:space="preserve"> (London: Thames &amp; Hudson, 1958)</w:t>
      </w:r>
    </w:p>
    <w:p w14:paraId="2F42B758" w14:textId="337D9B5E" w:rsidR="00D75EA1" w:rsidRDefault="00D75EA1" w:rsidP="00657A5D">
      <w:pPr>
        <w:spacing w:line="360" w:lineRule="auto"/>
        <w:rPr>
          <w:rFonts w:cstheme="minorHAnsi"/>
        </w:rPr>
      </w:pPr>
      <w:r>
        <w:rPr>
          <w:rFonts w:cstheme="minorHAnsi"/>
        </w:rPr>
        <w:t xml:space="preserve">Jones, Malcolm, </w:t>
      </w:r>
      <w:r w:rsidRPr="00D75EA1">
        <w:rPr>
          <w:rFonts w:cstheme="minorHAnsi"/>
          <w:i/>
        </w:rPr>
        <w:t>The</w:t>
      </w:r>
      <w:r>
        <w:rPr>
          <w:rFonts w:cstheme="minorHAnsi"/>
        </w:rPr>
        <w:t xml:space="preserve"> </w:t>
      </w:r>
      <w:r w:rsidRPr="00D75EA1">
        <w:rPr>
          <w:rFonts w:cstheme="minorHAnsi"/>
          <w:i/>
        </w:rPr>
        <w:t>Secret</w:t>
      </w:r>
      <w:r>
        <w:rPr>
          <w:rFonts w:cstheme="minorHAnsi"/>
        </w:rPr>
        <w:t xml:space="preserve"> </w:t>
      </w:r>
      <w:r w:rsidRPr="00D75EA1">
        <w:rPr>
          <w:rFonts w:cstheme="minorHAnsi"/>
          <w:i/>
        </w:rPr>
        <w:t>Middle</w:t>
      </w:r>
      <w:r>
        <w:rPr>
          <w:rFonts w:cstheme="minorHAnsi"/>
        </w:rPr>
        <w:t xml:space="preserve"> </w:t>
      </w:r>
      <w:r w:rsidRPr="00D75EA1">
        <w:rPr>
          <w:rFonts w:cstheme="minorHAnsi"/>
          <w:i/>
        </w:rPr>
        <w:t>Ages</w:t>
      </w:r>
      <w:r>
        <w:rPr>
          <w:rFonts w:cstheme="minorHAnsi"/>
        </w:rPr>
        <w:t xml:space="preserve"> (Stroud: Sutton Publishing Ltd. 2002)</w:t>
      </w:r>
    </w:p>
    <w:p w14:paraId="0BA04473" w14:textId="59FEE420" w:rsidR="00A13B84" w:rsidRPr="00B113BD" w:rsidRDefault="00A13B84" w:rsidP="00657A5D">
      <w:pPr>
        <w:spacing w:line="360" w:lineRule="auto"/>
        <w:rPr>
          <w:rFonts w:cstheme="minorHAnsi"/>
        </w:rPr>
      </w:pPr>
      <w:r>
        <w:rPr>
          <w:rFonts w:cstheme="minorHAnsi"/>
        </w:rPr>
        <w:t xml:space="preserve">Kinch, Ashley, </w:t>
      </w:r>
      <w:r w:rsidRPr="00A13B84">
        <w:rPr>
          <w:rFonts w:cstheme="minorHAnsi"/>
          <w:i/>
        </w:rPr>
        <w:t>Imago Mortis</w:t>
      </w:r>
      <w:r w:rsidR="00B113BD">
        <w:rPr>
          <w:rFonts w:cstheme="minorHAnsi"/>
        </w:rPr>
        <w:t xml:space="preserve">: </w:t>
      </w:r>
      <w:r w:rsidR="00B113BD" w:rsidRPr="00B113BD">
        <w:rPr>
          <w:rFonts w:cstheme="minorHAnsi"/>
          <w:i/>
        </w:rPr>
        <w:t>Mediating Images of Death in Late Medieval Culture</w:t>
      </w:r>
      <w:r w:rsidR="00B113BD">
        <w:rPr>
          <w:rFonts w:cstheme="minorHAnsi"/>
          <w:i/>
        </w:rPr>
        <w:t xml:space="preserve"> </w:t>
      </w:r>
      <w:r w:rsidR="00B113BD">
        <w:rPr>
          <w:rFonts w:cstheme="minorHAnsi"/>
        </w:rPr>
        <w:t>(Leiden &amp; Boston: BRILL, 2013)</w:t>
      </w:r>
    </w:p>
    <w:p w14:paraId="25015C00" w14:textId="32DA722E" w:rsidR="00205525" w:rsidRPr="00657A5D" w:rsidRDefault="00205525" w:rsidP="00657A5D">
      <w:pPr>
        <w:spacing w:line="360" w:lineRule="auto"/>
        <w:rPr>
          <w:rFonts w:cstheme="minorHAnsi"/>
        </w:rPr>
      </w:pPr>
      <w:r w:rsidRPr="00657A5D">
        <w:rPr>
          <w:rFonts w:cstheme="minorHAnsi"/>
        </w:rPr>
        <w:t xml:space="preserve">Smith, Kathryn A., </w:t>
      </w:r>
      <w:r w:rsidRPr="00657A5D">
        <w:rPr>
          <w:rFonts w:cstheme="minorHAnsi"/>
          <w:i/>
        </w:rPr>
        <w:t xml:space="preserve">The </w:t>
      </w:r>
      <w:proofErr w:type="spellStart"/>
      <w:r w:rsidRPr="00657A5D">
        <w:rPr>
          <w:rFonts w:cstheme="minorHAnsi"/>
          <w:i/>
        </w:rPr>
        <w:t>Taymouth</w:t>
      </w:r>
      <w:proofErr w:type="spellEnd"/>
      <w:r w:rsidRPr="00657A5D">
        <w:rPr>
          <w:rFonts w:cstheme="minorHAnsi"/>
          <w:i/>
        </w:rPr>
        <w:t xml:space="preserve"> Hours</w:t>
      </w:r>
      <w:r w:rsidRPr="00657A5D">
        <w:rPr>
          <w:rFonts w:cstheme="minorHAnsi"/>
        </w:rPr>
        <w:t xml:space="preserve"> (L</w:t>
      </w:r>
      <w:r w:rsidR="006F7CB1">
        <w:rPr>
          <w:rFonts w:cstheme="minorHAnsi"/>
        </w:rPr>
        <w:t>o</w:t>
      </w:r>
      <w:r w:rsidRPr="00657A5D">
        <w:rPr>
          <w:rFonts w:cstheme="minorHAnsi"/>
        </w:rPr>
        <w:t>ndon: The British Library, 2012)</w:t>
      </w:r>
    </w:p>
    <w:p w14:paraId="458A6678" w14:textId="77777777" w:rsidR="0068074C" w:rsidRDefault="0068074C" w:rsidP="00657A5D">
      <w:pPr>
        <w:spacing w:line="360" w:lineRule="auto"/>
        <w:rPr>
          <w:rFonts w:cstheme="minorHAnsi"/>
        </w:rPr>
      </w:pPr>
    </w:p>
    <w:p w14:paraId="43DCE008" w14:textId="60A741FE" w:rsidR="00557889" w:rsidRDefault="008B6327" w:rsidP="00657A5D">
      <w:pPr>
        <w:spacing w:line="360" w:lineRule="auto"/>
        <w:rPr>
          <w:rFonts w:cstheme="minorHAnsi"/>
        </w:rPr>
      </w:pPr>
      <w:r>
        <w:rPr>
          <w:rFonts w:cstheme="minorHAnsi"/>
        </w:rPr>
        <w:t>Websites</w:t>
      </w:r>
    </w:p>
    <w:p w14:paraId="0B9B8505" w14:textId="0C1C205C" w:rsidR="00D42CFE" w:rsidRDefault="00D42CFE" w:rsidP="00657A5D">
      <w:pPr>
        <w:spacing w:line="360" w:lineRule="auto"/>
        <w:rPr>
          <w:rFonts w:cstheme="minorHAnsi"/>
        </w:rPr>
      </w:pPr>
      <w:r>
        <w:rPr>
          <w:rFonts w:cstheme="minorHAnsi"/>
        </w:rPr>
        <w:t>The British Library blog:</w:t>
      </w:r>
    </w:p>
    <w:p w14:paraId="023085AE" w14:textId="798A784D" w:rsidR="00492903" w:rsidRDefault="00545DAA" w:rsidP="00657A5D">
      <w:pPr>
        <w:spacing w:line="360" w:lineRule="auto"/>
        <w:rPr>
          <w:rStyle w:val="Hyperlink"/>
          <w:rFonts w:cstheme="minorHAnsi"/>
        </w:rPr>
      </w:pPr>
      <w:hyperlink r:id="rId22" w:history="1">
        <w:r w:rsidR="00492903" w:rsidRPr="00EB3DFD">
          <w:rPr>
            <w:rStyle w:val="Hyperlink"/>
            <w:rFonts w:cstheme="minorHAnsi"/>
          </w:rPr>
          <w:t>http://blogs.bl.uk/digitisedmanuscripts/2014/01/the-three-living-and-the-three-dead.html</w:t>
        </w:r>
      </w:hyperlink>
    </w:p>
    <w:p w14:paraId="50361656" w14:textId="4F4774E6" w:rsidR="00D42CFE" w:rsidRPr="00657A5D" w:rsidRDefault="00D42CFE" w:rsidP="00657A5D">
      <w:pPr>
        <w:spacing w:line="360" w:lineRule="auto"/>
        <w:rPr>
          <w:rFonts w:cstheme="minorHAnsi"/>
        </w:rPr>
      </w:pPr>
      <w:r>
        <w:rPr>
          <w:rFonts w:cstheme="minorHAnsi"/>
        </w:rPr>
        <w:t>Christina Welch’s blog about cadaver carvings in Britain:</w:t>
      </w:r>
    </w:p>
    <w:p w14:paraId="01449121" w14:textId="0D6A7AC6" w:rsidR="00557889" w:rsidRPr="00657A5D" w:rsidRDefault="00545DAA" w:rsidP="00657A5D">
      <w:pPr>
        <w:spacing w:line="360" w:lineRule="auto"/>
        <w:rPr>
          <w:rFonts w:cstheme="minorHAnsi"/>
        </w:rPr>
      </w:pPr>
      <w:hyperlink r:id="rId23" w:history="1">
        <w:r w:rsidR="00F76898" w:rsidRPr="00657A5D">
          <w:rPr>
            <w:rStyle w:val="Hyperlink"/>
            <w:rFonts w:cstheme="minorHAnsi"/>
          </w:rPr>
          <w:t>http://www.britishcarvedcadavers.co.uk/anatomy.php</w:t>
        </w:r>
      </w:hyperlink>
    </w:p>
    <w:p w14:paraId="35C446CB" w14:textId="737F072F" w:rsidR="00D42CFE" w:rsidRDefault="00D42CFE" w:rsidP="0068074C">
      <w:pPr>
        <w:spacing w:line="360" w:lineRule="auto"/>
      </w:pPr>
      <w:r>
        <w:t>Lubeck’s Dance of Death:</w:t>
      </w:r>
    </w:p>
    <w:p w14:paraId="419713E9" w14:textId="62DD4DDE" w:rsidR="0068074C" w:rsidRDefault="00545DAA" w:rsidP="0068074C">
      <w:pPr>
        <w:spacing w:line="360" w:lineRule="auto"/>
        <w:rPr>
          <w:rStyle w:val="Hyperlink"/>
          <w:rFonts w:cstheme="minorHAnsi"/>
        </w:rPr>
      </w:pPr>
      <w:hyperlink r:id="rId24" w:history="1">
        <w:r w:rsidR="0068074C" w:rsidRPr="00657A5D">
          <w:rPr>
            <w:rStyle w:val="Hyperlink"/>
            <w:rFonts w:cstheme="minorHAnsi"/>
          </w:rPr>
          <w:t>http://www.dodedans.com/Emargin01.htm</w:t>
        </w:r>
      </w:hyperlink>
    </w:p>
    <w:p w14:paraId="3B376D79" w14:textId="3115F649" w:rsidR="00A5040B" w:rsidRPr="00A5040B" w:rsidRDefault="00A5040B" w:rsidP="0068074C">
      <w:pPr>
        <w:spacing w:line="360" w:lineRule="auto"/>
        <w:rPr>
          <w:rStyle w:val="Hyperlink"/>
          <w:rFonts w:cstheme="minorHAnsi"/>
          <w:color w:val="auto"/>
          <w:u w:val="none"/>
        </w:rPr>
      </w:pPr>
      <w:r w:rsidRPr="00A5040B">
        <w:rPr>
          <w:rStyle w:val="Hyperlink"/>
          <w:rFonts w:cstheme="minorHAnsi"/>
          <w:color w:val="auto"/>
          <w:u w:val="none"/>
        </w:rPr>
        <w:lastRenderedPageBreak/>
        <w:t>The British Library</w:t>
      </w:r>
    </w:p>
    <w:p w14:paraId="1ABC32E9" w14:textId="5889D82F" w:rsidR="00A5040B" w:rsidRDefault="00A5040B" w:rsidP="0068074C">
      <w:pPr>
        <w:spacing w:line="360" w:lineRule="auto"/>
        <w:rPr>
          <w:rStyle w:val="Hyperlink"/>
          <w:rFonts w:cstheme="minorHAnsi"/>
        </w:rPr>
      </w:pPr>
      <w:r>
        <w:rPr>
          <w:rStyle w:val="Hyperlink"/>
          <w:rFonts w:cstheme="minorHAnsi"/>
        </w:rPr>
        <w:t>www.bl.uk</w:t>
      </w:r>
    </w:p>
    <w:p w14:paraId="4FCB7D38" w14:textId="4515171A" w:rsidR="0048111B" w:rsidRPr="00657A5D" w:rsidRDefault="0048111B" w:rsidP="0068074C">
      <w:pPr>
        <w:spacing w:line="360" w:lineRule="auto"/>
        <w:rPr>
          <w:rFonts w:cstheme="minorHAnsi"/>
        </w:rPr>
      </w:pPr>
      <w:proofErr w:type="spellStart"/>
      <w:r>
        <w:rPr>
          <w:rFonts w:cstheme="minorHAnsi"/>
        </w:rPr>
        <w:t>Vitrearum’s</w:t>
      </w:r>
      <w:proofErr w:type="spellEnd"/>
      <w:r>
        <w:rPr>
          <w:rFonts w:cstheme="minorHAnsi"/>
        </w:rPr>
        <w:t xml:space="preserve"> Medieval Church Art (Alan Barton’s site):</w:t>
      </w:r>
    </w:p>
    <w:p w14:paraId="7ECEE21E" w14:textId="68285391" w:rsidR="00F76898" w:rsidRDefault="00545DAA" w:rsidP="00657A5D">
      <w:pPr>
        <w:spacing w:line="360" w:lineRule="auto"/>
        <w:rPr>
          <w:rStyle w:val="Hyperlink"/>
          <w:rFonts w:cstheme="minorHAnsi"/>
        </w:rPr>
      </w:pPr>
      <w:hyperlink r:id="rId25" w:history="1">
        <w:r w:rsidR="00F76898" w:rsidRPr="00657A5D">
          <w:rPr>
            <w:rStyle w:val="Hyperlink"/>
            <w:rFonts w:cstheme="minorHAnsi"/>
          </w:rPr>
          <w:t>http://www.medievalchurchart.com/2008/09/taste-for-macabre-late-medieval-cadaver.html</w:t>
        </w:r>
      </w:hyperlink>
    </w:p>
    <w:p w14:paraId="2BA06326" w14:textId="7E8342A9" w:rsidR="00A5040B" w:rsidRDefault="00A5040B" w:rsidP="0068074C">
      <w:pPr>
        <w:spacing w:line="360" w:lineRule="auto"/>
      </w:pPr>
      <w:r>
        <w:t>The University of Glasgow’s Special Collections:</w:t>
      </w:r>
    </w:p>
    <w:p w14:paraId="7208FF52" w14:textId="7A26FF05" w:rsidR="00F76898" w:rsidRDefault="00545DAA" w:rsidP="00A5040B">
      <w:pPr>
        <w:tabs>
          <w:tab w:val="left" w:pos="5354"/>
        </w:tabs>
        <w:spacing w:line="360" w:lineRule="auto"/>
        <w:rPr>
          <w:rStyle w:val="Hyperlink"/>
          <w:rFonts w:cstheme="minorHAnsi"/>
        </w:rPr>
      </w:pPr>
      <w:hyperlink r:id="rId26" w:history="1">
        <w:r w:rsidR="00F76898" w:rsidRPr="00657A5D">
          <w:rPr>
            <w:rStyle w:val="Hyperlink"/>
            <w:rFonts w:cstheme="minorHAnsi"/>
          </w:rPr>
          <w:t>http://special.lib.gla.ac.uk/exhibns/death/origins.html</w:t>
        </w:r>
      </w:hyperlink>
    </w:p>
    <w:p w14:paraId="45124A4B" w14:textId="43C681E7" w:rsidR="00F52201" w:rsidRPr="00F52201" w:rsidRDefault="00F52201" w:rsidP="00A5040B">
      <w:pPr>
        <w:tabs>
          <w:tab w:val="left" w:pos="5354"/>
        </w:tabs>
        <w:spacing w:line="360" w:lineRule="auto"/>
        <w:rPr>
          <w:rStyle w:val="Hyperlink"/>
          <w:rFonts w:cstheme="minorHAnsi"/>
          <w:color w:val="auto"/>
          <w:u w:val="none"/>
        </w:rPr>
      </w:pPr>
      <w:r w:rsidRPr="00F52201">
        <w:rPr>
          <w:rStyle w:val="Hyperlink"/>
          <w:rFonts w:cstheme="minorHAnsi"/>
          <w:color w:val="auto"/>
          <w:u w:val="none"/>
        </w:rPr>
        <w:t xml:space="preserve">La Mort dans </w:t>
      </w:r>
      <w:proofErr w:type="spellStart"/>
      <w:r w:rsidRPr="00F52201">
        <w:rPr>
          <w:rStyle w:val="Hyperlink"/>
          <w:rFonts w:cstheme="minorHAnsi"/>
          <w:color w:val="auto"/>
          <w:u w:val="none"/>
        </w:rPr>
        <w:t>l’Art</w:t>
      </w:r>
      <w:proofErr w:type="spellEnd"/>
      <w:r w:rsidRPr="00F52201">
        <w:rPr>
          <w:rStyle w:val="Hyperlink"/>
          <w:rFonts w:cstheme="minorHAnsi"/>
          <w:color w:val="auto"/>
          <w:u w:val="none"/>
        </w:rPr>
        <w:t>:</w:t>
      </w:r>
    </w:p>
    <w:p w14:paraId="77585CC0" w14:textId="021043B4" w:rsidR="00F52201" w:rsidRDefault="00F52201" w:rsidP="00A5040B">
      <w:pPr>
        <w:tabs>
          <w:tab w:val="left" w:pos="5354"/>
        </w:tabs>
        <w:spacing w:line="360" w:lineRule="auto"/>
        <w:rPr>
          <w:rStyle w:val="Hyperlink"/>
          <w:rFonts w:cstheme="minorHAnsi"/>
        </w:rPr>
      </w:pPr>
      <w:r w:rsidRPr="00F52201">
        <w:rPr>
          <w:rStyle w:val="Hyperlink"/>
          <w:rFonts w:cstheme="minorHAnsi"/>
        </w:rPr>
        <w:t>http://www.lamortdanslart.com/main.htm</w:t>
      </w:r>
    </w:p>
    <w:p w14:paraId="2FD091A0" w14:textId="26B39BF2" w:rsidR="00F76898" w:rsidRPr="00657A5D" w:rsidRDefault="00F76898" w:rsidP="00657A5D">
      <w:pPr>
        <w:spacing w:line="360" w:lineRule="auto"/>
        <w:rPr>
          <w:rFonts w:cstheme="minorHAnsi"/>
        </w:rPr>
      </w:pPr>
    </w:p>
    <w:p w14:paraId="771092E0" w14:textId="77777777" w:rsidR="0068074C" w:rsidRPr="00657A5D" w:rsidRDefault="0068074C" w:rsidP="00657A5D">
      <w:pPr>
        <w:spacing w:line="360" w:lineRule="auto"/>
        <w:rPr>
          <w:rFonts w:cstheme="minorHAnsi"/>
        </w:rPr>
      </w:pPr>
    </w:p>
    <w:sectPr w:rsidR="0068074C" w:rsidRPr="00657A5D" w:rsidSect="005D53C5">
      <w:headerReference w:type="default" r:id="rId27"/>
      <w:footerReference w:type="default" r:id="rId2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B089DB" w14:textId="77777777" w:rsidR="00545DAA" w:rsidRDefault="00545DAA" w:rsidP="00657A5D">
      <w:pPr>
        <w:spacing w:after="0" w:line="240" w:lineRule="auto"/>
      </w:pPr>
      <w:r>
        <w:separator/>
      </w:r>
    </w:p>
  </w:endnote>
  <w:endnote w:type="continuationSeparator" w:id="0">
    <w:p w14:paraId="7566B4D4" w14:textId="77777777" w:rsidR="00545DAA" w:rsidRDefault="00545DAA" w:rsidP="00657A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9135428"/>
      <w:docPartObj>
        <w:docPartGallery w:val="Page Numbers (Bottom of Page)"/>
        <w:docPartUnique/>
      </w:docPartObj>
    </w:sdtPr>
    <w:sdtEndPr>
      <w:rPr>
        <w:noProof/>
      </w:rPr>
    </w:sdtEndPr>
    <w:sdtContent>
      <w:p w14:paraId="714EDC28" w14:textId="16D7B783" w:rsidR="00054A27" w:rsidRDefault="00054A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3CF26F" w14:textId="77777777" w:rsidR="00657A5D" w:rsidRDefault="00657A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E88631" w14:textId="77777777" w:rsidR="00545DAA" w:rsidRDefault="00545DAA" w:rsidP="00657A5D">
      <w:pPr>
        <w:spacing w:after="0" w:line="240" w:lineRule="auto"/>
      </w:pPr>
      <w:r>
        <w:separator/>
      </w:r>
    </w:p>
  </w:footnote>
  <w:footnote w:type="continuationSeparator" w:id="0">
    <w:p w14:paraId="3E22FB94" w14:textId="77777777" w:rsidR="00545DAA" w:rsidRDefault="00545DAA" w:rsidP="00657A5D">
      <w:pPr>
        <w:spacing w:after="0" w:line="240" w:lineRule="auto"/>
      </w:pPr>
      <w:r>
        <w:continuationSeparator/>
      </w:r>
    </w:p>
  </w:footnote>
  <w:footnote w:id="1">
    <w:p w14:paraId="4434BC21" w14:textId="37F34C27" w:rsidR="006F7CB1" w:rsidRDefault="006F7CB1">
      <w:pPr>
        <w:pStyle w:val="FootnoteText"/>
      </w:pPr>
      <w:r>
        <w:rPr>
          <w:rStyle w:val="FootnoteReference"/>
        </w:rPr>
        <w:footnoteRef/>
      </w:r>
      <w:r>
        <w:t xml:space="preserve"> </w:t>
      </w:r>
      <w:r w:rsidR="003C76A5" w:rsidRPr="003C76A5">
        <w:t>https://www.art.com/products/p12266666-sa-i1636105/the-story-of-the-three-living-men-and-the-three-dead-men-from-receuil-de-poesies-francaises.htm</w:t>
      </w:r>
    </w:p>
  </w:footnote>
  <w:footnote w:id="2">
    <w:p w14:paraId="25A83052" w14:textId="30F6BBFB" w:rsidR="006F7CB1" w:rsidRDefault="006F7CB1">
      <w:pPr>
        <w:pStyle w:val="FootnoteText"/>
      </w:pPr>
      <w:r>
        <w:rPr>
          <w:rStyle w:val="FootnoteReference"/>
        </w:rPr>
        <w:footnoteRef/>
      </w:r>
      <w:r>
        <w:t xml:space="preserve"> </w:t>
      </w:r>
      <w:r w:rsidR="00C511AE" w:rsidRPr="00C511AE">
        <w:t>https://www.bl.uk/catalogues/illuminatedmanuscripts/ILLUMIN.ASP?Size=mid&amp;IllID=472</w:t>
      </w:r>
    </w:p>
  </w:footnote>
  <w:footnote w:id="3">
    <w:p w14:paraId="673C43C5" w14:textId="7831EC05" w:rsidR="006F7CB1" w:rsidRDefault="006F7CB1">
      <w:pPr>
        <w:pStyle w:val="FootnoteText"/>
      </w:pPr>
      <w:r>
        <w:rPr>
          <w:rStyle w:val="FootnoteReference"/>
        </w:rPr>
        <w:footnoteRef/>
      </w:r>
      <w:r>
        <w:t xml:space="preserve"> </w:t>
      </w:r>
      <w:r w:rsidR="00D31A58" w:rsidRPr="00D31A58">
        <w:t>http://gallica.bnf.fr/ark:/12148/btv1b8449684q/f573.image.r=Horae+ad+usum+Parisiensem+ou+Petites+heures+de+Jean+de+Berry.langEN</w:t>
      </w:r>
    </w:p>
  </w:footnote>
  <w:footnote w:id="4">
    <w:p w14:paraId="0F1BAD56" w14:textId="5A688B2F" w:rsidR="006F7CB1" w:rsidRDefault="006F7CB1">
      <w:pPr>
        <w:pStyle w:val="FootnoteText"/>
      </w:pPr>
      <w:r>
        <w:rPr>
          <w:rStyle w:val="FootnoteReference"/>
        </w:rPr>
        <w:footnoteRef/>
      </w:r>
      <w:r>
        <w:t xml:space="preserve"> </w:t>
      </w:r>
      <w:r w:rsidR="002F142D" w:rsidRPr="002F142D">
        <w:t>http://etc.usf.edu/clippix/picture/subiaco-sacro-speco-scala-santa-the-three-living-and-the-three-dead.html</w:t>
      </w:r>
    </w:p>
  </w:footnote>
  <w:footnote w:id="5">
    <w:p w14:paraId="47EFF99B" w14:textId="11350838" w:rsidR="006F7CB1" w:rsidRDefault="006F7CB1">
      <w:pPr>
        <w:pStyle w:val="FootnoteText"/>
      </w:pPr>
      <w:r>
        <w:rPr>
          <w:rStyle w:val="FootnoteReference"/>
        </w:rPr>
        <w:footnoteRef/>
      </w:r>
      <w:r>
        <w:t xml:space="preserve"> </w:t>
      </w:r>
      <w:r w:rsidR="003C76A5" w:rsidRPr="003C76A5">
        <w:t>http://www.edp24.co.uk/news/weird-norfolk-norfolk-s-memento-mori-1-5225613</w:t>
      </w:r>
    </w:p>
  </w:footnote>
  <w:footnote w:id="6">
    <w:p w14:paraId="149375A9" w14:textId="5BE9E3EE" w:rsidR="006F7CB1" w:rsidRDefault="006F7CB1">
      <w:pPr>
        <w:pStyle w:val="FootnoteText"/>
      </w:pPr>
      <w:r>
        <w:rPr>
          <w:rStyle w:val="FootnoteReference"/>
        </w:rPr>
        <w:footnoteRef/>
      </w:r>
      <w:r>
        <w:t xml:space="preserve"> </w:t>
      </w:r>
      <w:r w:rsidR="00C511AE" w:rsidRPr="00C511AE">
        <w:t>http://www.bl.uk/catalogues/illuminatedmanuscripts/ILLUMIN.ASP?Size=mid&amp;IllID=13168</w:t>
      </w:r>
    </w:p>
  </w:footnote>
  <w:footnote w:id="7">
    <w:p w14:paraId="0D6004E0" w14:textId="3B5B0BFA" w:rsidR="006F7CB1" w:rsidRDefault="006F7CB1">
      <w:pPr>
        <w:pStyle w:val="FootnoteText"/>
      </w:pPr>
      <w:r>
        <w:rPr>
          <w:rStyle w:val="FootnoteReference"/>
        </w:rPr>
        <w:footnoteRef/>
      </w:r>
      <w:r>
        <w:t xml:space="preserve"> </w:t>
      </w:r>
      <w:r w:rsidR="00C511AE" w:rsidRPr="00C511AE">
        <w:t>http://studiomatters.com/in-morte-sumus</w:t>
      </w:r>
    </w:p>
  </w:footnote>
  <w:footnote w:id="8">
    <w:p w14:paraId="6BF28D2F" w14:textId="47A77676" w:rsidR="006F7CB1" w:rsidRDefault="006F7CB1">
      <w:pPr>
        <w:pStyle w:val="FootnoteText"/>
      </w:pPr>
      <w:r>
        <w:rPr>
          <w:rStyle w:val="FootnoteReference"/>
        </w:rPr>
        <w:footnoteRef/>
      </w:r>
      <w:r>
        <w:t xml:space="preserve"> </w:t>
      </w:r>
      <w:r w:rsidR="002F142D" w:rsidRPr="002F142D">
        <w:t>https://www.pinterest.co.uk/pin/280700989247097662/</w:t>
      </w:r>
    </w:p>
  </w:footnote>
  <w:footnote w:id="9">
    <w:p w14:paraId="7D6517FE" w14:textId="37870B3C" w:rsidR="006F7CB1" w:rsidRDefault="006F7CB1">
      <w:pPr>
        <w:pStyle w:val="FootnoteText"/>
      </w:pPr>
      <w:r>
        <w:rPr>
          <w:rStyle w:val="FootnoteReference"/>
        </w:rPr>
        <w:footnoteRef/>
      </w:r>
      <w:r>
        <w:t xml:space="preserve"> </w:t>
      </w:r>
      <w:r w:rsidR="002F142D" w:rsidRPr="002F142D">
        <w:t>http://www.medievalwall.com/painting/dance-of-death/attachment/dance-of-death-n%C3%B8rre-alslev-church-o-falster-denmark-around-1480/</w:t>
      </w:r>
    </w:p>
  </w:footnote>
  <w:footnote w:id="10">
    <w:p w14:paraId="2EF5DBB1" w14:textId="6D084211" w:rsidR="00185EE3" w:rsidRDefault="00185EE3">
      <w:pPr>
        <w:pStyle w:val="FootnoteText"/>
      </w:pPr>
      <w:r>
        <w:rPr>
          <w:rStyle w:val="FootnoteReference"/>
        </w:rPr>
        <w:footnoteRef/>
      </w:r>
      <w:r>
        <w:t xml:space="preserve"> </w:t>
      </w:r>
      <w:r w:rsidR="002F142D" w:rsidRPr="002F142D">
        <w:t>https://www.pinterest.com/pin/513340057498033894/</w:t>
      </w:r>
    </w:p>
  </w:footnote>
  <w:footnote w:id="11">
    <w:p w14:paraId="43527F40" w14:textId="23ADA132" w:rsidR="00185EE3" w:rsidRDefault="00185EE3">
      <w:pPr>
        <w:pStyle w:val="FootnoteText"/>
      </w:pPr>
      <w:r>
        <w:rPr>
          <w:rStyle w:val="FootnoteReference"/>
        </w:rPr>
        <w:footnoteRef/>
      </w:r>
      <w:r>
        <w:t xml:space="preserve"> </w:t>
      </w:r>
      <w:r w:rsidR="003C76A5" w:rsidRPr="003C76A5">
        <w:t>http://studiomatters.com/in-morte-sumus/3living-3-dead-500x371</w:t>
      </w:r>
    </w:p>
  </w:footnote>
  <w:footnote w:id="12">
    <w:p w14:paraId="39E7FFE0" w14:textId="0A865732" w:rsidR="00C02209" w:rsidRDefault="00C02209">
      <w:pPr>
        <w:pStyle w:val="FootnoteText"/>
      </w:pPr>
      <w:r>
        <w:rPr>
          <w:rStyle w:val="FootnoteReference"/>
        </w:rPr>
        <w:footnoteRef/>
      </w:r>
      <w:r>
        <w:t xml:space="preserve"> </w:t>
      </w:r>
      <w:r w:rsidR="006242F2" w:rsidRPr="006242F2">
        <w:t>https://commons.wikimedia.org/wiki/File:Poc%C3%A9-sur-Cisse_(37)_%C3%A9glise_saint-Adrien_6.jpg</w:t>
      </w:r>
    </w:p>
  </w:footnote>
  <w:footnote w:id="13">
    <w:p w14:paraId="41EB05E9" w14:textId="0DA489D3" w:rsidR="004D4F19" w:rsidRDefault="004D4F19">
      <w:pPr>
        <w:pStyle w:val="FootnoteText"/>
      </w:pPr>
      <w:r>
        <w:rPr>
          <w:rStyle w:val="FootnoteReference"/>
        </w:rPr>
        <w:footnoteRef/>
      </w:r>
      <w:r>
        <w:t xml:space="preserve"> </w:t>
      </w:r>
      <w:r w:rsidR="00377FA8" w:rsidRPr="00377FA8">
        <w:t>http://morbidanatomy.blogspot.co.uk/2008/09/transi-de-ren-de-chalon-ligier-richier.html</w:t>
      </w:r>
    </w:p>
  </w:footnote>
  <w:footnote w:id="14">
    <w:p w14:paraId="4C168787" w14:textId="63A46EBA" w:rsidR="004D4F19" w:rsidRDefault="004D4F19">
      <w:pPr>
        <w:pStyle w:val="FootnoteText"/>
      </w:pPr>
      <w:r>
        <w:rPr>
          <w:rStyle w:val="FootnoteReference"/>
        </w:rPr>
        <w:footnoteRef/>
      </w:r>
      <w:r>
        <w:t xml:space="preserve"> </w:t>
      </w:r>
      <w:r w:rsidR="00A601AA" w:rsidRPr="00A601AA">
        <w:t>https://commons.wikimedia.org/wiki/File:Oddington_StAndrew_BrassHamsterley.JPG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40597" w14:textId="34771BFA" w:rsidR="00657A5D" w:rsidRDefault="00657A5D">
    <w:pPr>
      <w:pStyle w:val="Header"/>
    </w:pPr>
    <w:r>
      <w:t>Natasha Coombs</w:t>
    </w:r>
    <w:r>
      <w:tab/>
    </w:r>
    <w:r>
      <w:ptab w:relativeTo="margin" w:alignment="center" w:leader="none"/>
    </w:r>
    <w:r>
      <w:t>1402066</w:t>
    </w:r>
    <w:r>
      <w:ptab w:relativeTo="margin" w:alignment="right" w:leader="none"/>
    </w:r>
    <w:r>
      <w:t>AHMS5005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AC6341"/>
    <w:multiLevelType w:val="hybridMultilevel"/>
    <w:tmpl w:val="02F0F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DC15DD"/>
    <w:multiLevelType w:val="hybridMultilevel"/>
    <w:tmpl w:val="DEDE7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209"/>
    <w:rsid w:val="00007C2D"/>
    <w:rsid w:val="000218FA"/>
    <w:rsid w:val="00047A1F"/>
    <w:rsid w:val="00054A27"/>
    <w:rsid w:val="00060EAD"/>
    <w:rsid w:val="00075C09"/>
    <w:rsid w:val="000833C1"/>
    <w:rsid w:val="00087F21"/>
    <w:rsid w:val="000A39E4"/>
    <w:rsid w:val="000D5A0D"/>
    <w:rsid w:val="000F0B5E"/>
    <w:rsid w:val="000F2F82"/>
    <w:rsid w:val="000F434B"/>
    <w:rsid w:val="000F62DF"/>
    <w:rsid w:val="000F6F33"/>
    <w:rsid w:val="001020E2"/>
    <w:rsid w:val="00103A19"/>
    <w:rsid w:val="00113B3B"/>
    <w:rsid w:val="00123921"/>
    <w:rsid w:val="00151C58"/>
    <w:rsid w:val="00153874"/>
    <w:rsid w:val="00160209"/>
    <w:rsid w:val="001667AC"/>
    <w:rsid w:val="00171B7C"/>
    <w:rsid w:val="00185EE3"/>
    <w:rsid w:val="00191765"/>
    <w:rsid w:val="00197B2B"/>
    <w:rsid w:val="001A7F5E"/>
    <w:rsid w:val="001B53F2"/>
    <w:rsid w:val="001B7D16"/>
    <w:rsid w:val="001C3A44"/>
    <w:rsid w:val="001C7E99"/>
    <w:rsid w:val="001D27BD"/>
    <w:rsid w:val="001D60AC"/>
    <w:rsid w:val="001E146A"/>
    <w:rsid w:val="00205525"/>
    <w:rsid w:val="00234C6C"/>
    <w:rsid w:val="0024293C"/>
    <w:rsid w:val="00242FC5"/>
    <w:rsid w:val="00255245"/>
    <w:rsid w:val="002647B0"/>
    <w:rsid w:val="00272892"/>
    <w:rsid w:val="00273586"/>
    <w:rsid w:val="00276448"/>
    <w:rsid w:val="002A6916"/>
    <w:rsid w:val="002E568E"/>
    <w:rsid w:val="002F142D"/>
    <w:rsid w:val="00306D9B"/>
    <w:rsid w:val="003435BA"/>
    <w:rsid w:val="00362E3D"/>
    <w:rsid w:val="00377FA8"/>
    <w:rsid w:val="00392E2B"/>
    <w:rsid w:val="003A3CB9"/>
    <w:rsid w:val="003B046B"/>
    <w:rsid w:val="003B6919"/>
    <w:rsid w:val="003C76A5"/>
    <w:rsid w:val="003D754A"/>
    <w:rsid w:val="003F0FE7"/>
    <w:rsid w:val="00403BD2"/>
    <w:rsid w:val="0041126B"/>
    <w:rsid w:val="00420195"/>
    <w:rsid w:val="0042062B"/>
    <w:rsid w:val="00432A4C"/>
    <w:rsid w:val="0048111B"/>
    <w:rsid w:val="0048210A"/>
    <w:rsid w:val="00492903"/>
    <w:rsid w:val="00493ABA"/>
    <w:rsid w:val="004A04C4"/>
    <w:rsid w:val="004B0530"/>
    <w:rsid w:val="004B2B11"/>
    <w:rsid w:val="004D16C7"/>
    <w:rsid w:val="004D2852"/>
    <w:rsid w:val="004D45B3"/>
    <w:rsid w:val="004D4F19"/>
    <w:rsid w:val="004E15A4"/>
    <w:rsid w:val="004F3E95"/>
    <w:rsid w:val="004F59DE"/>
    <w:rsid w:val="00501AA9"/>
    <w:rsid w:val="00535875"/>
    <w:rsid w:val="00540BAC"/>
    <w:rsid w:val="00545DAA"/>
    <w:rsid w:val="00557889"/>
    <w:rsid w:val="005846A0"/>
    <w:rsid w:val="005D5208"/>
    <w:rsid w:val="005D53C5"/>
    <w:rsid w:val="005D6876"/>
    <w:rsid w:val="005F3853"/>
    <w:rsid w:val="005F530C"/>
    <w:rsid w:val="00603618"/>
    <w:rsid w:val="006110BE"/>
    <w:rsid w:val="0062372B"/>
    <w:rsid w:val="006242F2"/>
    <w:rsid w:val="00653965"/>
    <w:rsid w:val="00657468"/>
    <w:rsid w:val="00657A5D"/>
    <w:rsid w:val="0068074C"/>
    <w:rsid w:val="00691148"/>
    <w:rsid w:val="00691972"/>
    <w:rsid w:val="006A58F3"/>
    <w:rsid w:val="006A5A98"/>
    <w:rsid w:val="006B5FCB"/>
    <w:rsid w:val="006C291B"/>
    <w:rsid w:val="006C404F"/>
    <w:rsid w:val="006C766F"/>
    <w:rsid w:val="006E444B"/>
    <w:rsid w:val="006F3405"/>
    <w:rsid w:val="006F7CB1"/>
    <w:rsid w:val="00710621"/>
    <w:rsid w:val="007161ED"/>
    <w:rsid w:val="00730E8A"/>
    <w:rsid w:val="00736F44"/>
    <w:rsid w:val="00755300"/>
    <w:rsid w:val="00757817"/>
    <w:rsid w:val="00786775"/>
    <w:rsid w:val="007B34A9"/>
    <w:rsid w:val="007F1C06"/>
    <w:rsid w:val="007F42E2"/>
    <w:rsid w:val="00815517"/>
    <w:rsid w:val="00826349"/>
    <w:rsid w:val="0084094F"/>
    <w:rsid w:val="008419F2"/>
    <w:rsid w:val="008661FA"/>
    <w:rsid w:val="00867A10"/>
    <w:rsid w:val="00873EEA"/>
    <w:rsid w:val="008842EE"/>
    <w:rsid w:val="00891138"/>
    <w:rsid w:val="00895478"/>
    <w:rsid w:val="00897781"/>
    <w:rsid w:val="008A40DC"/>
    <w:rsid w:val="008A52BA"/>
    <w:rsid w:val="008A7604"/>
    <w:rsid w:val="008B6327"/>
    <w:rsid w:val="008E2CA9"/>
    <w:rsid w:val="009343E9"/>
    <w:rsid w:val="0094689D"/>
    <w:rsid w:val="00957A1F"/>
    <w:rsid w:val="0096035A"/>
    <w:rsid w:val="009623D5"/>
    <w:rsid w:val="0096735C"/>
    <w:rsid w:val="009775B9"/>
    <w:rsid w:val="00977810"/>
    <w:rsid w:val="009A1E2A"/>
    <w:rsid w:val="009B1613"/>
    <w:rsid w:val="009C0357"/>
    <w:rsid w:val="009E1744"/>
    <w:rsid w:val="009E5E4A"/>
    <w:rsid w:val="009F080A"/>
    <w:rsid w:val="00A01393"/>
    <w:rsid w:val="00A05CB7"/>
    <w:rsid w:val="00A13B84"/>
    <w:rsid w:val="00A35EC7"/>
    <w:rsid w:val="00A426DC"/>
    <w:rsid w:val="00A5040B"/>
    <w:rsid w:val="00A50428"/>
    <w:rsid w:val="00A601AA"/>
    <w:rsid w:val="00A64E5A"/>
    <w:rsid w:val="00A65676"/>
    <w:rsid w:val="00AA605D"/>
    <w:rsid w:val="00AD1A03"/>
    <w:rsid w:val="00AF38E1"/>
    <w:rsid w:val="00B113BD"/>
    <w:rsid w:val="00B219B4"/>
    <w:rsid w:val="00B22340"/>
    <w:rsid w:val="00B46BA1"/>
    <w:rsid w:val="00B54B02"/>
    <w:rsid w:val="00B72388"/>
    <w:rsid w:val="00B82793"/>
    <w:rsid w:val="00B85370"/>
    <w:rsid w:val="00B91EC6"/>
    <w:rsid w:val="00BE54C1"/>
    <w:rsid w:val="00BF1441"/>
    <w:rsid w:val="00C02209"/>
    <w:rsid w:val="00C0539D"/>
    <w:rsid w:val="00C07571"/>
    <w:rsid w:val="00C15745"/>
    <w:rsid w:val="00C2183F"/>
    <w:rsid w:val="00C264E3"/>
    <w:rsid w:val="00C4333E"/>
    <w:rsid w:val="00C511AE"/>
    <w:rsid w:val="00C51E2B"/>
    <w:rsid w:val="00C934A9"/>
    <w:rsid w:val="00CB123A"/>
    <w:rsid w:val="00CB7245"/>
    <w:rsid w:val="00CC2D11"/>
    <w:rsid w:val="00CD0FDF"/>
    <w:rsid w:val="00CE6C5A"/>
    <w:rsid w:val="00D31A58"/>
    <w:rsid w:val="00D42CFE"/>
    <w:rsid w:val="00D53F36"/>
    <w:rsid w:val="00D75EA1"/>
    <w:rsid w:val="00DB5B1F"/>
    <w:rsid w:val="00DF0907"/>
    <w:rsid w:val="00E048EF"/>
    <w:rsid w:val="00E059B2"/>
    <w:rsid w:val="00E06703"/>
    <w:rsid w:val="00E103A6"/>
    <w:rsid w:val="00E1650C"/>
    <w:rsid w:val="00E17E4F"/>
    <w:rsid w:val="00E252C9"/>
    <w:rsid w:val="00E45B6B"/>
    <w:rsid w:val="00E56744"/>
    <w:rsid w:val="00E72894"/>
    <w:rsid w:val="00E746C4"/>
    <w:rsid w:val="00E878F8"/>
    <w:rsid w:val="00E96301"/>
    <w:rsid w:val="00EA7EE7"/>
    <w:rsid w:val="00EB010F"/>
    <w:rsid w:val="00EC2F79"/>
    <w:rsid w:val="00ED0305"/>
    <w:rsid w:val="00ED579F"/>
    <w:rsid w:val="00EE2D2B"/>
    <w:rsid w:val="00EE3153"/>
    <w:rsid w:val="00EE4FD3"/>
    <w:rsid w:val="00EF69DA"/>
    <w:rsid w:val="00F06989"/>
    <w:rsid w:val="00F10C6A"/>
    <w:rsid w:val="00F14422"/>
    <w:rsid w:val="00F15D88"/>
    <w:rsid w:val="00F2630A"/>
    <w:rsid w:val="00F51936"/>
    <w:rsid w:val="00F52201"/>
    <w:rsid w:val="00F52B76"/>
    <w:rsid w:val="00F56C3B"/>
    <w:rsid w:val="00F6533F"/>
    <w:rsid w:val="00F6546A"/>
    <w:rsid w:val="00F70A2E"/>
    <w:rsid w:val="00F76898"/>
    <w:rsid w:val="00F800BD"/>
    <w:rsid w:val="00F93863"/>
    <w:rsid w:val="00F96D3C"/>
    <w:rsid w:val="00FA2293"/>
    <w:rsid w:val="00FA575E"/>
    <w:rsid w:val="00FB1739"/>
    <w:rsid w:val="00FC27EB"/>
    <w:rsid w:val="00FC7C3C"/>
    <w:rsid w:val="00FD1E3C"/>
    <w:rsid w:val="00FD5292"/>
    <w:rsid w:val="00FE7617"/>
    <w:rsid w:val="00FF0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6A44A"/>
  <w15:chartTrackingRefBased/>
  <w15:docId w15:val="{590C2478-5FEA-462F-B6DC-75A2978FC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B91E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17E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76898"/>
    <w:rPr>
      <w:color w:val="0563C1" w:themeColor="hyperlink"/>
      <w:u w:val="single"/>
    </w:rPr>
  </w:style>
  <w:style w:type="character" w:styleId="UnresolvedMention">
    <w:name w:val="Unresolved Mention"/>
    <w:basedOn w:val="DefaultParagraphFont"/>
    <w:uiPriority w:val="99"/>
    <w:semiHidden/>
    <w:unhideWhenUsed/>
    <w:rsid w:val="00F76898"/>
    <w:rPr>
      <w:color w:val="808080"/>
      <w:shd w:val="clear" w:color="auto" w:fill="E6E6E6"/>
    </w:rPr>
  </w:style>
  <w:style w:type="paragraph" w:styleId="ListParagraph">
    <w:name w:val="List Paragraph"/>
    <w:basedOn w:val="Normal"/>
    <w:uiPriority w:val="34"/>
    <w:qFormat/>
    <w:rsid w:val="00272892"/>
    <w:pPr>
      <w:ind w:left="720"/>
      <w:contextualSpacing/>
    </w:pPr>
  </w:style>
  <w:style w:type="paragraph" w:styleId="Header">
    <w:name w:val="header"/>
    <w:basedOn w:val="Normal"/>
    <w:link w:val="HeaderChar"/>
    <w:uiPriority w:val="99"/>
    <w:unhideWhenUsed/>
    <w:rsid w:val="00657A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A5D"/>
  </w:style>
  <w:style w:type="paragraph" w:styleId="Footer">
    <w:name w:val="footer"/>
    <w:basedOn w:val="Normal"/>
    <w:link w:val="FooterChar"/>
    <w:uiPriority w:val="99"/>
    <w:unhideWhenUsed/>
    <w:rsid w:val="00657A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A5D"/>
  </w:style>
  <w:style w:type="paragraph" w:styleId="FootnoteText">
    <w:name w:val="footnote text"/>
    <w:basedOn w:val="Normal"/>
    <w:link w:val="FootnoteTextChar"/>
    <w:uiPriority w:val="99"/>
    <w:semiHidden/>
    <w:unhideWhenUsed/>
    <w:rsid w:val="00EA7EE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7EE7"/>
    <w:rPr>
      <w:sz w:val="20"/>
      <w:szCs w:val="20"/>
    </w:rPr>
  </w:style>
  <w:style w:type="character" w:styleId="FootnoteReference">
    <w:name w:val="footnote reference"/>
    <w:basedOn w:val="DefaultParagraphFont"/>
    <w:uiPriority w:val="99"/>
    <w:semiHidden/>
    <w:unhideWhenUsed/>
    <w:rsid w:val="00EA7EE7"/>
    <w:rPr>
      <w:vertAlign w:val="superscript"/>
    </w:rPr>
  </w:style>
  <w:style w:type="character" w:styleId="Strong">
    <w:name w:val="Strong"/>
    <w:basedOn w:val="DefaultParagraphFont"/>
    <w:uiPriority w:val="22"/>
    <w:qFormat/>
    <w:rsid w:val="004F3E95"/>
    <w:rPr>
      <w:b/>
      <w:bCs/>
    </w:rPr>
  </w:style>
  <w:style w:type="paragraph" w:styleId="Caption">
    <w:name w:val="caption"/>
    <w:basedOn w:val="Normal"/>
    <w:next w:val="Normal"/>
    <w:uiPriority w:val="35"/>
    <w:unhideWhenUsed/>
    <w:qFormat/>
    <w:rsid w:val="00BF1441"/>
    <w:pPr>
      <w:spacing w:after="200" w:line="240" w:lineRule="auto"/>
    </w:pPr>
    <w:rPr>
      <w:i/>
      <w:iCs/>
      <w:color w:val="44546A" w:themeColor="text2"/>
      <w:sz w:val="18"/>
      <w:szCs w:val="18"/>
    </w:rPr>
  </w:style>
  <w:style w:type="paragraph" w:styleId="NormalWeb">
    <w:name w:val="Normal (Web)"/>
    <w:basedOn w:val="Normal"/>
    <w:uiPriority w:val="99"/>
    <w:semiHidden/>
    <w:unhideWhenUsed/>
    <w:rsid w:val="00392E2B"/>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Emphasis">
    <w:name w:val="Emphasis"/>
    <w:basedOn w:val="DefaultParagraphFont"/>
    <w:uiPriority w:val="20"/>
    <w:qFormat/>
    <w:rsid w:val="00273586"/>
    <w:rPr>
      <w:i/>
      <w:iCs/>
    </w:rPr>
  </w:style>
  <w:style w:type="character" w:customStyle="1" w:styleId="Heading2Char">
    <w:name w:val="Heading 2 Char"/>
    <w:basedOn w:val="DefaultParagraphFont"/>
    <w:link w:val="Heading2"/>
    <w:uiPriority w:val="9"/>
    <w:rsid w:val="00B91EC6"/>
    <w:rPr>
      <w:rFonts w:asciiTheme="majorHAnsi" w:eastAsiaTheme="majorEastAsia" w:hAnsiTheme="majorHAnsi" w:cstheme="majorBidi"/>
      <w:color w:val="2F5496" w:themeColor="accent1" w:themeShade="BF"/>
      <w:sz w:val="26"/>
      <w:szCs w:val="26"/>
    </w:rPr>
  </w:style>
  <w:style w:type="character" w:customStyle="1" w:styleId="language">
    <w:name w:val="language"/>
    <w:basedOn w:val="DefaultParagraphFont"/>
    <w:rsid w:val="00EE31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368800">
      <w:bodyDiv w:val="1"/>
      <w:marLeft w:val="0"/>
      <w:marRight w:val="0"/>
      <w:marTop w:val="0"/>
      <w:marBottom w:val="0"/>
      <w:divBdr>
        <w:top w:val="none" w:sz="0" w:space="0" w:color="auto"/>
        <w:left w:val="none" w:sz="0" w:space="0" w:color="auto"/>
        <w:bottom w:val="none" w:sz="0" w:space="0" w:color="auto"/>
        <w:right w:val="none" w:sz="0" w:space="0" w:color="auto"/>
      </w:divBdr>
      <w:divsChild>
        <w:div w:id="2133017797">
          <w:marLeft w:val="0"/>
          <w:marRight w:val="0"/>
          <w:marTop w:val="0"/>
          <w:marBottom w:val="0"/>
          <w:divBdr>
            <w:top w:val="none" w:sz="0" w:space="0" w:color="auto"/>
            <w:left w:val="none" w:sz="0" w:space="0" w:color="auto"/>
            <w:bottom w:val="none" w:sz="0" w:space="0" w:color="auto"/>
            <w:right w:val="none" w:sz="0" w:space="0" w:color="auto"/>
          </w:divBdr>
        </w:div>
      </w:divsChild>
    </w:div>
    <w:div w:id="333917147">
      <w:bodyDiv w:val="1"/>
      <w:marLeft w:val="0"/>
      <w:marRight w:val="0"/>
      <w:marTop w:val="0"/>
      <w:marBottom w:val="0"/>
      <w:divBdr>
        <w:top w:val="none" w:sz="0" w:space="0" w:color="auto"/>
        <w:left w:val="none" w:sz="0" w:space="0" w:color="auto"/>
        <w:bottom w:val="none" w:sz="0" w:space="0" w:color="auto"/>
        <w:right w:val="none" w:sz="0" w:space="0" w:color="auto"/>
      </w:divBdr>
    </w:div>
    <w:div w:id="430584273">
      <w:bodyDiv w:val="1"/>
      <w:marLeft w:val="0"/>
      <w:marRight w:val="0"/>
      <w:marTop w:val="0"/>
      <w:marBottom w:val="0"/>
      <w:divBdr>
        <w:top w:val="none" w:sz="0" w:space="0" w:color="auto"/>
        <w:left w:val="none" w:sz="0" w:space="0" w:color="auto"/>
        <w:bottom w:val="none" w:sz="0" w:space="0" w:color="auto"/>
        <w:right w:val="none" w:sz="0" w:space="0" w:color="auto"/>
      </w:divBdr>
    </w:div>
    <w:div w:id="906264524">
      <w:bodyDiv w:val="1"/>
      <w:marLeft w:val="0"/>
      <w:marRight w:val="0"/>
      <w:marTop w:val="0"/>
      <w:marBottom w:val="0"/>
      <w:divBdr>
        <w:top w:val="none" w:sz="0" w:space="0" w:color="auto"/>
        <w:left w:val="none" w:sz="0" w:space="0" w:color="auto"/>
        <w:bottom w:val="none" w:sz="0" w:space="0" w:color="auto"/>
        <w:right w:val="none" w:sz="0" w:space="0" w:color="auto"/>
      </w:divBdr>
    </w:div>
    <w:div w:id="142090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pecial.lib.gla.ac.uk/exhibns/death/origins.html" TargetMode="Externa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www.medievalchurchart.com/2008/09/taste-for-macabre-late-medieval-cadaver.html"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www.dodedans.com/Emargin01.htm"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www.britishcarvedcadavers.co.uk/anatomy.php" TargetMode="External"/><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blogs.bl.uk/digitisedmanuscripts/2014/01/the-three-living-and-the-three-dead.html"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417EA3-002B-436C-B193-C1C342FEE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9719</TotalTime>
  <Pages>14</Pages>
  <Words>1236</Words>
  <Characters>7048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Coombs (1402066)</dc:creator>
  <cp:keywords/>
  <dc:description/>
  <cp:lastModifiedBy>Natasha Olga Jane Coombs</cp:lastModifiedBy>
  <cp:revision>149</cp:revision>
  <dcterms:created xsi:type="dcterms:W3CDTF">2018-04-08T15:49:00Z</dcterms:created>
  <dcterms:modified xsi:type="dcterms:W3CDTF">2018-05-02T16:14:00Z</dcterms:modified>
</cp:coreProperties>
</file>