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742A2" w14:textId="26EAB7FB" w:rsidR="00916641" w:rsidRPr="00916641" w:rsidRDefault="00916641" w:rsidP="00916641">
      <w:pPr>
        <w:autoSpaceDE w:val="0"/>
        <w:autoSpaceDN w:val="0"/>
        <w:adjustRightInd w:val="0"/>
        <w:jc w:val="both"/>
        <w:rPr>
          <w:rFonts w:ascii="Arial" w:hAnsi="Arial" w:cs="Arial"/>
          <w:color w:val="000000"/>
          <w:kern w:val="0"/>
          <w:sz w:val="32"/>
          <w:szCs w:val="32"/>
          <w:u w:val="single"/>
        </w:rPr>
      </w:pPr>
      <w:r w:rsidRPr="00916641">
        <w:rPr>
          <w:rFonts w:ascii="Arial" w:hAnsi="Arial" w:cs="Arial"/>
          <w:color w:val="000000"/>
          <w:kern w:val="0"/>
          <w:sz w:val="32"/>
          <w:szCs w:val="32"/>
          <w:u w:val="single"/>
        </w:rPr>
        <w:t xml:space="preserve">CRIMINAL LAW ASSIGNMENT 2 </w:t>
      </w:r>
    </w:p>
    <w:p w14:paraId="59498F2C" w14:textId="6F1ABCAA" w:rsidR="00916641" w:rsidRPr="00916641" w:rsidRDefault="00916641" w:rsidP="00916641">
      <w:pPr>
        <w:autoSpaceDE w:val="0"/>
        <w:autoSpaceDN w:val="0"/>
        <w:adjustRightInd w:val="0"/>
        <w:jc w:val="both"/>
        <w:rPr>
          <w:rFonts w:ascii="Arial" w:hAnsi="Arial" w:cs="Arial"/>
          <w:color w:val="000000"/>
          <w:kern w:val="0"/>
          <w:sz w:val="32"/>
          <w:szCs w:val="32"/>
          <w:u w:val="single"/>
        </w:rPr>
      </w:pPr>
      <w:r w:rsidRPr="00916641">
        <w:rPr>
          <w:rFonts w:ascii="Arial" w:hAnsi="Arial" w:cs="Arial"/>
          <w:color w:val="000000"/>
          <w:kern w:val="0"/>
          <w:sz w:val="32"/>
          <w:szCs w:val="32"/>
          <w:u w:val="single"/>
        </w:rPr>
        <w:t>2200579</w:t>
      </w:r>
    </w:p>
    <w:p w14:paraId="17709A37" w14:textId="77777777" w:rsidR="00916641" w:rsidRDefault="00916641" w:rsidP="00916641">
      <w:pPr>
        <w:autoSpaceDE w:val="0"/>
        <w:autoSpaceDN w:val="0"/>
        <w:adjustRightInd w:val="0"/>
        <w:jc w:val="both"/>
        <w:rPr>
          <w:rFonts w:ascii="Arial" w:hAnsi="Arial" w:cs="Arial"/>
          <w:color w:val="000000"/>
          <w:kern w:val="0"/>
        </w:rPr>
      </w:pPr>
    </w:p>
    <w:p w14:paraId="62969976" w14:textId="77777777" w:rsidR="00916641" w:rsidRDefault="00916641" w:rsidP="00916641">
      <w:pPr>
        <w:autoSpaceDE w:val="0"/>
        <w:autoSpaceDN w:val="0"/>
        <w:adjustRightInd w:val="0"/>
        <w:jc w:val="both"/>
        <w:rPr>
          <w:rFonts w:ascii="Arial" w:hAnsi="Arial" w:cs="Arial"/>
          <w:color w:val="000000"/>
          <w:kern w:val="0"/>
        </w:rPr>
      </w:pPr>
    </w:p>
    <w:p w14:paraId="4B28AA84" w14:textId="3D4AA6B3"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In this scenario</w:t>
      </w:r>
      <w:r w:rsidR="00AC7728">
        <w:rPr>
          <w:rFonts w:ascii="Arial" w:hAnsi="Arial" w:cs="Arial"/>
          <w:color w:val="000000"/>
          <w:kern w:val="0"/>
        </w:rPr>
        <w:t xml:space="preserve">, </w:t>
      </w:r>
      <w:r w:rsidRPr="00916641">
        <w:rPr>
          <w:rFonts w:ascii="Arial" w:hAnsi="Arial" w:cs="Arial"/>
          <w:color w:val="000000"/>
          <w:kern w:val="0"/>
        </w:rPr>
        <w:t xml:space="preserve">I will discuss the behaviour and outcome of Polly and what her outcome would be and providing defences for each charge. Polly and Mohammad have been in a couple for 10 years now and Polly has witnessed Mohammad flirt with another woman named Roxanne, this was where all the actions </w:t>
      </w:r>
      <w:r w:rsidR="00AC7728">
        <w:rPr>
          <w:rFonts w:ascii="Arial" w:hAnsi="Arial" w:cs="Arial"/>
          <w:color w:val="000000"/>
          <w:kern w:val="0"/>
        </w:rPr>
        <w:t>stemmed f</w:t>
      </w:r>
      <w:r w:rsidRPr="00916641">
        <w:rPr>
          <w:rFonts w:ascii="Arial" w:hAnsi="Arial" w:cs="Arial"/>
          <w:color w:val="000000"/>
          <w:kern w:val="0"/>
        </w:rPr>
        <w:t>rom.</w:t>
      </w:r>
    </w:p>
    <w:p w14:paraId="72226237"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2C1ED723"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In this scenario it is important we examine the two components of a crime which are the </w:t>
      </w:r>
      <w:proofErr w:type="spellStart"/>
      <w:r w:rsidRPr="00916641">
        <w:rPr>
          <w:rFonts w:ascii="Arial" w:hAnsi="Arial" w:cs="Arial"/>
          <w:color w:val="000000"/>
          <w:kern w:val="0"/>
        </w:rPr>
        <w:t>mens</w:t>
      </w:r>
      <w:proofErr w:type="spellEnd"/>
      <w:r w:rsidRPr="00916641">
        <w:rPr>
          <w:rFonts w:ascii="Arial" w:hAnsi="Arial" w:cs="Arial"/>
          <w:color w:val="000000"/>
          <w:kern w:val="0"/>
        </w:rPr>
        <w:t xml:space="preserve"> rea (mental state) and the actus reus (physical act).</w:t>
      </w:r>
    </w:p>
    <w:p w14:paraId="363016A2"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6DE1122D"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Actus reus allows us to understand the suspects physical actions at the time. In this scenario, Polly severed the breaks cable by picking up a piece of glass with the intent of causing damage. This is a clear example of criminal liability.</w:t>
      </w:r>
    </w:p>
    <w:p w14:paraId="6E833391"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3A5E3F2E" w14:textId="77777777" w:rsidR="00916641" w:rsidRPr="00916641" w:rsidRDefault="00916641" w:rsidP="00916641">
      <w:pPr>
        <w:autoSpaceDE w:val="0"/>
        <w:autoSpaceDN w:val="0"/>
        <w:adjustRightInd w:val="0"/>
        <w:jc w:val="both"/>
        <w:rPr>
          <w:rFonts w:ascii="Arial" w:hAnsi="Arial" w:cs="Arial"/>
          <w:color w:val="000000"/>
          <w:kern w:val="0"/>
        </w:rPr>
      </w:pPr>
      <w:proofErr w:type="spellStart"/>
      <w:r w:rsidRPr="00916641">
        <w:rPr>
          <w:rFonts w:ascii="Arial" w:hAnsi="Arial" w:cs="Arial"/>
          <w:color w:val="000000"/>
          <w:kern w:val="0"/>
        </w:rPr>
        <w:t>Mens</w:t>
      </w:r>
      <w:proofErr w:type="spellEnd"/>
      <w:r w:rsidRPr="00916641">
        <w:rPr>
          <w:rFonts w:ascii="Arial" w:hAnsi="Arial" w:cs="Arial"/>
          <w:color w:val="000000"/>
          <w:kern w:val="0"/>
        </w:rPr>
        <w:t xml:space="preserve"> rea allows us to understand the suspects mental state during the crime. We can see there was a build-up of Polly’s mental and emotional state leading up to the violent act. This is relevant to the case as it allows us to assess how her medical condition (schizophrenia, as defined by the Mental Health Act 2007) affected her mental process and the events leading up to the act may be factors in determining whether her mental state impacted her ability to form the necessary </w:t>
      </w:r>
      <w:proofErr w:type="spellStart"/>
      <w:r w:rsidRPr="00916641">
        <w:rPr>
          <w:rFonts w:ascii="Arial" w:hAnsi="Arial" w:cs="Arial"/>
          <w:color w:val="000000"/>
          <w:kern w:val="0"/>
        </w:rPr>
        <w:t>mens</w:t>
      </w:r>
      <w:proofErr w:type="spellEnd"/>
      <w:r w:rsidRPr="00916641">
        <w:rPr>
          <w:rFonts w:ascii="Arial" w:hAnsi="Arial" w:cs="Arial"/>
          <w:color w:val="000000"/>
          <w:kern w:val="0"/>
        </w:rPr>
        <w:t xml:space="preserve"> rea.</w:t>
      </w:r>
    </w:p>
    <w:p w14:paraId="4CAAAB24"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1635B6E2" w14:textId="1C3C56F2" w:rsidR="00AC7728"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Polly’s action here </w:t>
      </w:r>
      <w:r w:rsidR="00AC7728">
        <w:rPr>
          <w:rFonts w:ascii="Arial" w:hAnsi="Arial" w:cs="Arial"/>
          <w:color w:val="000000"/>
          <w:kern w:val="0"/>
        </w:rPr>
        <w:t>allows us to understand her actus reus</w:t>
      </w:r>
      <w:r w:rsidRPr="00916641">
        <w:rPr>
          <w:rFonts w:ascii="Arial" w:hAnsi="Arial" w:cs="Arial"/>
          <w:color w:val="000000"/>
          <w:kern w:val="0"/>
        </w:rPr>
        <w:t xml:space="preserve"> </w:t>
      </w:r>
      <w:r w:rsidR="00AC7728">
        <w:rPr>
          <w:rFonts w:ascii="Arial" w:hAnsi="Arial" w:cs="Arial"/>
          <w:color w:val="000000"/>
          <w:kern w:val="0"/>
        </w:rPr>
        <w:t xml:space="preserve">and how she formed </w:t>
      </w:r>
      <w:r w:rsidRPr="00916641">
        <w:rPr>
          <w:rFonts w:ascii="Arial" w:hAnsi="Arial" w:cs="Arial"/>
          <w:color w:val="000000"/>
          <w:kern w:val="0"/>
        </w:rPr>
        <w:t>intention to cause serious harm to Roxanne</w:t>
      </w:r>
      <w:r w:rsidR="00AC7728">
        <w:rPr>
          <w:rFonts w:ascii="Arial" w:hAnsi="Arial" w:cs="Arial"/>
          <w:color w:val="000000"/>
          <w:kern w:val="0"/>
        </w:rPr>
        <w:t>. This was done by</w:t>
      </w:r>
      <w:r w:rsidRPr="00916641">
        <w:rPr>
          <w:rFonts w:ascii="Arial" w:hAnsi="Arial" w:cs="Arial"/>
          <w:color w:val="000000"/>
          <w:kern w:val="0"/>
        </w:rPr>
        <w:t xml:space="preserve"> </w:t>
      </w:r>
      <w:r w:rsidR="00AC7728" w:rsidRPr="00916641">
        <w:rPr>
          <w:rFonts w:ascii="Arial" w:hAnsi="Arial" w:cs="Arial"/>
          <w:color w:val="000000"/>
          <w:kern w:val="0"/>
        </w:rPr>
        <w:t>Polly</w:t>
      </w:r>
      <w:r w:rsidRPr="00916641">
        <w:rPr>
          <w:rFonts w:ascii="Arial" w:hAnsi="Arial" w:cs="Arial"/>
          <w:color w:val="000000"/>
          <w:kern w:val="0"/>
        </w:rPr>
        <w:t xml:space="preserve"> severing the breaks cable. Polly acted intentionally due to her being upset with Roxanne and wanting to harm Roxanne. Polly’s </w:t>
      </w:r>
      <w:proofErr w:type="spellStart"/>
      <w:r w:rsidRPr="00916641">
        <w:rPr>
          <w:rFonts w:ascii="Arial" w:hAnsi="Arial" w:cs="Arial"/>
          <w:color w:val="000000"/>
          <w:kern w:val="0"/>
        </w:rPr>
        <w:t>mens</w:t>
      </w:r>
      <w:proofErr w:type="spellEnd"/>
      <w:r w:rsidRPr="00916641">
        <w:rPr>
          <w:rFonts w:ascii="Arial" w:hAnsi="Arial" w:cs="Arial"/>
          <w:color w:val="000000"/>
          <w:kern w:val="0"/>
        </w:rPr>
        <w:t xml:space="preserve"> rea shows us she was upset at Mohammad for flirting with Roxanne, so this is a factor to consider in deciding if it was reckless or intentional. Another reason why it was an intentional act was after Polly picked up the glass from the floor, she knew it would sever the breaks cable, so she continued to commit the act.</w:t>
      </w:r>
      <w:r w:rsidR="00AC7728">
        <w:rPr>
          <w:rFonts w:ascii="Arial" w:hAnsi="Arial" w:cs="Arial"/>
          <w:color w:val="000000"/>
          <w:kern w:val="0"/>
        </w:rPr>
        <w:t xml:space="preserve"> This allows us to establish her actus reus was to intentionally cause damage.</w:t>
      </w:r>
    </w:p>
    <w:p w14:paraId="6D7A6F95"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0D17A550" w14:textId="113D8E5C"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It is very possible that the medical condition that Polly has</w:t>
      </w:r>
      <w:r w:rsidR="00AC7728">
        <w:rPr>
          <w:rFonts w:ascii="Arial" w:hAnsi="Arial" w:cs="Arial"/>
          <w:color w:val="000000"/>
          <w:kern w:val="0"/>
        </w:rPr>
        <w:t xml:space="preserve">, </w:t>
      </w:r>
      <w:r w:rsidRPr="00916641">
        <w:rPr>
          <w:rFonts w:ascii="Arial" w:hAnsi="Arial" w:cs="Arial"/>
          <w:color w:val="000000"/>
          <w:kern w:val="0"/>
        </w:rPr>
        <w:t>could have contributed to her actions</w:t>
      </w:r>
      <w:r w:rsidR="00AC7728">
        <w:rPr>
          <w:rFonts w:ascii="Arial" w:hAnsi="Arial" w:cs="Arial"/>
          <w:color w:val="000000"/>
          <w:kern w:val="0"/>
        </w:rPr>
        <w:t>. T</w:t>
      </w:r>
      <w:r w:rsidRPr="00916641">
        <w:rPr>
          <w:rFonts w:ascii="Arial" w:hAnsi="Arial" w:cs="Arial"/>
          <w:color w:val="000000"/>
          <w:kern w:val="0"/>
        </w:rPr>
        <w:t xml:space="preserve">his could also impact her </w:t>
      </w:r>
      <w:proofErr w:type="spellStart"/>
      <w:r w:rsidRPr="00916641">
        <w:rPr>
          <w:rFonts w:ascii="Arial" w:hAnsi="Arial" w:cs="Arial"/>
          <w:color w:val="000000"/>
          <w:kern w:val="0"/>
        </w:rPr>
        <w:t>mens</w:t>
      </w:r>
      <w:proofErr w:type="spellEnd"/>
      <w:r w:rsidRPr="00916641">
        <w:rPr>
          <w:rFonts w:ascii="Arial" w:hAnsi="Arial" w:cs="Arial"/>
          <w:color w:val="000000"/>
          <w:kern w:val="0"/>
        </w:rPr>
        <w:t xml:space="preserve"> rea. It is important we link these together because if Polly didn’t have the medical condition, she may not have acted this way.</w:t>
      </w:r>
    </w:p>
    <w:p w14:paraId="5F2D9D0A"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73EE8490"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This act made by Polly satisfies intentional ‘CRIMINAL DAMAGE’ by examining her </w:t>
      </w:r>
      <w:proofErr w:type="spellStart"/>
      <w:r w:rsidRPr="00916641">
        <w:rPr>
          <w:rFonts w:ascii="Arial" w:hAnsi="Arial" w:cs="Arial"/>
          <w:color w:val="000000"/>
          <w:kern w:val="0"/>
        </w:rPr>
        <w:t>mens</w:t>
      </w:r>
      <w:proofErr w:type="spellEnd"/>
      <w:r w:rsidRPr="00916641">
        <w:rPr>
          <w:rFonts w:ascii="Arial" w:hAnsi="Arial" w:cs="Arial"/>
          <w:color w:val="000000"/>
          <w:kern w:val="0"/>
        </w:rPr>
        <w:t xml:space="preserve"> rea and actus reus that allows us to satisfy that she deliberately damaged the moped belonging to Roxanne. However, it is also important to note, due to Polly cutting the breaks cable it could have caused serious harm and led to a serious accident or even death. This can also see Polly being charged with additional charges such as reckless endangerment or even manslaughter. Criminal Damage is defined under the Criminal Damage Act 1971. This act helps us understand that Polly used an article with intent to cause criminal damage. This offence is a statutory offence meaning it is created by statute now by the common law.</w:t>
      </w:r>
    </w:p>
    <w:p w14:paraId="206072CA"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2F206735"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lastRenderedPageBreak/>
        <w:t xml:space="preserve">Due to Polly potentially being affected by her medical condition, Polly could have a defence of diminished capability or responsibility. This would depend on the facts and circumstances of the case. </w:t>
      </w:r>
    </w:p>
    <w:p w14:paraId="09241C19"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49569544" w14:textId="0CD6028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However, Polly then continued to walk home with Mohammad. Upon arriving home, we can see that Polly is seen to confront Mohammad with what happened in the pub. Polly is then reassured by Mohammad, but Polly continues to get </w:t>
      </w:r>
      <w:r w:rsidR="00AC7728">
        <w:rPr>
          <w:rFonts w:ascii="Arial" w:hAnsi="Arial" w:cs="Arial"/>
          <w:color w:val="000000"/>
          <w:kern w:val="0"/>
        </w:rPr>
        <w:t>increasingly aggressive</w:t>
      </w:r>
      <w:r w:rsidRPr="00916641">
        <w:rPr>
          <w:rFonts w:ascii="Arial" w:hAnsi="Arial" w:cs="Arial"/>
          <w:color w:val="000000"/>
          <w:kern w:val="0"/>
        </w:rPr>
        <w:t xml:space="preserve"> and continues to question Mohammad. Mohammad then snaps and declares he has been having an affair with Roxanne for the past 9 months. Polly turns away to cry and as she turns, she notices a glass ashtray and uses that to smash it across Mohammad’s head. Mohammad dies instantly from the injury.</w:t>
      </w:r>
    </w:p>
    <w:p w14:paraId="19A935A9"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0B7C53B6"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We can now examine the </w:t>
      </w:r>
      <w:proofErr w:type="spellStart"/>
      <w:r w:rsidRPr="00916641">
        <w:rPr>
          <w:rFonts w:ascii="Arial" w:hAnsi="Arial" w:cs="Arial"/>
          <w:color w:val="000000"/>
          <w:kern w:val="0"/>
        </w:rPr>
        <w:t>mens</w:t>
      </w:r>
      <w:proofErr w:type="spellEnd"/>
      <w:r w:rsidRPr="00916641">
        <w:rPr>
          <w:rFonts w:ascii="Arial" w:hAnsi="Arial" w:cs="Arial"/>
          <w:color w:val="000000"/>
          <w:kern w:val="0"/>
        </w:rPr>
        <w:t xml:space="preserve"> rea and actus reus of this crime. Based upon the previous events of the night, we see that Polly’s mental state has not changed. She appears to form intent to harm by acknowledging the glass ashtray before using it. This helps us determine the intentional act due to her striking Mohammad with it.</w:t>
      </w:r>
    </w:p>
    <w:p w14:paraId="3BA43340"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254EF8B1"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We can determine that the actus reus of Polly was the act being committed which was hitting Mohammad over the head with an ashtray which caused death. The act </w:t>
      </w:r>
      <w:proofErr w:type="spellStart"/>
      <w:r w:rsidRPr="00916641">
        <w:rPr>
          <w:rFonts w:ascii="Arial" w:hAnsi="Arial" w:cs="Arial"/>
          <w:color w:val="000000"/>
          <w:kern w:val="0"/>
        </w:rPr>
        <w:t>polly</w:t>
      </w:r>
      <w:proofErr w:type="spellEnd"/>
      <w:r w:rsidRPr="00916641">
        <w:rPr>
          <w:rFonts w:ascii="Arial" w:hAnsi="Arial" w:cs="Arial"/>
          <w:color w:val="000000"/>
          <w:kern w:val="0"/>
        </w:rPr>
        <w:t xml:space="preserve"> committed satisfies the requirements of the offence of murder, which is the unlawful killing of a person with malice aforethought. </w:t>
      </w:r>
    </w:p>
    <w:p w14:paraId="61A75AFE"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6C5AA10E" w14:textId="7CDB263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A relevant case law we can apply here is R v. Hatter (2013) which established that a defendant CAN be found guilty of murder even if they did not intend to kill the victim, </w:t>
      </w:r>
      <w:r w:rsidR="00AC7728">
        <w:rPr>
          <w:rFonts w:ascii="Arial" w:hAnsi="Arial" w:cs="Arial"/>
          <w:color w:val="000000"/>
          <w:kern w:val="0"/>
        </w:rPr>
        <w:t xml:space="preserve">but </w:t>
      </w:r>
      <w:r w:rsidRPr="00916641">
        <w:rPr>
          <w:rFonts w:ascii="Arial" w:hAnsi="Arial" w:cs="Arial"/>
          <w:color w:val="000000"/>
          <w:kern w:val="0"/>
        </w:rPr>
        <w:t xml:space="preserve">they intended to cause serious </w:t>
      </w:r>
      <w:r w:rsidR="00AC7728" w:rsidRPr="00916641">
        <w:rPr>
          <w:rFonts w:ascii="Arial" w:hAnsi="Arial" w:cs="Arial"/>
          <w:color w:val="000000"/>
          <w:kern w:val="0"/>
        </w:rPr>
        <w:t>harm</w:t>
      </w:r>
      <w:r w:rsidR="00AC7728">
        <w:rPr>
          <w:rFonts w:ascii="Arial" w:hAnsi="Arial" w:cs="Arial"/>
          <w:color w:val="000000"/>
          <w:kern w:val="0"/>
        </w:rPr>
        <w:t xml:space="preserve">, </w:t>
      </w:r>
      <w:r w:rsidR="00AC7728" w:rsidRPr="00916641">
        <w:rPr>
          <w:rFonts w:ascii="Arial" w:hAnsi="Arial" w:cs="Arial"/>
          <w:color w:val="000000"/>
          <w:kern w:val="0"/>
        </w:rPr>
        <w:t>which</w:t>
      </w:r>
      <w:r w:rsidRPr="00916641">
        <w:rPr>
          <w:rFonts w:ascii="Arial" w:hAnsi="Arial" w:cs="Arial"/>
          <w:color w:val="000000"/>
          <w:kern w:val="0"/>
        </w:rPr>
        <w:t xml:space="preserve"> is also satisfied due to Polly wanting to cause harm to Mohammad by using the glass ashtray. In the case law</w:t>
      </w:r>
      <w:r w:rsidR="00AC7728">
        <w:rPr>
          <w:rFonts w:ascii="Arial" w:hAnsi="Arial" w:cs="Arial"/>
          <w:color w:val="000000"/>
          <w:kern w:val="0"/>
        </w:rPr>
        <w:t>,</w:t>
      </w:r>
      <w:r w:rsidRPr="00916641">
        <w:rPr>
          <w:rFonts w:ascii="Arial" w:hAnsi="Arial" w:cs="Arial"/>
          <w:color w:val="000000"/>
          <w:kern w:val="0"/>
        </w:rPr>
        <w:t xml:space="preserve"> R v. Kemp (1957) we can also establish the defendant can be found guilty of murder if they intended to cause serious harm and were also aware that their actions could cause death. </w:t>
      </w:r>
    </w:p>
    <w:p w14:paraId="6BE18DAB"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4704D56D" w14:textId="554E54FC"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We can see that Polly didn’t intend to kill Mohammad, she wanted to cause serious harm, but we need to consider while Polly may not have intended to kill Mohammad, the level of violence she used to hit Mohammad over the head that eventually killed him, would likely be seen as enough intent required for the charge of murder. She may have acted impulsively due to the medical condition and her emotional state, but there was enough satisfaction that she intended to cause harm. Referring to R</w:t>
      </w:r>
      <w:r w:rsidR="00B10D1F">
        <w:rPr>
          <w:rFonts w:ascii="Arial" w:hAnsi="Arial" w:cs="Arial"/>
          <w:color w:val="000000"/>
          <w:kern w:val="0"/>
        </w:rPr>
        <w:t xml:space="preserve"> </w:t>
      </w:r>
      <w:r w:rsidRPr="00916641">
        <w:rPr>
          <w:rFonts w:ascii="Arial" w:hAnsi="Arial" w:cs="Arial"/>
          <w:color w:val="000000"/>
          <w:kern w:val="0"/>
        </w:rPr>
        <w:t>v. Hatter (2013), it was established that a person can be guilty of murder even if they did not intend to kill but had the intent to cause serious harm.</w:t>
      </w:r>
    </w:p>
    <w:p w14:paraId="1F7C9DA0"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0AB7D39A" w14:textId="1F3676CA"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Polly could also argue that she was voluntary intoxicated due to being in the local pub and potentially drinking a lot. In the case law of</w:t>
      </w:r>
      <w:r w:rsidR="00B10D1F">
        <w:rPr>
          <w:rFonts w:ascii="Arial" w:hAnsi="Arial" w:cs="Arial"/>
          <w:color w:val="000000"/>
          <w:kern w:val="0"/>
        </w:rPr>
        <w:t xml:space="preserve"> R v.</w:t>
      </w:r>
      <w:r w:rsidRPr="00916641">
        <w:rPr>
          <w:rFonts w:ascii="Arial" w:hAnsi="Arial" w:cs="Arial"/>
          <w:color w:val="000000"/>
          <w:kern w:val="0"/>
        </w:rPr>
        <w:t xml:space="preserve"> Lipman (1970), it was established that the defendant cannot use voluntary intoxication as a defence.</w:t>
      </w:r>
    </w:p>
    <w:p w14:paraId="493D7191"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553AB179"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Conclusion:</w:t>
      </w:r>
    </w:p>
    <w:p w14:paraId="47B75B14"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602DEC39"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lastRenderedPageBreak/>
        <w:t>Considering everything that we have examined and established, Polly would be charged with Criminal Damage and Murder. Polly can also have defences for both charges which are:</w:t>
      </w:r>
    </w:p>
    <w:p w14:paraId="5CCC3E5E"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22817910"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Polly can have defences for the criminal damage which she could argue her </w:t>
      </w:r>
      <w:proofErr w:type="spellStart"/>
      <w:r w:rsidRPr="00916641">
        <w:rPr>
          <w:rFonts w:ascii="Arial" w:hAnsi="Arial" w:cs="Arial"/>
          <w:color w:val="000000"/>
          <w:kern w:val="0"/>
        </w:rPr>
        <w:t>mens</w:t>
      </w:r>
      <w:proofErr w:type="spellEnd"/>
      <w:r w:rsidRPr="00916641">
        <w:rPr>
          <w:rFonts w:ascii="Arial" w:hAnsi="Arial" w:cs="Arial"/>
          <w:color w:val="000000"/>
          <w:kern w:val="0"/>
        </w:rPr>
        <w:t xml:space="preserve"> rea and actus reus was affected due to her having a medical condition (defined by the Mental Health Act 2007) which was schizophrenia. She could explain she was not in control of her actions or responsibility which could then affect the outcome of her </w:t>
      </w:r>
      <w:proofErr w:type="spellStart"/>
      <w:r w:rsidRPr="00916641">
        <w:rPr>
          <w:rFonts w:ascii="Arial" w:hAnsi="Arial" w:cs="Arial"/>
          <w:color w:val="000000"/>
          <w:kern w:val="0"/>
        </w:rPr>
        <w:t>mens</w:t>
      </w:r>
      <w:proofErr w:type="spellEnd"/>
      <w:r w:rsidRPr="00916641">
        <w:rPr>
          <w:rFonts w:ascii="Arial" w:hAnsi="Arial" w:cs="Arial"/>
          <w:color w:val="000000"/>
          <w:kern w:val="0"/>
        </w:rPr>
        <w:t xml:space="preserve"> rea and intention of damaging the moped.</w:t>
      </w:r>
    </w:p>
    <w:p w14:paraId="5C0E1747"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239FEF0A" w14:textId="77777777" w:rsid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Murder is defined under the Homicide Act 1957 section 1(1) as ‘The unlawful killing of a reasonable person in being and under the queen’s peace with the intent to kill or cause GBH.’ But due to her intending to cause harm with her </w:t>
      </w:r>
      <w:proofErr w:type="spellStart"/>
      <w:r w:rsidRPr="00916641">
        <w:rPr>
          <w:rFonts w:ascii="Arial" w:hAnsi="Arial" w:cs="Arial"/>
          <w:color w:val="000000"/>
          <w:kern w:val="0"/>
        </w:rPr>
        <w:t>mens</w:t>
      </w:r>
      <w:proofErr w:type="spellEnd"/>
      <w:r w:rsidRPr="00916641">
        <w:rPr>
          <w:rFonts w:ascii="Arial" w:hAnsi="Arial" w:cs="Arial"/>
          <w:color w:val="000000"/>
          <w:kern w:val="0"/>
        </w:rPr>
        <w:t xml:space="preserve"> rea and the actus reus being the act of the killing, this would still be a murder charge and not manslaughter.</w:t>
      </w:r>
    </w:p>
    <w:p w14:paraId="6E07C32A" w14:textId="77777777" w:rsidR="00FE1B9A" w:rsidRDefault="00FE1B9A" w:rsidP="00916641">
      <w:pPr>
        <w:autoSpaceDE w:val="0"/>
        <w:autoSpaceDN w:val="0"/>
        <w:adjustRightInd w:val="0"/>
        <w:jc w:val="both"/>
        <w:rPr>
          <w:rFonts w:ascii="Arial" w:hAnsi="Arial" w:cs="Arial"/>
          <w:color w:val="000000"/>
          <w:kern w:val="0"/>
        </w:rPr>
      </w:pPr>
    </w:p>
    <w:p w14:paraId="6697858C" w14:textId="2BD24703" w:rsidR="00FE1B9A" w:rsidRPr="00916641" w:rsidRDefault="00FE1B9A" w:rsidP="00916641">
      <w:pPr>
        <w:autoSpaceDE w:val="0"/>
        <w:autoSpaceDN w:val="0"/>
        <w:adjustRightInd w:val="0"/>
        <w:jc w:val="both"/>
        <w:rPr>
          <w:rFonts w:ascii="Arial" w:hAnsi="Arial" w:cs="Arial"/>
          <w:color w:val="000000"/>
          <w:kern w:val="0"/>
        </w:rPr>
      </w:pPr>
      <w:r>
        <w:rPr>
          <w:rFonts w:ascii="Arial" w:hAnsi="Arial" w:cs="Arial"/>
          <w:color w:val="000000"/>
          <w:kern w:val="0"/>
        </w:rPr>
        <w:t xml:space="preserve">However, in the case law of R v. Moyle (2008), it was established that the defendant argued he was suffering from an abnormality of mind and was not guilty of murder due to diminished responsibility, but the jury eventually found the defendant to be guilty. </w:t>
      </w:r>
      <w:r w:rsidR="00B10D1F">
        <w:rPr>
          <w:rFonts w:ascii="Arial" w:hAnsi="Arial" w:cs="Arial"/>
          <w:color w:val="000000"/>
          <w:kern w:val="0"/>
        </w:rPr>
        <w:t>Also,</w:t>
      </w:r>
      <w:r>
        <w:rPr>
          <w:rFonts w:ascii="Arial" w:hAnsi="Arial" w:cs="Arial"/>
          <w:color w:val="000000"/>
          <w:kern w:val="0"/>
        </w:rPr>
        <w:t xml:space="preserve"> in the case law of R v. </w:t>
      </w:r>
      <w:proofErr w:type="spellStart"/>
      <w:r>
        <w:rPr>
          <w:rFonts w:ascii="Arial" w:hAnsi="Arial" w:cs="Arial"/>
          <w:color w:val="000000"/>
          <w:kern w:val="0"/>
        </w:rPr>
        <w:t>Woollin</w:t>
      </w:r>
      <w:proofErr w:type="spellEnd"/>
      <w:r>
        <w:rPr>
          <w:rFonts w:ascii="Arial" w:hAnsi="Arial" w:cs="Arial"/>
          <w:color w:val="000000"/>
          <w:kern w:val="0"/>
        </w:rPr>
        <w:t xml:space="preserve"> (1999), this case created a test of ‘virtual certainty’ to establish intent in murder cases. This test allows us to understand if the defendant foresaw death or serious injury would be a certain outcome due to their actions. Because of this, it allows us to establish that Polly had certainly known that smashing a Glass ashtray over Mohammad’s head would either cause serious harm or death.</w:t>
      </w:r>
    </w:p>
    <w:p w14:paraId="49A209DB"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6860EB60" w14:textId="6943E3C6"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Polly’s defence for the murder would be diminished responsibility (defined under S2 Homicide Act 1957) due to her medical condition. Due to the mental Health Act 2007, this allows her to argue that she was under the influence of the condition at the time of the crime being committed which she could continue to argue that it impacted the understanding of her actions. Diminished responsibility was used in the case of R v. Byrne (1960) and was established that the defendants mental state was substantially impaired </w:t>
      </w:r>
      <w:r w:rsidR="00FE1B9A">
        <w:rPr>
          <w:rFonts w:ascii="Arial" w:hAnsi="Arial" w:cs="Arial"/>
          <w:color w:val="000000"/>
          <w:kern w:val="0"/>
        </w:rPr>
        <w:t xml:space="preserve">and </w:t>
      </w:r>
      <w:r w:rsidRPr="00916641">
        <w:rPr>
          <w:rFonts w:ascii="Arial" w:hAnsi="Arial" w:cs="Arial"/>
          <w:color w:val="000000"/>
          <w:kern w:val="0"/>
        </w:rPr>
        <w:t>his mental responsibility of his actions, resulting in his charge going from murder to manslaughter.</w:t>
      </w:r>
    </w:p>
    <w:p w14:paraId="6932B364"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5918E449"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xml:space="preserve">Polly could also argue for another defence of provocation. After Mohammad confessed, he become very angry at Polly due to the questioning. If the defendant’s team determine that Mohammad’s actions were sufficient to cause a reasonable person to lose control and act impulsively, this defence may be available. This could result in Polly’s charges being reduced from murder to voluntary manslaughter, this is defined under section 54(1) of the Coroners and Justice Act 2009. Provocation was also used as a defence in the case of R v. Smith (1959) where it was held that the defendant was able to use the defence due to the victim’s actions being able to cause a reasonable person to lose their self-control and impulsiveness, but the jury rejected the defence. </w:t>
      </w:r>
    </w:p>
    <w:p w14:paraId="2AFAA002"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 </w:t>
      </w:r>
    </w:p>
    <w:p w14:paraId="6BD93E3F" w14:textId="77777777" w:rsidR="00916641" w:rsidRPr="00916641" w:rsidRDefault="00916641" w:rsidP="00916641">
      <w:pPr>
        <w:autoSpaceDE w:val="0"/>
        <w:autoSpaceDN w:val="0"/>
        <w:adjustRightInd w:val="0"/>
        <w:jc w:val="both"/>
        <w:rPr>
          <w:rFonts w:ascii="Arial" w:hAnsi="Arial" w:cs="Arial"/>
          <w:color w:val="000000"/>
          <w:kern w:val="0"/>
        </w:rPr>
      </w:pPr>
      <w:r w:rsidRPr="00916641">
        <w:rPr>
          <w:rFonts w:ascii="Arial" w:hAnsi="Arial" w:cs="Arial"/>
          <w:color w:val="000000"/>
          <w:kern w:val="0"/>
        </w:rPr>
        <w:t>However, these defences may not be successful depending on the circumstances of the case and the evidence provided. The jury may allow these defences, but it would be dependent on the fact if she satisfies the intent and reasonable grounds.</w:t>
      </w:r>
    </w:p>
    <w:p w14:paraId="1DEBC9AD" w14:textId="3BC4F6AA" w:rsidR="00DF05D2" w:rsidRDefault="00E0416B">
      <w:r>
        <w:lastRenderedPageBreak/>
        <w:t xml:space="preserve">Case Law: </w:t>
      </w:r>
    </w:p>
    <w:p w14:paraId="06B10E45" w14:textId="77777777" w:rsidR="00E0416B" w:rsidRDefault="00E0416B"/>
    <w:p w14:paraId="7689D35C" w14:textId="5A17848A" w:rsidR="00B10D1F" w:rsidRDefault="00E0416B">
      <w:r>
        <w:t>R v. Hatter (2013)</w:t>
      </w:r>
      <w:r w:rsidR="00B10D1F">
        <w:t xml:space="preserve"> EWCA CRIM 1969</w:t>
      </w:r>
    </w:p>
    <w:p w14:paraId="05FE6981" w14:textId="0BF30AA5" w:rsidR="00B10D1F" w:rsidRDefault="00B10D1F">
      <w:r>
        <w:t>Court of Appeal (criminal division)</w:t>
      </w:r>
    </w:p>
    <w:p w14:paraId="4ABF5D10" w14:textId="77777777" w:rsidR="00B10D1F" w:rsidRDefault="00B10D1F"/>
    <w:p w14:paraId="2E15377A" w14:textId="08DCE957" w:rsidR="00B10D1F" w:rsidRDefault="00B10D1F">
      <w:r>
        <w:t>R v. Kemp (1957) 1 QB 399</w:t>
      </w:r>
    </w:p>
    <w:p w14:paraId="7FBBFDC5" w14:textId="1CB096DF" w:rsidR="00B10D1F" w:rsidRDefault="00B10D1F">
      <w:r>
        <w:t>Queen’s bench division of the high court of England and Wales</w:t>
      </w:r>
    </w:p>
    <w:p w14:paraId="2694702C" w14:textId="77777777" w:rsidR="00B10D1F" w:rsidRDefault="00B10D1F"/>
    <w:p w14:paraId="44A3344F" w14:textId="28B10843" w:rsidR="00B10D1F" w:rsidRDefault="00B10D1F">
      <w:r>
        <w:t>R v. Lipman (1970) 1 QB 152</w:t>
      </w:r>
    </w:p>
    <w:p w14:paraId="21446750" w14:textId="24324B4D" w:rsidR="00B10D1F" w:rsidRDefault="00B10D1F">
      <w:r>
        <w:t>Queen’s bench division of the high court of England and Wales</w:t>
      </w:r>
    </w:p>
    <w:p w14:paraId="1E12A0BA" w14:textId="77777777" w:rsidR="00B10D1F" w:rsidRDefault="00B10D1F"/>
    <w:p w14:paraId="3B01A92C" w14:textId="753ECD65" w:rsidR="00B10D1F" w:rsidRDefault="00B10D1F">
      <w:r>
        <w:t>R v. Moyle (2018) EWCA CRIM 304</w:t>
      </w:r>
    </w:p>
    <w:p w14:paraId="16B6DAC3" w14:textId="78282003" w:rsidR="00B10D1F" w:rsidRDefault="00B10D1F">
      <w:r>
        <w:t>Court of Appeal (criminal division)</w:t>
      </w:r>
    </w:p>
    <w:p w14:paraId="3F040555" w14:textId="77777777" w:rsidR="00B10D1F" w:rsidRDefault="00B10D1F"/>
    <w:p w14:paraId="6CECCB60" w14:textId="6536B600" w:rsidR="00B10D1F" w:rsidRDefault="00B10D1F">
      <w:r>
        <w:t xml:space="preserve">R v. </w:t>
      </w:r>
      <w:proofErr w:type="spellStart"/>
      <w:r>
        <w:t>Woollin</w:t>
      </w:r>
      <w:proofErr w:type="spellEnd"/>
      <w:r>
        <w:t xml:space="preserve"> (1999) UKHL 45</w:t>
      </w:r>
    </w:p>
    <w:p w14:paraId="2ED024BA" w14:textId="3325C42A" w:rsidR="00B10D1F" w:rsidRDefault="00FC5997">
      <w:r>
        <w:t>House of Lords (Now the supreme court of the UK)</w:t>
      </w:r>
    </w:p>
    <w:p w14:paraId="48D18536" w14:textId="77777777" w:rsidR="00B10D1F" w:rsidRDefault="00B10D1F"/>
    <w:p w14:paraId="2318A0DA" w14:textId="2112E7E6" w:rsidR="00B10D1F" w:rsidRDefault="00B10D1F">
      <w:r>
        <w:t>R v. Byrne (1960) 2 QB 396</w:t>
      </w:r>
    </w:p>
    <w:p w14:paraId="48F42E22" w14:textId="10291EAF" w:rsidR="00B10D1F" w:rsidRDefault="00B10D1F">
      <w:r>
        <w:t>Queen’s bench division of the high court of England and Wales</w:t>
      </w:r>
    </w:p>
    <w:p w14:paraId="0CB15B61" w14:textId="77777777" w:rsidR="00B10D1F" w:rsidRDefault="00B10D1F"/>
    <w:p w14:paraId="4D0DEA03" w14:textId="5A6FAB1C" w:rsidR="00B10D1F" w:rsidRDefault="00B10D1F">
      <w:r>
        <w:t>R v. Smith (1959) 2 QB 35</w:t>
      </w:r>
    </w:p>
    <w:p w14:paraId="776952F7" w14:textId="77777777" w:rsidR="00B10D1F" w:rsidRDefault="00B10D1F" w:rsidP="00B10D1F">
      <w:r>
        <w:t>Queen’s bench division of the high court of England and Wales</w:t>
      </w:r>
    </w:p>
    <w:p w14:paraId="2B625BD2" w14:textId="77777777" w:rsidR="00B10D1F" w:rsidRDefault="00B10D1F"/>
    <w:p w14:paraId="29ED2A32" w14:textId="77777777" w:rsidR="00B10D1F" w:rsidRDefault="00B10D1F"/>
    <w:p w14:paraId="4EFE1271" w14:textId="77777777" w:rsidR="00B10D1F" w:rsidRDefault="00B10D1F"/>
    <w:p w14:paraId="5B03351A" w14:textId="77777777" w:rsidR="00B10D1F" w:rsidRDefault="00B10D1F"/>
    <w:p w14:paraId="4F825045" w14:textId="77777777" w:rsidR="00B10D1F" w:rsidRDefault="00B10D1F"/>
    <w:p w14:paraId="60C18C4E" w14:textId="77777777" w:rsidR="00B10D1F" w:rsidRDefault="00B10D1F"/>
    <w:p w14:paraId="67DAFD5F" w14:textId="77777777" w:rsidR="00B10D1F" w:rsidRDefault="00B10D1F"/>
    <w:sectPr w:rsidR="00B10D1F" w:rsidSect="00DB0A4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641"/>
    <w:rsid w:val="006943CD"/>
    <w:rsid w:val="006E49DB"/>
    <w:rsid w:val="00916641"/>
    <w:rsid w:val="00962BE8"/>
    <w:rsid w:val="00AC7728"/>
    <w:rsid w:val="00B10D1F"/>
    <w:rsid w:val="00B25F58"/>
    <w:rsid w:val="00DF05D2"/>
    <w:rsid w:val="00E0416B"/>
    <w:rsid w:val="00FC5997"/>
    <w:rsid w:val="00FE1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168AF0"/>
  <w15:chartTrackingRefBased/>
  <w15:docId w15:val="{05666A95-0906-EA41-B0C2-647A20261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1418</Words>
  <Characters>8085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 (2200579)</dc:creator>
  <cp:keywords/>
  <dc:description/>
  <cp:lastModifiedBy>Connor Sturgess (2200579)</cp:lastModifiedBy>
  <cp:revision>2</cp:revision>
  <dcterms:created xsi:type="dcterms:W3CDTF">2023-05-05T19:05:00Z</dcterms:created>
  <dcterms:modified xsi:type="dcterms:W3CDTF">2023-05-05T19:05:00Z</dcterms:modified>
</cp:coreProperties>
</file>