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0909C2" w:rsidR="000909C2" w:rsidP="000909C2" w:rsidRDefault="000909C2" w14:paraId="58DF8B1E" w14:textId="77777777">
      <w:pPr>
        <w:jc w:val="center"/>
        <w:rPr>
          <w:rFonts w:ascii="Arial" w:hAnsi="Arial" w:cs="Arial"/>
          <w:b/>
          <w:bCs/>
        </w:rPr>
      </w:pPr>
    </w:p>
    <w:p w:rsidRPr="000909C2" w:rsidR="000909C2" w:rsidP="000909C2" w:rsidRDefault="000909C2" w14:paraId="08926BE1" w14:textId="77777777">
      <w:pPr>
        <w:jc w:val="center"/>
        <w:rPr>
          <w:rFonts w:ascii="Arial" w:hAnsi="Arial" w:cs="Arial"/>
          <w:b/>
          <w:bCs/>
        </w:rPr>
      </w:pPr>
    </w:p>
    <w:p w:rsidRPr="000909C2" w:rsidR="000909C2" w:rsidP="000909C2" w:rsidRDefault="000909C2" w14:paraId="0A21B6A0" w14:textId="77777777">
      <w:pPr>
        <w:jc w:val="center"/>
        <w:rPr>
          <w:rFonts w:ascii="Arial" w:hAnsi="Arial" w:cs="Arial"/>
          <w:b/>
          <w:bCs/>
        </w:rPr>
      </w:pPr>
    </w:p>
    <w:p w:rsidRPr="000909C2" w:rsidR="000909C2" w:rsidP="000909C2" w:rsidRDefault="000909C2" w14:paraId="0E1400ED" w14:textId="77777777">
      <w:pPr>
        <w:jc w:val="center"/>
        <w:rPr>
          <w:rFonts w:ascii="Arial" w:hAnsi="Arial" w:cs="Arial"/>
          <w:b/>
          <w:bCs/>
        </w:rPr>
      </w:pPr>
    </w:p>
    <w:p w:rsidRPr="000909C2" w:rsidR="000909C2" w:rsidP="000909C2" w:rsidRDefault="000909C2" w14:paraId="7778FD92" w14:textId="77777777">
      <w:pPr>
        <w:jc w:val="center"/>
        <w:rPr>
          <w:rFonts w:ascii="Arial" w:hAnsi="Arial" w:cs="Arial"/>
          <w:b/>
          <w:bCs/>
        </w:rPr>
      </w:pPr>
    </w:p>
    <w:p w:rsidRPr="000909C2" w:rsidR="000909C2" w:rsidP="000909C2" w:rsidRDefault="000909C2" w14:paraId="03E4ACD5" w14:textId="77777777">
      <w:pPr>
        <w:jc w:val="center"/>
        <w:rPr>
          <w:rFonts w:ascii="Arial" w:hAnsi="Arial" w:cs="Arial"/>
          <w:b/>
          <w:bCs/>
        </w:rPr>
      </w:pPr>
    </w:p>
    <w:p w:rsidRPr="000909C2" w:rsidR="000909C2" w:rsidP="000909C2" w:rsidRDefault="000909C2" w14:paraId="4E781F93" w14:textId="77777777">
      <w:pPr>
        <w:jc w:val="center"/>
        <w:rPr>
          <w:rFonts w:ascii="Arial" w:hAnsi="Arial" w:cs="Arial"/>
          <w:b/>
          <w:bCs/>
        </w:rPr>
      </w:pPr>
    </w:p>
    <w:p w:rsidRPr="000909C2" w:rsidR="000909C2" w:rsidP="000909C2" w:rsidRDefault="000909C2" w14:paraId="13B98967" w14:textId="77777777">
      <w:pPr>
        <w:jc w:val="center"/>
        <w:rPr>
          <w:rFonts w:ascii="Arial" w:hAnsi="Arial" w:cs="Arial"/>
          <w:b/>
          <w:bCs/>
        </w:rPr>
      </w:pPr>
    </w:p>
    <w:p w:rsidRPr="000909C2" w:rsidR="000909C2" w:rsidP="000909C2" w:rsidRDefault="000909C2" w14:paraId="4DEC1D62" w14:textId="77777777">
      <w:pPr>
        <w:jc w:val="center"/>
        <w:rPr>
          <w:rFonts w:ascii="Arial" w:hAnsi="Arial" w:cs="Arial"/>
          <w:b/>
          <w:bCs/>
        </w:rPr>
      </w:pPr>
    </w:p>
    <w:p w:rsidRPr="000909C2" w:rsidR="000909C2" w:rsidP="000909C2" w:rsidRDefault="000909C2" w14:paraId="2C8E12BE" w14:textId="77777777">
      <w:pPr>
        <w:jc w:val="center"/>
        <w:rPr>
          <w:rFonts w:ascii="Arial" w:hAnsi="Arial" w:cs="Arial"/>
          <w:b/>
          <w:bCs/>
        </w:rPr>
      </w:pPr>
    </w:p>
    <w:p w:rsidRPr="000909C2" w:rsidR="000909C2" w:rsidP="000909C2" w:rsidRDefault="000909C2" w14:paraId="662D733C" w14:textId="77777777">
      <w:pPr>
        <w:jc w:val="center"/>
        <w:rPr>
          <w:rFonts w:ascii="Arial" w:hAnsi="Arial" w:cs="Arial"/>
          <w:b/>
          <w:bCs/>
        </w:rPr>
      </w:pPr>
    </w:p>
    <w:p w:rsidRPr="000909C2" w:rsidR="000909C2" w:rsidP="000909C2" w:rsidRDefault="000909C2" w14:paraId="2FEF0674" w14:textId="6171CF60">
      <w:pPr>
        <w:jc w:val="center"/>
        <w:rPr>
          <w:rFonts w:ascii="Arial" w:hAnsi="Arial" w:cs="Arial"/>
          <w:b/>
          <w:bCs/>
        </w:rPr>
      </w:pPr>
      <w:r w:rsidRPr="000909C2">
        <w:rPr>
          <w:rFonts w:ascii="Arial" w:hAnsi="Arial" w:cs="Arial"/>
          <w:b/>
          <w:bCs/>
        </w:rPr>
        <w:t>LCBB4016: Global Business Environment</w:t>
      </w:r>
    </w:p>
    <w:p w:rsidRPr="000909C2" w:rsidR="000909C2" w:rsidP="000909C2" w:rsidRDefault="000909C2" w14:paraId="7FD75EA9" w14:textId="77777777">
      <w:pPr>
        <w:jc w:val="center"/>
        <w:rPr>
          <w:rFonts w:ascii="Arial" w:hAnsi="Arial" w:cs="Arial"/>
          <w:b/>
          <w:bCs/>
        </w:rPr>
      </w:pPr>
      <w:r w:rsidRPr="000909C2">
        <w:rPr>
          <w:rFonts w:ascii="Arial" w:hAnsi="Arial" w:cs="Arial"/>
          <w:b/>
          <w:bCs/>
        </w:rPr>
        <w:t>Component 2 – Individual Essay</w:t>
      </w:r>
    </w:p>
    <w:p w:rsidRPr="000909C2" w:rsidR="000909C2" w:rsidP="000909C2" w:rsidRDefault="000909C2" w14:paraId="04578763" w14:textId="77777777">
      <w:pPr>
        <w:jc w:val="center"/>
        <w:rPr>
          <w:rFonts w:ascii="Arial" w:hAnsi="Arial" w:cs="Arial"/>
        </w:rPr>
      </w:pPr>
      <w:r w:rsidRPr="000909C2">
        <w:rPr>
          <w:rFonts w:ascii="Arial" w:hAnsi="Arial" w:cs="Arial"/>
          <w:b/>
          <w:bCs/>
        </w:rPr>
        <w:t>Title:</w:t>
      </w:r>
      <w:r w:rsidRPr="000909C2">
        <w:rPr>
          <w:rFonts w:ascii="Arial" w:hAnsi="Arial" w:cs="Arial"/>
        </w:rPr>
        <w:br/>
      </w:r>
      <w:r w:rsidRPr="000909C2">
        <w:rPr>
          <w:rFonts w:ascii="Arial" w:hAnsi="Arial" w:cs="Arial"/>
          <w:b/>
          <w:bCs/>
        </w:rPr>
        <w:t>The Impact of Global Forces on AstraZeneca’s International Strategy and Operations</w:t>
      </w:r>
    </w:p>
    <w:p w:rsidR="000909C2" w:rsidP="4B355FA3" w:rsidRDefault="000909C2" w14:paraId="66785F4C" w14:textId="2C21E7A8">
      <w:pPr>
        <w:pStyle w:val="Normal"/>
        <w:suppressLineNumbers w:val="0"/>
        <w:bidi w:val="0"/>
        <w:spacing w:before="0" w:beforeAutospacing="off" w:after="160" w:afterAutospacing="off" w:line="278" w:lineRule="auto"/>
        <w:ind w:left="0" w:right="0"/>
        <w:jc w:val="center"/>
        <w:rPr>
          <w:rFonts w:ascii="Arial" w:hAnsi="Arial" w:cs="Arial"/>
          <w:b w:val="1"/>
          <w:bCs w:val="1"/>
        </w:rPr>
      </w:pPr>
      <w:r w:rsidRPr="4B355FA3" w:rsidR="000909C2">
        <w:rPr>
          <w:rFonts w:ascii="Arial" w:hAnsi="Arial" w:cs="Arial"/>
          <w:b w:val="1"/>
          <w:bCs w:val="1"/>
        </w:rPr>
        <w:t>Student Name:</w:t>
      </w:r>
      <w:r w:rsidRPr="4B355FA3" w:rsidR="000909C2">
        <w:rPr>
          <w:rFonts w:ascii="Arial" w:hAnsi="Arial" w:cs="Arial"/>
        </w:rPr>
        <w:t xml:space="preserve"> </w:t>
      </w:r>
      <w:r w:rsidRPr="4B355FA3" w:rsidR="000909C2">
        <w:rPr>
          <w:rFonts w:ascii="Arial" w:hAnsi="Arial" w:cs="Arial"/>
          <w:b w:val="1"/>
          <w:bCs w:val="1"/>
        </w:rPr>
        <w:t>Georgel Milos</w:t>
      </w:r>
      <w:r>
        <w:br/>
      </w:r>
      <w:r w:rsidRPr="4B355FA3" w:rsidR="000909C2">
        <w:rPr>
          <w:rFonts w:ascii="Arial" w:hAnsi="Arial" w:cs="Arial"/>
          <w:b w:val="1"/>
          <w:bCs w:val="1"/>
        </w:rPr>
        <w:t>Student ID:</w:t>
      </w:r>
      <w:r w:rsidRPr="4B355FA3" w:rsidR="000909C2">
        <w:rPr>
          <w:rFonts w:ascii="Arial" w:hAnsi="Arial" w:cs="Arial"/>
        </w:rPr>
        <w:t xml:space="preserve"> </w:t>
      </w:r>
      <w:r w:rsidRPr="4B355FA3" w:rsidR="7ED98836">
        <w:rPr>
          <w:rFonts w:ascii="Arial" w:hAnsi="Arial" w:cs="Arial"/>
          <w:b w:val="1"/>
          <w:bCs w:val="1"/>
        </w:rPr>
        <w:t>2416333</w:t>
      </w:r>
    </w:p>
    <w:p w:rsidR="7ED98836" w:rsidP="4B355FA3" w:rsidRDefault="7ED98836" w14:paraId="133C93C1" w14:textId="3B31909B">
      <w:pPr>
        <w:pStyle w:val="Normal"/>
        <w:suppressLineNumbers w:val="0"/>
        <w:bidi w:val="0"/>
        <w:spacing w:before="0" w:beforeAutospacing="off" w:after="160" w:afterAutospacing="off" w:line="278" w:lineRule="auto"/>
        <w:ind w:left="0" w:right="0"/>
        <w:jc w:val="center"/>
        <w:rPr>
          <w:rFonts w:ascii="Arial" w:hAnsi="Arial" w:cs="Arial"/>
          <w:b w:val="1"/>
          <w:bCs w:val="1"/>
        </w:rPr>
      </w:pPr>
      <w:r w:rsidRPr="2699AD14" w:rsidR="7ED98836">
        <w:rPr>
          <w:rFonts w:ascii="Arial" w:hAnsi="Arial" w:cs="Arial"/>
          <w:b w:val="1"/>
          <w:bCs w:val="1"/>
        </w:rPr>
        <w:t xml:space="preserve">Lecture name: </w:t>
      </w:r>
      <w:r w:rsidRPr="2699AD14" w:rsidR="5F3B8AF3">
        <w:rPr>
          <w:rFonts w:ascii="Arial" w:hAnsi="Arial" w:cs="Arial"/>
          <w:b w:val="1"/>
          <w:bCs w:val="1"/>
        </w:rPr>
        <w:t>Kareem</w:t>
      </w:r>
      <w:r w:rsidRPr="2699AD14" w:rsidR="5F3B8AF3">
        <w:rPr>
          <w:rFonts w:ascii="Arial" w:hAnsi="Arial" w:cs="Arial"/>
          <w:b w:val="1"/>
          <w:bCs w:val="1"/>
        </w:rPr>
        <w:t xml:space="preserve"> Sani </w:t>
      </w:r>
    </w:p>
    <w:p w:rsidR="000909C2" w:rsidRDefault="000909C2" w14:paraId="771D7EC0" w14:textId="77777777">
      <w:pPr>
        <w:rPr>
          <w:rFonts w:ascii="Arial" w:hAnsi="Arial" w:cs="Arial"/>
        </w:rPr>
      </w:pPr>
      <w:r>
        <w:rPr>
          <w:rFonts w:ascii="Arial" w:hAnsi="Arial" w:cs="Arial"/>
        </w:rPr>
        <w:br w:type="page"/>
      </w:r>
    </w:p>
    <w:sdt>
      <w:sdtPr>
        <w:id w:val="1387982982"/>
        <w:docPartObj>
          <w:docPartGallery w:val="Table of Contents"/>
          <w:docPartUnique/>
        </w:docPartObj>
        <w:rPr>
          <w:rFonts w:ascii="Aptos" w:hAnsi="Aptos" w:eastAsia="Aptos" w:cs="" w:asciiTheme="minorAscii" w:hAnsiTheme="minorAscii" w:eastAsiaTheme="minorAscii" w:cstheme="minorBidi"/>
          <w:color w:val="auto"/>
          <w:kern w:val="2"/>
          <w:sz w:val="24"/>
          <w:szCs w:val="24"/>
          <w:lang w:val="en-GB"/>
          <w14:ligatures w14:val="standardContextual"/>
        </w:rPr>
      </w:sdtPr>
      <w:sdtEndPr>
        <w:rPr>
          <w:rFonts w:ascii="Aptos" w:hAnsi="Aptos" w:eastAsia="Aptos" w:cs="" w:asciiTheme="minorAscii" w:hAnsiTheme="minorAscii" w:eastAsiaTheme="minorAscii" w:cstheme="minorBidi"/>
          <w:b w:val="1"/>
          <w:bCs w:val="1"/>
          <w:noProof/>
          <w:color w:val="auto"/>
          <w:sz w:val="24"/>
          <w:szCs w:val="24"/>
          <w:lang w:val="en-GB"/>
        </w:rPr>
      </w:sdtEndPr>
      <w:sdtContent>
        <w:p w:rsidR="000909C2" w:rsidRDefault="000909C2" w14:paraId="2C78BDFD" w14:textId="74A96837">
          <w:pPr>
            <w:pStyle w:val="TOCHeading"/>
          </w:pPr>
          <w:r>
            <w:t>Contents</w:t>
          </w:r>
        </w:p>
        <w:p w:rsidR="00D61C0A" w:rsidRDefault="000909C2" w14:paraId="06D8F8DD" w14:textId="09E5531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history="1" w:anchor="_Toc213758543">
            <w:r w:rsidRPr="00FA1B1E" w:rsidR="00D61C0A">
              <w:rPr>
                <w:rStyle w:val="Hyperlink"/>
                <w:noProof/>
              </w:rPr>
              <w:t>1. Introduction</w:t>
            </w:r>
            <w:r w:rsidR="00D61C0A">
              <w:rPr>
                <w:noProof/>
                <w:webHidden/>
              </w:rPr>
              <w:tab/>
            </w:r>
            <w:r w:rsidR="00D61C0A">
              <w:rPr>
                <w:noProof/>
                <w:webHidden/>
              </w:rPr>
              <w:fldChar w:fldCharType="begin"/>
            </w:r>
            <w:r w:rsidR="00D61C0A">
              <w:rPr>
                <w:noProof/>
                <w:webHidden/>
              </w:rPr>
              <w:instrText xml:space="preserve"> PAGEREF _Toc213758543 \h </w:instrText>
            </w:r>
            <w:r w:rsidR="00D61C0A">
              <w:rPr>
                <w:noProof/>
                <w:webHidden/>
              </w:rPr>
            </w:r>
            <w:r w:rsidR="00D61C0A">
              <w:rPr>
                <w:noProof/>
                <w:webHidden/>
              </w:rPr>
              <w:fldChar w:fldCharType="separate"/>
            </w:r>
            <w:r w:rsidR="00D61C0A">
              <w:rPr>
                <w:noProof/>
                <w:webHidden/>
              </w:rPr>
              <w:t>3</w:t>
            </w:r>
            <w:r w:rsidR="00D61C0A">
              <w:rPr>
                <w:noProof/>
                <w:webHidden/>
              </w:rPr>
              <w:fldChar w:fldCharType="end"/>
            </w:r>
          </w:hyperlink>
        </w:p>
        <w:p w:rsidR="00D61C0A" w:rsidRDefault="00D61C0A" w14:paraId="4CCFE531" w14:textId="5FB087E4">
          <w:pPr>
            <w:pStyle w:val="TOC1"/>
            <w:tabs>
              <w:tab w:val="right" w:leader="dot" w:pos="9016"/>
            </w:tabs>
            <w:rPr>
              <w:rFonts w:eastAsiaTheme="minorEastAsia"/>
              <w:noProof/>
              <w:lang w:eastAsia="en-GB"/>
            </w:rPr>
          </w:pPr>
          <w:hyperlink w:history="1" w:anchor="_Toc213758544">
            <w:r w:rsidRPr="00FA1B1E">
              <w:rPr>
                <w:rStyle w:val="Hyperlink"/>
                <w:noProof/>
              </w:rPr>
              <w:t>2. Opportunities and Challenges</w:t>
            </w:r>
            <w:r>
              <w:rPr>
                <w:noProof/>
                <w:webHidden/>
              </w:rPr>
              <w:tab/>
            </w:r>
            <w:r>
              <w:rPr>
                <w:noProof/>
                <w:webHidden/>
              </w:rPr>
              <w:fldChar w:fldCharType="begin"/>
            </w:r>
            <w:r>
              <w:rPr>
                <w:noProof/>
                <w:webHidden/>
              </w:rPr>
              <w:instrText xml:space="preserve"> PAGEREF _Toc213758544 \h </w:instrText>
            </w:r>
            <w:r>
              <w:rPr>
                <w:noProof/>
                <w:webHidden/>
              </w:rPr>
            </w:r>
            <w:r>
              <w:rPr>
                <w:noProof/>
                <w:webHidden/>
              </w:rPr>
              <w:fldChar w:fldCharType="separate"/>
            </w:r>
            <w:r>
              <w:rPr>
                <w:noProof/>
                <w:webHidden/>
              </w:rPr>
              <w:t>3</w:t>
            </w:r>
            <w:r>
              <w:rPr>
                <w:noProof/>
                <w:webHidden/>
              </w:rPr>
              <w:fldChar w:fldCharType="end"/>
            </w:r>
          </w:hyperlink>
        </w:p>
        <w:p w:rsidR="00D61C0A" w:rsidRDefault="00D61C0A" w14:paraId="5E985766" w14:textId="240F452F">
          <w:pPr>
            <w:pStyle w:val="TOC1"/>
            <w:tabs>
              <w:tab w:val="right" w:leader="dot" w:pos="9016"/>
            </w:tabs>
            <w:rPr>
              <w:rFonts w:eastAsiaTheme="minorEastAsia"/>
              <w:noProof/>
              <w:lang w:eastAsia="en-GB"/>
            </w:rPr>
          </w:pPr>
          <w:hyperlink w:history="1" w:anchor="_Toc213758545">
            <w:r w:rsidRPr="00FA1B1E">
              <w:rPr>
                <w:rStyle w:val="Hyperlink"/>
                <w:noProof/>
              </w:rPr>
              <w:t>3. Impact on the Organisation</w:t>
            </w:r>
            <w:r>
              <w:rPr>
                <w:noProof/>
                <w:webHidden/>
              </w:rPr>
              <w:tab/>
            </w:r>
            <w:r>
              <w:rPr>
                <w:noProof/>
                <w:webHidden/>
              </w:rPr>
              <w:fldChar w:fldCharType="begin"/>
            </w:r>
            <w:r>
              <w:rPr>
                <w:noProof/>
                <w:webHidden/>
              </w:rPr>
              <w:instrText xml:space="preserve"> PAGEREF _Toc213758545 \h </w:instrText>
            </w:r>
            <w:r>
              <w:rPr>
                <w:noProof/>
                <w:webHidden/>
              </w:rPr>
            </w:r>
            <w:r>
              <w:rPr>
                <w:noProof/>
                <w:webHidden/>
              </w:rPr>
              <w:fldChar w:fldCharType="separate"/>
            </w:r>
            <w:r>
              <w:rPr>
                <w:noProof/>
                <w:webHidden/>
              </w:rPr>
              <w:t>5</w:t>
            </w:r>
            <w:r>
              <w:rPr>
                <w:noProof/>
                <w:webHidden/>
              </w:rPr>
              <w:fldChar w:fldCharType="end"/>
            </w:r>
          </w:hyperlink>
        </w:p>
        <w:p w:rsidR="00D61C0A" w:rsidRDefault="00D61C0A" w14:paraId="155DD2A7" w14:textId="72393154">
          <w:pPr>
            <w:pStyle w:val="TOC1"/>
            <w:tabs>
              <w:tab w:val="right" w:leader="dot" w:pos="9016"/>
            </w:tabs>
            <w:rPr>
              <w:rFonts w:eastAsiaTheme="minorEastAsia"/>
              <w:noProof/>
              <w:lang w:eastAsia="en-GB"/>
            </w:rPr>
          </w:pPr>
          <w:hyperlink w:history="1" w:anchor="_Toc213758546">
            <w:r w:rsidRPr="00FA1B1E">
              <w:rPr>
                <w:rStyle w:val="Hyperlink"/>
                <w:noProof/>
              </w:rPr>
              <w:t>4. Strategic Recommendations</w:t>
            </w:r>
            <w:r>
              <w:rPr>
                <w:noProof/>
                <w:webHidden/>
              </w:rPr>
              <w:tab/>
            </w:r>
            <w:r>
              <w:rPr>
                <w:noProof/>
                <w:webHidden/>
              </w:rPr>
              <w:fldChar w:fldCharType="begin"/>
            </w:r>
            <w:r>
              <w:rPr>
                <w:noProof/>
                <w:webHidden/>
              </w:rPr>
              <w:instrText xml:space="preserve"> PAGEREF _Toc213758546 \h </w:instrText>
            </w:r>
            <w:r>
              <w:rPr>
                <w:noProof/>
                <w:webHidden/>
              </w:rPr>
            </w:r>
            <w:r>
              <w:rPr>
                <w:noProof/>
                <w:webHidden/>
              </w:rPr>
              <w:fldChar w:fldCharType="separate"/>
            </w:r>
            <w:r>
              <w:rPr>
                <w:noProof/>
                <w:webHidden/>
              </w:rPr>
              <w:t>7</w:t>
            </w:r>
            <w:r>
              <w:rPr>
                <w:noProof/>
                <w:webHidden/>
              </w:rPr>
              <w:fldChar w:fldCharType="end"/>
            </w:r>
          </w:hyperlink>
        </w:p>
        <w:p w:rsidR="00D61C0A" w:rsidRDefault="00D61C0A" w14:paraId="4B67080A" w14:textId="3648218A">
          <w:pPr>
            <w:pStyle w:val="TOC1"/>
            <w:tabs>
              <w:tab w:val="right" w:leader="dot" w:pos="9016"/>
            </w:tabs>
            <w:rPr>
              <w:rFonts w:eastAsiaTheme="minorEastAsia"/>
              <w:noProof/>
              <w:lang w:eastAsia="en-GB"/>
            </w:rPr>
          </w:pPr>
          <w:hyperlink w:history="1" w:anchor="_Toc213758547">
            <w:r w:rsidRPr="00FA1B1E">
              <w:rPr>
                <w:rStyle w:val="Hyperlink"/>
                <w:noProof/>
              </w:rPr>
              <w:t>5. Conclusion</w:t>
            </w:r>
            <w:r>
              <w:rPr>
                <w:noProof/>
                <w:webHidden/>
              </w:rPr>
              <w:tab/>
            </w:r>
            <w:r>
              <w:rPr>
                <w:noProof/>
                <w:webHidden/>
              </w:rPr>
              <w:fldChar w:fldCharType="begin"/>
            </w:r>
            <w:r>
              <w:rPr>
                <w:noProof/>
                <w:webHidden/>
              </w:rPr>
              <w:instrText xml:space="preserve"> PAGEREF _Toc213758547 \h </w:instrText>
            </w:r>
            <w:r>
              <w:rPr>
                <w:noProof/>
                <w:webHidden/>
              </w:rPr>
            </w:r>
            <w:r>
              <w:rPr>
                <w:noProof/>
                <w:webHidden/>
              </w:rPr>
              <w:fldChar w:fldCharType="separate"/>
            </w:r>
            <w:r>
              <w:rPr>
                <w:noProof/>
                <w:webHidden/>
              </w:rPr>
              <w:t>7</w:t>
            </w:r>
            <w:r>
              <w:rPr>
                <w:noProof/>
                <w:webHidden/>
              </w:rPr>
              <w:fldChar w:fldCharType="end"/>
            </w:r>
          </w:hyperlink>
        </w:p>
        <w:p w:rsidR="00D61C0A" w:rsidRDefault="00D61C0A" w14:paraId="4AAC4A63" w14:textId="6F0CEEC1">
          <w:pPr>
            <w:pStyle w:val="TOC1"/>
            <w:tabs>
              <w:tab w:val="right" w:leader="dot" w:pos="9016"/>
            </w:tabs>
            <w:rPr>
              <w:rFonts w:eastAsiaTheme="minorEastAsia"/>
              <w:noProof/>
              <w:lang w:eastAsia="en-GB"/>
            </w:rPr>
          </w:pPr>
          <w:hyperlink w:history="1" w:anchor="_Toc213758548">
            <w:r w:rsidRPr="00FA1B1E">
              <w:rPr>
                <w:rStyle w:val="Hyperlink"/>
                <w:noProof/>
              </w:rPr>
              <w:t>6. References</w:t>
            </w:r>
            <w:r>
              <w:rPr>
                <w:noProof/>
                <w:webHidden/>
              </w:rPr>
              <w:tab/>
            </w:r>
            <w:r>
              <w:rPr>
                <w:noProof/>
                <w:webHidden/>
              </w:rPr>
              <w:fldChar w:fldCharType="begin"/>
            </w:r>
            <w:r>
              <w:rPr>
                <w:noProof/>
                <w:webHidden/>
              </w:rPr>
              <w:instrText xml:space="preserve"> PAGEREF _Toc213758548 \h </w:instrText>
            </w:r>
            <w:r>
              <w:rPr>
                <w:noProof/>
                <w:webHidden/>
              </w:rPr>
            </w:r>
            <w:r>
              <w:rPr>
                <w:noProof/>
                <w:webHidden/>
              </w:rPr>
              <w:fldChar w:fldCharType="separate"/>
            </w:r>
            <w:r>
              <w:rPr>
                <w:noProof/>
                <w:webHidden/>
              </w:rPr>
              <w:t>8</w:t>
            </w:r>
            <w:r>
              <w:rPr>
                <w:noProof/>
                <w:webHidden/>
              </w:rPr>
              <w:fldChar w:fldCharType="end"/>
            </w:r>
          </w:hyperlink>
        </w:p>
        <w:p w:rsidR="000909C2" w:rsidRDefault="000909C2" w14:paraId="2F1D6A5A" w14:textId="4EAEA13D">
          <w:r>
            <w:rPr>
              <w:b/>
              <w:bCs/>
              <w:noProof/>
            </w:rPr>
            <w:fldChar w:fldCharType="end"/>
          </w:r>
        </w:p>
      </w:sdtContent>
    </w:sdt>
    <w:p w:rsidRPr="000909C2" w:rsidR="000909C2" w:rsidP="000909C2" w:rsidRDefault="000909C2" w14:paraId="3132940B" w14:textId="77777777">
      <w:pPr>
        <w:rPr>
          <w:rFonts w:ascii="Arial" w:hAnsi="Arial" w:cs="Arial"/>
        </w:rPr>
      </w:pPr>
    </w:p>
    <w:p w:rsidRPr="000909C2" w:rsidR="000909C2" w:rsidRDefault="000909C2" w14:paraId="0546AE72" w14:textId="77777777">
      <w:pPr>
        <w:rPr>
          <w:rFonts w:ascii="Arial" w:hAnsi="Arial" w:cs="Arial"/>
        </w:rPr>
      </w:pPr>
      <w:r w:rsidRPr="000909C2">
        <w:rPr>
          <w:rFonts w:ascii="Arial" w:hAnsi="Arial" w:cs="Arial"/>
        </w:rPr>
        <w:br w:type="page"/>
      </w:r>
    </w:p>
    <w:p w:rsidRPr="000909C2" w:rsidR="000909C2" w:rsidP="000909C2" w:rsidRDefault="000909C2" w14:paraId="2DAEA056" w14:textId="77777777">
      <w:pPr>
        <w:pStyle w:val="Heading1"/>
      </w:pPr>
      <w:bookmarkStart w:name="_Toc213758543" w:id="0"/>
      <w:r w:rsidRPr="000909C2">
        <w:t>1. Introduction</w:t>
      </w:r>
      <w:bookmarkEnd w:id="0"/>
    </w:p>
    <w:p w:rsidRPr="00C40D02" w:rsidR="00C40D02" w:rsidP="00C40D02" w:rsidRDefault="00C40D02" w14:paraId="564EB750" w14:textId="77777777">
      <w:bookmarkStart w:name="_Toc213758544" w:id="1"/>
      <w:r w:rsidRPr="00C40D02">
        <w:t>Globalisation has radically transformed the strategic environment of multinational companies, making it even more dependent on other economies, industries, and technologies (Hill, Hult and McKaig, 2023). Businesses are now functioning in a complicated ecosystem which is affected by world forces like technology innovation, geopolitical tensions, sustainability laws and transfers of global supply chain. In the case of companies in the pharmaceutical industry, all these issues have taken a central role in determining the research, production, and marketing expansion strategies.</w:t>
      </w:r>
    </w:p>
    <w:p w:rsidRPr="00C40D02" w:rsidR="00C40D02" w:rsidP="00C40D02" w:rsidRDefault="00C40D02" w14:paraId="24DB6263" w14:textId="77777777">
      <w:r w:rsidRPr="00C40D02">
        <w:t>AstraZeneca plc is a prominent supplier of biopharmaceuticals based in the United Kingdom with headquarters in Cambridge, where it works in more than 100 countries and specializes in the development of treatments in oncology, cardiovascular, renal, metabolic, and respiratory diseases (AstraZeneca, 2024). Due to their joint effort with the University of Oxford, the company received international attention in the context of the COVID-19 pandemic due to the creation of one of the first mass-distributed vaccines. Nevertheless, the activities of AstraZeneca are still influenced by such significant global factors as the rapid implementation of artificial intelligence (AI) in drug discovery, persistent disruption of the supply chain in sourcing raw materials, the geopolitical crisis that disrupts the regulatory approval process, and the Corporate Sustainability Reporting Directive (CSRD) established by the EU that increases the compliance burden related to the ESG disclosures (PwC, 2024).</w:t>
      </w:r>
    </w:p>
    <w:p w:rsidRPr="00C40D02" w:rsidR="00C40D02" w:rsidP="00C40D02" w:rsidRDefault="00C40D02" w14:paraId="1E7FD378" w14:textId="77777777">
      <w:r w:rsidRPr="00C40D02">
        <w:t>This essay is a critical analysis of the impacts of these global forces on the international strategy and competitiveness of AstraZeneca. It examines opportunities and challenges of such developments, assesses their organisational implications and offers evidence-based strategic suggestions on ensuring sustainable global growth.</w:t>
      </w:r>
    </w:p>
    <w:p w:rsidRPr="000909C2" w:rsidR="000909C2" w:rsidP="00C40D02" w:rsidRDefault="000909C2" w14:paraId="1565CF10" w14:textId="67C57E01">
      <w:pPr>
        <w:pStyle w:val="Heading1"/>
      </w:pPr>
      <w:r w:rsidRPr="000909C2">
        <w:t>2. Opportunities and Challenges</w:t>
      </w:r>
      <w:bookmarkEnd w:id="1"/>
    </w:p>
    <w:p w:rsidR="00C40D02" w:rsidP="000909C2" w:rsidRDefault="00C40D02" w14:paraId="18560F49" w14:textId="77777777">
      <w:pPr>
        <w:rPr>
          <w:rFonts w:ascii="Arial" w:hAnsi="Arial" w:cs="Arial"/>
        </w:rPr>
      </w:pPr>
      <w:r w:rsidRPr="00C40D02">
        <w:rPr>
          <w:rFonts w:ascii="Arial" w:hAnsi="Arial" w:cs="Arial"/>
        </w:rPr>
        <w:t>The global business environment has offered AstraZeneca a different mix of business opportunities and challenges that produce its innovation potential, business approach, and competitiveness in the long term. The major trends in the world that impact its course are technological progress and the use of artificial intelligence (AI), the weaknesses of supply chains, geopolitical conflicts, and increasing demands towards sustainability and compliance with the ESG guidelines as stated in the Corporate Sustainability Reporting Directive (CSRD) introduced by the European Union.</w:t>
      </w:r>
    </w:p>
    <w:p w:rsidR="00C40D02" w:rsidP="000909C2" w:rsidRDefault="00C40D02" w14:paraId="4E6B9A99" w14:textId="77777777">
      <w:pPr>
        <w:rPr>
          <w:rFonts w:ascii="Arial" w:hAnsi="Arial" w:cs="Arial"/>
        </w:rPr>
      </w:pPr>
    </w:p>
    <w:p w:rsidR="00C40D02" w:rsidP="000909C2" w:rsidRDefault="00C40D02" w14:paraId="2DFCCB1E" w14:textId="77777777">
      <w:pPr>
        <w:rPr>
          <w:rFonts w:ascii="Arial" w:hAnsi="Arial" w:cs="Arial"/>
        </w:rPr>
      </w:pPr>
    </w:p>
    <w:p w:rsidR="00C40D02" w:rsidP="000909C2" w:rsidRDefault="00C40D02" w14:paraId="339BD975" w14:textId="77777777">
      <w:pPr>
        <w:rPr>
          <w:rFonts w:ascii="Arial" w:hAnsi="Arial" w:cs="Arial"/>
        </w:rPr>
      </w:pPr>
    </w:p>
    <w:p w:rsidRPr="000909C2" w:rsidR="000909C2" w:rsidP="000909C2" w:rsidRDefault="000909C2" w14:paraId="16E3EF59" w14:textId="5609089A">
      <w:pPr>
        <w:rPr>
          <w:rFonts w:ascii="Arial" w:hAnsi="Arial" w:cs="Arial"/>
          <w:b/>
          <w:bCs/>
        </w:rPr>
      </w:pPr>
      <w:r w:rsidRPr="000909C2">
        <w:rPr>
          <w:rFonts w:ascii="Arial" w:hAnsi="Arial" w:cs="Arial"/>
          <w:b/>
          <w:bCs/>
        </w:rPr>
        <w:t>Opportunities</w:t>
      </w:r>
    </w:p>
    <w:p w:rsidRPr="00C40D02" w:rsidR="00C40D02" w:rsidP="00C40D02" w:rsidRDefault="00C40D02" w14:paraId="4692263F" w14:textId="0AD07909">
      <w:pPr>
        <w:rPr>
          <w:rFonts w:ascii="Arial" w:hAnsi="Arial" w:cs="Arial"/>
        </w:rPr>
      </w:pPr>
      <w:r w:rsidRPr="00C40D02">
        <w:rPr>
          <w:rFonts w:ascii="Arial" w:hAnsi="Arial" w:cs="Arial"/>
        </w:rPr>
        <w:t>One significant strategic opportunity of AstraZeneca is the possibility of using the concept of artificial intelligence (AI) in all its research and development (R&amp;D) processes. The company has put a lot of investment on AI-powered drug discovery and data analytics to speed up innovation and decrease development expenses. Indicatively, AstraZeneca works together with Benevolent AI and other technology partners to apply machine learning to discover new drug targets and maximise the results of clinical trial (AstraZeneca, 2024). This use of AI does not only improve productivity but also reduces the time-to-market of life-saving medicine, which also gives AstraZeneca a stronger competitive edge in precision medicine (Deloitte, 2024).</w:t>
      </w:r>
    </w:p>
    <w:p w:rsidRPr="00C40D02" w:rsidR="00C40D02" w:rsidP="00C40D02" w:rsidRDefault="00C40D02" w14:paraId="6FD20E9C" w14:textId="77777777">
      <w:pPr>
        <w:rPr>
          <w:rFonts w:ascii="Arial" w:hAnsi="Arial" w:cs="Arial"/>
        </w:rPr>
      </w:pPr>
      <w:r w:rsidRPr="00C40D02">
        <w:rPr>
          <w:rFonts w:ascii="Arial" w:hAnsi="Arial" w:cs="Arial"/>
        </w:rPr>
        <w:t>Moreover, the increasing demand on healthcare innovation across the globe presents growth prospects on the emerging economies in the AstraZeneca. The developing countries face the growing development of non-communicable diseases, which are the priorities of the AstraZeneca, and this is in line with therapeutic areas like oncology and heart disease treatment (World Health Organization, 2024). AstraZeneca can enhance access to medicine and increase its presence internationally through strategic alliances with the local governments and healthcare systems.</w:t>
      </w:r>
    </w:p>
    <w:p w:rsidR="00C40D02" w:rsidP="00C40D02" w:rsidRDefault="00C40D02" w14:paraId="04AB9BBC" w14:textId="77777777">
      <w:pPr>
        <w:rPr>
          <w:rFonts w:ascii="Arial" w:hAnsi="Arial" w:cs="Arial"/>
        </w:rPr>
      </w:pPr>
      <w:r w:rsidRPr="00C40D02">
        <w:rPr>
          <w:rFonts w:ascii="Arial" w:hAnsi="Arial" w:cs="Arial"/>
        </w:rPr>
        <w:t>Additionally, EU Corporate Sustainability Reporting Directive (CSRD) is another chance to improve the reputation of AstraZeneca as a responsible corporate entity and transparent. AstraZeneca is already determined to become net-zero with regard to greenhouse gas emissions by 2045 and to create environmentally sustainable manufacturing approaches (AstraZeneca, 2023). The alignment with the CSRD standards early on will enable the company to draw in the investors, who are environmentally conscious, and increase the trust of the stakeholders (PwC, 2024).</w:t>
      </w:r>
    </w:p>
    <w:p w:rsidRPr="000909C2" w:rsidR="000909C2" w:rsidP="00C40D02" w:rsidRDefault="000909C2" w14:paraId="3D716A93" w14:textId="2BAF71C0">
      <w:pPr>
        <w:rPr>
          <w:rFonts w:ascii="Arial" w:hAnsi="Arial" w:cs="Arial"/>
          <w:b/>
          <w:bCs/>
        </w:rPr>
      </w:pPr>
      <w:r w:rsidRPr="000909C2">
        <w:rPr>
          <w:rFonts w:ascii="Arial" w:hAnsi="Arial" w:cs="Arial"/>
          <w:b/>
          <w:bCs/>
        </w:rPr>
        <w:t>Challenges</w:t>
      </w:r>
    </w:p>
    <w:p w:rsidRPr="00C40D02" w:rsidR="00C40D02" w:rsidP="00C40D02" w:rsidRDefault="00C40D02" w14:paraId="308F8015" w14:textId="77777777">
      <w:pPr>
        <w:rPr>
          <w:rFonts w:ascii="Arial" w:hAnsi="Arial" w:cs="Arial"/>
        </w:rPr>
      </w:pPr>
      <w:bookmarkStart w:name="_Toc213758545" w:id="2"/>
      <w:r w:rsidRPr="00C40D02">
        <w:rPr>
          <w:rFonts w:ascii="Arial" w:hAnsi="Arial" w:cs="Arial"/>
        </w:rPr>
        <w:t>Irrespective of these opportunities, AstraZeneca has significant international challenges. The most urgent ones are the disruptions of the supply chain, geopolitical disputes, and regulatory issues. The reliance of the pharmaceutical industry on international supply chains to get raw materials and active pharmaceutical ingredients (APIs) makes AstraZeneca vulnerable to the risk of delays in transporting, exporting, and instability in the regions of operation. The logistical bottlenecks and high production prices in most European pharmaceutical companies have been brought about by the Russia-Ukraine conflict and the current tensions in the Middle East (Financial Times, 2024). One way that AstraZeneca has reacted is through the diversification in suppliers and building of regional manufacturing centres, yet global dependencies are hard to get rid of completely.</w:t>
      </w:r>
    </w:p>
    <w:p w:rsidRPr="00C40D02" w:rsidR="00C40D02" w:rsidP="00C40D02" w:rsidRDefault="00C40D02" w14:paraId="0C31846B" w14:textId="77777777">
      <w:pPr>
        <w:rPr>
          <w:rFonts w:ascii="Arial" w:hAnsi="Arial" w:cs="Arial"/>
        </w:rPr>
      </w:pPr>
      <w:r w:rsidRPr="00C40D02">
        <w:rPr>
          <w:rFonts w:ascii="Arial" w:hAnsi="Arial" w:cs="Arial"/>
        </w:rPr>
        <w:t>Besides, geopolitical strains have affected the accessibility of AstraZeneca to carry out clinical trials and regulatory approvals in some jurisdictions. The access to the market is also complicated by divergent healthcare policies and trade restrictions in China and India (BBC News, 2024).</w:t>
      </w:r>
    </w:p>
    <w:p w:rsidRPr="00C40D02" w:rsidR="00C40D02" w:rsidP="00C40D02" w:rsidRDefault="00C40D02" w14:paraId="62B1A7BA" w14:textId="77777777">
      <w:pPr>
        <w:rPr>
          <w:rFonts w:ascii="Arial" w:hAnsi="Arial" w:cs="Arial"/>
        </w:rPr>
      </w:pPr>
      <w:r w:rsidRPr="00C40D02">
        <w:rPr>
          <w:rFonts w:ascii="Arial" w:hAnsi="Arial" w:cs="Arial"/>
        </w:rPr>
        <w:t>The other major challenge comes as a result of sustainability and compliance pressures. Though CSRD compliance enhances transparency of the corporates, it adds up to administrative costs and reporting requirements. To comply with the directive disclosure requirement, AstraZeneca will need to invest in sophisticated ESG information systems and supply chain traceability software (European Commission, 2024). Additionally, the pharmaceutical waste management and the ethics in its suppliers remain a reputational and operational risk in case they are not successfully followed up.</w:t>
      </w:r>
    </w:p>
    <w:p w:rsidRPr="00C40D02" w:rsidR="00C40D02" w:rsidP="00C40D02" w:rsidRDefault="00C40D02" w14:paraId="6B6F4D67" w14:textId="77777777">
      <w:pPr>
        <w:rPr>
          <w:rFonts w:ascii="Arial" w:hAnsi="Arial" w:cs="Arial"/>
        </w:rPr>
      </w:pPr>
      <w:r w:rsidRPr="00C40D02">
        <w:rPr>
          <w:rFonts w:ascii="Arial" w:hAnsi="Arial" w:cs="Arial"/>
        </w:rPr>
        <w:t>In nutshell, AstraZeneca is placed at the crossroads between innovation and regulation where the world forces can create both growth opportunities and strategic risks at the same time. By leveraging AI-based innovation, sustainability leadership, and market entry opportunities and reducing the impact of the geopolitical environment and supply chain risks, AstraZeneca will be able to remain on top of the global leadership in a highly dynamic and regulated business environment.</w:t>
      </w:r>
    </w:p>
    <w:p w:rsidRPr="000909C2" w:rsidR="000909C2" w:rsidP="00C40D02" w:rsidRDefault="000909C2" w14:paraId="0B1805E7" w14:textId="10CB89BA">
      <w:pPr>
        <w:pStyle w:val="Heading1"/>
      </w:pPr>
      <w:r w:rsidRPr="000909C2">
        <w:t>3. Impact on the Organisation</w:t>
      </w:r>
      <w:bookmarkEnd w:id="2"/>
    </w:p>
    <w:p w:rsidR="00C40D02" w:rsidP="000909C2" w:rsidRDefault="00C40D02" w14:paraId="5553649B" w14:textId="01B1DA98">
      <w:pPr>
        <w:rPr>
          <w:rFonts w:ascii="Arial" w:hAnsi="Arial" w:cs="Arial"/>
        </w:rPr>
      </w:pPr>
      <w:r w:rsidRPr="00C40D02">
        <w:rPr>
          <w:rFonts w:ascii="Arial" w:hAnsi="Arial" w:cs="Arial"/>
        </w:rPr>
        <w:t>The nexus of technological progress, regulatory transformation and geopolitical sophistication has had a great impact on the organisational strategy, model of operation and competitiveness of AstraZeneca on a global scale. Its frontline activity in artificial intelligence (AI), sustainability compliance, and ethical talent management has strengthened the role of the company as an international leader in the pharmaceutical sector.</w:t>
      </w:r>
    </w:p>
    <w:p w:rsidRPr="000909C2" w:rsidR="000909C2" w:rsidP="000909C2" w:rsidRDefault="000909C2" w14:paraId="2BA907D8" w14:textId="6F316743">
      <w:pPr>
        <w:rPr>
          <w:rFonts w:ascii="Arial" w:hAnsi="Arial" w:cs="Arial"/>
          <w:b/>
          <w:bCs/>
        </w:rPr>
      </w:pPr>
      <w:r w:rsidRPr="000909C2">
        <w:rPr>
          <w:rFonts w:ascii="Arial" w:hAnsi="Arial" w:cs="Arial"/>
          <w:b/>
          <w:bCs/>
        </w:rPr>
        <w:t>Market Positioning</w:t>
      </w:r>
    </w:p>
    <w:p w:rsidRPr="00C40D02" w:rsidR="00C40D02" w:rsidP="00C40D02" w:rsidRDefault="00C40D02" w14:paraId="0AA585C7" w14:textId="77777777">
      <w:pPr>
        <w:rPr>
          <w:rFonts w:ascii="Arial" w:hAnsi="Arial" w:cs="Arial"/>
        </w:rPr>
      </w:pPr>
      <w:r w:rsidRPr="00C40D02">
        <w:rPr>
          <w:rFonts w:ascii="Arial" w:hAnsi="Arial" w:cs="Arial"/>
        </w:rPr>
        <w:t>The world forces have transformed the market positioning of AstraZeneca as it is no longer a conventional pharmaceutical firm but an AI-based biopharmaceutical innovator. Due to the incorporation of advanced analytics into research and development (R&amp;D), AstraZeneca has been able to speed up drug discovery, enhance supply chain forecasting, and increase decision-making (Deloitte, 2024). This online revolution enhances the international brand name of the company as a technology-oriented firm that is in a position to address multifaceted healthcare needs.</w:t>
      </w:r>
    </w:p>
    <w:p w:rsidR="00C40D02" w:rsidP="00C40D02" w:rsidRDefault="00C40D02" w14:paraId="3E21E57B" w14:textId="77777777">
      <w:pPr>
        <w:rPr>
          <w:rFonts w:ascii="Arial" w:hAnsi="Arial" w:cs="Arial"/>
        </w:rPr>
      </w:pPr>
      <w:r w:rsidRPr="00C40D02">
        <w:rPr>
          <w:rFonts w:ascii="Arial" w:hAnsi="Arial" w:cs="Arial"/>
        </w:rPr>
        <w:t>Besides, the alignment of the AstraZeneca with the Corporate Sustainability Reporting Directive (CSRD) by the European Union and its ambitious sustainability pledges has increased its corporation in the eyes of investors and regulators. The company is one of the first companies in pharmaceutical companies to be environmentally responsible, as their program of achieving net-zero emissions by 2045 called Ambition Zero Carbon makes it a leader in this field (AstraZeneca, 2023). This conformity does not only help to comply with it but also gives them a competitive advantage in drawing ESG-oriented investors (PwC, 2024). Nevertheless, to sustain such positioning, it will have to continue investing in data transparency and sustainable manufacturing practices.</w:t>
      </w:r>
    </w:p>
    <w:p w:rsidRPr="000909C2" w:rsidR="000909C2" w:rsidP="00C40D02" w:rsidRDefault="000909C2" w14:paraId="67F84A76" w14:textId="15DF99F4">
      <w:pPr>
        <w:rPr>
          <w:rFonts w:ascii="Arial" w:hAnsi="Arial" w:cs="Arial"/>
          <w:b/>
          <w:bCs/>
        </w:rPr>
      </w:pPr>
      <w:r w:rsidRPr="000909C2">
        <w:rPr>
          <w:rFonts w:ascii="Arial" w:hAnsi="Arial" w:cs="Arial"/>
          <w:b/>
          <w:bCs/>
        </w:rPr>
        <w:t>Innovation</w:t>
      </w:r>
    </w:p>
    <w:p w:rsidRPr="00C40D02" w:rsidR="00C40D02" w:rsidP="00C40D02" w:rsidRDefault="00C40D02" w14:paraId="5B758B64" w14:textId="704560C6">
      <w:pPr>
        <w:rPr>
          <w:rFonts w:ascii="Arial" w:hAnsi="Arial" w:cs="Arial"/>
        </w:rPr>
      </w:pPr>
      <w:r w:rsidRPr="00C40D02">
        <w:rPr>
          <w:rFonts w:ascii="Arial" w:hAnsi="Arial" w:cs="Arial"/>
        </w:rPr>
        <w:t>The competitive advantage at AstraZeneca is based on innovation. Its drug discovery and development pipeline has been revolutionized with the help of AI-based predictive modelling, big data analysis, and cloud computing. As the example of Benevolent AI and Ex Scientia shows, AstraZeneca has been discovering new drug candidates more quickly and more accurately, which has led to less spending on R&amp;D (AstraZeneca, 2024). The advancement in technology has led to a better success rate in clinical trials and enhanced product pipeline.</w:t>
      </w:r>
    </w:p>
    <w:p w:rsidRPr="00C40D02" w:rsidR="00C40D02" w:rsidP="00C40D02" w:rsidRDefault="00C40D02" w14:paraId="47717490" w14:textId="77777777">
      <w:pPr>
        <w:rPr>
          <w:rFonts w:ascii="Arial" w:hAnsi="Arial" w:cs="Arial"/>
        </w:rPr>
      </w:pPr>
      <w:r w:rsidRPr="00C40D02">
        <w:rPr>
          <w:rFonts w:ascii="Arial" w:hAnsi="Arial" w:cs="Arial"/>
        </w:rPr>
        <w:t>The innovation of the company is also not confined to the product development but also on the sustainability of its operations. AstraZeneca has also launched energy monitoring and green manufacturing digital platforms, which is in tandem with global climate targets (European Commission, 2024). These efforts do indicate that innovation and sustainability are not in conflict but are complementary forces in support of long-term organisational performance.</w:t>
      </w:r>
    </w:p>
    <w:p w:rsidR="00C40D02" w:rsidP="00C40D02" w:rsidRDefault="00C40D02" w14:paraId="6245C266" w14:textId="77777777">
      <w:pPr>
        <w:rPr>
          <w:rFonts w:ascii="Arial" w:hAnsi="Arial" w:cs="Arial"/>
        </w:rPr>
      </w:pPr>
      <w:r w:rsidRPr="00C40D02">
        <w:rPr>
          <w:rFonts w:ascii="Arial" w:hAnsi="Arial" w:cs="Arial"/>
        </w:rPr>
        <w:t>Nonetheless, there is also the risk of ethical and operational risks due to the heavy reliance on AI, including the issue of privacy and bias in the algorithms during clinical analysis (Harvard Business Review, 2024). AstraZeneca therefore has to strike a balance between technological effectiveness and strong ethical policies so that the stakeholders do not lose confidence with it.</w:t>
      </w:r>
    </w:p>
    <w:p w:rsidRPr="000909C2" w:rsidR="000909C2" w:rsidP="00C40D02" w:rsidRDefault="000909C2" w14:paraId="6665682D" w14:textId="79057AD2">
      <w:pPr>
        <w:rPr>
          <w:rFonts w:ascii="Arial" w:hAnsi="Arial" w:cs="Arial"/>
          <w:b/>
          <w:bCs/>
        </w:rPr>
      </w:pPr>
      <w:r w:rsidRPr="000909C2">
        <w:rPr>
          <w:rFonts w:ascii="Arial" w:hAnsi="Arial" w:cs="Arial"/>
          <w:b/>
          <w:bCs/>
        </w:rPr>
        <w:t>Talent Management</w:t>
      </w:r>
    </w:p>
    <w:p w:rsidRPr="00C40D02" w:rsidR="00C40D02" w:rsidP="00C40D02" w:rsidRDefault="00C40D02" w14:paraId="241020DD" w14:textId="77777777">
      <w:pPr>
        <w:rPr>
          <w:rFonts w:ascii="Arial" w:hAnsi="Arial" w:cs="Arial"/>
        </w:rPr>
      </w:pPr>
      <w:r w:rsidRPr="00C40D02">
        <w:rPr>
          <w:rFonts w:ascii="Arial" w:hAnsi="Arial" w:cs="Arial"/>
        </w:rPr>
        <w:t>The digital transformation and rapid AI adoption have changed the human capital strategy of AstraZeneca. There is a growing demand of cross-disciplinary talent in the company, which is the integration of skills in data science, biotechnology and ethical governance. The AI Academy and global learning programmes at AstraZeneca are designed to upgrade its employees in the areas of digital literacy, data analytics, and sustainable innovation (AstraZeneca, 2024). Moreover, the post-pandemic hybrid working frameworks have enhanced talent management and diversity in international practices (EY, 2024).</w:t>
      </w:r>
    </w:p>
    <w:p w:rsidR="00C40D02" w:rsidP="00C40D02" w:rsidRDefault="00C40D02" w14:paraId="7F0262B8" w14:textId="77777777">
      <w:pPr>
        <w:rPr>
          <w:rFonts w:ascii="Arial" w:hAnsi="Arial" w:cs="Arial"/>
        </w:rPr>
      </w:pPr>
      <w:r w:rsidRPr="00C40D02">
        <w:rPr>
          <w:rFonts w:ascii="Arial" w:hAnsi="Arial" w:cs="Arial"/>
        </w:rPr>
        <w:t>However, the challenges of managing a distributed workforce and knowledge-sharing across the borders continue to be a challenge. The global talent management is further complicated with the compliance with labour regulations, ethical standards in research as well as diversity policies in various jurisdictions.</w:t>
      </w:r>
    </w:p>
    <w:p w:rsidR="00C40D02" w:rsidP="00C40D02" w:rsidRDefault="00C40D02" w14:paraId="1791FA36" w14:textId="77777777">
      <w:pPr>
        <w:rPr>
          <w:rFonts w:ascii="Arial" w:hAnsi="Arial" w:cs="Arial"/>
        </w:rPr>
      </w:pPr>
    </w:p>
    <w:p w:rsidR="00C40D02" w:rsidP="00C40D02" w:rsidRDefault="00C40D02" w14:paraId="593C61DC" w14:textId="77777777">
      <w:pPr>
        <w:rPr>
          <w:rFonts w:ascii="Arial" w:hAnsi="Arial" w:cs="Arial"/>
        </w:rPr>
      </w:pPr>
    </w:p>
    <w:p w:rsidR="00C40D02" w:rsidP="00C40D02" w:rsidRDefault="00C40D02" w14:paraId="49F70ABA" w14:textId="77777777">
      <w:pPr>
        <w:rPr>
          <w:rFonts w:ascii="Arial" w:hAnsi="Arial" w:cs="Arial"/>
        </w:rPr>
      </w:pPr>
    </w:p>
    <w:p w:rsidRPr="000909C2" w:rsidR="000909C2" w:rsidP="00C40D02" w:rsidRDefault="000909C2" w14:paraId="13ECA7C2" w14:textId="7C8308D7">
      <w:pPr>
        <w:rPr>
          <w:rFonts w:ascii="Arial" w:hAnsi="Arial" w:cs="Arial"/>
          <w:b/>
          <w:bCs/>
        </w:rPr>
      </w:pPr>
      <w:r w:rsidRPr="000909C2">
        <w:rPr>
          <w:rFonts w:ascii="Arial" w:hAnsi="Arial" w:cs="Arial"/>
          <w:b/>
          <w:bCs/>
        </w:rPr>
        <w:t>Competitiveness</w:t>
      </w:r>
    </w:p>
    <w:p w:rsidRPr="00C40D02" w:rsidR="00C40D02" w:rsidP="00C40D02" w:rsidRDefault="00C40D02" w14:paraId="0E7E49C9" w14:textId="2F2B92A7">
      <w:pPr>
        <w:rPr>
          <w:rFonts w:ascii="Arial" w:hAnsi="Arial" w:cs="Arial"/>
        </w:rPr>
      </w:pPr>
      <w:bookmarkStart w:name="_Toc213758546" w:id="3"/>
      <w:r w:rsidRPr="00C40D02">
        <w:rPr>
          <w:rFonts w:ascii="Arial" w:hAnsi="Arial" w:cs="Arial"/>
        </w:rPr>
        <w:t>The strategy of AstraZeneca which is based on flexibility and being innovative enhances its competitiveness. Its research strength developed under AI, good sustainability, and diversification in its products offer resilience to the global market volatility. But unstable supply chains and unstable geopolitics remain a constant cause of challenge towards cost-effectiveness and delivery of key medications in time (Financial Times, 2024). AstraZeneca needs to keep diversifying suppliers, investing in local production centres and enhancing digital risk management systems as a way of maintaining global competitiveness.</w:t>
      </w:r>
    </w:p>
    <w:p w:rsidRPr="00C40D02" w:rsidR="00C40D02" w:rsidP="00C40D02" w:rsidRDefault="00C40D02" w14:paraId="35FB2236" w14:textId="699CA28F">
      <w:pPr>
        <w:rPr>
          <w:rFonts w:ascii="Arial" w:hAnsi="Arial" w:cs="Arial"/>
        </w:rPr>
      </w:pPr>
      <w:r w:rsidRPr="00C40D02">
        <w:rPr>
          <w:rFonts w:ascii="Arial" w:hAnsi="Arial" w:cs="Arial"/>
        </w:rPr>
        <w:t xml:space="preserve">Finally, AstraZeneca ability to overcome the world forces is a sign of a calculated trade between innovation, sustainability, and compliance. The combination of AI-enhanced innovation and strong governance and ethical conduct help the organisation to become more resilient and maintain its leadership in a very </w:t>
      </w:r>
      <w:r w:rsidRPr="00C40D02" w:rsidR="000A49E2">
        <w:rPr>
          <w:rFonts w:ascii="Arial" w:hAnsi="Arial" w:cs="Arial"/>
        </w:rPr>
        <w:t>competitive and</w:t>
      </w:r>
      <w:r w:rsidRPr="00C40D02">
        <w:rPr>
          <w:rFonts w:ascii="Arial" w:hAnsi="Arial" w:cs="Arial"/>
        </w:rPr>
        <w:t xml:space="preserve"> controlled global space.</w:t>
      </w:r>
    </w:p>
    <w:p w:rsidRPr="000909C2" w:rsidR="000909C2" w:rsidP="00C40D02" w:rsidRDefault="000909C2" w14:paraId="0314D3EA" w14:textId="320647BE">
      <w:pPr>
        <w:pStyle w:val="Heading1"/>
      </w:pPr>
      <w:r w:rsidRPr="000909C2">
        <w:t>4. Strategic Recommendations</w:t>
      </w:r>
      <w:bookmarkEnd w:id="3"/>
    </w:p>
    <w:p w:rsidRPr="00C40D02" w:rsidR="00C40D02" w:rsidP="00C40D02" w:rsidRDefault="00C40D02" w14:paraId="0820377A" w14:textId="77777777">
      <w:pPr>
        <w:rPr>
          <w:rFonts w:ascii="Arial" w:hAnsi="Arial" w:cs="Arial"/>
        </w:rPr>
      </w:pPr>
      <w:r w:rsidRPr="00C40D02">
        <w:rPr>
          <w:rFonts w:ascii="Arial" w:hAnsi="Arial" w:cs="Arial"/>
        </w:rPr>
        <w:t>Considering the defined world forces, there is a combination of strategic steps that should be undertaken by AstraZeneca in order to remain competitive and enhance its global leadership in the pharmaceutical business.</w:t>
      </w:r>
    </w:p>
    <w:p w:rsidRPr="00C40D02" w:rsidR="00C40D02" w:rsidP="00C40D02" w:rsidRDefault="00C40D02" w14:paraId="56FCF9A4" w14:textId="77777777">
      <w:pPr>
        <w:rPr>
          <w:rFonts w:ascii="Arial" w:hAnsi="Arial" w:cs="Arial"/>
        </w:rPr>
      </w:pPr>
      <w:r w:rsidRPr="00C40D02">
        <w:rPr>
          <w:rFonts w:ascii="Arial" w:hAnsi="Arial" w:cs="Arial"/>
        </w:rPr>
        <w:t>To begin with, the company must strengthen its AI governance structure so as to make data-driven innovation to be used responsibly and ethically. With AI taking the centre stage of drug discovery and clinical analytics, it is critical that AstraZeneca implements open governance systems that would eliminate algorithmic bias and ensure the privacy of patient data according to the international laws like GDPR (Harvard Business Review, 2024).</w:t>
      </w:r>
    </w:p>
    <w:p w:rsidRPr="00C40D02" w:rsidR="00C40D02" w:rsidP="00C40D02" w:rsidRDefault="00C40D02" w14:paraId="4201FCDE" w14:textId="77777777">
      <w:pPr>
        <w:rPr>
          <w:rFonts w:ascii="Arial" w:hAnsi="Arial" w:cs="Arial"/>
        </w:rPr>
      </w:pPr>
      <w:r w:rsidRPr="00C40D02">
        <w:rPr>
          <w:rFonts w:ascii="Arial" w:hAnsi="Arial" w:cs="Arial"/>
        </w:rPr>
        <w:t>Secondly, AstraZeneca needs to diversify its supply chain through investments in regional manufacturing locations and broadening partnership with suppliers in Europe, Asia, and Latin America. Such diversification will decrease the reliance on high-risk areas and increase resiliency to the geopolitical shocks and logistic delays (EY, 2024).</w:t>
      </w:r>
    </w:p>
    <w:p w:rsidRPr="00C40D02" w:rsidR="00C40D02" w:rsidP="00C40D02" w:rsidRDefault="00C40D02" w14:paraId="614EA6E4" w14:textId="77777777">
      <w:pPr>
        <w:rPr>
          <w:rFonts w:ascii="Arial" w:hAnsi="Arial" w:cs="Arial"/>
        </w:rPr>
      </w:pPr>
      <w:r w:rsidRPr="00C40D02">
        <w:rPr>
          <w:rFonts w:ascii="Arial" w:hAnsi="Arial" w:cs="Arial"/>
        </w:rPr>
        <w:t>Thirdly, AstraZeneca needs to step up its efforts in sustainability and circular economy operations. The implementation of new programmes like the so-called "Ambition Zero Carbon" and investing in the renewable energy infrastructure of the global facilities would bring the company closer to the standards of the CSRD suggested by the EU and attract ESG-oriented investors (PwC, 2024; AstraZeneca, 2023).</w:t>
      </w:r>
    </w:p>
    <w:p w:rsidRPr="00C40D02" w:rsidR="00C40D02" w:rsidP="00C40D02" w:rsidRDefault="00C40D02" w14:paraId="74A02E4E" w14:textId="77777777">
      <w:pPr>
        <w:rPr>
          <w:rFonts w:ascii="Arial" w:hAnsi="Arial" w:cs="Arial"/>
        </w:rPr>
      </w:pPr>
      <w:r w:rsidRPr="00C40D02">
        <w:rPr>
          <w:rFonts w:ascii="Arial" w:hAnsi="Arial" w:cs="Arial"/>
        </w:rPr>
        <w:t>Finally, the company is to keep on training its international workforce via its AI Academy and digital learning modules, whereby the employees are kept updated and familiar with the latest technological and data analysis skills that will be crucial in retaining long-term innovation.</w:t>
      </w:r>
    </w:p>
    <w:p w:rsidRPr="000909C2" w:rsidR="000909C2" w:rsidP="00C40D02" w:rsidRDefault="000909C2" w14:paraId="757FDD20" w14:textId="4389A585">
      <w:pPr>
        <w:pStyle w:val="Heading1"/>
        <w:rPr>
          <w:rFonts w:eastAsiaTheme="minorHAnsi"/>
        </w:rPr>
      </w:pPr>
      <w:bookmarkStart w:name="_Toc213758547" w:id="4"/>
      <w:r w:rsidRPr="000909C2">
        <w:rPr>
          <w:rFonts w:eastAsiaTheme="minorHAnsi"/>
        </w:rPr>
        <w:t>5. Conclusion</w:t>
      </w:r>
      <w:bookmarkEnd w:id="4"/>
    </w:p>
    <w:p w:rsidR="00034E86" w:rsidRDefault="00034E86" w14:paraId="4DD67751" w14:textId="1E484E3A">
      <w:pPr>
        <w:rPr>
          <w:rFonts w:ascii="Arial" w:hAnsi="Arial" w:cs="Arial"/>
        </w:rPr>
      </w:pPr>
      <w:r w:rsidRPr="00034E86">
        <w:rPr>
          <w:rFonts w:ascii="Arial" w:hAnsi="Arial" w:cs="Arial"/>
        </w:rPr>
        <w:t>To sum up, the global operation of AstraZeneca is greatly affected by fast changing forces including artificial intelligence, geopolitical instability, sustainability regulation and supply chain volatility. These dynamics both create the opportunity to develop technologies and issues resulting in strategic adjustment. The active involvement of AstraZeneca in the innovation of AI, compliance in the field of sustainability and human capital development has strengthened its market resistance and corporate image. Nevertheless, the further success will be based on the ability to reconcile innovation with regulatory adherence, supply chain diversification, and ethical regulation. With the help of such strategic steps, AstraZeneca will be able to thrive internationally, provide sustainability in its operations, and remain competitive in the long-term views in the dynamic international pharmaceutical landscapes.</w:t>
      </w:r>
      <w:r>
        <w:rPr>
          <w:rFonts w:ascii="Arial" w:hAnsi="Arial" w:cs="Arial"/>
        </w:rPr>
        <w:br w:type="page"/>
      </w:r>
    </w:p>
    <w:p w:rsidRPr="000909C2" w:rsidR="000909C2" w:rsidP="000909C2" w:rsidRDefault="000909C2" w14:paraId="73755E93" w14:textId="4FADE397">
      <w:pPr>
        <w:pStyle w:val="Heading1"/>
      </w:pPr>
      <w:bookmarkStart w:name="_Toc213758548" w:id="5"/>
      <w:r w:rsidRPr="000909C2">
        <w:t>6. Reference</w:t>
      </w:r>
      <w:r>
        <w:t>s</w:t>
      </w:r>
      <w:bookmarkEnd w:id="5"/>
    </w:p>
    <w:p w:rsidRPr="000909C2" w:rsidR="000909C2" w:rsidP="000909C2" w:rsidRDefault="000909C2" w14:paraId="78BA323F" w14:textId="77777777">
      <w:pPr>
        <w:rPr>
          <w:rFonts w:ascii="Arial" w:hAnsi="Arial" w:cs="Arial"/>
        </w:rPr>
      </w:pPr>
      <w:r w:rsidRPr="000909C2">
        <w:rPr>
          <w:rFonts w:ascii="Arial" w:hAnsi="Arial" w:cs="Arial"/>
        </w:rPr>
        <w:t xml:space="preserve">AstraZeneca (2023) </w:t>
      </w:r>
      <w:r w:rsidRPr="000909C2">
        <w:rPr>
          <w:rFonts w:ascii="Arial" w:hAnsi="Arial" w:cs="Arial"/>
          <w:i/>
          <w:iCs/>
        </w:rPr>
        <w:t>Sustainability Report 2023.</w:t>
      </w:r>
      <w:r w:rsidRPr="000909C2">
        <w:rPr>
          <w:rFonts w:ascii="Arial" w:hAnsi="Arial" w:cs="Arial"/>
        </w:rPr>
        <w:t xml:space="preserve"> Available at: https://www.astrazeneca.com/sustainability (Accessed: 11 November 2025).</w:t>
      </w:r>
    </w:p>
    <w:p w:rsidRPr="000909C2" w:rsidR="000909C2" w:rsidP="000909C2" w:rsidRDefault="000909C2" w14:paraId="1A269D0A" w14:textId="77777777">
      <w:pPr>
        <w:rPr>
          <w:rFonts w:ascii="Arial" w:hAnsi="Arial" w:cs="Arial"/>
        </w:rPr>
      </w:pPr>
      <w:r w:rsidRPr="000909C2">
        <w:rPr>
          <w:rFonts w:ascii="Arial" w:hAnsi="Arial" w:cs="Arial"/>
        </w:rPr>
        <w:t xml:space="preserve">AstraZeneca (2024) </w:t>
      </w:r>
      <w:r w:rsidRPr="000909C2">
        <w:rPr>
          <w:rFonts w:ascii="Arial" w:hAnsi="Arial" w:cs="Arial"/>
          <w:i/>
          <w:iCs/>
        </w:rPr>
        <w:t>Annual Report and Form 20-F Information 2024.</w:t>
      </w:r>
      <w:r w:rsidRPr="000909C2">
        <w:rPr>
          <w:rFonts w:ascii="Arial" w:hAnsi="Arial" w:cs="Arial"/>
        </w:rPr>
        <w:t xml:space="preserve"> Available at: </w:t>
      </w:r>
      <w:hyperlink w:tgtFrame="_new" w:history="1" r:id="rId4">
        <w:r w:rsidRPr="000909C2">
          <w:rPr>
            <w:rStyle w:val="Hyperlink"/>
            <w:rFonts w:ascii="Arial" w:hAnsi="Arial" w:cs="Arial"/>
          </w:rPr>
          <w:t>https://www.astrazeneca.com/investor-relations.html</w:t>
        </w:r>
      </w:hyperlink>
      <w:r w:rsidRPr="000909C2">
        <w:rPr>
          <w:rFonts w:ascii="Arial" w:hAnsi="Arial" w:cs="Arial"/>
        </w:rPr>
        <w:t xml:space="preserve"> (Accessed: 11 November 2025).</w:t>
      </w:r>
    </w:p>
    <w:p w:rsidRPr="000909C2" w:rsidR="000909C2" w:rsidP="000909C2" w:rsidRDefault="000909C2" w14:paraId="56634FBD" w14:textId="77777777">
      <w:pPr>
        <w:rPr>
          <w:rFonts w:ascii="Arial" w:hAnsi="Arial" w:cs="Arial"/>
        </w:rPr>
      </w:pPr>
      <w:r w:rsidRPr="000909C2">
        <w:rPr>
          <w:rFonts w:ascii="Arial" w:hAnsi="Arial" w:cs="Arial"/>
        </w:rPr>
        <w:t xml:space="preserve">BBC News (2024) ‘Global drugmakers face hurdles in Asia amid shifting trade policies.’ </w:t>
      </w:r>
      <w:r w:rsidRPr="000909C2">
        <w:rPr>
          <w:rFonts w:ascii="Arial" w:hAnsi="Arial" w:cs="Arial"/>
          <w:i/>
          <w:iCs/>
        </w:rPr>
        <w:t>BBC Business</w:t>
      </w:r>
      <w:r w:rsidRPr="000909C2">
        <w:rPr>
          <w:rFonts w:ascii="Arial" w:hAnsi="Arial" w:cs="Arial"/>
        </w:rPr>
        <w:t>, 14 May. Available at: https://www.bbc.co.uk/news/business (Accessed: 11 November 2025).</w:t>
      </w:r>
    </w:p>
    <w:p w:rsidRPr="000909C2" w:rsidR="000909C2" w:rsidP="000909C2" w:rsidRDefault="000909C2" w14:paraId="3AF6EDF6" w14:textId="77777777">
      <w:pPr>
        <w:rPr>
          <w:rFonts w:ascii="Arial" w:hAnsi="Arial" w:cs="Arial"/>
        </w:rPr>
      </w:pPr>
      <w:r w:rsidRPr="000909C2">
        <w:rPr>
          <w:rFonts w:ascii="Arial" w:hAnsi="Arial" w:cs="Arial"/>
        </w:rPr>
        <w:t xml:space="preserve">Deloitte (2024) </w:t>
      </w:r>
      <w:r w:rsidRPr="000909C2">
        <w:rPr>
          <w:rFonts w:ascii="Arial" w:hAnsi="Arial" w:cs="Arial"/>
          <w:i/>
          <w:iCs/>
        </w:rPr>
        <w:t>AI in Life Sciences: Transforming Drug Discovery and Development.</w:t>
      </w:r>
      <w:r w:rsidRPr="000909C2">
        <w:rPr>
          <w:rFonts w:ascii="Arial" w:hAnsi="Arial" w:cs="Arial"/>
        </w:rPr>
        <w:t xml:space="preserve"> Deloitte Insights. Available at: </w:t>
      </w:r>
      <w:hyperlink w:tgtFrame="_new" w:history="1" r:id="rId5">
        <w:r w:rsidRPr="000909C2">
          <w:rPr>
            <w:rStyle w:val="Hyperlink"/>
            <w:rFonts w:ascii="Arial" w:hAnsi="Arial" w:cs="Arial"/>
          </w:rPr>
          <w:t>https://www.deloitte.com</w:t>
        </w:r>
      </w:hyperlink>
      <w:r w:rsidRPr="000909C2">
        <w:rPr>
          <w:rFonts w:ascii="Arial" w:hAnsi="Arial" w:cs="Arial"/>
        </w:rPr>
        <w:t xml:space="preserve"> (Accessed: 11 November 2025).</w:t>
      </w:r>
    </w:p>
    <w:p w:rsidRPr="000909C2" w:rsidR="000909C2" w:rsidP="000909C2" w:rsidRDefault="000909C2" w14:paraId="2E13CA37" w14:textId="77777777">
      <w:pPr>
        <w:rPr>
          <w:rFonts w:ascii="Arial" w:hAnsi="Arial" w:cs="Arial"/>
        </w:rPr>
      </w:pPr>
      <w:r w:rsidRPr="000909C2">
        <w:rPr>
          <w:rFonts w:ascii="Arial" w:hAnsi="Arial" w:cs="Arial"/>
        </w:rPr>
        <w:t xml:space="preserve">European Commission (2024) </w:t>
      </w:r>
      <w:r w:rsidRPr="000909C2">
        <w:rPr>
          <w:rFonts w:ascii="Arial" w:hAnsi="Arial" w:cs="Arial"/>
          <w:i/>
          <w:iCs/>
        </w:rPr>
        <w:t>Corporate Sustainability Reporting Directive (CSRD).</w:t>
      </w:r>
      <w:r w:rsidRPr="000909C2">
        <w:rPr>
          <w:rFonts w:ascii="Arial" w:hAnsi="Arial" w:cs="Arial"/>
        </w:rPr>
        <w:t xml:space="preserve"> Available at: https://finance.ec.europa.eu/csrd (Accessed: 11 November 2025).</w:t>
      </w:r>
    </w:p>
    <w:p w:rsidRPr="000909C2" w:rsidR="000909C2" w:rsidP="000909C2" w:rsidRDefault="000909C2" w14:paraId="48415D46" w14:textId="77777777">
      <w:pPr>
        <w:rPr>
          <w:rFonts w:ascii="Arial" w:hAnsi="Arial" w:cs="Arial"/>
        </w:rPr>
      </w:pPr>
      <w:r w:rsidRPr="000909C2">
        <w:rPr>
          <w:rFonts w:ascii="Arial" w:hAnsi="Arial" w:cs="Arial"/>
        </w:rPr>
        <w:t xml:space="preserve">EY (2024) </w:t>
      </w:r>
      <w:r w:rsidRPr="000909C2">
        <w:rPr>
          <w:rFonts w:ascii="Arial" w:hAnsi="Arial" w:cs="Arial"/>
          <w:i/>
          <w:iCs/>
        </w:rPr>
        <w:t>Life Sciences Industry Outlook 2024.</w:t>
      </w:r>
      <w:r w:rsidRPr="000909C2">
        <w:rPr>
          <w:rFonts w:ascii="Arial" w:hAnsi="Arial" w:cs="Arial"/>
        </w:rPr>
        <w:t xml:space="preserve"> Available at: </w:t>
      </w:r>
      <w:hyperlink w:tgtFrame="_new" w:history="1" r:id="rId6">
        <w:r w:rsidRPr="000909C2">
          <w:rPr>
            <w:rStyle w:val="Hyperlink"/>
            <w:rFonts w:ascii="Arial" w:hAnsi="Arial" w:cs="Arial"/>
          </w:rPr>
          <w:t>https://www.ey.com</w:t>
        </w:r>
      </w:hyperlink>
      <w:r w:rsidRPr="000909C2">
        <w:rPr>
          <w:rFonts w:ascii="Arial" w:hAnsi="Arial" w:cs="Arial"/>
        </w:rPr>
        <w:t xml:space="preserve"> (Accessed: 11 November 2025).</w:t>
      </w:r>
    </w:p>
    <w:p w:rsidRPr="000909C2" w:rsidR="000909C2" w:rsidP="000909C2" w:rsidRDefault="000909C2" w14:paraId="0EA4103D" w14:textId="77777777">
      <w:pPr>
        <w:rPr>
          <w:rFonts w:ascii="Arial" w:hAnsi="Arial" w:cs="Arial"/>
        </w:rPr>
      </w:pPr>
      <w:r w:rsidRPr="000909C2">
        <w:rPr>
          <w:rFonts w:ascii="Arial" w:hAnsi="Arial" w:cs="Arial"/>
        </w:rPr>
        <w:t xml:space="preserve">Financial Times (2024) ‘Pharma supply chains strained by geopolitical instability.’ </w:t>
      </w:r>
      <w:r w:rsidRPr="000909C2">
        <w:rPr>
          <w:rFonts w:ascii="Arial" w:hAnsi="Arial" w:cs="Arial"/>
          <w:i/>
          <w:iCs/>
        </w:rPr>
        <w:t>Financial Times</w:t>
      </w:r>
      <w:r w:rsidRPr="000909C2">
        <w:rPr>
          <w:rFonts w:ascii="Arial" w:hAnsi="Arial" w:cs="Arial"/>
        </w:rPr>
        <w:t>, 8 February. Available at: https://www.ft.com (Accessed: 11 November 2025).</w:t>
      </w:r>
    </w:p>
    <w:p w:rsidRPr="000909C2" w:rsidR="000909C2" w:rsidP="000909C2" w:rsidRDefault="000909C2" w14:paraId="470FA46A" w14:textId="77777777">
      <w:pPr>
        <w:rPr>
          <w:rFonts w:ascii="Arial" w:hAnsi="Arial" w:cs="Arial"/>
        </w:rPr>
      </w:pPr>
      <w:r w:rsidRPr="000909C2">
        <w:rPr>
          <w:rFonts w:ascii="Arial" w:hAnsi="Arial" w:cs="Arial"/>
        </w:rPr>
        <w:t xml:space="preserve">Harvard Business Review (2024) ‘Managing Ethical AI in Healthcare.’ </w:t>
      </w:r>
      <w:r w:rsidRPr="000909C2">
        <w:rPr>
          <w:rFonts w:ascii="Arial" w:hAnsi="Arial" w:cs="Arial"/>
          <w:i/>
          <w:iCs/>
        </w:rPr>
        <w:t>HBR Digital Article</w:t>
      </w:r>
      <w:r w:rsidRPr="000909C2">
        <w:rPr>
          <w:rFonts w:ascii="Arial" w:hAnsi="Arial" w:cs="Arial"/>
        </w:rPr>
        <w:t xml:space="preserve">, 5 March. Available at: </w:t>
      </w:r>
      <w:hyperlink w:tgtFrame="_new" w:history="1" r:id="rId7">
        <w:r w:rsidRPr="000909C2">
          <w:rPr>
            <w:rStyle w:val="Hyperlink"/>
            <w:rFonts w:ascii="Arial" w:hAnsi="Arial" w:cs="Arial"/>
          </w:rPr>
          <w:t>https://hbr.org</w:t>
        </w:r>
      </w:hyperlink>
      <w:r w:rsidRPr="000909C2">
        <w:rPr>
          <w:rFonts w:ascii="Arial" w:hAnsi="Arial" w:cs="Arial"/>
        </w:rPr>
        <w:t xml:space="preserve"> (Accessed: 11 November 2025).</w:t>
      </w:r>
    </w:p>
    <w:p w:rsidRPr="000909C2" w:rsidR="000909C2" w:rsidP="000909C2" w:rsidRDefault="000909C2" w14:paraId="3E234F73" w14:textId="77777777">
      <w:pPr>
        <w:rPr>
          <w:rFonts w:ascii="Arial" w:hAnsi="Arial" w:cs="Arial"/>
        </w:rPr>
      </w:pPr>
      <w:r w:rsidRPr="000909C2">
        <w:rPr>
          <w:rFonts w:ascii="Arial" w:hAnsi="Arial" w:cs="Arial"/>
        </w:rPr>
        <w:t xml:space="preserve">Hill, C.W.L., Hult, G.T.M. and McKaig, T. (2023) </w:t>
      </w:r>
      <w:r w:rsidRPr="000909C2">
        <w:rPr>
          <w:rFonts w:ascii="Arial" w:hAnsi="Arial" w:cs="Arial"/>
          <w:i/>
          <w:iCs/>
        </w:rPr>
        <w:t>Global Business Today.</w:t>
      </w:r>
      <w:r w:rsidRPr="000909C2">
        <w:rPr>
          <w:rFonts w:ascii="Arial" w:hAnsi="Arial" w:cs="Arial"/>
        </w:rPr>
        <w:t xml:space="preserve"> 13th ed. McGraw-Hill Education.</w:t>
      </w:r>
    </w:p>
    <w:p w:rsidRPr="000909C2" w:rsidR="000909C2" w:rsidP="000909C2" w:rsidRDefault="000909C2" w14:paraId="6BABB98E" w14:textId="77777777">
      <w:pPr>
        <w:rPr>
          <w:rFonts w:ascii="Arial" w:hAnsi="Arial" w:cs="Arial"/>
        </w:rPr>
      </w:pPr>
      <w:r w:rsidRPr="000909C2">
        <w:rPr>
          <w:rFonts w:ascii="Arial" w:hAnsi="Arial" w:cs="Arial"/>
        </w:rPr>
        <w:t xml:space="preserve">PwC (2024) </w:t>
      </w:r>
      <w:r w:rsidRPr="000909C2">
        <w:rPr>
          <w:rFonts w:ascii="Arial" w:hAnsi="Arial" w:cs="Arial"/>
          <w:i/>
          <w:iCs/>
        </w:rPr>
        <w:t>Understanding the EU Corporate Sustainability Reporting Directive.</w:t>
      </w:r>
      <w:r w:rsidRPr="000909C2">
        <w:rPr>
          <w:rFonts w:ascii="Arial" w:hAnsi="Arial" w:cs="Arial"/>
        </w:rPr>
        <w:t xml:space="preserve"> PwC Publications. Available at: </w:t>
      </w:r>
      <w:hyperlink w:tgtFrame="_new" w:history="1" r:id="rId8">
        <w:r w:rsidRPr="000909C2">
          <w:rPr>
            <w:rStyle w:val="Hyperlink"/>
            <w:rFonts w:ascii="Arial" w:hAnsi="Arial" w:cs="Arial"/>
          </w:rPr>
          <w:t>https://www.pwc.com</w:t>
        </w:r>
      </w:hyperlink>
      <w:r w:rsidRPr="000909C2">
        <w:rPr>
          <w:rFonts w:ascii="Arial" w:hAnsi="Arial" w:cs="Arial"/>
        </w:rPr>
        <w:t xml:space="preserve"> (Accessed: 11 November 2025).</w:t>
      </w:r>
    </w:p>
    <w:p w:rsidRPr="000909C2" w:rsidR="000909C2" w:rsidP="000909C2" w:rsidRDefault="000909C2" w14:paraId="35FA6111" w14:textId="77777777">
      <w:pPr>
        <w:rPr>
          <w:rFonts w:ascii="Arial" w:hAnsi="Arial" w:cs="Arial"/>
        </w:rPr>
      </w:pPr>
      <w:r w:rsidRPr="000909C2">
        <w:rPr>
          <w:rFonts w:ascii="Arial" w:hAnsi="Arial" w:cs="Arial"/>
        </w:rPr>
        <w:t xml:space="preserve">World Health Organization (2024) </w:t>
      </w:r>
      <w:r w:rsidRPr="000909C2">
        <w:rPr>
          <w:rFonts w:ascii="Arial" w:hAnsi="Arial" w:cs="Arial"/>
          <w:i/>
          <w:iCs/>
        </w:rPr>
        <w:t>Global Report on Noncommunicable Diseases 2024.</w:t>
      </w:r>
      <w:r w:rsidRPr="000909C2">
        <w:rPr>
          <w:rFonts w:ascii="Arial" w:hAnsi="Arial" w:cs="Arial"/>
        </w:rPr>
        <w:t xml:space="preserve"> Available at: </w:t>
      </w:r>
      <w:hyperlink w:tgtFrame="_new" w:history="1" r:id="rId9">
        <w:r w:rsidRPr="000909C2">
          <w:rPr>
            <w:rStyle w:val="Hyperlink"/>
            <w:rFonts w:ascii="Arial" w:hAnsi="Arial" w:cs="Arial"/>
          </w:rPr>
          <w:t>https://www.who.int</w:t>
        </w:r>
      </w:hyperlink>
      <w:r w:rsidRPr="000909C2">
        <w:rPr>
          <w:rFonts w:ascii="Arial" w:hAnsi="Arial" w:cs="Arial"/>
        </w:rPr>
        <w:t xml:space="preserve"> (Accessed: 11 November 2025).</w:t>
      </w:r>
    </w:p>
    <w:p w:rsidRPr="000909C2" w:rsidR="000909C2" w:rsidP="000909C2" w:rsidRDefault="000909C2" w14:paraId="4C0EF6C1" w14:textId="1D86EF75">
      <w:pPr>
        <w:rPr>
          <w:rFonts w:ascii="Arial" w:hAnsi="Arial" w:cs="Arial"/>
        </w:rPr>
      </w:pPr>
    </w:p>
    <w:p w:rsidRPr="000909C2" w:rsidR="001C1BE5" w:rsidRDefault="001C1BE5" w14:paraId="08B36AEA" w14:textId="77777777">
      <w:pPr>
        <w:rPr>
          <w:rFonts w:ascii="Arial" w:hAnsi="Arial" w:cs="Arial"/>
        </w:rPr>
      </w:pPr>
    </w:p>
    <w:sectPr w:rsidRPr="000909C2" w:rsidR="001C1BE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9C2"/>
    <w:rsid w:val="00034E86"/>
    <w:rsid w:val="00041784"/>
    <w:rsid w:val="000718E0"/>
    <w:rsid w:val="000909C2"/>
    <w:rsid w:val="000A49E2"/>
    <w:rsid w:val="001C1BE5"/>
    <w:rsid w:val="00332D16"/>
    <w:rsid w:val="003E6423"/>
    <w:rsid w:val="00C40D02"/>
    <w:rsid w:val="00D61C0A"/>
    <w:rsid w:val="00EB4138"/>
    <w:rsid w:val="2699AD14"/>
    <w:rsid w:val="2E6EFBEB"/>
    <w:rsid w:val="4B355FA3"/>
    <w:rsid w:val="5F3B8AF3"/>
    <w:rsid w:val="7ED988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08ABB"/>
  <w15:chartTrackingRefBased/>
  <w15:docId w15:val="{11515193-EA87-43A8-9EF6-B4172DFE41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909C2"/>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09C2"/>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09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09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09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09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09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09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09C2"/>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909C2"/>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0909C2"/>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909C2"/>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909C2"/>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909C2"/>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909C2"/>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909C2"/>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909C2"/>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909C2"/>
    <w:rPr>
      <w:rFonts w:eastAsiaTheme="majorEastAsia" w:cstheme="majorBidi"/>
      <w:color w:val="272727" w:themeColor="text1" w:themeTint="D8"/>
    </w:rPr>
  </w:style>
  <w:style w:type="paragraph" w:styleId="Title">
    <w:name w:val="Title"/>
    <w:basedOn w:val="Normal"/>
    <w:next w:val="Normal"/>
    <w:link w:val="TitleChar"/>
    <w:uiPriority w:val="10"/>
    <w:qFormat/>
    <w:rsid w:val="000909C2"/>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909C2"/>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909C2"/>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909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09C2"/>
    <w:pPr>
      <w:spacing w:before="160"/>
      <w:jc w:val="center"/>
    </w:pPr>
    <w:rPr>
      <w:i/>
      <w:iCs/>
      <w:color w:val="404040" w:themeColor="text1" w:themeTint="BF"/>
    </w:rPr>
  </w:style>
  <w:style w:type="character" w:styleId="QuoteChar" w:customStyle="1">
    <w:name w:val="Quote Char"/>
    <w:basedOn w:val="DefaultParagraphFont"/>
    <w:link w:val="Quote"/>
    <w:uiPriority w:val="29"/>
    <w:rsid w:val="000909C2"/>
    <w:rPr>
      <w:i/>
      <w:iCs/>
      <w:color w:val="404040" w:themeColor="text1" w:themeTint="BF"/>
    </w:rPr>
  </w:style>
  <w:style w:type="paragraph" w:styleId="ListParagraph">
    <w:name w:val="List Paragraph"/>
    <w:basedOn w:val="Normal"/>
    <w:uiPriority w:val="34"/>
    <w:qFormat/>
    <w:rsid w:val="000909C2"/>
    <w:pPr>
      <w:ind w:left="720"/>
      <w:contextualSpacing/>
    </w:pPr>
  </w:style>
  <w:style w:type="character" w:styleId="IntenseEmphasis">
    <w:name w:val="Intense Emphasis"/>
    <w:basedOn w:val="DefaultParagraphFont"/>
    <w:uiPriority w:val="21"/>
    <w:qFormat/>
    <w:rsid w:val="000909C2"/>
    <w:rPr>
      <w:i/>
      <w:iCs/>
      <w:color w:val="0F4761" w:themeColor="accent1" w:themeShade="BF"/>
    </w:rPr>
  </w:style>
  <w:style w:type="paragraph" w:styleId="IntenseQuote">
    <w:name w:val="Intense Quote"/>
    <w:basedOn w:val="Normal"/>
    <w:next w:val="Normal"/>
    <w:link w:val="IntenseQuoteChar"/>
    <w:uiPriority w:val="30"/>
    <w:qFormat/>
    <w:rsid w:val="000909C2"/>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909C2"/>
    <w:rPr>
      <w:i/>
      <w:iCs/>
      <w:color w:val="0F4761" w:themeColor="accent1" w:themeShade="BF"/>
    </w:rPr>
  </w:style>
  <w:style w:type="character" w:styleId="IntenseReference">
    <w:name w:val="Intense Reference"/>
    <w:basedOn w:val="DefaultParagraphFont"/>
    <w:uiPriority w:val="32"/>
    <w:qFormat/>
    <w:rsid w:val="000909C2"/>
    <w:rPr>
      <w:b/>
      <w:bCs/>
      <w:smallCaps/>
      <w:color w:val="0F4761" w:themeColor="accent1" w:themeShade="BF"/>
      <w:spacing w:val="5"/>
    </w:rPr>
  </w:style>
  <w:style w:type="paragraph" w:styleId="TOCHeading">
    <w:name w:val="TOC Heading"/>
    <w:basedOn w:val="Heading1"/>
    <w:next w:val="Normal"/>
    <w:uiPriority w:val="39"/>
    <w:unhideWhenUsed/>
    <w:qFormat/>
    <w:rsid w:val="000909C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909C2"/>
    <w:pPr>
      <w:spacing w:after="100"/>
    </w:pPr>
  </w:style>
  <w:style w:type="character" w:styleId="Hyperlink">
    <w:name w:val="Hyperlink"/>
    <w:basedOn w:val="DefaultParagraphFont"/>
    <w:uiPriority w:val="99"/>
    <w:unhideWhenUsed/>
    <w:rsid w:val="000909C2"/>
    <w:rPr>
      <w:color w:val="467886" w:themeColor="hyperlink"/>
      <w:u w:val="single"/>
    </w:rPr>
  </w:style>
  <w:style w:type="character" w:styleId="UnresolvedMention">
    <w:name w:val="Unresolved Mention"/>
    <w:basedOn w:val="DefaultParagraphFont"/>
    <w:uiPriority w:val="99"/>
    <w:semiHidden/>
    <w:unhideWhenUsed/>
    <w:rsid w:val="000909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pwc.com" TargetMode="External" Id="rId8" /><Relationship Type="http://schemas.openxmlformats.org/officeDocument/2006/relationships/webSettings" Target="webSettings.xml" Id="rId3" /><Relationship Type="http://schemas.openxmlformats.org/officeDocument/2006/relationships/hyperlink" Target="https://hbr.org" TargetMode="Externa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www.ey.com" TargetMode="External" Id="rId6" /><Relationship Type="http://schemas.openxmlformats.org/officeDocument/2006/relationships/theme" Target="theme/theme1.xml" Id="rId11" /><Relationship Type="http://schemas.openxmlformats.org/officeDocument/2006/relationships/hyperlink" Target="https://www.deloitte.com" TargetMode="External" Id="rId5" /><Relationship Type="http://schemas.openxmlformats.org/officeDocument/2006/relationships/fontTable" Target="fontTable.xml" Id="rId10" /><Relationship Type="http://schemas.openxmlformats.org/officeDocument/2006/relationships/hyperlink" Target="https://www.astrazeneca.com/investor-relations.html" TargetMode="External" Id="rId4" /><Relationship Type="http://schemas.openxmlformats.org/officeDocument/2006/relationships/hyperlink" Target="https://www.who.int" TargetMode="Externa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Tahir Mustafa</dc:creator>
  <keywords/>
  <dc:description/>
  <lastModifiedBy>Georgel Milos (2416333)</lastModifiedBy>
  <revision>4</revision>
  <dcterms:created xsi:type="dcterms:W3CDTF">2025-11-14T14:03:00.0000000Z</dcterms:created>
  <dcterms:modified xsi:type="dcterms:W3CDTF">2025-11-14T14:15:55.5707017Z</dcterms:modified>
</coreProperties>
</file>