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3C459FAC"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A05A2E">
        <w:rPr>
          <w:rFonts w:asciiTheme="minorBidi" w:hAnsiTheme="minorBidi"/>
          <w:sz w:val="28"/>
          <w:szCs w:val="28"/>
        </w:rPr>
        <w:t>Hisham AL Homsi</w:t>
      </w:r>
    </w:p>
    <w:p w14:paraId="485B6F49" w14:textId="6E566B55"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A05A2E">
        <w:rPr>
          <w:rFonts w:asciiTheme="minorBidi" w:hAnsiTheme="minorBidi"/>
          <w:sz w:val="28"/>
          <w:szCs w:val="28"/>
        </w:rPr>
        <w:t>2530548</w:t>
      </w:r>
    </w:p>
    <w:p w14:paraId="3C1E7A20" w14:textId="1EC58EBA" w:rsidR="00ED5964" w:rsidRDefault="00ED5964" w:rsidP="00ED5964">
      <w:pPr>
        <w:jc w:val="both"/>
        <w:rPr>
          <w:rFonts w:asciiTheme="minorBidi" w:hAnsiTheme="minorBidi"/>
          <w:sz w:val="28"/>
          <w:szCs w:val="28"/>
        </w:rPr>
      </w:pPr>
      <w:r>
        <w:rPr>
          <w:rFonts w:asciiTheme="minorBidi" w:hAnsiTheme="minorBidi"/>
          <w:sz w:val="28"/>
          <w:szCs w:val="28"/>
        </w:rPr>
        <w:t xml:space="preserve">Module Code: </w:t>
      </w:r>
      <w:r w:rsidR="00A05A2E">
        <w:rPr>
          <w:rFonts w:asciiTheme="minorBidi" w:hAnsiTheme="minorBidi"/>
          <w:sz w:val="28"/>
          <w:szCs w:val="28"/>
        </w:rPr>
        <w:t>LCH4001_BIRM</w:t>
      </w:r>
    </w:p>
    <w:p w14:paraId="4EEB2DA3" w14:textId="0EF80984" w:rsidR="00ED5964" w:rsidRDefault="00ED5964" w:rsidP="00ED5964">
      <w:pPr>
        <w:jc w:val="both"/>
        <w:rPr>
          <w:rFonts w:asciiTheme="minorBidi" w:hAnsiTheme="minorBidi"/>
          <w:sz w:val="28"/>
          <w:szCs w:val="28"/>
        </w:rPr>
      </w:pPr>
      <w:r>
        <w:rPr>
          <w:rFonts w:asciiTheme="minorBidi" w:hAnsiTheme="minorBidi"/>
          <w:sz w:val="28"/>
          <w:szCs w:val="28"/>
        </w:rPr>
        <w:t xml:space="preserve">Module: </w:t>
      </w:r>
      <w:r w:rsidR="00A05A2E">
        <w:rPr>
          <w:rFonts w:asciiTheme="minorBidi" w:hAnsiTheme="minorBidi"/>
          <w:sz w:val="28"/>
          <w:szCs w:val="28"/>
        </w:rPr>
        <w:t>Academic and Employability Skills</w:t>
      </w:r>
    </w:p>
    <w:p w14:paraId="112342CB" w14:textId="1E487807" w:rsidR="00ED5964" w:rsidRDefault="00ED5964" w:rsidP="00ED5964">
      <w:pPr>
        <w:jc w:val="both"/>
        <w:rPr>
          <w:rFonts w:asciiTheme="minorBidi" w:hAnsiTheme="minorBidi"/>
          <w:sz w:val="28"/>
          <w:szCs w:val="28"/>
        </w:rPr>
      </w:pPr>
      <w:r>
        <w:rPr>
          <w:rFonts w:asciiTheme="minorBidi" w:hAnsiTheme="minorBidi"/>
          <w:sz w:val="28"/>
          <w:szCs w:val="28"/>
        </w:rPr>
        <w:t xml:space="preserve">Lecturer: </w:t>
      </w:r>
      <w:r w:rsidR="00A05A2E">
        <w:rPr>
          <w:rFonts w:asciiTheme="minorBidi" w:hAnsiTheme="minorBidi"/>
          <w:sz w:val="28"/>
          <w:szCs w:val="28"/>
        </w:rPr>
        <w:t>Reza Taghizadeh</w:t>
      </w:r>
    </w:p>
    <w:p w14:paraId="4AD0C08E" w14:textId="7C0EBDEE" w:rsidR="00A05A2E" w:rsidRDefault="00A05A2E" w:rsidP="00ED5964">
      <w:pPr>
        <w:jc w:val="both"/>
        <w:rPr>
          <w:rFonts w:asciiTheme="minorBidi" w:hAnsiTheme="minorBidi"/>
          <w:sz w:val="28"/>
          <w:szCs w:val="28"/>
        </w:rPr>
      </w:pPr>
      <w:r>
        <w:rPr>
          <w:rFonts w:asciiTheme="minorBidi" w:hAnsiTheme="minorBidi"/>
          <w:sz w:val="28"/>
          <w:szCs w:val="28"/>
        </w:rPr>
        <w:t>Assignment Title: Task 3 Professional Roles and Skills in Health and Social Care – Adult Social Worker</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2F3A300B"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w:t>
      </w:r>
      <w:proofErr w:type="gramStart"/>
      <w:r>
        <w:rPr>
          <w:rFonts w:asciiTheme="minorBidi" w:hAnsiTheme="minorBidi"/>
          <w:sz w:val="28"/>
          <w:szCs w:val="28"/>
        </w:rPr>
        <w:t>on:</w:t>
      </w:r>
      <w:proofErr w:type="gramEnd"/>
      <w:r>
        <w:rPr>
          <w:rFonts w:asciiTheme="minorBidi" w:hAnsiTheme="minorBidi"/>
          <w:sz w:val="28"/>
          <w:szCs w:val="28"/>
        </w:rPr>
        <w:t xml:space="preserve">    </w:t>
      </w:r>
      <w:r w:rsidR="00D536F3">
        <w:rPr>
          <w:rFonts w:asciiTheme="minorBidi" w:hAnsiTheme="minorBidi"/>
          <w:sz w:val="28"/>
          <w:szCs w:val="28"/>
        </w:rPr>
        <w:t>23/March/2026</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4180CDBC" w14:textId="77777777" w:rsidR="00ED5964" w:rsidRPr="00242974" w:rsidRDefault="00ED5964" w:rsidP="00ED5964">
      <w:pPr>
        <w:jc w:val="both"/>
        <w:rPr>
          <w:rFonts w:asciiTheme="minorBidi" w:hAnsiTheme="minorBidi"/>
          <w:sz w:val="28"/>
          <w:szCs w:val="28"/>
        </w:rPr>
      </w:pPr>
    </w:p>
    <w:sdt>
      <w:sdtPr>
        <w:rPr>
          <w:rFonts w:eastAsiaTheme="minorEastAsia" w:cstheme="minorBidi"/>
          <w:bCs w:val="0"/>
          <w:color w:val="auto"/>
          <w:kern w:val="2"/>
          <w:sz w:val="20"/>
          <w:szCs w:val="22"/>
          <w:lang w:val="en-GB" w:eastAsia="zh-CN"/>
          <w14:ligatures w14:val="standardContextual"/>
        </w:rPr>
        <w:id w:val="100920263"/>
        <w:docPartObj>
          <w:docPartGallery w:val="Table of Contents"/>
          <w:docPartUnique/>
        </w:docPartObj>
      </w:sdtPr>
      <w:sdtEndPr>
        <w:rPr>
          <w:b/>
          <w:noProof/>
        </w:rPr>
      </w:sdtEndPr>
      <w:sdtContent>
        <w:p w14:paraId="69A45AB4" w14:textId="1BC22B3F" w:rsidR="00184A9A" w:rsidRPr="002976D4" w:rsidRDefault="00184A9A">
          <w:pPr>
            <w:pStyle w:val="TOCHeading"/>
            <w:rPr>
              <w:color w:val="4472C4" w:themeColor="accent1"/>
            </w:rPr>
          </w:pPr>
          <w:r w:rsidRPr="002976D4">
            <w:rPr>
              <w:color w:val="4472C4" w:themeColor="accent1"/>
            </w:rPr>
            <w:t>Table of Contents</w:t>
          </w:r>
        </w:p>
        <w:p w14:paraId="47836CD8" w14:textId="3C22A317" w:rsidR="00183CB9" w:rsidRDefault="00184A9A">
          <w:pPr>
            <w:pStyle w:val="TOC1"/>
            <w:tabs>
              <w:tab w:val="right" w:leader="dot" w:pos="9016"/>
            </w:tabs>
            <w:rPr>
              <w:rFonts w:asciiTheme="minorHAnsi" w:hAnsiTheme="minorHAnsi" w:cstheme="minorBidi"/>
              <w:b w:val="0"/>
              <w:bCs w:val="0"/>
              <w:i w:val="0"/>
              <w:iCs w:val="0"/>
              <w:noProof/>
            </w:rPr>
          </w:pPr>
          <w:r w:rsidRPr="00242974">
            <w:rPr>
              <w:b w:val="0"/>
              <w:bCs w:val="0"/>
            </w:rPr>
            <w:fldChar w:fldCharType="begin"/>
          </w:r>
          <w:r w:rsidRPr="00242974">
            <w:instrText xml:space="preserve"> TOC \o "1-3" \h \z \u </w:instrText>
          </w:r>
          <w:r w:rsidRPr="00242974">
            <w:rPr>
              <w:b w:val="0"/>
              <w:bCs w:val="0"/>
            </w:rPr>
            <w:fldChar w:fldCharType="separate"/>
          </w:r>
          <w:hyperlink w:anchor="_Toc212100517" w:history="1">
            <w:r w:rsidR="00183CB9" w:rsidRPr="00CC44F1">
              <w:rPr>
                <w:rStyle w:val="Hyperlink"/>
                <w:noProof/>
              </w:rPr>
              <w:t>1: Written Report</w:t>
            </w:r>
            <w:r w:rsidR="00183CB9">
              <w:rPr>
                <w:noProof/>
                <w:webHidden/>
              </w:rPr>
              <w:tab/>
            </w:r>
            <w:r w:rsidR="00183CB9">
              <w:rPr>
                <w:noProof/>
                <w:webHidden/>
              </w:rPr>
              <w:fldChar w:fldCharType="begin"/>
            </w:r>
            <w:r w:rsidR="00183CB9">
              <w:rPr>
                <w:noProof/>
                <w:webHidden/>
              </w:rPr>
              <w:instrText xml:space="preserve"> PAGEREF _Toc212100517 \h </w:instrText>
            </w:r>
            <w:r w:rsidR="00183CB9">
              <w:rPr>
                <w:noProof/>
                <w:webHidden/>
              </w:rPr>
            </w:r>
            <w:r w:rsidR="00183CB9">
              <w:rPr>
                <w:noProof/>
                <w:webHidden/>
              </w:rPr>
              <w:fldChar w:fldCharType="separate"/>
            </w:r>
            <w:r w:rsidR="00183CB9">
              <w:rPr>
                <w:noProof/>
                <w:webHidden/>
              </w:rPr>
              <w:t>3</w:t>
            </w:r>
            <w:r w:rsidR="00183CB9">
              <w:rPr>
                <w:noProof/>
                <w:webHidden/>
              </w:rPr>
              <w:fldChar w:fldCharType="end"/>
            </w:r>
          </w:hyperlink>
        </w:p>
        <w:p w14:paraId="17F37CB4" w14:textId="41DF4631" w:rsidR="00183CB9" w:rsidRDefault="00183CB9">
          <w:pPr>
            <w:pStyle w:val="TOC2"/>
            <w:tabs>
              <w:tab w:val="right" w:leader="dot" w:pos="9016"/>
            </w:tabs>
            <w:rPr>
              <w:rFonts w:asciiTheme="minorHAnsi" w:hAnsiTheme="minorHAnsi" w:cstheme="minorBidi"/>
              <w:b w:val="0"/>
              <w:bCs w:val="0"/>
              <w:noProof/>
              <w:sz w:val="24"/>
              <w:szCs w:val="24"/>
            </w:rPr>
          </w:pPr>
          <w:hyperlink w:anchor="_Toc212100518" w:history="1">
            <w:r w:rsidRPr="00CC44F1">
              <w:rPr>
                <w:rStyle w:val="Hyperlink"/>
                <w:noProof/>
              </w:rPr>
              <w:t>1.1 Introduction</w:t>
            </w:r>
            <w:r>
              <w:rPr>
                <w:noProof/>
                <w:webHidden/>
              </w:rPr>
              <w:tab/>
            </w:r>
            <w:r>
              <w:rPr>
                <w:noProof/>
                <w:webHidden/>
              </w:rPr>
              <w:fldChar w:fldCharType="begin"/>
            </w:r>
            <w:r>
              <w:rPr>
                <w:noProof/>
                <w:webHidden/>
              </w:rPr>
              <w:instrText xml:space="preserve"> PAGEREF _Toc212100518 \h </w:instrText>
            </w:r>
            <w:r>
              <w:rPr>
                <w:noProof/>
                <w:webHidden/>
              </w:rPr>
            </w:r>
            <w:r>
              <w:rPr>
                <w:noProof/>
                <w:webHidden/>
              </w:rPr>
              <w:fldChar w:fldCharType="separate"/>
            </w:r>
            <w:r>
              <w:rPr>
                <w:noProof/>
                <w:webHidden/>
              </w:rPr>
              <w:t>3</w:t>
            </w:r>
            <w:r>
              <w:rPr>
                <w:noProof/>
                <w:webHidden/>
              </w:rPr>
              <w:fldChar w:fldCharType="end"/>
            </w:r>
          </w:hyperlink>
        </w:p>
        <w:p w14:paraId="7303BDE2" w14:textId="36956C97" w:rsidR="00183CB9" w:rsidRDefault="00183CB9">
          <w:pPr>
            <w:pStyle w:val="TOC2"/>
            <w:tabs>
              <w:tab w:val="right" w:leader="dot" w:pos="9016"/>
            </w:tabs>
            <w:rPr>
              <w:rFonts w:asciiTheme="minorHAnsi" w:hAnsiTheme="minorHAnsi" w:cstheme="minorBidi"/>
              <w:b w:val="0"/>
              <w:bCs w:val="0"/>
              <w:noProof/>
              <w:sz w:val="24"/>
              <w:szCs w:val="24"/>
            </w:rPr>
          </w:pPr>
          <w:hyperlink w:anchor="_Toc212100519" w:history="1">
            <w:r w:rsidRPr="00CC44F1">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_Toc212100519 \h </w:instrText>
            </w:r>
            <w:r>
              <w:rPr>
                <w:noProof/>
                <w:webHidden/>
              </w:rPr>
            </w:r>
            <w:r>
              <w:rPr>
                <w:noProof/>
                <w:webHidden/>
              </w:rPr>
              <w:fldChar w:fldCharType="separate"/>
            </w:r>
            <w:r>
              <w:rPr>
                <w:noProof/>
                <w:webHidden/>
              </w:rPr>
              <w:t>3</w:t>
            </w:r>
            <w:r>
              <w:rPr>
                <w:noProof/>
                <w:webHidden/>
              </w:rPr>
              <w:fldChar w:fldCharType="end"/>
            </w:r>
          </w:hyperlink>
        </w:p>
        <w:p w14:paraId="719885A7" w14:textId="7C3470D3" w:rsidR="00183CB9" w:rsidRDefault="00183CB9">
          <w:pPr>
            <w:pStyle w:val="TOC2"/>
            <w:tabs>
              <w:tab w:val="right" w:leader="dot" w:pos="9016"/>
            </w:tabs>
            <w:rPr>
              <w:rFonts w:asciiTheme="minorHAnsi" w:hAnsiTheme="minorHAnsi" w:cstheme="minorBidi"/>
              <w:b w:val="0"/>
              <w:bCs w:val="0"/>
              <w:noProof/>
              <w:sz w:val="24"/>
              <w:szCs w:val="24"/>
            </w:rPr>
          </w:pPr>
          <w:hyperlink w:anchor="_Toc212100520" w:history="1">
            <w:r w:rsidRPr="00CC44F1">
              <w:rPr>
                <w:rStyle w:val="Hyperlink"/>
                <w:noProof/>
              </w:rPr>
              <w:t>1.4 Strategies to improve the skills for [Your Role]</w:t>
            </w:r>
            <w:r>
              <w:rPr>
                <w:noProof/>
                <w:webHidden/>
              </w:rPr>
              <w:tab/>
            </w:r>
            <w:r>
              <w:rPr>
                <w:noProof/>
                <w:webHidden/>
              </w:rPr>
              <w:fldChar w:fldCharType="begin"/>
            </w:r>
            <w:r>
              <w:rPr>
                <w:noProof/>
                <w:webHidden/>
              </w:rPr>
              <w:instrText xml:space="preserve"> PAGEREF _Toc212100520 \h </w:instrText>
            </w:r>
            <w:r>
              <w:rPr>
                <w:noProof/>
                <w:webHidden/>
              </w:rPr>
            </w:r>
            <w:r>
              <w:rPr>
                <w:noProof/>
                <w:webHidden/>
              </w:rPr>
              <w:fldChar w:fldCharType="separate"/>
            </w:r>
            <w:r>
              <w:rPr>
                <w:noProof/>
                <w:webHidden/>
              </w:rPr>
              <w:t>3</w:t>
            </w:r>
            <w:r>
              <w:rPr>
                <w:noProof/>
                <w:webHidden/>
              </w:rPr>
              <w:fldChar w:fldCharType="end"/>
            </w:r>
          </w:hyperlink>
        </w:p>
        <w:p w14:paraId="034C4FEF" w14:textId="6268BF45" w:rsidR="00183CB9" w:rsidRDefault="00183CB9">
          <w:pPr>
            <w:pStyle w:val="TOC2"/>
            <w:tabs>
              <w:tab w:val="right" w:leader="dot" w:pos="9016"/>
            </w:tabs>
            <w:rPr>
              <w:rFonts w:asciiTheme="minorHAnsi" w:hAnsiTheme="minorHAnsi" w:cstheme="minorBidi"/>
              <w:b w:val="0"/>
              <w:bCs w:val="0"/>
              <w:noProof/>
              <w:sz w:val="24"/>
              <w:szCs w:val="24"/>
            </w:rPr>
          </w:pPr>
          <w:hyperlink w:anchor="_Toc212100521" w:history="1">
            <w:r w:rsidRPr="00CC44F1">
              <w:rPr>
                <w:rStyle w:val="Hyperlink"/>
                <w:noProof/>
              </w:rPr>
              <w:t>1.4 Conclusion</w:t>
            </w:r>
            <w:r>
              <w:rPr>
                <w:noProof/>
                <w:webHidden/>
              </w:rPr>
              <w:tab/>
            </w:r>
            <w:r>
              <w:rPr>
                <w:noProof/>
                <w:webHidden/>
              </w:rPr>
              <w:fldChar w:fldCharType="begin"/>
            </w:r>
            <w:r>
              <w:rPr>
                <w:noProof/>
                <w:webHidden/>
              </w:rPr>
              <w:instrText xml:space="preserve"> PAGEREF _Toc212100521 \h </w:instrText>
            </w:r>
            <w:r>
              <w:rPr>
                <w:noProof/>
                <w:webHidden/>
              </w:rPr>
            </w:r>
            <w:r>
              <w:rPr>
                <w:noProof/>
                <w:webHidden/>
              </w:rPr>
              <w:fldChar w:fldCharType="separate"/>
            </w:r>
            <w:r>
              <w:rPr>
                <w:noProof/>
                <w:webHidden/>
              </w:rPr>
              <w:t>3</w:t>
            </w:r>
            <w:r>
              <w:rPr>
                <w:noProof/>
                <w:webHidden/>
              </w:rPr>
              <w:fldChar w:fldCharType="end"/>
            </w:r>
          </w:hyperlink>
        </w:p>
        <w:p w14:paraId="21A32578" w14:textId="02BCFD41" w:rsidR="00183CB9" w:rsidRDefault="00183CB9">
          <w:pPr>
            <w:pStyle w:val="TOC2"/>
            <w:tabs>
              <w:tab w:val="right" w:leader="dot" w:pos="9016"/>
            </w:tabs>
            <w:rPr>
              <w:rFonts w:asciiTheme="minorHAnsi" w:hAnsiTheme="minorHAnsi" w:cstheme="minorBidi"/>
              <w:b w:val="0"/>
              <w:bCs w:val="0"/>
              <w:noProof/>
              <w:sz w:val="24"/>
              <w:szCs w:val="24"/>
            </w:rPr>
          </w:pPr>
          <w:hyperlink w:anchor="_Toc212100522" w:history="1">
            <w:r w:rsidRPr="00CC44F1">
              <w:rPr>
                <w:rStyle w:val="Hyperlink"/>
                <w:noProof/>
              </w:rPr>
              <w:t>1.5 Reference List</w:t>
            </w:r>
            <w:r>
              <w:rPr>
                <w:noProof/>
                <w:webHidden/>
              </w:rPr>
              <w:tab/>
            </w:r>
            <w:r>
              <w:rPr>
                <w:noProof/>
                <w:webHidden/>
              </w:rPr>
              <w:fldChar w:fldCharType="begin"/>
            </w:r>
            <w:r>
              <w:rPr>
                <w:noProof/>
                <w:webHidden/>
              </w:rPr>
              <w:instrText xml:space="preserve"> PAGEREF _Toc212100522 \h </w:instrText>
            </w:r>
            <w:r>
              <w:rPr>
                <w:noProof/>
                <w:webHidden/>
              </w:rPr>
            </w:r>
            <w:r>
              <w:rPr>
                <w:noProof/>
                <w:webHidden/>
              </w:rPr>
              <w:fldChar w:fldCharType="separate"/>
            </w:r>
            <w:r>
              <w:rPr>
                <w:noProof/>
                <w:webHidden/>
              </w:rPr>
              <w:t>4</w:t>
            </w:r>
            <w:r>
              <w:rPr>
                <w:noProof/>
                <w:webHidden/>
              </w:rPr>
              <w:fldChar w:fldCharType="end"/>
            </w:r>
          </w:hyperlink>
        </w:p>
        <w:p w14:paraId="6138A55F" w14:textId="0AE1356E" w:rsidR="00184A9A" w:rsidRPr="00242974" w:rsidRDefault="00184A9A">
          <w:r w:rsidRPr="00242974">
            <w:rPr>
              <w:b/>
              <w:bCs/>
              <w:noProof/>
            </w:rPr>
            <w:fldChar w:fldCharType="end"/>
          </w:r>
        </w:p>
      </w:sdtContent>
    </w:sdt>
    <w:p w14:paraId="4A159F97" w14:textId="77777777" w:rsidR="00ED5964" w:rsidRPr="00242974" w:rsidRDefault="00ED5964" w:rsidP="00ED5964">
      <w:pPr>
        <w:jc w:val="both"/>
        <w:rPr>
          <w:rFonts w:asciiTheme="minorBidi" w:hAnsiTheme="minorBidi"/>
          <w:b/>
          <w:bCs/>
          <w:sz w:val="28"/>
          <w:szCs w:val="28"/>
        </w:rPr>
      </w:pPr>
    </w:p>
    <w:p w14:paraId="09E24E55" w14:textId="77777777"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005709B1"/>
    <w:p w14:paraId="3E34A5EF" w14:textId="77777777" w:rsidR="002E71BA" w:rsidRPr="00242974" w:rsidRDefault="002E71BA">
      <w:pPr>
        <w:rPr>
          <w:b/>
          <w:bCs/>
          <w:sz w:val="21"/>
          <w:szCs w:val="21"/>
        </w:rPr>
      </w:pPr>
      <w:r w:rsidRPr="00242974">
        <w:rPr>
          <w:b/>
          <w:bCs/>
          <w:sz w:val="21"/>
          <w:szCs w:val="21"/>
        </w:rPr>
        <w:br w:type="page"/>
      </w:r>
    </w:p>
    <w:p w14:paraId="6BFB497F" w14:textId="02D297C7" w:rsidR="00D536F3" w:rsidRDefault="00D536F3" w:rsidP="00A05A2E">
      <w:pPr>
        <w:spacing w:line="278" w:lineRule="auto"/>
        <w:rPr>
          <w:rFonts w:asciiTheme="minorBidi" w:hAnsiTheme="minorBidi"/>
          <w:b/>
          <w:bCs/>
          <w:sz w:val="22"/>
          <w:lang w:val="sv-SE"/>
        </w:rPr>
      </w:pPr>
      <w:r>
        <w:rPr>
          <w:rFonts w:asciiTheme="minorBidi" w:hAnsiTheme="minorBidi"/>
          <w:b/>
          <w:bCs/>
          <w:sz w:val="22"/>
          <w:lang w:val="sv-SE"/>
        </w:rPr>
        <w:lastRenderedPageBreak/>
        <w:t>1: Written Report.</w:t>
      </w:r>
    </w:p>
    <w:p w14:paraId="23003950" w14:textId="77777777" w:rsidR="00D536F3" w:rsidRDefault="00D536F3" w:rsidP="00A05A2E">
      <w:pPr>
        <w:spacing w:line="278" w:lineRule="auto"/>
        <w:rPr>
          <w:rFonts w:asciiTheme="minorBidi" w:hAnsiTheme="minorBidi"/>
          <w:b/>
          <w:bCs/>
          <w:sz w:val="22"/>
          <w:lang w:val="sv-SE"/>
        </w:rPr>
      </w:pPr>
    </w:p>
    <w:p w14:paraId="6015C927" w14:textId="6651D23D" w:rsidR="00A05A2E" w:rsidRPr="00D536F3" w:rsidRDefault="00A05A2E" w:rsidP="00A05A2E">
      <w:pPr>
        <w:spacing w:line="278" w:lineRule="auto"/>
        <w:rPr>
          <w:rFonts w:asciiTheme="minorBidi" w:hAnsiTheme="minorBidi"/>
          <w:b/>
          <w:bCs/>
          <w:sz w:val="22"/>
          <w:lang w:val="sv-SE"/>
        </w:rPr>
      </w:pPr>
      <w:r w:rsidRPr="00D536F3">
        <w:rPr>
          <w:rFonts w:asciiTheme="minorBidi" w:hAnsiTheme="minorBidi"/>
          <w:b/>
          <w:bCs/>
          <w:sz w:val="22"/>
          <w:lang w:val="sv-SE"/>
        </w:rPr>
        <w:t>1.1 Introduction</w:t>
      </w:r>
    </w:p>
    <w:p w14:paraId="5B96B041" w14:textId="77777777" w:rsidR="00A05A2E" w:rsidRPr="00D536F3" w:rsidRDefault="00A05A2E" w:rsidP="00A05A2E">
      <w:pPr>
        <w:rPr>
          <w:rFonts w:asciiTheme="minorBidi" w:hAnsiTheme="minorBidi"/>
          <w:sz w:val="22"/>
        </w:rPr>
      </w:pPr>
      <w:r w:rsidRPr="00D536F3">
        <w:rPr>
          <w:rFonts w:asciiTheme="minorBidi" w:hAnsiTheme="minorBidi"/>
          <w:sz w:val="22"/>
        </w:rPr>
        <w:t xml:space="preserve"> In this report, I explore the professional role of an Adult Social Worker within a healthcare setting. I chose this role because it is a unique intersection of clinical care, legal protection, and social justice, ensuring that patients are treated as people with rights rather than just clinical subjects. This role is vital because it addresses the “social determinants of health”—factors like housing, safety, and support networks—that are often as critical as medical intervention. This report will include a detailed description of the role’s duties, an evaluation of three essential skills (Communication, Advocacy, and Critical Reflection), and practical strategies for professional improvement to ensure high-quality, person-centred care.</w:t>
      </w:r>
    </w:p>
    <w:p w14:paraId="4722719F" w14:textId="77777777" w:rsidR="00A05A2E" w:rsidRPr="00D536F3" w:rsidRDefault="00A05A2E" w:rsidP="00A05A2E">
      <w:pPr>
        <w:rPr>
          <w:rFonts w:asciiTheme="minorBidi" w:hAnsiTheme="minorBidi"/>
          <w:sz w:val="22"/>
        </w:rPr>
      </w:pPr>
    </w:p>
    <w:p w14:paraId="42CF86D3" w14:textId="3EF48F18" w:rsidR="00A05A2E" w:rsidRPr="00D536F3" w:rsidRDefault="00A05A2E" w:rsidP="00A05A2E">
      <w:pPr>
        <w:rPr>
          <w:rFonts w:asciiTheme="minorBidi" w:hAnsiTheme="minorBidi"/>
          <w:sz w:val="22"/>
        </w:rPr>
      </w:pPr>
      <w:r w:rsidRPr="00D536F3">
        <w:rPr>
          <w:rFonts w:asciiTheme="minorBidi" w:hAnsiTheme="minorBidi"/>
          <w:b/>
          <w:bCs/>
          <w:sz w:val="22"/>
        </w:rPr>
        <w:t xml:space="preserve">1.2 </w:t>
      </w:r>
      <w:r w:rsidRPr="00D536F3">
        <w:rPr>
          <w:rFonts w:asciiTheme="minorBidi" w:hAnsiTheme="minorBidi"/>
          <w:b/>
          <w:bCs/>
          <w:sz w:val="22"/>
        </w:rPr>
        <w:t xml:space="preserve">Description of, and background to, Adult Social Worker in Healthcare </w:t>
      </w:r>
    </w:p>
    <w:p w14:paraId="3737F57E" w14:textId="140C90EF" w:rsidR="00A05A2E" w:rsidRPr="00D536F3" w:rsidRDefault="00A05A2E" w:rsidP="00A05A2E">
      <w:pPr>
        <w:rPr>
          <w:rFonts w:asciiTheme="minorBidi" w:hAnsiTheme="minorBidi"/>
          <w:sz w:val="22"/>
        </w:rPr>
      </w:pPr>
      <w:r w:rsidRPr="00D536F3">
        <w:rPr>
          <w:rFonts w:asciiTheme="minorBidi" w:hAnsiTheme="minorBidi"/>
          <w:sz w:val="22"/>
        </w:rPr>
        <w:t xml:space="preserve"> Adult Social Workers in healthcare operate under the statutory framework of the Care Act 2014, the Mental Capacity Act 2005, and the Mental Health Act 1983. Their primary function is to support vulnerable adults, particularly those transitioning from hospital to community settings. They are responsible for conducting holistic assessments to determine a person’s eligibility for care and support, identifying risks of abuse or neglect, and coordinating multidisciplinary teams (MDTs) to ensure seamless care delivery.</w:t>
      </w:r>
    </w:p>
    <w:p w14:paraId="1F29DCA2" w14:textId="4120E54F" w:rsidR="00A05A2E" w:rsidRPr="00D536F3" w:rsidRDefault="00A05A2E" w:rsidP="00A05A2E">
      <w:pPr>
        <w:rPr>
          <w:rFonts w:asciiTheme="minorBidi" w:hAnsiTheme="minorBidi"/>
          <w:sz w:val="22"/>
        </w:rPr>
      </w:pPr>
      <w:r w:rsidRPr="00D536F3">
        <w:rPr>
          <w:rFonts w:asciiTheme="minorBidi" w:hAnsiTheme="minorBidi"/>
          <w:sz w:val="22"/>
        </w:rPr>
        <w:t xml:space="preserve"> The most important duty of an Adult Social Worker is the holistic assessment of risk and need. Unlike medical professionals who focus on the physical ailment, the social worker looks at the “whole person.” This involves assessing whether a patient has a safe home to return to, whether they have the mental capacity to make decisions about their care, and what support is needed to maintain their independence. Without this duty, hospital discharge would often be unsafe, leading to high readmission rates and a lack of dignity for the patient.</w:t>
      </w:r>
    </w:p>
    <w:p w14:paraId="7CE47D06" w14:textId="2609E24A" w:rsidR="00A05A2E" w:rsidRPr="00D536F3" w:rsidRDefault="00A05A2E" w:rsidP="00A05A2E">
      <w:pPr>
        <w:rPr>
          <w:rFonts w:asciiTheme="minorBidi" w:hAnsiTheme="minorBidi"/>
          <w:sz w:val="22"/>
        </w:rPr>
      </w:pPr>
      <w:r w:rsidRPr="00D536F3">
        <w:rPr>
          <w:rFonts w:asciiTheme="minorBidi" w:hAnsiTheme="minorBidi"/>
          <w:sz w:val="22"/>
        </w:rPr>
        <w:t xml:space="preserve"> To perform this role, practitioners need a diverse skill set, including emotional resilience, legal literacy, and interprofessional collaboration. They must understand complex local authority funding rules while maintaining a compassionate connection with individuals facing life-altering health crises. By bridging the gap between medical treatment and community living, social workers ensure that the patient’s wellbeing remains the central priority throughout the healthcare journey.</w:t>
      </w:r>
    </w:p>
    <w:p w14:paraId="432BE610" w14:textId="77777777" w:rsidR="00A05A2E" w:rsidRPr="00D536F3" w:rsidRDefault="00A05A2E" w:rsidP="00A05A2E">
      <w:pPr>
        <w:rPr>
          <w:rFonts w:asciiTheme="minorBidi" w:hAnsiTheme="minorBidi"/>
          <w:sz w:val="22"/>
        </w:rPr>
      </w:pPr>
    </w:p>
    <w:p w14:paraId="4C2B2534" w14:textId="16CD33EE" w:rsidR="00A05A2E" w:rsidRPr="00D536F3" w:rsidRDefault="00A05A2E" w:rsidP="00A05A2E">
      <w:pPr>
        <w:rPr>
          <w:rFonts w:asciiTheme="minorBidi" w:hAnsiTheme="minorBidi"/>
          <w:sz w:val="22"/>
        </w:rPr>
      </w:pPr>
      <w:r w:rsidRPr="00D536F3">
        <w:rPr>
          <w:rFonts w:asciiTheme="minorBidi" w:hAnsiTheme="minorBidi"/>
          <w:b/>
          <w:bCs/>
          <w:sz w:val="22"/>
        </w:rPr>
        <w:t>1.3 Evaluation of the skills needed for Adult Social Workers in Healthcare</w:t>
      </w:r>
    </w:p>
    <w:p w14:paraId="2E3F24B7" w14:textId="77777777" w:rsidR="00A05A2E" w:rsidRPr="00D536F3" w:rsidRDefault="00A05A2E" w:rsidP="00A05A2E">
      <w:pPr>
        <w:rPr>
          <w:rFonts w:asciiTheme="minorBidi" w:hAnsiTheme="minorBidi"/>
          <w:sz w:val="22"/>
        </w:rPr>
      </w:pPr>
      <w:r w:rsidRPr="00D536F3">
        <w:rPr>
          <w:rFonts w:asciiTheme="minorBidi" w:hAnsiTheme="minorBidi"/>
          <w:sz w:val="22"/>
        </w:rPr>
        <w:t>To be effective, an Adult Social Worker must master three core skills: Communication, Advocacy, and Critical Reflection. I chose these because they form the “ethical toolkit” required to navigate the high-pressure, often conflicting environment of a hospital or community health team.</w:t>
      </w:r>
    </w:p>
    <w:p w14:paraId="47705EBD" w14:textId="77777777" w:rsidR="00A05A2E" w:rsidRPr="00D536F3" w:rsidRDefault="00A05A2E" w:rsidP="00A05A2E">
      <w:pPr>
        <w:rPr>
          <w:rFonts w:asciiTheme="minorBidi" w:hAnsiTheme="minorBidi"/>
          <w:sz w:val="22"/>
        </w:rPr>
      </w:pPr>
      <w:r w:rsidRPr="00D536F3">
        <w:rPr>
          <w:rFonts w:asciiTheme="minorBidi" w:hAnsiTheme="minorBidi"/>
          <w:sz w:val="22"/>
        </w:rPr>
        <w:t xml:space="preserve"> </w:t>
      </w:r>
    </w:p>
    <w:p w14:paraId="3CEF65D5" w14:textId="77777777" w:rsidR="00A05A2E" w:rsidRPr="00D536F3" w:rsidRDefault="00A05A2E" w:rsidP="00A05A2E">
      <w:pPr>
        <w:rPr>
          <w:rFonts w:asciiTheme="minorBidi" w:hAnsiTheme="minorBidi"/>
          <w:sz w:val="22"/>
        </w:rPr>
      </w:pPr>
      <w:r w:rsidRPr="00D536F3">
        <w:rPr>
          <w:rFonts w:asciiTheme="minorBidi" w:hAnsiTheme="minorBidi"/>
          <w:b/>
          <w:bCs/>
          <w:sz w:val="22"/>
        </w:rPr>
        <w:t>1. Communication:</w:t>
      </w:r>
      <w:r w:rsidRPr="00D536F3">
        <w:rPr>
          <w:rFonts w:asciiTheme="minorBidi" w:hAnsiTheme="minorBidi"/>
          <w:sz w:val="22"/>
        </w:rPr>
        <w:t xml:space="preserve"> This is the most fundamental skill. It involves active listening and the ability to explain complex legal or medical information in plain language. In healthcare, patients are often distressed or cognitively impaired; effective communication ensures they remain involved in their own care.</w:t>
      </w:r>
    </w:p>
    <w:p w14:paraId="33C1B3F6" w14:textId="77777777" w:rsidR="00A05A2E" w:rsidRPr="00D536F3" w:rsidRDefault="00A05A2E" w:rsidP="00A05A2E">
      <w:pPr>
        <w:rPr>
          <w:rFonts w:asciiTheme="minorBidi" w:hAnsiTheme="minorBidi"/>
          <w:sz w:val="22"/>
        </w:rPr>
      </w:pPr>
      <w:r w:rsidRPr="00D536F3">
        <w:rPr>
          <w:rFonts w:asciiTheme="minorBidi" w:hAnsiTheme="minorBidi"/>
          <w:b/>
          <w:bCs/>
          <w:sz w:val="22"/>
        </w:rPr>
        <w:lastRenderedPageBreak/>
        <w:t>2. Advocacy:</w:t>
      </w:r>
      <w:r w:rsidRPr="00D536F3">
        <w:rPr>
          <w:rFonts w:asciiTheme="minorBidi" w:hAnsiTheme="minorBidi"/>
          <w:sz w:val="22"/>
        </w:rPr>
        <w:t xml:space="preserve"> Social workers must often stand up for the patient’s wishes against the “system.” If a medical team wants a quick discharge to free up a bed, but the patient feels unsafe, the social worker must advocate for the patient’s right to a safe transition.</w:t>
      </w:r>
    </w:p>
    <w:p w14:paraId="0E1B8B2B" w14:textId="1E5165F9" w:rsidR="00A05A2E" w:rsidRPr="00D536F3" w:rsidRDefault="00A05A2E" w:rsidP="00A05A2E">
      <w:pPr>
        <w:rPr>
          <w:rFonts w:asciiTheme="minorBidi" w:hAnsiTheme="minorBidi"/>
          <w:sz w:val="22"/>
        </w:rPr>
      </w:pPr>
      <w:r w:rsidRPr="00D536F3">
        <w:rPr>
          <w:rFonts w:asciiTheme="minorBidi" w:hAnsiTheme="minorBidi"/>
          <w:b/>
          <w:bCs/>
          <w:sz w:val="22"/>
        </w:rPr>
        <w:t>3. Critical Reflection:</w:t>
      </w:r>
      <w:r w:rsidRPr="00D536F3">
        <w:rPr>
          <w:rFonts w:asciiTheme="minorBidi" w:hAnsiTheme="minorBidi"/>
          <w:sz w:val="22"/>
        </w:rPr>
        <w:t xml:space="preserve"> This involves analysing one’s own practice, biases, and emotional responses to a case. It ensures that decisions are based on evidence and ethics rather than habit or personal prejudice.</w:t>
      </w:r>
    </w:p>
    <w:p w14:paraId="68013666" w14:textId="2921A82E" w:rsidR="00A05A2E" w:rsidRPr="00D536F3" w:rsidRDefault="00A05A2E" w:rsidP="00A05A2E">
      <w:pPr>
        <w:rPr>
          <w:rFonts w:asciiTheme="minorBidi" w:hAnsiTheme="minorBidi"/>
          <w:sz w:val="22"/>
        </w:rPr>
      </w:pPr>
      <w:r w:rsidRPr="00D536F3">
        <w:rPr>
          <w:rFonts w:asciiTheme="minorBidi" w:hAnsiTheme="minorBidi"/>
          <w:sz w:val="22"/>
        </w:rPr>
        <w:t xml:space="preserve"> </w:t>
      </w:r>
      <w:r w:rsidRPr="00D536F3">
        <w:rPr>
          <w:rFonts w:asciiTheme="minorBidi" w:hAnsiTheme="minorBidi"/>
          <w:b/>
          <w:bCs/>
          <w:sz w:val="22"/>
        </w:rPr>
        <w:t>Impact on Staff and Outcomes</w:t>
      </w:r>
    </w:p>
    <w:p w14:paraId="1190C35F" w14:textId="79CBE4DE" w:rsidR="00A05A2E" w:rsidRPr="00D536F3" w:rsidRDefault="00A05A2E" w:rsidP="00A05A2E">
      <w:pPr>
        <w:rPr>
          <w:rFonts w:asciiTheme="minorBidi" w:hAnsiTheme="minorBidi"/>
          <w:sz w:val="22"/>
        </w:rPr>
      </w:pPr>
      <w:r w:rsidRPr="00D536F3">
        <w:rPr>
          <w:rFonts w:asciiTheme="minorBidi" w:hAnsiTheme="minorBidi"/>
          <w:sz w:val="22"/>
        </w:rPr>
        <w:t xml:space="preserve">These skills directly help other staff, such as nurses and doctors, do their jobs better. When a social worker communicates a patient’s complex social history clearly, the medical team can tailor their treatment plan accordingly. For example, knowing a patient has no heating at home prevents a doctor from discharging someone with pneumonia into a cold environment. Furthermore, strong advocacy reduces the burden on carers and support workers by ensuring the care plan is </w:t>
      </w:r>
      <w:r w:rsidR="00D536F3" w:rsidRPr="00D536F3">
        <w:rPr>
          <w:rFonts w:asciiTheme="minorBidi" w:hAnsiTheme="minorBidi"/>
          <w:sz w:val="22"/>
        </w:rPr>
        <w:t>sustainable</w:t>
      </w:r>
      <w:r w:rsidRPr="00D536F3">
        <w:rPr>
          <w:rFonts w:asciiTheme="minorBidi" w:hAnsiTheme="minorBidi"/>
          <w:sz w:val="22"/>
        </w:rPr>
        <w:t xml:space="preserve"> and reflects what the patient will accept.</w:t>
      </w:r>
    </w:p>
    <w:p w14:paraId="19D3B812" w14:textId="0B3DAEF3" w:rsidR="00A05A2E" w:rsidRPr="00D536F3" w:rsidRDefault="00A05A2E" w:rsidP="00A05A2E">
      <w:pPr>
        <w:rPr>
          <w:rFonts w:asciiTheme="minorBidi" w:hAnsiTheme="minorBidi"/>
          <w:sz w:val="22"/>
        </w:rPr>
      </w:pPr>
      <w:r w:rsidRPr="00D536F3">
        <w:rPr>
          <w:rFonts w:asciiTheme="minorBidi" w:hAnsiTheme="minorBidi"/>
          <w:sz w:val="22"/>
        </w:rPr>
        <w:t xml:space="preserve"> </w:t>
      </w:r>
      <w:r w:rsidRPr="00D536F3">
        <w:rPr>
          <w:rFonts w:asciiTheme="minorBidi" w:hAnsiTheme="minorBidi"/>
          <w:b/>
          <w:bCs/>
          <w:sz w:val="22"/>
        </w:rPr>
        <w:t>Consequences of Skill Deficiency</w:t>
      </w:r>
    </w:p>
    <w:p w14:paraId="1A18024E" w14:textId="77777777" w:rsidR="00A05A2E" w:rsidRPr="00D536F3" w:rsidRDefault="00A05A2E" w:rsidP="00A05A2E">
      <w:pPr>
        <w:rPr>
          <w:rFonts w:asciiTheme="minorBidi" w:hAnsiTheme="minorBidi"/>
          <w:sz w:val="22"/>
        </w:rPr>
      </w:pPr>
      <w:r w:rsidRPr="00D536F3">
        <w:rPr>
          <w:rFonts w:asciiTheme="minorBidi" w:hAnsiTheme="minorBidi"/>
          <w:sz w:val="22"/>
        </w:rPr>
        <w:t>If a social worker lacks these skills, the impact on the patient can be devastating. Without strong communication, a patient might sign a care plan they don’t understand, leading to non-compliance and health decline. A lack of advocacy can lead to “institutionalization,” where a person is placed in a care home against their will because it was the easiest administrative option. In real-life practice, if a worker fails to use critical reflection when assessing a safeguarding concern, they might miss subtle signs of financial abuse by a family member because they have a “bias” that families are always safe. This failure can result in the continued exploitation of a vulnerable adult, demonstrating why these skills are non-negotiable for safe practice.</w:t>
      </w:r>
    </w:p>
    <w:p w14:paraId="47DF3149" w14:textId="77777777" w:rsidR="00A05A2E" w:rsidRPr="00D536F3" w:rsidRDefault="00A05A2E" w:rsidP="00A05A2E">
      <w:pPr>
        <w:rPr>
          <w:rFonts w:asciiTheme="minorBidi" w:hAnsiTheme="minorBidi"/>
          <w:sz w:val="22"/>
        </w:rPr>
      </w:pPr>
    </w:p>
    <w:p w14:paraId="3C6A587D" w14:textId="71D623F7" w:rsidR="00A05A2E" w:rsidRPr="00D536F3" w:rsidRDefault="00A05A2E" w:rsidP="00A05A2E">
      <w:pPr>
        <w:rPr>
          <w:rFonts w:asciiTheme="minorBidi" w:hAnsiTheme="minorBidi"/>
          <w:b/>
          <w:bCs/>
          <w:sz w:val="22"/>
        </w:rPr>
      </w:pPr>
      <w:r w:rsidRPr="00D536F3">
        <w:rPr>
          <w:rFonts w:asciiTheme="minorBidi" w:hAnsiTheme="minorBidi"/>
          <w:b/>
          <w:bCs/>
          <w:sz w:val="22"/>
        </w:rPr>
        <w:t xml:space="preserve">1.4 </w:t>
      </w:r>
      <w:r w:rsidRPr="00D536F3">
        <w:rPr>
          <w:rFonts w:asciiTheme="minorBidi" w:hAnsiTheme="minorBidi"/>
          <w:b/>
          <w:bCs/>
          <w:sz w:val="22"/>
        </w:rPr>
        <w:t xml:space="preserve">Strategies to improve the skills for Adult Social Workers </w:t>
      </w:r>
    </w:p>
    <w:p w14:paraId="422CEA84" w14:textId="3F2EAE6C" w:rsidR="00A05A2E" w:rsidRPr="00D536F3" w:rsidRDefault="00A05A2E" w:rsidP="00A05A2E">
      <w:pPr>
        <w:rPr>
          <w:rFonts w:asciiTheme="minorBidi" w:hAnsiTheme="minorBidi"/>
          <w:sz w:val="22"/>
        </w:rPr>
      </w:pPr>
      <w:r w:rsidRPr="00D536F3">
        <w:rPr>
          <w:rFonts w:asciiTheme="minorBidi" w:hAnsiTheme="minorBidi"/>
          <w:sz w:val="22"/>
        </w:rPr>
        <w:t xml:space="preserve"> To maintain high standards of practice, Adult Social Workers must proactively improve their skills using structured strategies. Three highly effective strategies are Reflective Supervision, Formal Continuing Professional Development (CPD), and Peer Shadowing.</w:t>
      </w:r>
    </w:p>
    <w:p w14:paraId="502D9255" w14:textId="77777777" w:rsidR="00A05A2E" w:rsidRPr="00D536F3" w:rsidRDefault="00A05A2E" w:rsidP="00A05A2E">
      <w:pPr>
        <w:rPr>
          <w:rFonts w:asciiTheme="minorBidi" w:hAnsiTheme="minorBidi"/>
          <w:sz w:val="22"/>
        </w:rPr>
      </w:pPr>
      <w:r w:rsidRPr="00D536F3">
        <w:rPr>
          <w:rFonts w:asciiTheme="minorBidi" w:hAnsiTheme="minorBidi"/>
          <w:sz w:val="22"/>
        </w:rPr>
        <w:t xml:space="preserve"> </w:t>
      </w:r>
    </w:p>
    <w:p w14:paraId="7F53B28C" w14:textId="77777777" w:rsidR="00A05A2E" w:rsidRPr="00D536F3" w:rsidRDefault="00A05A2E" w:rsidP="00A05A2E">
      <w:pPr>
        <w:rPr>
          <w:rFonts w:asciiTheme="minorBidi" w:hAnsiTheme="minorBidi"/>
          <w:sz w:val="22"/>
        </w:rPr>
      </w:pPr>
      <w:r w:rsidRPr="00D536F3">
        <w:rPr>
          <w:rFonts w:asciiTheme="minorBidi" w:hAnsiTheme="minorBidi"/>
          <w:b/>
          <w:bCs/>
          <w:sz w:val="22"/>
        </w:rPr>
        <w:t>1. Reflective Supervision:</w:t>
      </w:r>
      <w:r w:rsidRPr="00D536F3">
        <w:rPr>
          <w:rFonts w:asciiTheme="minorBidi" w:hAnsiTheme="minorBidi"/>
          <w:sz w:val="22"/>
        </w:rPr>
        <w:t xml:space="preserve"> This is a formal process where a practitioner meets with a supervisor to discuss the emotional and ethical complexities of their cases. Unlike administrative supervision (which focuses on deadlines), reflective supervision focuses on “why” a worker felt a certain way or “how” they handled a conflict.</w:t>
      </w:r>
    </w:p>
    <w:p w14:paraId="48F5A5BC" w14:textId="77777777" w:rsidR="00A05A2E" w:rsidRPr="00D536F3" w:rsidRDefault="00A05A2E" w:rsidP="00A05A2E">
      <w:pPr>
        <w:rPr>
          <w:rFonts w:asciiTheme="minorBidi" w:hAnsiTheme="minorBidi"/>
          <w:sz w:val="22"/>
        </w:rPr>
      </w:pPr>
      <w:r w:rsidRPr="00D536F3">
        <w:rPr>
          <w:rFonts w:asciiTheme="minorBidi" w:hAnsiTheme="minorBidi"/>
          <w:b/>
          <w:bCs/>
          <w:sz w:val="22"/>
        </w:rPr>
        <w:t>2. CPD Workshops:</w:t>
      </w:r>
      <w:r w:rsidRPr="00D536F3">
        <w:rPr>
          <w:rFonts w:asciiTheme="minorBidi" w:hAnsiTheme="minorBidi"/>
          <w:sz w:val="22"/>
        </w:rPr>
        <w:t xml:space="preserve"> Attending specialist training on topics like “Advanced Mental Capacity Assessments” or “Trauma-Informed Care” ensures that the worker’s legal knowledge remains current.</w:t>
      </w:r>
    </w:p>
    <w:p w14:paraId="12E40753" w14:textId="77777777" w:rsidR="00A05A2E" w:rsidRPr="00D536F3" w:rsidRDefault="00A05A2E" w:rsidP="00A05A2E">
      <w:pPr>
        <w:rPr>
          <w:rFonts w:asciiTheme="minorBidi" w:hAnsiTheme="minorBidi"/>
          <w:sz w:val="22"/>
        </w:rPr>
      </w:pPr>
      <w:r w:rsidRPr="00D536F3">
        <w:rPr>
          <w:rFonts w:asciiTheme="minorBidi" w:hAnsiTheme="minorBidi"/>
          <w:b/>
          <w:bCs/>
          <w:sz w:val="22"/>
        </w:rPr>
        <w:t>3. Peer Shadowing:</w:t>
      </w:r>
      <w:r w:rsidRPr="00D536F3">
        <w:rPr>
          <w:rFonts w:asciiTheme="minorBidi" w:hAnsiTheme="minorBidi"/>
          <w:sz w:val="22"/>
        </w:rPr>
        <w:t xml:space="preserve"> This involves observing an experienced colleague in a challenging setting, such as an MDT meeting or a home visit with a resistant client.</w:t>
      </w:r>
    </w:p>
    <w:p w14:paraId="50F9AF74" w14:textId="77777777" w:rsidR="00A05A2E" w:rsidRPr="00D536F3" w:rsidRDefault="00A05A2E" w:rsidP="00A05A2E">
      <w:pPr>
        <w:rPr>
          <w:rFonts w:asciiTheme="minorBidi" w:hAnsiTheme="minorBidi"/>
          <w:sz w:val="22"/>
        </w:rPr>
      </w:pPr>
      <w:r w:rsidRPr="00D536F3">
        <w:rPr>
          <w:rFonts w:asciiTheme="minorBidi" w:hAnsiTheme="minorBidi"/>
          <w:sz w:val="22"/>
        </w:rPr>
        <w:t xml:space="preserve"> </w:t>
      </w:r>
    </w:p>
    <w:p w14:paraId="15CCC6BE" w14:textId="77777777" w:rsidR="00A05A2E" w:rsidRPr="00D536F3" w:rsidRDefault="00A05A2E" w:rsidP="00A05A2E">
      <w:pPr>
        <w:rPr>
          <w:rFonts w:asciiTheme="minorBidi" w:hAnsiTheme="minorBidi"/>
          <w:b/>
          <w:bCs/>
          <w:sz w:val="22"/>
        </w:rPr>
      </w:pPr>
      <w:r w:rsidRPr="00D536F3">
        <w:rPr>
          <w:rFonts w:asciiTheme="minorBidi" w:hAnsiTheme="minorBidi"/>
          <w:b/>
          <w:bCs/>
          <w:sz w:val="22"/>
        </w:rPr>
        <w:t>How They Work and Why I Chose Them</w:t>
      </w:r>
    </w:p>
    <w:p w14:paraId="1D7FC046" w14:textId="77777777" w:rsidR="00A05A2E" w:rsidRPr="00D536F3" w:rsidRDefault="00A05A2E" w:rsidP="00A05A2E">
      <w:pPr>
        <w:rPr>
          <w:rFonts w:asciiTheme="minorBidi" w:hAnsiTheme="minorBidi"/>
          <w:sz w:val="22"/>
        </w:rPr>
      </w:pPr>
      <w:r w:rsidRPr="00D536F3">
        <w:rPr>
          <w:rFonts w:asciiTheme="minorBidi" w:hAnsiTheme="minorBidi"/>
          <w:sz w:val="22"/>
        </w:rPr>
        <w:t xml:space="preserve">I chose Reflective Supervision because it is the best defence against “compassion fatigue.” For example, a social worker dealing with multiple end-of-life cases might become </w:t>
      </w:r>
      <w:r w:rsidRPr="00D536F3">
        <w:rPr>
          <w:rFonts w:asciiTheme="minorBidi" w:hAnsiTheme="minorBidi"/>
          <w:sz w:val="22"/>
        </w:rPr>
        <w:lastRenderedPageBreak/>
        <w:t>desensitized. Through reflection, they can identify this shift and regain their empathetic approach. CPD is chosen because healthcare law (like the Care Act) is constantly updated; without formal training, a worker might inadvertently give illegal advice. Finally, Peer Shadowing provides “tacit knowledge” that textbooks</w:t>
      </w:r>
    </w:p>
    <w:p w14:paraId="6BF11314" w14:textId="0C2FB6AD" w:rsidR="00A05A2E" w:rsidRPr="00D536F3" w:rsidRDefault="00A05A2E" w:rsidP="00A05A2E">
      <w:pPr>
        <w:rPr>
          <w:rFonts w:asciiTheme="minorBidi" w:hAnsiTheme="minorBidi"/>
          <w:sz w:val="22"/>
        </w:rPr>
      </w:pPr>
      <w:r w:rsidRPr="00D536F3">
        <w:rPr>
          <w:rFonts w:asciiTheme="minorBidi" w:hAnsiTheme="minorBidi"/>
          <w:sz w:val="22"/>
        </w:rPr>
        <w:t>cannot—seeing how a senior worker de-escalates a tense family meeting provides a practical blueprint for the junior worker to follow.</w:t>
      </w:r>
    </w:p>
    <w:p w14:paraId="1A75DEFA" w14:textId="77777777" w:rsidR="00A05A2E" w:rsidRPr="00D536F3" w:rsidRDefault="00A05A2E" w:rsidP="00A05A2E">
      <w:pPr>
        <w:rPr>
          <w:rFonts w:asciiTheme="minorBidi" w:hAnsiTheme="minorBidi"/>
          <w:sz w:val="22"/>
        </w:rPr>
      </w:pPr>
      <w:r w:rsidRPr="00D536F3">
        <w:rPr>
          <w:rFonts w:asciiTheme="minorBidi" w:hAnsiTheme="minorBidi"/>
          <w:sz w:val="22"/>
        </w:rPr>
        <w:t xml:space="preserve"> </w:t>
      </w:r>
    </w:p>
    <w:p w14:paraId="36F7E846" w14:textId="49000476" w:rsidR="00A05A2E" w:rsidRPr="00D536F3" w:rsidRDefault="00A05A2E" w:rsidP="00A05A2E">
      <w:pPr>
        <w:rPr>
          <w:rFonts w:asciiTheme="minorBidi" w:hAnsiTheme="minorBidi"/>
          <w:sz w:val="22"/>
        </w:rPr>
      </w:pPr>
      <w:r w:rsidRPr="00D536F3">
        <w:rPr>
          <w:rFonts w:asciiTheme="minorBidi" w:hAnsiTheme="minorBidi"/>
          <w:sz w:val="22"/>
        </w:rPr>
        <w:t>Real-Life Application</w:t>
      </w:r>
      <w:r w:rsidRPr="00D536F3">
        <w:rPr>
          <w:rFonts w:asciiTheme="minorBidi" w:hAnsiTheme="minorBidi"/>
          <w:sz w:val="22"/>
        </w:rPr>
        <w:t>:</w:t>
      </w:r>
    </w:p>
    <w:p w14:paraId="09302E0B" w14:textId="77777777" w:rsidR="00A05A2E" w:rsidRPr="00D536F3" w:rsidRDefault="00A05A2E" w:rsidP="00A05A2E">
      <w:pPr>
        <w:rPr>
          <w:rFonts w:asciiTheme="minorBidi" w:hAnsiTheme="minorBidi"/>
          <w:sz w:val="22"/>
        </w:rPr>
      </w:pPr>
      <w:r w:rsidRPr="00D536F3">
        <w:rPr>
          <w:rFonts w:asciiTheme="minorBidi" w:hAnsiTheme="minorBidi"/>
          <w:sz w:val="22"/>
        </w:rPr>
        <w:t>In a hospital setting, a social worker might use peer shadowing to observe a lead worker handle a “Discharge to Assess” meeting where the family is in deep disagreement. By watching the senior worker’s use of active listening and mediation, the junior worker learns how to balance clinical needs with family dynamics. Similarly, using CPD to learn about new telecare technologies allows a social worker to suggest innovative home-safety solutions that keep a patient independent for longer. These strategies ensure that the social worker is not just “doing the job,” but is constantly evolving to provide the best possible care for the adults they serve.</w:t>
      </w:r>
    </w:p>
    <w:p w14:paraId="2B836490" w14:textId="77777777" w:rsidR="00A05A2E" w:rsidRPr="00D536F3" w:rsidRDefault="00A05A2E" w:rsidP="00A05A2E">
      <w:pPr>
        <w:rPr>
          <w:rFonts w:asciiTheme="minorBidi" w:hAnsiTheme="minorBidi"/>
          <w:sz w:val="22"/>
        </w:rPr>
      </w:pPr>
    </w:p>
    <w:p w14:paraId="2A302387" w14:textId="74105286" w:rsidR="00A05A2E" w:rsidRPr="00D536F3" w:rsidRDefault="00A05A2E" w:rsidP="00A05A2E">
      <w:pPr>
        <w:rPr>
          <w:rFonts w:asciiTheme="minorBidi" w:hAnsiTheme="minorBidi"/>
          <w:sz w:val="22"/>
        </w:rPr>
      </w:pPr>
      <w:r w:rsidRPr="00D536F3">
        <w:rPr>
          <w:rFonts w:asciiTheme="minorBidi" w:hAnsiTheme="minorBidi"/>
          <w:b/>
          <w:bCs/>
          <w:sz w:val="22"/>
        </w:rPr>
        <w:t>1.4 Conclusion</w:t>
      </w:r>
    </w:p>
    <w:p w14:paraId="7CBA2EC4" w14:textId="77777777" w:rsidR="00D536F3" w:rsidRPr="00D536F3" w:rsidRDefault="00A05A2E" w:rsidP="00D536F3">
      <w:pPr>
        <w:rPr>
          <w:rFonts w:asciiTheme="minorBidi" w:hAnsiTheme="minorBidi"/>
          <w:sz w:val="22"/>
        </w:rPr>
      </w:pPr>
      <w:r w:rsidRPr="00D536F3">
        <w:rPr>
          <w:rFonts w:asciiTheme="minorBidi" w:hAnsiTheme="minorBidi"/>
          <w:sz w:val="22"/>
        </w:rPr>
        <w:t>The role of an Adult Social Worker is indispensable to a safe and high-quality healthcare system. By bridging the clinical and social worlds, they ensure that care is not only medically sound but also legally and ethically grounded. Through the mastery of communication, advocacy, and reflection, and a commitment to continuous improvement via supervision and CPD, social workers safeguard the dignity of vulnerable adults. Ultimately, their presence ensures that the healthcare system remains person-centred, preventing harm and promoting the long-term wellbeing of every individual within the community.</w:t>
      </w:r>
    </w:p>
    <w:p w14:paraId="781264B3" w14:textId="77777777" w:rsidR="00D536F3" w:rsidRPr="00D536F3" w:rsidRDefault="00D536F3" w:rsidP="00D536F3">
      <w:pPr>
        <w:rPr>
          <w:rFonts w:asciiTheme="minorBidi" w:hAnsiTheme="minorBidi"/>
          <w:sz w:val="22"/>
        </w:rPr>
      </w:pPr>
    </w:p>
    <w:p w14:paraId="1A52A380" w14:textId="0DA11795" w:rsidR="00A05A2E" w:rsidRPr="00D536F3" w:rsidRDefault="00A05A2E" w:rsidP="00D536F3">
      <w:pPr>
        <w:rPr>
          <w:rFonts w:asciiTheme="minorBidi" w:hAnsiTheme="minorBidi"/>
          <w:sz w:val="22"/>
        </w:rPr>
      </w:pPr>
      <w:r w:rsidRPr="00D536F3">
        <w:rPr>
          <w:rFonts w:asciiTheme="minorBidi" w:hAnsiTheme="minorBidi"/>
          <w:b/>
          <w:bCs/>
          <w:sz w:val="22"/>
        </w:rPr>
        <w:t>1.5 Reference List</w:t>
      </w:r>
    </w:p>
    <w:p w14:paraId="7E7C886D" w14:textId="74AE225B" w:rsidR="00A05A2E" w:rsidRPr="00D536F3" w:rsidRDefault="00A05A2E" w:rsidP="00D536F3">
      <w:pPr>
        <w:rPr>
          <w:rFonts w:asciiTheme="minorBidi" w:hAnsiTheme="minorBidi"/>
          <w:sz w:val="22"/>
        </w:rPr>
      </w:pPr>
      <w:r w:rsidRPr="00D536F3">
        <w:rPr>
          <w:rFonts w:asciiTheme="minorBidi" w:hAnsiTheme="minorBidi"/>
          <w:sz w:val="22"/>
        </w:rPr>
        <w:t xml:space="preserve"> - Care Act 2014. (c. 23). London: The Stationery Office.</w:t>
      </w:r>
    </w:p>
    <w:p w14:paraId="0A8AB75C" w14:textId="77777777" w:rsidR="00A05A2E" w:rsidRPr="00D536F3" w:rsidRDefault="00A05A2E" w:rsidP="00A05A2E">
      <w:pPr>
        <w:rPr>
          <w:rFonts w:asciiTheme="minorBidi" w:hAnsiTheme="minorBidi"/>
          <w:sz w:val="22"/>
        </w:rPr>
      </w:pPr>
      <w:r w:rsidRPr="00D536F3">
        <w:rPr>
          <w:rFonts w:asciiTheme="minorBidi" w:hAnsiTheme="minorBidi"/>
          <w:sz w:val="22"/>
        </w:rPr>
        <w:t>- Department of Health and Social Care. (2023). Care and Support Statutory Guidance. [Online].</w:t>
      </w:r>
    </w:p>
    <w:p w14:paraId="1C32391B" w14:textId="77777777" w:rsidR="00A05A2E" w:rsidRPr="00D536F3" w:rsidRDefault="00A05A2E" w:rsidP="00A05A2E">
      <w:pPr>
        <w:rPr>
          <w:rFonts w:asciiTheme="minorBidi" w:hAnsiTheme="minorBidi"/>
          <w:sz w:val="22"/>
        </w:rPr>
      </w:pPr>
      <w:r w:rsidRPr="00D536F3">
        <w:rPr>
          <w:rFonts w:asciiTheme="minorBidi" w:hAnsiTheme="minorBidi"/>
          <w:sz w:val="22"/>
        </w:rPr>
        <w:t>- Mental Capacity Act 2005. (c. 9). London: The Stationery Office.</w:t>
      </w:r>
    </w:p>
    <w:p w14:paraId="4DC5910E" w14:textId="77777777" w:rsidR="00A05A2E" w:rsidRPr="00D536F3" w:rsidRDefault="00A05A2E" w:rsidP="00A05A2E">
      <w:pPr>
        <w:rPr>
          <w:rFonts w:asciiTheme="minorBidi" w:hAnsiTheme="minorBidi"/>
          <w:sz w:val="22"/>
        </w:rPr>
      </w:pPr>
      <w:r w:rsidRPr="00D536F3">
        <w:rPr>
          <w:rFonts w:asciiTheme="minorBidi" w:hAnsiTheme="minorBidi"/>
          <w:sz w:val="22"/>
        </w:rPr>
        <w:t>- Social Work England. (2019). Professional Standards. Sheffield: Social Work England.</w:t>
      </w:r>
    </w:p>
    <w:p w14:paraId="2F5AB488" w14:textId="77777777" w:rsidR="00A05A2E" w:rsidRPr="00D536F3" w:rsidRDefault="00A05A2E" w:rsidP="00A05A2E">
      <w:pPr>
        <w:rPr>
          <w:rFonts w:asciiTheme="minorBidi" w:hAnsiTheme="minorBidi"/>
          <w:sz w:val="22"/>
        </w:rPr>
      </w:pPr>
      <w:r w:rsidRPr="00D536F3">
        <w:rPr>
          <w:rFonts w:asciiTheme="minorBidi" w:hAnsiTheme="minorBidi"/>
          <w:sz w:val="22"/>
        </w:rPr>
        <w:t>- Thompson, N. (2021). Understanding Social Work: Preparing for Practice. 5</w:t>
      </w:r>
      <w:r w:rsidRPr="00D536F3">
        <w:rPr>
          <w:rFonts w:asciiTheme="minorBidi" w:hAnsiTheme="minorBidi"/>
          <w:sz w:val="22"/>
          <w:vertAlign w:val="superscript"/>
        </w:rPr>
        <w:t>th</w:t>
      </w:r>
      <w:r w:rsidRPr="00D536F3">
        <w:rPr>
          <w:rFonts w:asciiTheme="minorBidi" w:hAnsiTheme="minorBidi"/>
          <w:sz w:val="22"/>
        </w:rPr>
        <w:t xml:space="preserve"> ed. London: Bloomsbury Academic.</w:t>
      </w:r>
    </w:p>
    <w:p w14:paraId="1D0F2D59" w14:textId="04FD5966"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2CFA7F" w14:textId="77777777" w:rsidR="00D36B18" w:rsidRDefault="00D36B18" w:rsidP="003C7C97">
      <w:pPr>
        <w:spacing w:after="0" w:line="240" w:lineRule="auto"/>
      </w:pPr>
      <w:r>
        <w:separator/>
      </w:r>
    </w:p>
  </w:endnote>
  <w:endnote w:type="continuationSeparator" w:id="0">
    <w:p w14:paraId="18C9A48F" w14:textId="77777777" w:rsidR="00D36B18" w:rsidRDefault="00D36B18"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BE4788" w14:textId="77777777" w:rsidR="00D36B18" w:rsidRDefault="00D36B18" w:rsidP="003C7C97">
      <w:pPr>
        <w:spacing w:after="0" w:line="240" w:lineRule="auto"/>
      </w:pPr>
      <w:r>
        <w:separator/>
      </w:r>
    </w:p>
  </w:footnote>
  <w:footnote w:type="continuationSeparator" w:id="0">
    <w:p w14:paraId="4F628014" w14:textId="77777777" w:rsidR="00D36B18" w:rsidRDefault="00D36B18" w:rsidP="003C7C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B60000"/>
    <w:multiLevelType w:val="multilevel"/>
    <w:tmpl w:val="FFFFFFFF"/>
    <w:lvl w:ilvl="0">
      <w:start w:val="1"/>
      <w:numFmt w:val="decimal"/>
      <w:lvlText w:val="%1"/>
      <w:lvlJc w:val="left"/>
      <w:pPr>
        <w:ind w:left="374" w:hanging="374"/>
      </w:pPr>
      <w:rPr>
        <w:rFonts w:hint="default"/>
      </w:rPr>
    </w:lvl>
    <w:lvl w:ilvl="1">
      <w:start w:val="1"/>
      <w:numFmt w:val="decimal"/>
      <w:lvlText w:val="%1.%2"/>
      <w:lvlJc w:val="left"/>
      <w:pPr>
        <w:ind w:left="374" w:hanging="37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DF66F60"/>
    <w:multiLevelType w:val="multilevel"/>
    <w:tmpl w:val="2BBAC23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E12071F"/>
    <w:multiLevelType w:val="multilevel"/>
    <w:tmpl w:val="A08A5B28"/>
    <w:lvl w:ilvl="0">
      <w:start w:val="1"/>
      <w:numFmt w:val="decimal"/>
      <w:lvlText w:val="%1"/>
      <w:lvlJc w:val="left"/>
      <w:pPr>
        <w:ind w:left="360" w:hanging="360"/>
      </w:pPr>
      <w:rPr>
        <w:rFonts w:hint="default"/>
      </w:rPr>
    </w:lvl>
    <w:lvl w:ilvl="1">
      <w:start w:val="2"/>
      <w:numFmt w:val="decimal"/>
      <w:lvlText w:val="%1.%2"/>
      <w:lvlJc w:val="left"/>
      <w:pPr>
        <w:ind w:left="734" w:hanging="360"/>
      </w:pPr>
      <w:rPr>
        <w:rFonts w:hint="default"/>
      </w:rPr>
    </w:lvl>
    <w:lvl w:ilvl="2">
      <w:start w:val="1"/>
      <w:numFmt w:val="decimal"/>
      <w:lvlText w:val="%1.%2.%3"/>
      <w:lvlJc w:val="left"/>
      <w:pPr>
        <w:ind w:left="1468" w:hanging="720"/>
      </w:pPr>
      <w:rPr>
        <w:rFonts w:hint="default"/>
      </w:rPr>
    </w:lvl>
    <w:lvl w:ilvl="3">
      <w:start w:val="1"/>
      <w:numFmt w:val="decimal"/>
      <w:lvlText w:val="%1.%2.%3.%4"/>
      <w:lvlJc w:val="left"/>
      <w:pPr>
        <w:ind w:left="1842" w:hanging="720"/>
      </w:pPr>
      <w:rPr>
        <w:rFonts w:hint="default"/>
      </w:rPr>
    </w:lvl>
    <w:lvl w:ilvl="4">
      <w:start w:val="1"/>
      <w:numFmt w:val="decimal"/>
      <w:lvlText w:val="%1.%2.%3.%4.%5"/>
      <w:lvlJc w:val="left"/>
      <w:pPr>
        <w:ind w:left="2576" w:hanging="1080"/>
      </w:pPr>
      <w:rPr>
        <w:rFonts w:hint="default"/>
      </w:rPr>
    </w:lvl>
    <w:lvl w:ilvl="5">
      <w:start w:val="1"/>
      <w:numFmt w:val="decimal"/>
      <w:lvlText w:val="%1.%2.%3.%4.%5.%6"/>
      <w:lvlJc w:val="left"/>
      <w:pPr>
        <w:ind w:left="2950" w:hanging="1080"/>
      </w:pPr>
      <w:rPr>
        <w:rFonts w:hint="default"/>
      </w:rPr>
    </w:lvl>
    <w:lvl w:ilvl="6">
      <w:start w:val="1"/>
      <w:numFmt w:val="decimal"/>
      <w:lvlText w:val="%1.%2.%3.%4.%5.%6.%7"/>
      <w:lvlJc w:val="left"/>
      <w:pPr>
        <w:ind w:left="3684" w:hanging="1440"/>
      </w:pPr>
      <w:rPr>
        <w:rFonts w:hint="default"/>
      </w:rPr>
    </w:lvl>
    <w:lvl w:ilvl="7">
      <w:start w:val="1"/>
      <w:numFmt w:val="decimal"/>
      <w:lvlText w:val="%1.%2.%3.%4.%5.%6.%7.%8"/>
      <w:lvlJc w:val="left"/>
      <w:pPr>
        <w:ind w:left="4058" w:hanging="1440"/>
      </w:pPr>
      <w:rPr>
        <w:rFonts w:hint="default"/>
      </w:rPr>
    </w:lvl>
    <w:lvl w:ilvl="8">
      <w:start w:val="1"/>
      <w:numFmt w:val="decimal"/>
      <w:lvlText w:val="%1.%2.%3.%4.%5.%6.%7.%8.%9"/>
      <w:lvlJc w:val="left"/>
      <w:pPr>
        <w:ind w:left="4432" w:hanging="1440"/>
      </w:pPr>
      <w:rPr>
        <w:rFonts w:hint="default"/>
      </w:rPr>
    </w:lvl>
  </w:abstractNum>
  <w:abstractNum w:abstractNumId="2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6"/>
  </w:num>
  <w:num w:numId="2" w16cid:durableId="351032333">
    <w:abstractNumId w:val="1"/>
  </w:num>
  <w:num w:numId="3" w16cid:durableId="1067413603">
    <w:abstractNumId w:val="9"/>
  </w:num>
  <w:num w:numId="4" w16cid:durableId="931426930">
    <w:abstractNumId w:val="21"/>
  </w:num>
  <w:num w:numId="5" w16cid:durableId="1422484198">
    <w:abstractNumId w:val="17"/>
  </w:num>
  <w:num w:numId="6" w16cid:durableId="552929862">
    <w:abstractNumId w:val="18"/>
  </w:num>
  <w:num w:numId="7" w16cid:durableId="587203086">
    <w:abstractNumId w:val="22"/>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6"/>
  </w:num>
  <w:num w:numId="14" w16cid:durableId="1957908719">
    <w:abstractNumId w:val="8"/>
  </w:num>
  <w:num w:numId="15" w16cid:durableId="1132019979">
    <w:abstractNumId w:val="2"/>
  </w:num>
  <w:num w:numId="16" w16cid:durableId="1457524365">
    <w:abstractNumId w:val="5"/>
  </w:num>
  <w:num w:numId="17" w16cid:durableId="1386294306">
    <w:abstractNumId w:val="23"/>
  </w:num>
  <w:num w:numId="18" w16cid:durableId="1838374920">
    <w:abstractNumId w:val="19"/>
  </w:num>
  <w:num w:numId="19" w16cid:durableId="1827044992">
    <w:abstractNumId w:val="7"/>
  </w:num>
  <w:num w:numId="20" w16cid:durableId="895820667">
    <w:abstractNumId w:val="14"/>
  </w:num>
  <w:num w:numId="21" w16cid:durableId="817497522">
    <w:abstractNumId w:val="24"/>
  </w:num>
  <w:num w:numId="22" w16cid:durableId="725690465">
    <w:abstractNumId w:val="0"/>
  </w:num>
  <w:num w:numId="23" w16cid:durableId="927420856">
    <w:abstractNumId w:val="4"/>
  </w:num>
  <w:num w:numId="24" w16cid:durableId="965967262">
    <w:abstractNumId w:val="20"/>
  </w:num>
  <w:num w:numId="25" w16cid:durableId="139769955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D41DC"/>
    <w:rsid w:val="00125D37"/>
    <w:rsid w:val="00127C1A"/>
    <w:rsid w:val="00150D81"/>
    <w:rsid w:val="00166CEB"/>
    <w:rsid w:val="00183CB9"/>
    <w:rsid w:val="00184A9A"/>
    <w:rsid w:val="001947DF"/>
    <w:rsid w:val="001B22BB"/>
    <w:rsid w:val="001B619C"/>
    <w:rsid w:val="001D1D3C"/>
    <w:rsid w:val="002205D4"/>
    <w:rsid w:val="00222C3A"/>
    <w:rsid w:val="00226D31"/>
    <w:rsid w:val="00236401"/>
    <w:rsid w:val="002370CE"/>
    <w:rsid w:val="00242974"/>
    <w:rsid w:val="002976D4"/>
    <w:rsid w:val="002A5577"/>
    <w:rsid w:val="002B4AA4"/>
    <w:rsid w:val="002E71BA"/>
    <w:rsid w:val="002F5066"/>
    <w:rsid w:val="003003FD"/>
    <w:rsid w:val="00310245"/>
    <w:rsid w:val="00316C95"/>
    <w:rsid w:val="003458DB"/>
    <w:rsid w:val="003523D3"/>
    <w:rsid w:val="00364C35"/>
    <w:rsid w:val="00396F60"/>
    <w:rsid w:val="003A51D6"/>
    <w:rsid w:val="003B125E"/>
    <w:rsid w:val="003B2A5E"/>
    <w:rsid w:val="003C7C97"/>
    <w:rsid w:val="00406B8D"/>
    <w:rsid w:val="00410068"/>
    <w:rsid w:val="0041618E"/>
    <w:rsid w:val="0042295C"/>
    <w:rsid w:val="00426EEC"/>
    <w:rsid w:val="004466C3"/>
    <w:rsid w:val="004552CE"/>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457C0"/>
    <w:rsid w:val="00652BB7"/>
    <w:rsid w:val="00661758"/>
    <w:rsid w:val="0067612C"/>
    <w:rsid w:val="00676FEB"/>
    <w:rsid w:val="006912C4"/>
    <w:rsid w:val="006A5CFC"/>
    <w:rsid w:val="006C5138"/>
    <w:rsid w:val="006C689B"/>
    <w:rsid w:val="006E005C"/>
    <w:rsid w:val="006E6EE5"/>
    <w:rsid w:val="006F0029"/>
    <w:rsid w:val="007138EF"/>
    <w:rsid w:val="007632A9"/>
    <w:rsid w:val="00774092"/>
    <w:rsid w:val="00782830"/>
    <w:rsid w:val="0078664A"/>
    <w:rsid w:val="007B0F6D"/>
    <w:rsid w:val="007C62C3"/>
    <w:rsid w:val="007D25AA"/>
    <w:rsid w:val="007F0873"/>
    <w:rsid w:val="00805726"/>
    <w:rsid w:val="00815117"/>
    <w:rsid w:val="008520F8"/>
    <w:rsid w:val="00855F34"/>
    <w:rsid w:val="008826B6"/>
    <w:rsid w:val="008B0B22"/>
    <w:rsid w:val="008C58B0"/>
    <w:rsid w:val="008C591B"/>
    <w:rsid w:val="008C6182"/>
    <w:rsid w:val="00926458"/>
    <w:rsid w:val="00933720"/>
    <w:rsid w:val="009C7E52"/>
    <w:rsid w:val="009E4934"/>
    <w:rsid w:val="009F40A7"/>
    <w:rsid w:val="009F5CE6"/>
    <w:rsid w:val="00A035CD"/>
    <w:rsid w:val="00A05A2E"/>
    <w:rsid w:val="00A50E80"/>
    <w:rsid w:val="00A513B0"/>
    <w:rsid w:val="00A63F7F"/>
    <w:rsid w:val="00A667CE"/>
    <w:rsid w:val="00A75042"/>
    <w:rsid w:val="00A774BC"/>
    <w:rsid w:val="00A82678"/>
    <w:rsid w:val="00A946CB"/>
    <w:rsid w:val="00AA77C8"/>
    <w:rsid w:val="00AC7BE2"/>
    <w:rsid w:val="00AD443A"/>
    <w:rsid w:val="00AE35BF"/>
    <w:rsid w:val="00B1067E"/>
    <w:rsid w:val="00B81790"/>
    <w:rsid w:val="00B81BBC"/>
    <w:rsid w:val="00BD03D5"/>
    <w:rsid w:val="00C3215E"/>
    <w:rsid w:val="00C45272"/>
    <w:rsid w:val="00C47770"/>
    <w:rsid w:val="00C75856"/>
    <w:rsid w:val="00C85A7C"/>
    <w:rsid w:val="00C95214"/>
    <w:rsid w:val="00CC3F59"/>
    <w:rsid w:val="00CD4774"/>
    <w:rsid w:val="00D10AAF"/>
    <w:rsid w:val="00D27540"/>
    <w:rsid w:val="00D36B18"/>
    <w:rsid w:val="00D4006B"/>
    <w:rsid w:val="00D40D7A"/>
    <w:rsid w:val="00D536F3"/>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F2B0A"/>
    <w:rsid w:val="00FF5D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5</Pages>
  <Words>1379</Words>
  <Characters>7864</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Hisham Al Homsi (2530548)</cp:lastModifiedBy>
  <cp:revision>137</cp:revision>
  <dcterms:created xsi:type="dcterms:W3CDTF">2025-06-26T13:37:00Z</dcterms:created>
  <dcterms:modified xsi:type="dcterms:W3CDTF">2026-03-23T21:42:00Z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