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58810941"/>
        <w:docPartObj>
          <w:docPartGallery w:val="Cover Pages"/>
          <w:docPartUnique/>
        </w:docPartObj>
      </w:sdtPr>
      <w:sdtEndPr>
        <w:rPr>
          <w:rFonts w:ascii="Arial" w:hAnsi="Arial" w:cs="Arial"/>
        </w:rPr>
      </w:sdtEndPr>
      <w:sdtContent>
        <w:p w14:paraId="47F987C7" w14:textId="44203475" w:rsidR="007717E1" w:rsidRDefault="007717E1"/>
        <w:p w14:paraId="4D1E2A64" w14:textId="5464F9E7" w:rsidR="007717E1" w:rsidRDefault="007717E1">
          <w:pPr>
            <w:rPr>
              <w:rFonts w:ascii="Arial" w:hAnsi="Arial" w:cs="Arial"/>
            </w:rPr>
          </w:pPr>
          <w:r>
            <w:rPr>
              <w:noProof/>
            </w:rPr>
            <mc:AlternateContent>
              <mc:Choice Requires="wps">
                <w:drawing>
                  <wp:anchor distT="0" distB="0" distL="182880" distR="182880" simplePos="0" relativeHeight="251660288" behindDoc="0" locked="0" layoutInCell="1" allowOverlap="1" wp14:anchorId="42A2312E" wp14:editId="56FCBF1E">
                    <wp:simplePos x="0" y="0"/>
                    <wp:positionH relativeFrom="margin">
                      <wp:posOffset>101600</wp:posOffset>
                    </wp:positionH>
                    <wp:positionV relativeFrom="page">
                      <wp:posOffset>5772150</wp:posOffset>
                    </wp:positionV>
                    <wp:extent cx="5854700" cy="6720840"/>
                    <wp:effectExtent l="0" t="0" r="1270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58547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3B14CB" w14:textId="7C0570B5" w:rsidR="007717E1" w:rsidRDefault="0007385E" w:rsidP="0007385E">
                                <w:pPr>
                                  <w:pStyle w:val="NoSpacing"/>
                                  <w:spacing w:before="40" w:after="560" w:line="216" w:lineRule="auto"/>
                                  <w:jc w:val="center"/>
                                  <w:rPr>
                                    <w:color w:val="156082" w:themeColor="accent1"/>
                                    <w:sz w:val="72"/>
                                    <w:szCs w:val="72"/>
                                  </w:rPr>
                                </w:pPr>
                                <w:sdt>
                                  <w:sdtPr>
                                    <w:rPr>
                                      <w:rFonts w:ascii="Arial Black" w:hAnsi="Arial Black"/>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07385E">
                                      <w:rPr>
                                        <w:rFonts w:ascii="Arial Black" w:hAnsi="Arial Black"/>
                                        <w:color w:val="156082" w:themeColor="accent1"/>
                                        <w:sz w:val="72"/>
                                        <w:szCs w:val="72"/>
                                      </w:rPr>
                                      <w:t>Essay on Public and Patient Involvement (PPI)</w:t>
                                    </w:r>
                                  </w:sdtContent>
                                </w:sdt>
                              </w:p>
                              <w:p w14:paraId="5DB34572" w14:textId="77777777" w:rsidR="0007385E" w:rsidRDefault="0007385E" w:rsidP="0007385E">
                                <w:pPr>
                                  <w:pStyle w:val="NoSpacing"/>
                                  <w:spacing w:before="40" w:after="560" w:line="216" w:lineRule="auto"/>
                                  <w:rPr>
                                    <w:color w:val="156082" w:themeColor="accent1"/>
                                    <w:sz w:val="72"/>
                                    <w:szCs w:val="72"/>
                                  </w:rPr>
                                </w:pPr>
                              </w:p>
                              <w:p w14:paraId="511661C3" w14:textId="77777777" w:rsidR="0007385E" w:rsidRPr="0007385E" w:rsidRDefault="0007385E" w:rsidP="0007385E">
                                <w:pPr>
                                  <w:pStyle w:val="NoSpacing"/>
                                  <w:spacing w:before="40" w:after="560" w:line="216" w:lineRule="auto"/>
                                  <w:rPr>
                                    <w:color w:val="156082" w:themeColor="accent1"/>
                                    <w:sz w:val="72"/>
                                    <w:szCs w:val="72"/>
                                  </w:rPr>
                                </w:pPr>
                              </w:p>
                              <w:sdt>
                                <w:sdtPr>
                                  <w:rPr>
                                    <w:rFonts w:ascii="Arial Black" w:hAnsi="Arial Black"/>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E9957C2" w14:textId="02ABADF1" w:rsidR="007717E1" w:rsidRPr="0007385E" w:rsidRDefault="007717E1">
                                    <w:pPr>
                                      <w:pStyle w:val="NoSpacing"/>
                                      <w:spacing w:before="80" w:after="40"/>
                                      <w:rPr>
                                        <w:rFonts w:ascii="Arial Black" w:hAnsi="Arial Black"/>
                                        <w:caps/>
                                        <w:color w:val="A02B93" w:themeColor="accent5"/>
                                        <w:sz w:val="24"/>
                                        <w:szCs w:val="24"/>
                                      </w:rPr>
                                    </w:pPr>
                                    <w:r w:rsidRPr="0007385E">
                                      <w:rPr>
                                        <w:rFonts w:ascii="Arial Black" w:hAnsi="Arial Black"/>
                                        <w:caps/>
                                        <w:color w:val="A02B93" w:themeColor="accent5"/>
                                        <w:sz w:val="24"/>
                                        <w:szCs w:val="24"/>
                                      </w:rPr>
                                      <w:t>Mirabela Voican (1907947)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42A2312E" id="_x0000_t202" coordsize="21600,21600" o:spt="202" path="m,l,21600r21600,l21600,xe">
                    <v:stroke joinstyle="miter"/>
                    <v:path gradientshapeok="t" o:connecttype="rect"/>
                  </v:shapetype>
                  <v:shape id="Text Box 131" o:spid="_x0000_s1026" type="#_x0000_t202" style="position:absolute;margin-left:8pt;margin-top:454.5pt;width:461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" filled="f" stroked="f" strokeweight=".5pt">
                    <v:textbox style="mso-fit-shape-to-text:t" inset="0,0,0,0">
                      <w:txbxContent>
                        <w:p w14:paraId="0D3B14CB" w14:textId="7C0570B5" w:rsidR="007717E1" w:rsidRDefault="0007385E" w:rsidP="0007385E">
                          <w:pPr>
                            <w:pStyle w:val="NoSpacing"/>
                            <w:spacing w:before="40" w:after="560" w:line="216" w:lineRule="auto"/>
                            <w:jc w:val="center"/>
                            <w:rPr>
                              <w:color w:val="156082" w:themeColor="accent1"/>
                              <w:sz w:val="72"/>
                              <w:szCs w:val="72"/>
                            </w:rPr>
                          </w:pPr>
                          <w:sdt>
                            <w:sdtPr>
                              <w:rPr>
                                <w:rFonts w:ascii="Arial Black" w:hAnsi="Arial Black"/>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07385E">
                                <w:rPr>
                                  <w:rFonts w:ascii="Arial Black" w:hAnsi="Arial Black"/>
                                  <w:color w:val="156082" w:themeColor="accent1"/>
                                  <w:sz w:val="72"/>
                                  <w:szCs w:val="72"/>
                                </w:rPr>
                                <w:t>Essay on Public and Patient Involvement (PPI)</w:t>
                              </w:r>
                            </w:sdtContent>
                          </w:sdt>
                        </w:p>
                        <w:p w14:paraId="5DB34572" w14:textId="77777777" w:rsidR="0007385E" w:rsidRDefault="0007385E" w:rsidP="0007385E">
                          <w:pPr>
                            <w:pStyle w:val="NoSpacing"/>
                            <w:spacing w:before="40" w:after="560" w:line="216" w:lineRule="auto"/>
                            <w:rPr>
                              <w:color w:val="156082" w:themeColor="accent1"/>
                              <w:sz w:val="72"/>
                              <w:szCs w:val="72"/>
                            </w:rPr>
                          </w:pPr>
                        </w:p>
                        <w:p w14:paraId="511661C3" w14:textId="77777777" w:rsidR="0007385E" w:rsidRPr="0007385E" w:rsidRDefault="0007385E" w:rsidP="0007385E">
                          <w:pPr>
                            <w:pStyle w:val="NoSpacing"/>
                            <w:spacing w:before="40" w:after="560" w:line="216" w:lineRule="auto"/>
                            <w:rPr>
                              <w:color w:val="156082" w:themeColor="accent1"/>
                              <w:sz w:val="72"/>
                              <w:szCs w:val="72"/>
                            </w:rPr>
                          </w:pPr>
                        </w:p>
                        <w:sdt>
                          <w:sdtPr>
                            <w:rPr>
                              <w:rFonts w:ascii="Arial Black" w:hAnsi="Arial Black"/>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E9957C2" w14:textId="02ABADF1" w:rsidR="007717E1" w:rsidRPr="0007385E" w:rsidRDefault="007717E1">
                              <w:pPr>
                                <w:pStyle w:val="NoSpacing"/>
                                <w:spacing w:before="80" w:after="40"/>
                                <w:rPr>
                                  <w:rFonts w:ascii="Arial Black" w:hAnsi="Arial Black"/>
                                  <w:caps/>
                                  <w:color w:val="A02B93" w:themeColor="accent5"/>
                                  <w:sz w:val="24"/>
                                  <w:szCs w:val="24"/>
                                </w:rPr>
                              </w:pPr>
                              <w:r w:rsidRPr="0007385E">
                                <w:rPr>
                                  <w:rFonts w:ascii="Arial Black" w:hAnsi="Arial Black"/>
                                  <w:caps/>
                                  <w:color w:val="A02B93" w:themeColor="accent5"/>
                                  <w:sz w:val="24"/>
                                  <w:szCs w:val="24"/>
                                </w:rPr>
                                <w:t>Mirabela Voican (1907947)</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E85EC33" wp14:editId="72C36AC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21T00:00:00Z">
                                    <w:dateFormat w:val="yyyy"/>
                                    <w:lid w:val="en-US"/>
                                    <w:storeMappedDataAs w:val="dateTime"/>
                                    <w:calendar w:val="gregorian"/>
                                  </w:date>
                                </w:sdtPr>
                                <w:sdtContent>
                                  <w:p w14:paraId="66F6405B" w14:textId="794FFDFE" w:rsidR="007717E1" w:rsidRPr="0007385E" w:rsidRDefault="007717E1">
                                    <w:pPr>
                                      <w:pStyle w:val="NoSpacing"/>
                                      <w:jc w:val="right"/>
                                      <w:rPr>
                                        <w:rFonts w:ascii="Arial Black" w:hAnsi="Arial Black"/>
                                        <w:color w:val="FFFFFF" w:themeColor="background1"/>
                                        <w:sz w:val="24"/>
                                        <w:szCs w:val="24"/>
                                      </w:rPr>
                                    </w:pPr>
                                    <w:r w:rsidRPr="0007385E">
                                      <w:rPr>
                                        <w:rFonts w:ascii="Arial Black" w:hAnsi="Arial Black"/>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E85EC33"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21T00:00:00Z">
                              <w:dateFormat w:val="yyyy"/>
                              <w:lid w:val="en-US"/>
                              <w:storeMappedDataAs w:val="dateTime"/>
                              <w:calendar w:val="gregorian"/>
                            </w:date>
                          </w:sdtPr>
                          <w:sdtContent>
                            <w:p w14:paraId="66F6405B" w14:textId="794FFDFE" w:rsidR="007717E1" w:rsidRPr="0007385E" w:rsidRDefault="007717E1">
                              <w:pPr>
                                <w:pStyle w:val="NoSpacing"/>
                                <w:jc w:val="right"/>
                                <w:rPr>
                                  <w:rFonts w:ascii="Arial Black" w:hAnsi="Arial Black"/>
                                  <w:color w:val="FFFFFF" w:themeColor="background1"/>
                                  <w:sz w:val="24"/>
                                  <w:szCs w:val="24"/>
                                </w:rPr>
                              </w:pPr>
                              <w:r w:rsidRPr="0007385E">
                                <w:rPr>
                                  <w:rFonts w:ascii="Arial Black" w:hAnsi="Arial Black"/>
                                  <w:color w:val="FFFFFF" w:themeColor="background1"/>
                                  <w:sz w:val="24"/>
                                  <w:szCs w:val="24"/>
                                </w:rPr>
                                <w:t>2025</w:t>
                              </w:r>
                            </w:p>
                          </w:sdtContent>
                        </w:sdt>
                      </w:txbxContent>
                    </v:textbox>
                    <w10:wrap anchorx="margin" anchory="page"/>
                  </v:rect>
                </w:pict>
              </mc:Fallback>
            </mc:AlternateContent>
          </w:r>
          <w:r>
            <w:rPr>
              <w:rFonts w:ascii="Arial" w:hAnsi="Arial" w:cs="Arial"/>
            </w:rPr>
            <w:br w:type="page"/>
          </w:r>
        </w:p>
      </w:sdtContent>
    </w:sdt>
    <w:p w14:paraId="545F4A42" w14:textId="562E667A" w:rsidR="00C4444C" w:rsidRDefault="000A605D" w:rsidP="00C4444C">
      <w:pPr>
        <w:spacing w:line="360" w:lineRule="auto"/>
        <w:ind w:firstLine="720"/>
        <w:rPr>
          <w:rFonts w:ascii="Times New Roman" w:eastAsia="Times New Roman" w:hAnsi="Times New Roman" w:cs="Times New Roman"/>
          <w:kern w:val="0"/>
          <w:lang w:eastAsia="en-GB"/>
          <w14:ligatures w14:val="none"/>
        </w:rPr>
      </w:pPr>
      <w:bookmarkStart w:id="0" w:name="_Hlk188385687"/>
      <w:r w:rsidRPr="000A605D">
        <w:rPr>
          <w:rFonts w:ascii="Arial" w:hAnsi="Arial" w:cs="Arial"/>
        </w:rPr>
        <w:lastRenderedPageBreak/>
        <w:t xml:space="preserve">Public and Patient Involvement (PPI) </w:t>
      </w:r>
      <w:bookmarkEnd w:id="0"/>
      <w:r w:rsidRPr="000A605D">
        <w:rPr>
          <w:rFonts w:ascii="Arial" w:hAnsi="Arial" w:cs="Arial"/>
        </w:rPr>
        <w:t>is a fundamental method to research that emphasises collaboration between researchers and members of the public. Unlike traditional research paradigms that consider participants as subjects to be studied, about, or for, PPI alters the dynamic to one in which research is undertaken with or for members of the public.</w:t>
      </w:r>
      <w:r w:rsidR="00C4444C" w:rsidRPr="00C4444C">
        <w:rPr>
          <w:rFonts w:ascii="Times New Roman" w:eastAsia="Times New Roman" w:hAnsi="Times New Roman" w:cs="Times New Roman"/>
          <w:kern w:val="0"/>
          <w:lang w:eastAsia="en-GB"/>
          <w14:ligatures w14:val="none"/>
        </w:rPr>
        <w:t xml:space="preserve"> </w:t>
      </w:r>
      <w:r w:rsidR="00C4444C" w:rsidRPr="00C4444C">
        <w:rPr>
          <w:rFonts w:ascii="Times New Roman" w:eastAsia="Times New Roman" w:hAnsi="Times New Roman" w:cs="Times New Roman"/>
          <w:kern w:val="0"/>
          <w:lang w:eastAsia="en-GB"/>
          <w14:ligatures w14:val="none"/>
        </w:rPr>
        <w:t>When this inclusive paradigm prioritises the perspectives of persons directly affected by research and honours lived experiences, the findings are relevant, practical, and reflective of real-world requirements. Mental health, neurodevelopmental diseases, and dementia are examples of complex societal issues that PPI in applied psychology can assist with. The experiences of marginalised groups, who are frequently involved in these areas, can develop more effective therapies, laws, and support networks. If researchers include persons with dementia in their studies, they may discover more concrete problems, such as difficulties with daily functioning or carers' emotional needs</w:t>
      </w:r>
      <w:r w:rsidR="0017657C">
        <w:rPr>
          <w:rFonts w:ascii="Times New Roman" w:eastAsia="Times New Roman" w:hAnsi="Times New Roman" w:cs="Times New Roman"/>
          <w:kern w:val="0"/>
          <w:lang w:eastAsia="en-GB"/>
          <w14:ligatures w14:val="none"/>
        </w:rPr>
        <w:t xml:space="preserve"> </w:t>
      </w:r>
      <w:r w:rsidR="0017657C" w:rsidRPr="0017657C">
        <w:rPr>
          <w:rFonts w:ascii="Times New Roman" w:eastAsia="Times New Roman" w:hAnsi="Times New Roman" w:cs="Times New Roman"/>
          <w:kern w:val="0"/>
          <w:lang w:eastAsia="en-GB"/>
          <w14:ligatures w14:val="none"/>
        </w:rPr>
        <w:t>(Staniszewska et al., 2017; Hoddinott et al., 2018; Brett et al., 2012; Wyatt et al., 2008)</w:t>
      </w:r>
      <w:r w:rsidR="00C4444C" w:rsidRPr="00C4444C">
        <w:rPr>
          <w:rFonts w:ascii="Times New Roman" w:eastAsia="Times New Roman" w:hAnsi="Times New Roman" w:cs="Times New Roman"/>
          <w:kern w:val="0"/>
          <w:lang w:eastAsia="en-GB"/>
          <w14:ligatures w14:val="none"/>
        </w:rPr>
        <w:t>.</w:t>
      </w:r>
    </w:p>
    <w:p w14:paraId="666C7975" w14:textId="06BD1119" w:rsidR="000A605D" w:rsidRPr="00C4444C" w:rsidRDefault="000A605D" w:rsidP="00C4444C">
      <w:pPr>
        <w:spacing w:line="360" w:lineRule="auto"/>
        <w:ind w:firstLine="720"/>
        <w:rPr>
          <w:rFonts w:ascii="Times New Roman" w:eastAsia="Times New Roman" w:hAnsi="Times New Roman" w:cs="Times New Roman"/>
          <w:kern w:val="0"/>
          <w:lang w:eastAsia="en-GB"/>
          <w14:ligatures w14:val="none"/>
        </w:rPr>
      </w:pPr>
      <w:r w:rsidRPr="000A605D">
        <w:rPr>
          <w:rFonts w:ascii="Arial" w:hAnsi="Arial" w:cs="Arial"/>
        </w:rPr>
        <w:t>Similarly, PPI-enriched mental health research has resulted in the development of more person-centred therapy by adding feedback from people who have been through disorders such as depression.</w:t>
      </w:r>
      <w:r w:rsidR="00CC390D">
        <w:rPr>
          <w:rFonts w:ascii="Arial" w:hAnsi="Arial" w:cs="Arial"/>
        </w:rPr>
        <w:t xml:space="preserve"> </w:t>
      </w:r>
      <w:r w:rsidRPr="000A605D">
        <w:rPr>
          <w:rFonts w:ascii="Arial" w:hAnsi="Arial" w:cs="Arial"/>
        </w:rPr>
        <w:t>Frameworks, such as the NIHR UK criteria for public engagement, give critical direction for implementing effective PPI. These standards prioritise communications, governance, impact, collaboration, inclusive opportunities, and support and learning</w:t>
      </w:r>
      <w:r w:rsidR="0017657C" w:rsidRPr="0017657C">
        <w:t xml:space="preserve"> </w:t>
      </w:r>
      <w:r w:rsidR="0017657C" w:rsidRPr="0017657C">
        <w:rPr>
          <w:rFonts w:ascii="Arial" w:hAnsi="Arial" w:cs="Arial"/>
        </w:rPr>
        <w:t>(Brett et al., 2012; Muller et al., 2019; McCormick et al., 2004)</w:t>
      </w:r>
      <w:r w:rsidRPr="000A605D">
        <w:rPr>
          <w:rFonts w:ascii="Arial" w:hAnsi="Arial" w:cs="Arial"/>
        </w:rPr>
        <w:t>. By following to these criteria, researchers can develop meaningful cooperation, ensuring that PPI transcends beyond tokenistic participation and becomes an integral part of the research process. Staniszewska et al. (2017) established the GRIPP2 reporting checklist, which helps researchers document and evaluate the quality of public involvement in their studies, emphasising the importance of transparency and accountability.</w:t>
      </w:r>
    </w:p>
    <w:p w14:paraId="4D3D2BCF" w14:textId="77777777" w:rsidR="0017657C" w:rsidRPr="0017657C" w:rsidRDefault="0017657C" w:rsidP="0017657C">
      <w:pPr>
        <w:spacing w:line="360" w:lineRule="auto"/>
        <w:ind w:firstLine="720"/>
        <w:rPr>
          <w:rFonts w:ascii="Arial" w:hAnsi="Arial" w:cs="Arial"/>
        </w:rPr>
      </w:pPr>
      <w:r w:rsidRPr="0017657C">
        <w:rPr>
          <w:rFonts w:ascii="Arial" w:hAnsi="Arial" w:cs="Arial"/>
        </w:rPr>
        <w:t xml:space="preserve">This essay critically examines the theoretical and ethical implications of Public and Patient Involvement (PPI) in applied psychology, focussing specifically on dementia research and integrating examples from other health and social care areas. Utilising empirical evidence and established frameworks, it examines the role of PPI in collaboratively generating significant and important research. The essay examines significant issues, including the promotion of inclusivity and equity, and delineates options for integrating PPI throughout all phases of the research process. This essay examines case studies from dementia research and perspectives from </w:t>
      </w:r>
      <w:r w:rsidRPr="0017657C">
        <w:rPr>
          <w:rFonts w:ascii="Arial" w:hAnsi="Arial" w:cs="Arial"/>
        </w:rPr>
        <w:lastRenderedPageBreak/>
        <w:t>other health disciplines to identify optimal techniques for utilising Public and Patient Involvement (PPI) to improve the relevance, ethical integrity, and inclusivity of applied psychology research.</w:t>
      </w:r>
    </w:p>
    <w:p w14:paraId="6C84927F" w14:textId="4F53EAF1" w:rsidR="006C12D8" w:rsidRDefault="000A605D" w:rsidP="00636977">
      <w:pPr>
        <w:spacing w:line="360" w:lineRule="auto"/>
        <w:ind w:firstLine="720"/>
        <w:rPr>
          <w:rFonts w:ascii="Arial" w:hAnsi="Arial" w:cs="Arial"/>
        </w:rPr>
      </w:pPr>
      <w:r w:rsidRPr="000A605D">
        <w:rPr>
          <w:rFonts w:ascii="Arial" w:hAnsi="Arial" w:cs="Arial"/>
        </w:rPr>
        <w:t>Recent literature has placed a growing emphasis on the significance of PPI in research, showcasing it as an opportunity to promote inclusivity, transparency, and empowerment (McCormick et al., 2004). In contrast to traditional approaches that see participants as mere subjects, PPI engages the public as active co-creators, making sure that research results are more meaningful to the communities they impact. Guidelines like the British Psychological Society’s Code of Human Research Ethics (2014) emphasise the importance of engaging public contributors with respect, autonomy, and a commitment to doing good throughout all phases of the research process.</w:t>
      </w:r>
      <w:r w:rsidR="00CC390D">
        <w:rPr>
          <w:rFonts w:ascii="Arial" w:hAnsi="Arial" w:cs="Arial"/>
        </w:rPr>
        <w:t xml:space="preserve"> </w:t>
      </w:r>
      <w:r w:rsidRPr="000A605D">
        <w:rPr>
          <w:rFonts w:ascii="Arial" w:hAnsi="Arial" w:cs="Arial"/>
        </w:rPr>
        <w:t xml:space="preserve">A major takeaway from the literature is that getting public contributors involved early on can greatly influence research priorities and results. Research indicates that involving public contributors right from the design phase helps ensure that the study addresses genuine concerns from the real world. Marsden and Bradburn (2004) </w:t>
      </w:r>
      <w:r w:rsidRPr="000A605D">
        <w:rPr>
          <w:rFonts w:ascii="Arial" w:hAnsi="Arial" w:cs="Arial"/>
        </w:rPr>
        <w:t>investigated</w:t>
      </w:r>
      <w:r w:rsidRPr="000A605D">
        <w:rPr>
          <w:rFonts w:ascii="Arial" w:hAnsi="Arial" w:cs="Arial"/>
        </w:rPr>
        <w:t xml:space="preserve"> how involving patients in the design of a national breast cancer trial made a difference. Their findings showed that patients valued outcomes that clinicians hadn't thought of at first, including the psychosocial effects of treatment. This resulted in a more comprehensive approach to the trial design, showcasing how PPI can broaden the range of research questions.</w:t>
      </w:r>
      <w:r w:rsidR="00CC390D">
        <w:rPr>
          <w:rFonts w:ascii="Arial" w:hAnsi="Arial" w:cs="Arial"/>
        </w:rPr>
        <w:t xml:space="preserve"> </w:t>
      </w:r>
      <w:r w:rsidRPr="000A605D">
        <w:rPr>
          <w:rFonts w:ascii="Arial" w:hAnsi="Arial" w:cs="Arial"/>
        </w:rPr>
        <w:t>The GRIPP2 checklist, created by Staniszewska and colleagues in 2017, is an essential resource for researchers aiming to assess and enhance the quality of PPI reporting.</w:t>
      </w:r>
      <w:r w:rsidR="006C12D8">
        <w:rPr>
          <w:rFonts w:ascii="Arial" w:hAnsi="Arial" w:cs="Arial"/>
        </w:rPr>
        <w:t xml:space="preserve"> </w:t>
      </w:r>
      <w:r w:rsidRPr="000A605D">
        <w:rPr>
          <w:rFonts w:ascii="Arial" w:hAnsi="Arial" w:cs="Arial"/>
        </w:rPr>
        <w:t>Being open and responsible are essential aspects of effective public participation in research, and GRIPP2 offers clear guidelines for recording the involvement of public contributors. This allows researchers to steer clear of superficial practices and guarantees that PPI efforts are significant and effective. For example, research utilising GRIPP2 has repeatedly shown enhanced relevance in studies and greater satisfaction among participants</w:t>
      </w:r>
      <w:r w:rsidR="00150427" w:rsidRPr="00150427">
        <w:t xml:space="preserve"> </w:t>
      </w:r>
      <w:r w:rsidR="00150427" w:rsidRPr="00150427">
        <w:rPr>
          <w:rFonts w:ascii="Arial" w:hAnsi="Arial" w:cs="Arial"/>
        </w:rPr>
        <w:t>(Brett et al., 2012; Muller et al., 2019; McCormick et al., 2004)</w:t>
      </w:r>
      <w:r w:rsidR="00150427">
        <w:rPr>
          <w:rFonts w:ascii="Arial" w:hAnsi="Arial" w:cs="Arial"/>
        </w:rPr>
        <w:t>.</w:t>
      </w:r>
    </w:p>
    <w:p w14:paraId="3629E3AB" w14:textId="77777777" w:rsidR="006C12D8" w:rsidRDefault="000A605D" w:rsidP="00636977">
      <w:pPr>
        <w:spacing w:line="360" w:lineRule="auto"/>
        <w:ind w:firstLine="720"/>
        <w:rPr>
          <w:rFonts w:ascii="Arial" w:hAnsi="Arial" w:cs="Arial"/>
        </w:rPr>
      </w:pPr>
      <w:r w:rsidRPr="000A605D">
        <w:rPr>
          <w:rFonts w:ascii="Arial" w:hAnsi="Arial" w:cs="Arial"/>
        </w:rPr>
        <w:t xml:space="preserve">Furthermore, ethical frameworks from the NIHR highlight the significance of inclusivity and cultural sensitivity, encouraging researchers to </w:t>
      </w:r>
      <w:r w:rsidRPr="000A605D">
        <w:rPr>
          <w:rFonts w:ascii="Arial" w:hAnsi="Arial" w:cs="Arial"/>
        </w:rPr>
        <w:t>consider</w:t>
      </w:r>
      <w:r w:rsidRPr="000A605D">
        <w:rPr>
          <w:rFonts w:ascii="Arial" w:hAnsi="Arial" w:cs="Arial"/>
        </w:rPr>
        <w:t xml:space="preserve"> various perspectives and tackle obstacles to participation (NIHR, n.d.).</w:t>
      </w:r>
      <w:r w:rsidR="00CC390D">
        <w:rPr>
          <w:rFonts w:ascii="Arial" w:hAnsi="Arial" w:cs="Arial"/>
        </w:rPr>
        <w:t xml:space="preserve"> </w:t>
      </w:r>
      <w:r w:rsidRPr="000A605D">
        <w:rPr>
          <w:rFonts w:ascii="Arial" w:hAnsi="Arial" w:cs="Arial"/>
        </w:rPr>
        <w:t xml:space="preserve">Research shows that lived experience plays a crucial role in making studies more relevant. For example, </w:t>
      </w:r>
      <w:r w:rsidRPr="000A605D">
        <w:rPr>
          <w:rFonts w:ascii="Arial" w:hAnsi="Arial" w:cs="Arial"/>
        </w:rPr>
        <w:lastRenderedPageBreak/>
        <w:t xml:space="preserve">McCormick et al. (2004) </w:t>
      </w:r>
      <w:r w:rsidRPr="000A605D">
        <w:rPr>
          <w:rFonts w:ascii="Arial" w:hAnsi="Arial" w:cs="Arial"/>
        </w:rPr>
        <w:t>investigated</w:t>
      </w:r>
      <w:r w:rsidRPr="000A605D">
        <w:rPr>
          <w:rFonts w:ascii="Arial" w:hAnsi="Arial" w:cs="Arial"/>
        </w:rPr>
        <w:t xml:space="preserve"> how the public participates in breast cancer research and suggested a model where the perspectives of patients shape the priorities of studies. Their model highlighted how crucial it is to stay engaged throughout the entire process, from coming up with ideas to analysing data and sharing the results. In a similar vein, Abma (2005) </w:t>
      </w:r>
      <w:r w:rsidRPr="000A605D">
        <w:rPr>
          <w:rFonts w:ascii="Arial" w:hAnsi="Arial" w:cs="Arial"/>
        </w:rPr>
        <w:t>investigated</w:t>
      </w:r>
      <w:r w:rsidRPr="000A605D">
        <w:rPr>
          <w:rFonts w:ascii="Arial" w:hAnsi="Arial" w:cs="Arial"/>
        </w:rPr>
        <w:t xml:space="preserve"> participatory methods in research involving individuals with spinal cord injuries. This work highlighted how enquiries led by patients revealed challenges that clinical researchers often missed, including the psychological effects of physical rehabilitation.</w:t>
      </w:r>
      <w:r w:rsidR="00636977">
        <w:rPr>
          <w:rFonts w:ascii="Arial" w:hAnsi="Arial" w:cs="Arial"/>
        </w:rPr>
        <w:t xml:space="preserve"> </w:t>
      </w:r>
      <w:r w:rsidRPr="000A605D">
        <w:rPr>
          <w:rFonts w:ascii="Arial" w:hAnsi="Arial" w:cs="Arial"/>
        </w:rPr>
        <w:t xml:space="preserve">In applied psychology, involving people who have firsthand experience with mental health conditions has brought about considerable advantages. Wyatt and colleagues (2008) </w:t>
      </w:r>
      <w:r w:rsidRPr="000A605D">
        <w:rPr>
          <w:rFonts w:ascii="Arial" w:hAnsi="Arial" w:cs="Arial"/>
        </w:rPr>
        <w:t>investigated</w:t>
      </w:r>
      <w:r w:rsidRPr="000A605D">
        <w:rPr>
          <w:rFonts w:ascii="Arial" w:hAnsi="Arial" w:cs="Arial"/>
        </w:rPr>
        <w:t xml:space="preserve"> how consumers were involved in the London Primary Care Studies Programme. They found that public contributors pointed out barriers to mental health services that the researchers had overlooked. This resulted in creating interventions that are more accessible and considerate of different cultures. Additionally, research on neurodevelopmental disorders, particularly with parents of children with autism, indicates that engaging the public improves intervention designs by incorporating family-</w:t>
      </w:r>
      <w:r w:rsidRPr="000A605D">
        <w:rPr>
          <w:rFonts w:ascii="Arial" w:hAnsi="Arial" w:cs="Arial"/>
        </w:rPr>
        <w:t>cantered</w:t>
      </w:r>
      <w:r w:rsidRPr="000A605D">
        <w:rPr>
          <w:rFonts w:ascii="Arial" w:hAnsi="Arial" w:cs="Arial"/>
        </w:rPr>
        <w:t xml:space="preserve"> priorities</w:t>
      </w:r>
      <w:r w:rsidR="00CC390D">
        <w:rPr>
          <w:rFonts w:ascii="Arial" w:hAnsi="Arial" w:cs="Arial"/>
        </w:rPr>
        <w:t>.</w:t>
      </w:r>
      <w:r w:rsidR="00636977">
        <w:rPr>
          <w:rFonts w:ascii="Arial" w:hAnsi="Arial" w:cs="Arial"/>
        </w:rPr>
        <w:t xml:space="preserve"> </w:t>
      </w:r>
      <w:r w:rsidRPr="000A605D">
        <w:rPr>
          <w:rFonts w:ascii="Arial" w:hAnsi="Arial" w:cs="Arial"/>
        </w:rPr>
        <w:t>Guidelines on ethics and public involvement highlight the importance of maintaining a balance in power dynamics within research collaborations. Researchers need to steer clear of tokenism, which happens when public contributors are included in a superficial way that doesn't allow for real influence (Staniszewska et al., 2011). The GRIPP2 framework and ethical guidelines promote fair partnerships that honour public contributors as knowledgeable individuals based on their experiences. Beier and colleagues (2019) highlighted that true collaboration hinges on effective communication, collective decision-making, and proper training for both researchers and contributors. This helps to make sure that PPI efforts don’t make current inequalities worse.</w:t>
      </w:r>
      <w:r w:rsidR="00636977">
        <w:rPr>
          <w:rFonts w:ascii="Arial" w:hAnsi="Arial" w:cs="Arial"/>
        </w:rPr>
        <w:t xml:space="preserve"> </w:t>
      </w:r>
    </w:p>
    <w:p w14:paraId="7FF1EFA5" w14:textId="77777777" w:rsidR="006C12D8" w:rsidRDefault="000A605D" w:rsidP="00636977">
      <w:pPr>
        <w:spacing w:line="360" w:lineRule="auto"/>
        <w:ind w:firstLine="720"/>
        <w:rPr>
          <w:rFonts w:ascii="Arial" w:hAnsi="Arial" w:cs="Arial"/>
        </w:rPr>
      </w:pPr>
      <w:r w:rsidRPr="000A605D">
        <w:rPr>
          <w:rFonts w:ascii="Arial" w:hAnsi="Arial" w:cs="Arial"/>
        </w:rPr>
        <w:t xml:space="preserve">Another important aspect of PPI is inclusivity. Having diverse representation is crucial for making sure that research results are relevant to various groups of people. Nonetheless, studies show ongoing difficulties in engaging under-represented groups, including ethnic minorities, people with disabilities, and individuals from lower socioeconomic backgrounds (Smits et al., 2020). To foster inclusivity, it's important to utilise accessible communication methods, provide flexible participation options, and tackle logistical challenges like transportation and childcare (Brett et al., </w:t>
      </w:r>
      <w:r w:rsidRPr="000A605D">
        <w:rPr>
          <w:rFonts w:ascii="Arial" w:hAnsi="Arial" w:cs="Arial"/>
        </w:rPr>
        <w:lastRenderedPageBreak/>
        <w:t>2012)</w:t>
      </w:r>
      <w:r w:rsidR="00CC390D">
        <w:rPr>
          <w:rFonts w:ascii="Arial" w:hAnsi="Arial" w:cs="Arial"/>
        </w:rPr>
        <w:t>.</w:t>
      </w:r>
      <w:r w:rsidR="00636977">
        <w:rPr>
          <w:rFonts w:ascii="Arial" w:hAnsi="Arial" w:cs="Arial"/>
        </w:rPr>
        <w:t xml:space="preserve"> </w:t>
      </w:r>
      <w:r w:rsidRPr="000A605D">
        <w:rPr>
          <w:rFonts w:ascii="Arial" w:hAnsi="Arial" w:cs="Arial"/>
        </w:rPr>
        <w:t>The NIHR UK standards offer practical guidance for integrating PPI throughout the research lifecycle. The focus of these standards is on communication, governance, impact, collaboration, inclusive opportunities, and support for learning (NIHR, 2024). For instance, clear communication helps public contributors grasp their roles and responsibilities, building trust and encouraging engagement. When governance structures involve public representatives in decision-making, they foster accountability and a sense of shared ownership over research results.</w:t>
      </w:r>
      <w:r w:rsidR="00636977">
        <w:rPr>
          <w:rFonts w:ascii="Arial" w:hAnsi="Arial" w:cs="Arial"/>
        </w:rPr>
        <w:t xml:space="preserve"> </w:t>
      </w:r>
      <w:r w:rsidRPr="000A605D">
        <w:rPr>
          <w:rFonts w:ascii="Arial" w:hAnsi="Arial" w:cs="Arial"/>
        </w:rPr>
        <w:t>The literature emphasises how crucial it is to provide training and support for both public contributors and researchers. Muller and colleagues (2019) explored how merging qualitative research with PPI can enhance the development of behavioural interventions. They highlighted the importance of continuous training to assist contributors in grasping research methodologies and for researchers to enhance their facilitation skills. Training builds confidence in contributors, allowing them to participate more actively and meaningfully.</w:t>
      </w:r>
      <w:r w:rsidR="00636977">
        <w:rPr>
          <w:rFonts w:ascii="Arial" w:hAnsi="Arial" w:cs="Arial"/>
        </w:rPr>
        <w:t xml:space="preserve"> </w:t>
      </w:r>
      <w:r w:rsidRPr="000A605D">
        <w:rPr>
          <w:rFonts w:ascii="Arial" w:hAnsi="Arial" w:cs="Arial"/>
        </w:rPr>
        <w:t xml:space="preserve">Ultimately, ethical considerations are a key focus in discussions about PPI. </w:t>
      </w:r>
    </w:p>
    <w:p w14:paraId="57E006B9" w14:textId="56A56677" w:rsidR="006C12D8" w:rsidRDefault="000A605D" w:rsidP="006C12D8">
      <w:pPr>
        <w:spacing w:line="360" w:lineRule="auto"/>
        <w:ind w:firstLine="720"/>
        <w:rPr>
          <w:rFonts w:ascii="Arial" w:hAnsi="Arial" w:cs="Arial"/>
        </w:rPr>
      </w:pPr>
      <w:r w:rsidRPr="000A605D">
        <w:rPr>
          <w:rFonts w:ascii="Arial" w:hAnsi="Arial" w:cs="Arial"/>
        </w:rPr>
        <w:t xml:space="preserve">Engaging vulnerable groups, including those with cognitive challenges or long-term health issues, demands thoughtful preparation to guarantee that their involvement is both respectful and empowering. One ethical approach discussed in the literature involves the process of consent, which is revisited at various stages </w:t>
      </w:r>
      <w:r w:rsidR="00150427">
        <w:rPr>
          <w:rFonts w:ascii="Arial" w:hAnsi="Arial" w:cs="Arial"/>
        </w:rPr>
        <w:t>(</w:t>
      </w:r>
      <w:r w:rsidR="00150427" w:rsidRPr="00150427">
        <w:rPr>
          <w:rFonts w:ascii="Arial" w:hAnsi="Arial" w:cs="Arial"/>
        </w:rPr>
        <w:t>Hoddinott et al., 2018; Staniszewska et al., 2017</w:t>
      </w:r>
      <w:r w:rsidR="00150427">
        <w:rPr>
          <w:rFonts w:ascii="Arial" w:hAnsi="Arial" w:cs="Arial"/>
        </w:rPr>
        <w:t>)</w:t>
      </w:r>
      <w:r w:rsidRPr="000A605D">
        <w:rPr>
          <w:rFonts w:ascii="Arial" w:hAnsi="Arial" w:cs="Arial"/>
        </w:rPr>
        <w:t>. Moreover, initiatives such as INCLUDE suggest customised approaches to engage older adults in research, highlighting the importance of adaptability and assistance (Goodwin et al., 2023</w:t>
      </w:r>
      <w:r w:rsidR="00150427">
        <w:rPr>
          <w:rFonts w:ascii="Arial" w:hAnsi="Arial" w:cs="Arial"/>
        </w:rPr>
        <w:t xml:space="preserve">; </w:t>
      </w:r>
      <w:r w:rsidR="00150427" w:rsidRPr="00150427">
        <w:rPr>
          <w:rFonts w:ascii="Arial" w:hAnsi="Arial" w:cs="Arial"/>
        </w:rPr>
        <w:t>Brett et al., 2012</w:t>
      </w:r>
      <w:r w:rsidRPr="000A605D">
        <w:rPr>
          <w:rFonts w:ascii="Arial" w:hAnsi="Arial" w:cs="Arial"/>
        </w:rPr>
        <w:t>).</w:t>
      </w:r>
      <w:r w:rsidR="00636977">
        <w:rPr>
          <w:rFonts w:ascii="Arial" w:hAnsi="Arial" w:cs="Arial"/>
        </w:rPr>
        <w:t xml:space="preserve"> </w:t>
      </w:r>
      <w:r w:rsidRPr="000A605D">
        <w:rPr>
          <w:rFonts w:ascii="Arial" w:hAnsi="Arial" w:cs="Arial"/>
        </w:rPr>
        <w:t>To sum up, the available literature, ethical guidelines, and PPI recommendations all emphasise the significant impact that public involvement can have on research. Getting involved early and in a meaningful way boosts the relevance of research, promotes inclusivity, and upholds ethical standards. By using tools such as the GRIPP2 checklist and following standards set by the NIHR, researchers can build fair and meaningful partnerships with public contributors, enhancing the quality and relevance of applied psychology research.</w:t>
      </w:r>
      <w:r w:rsidR="00636977">
        <w:rPr>
          <w:rFonts w:ascii="Arial" w:hAnsi="Arial" w:cs="Arial"/>
        </w:rPr>
        <w:t xml:space="preserve"> </w:t>
      </w:r>
      <w:r w:rsidR="00CC390D" w:rsidRPr="00CC390D">
        <w:rPr>
          <w:rFonts w:ascii="Arial" w:hAnsi="Arial" w:cs="Arial"/>
        </w:rPr>
        <w:t xml:space="preserve">Public and Patient Involvement (PPI) in applied psychology has grown in popularity as a way for improving the relevance, quality, and effect of research. Researchers have increasingly used participatory methodologies, involving public contributions not only as participants, but also as co-creators. PPI has been successfully implemented into </w:t>
      </w:r>
      <w:r w:rsidR="00CC390D" w:rsidRPr="00CC390D">
        <w:rPr>
          <w:rFonts w:ascii="Arial" w:hAnsi="Arial" w:cs="Arial"/>
        </w:rPr>
        <w:lastRenderedPageBreak/>
        <w:t>two areas: dementia research and mental health therapies. These case studies demonstrate the benefits and drawbacks of introducing PPI into practical psychology, emphasising the necessity for adaptable and ethical approaches.</w:t>
      </w:r>
      <w:r w:rsidR="00636977">
        <w:rPr>
          <w:rFonts w:ascii="Arial" w:hAnsi="Arial" w:cs="Arial"/>
        </w:rPr>
        <w:t xml:space="preserve"> </w:t>
      </w:r>
      <w:r w:rsidR="00CC390D" w:rsidRPr="00CC390D">
        <w:rPr>
          <w:rFonts w:ascii="Arial" w:hAnsi="Arial" w:cs="Arial"/>
        </w:rPr>
        <w:t>Applied psychology researchers have approached PPI through initiatives like as co-designing studies, incorporating lived experiences into interventions, and collaborating with the public to remove systemic hurdles. These techniques have had a particularly significant impact in dementia research and mental health services, as public participation has resulted in more meaningful and actionable study findings.</w:t>
      </w:r>
    </w:p>
    <w:p w14:paraId="1F494B08" w14:textId="5D7674F6" w:rsidR="00CC390D" w:rsidRPr="00CC390D" w:rsidRDefault="00CC390D" w:rsidP="00C4444C">
      <w:pPr>
        <w:spacing w:line="360" w:lineRule="auto"/>
        <w:ind w:firstLine="720"/>
        <w:rPr>
          <w:rFonts w:ascii="Arial" w:hAnsi="Arial" w:cs="Arial"/>
        </w:rPr>
      </w:pPr>
      <w:r w:rsidRPr="00CC390D">
        <w:rPr>
          <w:rFonts w:ascii="Arial" w:hAnsi="Arial" w:cs="Arial"/>
        </w:rPr>
        <w:t>The Dementia Enquirers Initiative, for example, enables people with dementia to select research priorities and co-design studies. This effort put people with lived experiences at the centre of the research process, verifying their knowledge and ensuring that studies addressed practical and relevant issues. Contributors, for example, prioritised concerns such as community service accessibility and carer emotional requirements, both of which were frequently disregarded by academics (Brett et al., 2012).</w:t>
      </w:r>
      <w:r w:rsidR="00636977">
        <w:rPr>
          <w:rFonts w:ascii="Arial" w:hAnsi="Arial" w:cs="Arial"/>
        </w:rPr>
        <w:t xml:space="preserve"> </w:t>
      </w:r>
      <w:r w:rsidRPr="00CC390D">
        <w:rPr>
          <w:rFonts w:ascii="Arial" w:hAnsi="Arial" w:cs="Arial"/>
        </w:rPr>
        <w:t>In the field of mental health, researchers have collaborated extensively with public stakeholders to develop interventions that combat stigma and enhance access. For example, Wyatt et al. (2008) assessed consumer involvement in the London Primary Care Studies Programme. Individuals with lived experience of depression played an important role in revealing systemic hurdles to getting care, such as stigma within healthcare institutions and a lack of culturally relevant services. This partnership ultimately influenced the redesign of service referral systems, which became more inclusive and user-friendly.</w:t>
      </w:r>
      <w:r w:rsidR="00636977">
        <w:rPr>
          <w:rFonts w:ascii="Arial" w:hAnsi="Arial" w:cs="Arial"/>
        </w:rPr>
        <w:t xml:space="preserve"> </w:t>
      </w:r>
      <w:r w:rsidRPr="00CC390D">
        <w:rPr>
          <w:rFonts w:ascii="Arial" w:hAnsi="Arial" w:cs="Arial"/>
        </w:rPr>
        <w:t>Empirical study gives additional evidence of how public contributions can benefit applied psychology research. Marsden and Bradburn (2004) demonstrated how including patients in the design of a national breast cancer trial resulted in research that was more responsive to patient needs. Similarly, McCormick et al. (2004) showed how patient voices helped to shape research questions and procedures in breast cancer studies. Lessons from these studies show that early inclusion of public contributors promotes co-creation of research questions, ensuring that the outputs are relevant and meaningful to the impacted populations.</w:t>
      </w:r>
      <w:r w:rsidR="00636977">
        <w:rPr>
          <w:rFonts w:ascii="Arial" w:hAnsi="Arial" w:cs="Arial"/>
        </w:rPr>
        <w:t xml:space="preserve"> </w:t>
      </w:r>
      <w:r w:rsidRPr="00CC390D">
        <w:rPr>
          <w:rFonts w:ascii="Arial" w:hAnsi="Arial" w:cs="Arial"/>
        </w:rPr>
        <w:t xml:space="preserve">However, researchers frequently meet difficulties when incorporating PPI. For example, the Dementia Enquirers Initiative had difficulties due to participants' cognitive impairment, limiting their ability to fully participate in various research activities. Furthermore, while carer involvement was </w:t>
      </w:r>
      <w:r w:rsidRPr="00CC390D">
        <w:rPr>
          <w:rFonts w:ascii="Arial" w:hAnsi="Arial" w:cs="Arial"/>
        </w:rPr>
        <w:lastRenderedPageBreak/>
        <w:t>vital, it occasionally resulted in situations in which their viewpoints eclipsed those of individuals with dementia (Abma et al., 2009). Addressing these problems necessitated adaptive approaches such as shorter sessions, more accessible materials such as visual aids, and a focus on dementia patients' autonomy.</w:t>
      </w:r>
    </w:p>
    <w:p w14:paraId="027C889A" w14:textId="3FB10964" w:rsidR="00F10F69" w:rsidRDefault="00C4444C" w:rsidP="00C4444C">
      <w:pPr>
        <w:spacing w:line="360" w:lineRule="auto"/>
        <w:ind w:firstLine="720"/>
        <w:rPr>
          <w:rFonts w:ascii="Arial" w:hAnsi="Arial" w:cs="Arial"/>
        </w:rPr>
      </w:pPr>
      <w:r w:rsidRPr="00C4444C">
        <w:rPr>
          <w:rFonts w:ascii="Arial" w:hAnsi="Arial" w:cs="Arial"/>
        </w:rPr>
        <w:t>Power imbalances between academics and public contributors have created challenges in mental health research. Abma et al. (2009) found that even when public contributors are included in co-designing interventions, their inputs are not always effectively integrated due to practical obstacles or perceived limitations in their knowledge. To address these concerns, researchers have developed iterative feedback loops in which public contributors provide ongoing feedback at various stages of the project. Beier et al. (2019) highlighted that building equitable partnerships involves not only a clear description of roles, but also sufficient support and training for both contributors and researchers. Despite these challenges, PPI in applied psychology has delivered tremendous advantages. Both dementia and mental health research have demonstrated that combining lived experience can lead to solutions that address real-world issues.</w:t>
      </w:r>
      <w:r>
        <w:rPr>
          <w:rFonts w:ascii="Arial" w:hAnsi="Arial" w:cs="Arial"/>
        </w:rPr>
        <w:t xml:space="preserve"> </w:t>
      </w:r>
      <w:r w:rsidR="00CC390D" w:rsidRPr="00CC390D">
        <w:rPr>
          <w:rFonts w:ascii="Arial" w:hAnsi="Arial" w:cs="Arial"/>
        </w:rPr>
        <w:t>Co-designed dementia interventions, for example, have resulted in improvements in everyday care, including the implementation of memory-friendly devices and carer support programs (Muller et al., 2019). Similarly, public contributions have expanded mental health research by highlighting the need for stigma-reduction efforts and culturally relevant care models (Wyatt et al., 2008).</w:t>
      </w:r>
    </w:p>
    <w:p w14:paraId="1E050432" w14:textId="77777777" w:rsidR="00150427" w:rsidRDefault="00CC390D" w:rsidP="00150427">
      <w:pPr>
        <w:spacing w:line="360" w:lineRule="auto"/>
        <w:ind w:firstLine="720"/>
        <w:rPr>
          <w:rFonts w:ascii="Arial" w:hAnsi="Arial" w:cs="Arial"/>
        </w:rPr>
      </w:pPr>
      <w:r w:rsidRPr="00CC390D">
        <w:rPr>
          <w:rFonts w:ascii="Arial" w:hAnsi="Arial" w:cs="Arial"/>
        </w:rPr>
        <w:t>Both professions emphasise the transforming power of PPI in applied psychology. To maximise its impact, researchers must overcome long-standing impediments such as tokenism and under-representation of marginalised groups. The GRIPP2 checklist (Staniszewska et al., 2017) provides a framework for ensuring that PPI initiatives are meaningful and effective. By applying such techniques and focussing on equity and inclusivity, researchers can build on PPI's successes and broaden its applicability in applied psychology.</w:t>
      </w:r>
      <w:r w:rsidR="00F10F69">
        <w:rPr>
          <w:rFonts w:ascii="Arial" w:hAnsi="Arial" w:cs="Arial"/>
        </w:rPr>
        <w:t xml:space="preserve"> </w:t>
      </w:r>
      <w:r w:rsidR="00750ADE" w:rsidRPr="00750ADE">
        <w:rPr>
          <w:rFonts w:ascii="Arial" w:hAnsi="Arial" w:cs="Arial"/>
        </w:rPr>
        <w:t xml:space="preserve">To successfully implement Public and Patient Involvement (PPI) in applied psychology, researchers need to develop certain skills, maintain strong methodologies, and customise their approaches to fit the needs of the specific populations they are working with. By examining insights from literature and current frameworks, researchers can gain a clearer </w:t>
      </w:r>
      <w:r w:rsidR="00750ADE" w:rsidRPr="00750ADE">
        <w:rPr>
          <w:rFonts w:ascii="Arial" w:hAnsi="Arial" w:cs="Arial"/>
        </w:rPr>
        <w:lastRenderedPageBreak/>
        <w:t>understanding of how to incorporate PPI into their work, leading to research that is both ethically responsible and impactful.</w:t>
      </w:r>
    </w:p>
    <w:p w14:paraId="47ED4A5A" w14:textId="4120AFCC" w:rsidR="00F10F69" w:rsidRDefault="00750ADE" w:rsidP="00150427">
      <w:pPr>
        <w:spacing w:line="360" w:lineRule="auto"/>
        <w:ind w:firstLine="720"/>
        <w:rPr>
          <w:rFonts w:ascii="Arial" w:hAnsi="Arial" w:cs="Arial"/>
        </w:rPr>
      </w:pPr>
      <w:r w:rsidRPr="00750ADE">
        <w:rPr>
          <w:rFonts w:ascii="Arial" w:hAnsi="Arial" w:cs="Arial"/>
        </w:rPr>
        <w:t>A key takeaway is that researchers need to have the right skills to foster effective collaboration with public contributors. Being able to communicate effectively is crucial for breaking down complicated information and making sure that public contributors can fully participate in research activities. For example, Staniszewska and colleagues (2017) suggested using straightforward language summaries, visual tools, and easy-to-understand materials to share information. Open communication builds trust and makes contributors feel appreciated as partners in the process.</w:t>
      </w:r>
      <w:r w:rsidR="00F10F69">
        <w:rPr>
          <w:rFonts w:ascii="Arial" w:hAnsi="Arial" w:cs="Arial"/>
        </w:rPr>
        <w:t xml:space="preserve"> </w:t>
      </w:r>
      <w:r w:rsidRPr="00750ADE">
        <w:rPr>
          <w:rFonts w:ascii="Arial" w:hAnsi="Arial" w:cs="Arial"/>
        </w:rPr>
        <w:t>Alongside communication, having strong facilitation skills is essential for fostering inclusive spaces where everyone feels at ease to express their viewpoints. Hewlett and colleagues (2006) highlighted that successful facilitation requires attention to power dynamics and the management of group discussions to make sure everyone has a chance to speak. In studies with dementia patients, facilitators frequently employed methods such as guided discussions and visual prompts to foster participation.</w:t>
      </w:r>
    </w:p>
    <w:p w14:paraId="14F16DB4" w14:textId="77777777" w:rsidR="00F10F69" w:rsidRDefault="00750ADE" w:rsidP="00F10F69">
      <w:pPr>
        <w:spacing w:line="360" w:lineRule="auto"/>
        <w:ind w:firstLine="720"/>
        <w:rPr>
          <w:rFonts w:ascii="Arial" w:hAnsi="Arial" w:cs="Arial"/>
        </w:rPr>
      </w:pPr>
      <w:r w:rsidRPr="00750ADE">
        <w:rPr>
          <w:rFonts w:ascii="Arial" w:hAnsi="Arial" w:cs="Arial"/>
        </w:rPr>
        <w:t>Another important skill is reflexivity, where researchers take a close look at their own biases and assumptions. Reflexivity helps researchers recognise how their own perspectives and biases can affect their engagement with participants and the entire research journey (Hoddinott et al., 2018). This is especially crucial in applied psychology, where the power differences between researchers and vulnerable groups can unintentionally compromise the principles of PPI.</w:t>
      </w:r>
      <w:r w:rsidR="00F10F69">
        <w:rPr>
          <w:rFonts w:ascii="Arial" w:hAnsi="Arial" w:cs="Arial"/>
        </w:rPr>
        <w:t xml:space="preserve"> </w:t>
      </w:r>
      <w:r w:rsidRPr="00750ADE">
        <w:rPr>
          <w:rFonts w:ascii="Arial" w:hAnsi="Arial" w:cs="Arial"/>
        </w:rPr>
        <w:t>Another important aspect of effective PPI is planning and carrying out research that is methodologically sound. Getting public contributors involved early on is essential for developing research questions and designing studies together. Smits et al. (2020) created the Involvement Matrix, a helpful tool for researchers to customise roles for public contributors according to their skills and interests. Getting involved early helps make sure that the research truly captures the priorities and real-life experiences of those involved, resulting in outcomes that are more meaningful and effective.</w:t>
      </w:r>
    </w:p>
    <w:p w14:paraId="68806D00" w14:textId="77777777" w:rsidR="00F10F69" w:rsidRDefault="00750ADE" w:rsidP="00F10F69">
      <w:pPr>
        <w:spacing w:line="360" w:lineRule="auto"/>
        <w:ind w:firstLine="720"/>
        <w:rPr>
          <w:rFonts w:ascii="Arial" w:hAnsi="Arial" w:cs="Arial"/>
        </w:rPr>
      </w:pPr>
      <w:r w:rsidRPr="00750ADE">
        <w:rPr>
          <w:rFonts w:ascii="Arial" w:hAnsi="Arial" w:cs="Arial"/>
        </w:rPr>
        <w:t xml:space="preserve">Ethical considerations are also crucial when it comes to integrating PPI into research. For at-risk groups, like those living with dementia, securing process consent is crucial. Process consent differs from the usual one-time consent by </w:t>
      </w:r>
      <w:r w:rsidRPr="00750ADE">
        <w:rPr>
          <w:rFonts w:ascii="Arial" w:hAnsi="Arial" w:cs="Arial"/>
        </w:rPr>
        <w:lastRenderedPageBreak/>
        <w:t>requiring the agreement to be revisited at various points during the research. This approach ensures that ongoing participation remains informed and voluntary (McCarthy et al., 2019). This method honours the growing abilities of contributors and guarantees that their participation is ethical and uplifting.</w:t>
      </w:r>
      <w:r w:rsidR="00F10F69">
        <w:rPr>
          <w:rFonts w:ascii="Arial" w:hAnsi="Arial" w:cs="Arial"/>
        </w:rPr>
        <w:t xml:space="preserve"> </w:t>
      </w:r>
      <w:r w:rsidRPr="00750ADE">
        <w:rPr>
          <w:rFonts w:ascii="Arial" w:hAnsi="Arial" w:cs="Arial"/>
        </w:rPr>
        <w:t>Clear governance structures are an essential part of strong PPI. These frameworks help define the roles and responsibilities of public contributors, making sure they are included in decision-making processes. Staniszewska and colleagues (2011) highlighted that fair governance depends on transparent communication regarding the impact of contributors on the research process. Advisory boards that have public contributors as equal members can enhance accountability and foster a sense of shared ownership over research outcomes.</w:t>
      </w:r>
      <w:r w:rsidR="00F10F69">
        <w:rPr>
          <w:rFonts w:ascii="Arial" w:hAnsi="Arial" w:cs="Arial"/>
        </w:rPr>
        <w:t xml:space="preserve"> </w:t>
      </w:r>
      <w:r w:rsidRPr="00750ADE">
        <w:rPr>
          <w:rFonts w:ascii="Arial" w:hAnsi="Arial" w:cs="Arial"/>
        </w:rPr>
        <w:t>Ultimately, involving specific groups in applied psychology calls for customised strategies to meet their distinct needs. Researchers working with dementia patients need to focus on making things accessible and adaptable. Muller and colleagues (2019) suggested using simple language materials, planning shorter sessions, and adding visual aids to encourage participation. In a similar vein, research focussing on carers emphasised the need to balance their contributions with the independence of dementia patients, making sure that both viewpoints are appreciated (Abma, 2005).</w:t>
      </w:r>
    </w:p>
    <w:p w14:paraId="0F899474" w14:textId="53406570" w:rsidR="00750ADE" w:rsidRDefault="00750ADE" w:rsidP="00F10F69">
      <w:pPr>
        <w:spacing w:line="360" w:lineRule="auto"/>
        <w:ind w:firstLine="720"/>
        <w:rPr>
          <w:rFonts w:ascii="Arial" w:hAnsi="Arial" w:cs="Arial"/>
        </w:rPr>
      </w:pPr>
      <w:r w:rsidRPr="00750ADE">
        <w:rPr>
          <w:rFonts w:ascii="Arial" w:hAnsi="Arial" w:cs="Arial"/>
        </w:rPr>
        <w:t xml:space="preserve">It's </w:t>
      </w:r>
      <w:r w:rsidRPr="00750ADE">
        <w:rPr>
          <w:rFonts w:ascii="Arial" w:hAnsi="Arial" w:cs="Arial"/>
        </w:rPr>
        <w:t>important</w:t>
      </w:r>
      <w:r w:rsidRPr="00750ADE">
        <w:rPr>
          <w:rFonts w:ascii="Arial" w:hAnsi="Arial" w:cs="Arial"/>
        </w:rPr>
        <w:t xml:space="preserve"> to use culturally aware methods when connecting with different communities. Arumugam et al. (2023) showed that when carers and people with dementia participated in designing interventions together, the resulting solutions were culturally tailored and more effective in meeting the unique needs of their communities.</w:t>
      </w:r>
      <w:r>
        <w:rPr>
          <w:rFonts w:ascii="Arial" w:hAnsi="Arial" w:cs="Arial"/>
        </w:rPr>
        <w:t xml:space="preserve"> </w:t>
      </w:r>
      <w:r w:rsidRPr="00750ADE">
        <w:rPr>
          <w:rFonts w:ascii="Arial" w:hAnsi="Arial" w:cs="Arial"/>
        </w:rPr>
        <w:t>Research shows that incorporating PPI into research practices offers significant advantages. Brett and colleagues (2012) pointed out how co-designed interventions for dementia tackled issues like social isolation and the strain on carers. In a similar vein, Smits et al. (2020) found that aligning roles with the expertise of contributors improved both the feasibility and impact of research projects.</w:t>
      </w:r>
      <w:r>
        <w:rPr>
          <w:rFonts w:ascii="Arial" w:hAnsi="Arial" w:cs="Arial"/>
        </w:rPr>
        <w:t xml:space="preserve"> </w:t>
      </w:r>
      <w:r w:rsidRPr="00750ADE">
        <w:rPr>
          <w:rFonts w:ascii="Arial" w:hAnsi="Arial" w:cs="Arial"/>
        </w:rPr>
        <w:t>By embracing these lessons, researchers can foster settings where public contributors feel appreciated and acknowledged. This enhances the quality of research while also building a stronger connection between academia and the communities it supports.</w:t>
      </w:r>
    </w:p>
    <w:p w14:paraId="2B896797" w14:textId="77777777" w:rsidR="00F10F69" w:rsidRDefault="00005D81" w:rsidP="00F10F69">
      <w:pPr>
        <w:spacing w:line="360" w:lineRule="auto"/>
        <w:ind w:firstLine="720"/>
        <w:rPr>
          <w:rFonts w:ascii="Arial" w:hAnsi="Arial" w:cs="Arial"/>
        </w:rPr>
      </w:pPr>
      <w:r w:rsidRPr="00005D81">
        <w:rPr>
          <w:rFonts w:ascii="Arial" w:hAnsi="Arial" w:cs="Arial"/>
        </w:rPr>
        <w:t xml:space="preserve">Involving the public and patients in research makes sure that the perspectives of the intended groups are central to the entire research journey. Instead of viewing </w:t>
      </w:r>
      <w:r w:rsidRPr="00005D81">
        <w:rPr>
          <w:rFonts w:ascii="Arial" w:hAnsi="Arial" w:cs="Arial"/>
        </w:rPr>
        <w:lastRenderedPageBreak/>
        <w:t>participants as mere subjects in a study, PPI engages individuals as active collaborators, weaving their insights into each phase of the research process. Research that centres on individuals with real-life experiences, like those living with dementia and mental health service users, offers important insights that influence research priorities, design, and results. At the same time, groups such as the Alzheimer’s Society and the James Lind Alliance play essential roles by providing platforms and frameworks that encourage meaningful engagement.</w:t>
      </w:r>
      <w:r w:rsidR="00F10F69">
        <w:rPr>
          <w:rFonts w:ascii="Arial" w:hAnsi="Arial" w:cs="Arial"/>
        </w:rPr>
        <w:t xml:space="preserve"> </w:t>
      </w:r>
      <w:r w:rsidRPr="00005D81">
        <w:rPr>
          <w:rFonts w:ascii="Arial" w:hAnsi="Arial" w:cs="Arial"/>
        </w:rPr>
        <w:t>Patients with dementia often highlight how crucial it is to have interventions that improve their daily activities and foster social interactions. A study published in Health Expectations (2023) found that people with dementia appreciated activities aimed at preserving their independence and minimising social isolation. The results played a crucial role in shaping community-based programs that included memory-friendly activities like reminiscence therapy and social clubs. These interventions show that including people with real-life experience can lead to solutions that are more relevant and effective in tackling the challenges this population faces.</w:t>
      </w:r>
    </w:p>
    <w:p w14:paraId="0D37FAB5" w14:textId="64B37710" w:rsidR="00005D81" w:rsidRPr="00005D81" w:rsidRDefault="00005D81" w:rsidP="00F10F69">
      <w:pPr>
        <w:spacing w:line="360" w:lineRule="auto"/>
        <w:ind w:firstLine="720"/>
        <w:rPr>
          <w:rFonts w:ascii="Arial" w:hAnsi="Arial" w:cs="Arial"/>
        </w:rPr>
      </w:pPr>
      <w:r w:rsidRPr="00005D81">
        <w:rPr>
          <w:rFonts w:ascii="Arial" w:hAnsi="Arial" w:cs="Arial"/>
        </w:rPr>
        <w:t>In a similar vein, those who have experienced mental health conditions emphasise that reducing stigma and enhancing access to care are their main concerns. Wyatt et al. (2008) highlighted the significant barriers to treatment that mental health service users face, such as stigma in healthcare systems, limited accessibility, and a lack of cultural sensitivity in the services offered. The insights prompted important modifications in how referral processes were designed and shaped the training programs for healthcare providers. The redesign focused on using language that avoids stigma and took cultural aspects into account, making mental health services more inclusive and easier to navigate for everyone.</w:t>
      </w:r>
      <w:r w:rsidR="00F10F69">
        <w:rPr>
          <w:rFonts w:ascii="Arial" w:hAnsi="Arial" w:cs="Arial"/>
        </w:rPr>
        <w:t xml:space="preserve"> </w:t>
      </w:r>
      <w:r w:rsidRPr="00005D81">
        <w:rPr>
          <w:rFonts w:ascii="Arial" w:hAnsi="Arial" w:cs="Arial"/>
        </w:rPr>
        <w:t xml:space="preserve">Organisations such as the Alzheimer’s Society elevate the perspectives of those with lived experiences by creating collaborations between researchers and community members. With efforts like the Dementia Voice Network, people living with dementia are taking an active role in shaping research priorities and pushing for improved care practices. These initiatives show how vital it is to provide public contributors with the right tools and platforms for meaningful collaboration. For instance, people involved in the Dementia Voice Network played a key role in creating a digital platform aimed at monitoring symptoms and finding care resources. The co-design process made sure that the platform met </w:t>
      </w:r>
      <w:r w:rsidR="00F10F69" w:rsidRPr="00005D81">
        <w:rPr>
          <w:rFonts w:ascii="Arial" w:hAnsi="Arial" w:cs="Arial"/>
        </w:rPr>
        <w:t>needs</w:t>
      </w:r>
      <w:r w:rsidRPr="00005D81">
        <w:rPr>
          <w:rFonts w:ascii="Arial" w:hAnsi="Arial" w:cs="Arial"/>
        </w:rPr>
        <w:t xml:space="preserve">, including easy navigation and privacy issues </w:t>
      </w:r>
      <w:r w:rsidR="00150427" w:rsidRPr="00150427">
        <w:rPr>
          <w:rFonts w:ascii="Arial" w:hAnsi="Arial" w:cs="Arial"/>
        </w:rPr>
        <w:lastRenderedPageBreak/>
        <w:t>(Arumugam et al., 2023; Brett et al., 2012; Staniszewska et al., 2017; Smits et al., 2020).</w:t>
      </w:r>
    </w:p>
    <w:p w14:paraId="6AE5DE0C" w14:textId="4EEE30A9" w:rsidR="00F10F69" w:rsidRDefault="00005D81" w:rsidP="00F10F69">
      <w:pPr>
        <w:spacing w:line="360" w:lineRule="auto"/>
        <w:ind w:firstLine="720"/>
        <w:rPr>
          <w:rFonts w:ascii="Arial" w:hAnsi="Arial" w:cs="Arial"/>
        </w:rPr>
      </w:pPr>
      <w:r w:rsidRPr="00005D81">
        <w:rPr>
          <w:rFonts w:ascii="Arial" w:hAnsi="Arial" w:cs="Arial"/>
        </w:rPr>
        <w:t>The James Lind Alliance (JLA) is another key player in the realm of PPI advocacy. The Priority Setting Partnerships (PSPs) unite patients, carers, and clinicians to work together in identifying key research priorities. This approach makes sure that research aligns with the needs of the communities involved, rather than being focused only on academic or clinical priorities</w:t>
      </w:r>
      <w:r w:rsidR="00150427" w:rsidRPr="00150427">
        <w:t xml:space="preserve"> </w:t>
      </w:r>
      <w:r w:rsidR="00150427">
        <w:t>(</w:t>
      </w:r>
      <w:r w:rsidR="00150427" w:rsidRPr="00150427">
        <w:rPr>
          <w:rFonts w:ascii="Arial" w:hAnsi="Arial" w:cs="Arial"/>
        </w:rPr>
        <w:t>Wyatt et al., 2008; Goodwin et al., 2023)</w:t>
      </w:r>
      <w:r w:rsidR="00150427">
        <w:rPr>
          <w:rFonts w:ascii="Arial" w:hAnsi="Arial" w:cs="Arial"/>
        </w:rPr>
        <w:t xml:space="preserve">. </w:t>
      </w:r>
      <w:r w:rsidRPr="00005D81">
        <w:rPr>
          <w:rFonts w:ascii="Arial" w:hAnsi="Arial" w:cs="Arial"/>
        </w:rPr>
        <w:t xml:space="preserve"> A JLA-led PSP focused on mental health highlighted the importance of researching non-pharmacological interventions for anxiety and depression as a key priority. This resulted in further enquiries into mindfulness, cognitive-</w:t>
      </w:r>
      <w:r w:rsidR="00F10F69" w:rsidRPr="00005D81">
        <w:rPr>
          <w:rFonts w:ascii="Arial" w:hAnsi="Arial" w:cs="Arial"/>
        </w:rPr>
        <w:t>behavioural</w:t>
      </w:r>
      <w:r w:rsidRPr="00005D81">
        <w:rPr>
          <w:rFonts w:ascii="Arial" w:hAnsi="Arial" w:cs="Arial"/>
        </w:rPr>
        <w:t xml:space="preserve"> therapies, and various person-centred methods. The JLA’s approach focusses on being open and welcoming, providing chances for those who are often overlooked to get involved through workshops and surveys aimed at making participation easier.</w:t>
      </w:r>
      <w:r w:rsidR="00F10F69">
        <w:rPr>
          <w:rFonts w:ascii="Arial" w:hAnsi="Arial" w:cs="Arial"/>
        </w:rPr>
        <w:t xml:space="preserve"> </w:t>
      </w:r>
      <w:r w:rsidRPr="00005D81">
        <w:rPr>
          <w:rFonts w:ascii="Arial" w:hAnsi="Arial" w:cs="Arial"/>
        </w:rPr>
        <w:t>The input from both target groups and organisations that support PPI highlights the powerful impact of including people with real-life experiences in applied psychology research. When researchers focus on amplifying their voices, they can make sure that their studies tackle genuine challenges and lead to significant advancements in health and social care.</w:t>
      </w:r>
    </w:p>
    <w:p w14:paraId="604599C4" w14:textId="77777777" w:rsidR="00150427" w:rsidRDefault="00005D81" w:rsidP="00150427">
      <w:pPr>
        <w:spacing w:line="360" w:lineRule="auto"/>
        <w:ind w:firstLine="720"/>
        <w:rPr>
          <w:rFonts w:ascii="Arial" w:hAnsi="Arial" w:cs="Arial"/>
        </w:rPr>
      </w:pPr>
      <w:r w:rsidRPr="00005D81">
        <w:rPr>
          <w:rFonts w:ascii="Arial" w:hAnsi="Arial" w:cs="Arial"/>
        </w:rPr>
        <w:t>Patients with dementia offer a powerful illustration of how patient and public involvement enhances research. Their personal experiences reveal the various effects of the condition, ranging from cognitive decline to feelings of social isolation. Research indicates that interventions developed alongside dementia patients frequently focus on maintaining their independence and emotional health. Muller et al. (2019) discovered that individuals with dementia expressed a need for programs aimed at improving daily life, including activities like memory-enhancement exercises and emotional support groups. The focus on these priorities led to the creation of community resources that highlighted accessibility and inclusivity.</w:t>
      </w:r>
      <w:r w:rsidR="00F10F69">
        <w:rPr>
          <w:rFonts w:ascii="Arial" w:hAnsi="Arial" w:cs="Arial"/>
        </w:rPr>
        <w:t xml:space="preserve">                             </w:t>
      </w:r>
      <w:r w:rsidRPr="00005D81">
        <w:rPr>
          <w:rFonts w:ascii="Arial" w:hAnsi="Arial" w:cs="Arial"/>
        </w:rPr>
        <w:t xml:space="preserve">Involving individuals with dementia brings its own set of unique challenges. People with cognitive impairments might find it challenging to take part in standard research processes, which calls for creative approaches to communication and involvement. Researchers have tackled this issue by using tools such as simplified consent forms, visual aids, and shorter, more focused sessions (McCarthy et al., 2019). These </w:t>
      </w:r>
      <w:r w:rsidRPr="00005D81">
        <w:rPr>
          <w:rFonts w:ascii="Arial" w:hAnsi="Arial" w:cs="Arial"/>
        </w:rPr>
        <w:lastRenderedPageBreak/>
        <w:t>changes help keep contributors engaged and involved, while also reducing the chances of them feeling tired or frustrated.</w:t>
      </w:r>
    </w:p>
    <w:p w14:paraId="03630E46" w14:textId="45D38FEF" w:rsidR="00F10F69" w:rsidRDefault="00005D81" w:rsidP="00150427">
      <w:pPr>
        <w:spacing w:line="360" w:lineRule="auto"/>
        <w:ind w:firstLine="720"/>
        <w:rPr>
          <w:rFonts w:ascii="Arial" w:hAnsi="Arial" w:cs="Arial"/>
        </w:rPr>
      </w:pPr>
      <w:r w:rsidRPr="00005D81">
        <w:rPr>
          <w:rFonts w:ascii="Arial" w:hAnsi="Arial" w:cs="Arial"/>
        </w:rPr>
        <w:t>People who use mental health services offer an important viewpoint. Their participation in research often uncovers gaps in service provision that might otherwise go unnoticed. For example, input from community members has pointed out that stigma in healthcare settings prevents people from pursuing the care they need. This understanding resulted in the creation of training programs for healthcare providers designed to promote empathy and minimise stigmatising behaviours (Wyatt et al., 2008). Additionally, individuals using mental health services have continually pushed for care models that consider both physical and mental health requirements, resulting in the creation of clinics that provide comprehensive support (Brett et al., 2012).</w:t>
      </w:r>
      <w:r w:rsidR="00F10F69">
        <w:rPr>
          <w:rFonts w:ascii="Arial" w:hAnsi="Arial" w:cs="Arial"/>
        </w:rPr>
        <w:t xml:space="preserve"> </w:t>
      </w:r>
      <w:r w:rsidRPr="00005D81">
        <w:rPr>
          <w:rFonts w:ascii="Arial" w:hAnsi="Arial" w:cs="Arial"/>
        </w:rPr>
        <w:t>PPI makes sure that research is culturally aware and inclusive. Research involving various ethnic groups has demonstrated that standard mental health interventions frequently overlook cultural differences in how mental health conditions are understood and expressed. Individuals from minority communities have been essential in tailoring these interventions to fit cultural values and practices. Smits and colleagues (2020) highlighted that this method not only enhances the effectiveness of interventions but also builds trust between researchers and under-represented communities.</w:t>
      </w:r>
      <w:r w:rsidR="00F10F69">
        <w:rPr>
          <w:rFonts w:ascii="Arial" w:hAnsi="Arial" w:cs="Arial"/>
        </w:rPr>
        <w:t xml:space="preserve">                                                                </w:t>
      </w:r>
      <w:r w:rsidRPr="00005D81">
        <w:rPr>
          <w:rFonts w:ascii="Arial" w:hAnsi="Arial" w:cs="Arial"/>
        </w:rPr>
        <w:t>Groups like the Alzheimer’s Society and the James Lind Alliance are crucial in promoting PPI by offering the necessary infrastructure and support for genuine involvement. The Alzheimer’s Society, for instance, works at the crossroads of research, advocacy, and community support. Through initiatives such as the Dementia Voice Network, it enables individuals with dementia to engage in research and advocacy, making sure their voices are acknowledged at every step of the decision-making process.</w:t>
      </w:r>
    </w:p>
    <w:p w14:paraId="092D5061" w14:textId="1ED59933" w:rsidR="00005D81" w:rsidRPr="00005D81" w:rsidRDefault="00005D81" w:rsidP="00F10F69">
      <w:pPr>
        <w:spacing w:line="360" w:lineRule="auto"/>
        <w:ind w:firstLine="720"/>
        <w:rPr>
          <w:rFonts w:ascii="Arial" w:hAnsi="Arial" w:cs="Arial"/>
        </w:rPr>
      </w:pPr>
      <w:r w:rsidRPr="00005D81">
        <w:rPr>
          <w:rFonts w:ascii="Arial" w:hAnsi="Arial" w:cs="Arial"/>
        </w:rPr>
        <w:t xml:space="preserve">The Alzheimer’s Society has made significant strides in supporting interventions that are co-designed to meet the specific needs of people living with dementia and their </w:t>
      </w:r>
      <w:r w:rsidR="006C12D8" w:rsidRPr="00005D81">
        <w:rPr>
          <w:rFonts w:ascii="Arial" w:hAnsi="Arial" w:cs="Arial"/>
        </w:rPr>
        <w:t>careers</w:t>
      </w:r>
      <w:r w:rsidRPr="00005D81">
        <w:rPr>
          <w:rFonts w:ascii="Arial" w:hAnsi="Arial" w:cs="Arial"/>
        </w:rPr>
        <w:t>. The organisation helped bring together public contributors and researchers to create a mobile app designed for tracking symptoms and coordinating care. This project shows how PPI can create practical, user-focused solutions that enhance the quality of life for people with dementia and their families (Arumugam et al., 2023).</w:t>
      </w:r>
    </w:p>
    <w:p w14:paraId="2A7145F9" w14:textId="77777777" w:rsidR="00005D81" w:rsidRPr="00005D81" w:rsidRDefault="00005D81" w:rsidP="00005D81">
      <w:pPr>
        <w:spacing w:line="360" w:lineRule="auto"/>
        <w:ind w:firstLine="720"/>
        <w:rPr>
          <w:rFonts w:ascii="Arial" w:hAnsi="Arial" w:cs="Arial"/>
        </w:rPr>
      </w:pPr>
    </w:p>
    <w:p w14:paraId="1119F840" w14:textId="77777777" w:rsidR="00005D81" w:rsidRDefault="00005D81" w:rsidP="00005D81">
      <w:pPr>
        <w:spacing w:line="360" w:lineRule="auto"/>
        <w:ind w:firstLine="720"/>
        <w:rPr>
          <w:rFonts w:ascii="Arial" w:hAnsi="Arial" w:cs="Arial"/>
        </w:rPr>
      </w:pPr>
      <w:r w:rsidRPr="00005D81">
        <w:rPr>
          <w:rFonts w:ascii="Arial" w:hAnsi="Arial" w:cs="Arial"/>
        </w:rPr>
        <w:t>In a similar vein, the James Lind Alliance (JLA) has changed how research priorities are established with its Priority Setting Partnerships. These collaborations make the research process more accessible by giving patients, carers, and clinicians an equal say in deciding which topics should be prioritised. The JLA’s approach has made a significant mark in applied psychology, emphasising the importance of further research into person-centred and non-drug interventions. By bringing together a variety of stakeholders, the JLA creates a feeling of collective ownership and responsibility, making sure that research results meet the needs of the communities they intend to support (Brett et al., 2012).</w:t>
      </w:r>
    </w:p>
    <w:p w14:paraId="6908BB59" w14:textId="77777777" w:rsidR="00F10F69" w:rsidRDefault="00005D81" w:rsidP="00F10F69">
      <w:pPr>
        <w:spacing w:line="360" w:lineRule="auto"/>
        <w:ind w:firstLine="720"/>
        <w:rPr>
          <w:rFonts w:ascii="Arial" w:hAnsi="Arial" w:cs="Arial"/>
        </w:rPr>
      </w:pPr>
      <w:r w:rsidRPr="00005D81">
        <w:rPr>
          <w:rFonts w:ascii="Arial" w:hAnsi="Arial" w:cs="Arial"/>
        </w:rPr>
        <w:t>Although the advantages of PPI are clearly established, issues like tokenism, power imbalances, and under-representation continue to be a concern. Sometimes, public contributors might feel like their participation is just on the surface, having minimal impact on important decisions (Staniszewska et al., 2017). To tackle this issue, we need clear governance structures that outline the roles of contributors and make sure their input is included in the research process.</w:t>
      </w:r>
      <w:r>
        <w:rPr>
          <w:rFonts w:ascii="Arial" w:hAnsi="Arial" w:cs="Arial"/>
        </w:rPr>
        <w:t xml:space="preserve"> </w:t>
      </w:r>
      <w:r w:rsidRPr="00005D81">
        <w:rPr>
          <w:rFonts w:ascii="Arial" w:hAnsi="Arial" w:cs="Arial"/>
        </w:rPr>
        <w:t>A key challenge is making sure that PPI efforts include everyone. In the past, people from marginalised communities have often been left out of PPI initiatives, which has restricted the variety of viewpoints represented in research. Groups such as the Alzheimer’s Society and the JLA have made important progress in tackling this issue by crafting engagement strategies that are culturally aware and providing opportunities for participation that meet a variety of needs (Smits et al., 2020).</w:t>
      </w:r>
      <w:r>
        <w:rPr>
          <w:rFonts w:ascii="Arial" w:hAnsi="Arial" w:cs="Arial"/>
        </w:rPr>
        <w:t xml:space="preserve"> </w:t>
      </w:r>
      <w:r w:rsidRPr="00005D81">
        <w:rPr>
          <w:rFonts w:ascii="Arial" w:hAnsi="Arial" w:cs="Arial"/>
        </w:rPr>
        <w:t>Even with these obstacles, the increasing focus on PPI offers a meaningful chance to promote fairness and inclusiveness in applied psychology research. By using frameworks such as the GRIPP2 checklist and following ethical guidelines, researchers can foster environments where public contributors feel appreciated and respected.</w:t>
      </w:r>
      <w:r w:rsidR="00F10F69">
        <w:rPr>
          <w:rFonts w:ascii="Arial" w:hAnsi="Arial" w:cs="Arial"/>
        </w:rPr>
        <w:t xml:space="preserve"> </w:t>
      </w:r>
    </w:p>
    <w:p w14:paraId="13D4DD71" w14:textId="77777777" w:rsidR="00F10F69" w:rsidRDefault="006C12D8" w:rsidP="00F10F69">
      <w:pPr>
        <w:spacing w:line="360" w:lineRule="auto"/>
        <w:ind w:firstLine="720"/>
        <w:rPr>
          <w:rFonts w:ascii="Arial" w:hAnsi="Arial" w:cs="Arial"/>
        </w:rPr>
      </w:pPr>
      <w:r w:rsidRPr="006C12D8">
        <w:rPr>
          <w:rFonts w:ascii="Arial" w:hAnsi="Arial" w:cs="Arial"/>
        </w:rPr>
        <w:t xml:space="preserve">PPI (Public and Patient Involvement) in applied psychology represents a paradigm shift in how research is conceptualised, conducted, and distributed. By actively including individuals with lived experiences in the research process, PPI guarantees that studies address practical, real-world issues and represent the needs of the communities they seek to serve. This method challenges established paradigms that regard participants as passive subjects, replacing them with </w:t>
      </w:r>
      <w:r w:rsidRPr="006C12D8">
        <w:rPr>
          <w:rFonts w:ascii="Arial" w:hAnsi="Arial" w:cs="Arial"/>
        </w:rPr>
        <w:lastRenderedPageBreak/>
        <w:t>collaborative frameworks that prioritise inclusivity, relevance, and shared ownership of research outputs.</w:t>
      </w:r>
      <w:r>
        <w:rPr>
          <w:rFonts w:ascii="Arial" w:hAnsi="Arial" w:cs="Arial"/>
        </w:rPr>
        <w:t xml:space="preserve"> </w:t>
      </w:r>
      <w:r w:rsidRPr="006C12D8">
        <w:rPr>
          <w:rFonts w:ascii="Arial" w:hAnsi="Arial" w:cs="Arial"/>
        </w:rPr>
        <w:t>PPI integration has been useful in a variety of disciplines, including dementia and mental health studies. Dementia sufferers, for example, have stressed the significance of maintaining independence and social connections, prompting the creation of interventions such as recollection therapy and carer support programs. Similarly, mental health service users have identified constraints such as stigma and accessibility, which has influenced the redesign of healthcare systems to better address these issues. These examples highlight PPI's great potential to improve the quality and impact of applied psychology research.</w:t>
      </w:r>
      <w:r w:rsidRPr="006C12D8">
        <w:rPr>
          <w:rFonts w:ascii="Arial" w:hAnsi="Arial" w:cs="Arial"/>
        </w:rPr>
        <w:br/>
        <w:t>Despite the advantages, including PPI into research methods poses major hurdles.</w:t>
      </w:r>
    </w:p>
    <w:p w14:paraId="362C829F" w14:textId="776969A4" w:rsidR="006C12D8" w:rsidRDefault="006C12D8" w:rsidP="00F10F69">
      <w:pPr>
        <w:spacing w:line="360" w:lineRule="auto"/>
        <w:ind w:firstLine="720"/>
        <w:rPr>
          <w:rFonts w:ascii="Arial" w:hAnsi="Arial" w:cs="Arial"/>
        </w:rPr>
      </w:pPr>
      <w:r w:rsidRPr="006C12D8">
        <w:rPr>
          <w:rFonts w:ascii="Arial" w:hAnsi="Arial" w:cs="Arial"/>
        </w:rPr>
        <w:t>Power inequalities, tokenism, and under-representation of marginalised groups continue to impede the inclusiveness and equity of PPI procedures. Public contributors may believe their involvement is superficial or devalued, whilst systemic impediments hinder various people from fully participating. Addressing these issues would necessitate collaborative efforts to create transparent governance structures, adopt inclusive engagement tactics, and develop equitable connections between researchers and public stakeholders.</w:t>
      </w:r>
      <w:r>
        <w:rPr>
          <w:rFonts w:ascii="Arial" w:hAnsi="Arial" w:cs="Arial"/>
        </w:rPr>
        <w:t xml:space="preserve"> </w:t>
      </w:r>
      <w:r w:rsidRPr="006C12D8">
        <w:rPr>
          <w:rFonts w:ascii="Arial" w:hAnsi="Arial" w:cs="Arial"/>
        </w:rPr>
        <w:t>Frameworks such as the GRIPP2 checklist and ethical guidelines from organisations like the National Institute for Health and Care Research (NIHR) are critical instruments for overcoming these barriers. These materials assist academics in ensuring that PPI is not an afterthought but rather a fundamental component of their work. Ethical concepts such as respect, autonomy, and beneficence, when supplemented with practical measures such as specialised participation methods and continuing assistance, can foster an environment in which public contributors feel respected and empowered.</w:t>
      </w:r>
      <w:r w:rsidR="00F10F69">
        <w:rPr>
          <w:rFonts w:ascii="Arial" w:hAnsi="Arial" w:cs="Arial"/>
        </w:rPr>
        <w:t xml:space="preserve"> </w:t>
      </w:r>
      <w:r w:rsidRPr="006C12D8">
        <w:rPr>
          <w:rFonts w:ascii="Arial" w:hAnsi="Arial" w:cs="Arial"/>
        </w:rPr>
        <w:t>Finally, PPI provides a pathway for more ethical, inclusive, and meaningful applied psychology research. Researchers can strengthen links between academia and the communities it aspires to serve by addressing its issues and capitalising on its potential. Finally, meaningful PPI guarantees that research not only provides information but also effects beneficial, real change in society.</w:t>
      </w:r>
    </w:p>
    <w:p w14:paraId="166DE1EB" w14:textId="77777777" w:rsidR="002F5128" w:rsidRDefault="002F5128" w:rsidP="002F5128">
      <w:pPr>
        <w:spacing w:line="360" w:lineRule="auto"/>
        <w:rPr>
          <w:rFonts w:ascii="Arial" w:hAnsi="Arial" w:cs="Arial"/>
        </w:rPr>
      </w:pPr>
    </w:p>
    <w:p w14:paraId="3603FB5B" w14:textId="77777777" w:rsidR="002F5128" w:rsidRDefault="002F5128" w:rsidP="002F5128">
      <w:pPr>
        <w:spacing w:line="360" w:lineRule="auto"/>
        <w:rPr>
          <w:rFonts w:ascii="Arial" w:hAnsi="Arial" w:cs="Arial"/>
        </w:rPr>
      </w:pPr>
    </w:p>
    <w:p w14:paraId="7167014D" w14:textId="77777777" w:rsidR="002F5128" w:rsidRDefault="002F5128" w:rsidP="002F5128">
      <w:pPr>
        <w:spacing w:line="360" w:lineRule="auto"/>
        <w:rPr>
          <w:rFonts w:ascii="Arial" w:hAnsi="Arial" w:cs="Arial"/>
        </w:rPr>
      </w:pPr>
    </w:p>
    <w:p w14:paraId="6A36709D" w14:textId="44F7FCA1" w:rsidR="002F5128" w:rsidRPr="002F5128" w:rsidRDefault="002F5128" w:rsidP="002F5128">
      <w:pPr>
        <w:spacing w:line="360" w:lineRule="auto"/>
        <w:rPr>
          <w:rFonts w:ascii="Arial Black" w:hAnsi="Arial Black" w:cs="Arial"/>
        </w:rPr>
      </w:pPr>
      <w:r w:rsidRPr="002F5128">
        <w:rPr>
          <w:rFonts w:ascii="Arial Black" w:hAnsi="Arial Black" w:cs="Arial"/>
        </w:rPr>
        <w:lastRenderedPageBreak/>
        <w:t xml:space="preserve">References </w:t>
      </w:r>
    </w:p>
    <w:p w14:paraId="45615B92" w14:textId="77777777" w:rsidR="002F5128" w:rsidRDefault="002F5128" w:rsidP="002F5128">
      <w:pPr>
        <w:spacing w:line="360" w:lineRule="auto"/>
        <w:rPr>
          <w:rFonts w:ascii="Arial" w:hAnsi="Arial" w:cs="Arial"/>
        </w:rPr>
      </w:pPr>
    </w:p>
    <w:p w14:paraId="5803FE22" w14:textId="2F689056" w:rsidR="002F5128" w:rsidRDefault="002F5128" w:rsidP="002F5128">
      <w:pPr>
        <w:spacing w:line="360" w:lineRule="auto"/>
        <w:ind w:hanging="720"/>
        <w:rPr>
          <w:rFonts w:ascii="Arial" w:hAnsi="Arial" w:cs="Arial"/>
        </w:rPr>
      </w:pPr>
      <w:r w:rsidRPr="002F5128">
        <w:rPr>
          <w:rFonts w:ascii="Arial" w:hAnsi="Arial" w:cs="Arial"/>
        </w:rPr>
        <w:t xml:space="preserve">Abma, T. A. (2005). Patient participation in health research: Research with and for people with spinal cord injuries. </w:t>
      </w:r>
      <w:r w:rsidRPr="002F5128">
        <w:rPr>
          <w:rFonts w:ascii="Arial" w:hAnsi="Arial" w:cs="Arial"/>
          <w:i/>
          <w:iCs/>
        </w:rPr>
        <w:t>Qualitative Health Research, 15</w:t>
      </w:r>
      <w:r w:rsidRPr="002F5128">
        <w:rPr>
          <w:rFonts w:ascii="Arial" w:hAnsi="Arial" w:cs="Arial"/>
        </w:rPr>
        <w:t xml:space="preserve">(10), 1310–1328. </w:t>
      </w:r>
    </w:p>
    <w:p w14:paraId="20B897D4" w14:textId="6128F903" w:rsidR="002F5128" w:rsidRPr="002F5128" w:rsidRDefault="002F5128" w:rsidP="002F5128">
      <w:pPr>
        <w:spacing w:line="360" w:lineRule="auto"/>
        <w:ind w:hanging="720"/>
        <w:rPr>
          <w:rFonts w:ascii="Arial" w:hAnsi="Arial" w:cs="Arial"/>
        </w:rPr>
      </w:pPr>
      <w:r w:rsidRPr="002F5128">
        <w:rPr>
          <w:rFonts w:ascii="Arial" w:hAnsi="Arial" w:cs="Arial"/>
        </w:rPr>
        <w:t xml:space="preserve">Abma, T. A., </w:t>
      </w:r>
      <w:proofErr w:type="spellStart"/>
      <w:r w:rsidRPr="002F5128">
        <w:rPr>
          <w:rFonts w:ascii="Arial" w:hAnsi="Arial" w:cs="Arial"/>
        </w:rPr>
        <w:t>Nierse</w:t>
      </w:r>
      <w:proofErr w:type="spellEnd"/>
      <w:r w:rsidRPr="002F5128">
        <w:rPr>
          <w:rFonts w:ascii="Arial" w:hAnsi="Arial" w:cs="Arial"/>
        </w:rPr>
        <w:t xml:space="preserve">, C. J., &amp; </w:t>
      </w:r>
      <w:proofErr w:type="spellStart"/>
      <w:r w:rsidRPr="002F5128">
        <w:rPr>
          <w:rFonts w:ascii="Arial" w:hAnsi="Arial" w:cs="Arial"/>
        </w:rPr>
        <w:t>Widdershoven</w:t>
      </w:r>
      <w:proofErr w:type="spellEnd"/>
      <w:r w:rsidRPr="002F5128">
        <w:rPr>
          <w:rFonts w:ascii="Arial" w:hAnsi="Arial" w:cs="Arial"/>
        </w:rPr>
        <w:t xml:space="preserve">, G. A. M. (2009). Patients as partners in responsive research: Methodological notions for collaborations in mixed research teams. </w:t>
      </w:r>
      <w:r w:rsidRPr="002F5128">
        <w:rPr>
          <w:rFonts w:ascii="Arial" w:hAnsi="Arial" w:cs="Arial"/>
          <w:i/>
          <w:iCs/>
        </w:rPr>
        <w:t>Qualitative Health Research, 19</w:t>
      </w:r>
      <w:r w:rsidRPr="002F5128">
        <w:rPr>
          <w:rFonts w:ascii="Arial" w:hAnsi="Arial" w:cs="Arial"/>
        </w:rPr>
        <w:t>(3), 401–41</w:t>
      </w:r>
      <w:r>
        <w:rPr>
          <w:rFonts w:ascii="Arial" w:hAnsi="Arial" w:cs="Arial"/>
        </w:rPr>
        <w:t>5.</w:t>
      </w:r>
    </w:p>
    <w:p w14:paraId="589AA3DE" w14:textId="6795D644" w:rsidR="002F5128" w:rsidRDefault="002F5128" w:rsidP="002F5128">
      <w:pPr>
        <w:spacing w:line="360" w:lineRule="auto"/>
        <w:ind w:hanging="720"/>
        <w:rPr>
          <w:rFonts w:ascii="Arial" w:hAnsi="Arial" w:cs="Arial"/>
        </w:rPr>
      </w:pPr>
      <w:r w:rsidRPr="002F5128">
        <w:rPr>
          <w:rFonts w:ascii="Arial" w:hAnsi="Arial" w:cs="Arial"/>
        </w:rPr>
        <w:t xml:space="preserve">Alzheimer’s Society. (2017). </w:t>
      </w:r>
      <w:r w:rsidRPr="002F5128">
        <w:rPr>
          <w:rFonts w:ascii="Arial" w:hAnsi="Arial" w:cs="Arial"/>
          <w:i/>
          <w:iCs/>
        </w:rPr>
        <w:t>Facts for the media</w:t>
      </w:r>
      <w:r w:rsidRPr="002F5128">
        <w:rPr>
          <w:rFonts w:ascii="Arial" w:hAnsi="Arial" w:cs="Arial"/>
        </w:rPr>
        <w:t xml:space="preserve"> [electronic]. Leicester: Alzheimer’s Society Publications. Retrieved from </w:t>
      </w:r>
      <w:hyperlink r:id="rId8" w:history="1">
        <w:r w:rsidRPr="00EF14A8">
          <w:rPr>
            <w:rStyle w:val="Hyperlink"/>
            <w:rFonts w:ascii="Arial" w:hAnsi="Arial" w:cs="Arial"/>
          </w:rPr>
          <w:t>https://www.alzheimers.org.uk/info/20027/news_and_media/541/facts_for_the_media</w:t>
        </w:r>
      </w:hyperlink>
    </w:p>
    <w:p w14:paraId="365EB40C" w14:textId="269FCB08" w:rsidR="002F5128" w:rsidRPr="002F5128" w:rsidRDefault="002F5128" w:rsidP="002F5128">
      <w:pPr>
        <w:spacing w:line="360" w:lineRule="auto"/>
        <w:ind w:hanging="720"/>
        <w:rPr>
          <w:rFonts w:ascii="Arial" w:hAnsi="Arial" w:cs="Arial"/>
        </w:rPr>
      </w:pPr>
      <w:r w:rsidRPr="002F5128">
        <w:rPr>
          <w:rFonts w:ascii="Arial" w:hAnsi="Arial" w:cs="Arial"/>
        </w:rPr>
        <w:t xml:space="preserve">Arumugam, A., Phillips, L. R., Moore, A., et al. (2023). Patient and public involvement in research: A review of practical resources for young investigators. </w:t>
      </w:r>
      <w:r w:rsidRPr="002F5128">
        <w:rPr>
          <w:rFonts w:ascii="Arial" w:hAnsi="Arial" w:cs="Arial"/>
          <w:i/>
          <w:iCs/>
        </w:rPr>
        <w:t>BMC Rheumatology, 7</w:t>
      </w:r>
      <w:r w:rsidRPr="002F5128">
        <w:rPr>
          <w:rFonts w:ascii="Arial" w:hAnsi="Arial" w:cs="Arial"/>
        </w:rPr>
        <w:t xml:space="preserve">(2). </w:t>
      </w:r>
    </w:p>
    <w:p w14:paraId="04BFC764" w14:textId="0CBFF06A" w:rsidR="002F5128" w:rsidRPr="002F5128" w:rsidRDefault="002F5128" w:rsidP="002F5128">
      <w:pPr>
        <w:spacing w:line="360" w:lineRule="auto"/>
        <w:ind w:hanging="720"/>
        <w:rPr>
          <w:rFonts w:ascii="Arial" w:hAnsi="Arial" w:cs="Arial"/>
        </w:rPr>
      </w:pPr>
      <w:r w:rsidRPr="002F5128">
        <w:rPr>
          <w:rFonts w:ascii="Arial" w:hAnsi="Arial" w:cs="Arial"/>
        </w:rPr>
        <w:t xml:space="preserve">Baillie, L., Sills, E., &amp; Thomas, N. (2016). Educating a health service workforce about dementia: A qualitative study. </w:t>
      </w:r>
      <w:r w:rsidRPr="002F5128">
        <w:rPr>
          <w:rFonts w:ascii="Arial" w:hAnsi="Arial" w:cs="Arial"/>
          <w:i/>
          <w:iCs/>
        </w:rPr>
        <w:t>Quality in Ageing and Older Adults, 17</w:t>
      </w:r>
      <w:r w:rsidRPr="002F5128">
        <w:rPr>
          <w:rFonts w:ascii="Arial" w:hAnsi="Arial" w:cs="Arial"/>
        </w:rPr>
        <w:t xml:space="preserve">(2), 119–130. </w:t>
      </w:r>
    </w:p>
    <w:p w14:paraId="5970577F" w14:textId="2B3C59F6" w:rsidR="007717E1" w:rsidRDefault="002F5128" w:rsidP="007717E1">
      <w:pPr>
        <w:spacing w:line="360" w:lineRule="auto"/>
        <w:ind w:hanging="720"/>
        <w:rPr>
          <w:rFonts w:ascii="Arial" w:hAnsi="Arial" w:cs="Arial"/>
        </w:rPr>
      </w:pPr>
      <w:r w:rsidRPr="002F5128">
        <w:rPr>
          <w:rFonts w:ascii="Arial" w:hAnsi="Arial" w:cs="Arial"/>
        </w:rPr>
        <w:t xml:space="preserve">Beier, K., Schweda, M., &amp; </w:t>
      </w:r>
      <w:proofErr w:type="spellStart"/>
      <w:r w:rsidRPr="002F5128">
        <w:rPr>
          <w:rFonts w:ascii="Arial" w:hAnsi="Arial" w:cs="Arial"/>
        </w:rPr>
        <w:t>Schicktanz</w:t>
      </w:r>
      <w:proofErr w:type="spellEnd"/>
      <w:r w:rsidRPr="002F5128">
        <w:rPr>
          <w:rFonts w:ascii="Arial" w:hAnsi="Arial" w:cs="Arial"/>
        </w:rPr>
        <w:t xml:space="preserve">, S. (2019). Taking patient involvement seriously: A critical ethical analysis of participatory approaches in data-intensive medical research. </w:t>
      </w:r>
      <w:r w:rsidRPr="007717E1">
        <w:rPr>
          <w:rFonts w:ascii="Arial" w:hAnsi="Arial" w:cs="Arial"/>
          <w:i/>
          <w:iCs/>
        </w:rPr>
        <w:t>BMC Medical Informatics and Decision Making, 19</w:t>
      </w:r>
      <w:r w:rsidRPr="002F5128">
        <w:rPr>
          <w:rFonts w:ascii="Arial" w:hAnsi="Arial" w:cs="Arial"/>
        </w:rPr>
        <w:t xml:space="preserve">(1), 1–10. </w:t>
      </w:r>
      <w:hyperlink r:id="rId9" w:history="1">
        <w:r w:rsidR="007717E1" w:rsidRPr="00EF14A8">
          <w:rPr>
            <w:rStyle w:val="Hyperlink"/>
            <w:rFonts w:ascii="Arial" w:hAnsi="Arial" w:cs="Arial"/>
          </w:rPr>
          <w:t>https://doi.org/10.1186/s12911-019-0748-z</w:t>
        </w:r>
      </w:hyperlink>
    </w:p>
    <w:p w14:paraId="798193D2" w14:textId="4CB61E17" w:rsidR="007717E1" w:rsidRDefault="002F5128" w:rsidP="007717E1">
      <w:pPr>
        <w:spacing w:line="360" w:lineRule="auto"/>
        <w:ind w:hanging="720"/>
        <w:rPr>
          <w:rFonts w:ascii="Arial" w:hAnsi="Arial" w:cs="Arial"/>
        </w:rPr>
      </w:pPr>
      <w:r w:rsidRPr="002F5128">
        <w:rPr>
          <w:rFonts w:ascii="Arial" w:hAnsi="Arial" w:cs="Arial"/>
        </w:rPr>
        <w:t xml:space="preserve">Benbow, S. M., </w:t>
      </w:r>
      <w:proofErr w:type="spellStart"/>
      <w:r w:rsidRPr="002F5128">
        <w:rPr>
          <w:rFonts w:ascii="Arial" w:hAnsi="Arial" w:cs="Arial"/>
        </w:rPr>
        <w:t>Tsaroucha</w:t>
      </w:r>
      <w:proofErr w:type="spellEnd"/>
      <w:r w:rsidRPr="002F5128">
        <w:rPr>
          <w:rFonts w:ascii="Arial" w:hAnsi="Arial" w:cs="Arial"/>
        </w:rPr>
        <w:t xml:space="preserve">, A., Ashley, M., Morgan, K., &amp; Kingston, P. (2011). Patients’ and carers’ views on dementia workforce skills. </w:t>
      </w:r>
      <w:r w:rsidRPr="007717E1">
        <w:rPr>
          <w:rFonts w:ascii="Arial" w:hAnsi="Arial" w:cs="Arial"/>
          <w:i/>
          <w:iCs/>
        </w:rPr>
        <w:t>Journal of Mental Health Training, Education and Practice, 6</w:t>
      </w:r>
      <w:r w:rsidRPr="002F5128">
        <w:rPr>
          <w:rFonts w:ascii="Arial" w:hAnsi="Arial" w:cs="Arial"/>
        </w:rPr>
        <w:t xml:space="preserve">(4), 195–202. </w:t>
      </w:r>
      <w:hyperlink r:id="rId10" w:history="1">
        <w:r w:rsidR="007717E1" w:rsidRPr="00EF14A8">
          <w:rPr>
            <w:rStyle w:val="Hyperlink"/>
            <w:rFonts w:ascii="Arial" w:hAnsi="Arial" w:cs="Arial"/>
          </w:rPr>
          <w:t>https://doi.org/10.1108/17556221111194536</w:t>
        </w:r>
      </w:hyperlink>
    </w:p>
    <w:p w14:paraId="761BE7D1" w14:textId="55C1DB10" w:rsidR="007717E1" w:rsidRDefault="002F5128" w:rsidP="007717E1">
      <w:pPr>
        <w:spacing w:line="360" w:lineRule="auto"/>
        <w:ind w:hanging="720"/>
        <w:rPr>
          <w:rFonts w:ascii="Arial" w:hAnsi="Arial" w:cs="Arial"/>
        </w:rPr>
      </w:pPr>
      <w:proofErr w:type="spellStart"/>
      <w:r w:rsidRPr="002F5128">
        <w:rPr>
          <w:rFonts w:ascii="Arial" w:hAnsi="Arial" w:cs="Arial"/>
        </w:rPr>
        <w:t>Bramford</w:t>
      </w:r>
      <w:proofErr w:type="spellEnd"/>
      <w:r w:rsidRPr="002F5128">
        <w:rPr>
          <w:rFonts w:ascii="Arial" w:hAnsi="Arial" w:cs="Arial"/>
        </w:rPr>
        <w:t xml:space="preserve">, C., &amp; Bruce, E. (2000). Defining the outcomes of community care: The perspectives of older people with dementia and their </w:t>
      </w:r>
      <w:r w:rsidR="007717E1" w:rsidRPr="002F5128">
        <w:rPr>
          <w:rFonts w:ascii="Arial" w:hAnsi="Arial" w:cs="Arial"/>
        </w:rPr>
        <w:t>careers</w:t>
      </w:r>
      <w:r w:rsidRPr="002F5128">
        <w:rPr>
          <w:rFonts w:ascii="Arial" w:hAnsi="Arial" w:cs="Arial"/>
        </w:rPr>
        <w:t xml:space="preserve">. </w:t>
      </w:r>
      <w:r w:rsidRPr="007717E1">
        <w:rPr>
          <w:rFonts w:ascii="Arial" w:hAnsi="Arial" w:cs="Arial"/>
          <w:i/>
          <w:iCs/>
        </w:rPr>
        <w:t>Ageing and Society, 20,</w:t>
      </w:r>
      <w:r w:rsidRPr="002F5128">
        <w:rPr>
          <w:rFonts w:ascii="Arial" w:hAnsi="Arial" w:cs="Arial"/>
        </w:rPr>
        <w:t xml:space="preserve"> 543–570. </w:t>
      </w:r>
      <w:hyperlink r:id="rId11" w:history="1">
        <w:r w:rsidR="007717E1" w:rsidRPr="00EF14A8">
          <w:rPr>
            <w:rStyle w:val="Hyperlink"/>
            <w:rFonts w:ascii="Arial" w:hAnsi="Arial" w:cs="Arial"/>
          </w:rPr>
          <w:t>https://doi.org/10.1017/S0144686X99007898</w:t>
        </w:r>
      </w:hyperlink>
    </w:p>
    <w:p w14:paraId="1E0790E0" w14:textId="27549C7F" w:rsidR="007717E1" w:rsidRDefault="002F5128" w:rsidP="007717E1">
      <w:pPr>
        <w:spacing w:line="360" w:lineRule="auto"/>
        <w:ind w:hanging="720"/>
        <w:rPr>
          <w:rFonts w:ascii="Arial" w:hAnsi="Arial" w:cs="Arial"/>
        </w:rPr>
      </w:pPr>
      <w:r w:rsidRPr="002F5128">
        <w:rPr>
          <w:rFonts w:ascii="Arial" w:hAnsi="Arial" w:cs="Arial"/>
        </w:rPr>
        <w:t xml:space="preserve">Brett, J., Staniszewska, S., Mockford, C., et al. (2012). Mapping the impact of patient and public involvement on health and social care research: A systematic review. </w:t>
      </w:r>
      <w:r w:rsidRPr="007717E1">
        <w:rPr>
          <w:rFonts w:ascii="Arial" w:hAnsi="Arial" w:cs="Arial"/>
          <w:i/>
          <w:iCs/>
        </w:rPr>
        <w:t>Health Expectations, 15</w:t>
      </w:r>
      <w:r w:rsidRPr="002F5128">
        <w:rPr>
          <w:rFonts w:ascii="Arial" w:hAnsi="Arial" w:cs="Arial"/>
        </w:rPr>
        <w:t xml:space="preserve">(3), 229–241. </w:t>
      </w:r>
      <w:hyperlink r:id="rId12" w:history="1">
        <w:r w:rsidR="007717E1" w:rsidRPr="00EF14A8">
          <w:rPr>
            <w:rStyle w:val="Hyperlink"/>
            <w:rFonts w:ascii="Arial" w:hAnsi="Arial" w:cs="Arial"/>
          </w:rPr>
          <w:t>https://doi.org/10.1111/j.1369-7625.2011.00695.x</w:t>
        </w:r>
      </w:hyperlink>
    </w:p>
    <w:p w14:paraId="5A75C51D" w14:textId="5CD54730" w:rsidR="007717E1" w:rsidRDefault="002F5128" w:rsidP="007717E1">
      <w:pPr>
        <w:spacing w:line="360" w:lineRule="auto"/>
        <w:ind w:hanging="720"/>
        <w:rPr>
          <w:rFonts w:ascii="Arial" w:hAnsi="Arial" w:cs="Arial"/>
        </w:rPr>
      </w:pPr>
      <w:r w:rsidRPr="002F5128">
        <w:rPr>
          <w:rFonts w:ascii="Arial" w:hAnsi="Arial" w:cs="Arial"/>
        </w:rPr>
        <w:lastRenderedPageBreak/>
        <w:t xml:space="preserve">British Psychological Society (BPS). (2016). </w:t>
      </w:r>
      <w:r w:rsidRPr="007717E1">
        <w:rPr>
          <w:rFonts w:ascii="Arial" w:hAnsi="Arial" w:cs="Arial"/>
          <w:i/>
          <w:iCs/>
        </w:rPr>
        <w:t xml:space="preserve">Psychological dimensions of dementia: Putting the person at the centre of care </w:t>
      </w:r>
      <w:r w:rsidRPr="002F5128">
        <w:rPr>
          <w:rFonts w:ascii="Arial" w:hAnsi="Arial" w:cs="Arial"/>
        </w:rPr>
        <w:t xml:space="preserve">[electronic]. Leicester: UK. Retrieved from </w:t>
      </w:r>
      <w:hyperlink r:id="rId13" w:history="1">
        <w:r w:rsidR="007717E1" w:rsidRPr="00EF14A8">
          <w:rPr>
            <w:rStyle w:val="Hyperlink"/>
            <w:rFonts w:ascii="Arial" w:hAnsi="Arial" w:cs="Arial"/>
          </w:rPr>
          <w:t>https://beta.bps.org.uk/sites/beta.bps.org.uk/files/policy-Files/Psychological%20dimensions%20of%20dementia_Putting%20the%20person%20at%20the%20centre%20of%20care.pdf</w:t>
        </w:r>
      </w:hyperlink>
    </w:p>
    <w:p w14:paraId="18E26639" w14:textId="4154CFC6" w:rsidR="007717E1" w:rsidRDefault="002F5128" w:rsidP="007717E1">
      <w:pPr>
        <w:spacing w:line="360" w:lineRule="auto"/>
        <w:ind w:hanging="720"/>
        <w:rPr>
          <w:rFonts w:ascii="Arial" w:hAnsi="Arial" w:cs="Arial"/>
        </w:rPr>
      </w:pPr>
      <w:r w:rsidRPr="002F5128">
        <w:rPr>
          <w:rFonts w:ascii="Arial" w:hAnsi="Arial" w:cs="Arial"/>
        </w:rPr>
        <w:t xml:space="preserve">Brooker, D. (2004). What is person-centred care in dementia? </w:t>
      </w:r>
      <w:r w:rsidRPr="007717E1">
        <w:rPr>
          <w:rFonts w:ascii="Arial" w:hAnsi="Arial" w:cs="Arial"/>
          <w:i/>
          <w:iCs/>
        </w:rPr>
        <w:t>Reviews in Clinical Gerontology, 13</w:t>
      </w:r>
      <w:r w:rsidRPr="002F5128">
        <w:rPr>
          <w:rFonts w:ascii="Arial" w:hAnsi="Arial" w:cs="Arial"/>
        </w:rPr>
        <w:t xml:space="preserve">(3), 215–222. </w:t>
      </w:r>
      <w:hyperlink r:id="rId14" w:history="1">
        <w:r w:rsidR="007717E1" w:rsidRPr="00EF14A8">
          <w:rPr>
            <w:rStyle w:val="Hyperlink"/>
            <w:rFonts w:ascii="Arial" w:hAnsi="Arial" w:cs="Arial"/>
          </w:rPr>
          <w:t>https://doi.org/10.1017/S0959259804000108</w:t>
        </w:r>
      </w:hyperlink>
    </w:p>
    <w:p w14:paraId="7DE01A11" w14:textId="250A0077" w:rsidR="007717E1" w:rsidRDefault="002F5128" w:rsidP="007717E1">
      <w:pPr>
        <w:spacing w:line="360" w:lineRule="auto"/>
        <w:ind w:hanging="720"/>
        <w:rPr>
          <w:rFonts w:ascii="Arial" w:hAnsi="Arial" w:cs="Arial"/>
        </w:rPr>
      </w:pPr>
      <w:r w:rsidRPr="002F5128">
        <w:rPr>
          <w:rFonts w:ascii="Arial" w:hAnsi="Arial" w:cs="Arial"/>
        </w:rPr>
        <w:t xml:space="preserve">Chenoweth, L., King, M. T., Jeon, Y. H., </w:t>
      </w:r>
      <w:proofErr w:type="spellStart"/>
      <w:r w:rsidRPr="002F5128">
        <w:rPr>
          <w:rFonts w:ascii="Arial" w:hAnsi="Arial" w:cs="Arial"/>
        </w:rPr>
        <w:t>Brodaty</w:t>
      </w:r>
      <w:proofErr w:type="spellEnd"/>
      <w:r w:rsidRPr="002F5128">
        <w:rPr>
          <w:rFonts w:ascii="Arial" w:hAnsi="Arial" w:cs="Arial"/>
        </w:rPr>
        <w:t>, H., Stein-</w:t>
      </w:r>
      <w:proofErr w:type="spellStart"/>
      <w:r w:rsidRPr="002F5128">
        <w:rPr>
          <w:rFonts w:ascii="Arial" w:hAnsi="Arial" w:cs="Arial"/>
        </w:rPr>
        <w:t>Parbury</w:t>
      </w:r>
      <w:proofErr w:type="spellEnd"/>
      <w:r w:rsidRPr="002F5128">
        <w:rPr>
          <w:rFonts w:ascii="Arial" w:hAnsi="Arial" w:cs="Arial"/>
        </w:rPr>
        <w:t xml:space="preserve">, J., Norman, R., Haas, M., &amp; Luscombe, G. (2009). Caring for aged dementia care resident study (CADRES) of person-centred care, dementia-care mapping, and usual care in dementia: A cluster-randomised trial. </w:t>
      </w:r>
      <w:r w:rsidRPr="007717E1">
        <w:rPr>
          <w:rFonts w:ascii="Arial" w:hAnsi="Arial" w:cs="Arial"/>
          <w:i/>
          <w:iCs/>
        </w:rPr>
        <w:t>The Lancet Neurology, 8</w:t>
      </w:r>
      <w:r w:rsidRPr="002F5128">
        <w:rPr>
          <w:rFonts w:ascii="Arial" w:hAnsi="Arial" w:cs="Arial"/>
        </w:rPr>
        <w:t xml:space="preserve">(5), 317–325. </w:t>
      </w:r>
      <w:hyperlink r:id="rId15" w:history="1">
        <w:r w:rsidR="007717E1" w:rsidRPr="00EF14A8">
          <w:rPr>
            <w:rStyle w:val="Hyperlink"/>
            <w:rFonts w:ascii="Arial" w:hAnsi="Arial" w:cs="Arial"/>
          </w:rPr>
          <w:t>https://doi.org/10.1016/S1474-4422(09)70045-6</w:t>
        </w:r>
      </w:hyperlink>
    </w:p>
    <w:p w14:paraId="77D2C69F" w14:textId="4C31E395" w:rsidR="007717E1" w:rsidRDefault="002F5128" w:rsidP="007717E1">
      <w:pPr>
        <w:spacing w:line="360" w:lineRule="auto"/>
        <w:ind w:hanging="720"/>
        <w:rPr>
          <w:rFonts w:ascii="Arial" w:hAnsi="Arial" w:cs="Arial"/>
        </w:rPr>
      </w:pPr>
      <w:r w:rsidRPr="002F5128">
        <w:rPr>
          <w:rFonts w:ascii="Arial" w:hAnsi="Arial" w:cs="Arial"/>
        </w:rPr>
        <w:t xml:space="preserve">Critical Appraisal Skills Programme. (2013). </w:t>
      </w:r>
      <w:r w:rsidRPr="007717E1">
        <w:rPr>
          <w:rFonts w:ascii="Arial" w:hAnsi="Arial" w:cs="Arial"/>
          <w:i/>
          <w:iCs/>
        </w:rPr>
        <w:t>Making sense of evidence: CASP checklists</w:t>
      </w:r>
      <w:r w:rsidRPr="002F5128">
        <w:rPr>
          <w:rFonts w:ascii="Arial" w:hAnsi="Arial" w:cs="Arial"/>
        </w:rPr>
        <w:t xml:space="preserve"> [electronic]. Oxford: Middle Way. Retrieved from </w:t>
      </w:r>
      <w:hyperlink r:id="rId16" w:history="1">
        <w:r w:rsidR="007717E1" w:rsidRPr="00EF14A8">
          <w:rPr>
            <w:rStyle w:val="Hyperlink"/>
            <w:rFonts w:ascii="Arial" w:hAnsi="Arial" w:cs="Arial"/>
          </w:rPr>
          <w:t>http://www.casp-uk.net/checklists</w:t>
        </w:r>
      </w:hyperlink>
    </w:p>
    <w:p w14:paraId="7AA016E6" w14:textId="1AC63D83" w:rsidR="007717E1" w:rsidRDefault="002F5128" w:rsidP="007717E1">
      <w:pPr>
        <w:spacing w:line="360" w:lineRule="auto"/>
        <w:ind w:hanging="720"/>
        <w:rPr>
          <w:rFonts w:ascii="Arial" w:hAnsi="Arial" w:cs="Arial"/>
        </w:rPr>
      </w:pPr>
      <w:r w:rsidRPr="002F5128">
        <w:rPr>
          <w:rFonts w:ascii="Arial" w:hAnsi="Arial" w:cs="Arial"/>
        </w:rPr>
        <w:t xml:space="preserve">Goodwin, V. A., Low, M. S. A., Quinn, T. J., &amp; Cockcroft, E. (2023). Including older people in health and social care research: Best practice recommendations based on the INCLUDE framework. </w:t>
      </w:r>
      <w:r w:rsidRPr="007717E1">
        <w:rPr>
          <w:rFonts w:ascii="Arial" w:hAnsi="Arial" w:cs="Arial"/>
          <w:i/>
          <w:iCs/>
        </w:rPr>
        <w:t>Age and Ageing, 52</w:t>
      </w:r>
      <w:r w:rsidRPr="002F5128">
        <w:rPr>
          <w:rFonts w:ascii="Arial" w:hAnsi="Arial" w:cs="Arial"/>
        </w:rPr>
        <w:t xml:space="preserve">(6). </w:t>
      </w:r>
      <w:hyperlink r:id="rId17" w:history="1">
        <w:r w:rsidR="007717E1" w:rsidRPr="00EF14A8">
          <w:rPr>
            <w:rStyle w:val="Hyperlink"/>
            <w:rFonts w:ascii="Arial" w:hAnsi="Arial" w:cs="Arial"/>
          </w:rPr>
          <w:t>https://doi.org/10.1093/ageing/afad082</w:t>
        </w:r>
      </w:hyperlink>
    </w:p>
    <w:p w14:paraId="3ABB415A" w14:textId="14EBF806" w:rsidR="007717E1" w:rsidRDefault="002F5128" w:rsidP="007717E1">
      <w:pPr>
        <w:spacing w:line="360" w:lineRule="auto"/>
        <w:ind w:hanging="720"/>
        <w:rPr>
          <w:rFonts w:ascii="Arial" w:hAnsi="Arial" w:cs="Arial"/>
        </w:rPr>
      </w:pPr>
      <w:r w:rsidRPr="002F5128">
        <w:rPr>
          <w:rFonts w:ascii="Arial" w:hAnsi="Arial" w:cs="Arial"/>
        </w:rPr>
        <w:t xml:space="preserve">Hoddinott, P., Pollock, A., </w:t>
      </w:r>
      <w:proofErr w:type="spellStart"/>
      <w:r w:rsidRPr="002F5128">
        <w:rPr>
          <w:rFonts w:ascii="Arial" w:hAnsi="Arial" w:cs="Arial"/>
        </w:rPr>
        <w:t>O’Cathain</w:t>
      </w:r>
      <w:proofErr w:type="spellEnd"/>
      <w:r w:rsidRPr="002F5128">
        <w:rPr>
          <w:rFonts w:ascii="Arial" w:hAnsi="Arial" w:cs="Arial"/>
        </w:rPr>
        <w:t xml:space="preserve">, A., et al. (2018). </w:t>
      </w:r>
      <w:r w:rsidRPr="007717E1">
        <w:rPr>
          <w:rFonts w:ascii="Arial" w:hAnsi="Arial" w:cs="Arial"/>
          <w:i/>
          <w:iCs/>
        </w:rPr>
        <w:t>How to incorporate patient and public perspectives into the design and conduct of research</w:t>
      </w:r>
      <w:r w:rsidRPr="002F5128">
        <w:rPr>
          <w:rFonts w:ascii="Arial" w:hAnsi="Arial" w:cs="Arial"/>
        </w:rPr>
        <w:t xml:space="preserve">. F1000Research, 7. </w:t>
      </w:r>
      <w:hyperlink r:id="rId18" w:history="1">
        <w:r w:rsidR="007717E1" w:rsidRPr="00EF14A8">
          <w:rPr>
            <w:rStyle w:val="Hyperlink"/>
            <w:rFonts w:ascii="Arial" w:hAnsi="Arial" w:cs="Arial"/>
          </w:rPr>
          <w:t>https://doi.org/10.12688/f1000research.15820.1</w:t>
        </w:r>
      </w:hyperlink>
    </w:p>
    <w:p w14:paraId="5FE47510" w14:textId="33D6E3EC" w:rsidR="007717E1" w:rsidRDefault="002F5128" w:rsidP="007717E1">
      <w:pPr>
        <w:spacing w:line="360" w:lineRule="auto"/>
        <w:ind w:hanging="720"/>
        <w:rPr>
          <w:rFonts w:ascii="Arial" w:hAnsi="Arial" w:cs="Arial"/>
        </w:rPr>
      </w:pPr>
      <w:r w:rsidRPr="002F5128">
        <w:rPr>
          <w:rFonts w:ascii="Arial" w:hAnsi="Arial" w:cs="Arial"/>
        </w:rPr>
        <w:t xml:space="preserve">Hewlett, S., Wit, M., Richards, P., et al. (2006). Patients and professionals as research partners: Challenges, practicalities, and benefits. </w:t>
      </w:r>
      <w:r w:rsidRPr="007717E1">
        <w:rPr>
          <w:rFonts w:ascii="Arial" w:hAnsi="Arial" w:cs="Arial"/>
          <w:i/>
          <w:iCs/>
        </w:rPr>
        <w:t>Arthritis &amp; Rheumatism, 55</w:t>
      </w:r>
      <w:r w:rsidRPr="002F5128">
        <w:rPr>
          <w:rFonts w:ascii="Arial" w:hAnsi="Arial" w:cs="Arial"/>
        </w:rPr>
        <w:t xml:space="preserve">(4), 676–680. </w:t>
      </w:r>
      <w:hyperlink r:id="rId19" w:history="1">
        <w:r w:rsidR="007717E1" w:rsidRPr="00EF14A8">
          <w:rPr>
            <w:rStyle w:val="Hyperlink"/>
            <w:rFonts w:ascii="Arial" w:hAnsi="Arial" w:cs="Arial"/>
          </w:rPr>
          <w:t>https://doi.org/10.1002/art.22091</w:t>
        </w:r>
      </w:hyperlink>
    </w:p>
    <w:p w14:paraId="0FEDA21C" w14:textId="29ADC471" w:rsidR="007717E1" w:rsidRDefault="002F5128" w:rsidP="007717E1">
      <w:pPr>
        <w:spacing w:line="360" w:lineRule="auto"/>
        <w:ind w:hanging="720"/>
        <w:rPr>
          <w:rFonts w:ascii="Arial" w:hAnsi="Arial" w:cs="Arial"/>
        </w:rPr>
      </w:pPr>
      <w:r w:rsidRPr="002F5128">
        <w:rPr>
          <w:rFonts w:ascii="Arial" w:hAnsi="Arial" w:cs="Arial"/>
        </w:rPr>
        <w:t xml:space="preserve">Marsden, J., &amp; Bradburn, J. (2004). Patient and clinician collaboration in the design of a national randomized breast cancer trial. </w:t>
      </w:r>
      <w:r w:rsidRPr="007717E1">
        <w:rPr>
          <w:rFonts w:ascii="Arial" w:hAnsi="Arial" w:cs="Arial"/>
          <w:i/>
          <w:iCs/>
        </w:rPr>
        <w:t>Health Expectations, 7</w:t>
      </w:r>
      <w:r w:rsidRPr="002F5128">
        <w:rPr>
          <w:rFonts w:ascii="Arial" w:hAnsi="Arial" w:cs="Arial"/>
        </w:rPr>
        <w:t xml:space="preserve">(1), 6–17. </w:t>
      </w:r>
      <w:hyperlink r:id="rId20" w:history="1">
        <w:r w:rsidR="007717E1" w:rsidRPr="00EF14A8">
          <w:rPr>
            <w:rStyle w:val="Hyperlink"/>
            <w:rFonts w:ascii="Arial" w:hAnsi="Arial" w:cs="Arial"/>
          </w:rPr>
          <w:t>https://doi.org/10.1046/j.1369-6513.2003.00238.x</w:t>
        </w:r>
      </w:hyperlink>
    </w:p>
    <w:p w14:paraId="7DB1595F" w14:textId="7544B43D" w:rsidR="007717E1" w:rsidRDefault="002F5128" w:rsidP="007717E1">
      <w:pPr>
        <w:spacing w:line="360" w:lineRule="auto"/>
        <w:ind w:hanging="720"/>
        <w:rPr>
          <w:rFonts w:ascii="Arial" w:hAnsi="Arial" w:cs="Arial"/>
        </w:rPr>
      </w:pPr>
      <w:r w:rsidRPr="002F5128">
        <w:rPr>
          <w:rFonts w:ascii="Arial" w:hAnsi="Arial" w:cs="Arial"/>
        </w:rPr>
        <w:t xml:space="preserve">McCarthy, J., Guerin, S., Wilson, A. G., &amp; Dorris, E. R. (2019). Facilitating public and patient involvement in basic and preclinical health research. </w:t>
      </w:r>
      <w:r w:rsidRPr="007717E1">
        <w:rPr>
          <w:rFonts w:ascii="Arial" w:hAnsi="Arial" w:cs="Arial"/>
          <w:i/>
          <w:iCs/>
        </w:rPr>
        <w:t>PLOS ONE, 14</w:t>
      </w:r>
      <w:r w:rsidRPr="002F5128">
        <w:rPr>
          <w:rFonts w:ascii="Arial" w:hAnsi="Arial" w:cs="Arial"/>
        </w:rPr>
        <w:t xml:space="preserve">(5), e0216600. </w:t>
      </w:r>
      <w:hyperlink r:id="rId21" w:history="1">
        <w:r w:rsidR="007717E1" w:rsidRPr="00EF14A8">
          <w:rPr>
            <w:rStyle w:val="Hyperlink"/>
            <w:rFonts w:ascii="Arial" w:hAnsi="Arial" w:cs="Arial"/>
          </w:rPr>
          <w:t>https://doi.org/10.1371/journal.pone.0216600</w:t>
        </w:r>
      </w:hyperlink>
    </w:p>
    <w:p w14:paraId="005A551D" w14:textId="6E2663DE" w:rsidR="007717E1" w:rsidRDefault="002F5128" w:rsidP="007717E1">
      <w:pPr>
        <w:spacing w:line="360" w:lineRule="auto"/>
        <w:ind w:hanging="720"/>
        <w:rPr>
          <w:rFonts w:ascii="Arial" w:hAnsi="Arial" w:cs="Arial"/>
        </w:rPr>
      </w:pPr>
      <w:r w:rsidRPr="002F5128">
        <w:rPr>
          <w:rFonts w:ascii="Arial" w:hAnsi="Arial" w:cs="Arial"/>
        </w:rPr>
        <w:lastRenderedPageBreak/>
        <w:t xml:space="preserve">McCormick, S., Brody, J., Brown, P., &amp; Polk, R. (2004). Public involvement in breast cancer research: An analysis and model for future research. </w:t>
      </w:r>
      <w:r w:rsidRPr="007717E1">
        <w:rPr>
          <w:rFonts w:ascii="Arial" w:hAnsi="Arial" w:cs="Arial"/>
          <w:i/>
          <w:iCs/>
        </w:rPr>
        <w:t>International Journal of Health Services, 34</w:t>
      </w:r>
      <w:r w:rsidRPr="002F5128">
        <w:rPr>
          <w:rFonts w:ascii="Arial" w:hAnsi="Arial" w:cs="Arial"/>
        </w:rPr>
        <w:t xml:space="preserve">(4), 625–646. </w:t>
      </w:r>
      <w:hyperlink r:id="rId22" w:history="1">
        <w:r w:rsidR="007717E1" w:rsidRPr="00EF14A8">
          <w:rPr>
            <w:rStyle w:val="Hyperlink"/>
            <w:rFonts w:ascii="Arial" w:hAnsi="Arial" w:cs="Arial"/>
          </w:rPr>
          <w:t>https://doi.org/10.2190/TH8B-DG8Y-H4VJ-C47Q</w:t>
        </w:r>
      </w:hyperlink>
    </w:p>
    <w:p w14:paraId="5B3DCD34" w14:textId="6E74E78E" w:rsidR="007717E1" w:rsidRDefault="002F5128" w:rsidP="007717E1">
      <w:pPr>
        <w:spacing w:line="360" w:lineRule="auto"/>
        <w:ind w:hanging="720"/>
        <w:rPr>
          <w:rFonts w:ascii="Arial" w:hAnsi="Arial" w:cs="Arial"/>
        </w:rPr>
      </w:pPr>
      <w:r w:rsidRPr="002F5128">
        <w:rPr>
          <w:rFonts w:ascii="Arial" w:hAnsi="Arial" w:cs="Arial"/>
        </w:rPr>
        <w:t xml:space="preserve">Muller, I., Santer, M., Morrison, L., et al. (2019). Combining qualitative research with PPI: Reflections on using the person-based approach for developing </w:t>
      </w:r>
      <w:r w:rsidR="007717E1" w:rsidRPr="002F5128">
        <w:rPr>
          <w:rFonts w:ascii="Arial" w:hAnsi="Arial" w:cs="Arial"/>
        </w:rPr>
        <w:t>behavioural</w:t>
      </w:r>
      <w:r w:rsidRPr="002F5128">
        <w:rPr>
          <w:rFonts w:ascii="Arial" w:hAnsi="Arial" w:cs="Arial"/>
        </w:rPr>
        <w:t xml:space="preserve"> interventions. </w:t>
      </w:r>
      <w:r w:rsidRPr="007717E1">
        <w:rPr>
          <w:rFonts w:ascii="Arial" w:hAnsi="Arial" w:cs="Arial"/>
          <w:i/>
          <w:iCs/>
        </w:rPr>
        <w:t>Research Involvement and Engagement, 5</w:t>
      </w:r>
      <w:r w:rsidRPr="002F5128">
        <w:rPr>
          <w:rFonts w:ascii="Arial" w:hAnsi="Arial" w:cs="Arial"/>
        </w:rPr>
        <w:t xml:space="preserve">(1), 1–8. </w:t>
      </w:r>
      <w:hyperlink r:id="rId23" w:history="1">
        <w:r w:rsidR="007717E1" w:rsidRPr="00EF14A8">
          <w:rPr>
            <w:rStyle w:val="Hyperlink"/>
            <w:rFonts w:ascii="Arial" w:hAnsi="Arial" w:cs="Arial"/>
          </w:rPr>
          <w:t>https://doi.org/10.1186/s40900-018-0138-9</w:t>
        </w:r>
      </w:hyperlink>
    </w:p>
    <w:p w14:paraId="49266D1D" w14:textId="09F52053" w:rsidR="007717E1" w:rsidRDefault="002F5128" w:rsidP="007717E1">
      <w:pPr>
        <w:spacing w:line="360" w:lineRule="auto"/>
        <w:ind w:hanging="720"/>
        <w:rPr>
          <w:rFonts w:ascii="Arial" w:hAnsi="Arial" w:cs="Arial"/>
        </w:rPr>
      </w:pPr>
      <w:r w:rsidRPr="002F5128">
        <w:rPr>
          <w:rFonts w:ascii="Arial" w:hAnsi="Arial" w:cs="Arial"/>
        </w:rPr>
        <w:t>National Institute for Health Research (NIHR). (n.d</w:t>
      </w:r>
      <w:r w:rsidRPr="007717E1">
        <w:rPr>
          <w:rFonts w:ascii="Arial" w:hAnsi="Arial" w:cs="Arial"/>
          <w:i/>
          <w:iCs/>
        </w:rPr>
        <w:t>.). A brief guide to patient and public involvement and qualitative methods within health and social care research</w:t>
      </w:r>
      <w:r w:rsidRPr="002F5128">
        <w:rPr>
          <w:rFonts w:ascii="Arial" w:hAnsi="Arial" w:cs="Arial"/>
        </w:rPr>
        <w:t xml:space="preserve">. National Institute for Health Research. Retrieved from </w:t>
      </w:r>
      <w:hyperlink r:id="rId24" w:history="1">
        <w:r w:rsidR="007717E1" w:rsidRPr="00EF14A8">
          <w:rPr>
            <w:rStyle w:val="Hyperlink"/>
            <w:rFonts w:ascii="Arial" w:hAnsi="Arial" w:cs="Arial"/>
          </w:rPr>
          <w:t>https://www.rds-nw.nihr.ac.uk/wp-content/uploads/2021/11/RDS_Guide_to_PPI_qualitative_methods.pdf</w:t>
        </w:r>
      </w:hyperlink>
    </w:p>
    <w:p w14:paraId="6A20513B" w14:textId="733B8E1F" w:rsidR="007717E1" w:rsidRDefault="002F5128" w:rsidP="007717E1">
      <w:pPr>
        <w:spacing w:line="360" w:lineRule="auto"/>
        <w:ind w:hanging="720"/>
        <w:rPr>
          <w:rFonts w:ascii="Arial" w:hAnsi="Arial" w:cs="Arial"/>
        </w:rPr>
      </w:pPr>
      <w:r w:rsidRPr="002F5128">
        <w:rPr>
          <w:rFonts w:ascii="Arial" w:hAnsi="Arial" w:cs="Arial"/>
        </w:rPr>
        <w:t xml:space="preserve">National Institute for Health Research (NIHR). (2024). </w:t>
      </w:r>
      <w:r w:rsidRPr="007717E1">
        <w:rPr>
          <w:rFonts w:ascii="Arial" w:hAnsi="Arial" w:cs="Arial"/>
          <w:i/>
          <w:iCs/>
        </w:rPr>
        <w:t>UK standards for public involvement</w:t>
      </w:r>
      <w:r w:rsidRPr="002F5128">
        <w:rPr>
          <w:rFonts w:ascii="Arial" w:hAnsi="Arial" w:cs="Arial"/>
        </w:rPr>
        <w:t xml:space="preserve">. Retrieved from </w:t>
      </w:r>
      <w:hyperlink r:id="rId25" w:history="1">
        <w:r w:rsidR="007717E1" w:rsidRPr="00EF14A8">
          <w:rPr>
            <w:rStyle w:val="Hyperlink"/>
            <w:rFonts w:ascii="Arial" w:hAnsi="Arial" w:cs="Arial"/>
          </w:rPr>
          <w:t>https://www.hra.nhs.uk/planning-and-improving-research/best-practice/public-involvement</w:t>
        </w:r>
      </w:hyperlink>
    </w:p>
    <w:p w14:paraId="60920EE6" w14:textId="782E6125" w:rsidR="007717E1" w:rsidRDefault="002F5128" w:rsidP="007717E1">
      <w:pPr>
        <w:spacing w:line="360" w:lineRule="auto"/>
        <w:ind w:hanging="720"/>
        <w:rPr>
          <w:rFonts w:ascii="Arial" w:hAnsi="Arial" w:cs="Arial"/>
        </w:rPr>
      </w:pPr>
      <w:r w:rsidRPr="002F5128">
        <w:rPr>
          <w:rFonts w:ascii="Arial" w:hAnsi="Arial" w:cs="Arial"/>
        </w:rPr>
        <w:t xml:space="preserve">Smits, D.-W., Van Meeteren, K., Klem, M., </w:t>
      </w:r>
      <w:proofErr w:type="spellStart"/>
      <w:r w:rsidRPr="002F5128">
        <w:rPr>
          <w:rFonts w:ascii="Arial" w:hAnsi="Arial" w:cs="Arial"/>
        </w:rPr>
        <w:t>Alsem</w:t>
      </w:r>
      <w:proofErr w:type="spellEnd"/>
      <w:r w:rsidRPr="002F5128">
        <w:rPr>
          <w:rFonts w:ascii="Arial" w:hAnsi="Arial" w:cs="Arial"/>
        </w:rPr>
        <w:t xml:space="preserve">, M., &amp; Ketelaar, M. (2020). Designing a tool to support patient and public involvement in research projects: The Involvement Matrix. </w:t>
      </w:r>
      <w:r w:rsidRPr="007717E1">
        <w:rPr>
          <w:rFonts w:ascii="Arial" w:hAnsi="Arial" w:cs="Arial"/>
          <w:i/>
          <w:iCs/>
        </w:rPr>
        <w:t>Research Involvement and Engagement, 6</w:t>
      </w:r>
      <w:r w:rsidRPr="002F5128">
        <w:rPr>
          <w:rFonts w:ascii="Arial" w:hAnsi="Arial" w:cs="Arial"/>
        </w:rPr>
        <w:t xml:space="preserve">(1), 1–7. </w:t>
      </w:r>
    </w:p>
    <w:p w14:paraId="10011A22" w14:textId="01AFD62F" w:rsidR="002F5128" w:rsidRPr="002F5128" w:rsidRDefault="002F5128" w:rsidP="007717E1">
      <w:pPr>
        <w:spacing w:line="360" w:lineRule="auto"/>
        <w:ind w:hanging="720"/>
        <w:rPr>
          <w:rFonts w:ascii="Arial" w:hAnsi="Arial" w:cs="Arial"/>
        </w:rPr>
      </w:pPr>
      <w:r w:rsidRPr="002F5128">
        <w:rPr>
          <w:rFonts w:ascii="Arial" w:hAnsi="Arial" w:cs="Arial"/>
        </w:rPr>
        <w:t>Smythe, A., Jenkins, C., Galant-</w:t>
      </w:r>
      <w:proofErr w:type="spellStart"/>
      <w:r w:rsidRPr="002F5128">
        <w:rPr>
          <w:rFonts w:ascii="Arial" w:hAnsi="Arial" w:cs="Arial"/>
        </w:rPr>
        <w:t>Miecznikowska</w:t>
      </w:r>
      <w:proofErr w:type="spellEnd"/>
      <w:r w:rsidRPr="002F5128">
        <w:rPr>
          <w:rFonts w:ascii="Arial" w:hAnsi="Arial" w:cs="Arial"/>
        </w:rPr>
        <w:t xml:space="preserve">, M., Bentham, P., &amp; </w:t>
      </w:r>
      <w:proofErr w:type="spellStart"/>
      <w:r w:rsidRPr="002F5128">
        <w:rPr>
          <w:rFonts w:ascii="Arial" w:hAnsi="Arial" w:cs="Arial"/>
        </w:rPr>
        <w:t>Oyebode</w:t>
      </w:r>
      <w:proofErr w:type="spellEnd"/>
      <w:r w:rsidRPr="002F5128">
        <w:rPr>
          <w:rFonts w:ascii="Arial" w:hAnsi="Arial" w:cs="Arial"/>
        </w:rPr>
        <w:t xml:space="preserve">, J. (2017). A qualitative study investigating the training requirements of nurses working with people with dementia in nursing homes. </w:t>
      </w:r>
      <w:r w:rsidRPr="007717E1">
        <w:rPr>
          <w:rFonts w:ascii="Arial" w:hAnsi="Arial" w:cs="Arial"/>
          <w:i/>
          <w:iCs/>
        </w:rPr>
        <w:t>Nurse Education Today, 50</w:t>
      </w:r>
      <w:r w:rsidRPr="002F5128">
        <w:rPr>
          <w:rFonts w:ascii="Arial" w:hAnsi="Arial" w:cs="Arial"/>
        </w:rPr>
        <w:t xml:space="preserve">, 119–123. </w:t>
      </w:r>
    </w:p>
    <w:p w14:paraId="1BC16F19" w14:textId="2518374D" w:rsidR="007717E1" w:rsidRDefault="002F5128" w:rsidP="007717E1">
      <w:pPr>
        <w:spacing w:line="360" w:lineRule="auto"/>
        <w:ind w:hanging="720"/>
        <w:rPr>
          <w:rFonts w:ascii="Arial" w:hAnsi="Arial" w:cs="Arial"/>
        </w:rPr>
      </w:pPr>
      <w:r w:rsidRPr="002F5128">
        <w:rPr>
          <w:rFonts w:ascii="Arial" w:hAnsi="Arial" w:cs="Arial"/>
        </w:rPr>
        <w:t xml:space="preserve">Staniszewska, S., Brett, J., Simera, I., et al. (2017). </w:t>
      </w:r>
      <w:r w:rsidRPr="007717E1">
        <w:rPr>
          <w:rFonts w:ascii="Arial" w:hAnsi="Arial" w:cs="Arial"/>
          <w:i/>
          <w:iCs/>
        </w:rPr>
        <w:t>GRIPP2 reporting checklists: Tools to improve reporting of patient and public involvement in research</w:t>
      </w:r>
      <w:r w:rsidRPr="002F5128">
        <w:rPr>
          <w:rFonts w:ascii="Arial" w:hAnsi="Arial" w:cs="Arial"/>
        </w:rPr>
        <w:t xml:space="preserve">. BMJ, 358, j3453. </w:t>
      </w:r>
      <w:hyperlink r:id="rId26" w:history="1">
        <w:r w:rsidR="007717E1" w:rsidRPr="00EF14A8">
          <w:rPr>
            <w:rStyle w:val="Hyperlink"/>
            <w:rFonts w:ascii="Arial" w:hAnsi="Arial" w:cs="Arial"/>
          </w:rPr>
          <w:t>https://doi.org/10.1136/bmj.j3453</w:t>
        </w:r>
      </w:hyperlink>
    </w:p>
    <w:p w14:paraId="59A23E29" w14:textId="042870D5" w:rsidR="002F5128" w:rsidRPr="002F5128" w:rsidRDefault="002F5128" w:rsidP="007717E1">
      <w:pPr>
        <w:spacing w:line="360" w:lineRule="auto"/>
        <w:ind w:hanging="720"/>
        <w:rPr>
          <w:rFonts w:ascii="Arial" w:hAnsi="Arial" w:cs="Arial"/>
        </w:rPr>
      </w:pPr>
      <w:r w:rsidRPr="002F5128">
        <w:rPr>
          <w:rFonts w:ascii="Arial" w:hAnsi="Arial" w:cs="Arial"/>
        </w:rPr>
        <w:t xml:space="preserve">Strengthening the quality of patient and public involvement reporting in research. International </w:t>
      </w:r>
      <w:r w:rsidRPr="007717E1">
        <w:rPr>
          <w:rFonts w:ascii="Arial" w:hAnsi="Arial" w:cs="Arial"/>
          <w:i/>
          <w:iCs/>
        </w:rPr>
        <w:t>Journal of Technology Assessment in Health Care, 27</w:t>
      </w:r>
      <w:r w:rsidRPr="002F5128">
        <w:rPr>
          <w:rFonts w:ascii="Arial" w:hAnsi="Arial" w:cs="Arial"/>
        </w:rPr>
        <w:t xml:space="preserve">(4), 391–399. </w:t>
      </w:r>
    </w:p>
    <w:p w14:paraId="28CD9907" w14:textId="73BDC7D8" w:rsidR="007717E1" w:rsidRDefault="002F5128" w:rsidP="007717E1">
      <w:pPr>
        <w:spacing w:line="360" w:lineRule="auto"/>
        <w:ind w:hanging="720"/>
        <w:rPr>
          <w:rFonts w:ascii="Arial" w:hAnsi="Arial" w:cs="Arial"/>
        </w:rPr>
      </w:pPr>
      <w:r w:rsidRPr="002F5128">
        <w:rPr>
          <w:rFonts w:ascii="Arial" w:hAnsi="Arial" w:cs="Arial"/>
        </w:rPr>
        <w:t xml:space="preserve">Surr, C. A., Smith, S. J., Crossland, J., &amp; Robins, J. (2016). Impact of a person-centred dementia care training programme on hospital staff attitudes, role efficacy and perceptions of caring for people with dementia: A repeated measures study. </w:t>
      </w:r>
      <w:r w:rsidRPr="007717E1">
        <w:rPr>
          <w:rFonts w:ascii="Arial" w:hAnsi="Arial" w:cs="Arial"/>
          <w:i/>
          <w:iCs/>
        </w:rPr>
        <w:t>International Journal of Nursing Studies, 53,</w:t>
      </w:r>
      <w:r w:rsidRPr="002F5128">
        <w:rPr>
          <w:rFonts w:ascii="Arial" w:hAnsi="Arial" w:cs="Arial"/>
        </w:rPr>
        <w:t xml:space="preserve"> 144–151. </w:t>
      </w:r>
      <w:hyperlink r:id="rId27" w:history="1">
        <w:r w:rsidR="007717E1" w:rsidRPr="00EF14A8">
          <w:rPr>
            <w:rStyle w:val="Hyperlink"/>
            <w:rFonts w:ascii="Arial" w:hAnsi="Arial" w:cs="Arial"/>
          </w:rPr>
          <w:t>https://doi.org/10.1016/j.ijnurstu.2015.09.009</w:t>
        </w:r>
      </w:hyperlink>
    </w:p>
    <w:p w14:paraId="46C8D20C" w14:textId="2D0BF0F1" w:rsidR="007717E1" w:rsidRDefault="002F5128" w:rsidP="007717E1">
      <w:pPr>
        <w:spacing w:line="360" w:lineRule="auto"/>
        <w:ind w:hanging="720"/>
        <w:rPr>
          <w:rFonts w:ascii="Arial" w:hAnsi="Arial" w:cs="Arial"/>
        </w:rPr>
      </w:pPr>
      <w:r w:rsidRPr="002F5128">
        <w:rPr>
          <w:rFonts w:ascii="Arial" w:hAnsi="Arial" w:cs="Arial"/>
        </w:rPr>
        <w:lastRenderedPageBreak/>
        <w:t xml:space="preserve">Thune-Boyle, I. C. V., Sampson, E. L., Jones, L., King, M., Lee, D. R., &amp; Blanchard, M. R. (2010). Challenges to improving end-of-life care of people with advanced dementia in the UK. </w:t>
      </w:r>
      <w:r w:rsidRPr="007717E1">
        <w:rPr>
          <w:rFonts w:ascii="Arial" w:hAnsi="Arial" w:cs="Arial"/>
          <w:i/>
          <w:iCs/>
        </w:rPr>
        <w:t>Dementia, 9</w:t>
      </w:r>
      <w:r w:rsidRPr="002F5128">
        <w:rPr>
          <w:rFonts w:ascii="Arial" w:hAnsi="Arial" w:cs="Arial"/>
        </w:rPr>
        <w:t xml:space="preserve">(2), 259–284. </w:t>
      </w:r>
      <w:hyperlink r:id="rId28" w:history="1">
        <w:r w:rsidR="007717E1" w:rsidRPr="00EF14A8">
          <w:rPr>
            <w:rStyle w:val="Hyperlink"/>
            <w:rFonts w:ascii="Arial" w:hAnsi="Arial" w:cs="Arial"/>
          </w:rPr>
          <w:t>https://doi.org/10.1177/1471301209354026</w:t>
        </w:r>
      </w:hyperlink>
    </w:p>
    <w:p w14:paraId="63C5DA2D" w14:textId="5AE891C5" w:rsidR="002F5128" w:rsidRDefault="002F5128" w:rsidP="007717E1">
      <w:pPr>
        <w:spacing w:line="360" w:lineRule="auto"/>
        <w:ind w:hanging="720"/>
        <w:rPr>
          <w:rFonts w:ascii="Arial" w:hAnsi="Arial" w:cs="Arial"/>
        </w:rPr>
      </w:pPr>
      <w:r w:rsidRPr="002F5128">
        <w:rPr>
          <w:rFonts w:ascii="Arial" w:hAnsi="Arial" w:cs="Arial"/>
        </w:rPr>
        <w:t xml:space="preserve">Wyatt, K., Carter, M., Mahtani, V., et al. (2008). The impact of consumer involvement in research: An evaluation of consumer involvement in the London Primary Care Studies Programme. </w:t>
      </w:r>
      <w:r w:rsidRPr="007717E1">
        <w:rPr>
          <w:rFonts w:ascii="Arial" w:hAnsi="Arial" w:cs="Arial"/>
          <w:i/>
          <w:iCs/>
        </w:rPr>
        <w:t>Family Practice, 25</w:t>
      </w:r>
      <w:r w:rsidRPr="002F5128">
        <w:rPr>
          <w:rFonts w:ascii="Arial" w:hAnsi="Arial" w:cs="Arial"/>
        </w:rPr>
        <w:t xml:space="preserve">(2), 154–161. </w:t>
      </w:r>
      <w:hyperlink r:id="rId29" w:history="1">
        <w:r w:rsidR="007717E1" w:rsidRPr="00EF14A8">
          <w:rPr>
            <w:rStyle w:val="Hyperlink"/>
            <w:rFonts w:ascii="Arial" w:hAnsi="Arial" w:cs="Arial"/>
          </w:rPr>
          <w:t>https://doi.org/10.1093/fampra/cmn018</w:t>
        </w:r>
      </w:hyperlink>
    </w:p>
    <w:p w14:paraId="55A42BB9" w14:textId="77777777" w:rsidR="007717E1" w:rsidRPr="002F5128" w:rsidRDefault="007717E1" w:rsidP="007717E1">
      <w:pPr>
        <w:spacing w:line="360" w:lineRule="auto"/>
        <w:ind w:hanging="720"/>
        <w:rPr>
          <w:rFonts w:ascii="Arial" w:hAnsi="Arial" w:cs="Arial"/>
        </w:rPr>
      </w:pPr>
    </w:p>
    <w:p w14:paraId="344297BE" w14:textId="77777777" w:rsidR="002F5128" w:rsidRPr="006C12D8" w:rsidRDefault="002F5128" w:rsidP="002F5128">
      <w:pPr>
        <w:spacing w:line="360" w:lineRule="auto"/>
        <w:rPr>
          <w:rFonts w:ascii="Arial" w:hAnsi="Arial" w:cs="Arial"/>
        </w:rPr>
      </w:pPr>
    </w:p>
    <w:p w14:paraId="3B3EACDE" w14:textId="77777777" w:rsidR="006C12D8" w:rsidRPr="00E06AF9" w:rsidRDefault="006C12D8" w:rsidP="00CC390D">
      <w:pPr>
        <w:spacing w:line="360" w:lineRule="auto"/>
        <w:rPr>
          <w:rFonts w:ascii="Arial" w:hAnsi="Arial" w:cs="Arial"/>
        </w:rPr>
      </w:pPr>
    </w:p>
    <w:sectPr w:rsidR="006C12D8" w:rsidRPr="00E06AF9" w:rsidSect="007717E1">
      <w:head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37AB62" w14:textId="77777777" w:rsidR="005050A0" w:rsidRDefault="005050A0" w:rsidP="000A605D">
      <w:pPr>
        <w:spacing w:after="0" w:line="240" w:lineRule="auto"/>
      </w:pPr>
      <w:r>
        <w:separator/>
      </w:r>
    </w:p>
  </w:endnote>
  <w:endnote w:type="continuationSeparator" w:id="0">
    <w:p w14:paraId="340A1880" w14:textId="77777777" w:rsidR="005050A0" w:rsidRDefault="005050A0" w:rsidP="000A6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048354" w14:textId="77777777" w:rsidR="005050A0" w:rsidRDefault="005050A0" w:rsidP="000A605D">
      <w:pPr>
        <w:spacing w:after="0" w:line="240" w:lineRule="auto"/>
      </w:pPr>
      <w:r>
        <w:separator/>
      </w:r>
    </w:p>
  </w:footnote>
  <w:footnote w:type="continuationSeparator" w:id="0">
    <w:p w14:paraId="1D9EF23A" w14:textId="77777777" w:rsidR="005050A0" w:rsidRDefault="005050A0" w:rsidP="000A60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1653060"/>
      <w:docPartObj>
        <w:docPartGallery w:val="Page Numbers (Top of Page)"/>
        <w:docPartUnique/>
      </w:docPartObj>
    </w:sdtPr>
    <w:sdtEndPr>
      <w:rPr>
        <w:noProof/>
      </w:rPr>
    </w:sdtEndPr>
    <w:sdtContent>
      <w:p w14:paraId="350FBF09" w14:textId="50ECF2BA" w:rsidR="000A605D" w:rsidRDefault="000A605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16DDE4C" w14:textId="77777777" w:rsidR="000A605D" w:rsidRDefault="000A60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31E90"/>
    <w:multiLevelType w:val="hybridMultilevel"/>
    <w:tmpl w:val="8926DA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2306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AF9"/>
    <w:rsid w:val="00005D81"/>
    <w:rsid w:val="0007385E"/>
    <w:rsid w:val="000A605D"/>
    <w:rsid w:val="00150427"/>
    <w:rsid w:val="0017657C"/>
    <w:rsid w:val="002F5128"/>
    <w:rsid w:val="004839E6"/>
    <w:rsid w:val="005050A0"/>
    <w:rsid w:val="00636977"/>
    <w:rsid w:val="006C12D8"/>
    <w:rsid w:val="00750ADE"/>
    <w:rsid w:val="007717E1"/>
    <w:rsid w:val="009D72A6"/>
    <w:rsid w:val="00C4444C"/>
    <w:rsid w:val="00CC390D"/>
    <w:rsid w:val="00E06AF9"/>
    <w:rsid w:val="00F10F69"/>
    <w:rsid w:val="00FF3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14C27"/>
  <w15:chartTrackingRefBased/>
  <w15:docId w15:val="{77FD4089-5E4E-4D8D-90BC-0979E24C1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6A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6A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6A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6A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6A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6A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6A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6A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6A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6A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6A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6A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6A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6A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6A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A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A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AF9"/>
    <w:rPr>
      <w:rFonts w:eastAsiaTheme="majorEastAsia" w:cstheme="majorBidi"/>
      <w:color w:val="272727" w:themeColor="text1" w:themeTint="D8"/>
    </w:rPr>
  </w:style>
  <w:style w:type="paragraph" w:styleId="Title">
    <w:name w:val="Title"/>
    <w:basedOn w:val="Normal"/>
    <w:next w:val="Normal"/>
    <w:link w:val="TitleChar"/>
    <w:uiPriority w:val="10"/>
    <w:qFormat/>
    <w:rsid w:val="00E06A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6A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6A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6A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AF9"/>
    <w:pPr>
      <w:spacing w:before="160"/>
      <w:jc w:val="center"/>
    </w:pPr>
    <w:rPr>
      <w:i/>
      <w:iCs/>
      <w:color w:val="404040" w:themeColor="text1" w:themeTint="BF"/>
    </w:rPr>
  </w:style>
  <w:style w:type="character" w:customStyle="1" w:styleId="QuoteChar">
    <w:name w:val="Quote Char"/>
    <w:basedOn w:val="DefaultParagraphFont"/>
    <w:link w:val="Quote"/>
    <w:uiPriority w:val="29"/>
    <w:rsid w:val="00E06AF9"/>
    <w:rPr>
      <w:i/>
      <w:iCs/>
      <w:color w:val="404040" w:themeColor="text1" w:themeTint="BF"/>
    </w:rPr>
  </w:style>
  <w:style w:type="paragraph" w:styleId="ListParagraph">
    <w:name w:val="List Paragraph"/>
    <w:basedOn w:val="Normal"/>
    <w:uiPriority w:val="34"/>
    <w:qFormat/>
    <w:rsid w:val="00E06AF9"/>
    <w:pPr>
      <w:ind w:left="720"/>
      <w:contextualSpacing/>
    </w:pPr>
  </w:style>
  <w:style w:type="character" w:styleId="IntenseEmphasis">
    <w:name w:val="Intense Emphasis"/>
    <w:basedOn w:val="DefaultParagraphFont"/>
    <w:uiPriority w:val="21"/>
    <w:qFormat/>
    <w:rsid w:val="00E06AF9"/>
    <w:rPr>
      <w:i/>
      <w:iCs/>
      <w:color w:val="0F4761" w:themeColor="accent1" w:themeShade="BF"/>
    </w:rPr>
  </w:style>
  <w:style w:type="paragraph" w:styleId="IntenseQuote">
    <w:name w:val="Intense Quote"/>
    <w:basedOn w:val="Normal"/>
    <w:next w:val="Normal"/>
    <w:link w:val="IntenseQuoteChar"/>
    <w:uiPriority w:val="30"/>
    <w:qFormat/>
    <w:rsid w:val="00E06A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6AF9"/>
    <w:rPr>
      <w:i/>
      <w:iCs/>
      <w:color w:val="0F4761" w:themeColor="accent1" w:themeShade="BF"/>
    </w:rPr>
  </w:style>
  <w:style w:type="character" w:styleId="IntenseReference">
    <w:name w:val="Intense Reference"/>
    <w:basedOn w:val="DefaultParagraphFont"/>
    <w:uiPriority w:val="32"/>
    <w:qFormat/>
    <w:rsid w:val="00E06AF9"/>
    <w:rPr>
      <w:b/>
      <w:bCs/>
      <w:smallCaps/>
      <w:color w:val="0F4761" w:themeColor="accent1" w:themeShade="BF"/>
      <w:spacing w:val="5"/>
    </w:rPr>
  </w:style>
  <w:style w:type="paragraph" w:styleId="Header">
    <w:name w:val="header"/>
    <w:basedOn w:val="Normal"/>
    <w:link w:val="HeaderChar"/>
    <w:uiPriority w:val="99"/>
    <w:unhideWhenUsed/>
    <w:rsid w:val="000A60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05D"/>
  </w:style>
  <w:style w:type="paragraph" w:styleId="Footer">
    <w:name w:val="footer"/>
    <w:basedOn w:val="Normal"/>
    <w:link w:val="FooterChar"/>
    <w:uiPriority w:val="99"/>
    <w:unhideWhenUsed/>
    <w:rsid w:val="000A60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05D"/>
  </w:style>
  <w:style w:type="character" w:styleId="Hyperlink">
    <w:name w:val="Hyperlink"/>
    <w:basedOn w:val="DefaultParagraphFont"/>
    <w:uiPriority w:val="99"/>
    <w:unhideWhenUsed/>
    <w:rsid w:val="002F5128"/>
    <w:rPr>
      <w:color w:val="467886" w:themeColor="hyperlink"/>
      <w:u w:val="single"/>
    </w:rPr>
  </w:style>
  <w:style w:type="character" w:styleId="UnresolvedMention">
    <w:name w:val="Unresolved Mention"/>
    <w:basedOn w:val="DefaultParagraphFont"/>
    <w:uiPriority w:val="99"/>
    <w:semiHidden/>
    <w:unhideWhenUsed/>
    <w:rsid w:val="002F5128"/>
    <w:rPr>
      <w:color w:val="605E5C"/>
      <w:shd w:val="clear" w:color="auto" w:fill="E1DFDD"/>
    </w:rPr>
  </w:style>
  <w:style w:type="paragraph" w:styleId="NoSpacing">
    <w:name w:val="No Spacing"/>
    <w:link w:val="NoSpacingChar"/>
    <w:uiPriority w:val="1"/>
    <w:qFormat/>
    <w:rsid w:val="007717E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717E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4883646">
      <w:bodyDiv w:val="1"/>
      <w:marLeft w:val="0"/>
      <w:marRight w:val="0"/>
      <w:marTop w:val="0"/>
      <w:marBottom w:val="0"/>
      <w:divBdr>
        <w:top w:val="none" w:sz="0" w:space="0" w:color="auto"/>
        <w:left w:val="none" w:sz="0" w:space="0" w:color="auto"/>
        <w:bottom w:val="none" w:sz="0" w:space="0" w:color="auto"/>
        <w:right w:val="none" w:sz="0" w:space="0" w:color="auto"/>
      </w:divBdr>
    </w:div>
    <w:div w:id="1121073137">
      <w:bodyDiv w:val="1"/>
      <w:marLeft w:val="0"/>
      <w:marRight w:val="0"/>
      <w:marTop w:val="0"/>
      <w:marBottom w:val="0"/>
      <w:divBdr>
        <w:top w:val="none" w:sz="0" w:space="0" w:color="auto"/>
        <w:left w:val="none" w:sz="0" w:space="0" w:color="auto"/>
        <w:bottom w:val="none" w:sz="0" w:space="0" w:color="auto"/>
        <w:right w:val="none" w:sz="0" w:space="0" w:color="auto"/>
      </w:divBdr>
    </w:div>
    <w:div w:id="1328827491">
      <w:bodyDiv w:val="1"/>
      <w:marLeft w:val="0"/>
      <w:marRight w:val="0"/>
      <w:marTop w:val="0"/>
      <w:marBottom w:val="0"/>
      <w:divBdr>
        <w:top w:val="none" w:sz="0" w:space="0" w:color="auto"/>
        <w:left w:val="none" w:sz="0" w:space="0" w:color="auto"/>
        <w:bottom w:val="none" w:sz="0" w:space="0" w:color="auto"/>
        <w:right w:val="none" w:sz="0" w:space="0" w:color="auto"/>
      </w:divBdr>
    </w:div>
    <w:div w:id="1749769534">
      <w:bodyDiv w:val="1"/>
      <w:marLeft w:val="0"/>
      <w:marRight w:val="0"/>
      <w:marTop w:val="0"/>
      <w:marBottom w:val="0"/>
      <w:divBdr>
        <w:top w:val="none" w:sz="0" w:space="0" w:color="auto"/>
        <w:left w:val="none" w:sz="0" w:space="0" w:color="auto"/>
        <w:bottom w:val="none" w:sz="0" w:space="0" w:color="auto"/>
        <w:right w:val="none" w:sz="0" w:space="0" w:color="auto"/>
      </w:divBdr>
    </w:div>
    <w:div w:id="1942836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info/20027/news_and_media/541/facts_for_the_media" TargetMode="External"/><Relationship Id="rId13" Type="http://schemas.openxmlformats.org/officeDocument/2006/relationships/hyperlink" Target="https://beta.bps.org.uk/sites/beta.bps.org.uk/files/policy-Files/Psychological%20dimensions%20of%20dementia_Putting%20the%20person%20at%20the%20centre%20of%20care.pdf" TargetMode="External"/><Relationship Id="rId18" Type="http://schemas.openxmlformats.org/officeDocument/2006/relationships/hyperlink" Target="https://doi.org/10.12688/f1000research.15820.1" TargetMode="External"/><Relationship Id="rId26" Type="http://schemas.openxmlformats.org/officeDocument/2006/relationships/hyperlink" Target="https://doi.org/10.1136/bmj.j3453" TargetMode="External"/><Relationship Id="rId3" Type="http://schemas.openxmlformats.org/officeDocument/2006/relationships/styles" Target="styles.xml"/><Relationship Id="rId21" Type="http://schemas.openxmlformats.org/officeDocument/2006/relationships/hyperlink" Target="https://doi.org/10.1371/journal.pone.0216600" TargetMode="External"/><Relationship Id="rId7" Type="http://schemas.openxmlformats.org/officeDocument/2006/relationships/endnotes" Target="endnotes.xml"/><Relationship Id="rId12" Type="http://schemas.openxmlformats.org/officeDocument/2006/relationships/hyperlink" Target="https://doi.org/10.1111/j.1369-7625.2011.00695.x" TargetMode="External"/><Relationship Id="rId17" Type="http://schemas.openxmlformats.org/officeDocument/2006/relationships/hyperlink" Target="https://doi.org/10.1093/ageing/afad082" TargetMode="External"/><Relationship Id="rId25" Type="http://schemas.openxmlformats.org/officeDocument/2006/relationships/hyperlink" Target="https://www.hra.nhs.uk/planning-and-improving-research/best-practice/public-involvement" TargetMode="External"/><Relationship Id="rId2" Type="http://schemas.openxmlformats.org/officeDocument/2006/relationships/numbering" Target="numbering.xml"/><Relationship Id="rId16" Type="http://schemas.openxmlformats.org/officeDocument/2006/relationships/hyperlink" Target="http://www.casp-uk.net/checklists" TargetMode="External"/><Relationship Id="rId20" Type="http://schemas.openxmlformats.org/officeDocument/2006/relationships/hyperlink" Target="https://doi.org/10.1046/j.1369-6513.2003.00238.x" TargetMode="External"/><Relationship Id="rId29" Type="http://schemas.openxmlformats.org/officeDocument/2006/relationships/hyperlink" Target="https://doi.org/10.1093/fampra/cmn0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7/S0144686X99007898" TargetMode="External"/><Relationship Id="rId24" Type="http://schemas.openxmlformats.org/officeDocument/2006/relationships/hyperlink" Target="https://www.rds-nw.nihr.ac.uk/wp-content/uploads/2021/11/RDS_Guide_to_PPI_qualitative_methods.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S1474-4422(09)70045-6" TargetMode="External"/><Relationship Id="rId23" Type="http://schemas.openxmlformats.org/officeDocument/2006/relationships/hyperlink" Target="https://doi.org/10.1186/s40900-018-0138-9" TargetMode="External"/><Relationship Id="rId28" Type="http://schemas.openxmlformats.org/officeDocument/2006/relationships/hyperlink" Target="https://doi.org/10.1177/1471301209354026" TargetMode="External"/><Relationship Id="rId10" Type="http://schemas.openxmlformats.org/officeDocument/2006/relationships/hyperlink" Target="https://doi.org/10.1108/17556221111194536" TargetMode="External"/><Relationship Id="rId19" Type="http://schemas.openxmlformats.org/officeDocument/2006/relationships/hyperlink" Target="https://doi.org/10.1002/art.22091"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86/s12911-019-0748-z" TargetMode="External"/><Relationship Id="rId14" Type="http://schemas.openxmlformats.org/officeDocument/2006/relationships/hyperlink" Target="https://doi.org/10.1017/S0959259804000108" TargetMode="External"/><Relationship Id="rId22" Type="http://schemas.openxmlformats.org/officeDocument/2006/relationships/hyperlink" Target="https://doi.org/10.2190/TH8B-DG8Y-H4VJ-C47Q" TargetMode="External"/><Relationship Id="rId27" Type="http://schemas.openxmlformats.org/officeDocument/2006/relationships/hyperlink" Target="https://doi.org/10.1016/j.ijnurstu.2015.09.009"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2025-01-21T00:00:00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6220</Words>
  <Characters>35458</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on Public and Patient Involvement (PPI)</dc:title>
  <dc:subject/>
  <dc:creator>Mirabela Voican (1907947)</dc:creator>
  <cp:keywords/>
  <dc:description/>
  <cp:lastModifiedBy>Mirabela Voican (1907947)</cp:lastModifiedBy>
  <cp:revision>2</cp:revision>
  <dcterms:created xsi:type="dcterms:W3CDTF">2025-01-21T21:02:00Z</dcterms:created>
  <dcterms:modified xsi:type="dcterms:W3CDTF">2025-01-21T21:02:00Z</dcterms:modified>
</cp:coreProperties>
</file>