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6519797"/>
        <w:docPartObj>
          <w:docPartGallery w:val="Cover Pages"/>
          <w:docPartUnique/>
        </w:docPartObj>
      </w:sdtPr>
      <w:sdtContent>
        <w:p w14:paraId="1673C65E" w14:textId="433149EF" w:rsidR="0076154C" w:rsidRDefault="0076154C" w:rsidP="0076154C">
          <w:pPr>
            <w:jc w:val="left"/>
          </w:pPr>
          <w:r>
            <w:rPr>
              <w:noProof/>
            </w:rPr>
            <w:drawing>
              <wp:inline distT="0" distB="0" distL="0" distR="0" wp14:anchorId="45A64361" wp14:editId="526D3905">
                <wp:extent cx="5731510" cy="1980565"/>
                <wp:effectExtent l="0" t="0" r="2540" b="635"/>
                <wp:docPr id="119263829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980565"/>
                        </a:xfrm>
                        <a:prstGeom prst="rect">
                          <a:avLst/>
                        </a:prstGeom>
                        <a:noFill/>
                        <a:ln>
                          <a:noFill/>
                        </a:ln>
                      </pic:spPr>
                    </pic:pic>
                  </a:graphicData>
                </a:graphic>
              </wp:inline>
            </w:drawing>
          </w:r>
        </w:p>
        <w:p w14:paraId="728DCDBA" w14:textId="77777777" w:rsidR="0076154C" w:rsidRDefault="0076154C" w:rsidP="0076154C"/>
        <w:p w14:paraId="451A40A5" w14:textId="77777777" w:rsidR="0076154C" w:rsidRDefault="0076154C" w:rsidP="0076154C">
          <w:pPr>
            <w:jc w:val="center"/>
            <w:rPr>
              <w:b/>
              <w:bCs/>
              <w:sz w:val="32"/>
              <w:szCs w:val="28"/>
            </w:rPr>
          </w:pPr>
          <w:r>
            <w:rPr>
              <w:b/>
              <w:bCs/>
              <w:sz w:val="32"/>
              <w:szCs w:val="28"/>
            </w:rPr>
            <w:t>LCMB7004 Entrepreneurship</w:t>
          </w:r>
        </w:p>
        <w:p w14:paraId="1B2EDF52" w14:textId="77777777" w:rsidR="0076154C" w:rsidRDefault="0076154C" w:rsidP="0076154C">
          <w:pPr>
            <w:jc w:val="center"/>
            <w:rPr>
              <w:b/>
              <w:bCs/>
              <w:sz w:val="28"/>
              <w:szCs w:val="24"/>
            </w:rPr>
          </w:pPr>
          <w:r>
            <w:rPr>
              <w:b/>
              <w:bCs/>
              <w:sz w:val="28"/>
              <w:szCs w:val="24"/>
            </w:rPr>
            <w:t>BUSINESS START-UP, DEVELOPMENT AND GROWTH OF MONZO</w:t>
          </w:r>
        </w:p>
        <w:p w14:paraId="703A1D69" w14:textId="77777777" w:rsidR="0076154C" w:rsidRDefault="0076154C" w:rsidP="0076154C">
          <w:pPr>
            <w:spacing w:line="276" w:lineRule="auto"/>
            <w:jc w:val="center"/>
            <w:rPr>
              <w:rFonts w:cs="Arial"/>
              <w:b/>
              <w:bCs/>
              <w:sz w:val="32"/>
              <w:szCs w:val="28"/>
            </w:rPr>
          </w:pPr>
          <w:r>
            <w:rPr>
              <w:rFonts w:cs="Arial"/>
              <w:b/>
              <w:bCs/>
              <w:sz w:val="32"/>
              <w:szCs w:val="28"/>
            </w:rPr>
            <w:t>Assessment 2</w:t>
          </w:r>
        </w:p>
        <w:p w14:paraId="510080BB" w14:textId="77777777" w:rsidR="0044450A" w:rsidRDefault="0044450A" w:rsidP="0076154C">
          <w:pPr>
            <w:spacing w:line="276" w:lineRule="auto"/>
            <w:jc w:val="left"/>
            <w:rPr>
              <w:rFonts w:cs="Arial"/>
              <w:b/>
              <w:bCs/>
              <w:sz w:val="32"/>
              <w:szCs w:val="32"/>
            </w:rPr>
          </w:pPr>
        </w:p>
        <w:p w14:paraId="00873012" w14:textId="435FE5D2" w:rsidR="0076154C" w:rsidRPr="0076154C" w:rsidRDefault="0076154C" w:rsidP="0076154C">
          <w:pPr>
            <w:spacing w:line="276" w:lineRule="auto"/>
            <w:jc w:val="left"/>
            <w:rPr>
              <w:rFonts w:cs="Arial"/>
              <w:b/>
              <w:bCs/>
              <w:sz w:val="32"/>
              <w:szCs w:val="32"/>
            </w:rPr>
          </w:pPr>
          <w:r w:rsidRPr="0076154C">
            <w:rPr>
              <w:rFonts w:cs="Arial"/>
              <w:b/>
              <w:bCs/>
              <w:sz w:val="32"/>
              <w:szCs w:val="32"/>
            </w:rPr>
            <w:t xml:space="preserve">Name of student: </w:t>
          </w:r>
          <w:r>
            <w:rPr>
              <w:rFonts w:cs="Arial"/>
              <w:b/>
              <w:bCs/>
              <w:sz w:val="32"/>
              <w:szCs w:val="32"/>
            </w:rPr>
            <w:t>R</w:t>
          </w:r>
          <w:r w:rsidRPr="0076154C">
            <w:rPr>
              <w:rFonts w:cs="Arial"/>
              <w:b/>
              <w:bCs/>
              <w:sz w:val="32"/>
              <w:szCs w:val="32"/>
            </w:rPr>
            <w:t xml:space="preserve">inkuben </w:t>
          </w:r>
          <w:r>
            <w:rPr>
              <w:rFonts w:cs="Arial"/>
              <w:b/>
              <w:bCs/>
              <w:sz w:val="32"/>
              <w:szCs w:val="32"/>
            </w:rPr>
            <w:t>A</w:t>
          </w:r>
          <w:r w:rsidRPr="0076154C">
            <w:rPr>
              <w:rFonts w:cs="Arial"/>
              <w:b/>
              <w:bCs/>
              <w:sz w:val="32"/>
              <w:szCs w:val="32"/>
            </w:rPr>
            <w:t xml:space="preserve">kshaygiri </w:t>
          </w:r>
          <w:r>
            <w:rPr>
              <w:rFonts w:cs="Arial"/>
              <w:b/>
              <w:bCs/>
              <w:sz w:val="32"/>
              <w:szCs w:val="32"/>
            </w:rPr>
            <w:t>A</w:t>
          </w:r>
          <w:r w:rsidRPr="0076154C">
            <w:rPr>
              <w:rFonts w:cs="Arial"/>
              <w:b/>
              <w:bCs/>
              <w:sz w:val="32"/>
              <w:szCs w:val="32"/>
            </w:rPr>
            <w:t>paranathi</w:t>
          </w:r>
        </w:p>
        <w:p w14:paraId="01DCA249" w14:textId="77777777" w:rsidR="0044450A" w:rsidRDefault="0076154C" w:rsidP="0076154C">
          <w:pPr>
            <w:spacing w:line="276" w:lineRule="auto"/>
            <w:rPr>
              <w:rFonts w:cs="Arial"/>
              <w:b/>
              <w:bCs/>
              <w:sz w:val="32"/>
              <w:szCs w:val="32"/>
            </w:rPr>
          </w:pPr>
          <w:r>
            <w:rPr>
              <w:rFonts w:cs="Arial"/>
              <w:b/>
              <w:bCs/>
              <w:sz w:val="32"/>
              <w:szCs w:val="32"/>
            </w:rPr>
            <w:t xml:space="preserve">                          </w:t>
          </w:r>
          <w:r w:rsidRPr="0076154C">
            <w:rPr>
              <w:rFonts w:cs="Arial"/>
              <w:b/>
              <w:bCs/>
              <w:sz w:val="32"/>
              <w:szCs w:val="32"/>
            </w:rPr>
            <w:t xml:space="preserve"> </w:t>
          </w:r>
        </w:p>
        <w:p w14:paraId="6FD7EF8B" w14:textId="4117B1DC" w:rsidR="0076154C" w:rsidRDefault="0044450A" w:rsidP="0076154C">
          <w:pPr>
            <w:spacing w:line="276" w:lineRule="auto"/>
            <w:rPr>
              <w:rFonts w:cs="Arial"/>
              <w:b/>
              <w:bCs/>
              <w:sz w:val="32"/>
              <w:szCs w:val="32"/>
            </w:rPr>
          </w:pPr>
          <w:r>
            <w:rPr>
              <w:rFonts w:cs="Arial"/>
              <w:b/>
              <w:bCs/>
              <w:sz w:val="32"/>
              <w:szCs w:val="32"/>
            </w:rPr>
            <w:t xml:space="preserve">                         </w:t>
          </w:r>
          <w:r w:rsidR="0076154C" w:rsidRPr="0076154C">
            <w:rPr>
              <w:rFonts w:cs="Arial"/>
              <w:b/>
              <w:bCs/>
              <w:sz w:val="32"/>
              <w:szCs w:val="32"/>
            </w:rPr>
            <w:t xml:space="preserve"> Student </w:t>
          </w:r>
          <w:r w:rsidR="0076154C">
            <w:rPr>
              <w:rFonts w:cs="Arial"/>
              <w:b/>
              <w:bCs/>
              <w:sz w:val="32"/>
              <w:szCs w:val="32"/>
            </w:rPr>
            <w:t>ID</w:t>
          </w:r>
          <w:r w:rsidR="0076154C" w:rsidRPr="0076154C">
            <w:rPr>
              <w:rFonts w:cs="Arial"/>
              <w:b/>
              <w:bCs/>
              <w:sz w:val="32"/>
              <w:szCs w:val="32"/>
            </w:rPr>
            <w:t>: 2221508</w:t>
          </w:r>
        </w:p>
        <w:p w14:paraId="734B1AB9" w14:textId="77777777" w:rsidR="0044450A" w:rsidRDefault="0076154C" w:rsidP="0076154C">
          <w:pPr>
            <w:spacing w:line="276" w:lineRule="auto"/>
            <w:rPr>
              <w:rFonts w:cs="Arial"/>
              <w:b/>
              <w:bCs/>
              <w:sz w:val="32"/>
              <w:szCs w:val="32"/>
            </w:rPr>
          </w:pPr>
          <w:r>
            <w:rPr>
              <w:rFonts w:cs="Arial"/>
              <w:b/>
              <w:bCs/>
              <w:sz w:val="32"/>
              <w:szCs w:val="32"/>
            </w:rPr>
            <w:t xml:space="preserve">      </w:t>
          </w:r>
          <w:r w:rsidR="0044450A">
            <w:rPr>
              <w:rFonts w:cs="Arial"/>
              <w:b/>
              <w:bCs/>
              <w:sz w:val="32"/>
              <w:szCs w:val="32"/>
            </w:rPr>
            <w:t xml:space="preserve"> </w:t>
          </w:r>
        </w:p>
        <w:p w14:paraId="367B0BA5" w14:textId="462EB846" w:rsidR="0076154C" w:rsidRDefault="0044450A" w:rsidP="0076154C">
          <w:pPr>
            <w:spacing w:line="276" w:lineRule="auto"/>
            <w:rPr>
              <w:rFonts w:cs="Arial"/>
              <w:b/>
              <w:bCs/>
              <w:sz w:val="32"/>
              <w:szCs w:val="32"/>
            </w:rPr>
          </w:pPr>
          <w:r>
            <w:rPr>
              <w:rFonts w:cs="Arial"/>
              <w:b/>
              <w:bCs/>
              <w:sz w:val="32"/>
              <w:szCs w:val="32"/>
            </w:rPr>
            <w:t xml:space="preserve">     </w:t>
          </w:r>
          <w:r w:rsidR="0076154C">
            <w:rPr>
              <w:rFonts w:cs="Arial"/>
              <w:b/>
              <w:bCs/>
              <w:sz w:val="32"/>
              <w:szCs w:val="32"/>
            </w:rPr>
            <w:t xml:space="preserve">  Name of Lecturer: </w:t>
          </w:r>
          <w:r>
            <w:rPr>
              <w:rFonts w:cs="Arial"/>
              <w:b/>
              <w:bCs/>
              <w:sz w:val="32"/>
              <w:szCs w:val="32"/>
            </w:rPr>
            <w:t>Dr. Jaya</w:t>
          </w:r>
          <w:r w:rsidR="0076154C">
            <w:rPr>
              <w:rFonts w:cs="Arial"/>
              <w:b/>
              <w:bCs/>
              <w:sz w:val="32"/>
              <w:szCs w:val="32"/>
            </w:rPr>
            <w:t xml:space="preserve"> Gopalkrishnan</w:t>
          </w:r>
        </w:p>
        <w:p w14:paraId="08127C74" w14:textId="77777777" w:rsidR="0044450A" w:rsidRDefault="00DB3E65" w:rsidP="0076154C">
          <w:pPr>
            <w:spacing w:line="276" w:lineRule="auto"/>
            <w:rPr>
              <w:rFonts w:cs="Arial"/>
              <w:b/>
              <w:bCs/>
              <w:sz w:val="32"/>
              <w:szCs w:val="32"/>
            </w:rPr>
          </w:pPr>
          <w:r>
            <w:rPr>
              <w:rFonts w:cs="Arial"/>
              <w:b/>
              <w:bCs/>
              <w:sz w:val="32"/>
              <w:szCs w:val="32"/>
            </w:rPr>
            <w:t xml:space="preserve">                       </w:t>
          </w:r>
        </w:p>
        <w:p w14:paraId="721B0286" w14:textId="786364D5" w:rsidR="00DB3E65" w:rsidRDefault="0044450A" w:rsidP="0076154C">
          <w:pPr>
            <w:spacing w:line="276" w:lineRule="auto"/>
            <w:rPr>
              <w:rFonts w:cs="Arial"/>
              <w:b/>
              <w:bCs/>
              <w:sz w:val="32"/>
              <w:szCs w:val="32"/>
            </w:rPr>
          </w:pPr>
          <w:r>
            <w:rPr>
              <w:rFonts w:cs="Arial"/>
              <w:b/>
              <w:bCs/>
              <w:sz w:val="32"/>
              <w:szCs w:val="32"/>
            </w:rPr>
            <w:t xml:space="preserve">                  </w:t>
          </w:r>
          <w:r w:rsidR="00DB3E65">
            <w:rPr>
              <w:rFonts w:cs="Arial"/>
              <w:b/>
              <w:bCs/>
              <w:sz w:val="32"/>
              <w:szCs w:val="32"/>
            </w:rPr>
            <w:t>Module Code: LCMB7004</w:t>
          </w:r>
        </w:p>
        <w:p w14:paraId="27737178" w14:textId="77777777" w:rsidR="0044450A" w:rsidRDefault="00DB3E65" w:rsidP="0076154C">
          <w:pPr>
            <w:spacing w:line="276" w:lineRule="auto"/>
            <w:rPr>
              <w:rFonts w:cs="Arial"/>
              <w:b/>
              <w:bCs/>
              <w:sz w:val="32"/>
              <w:szCs w:val="32"/>
            </w:rPr>
          </w:pPr>
          <w:r>
            <w:rPr>
              <w:rFonts w:cs="Arial"/>
              <w:b/>
              <w:bCs/>
              <w:sz w:val="32"/>
              <w:szCs w:val="32"/>
            </w:rPr>
            <w:t xml:space="preserve">               </w:t>
          </w:r>
        </w:p>
        <w:p w14:paraId="4FE5BA4A" w14:textId="22469ECD" w:rsidR="00DB3E65" w:rsidRDefault="0044450A" w:rsidP="0076154C">
          <w:pPr>
            <w:spacing w:line="276" w:lineRule="auto"/>
            <w:rPr>
              <w:rFonts w:cs="Arial"/>
              <w:b/>
              <w:bCs/>
              <w:sz w:val="32"/>
              <w:szCs w:val="32"/>
            </w:rPr>
          </w:pPr>
          <w:r>
            <w:rPr>
              <w:rFonts w:cs="Arial"/>
              <w:b/>
              <w:bCs/>
              <w:sz w:val="32"/>
              <w:szCs w:val="32"/>
            </w:rPr>
            <w:t xml:space="preserve">            </w:t>
          </w:r>
          <w:r w:rsidR="00DB3E65">
            <w:rPr>
              <w:rFonts w:cs="Arial"/>
              <w:b/>
              <w:bCs/>
              <w:sz w:val="32"/>
              <w:szCs w:val="32"/>
            </w:rPr>
            <w:t xml:space="preserve"> Module Name: Entrepreneurship</w:t>
          </w:r>
        </w:p>
        <w:p w14:paraId="01CE29DF" w14:textId="22E73413" w:rsidR="00DB3E65" w:rsidRDefault="00555892" w:rsidP="0076154C">
          <w:pPr>
            <w:spacing w:line="276" w:lineRule="auto"/>
            <w:rPr>
              <w:rFonts w:cs="Arial"/>
              <w:b/>
              <w:bCs/>
              <w:sz w:val="32"/>
              <w:szCs w:val="32"/>
            </w:rPr>
          </w:pPr>
          <w:r>
            <w:rPr>
              <w:rFonts w:cs="Arial"/>
              <w:b/>
              <w:bCs/>
              <w:sz w:val="32"/>
              <w:szCs w:val="32"/>
            </w:rPr>
            <w:t xml:space="preserve">    </w:t>
          </w:r>
          <w:r w:rsidR="003C0D45">
            <w:rPr>
              <w:rFonts w:cs="Arial"/>
              <w:b/>
              <w:bCs/>
              <w:sz w:val="32"/>
              <w:szCs w:val="32"/>
            </w:rPr>
            <w:t xml:space="preserve">         </w:t>
          </w:r>
          <w:r w:rsidR="0044450A">
            <w:rPr>
              <w:rFonts w:cs="Arial"/>
              <w:b/>
              <w:bCs/>
              <w:sz w:val="32"/>
              <w:szCs w:val="32"/>
            </w:rPr>
            <w:t xml:space="preserve"> </w:t>
          </w:r>
        </w:p>
        <w:p w14:paraId="31FC0E9C" w14:textId="77777777" w:rsidR="00DB3E65" w:rsidRPr="0076154C" w:rsidRDefault="00DB3E65" w:rsidP="0076154C">
          <w:pPr>
            <w:spacing w:line="276" w:lineRule="auto"/>
            <w:rPr>
              <w:rFonts w:cs="Arial"/>
              <w:b/>
              <w:bCs/>
              <w:sz w:val="32"/>
              <w:szCs w:val="32"/>
            </w:rPr>
          </w:pPr>
        </w:p>
        <w:p w14:paraId="4A0D9F4E" w14:textId="521D5424" w:rsidR="0076154C" w:rsidRDefault="0076154C" w:rsidP="0076154C">
          <w:pPr>
            <w:spacing w:line="276" w:lineRule="auto"/>
            <w:jc w:val="left"/>
            <w:rPr>
              <w:rFonts w:asciiTheme="majorHAnsi" w:eastAsiaTheme="majorEastAsia" w:hAnsiTheme="majorHAnsi" w:cstheme="majorBidi"/>
              <w:b/>
              <w:bCs/>
              <w:color w:val="2F5496" w:themeColor="accent1" w:themeShade="BF"/>
              <w:sz w:val="28"/>
              <w:szCs w:val="28"/>
              <w:lang w:eastAsia="ja-JP"/>
            </w:rPr>
          </w:pPr>
          <w:r>
            <w:br w:type="page"/>
          </w:r>
        </w:p>
      </w:sdtContent>
    </w:sdt>
    <w:sdt>
      <w:sdtPr>
        <w:rPr>
          <w:rFonts w:ascii="Arial" w:eastAsiaTheme="minorHAnsi" w:hAnsi="Arial" w:cstheme="minorBidi"/>
          <w:b w:val="0"/>
          <w:bCs w:val="0"/>
          <w:color w:val="auto"/>
          <w:sz w:val="24"/>
          <w:szCs w:val="22"/>
          <w:lang w:eastAsia="en-US"/>
        </w:rPr>
        <w:id w:val="1274515316"/>
        <w:docPartObj>
          <w:docPartGallery w:val="Table of Contents"/>
          <w:docPartUnique/>
        </w:docPartObj>
      </w:sdtPr>
      <w:sdtContent>
        <w:p w14:paraId="07A55E43" w14:textId="77777777" w:rsidR="0076154C" w:rsidRDefault="0076154C" w:rsidP="0076154C">
          <w:pPr>
            <w:pStyle w:val="TOCHeading"/>
            <w:rPr>
              <w:rFonts w:ascii="Arial" w:hAnsi="Arial" w:cs="Arial"/>
              <w:sz w:val="24"/>
              <w:szCs w:val="24"/>
            </w:rPr>
          </w:pPr>
          <w:r>
            <w:rPr>
              <w:rFonts w:ascii="Arial" w:hAnsi="Arial" w:cs="Arial"/>
              <w:sz w:val="24"/>
              <w:szCs w:val="24"/>
            </w:rPr>
            <w:t>Table of Contents</w:t>
          </w:r>
        </w:p>
        <w:p w14:paraId="6E1DEB88" w14:textId="77777777" w:rsidR="0076154C" w:rsidRDefault="0076154C" w:rsidP="0076154C">
          <w:pPr>
            <w:pStyle w:val="TOC1"/>
            <w:tabs>
              <w:tab w:val="right" w:leader="dot" w:pos="9016"/>
            </w:tabs>
            <w:rPr>
              <w:rFonts w:asciiTheme="minorHAnsi" w:eastAsiaTheme="minorEastAsia" w:hAnsiTheme="minorHAnsi"/>
              <w:noProof/>
              <w:sz w:val="22"/>
              <w:szCs w:val="20"/>
              <w:lang w:val="en-IN" w:eastAsia="en-IN" w:bidi="hi-IN"/>
            </w:rPr>
          </w:pPr>
          <w:r>
            <w:rPr>
              <w:rFonts w:cs="Arial"/>
              <w:szCs w:val="24"/>
            </w:rPr>
            <w:fldChar w:fldCharType="begin"/>
          </w:r>
          <w:r>
            <w:rPr>
              <w:rFonts w:cs="Arial"/>
              <w:szCs w:val="24"/>
            </w:rPr>
            <w:instrText xml:space="preserve"> TOC \o "1-3" \h \z \u </w:instrText>
          </w:r>
          <w:r>
            <w:rPr>
              <w:rFonts w:cs="Arial"/>
              <w:szCs w:val="24"/>
            </w:rPr>
            <w:fldChar w:fldCharType="separate"/>
          </w:r>
          <w:hyperlink r:id="rId6" w:anchor="_Toc143804150"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_Toc143804150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0CE1AD48" w14:textId="77777777" w:rsidR="0076154C" w:rsidRDefault="00000000" w:rsidP="0076154C">
          <w:pPr>
            <w:pStyle w:val="TOC1"/>
            <w:tabs>
              <w:tab w:val="right" w:leader="dot" w:pos="9016"/>
            </w:tabs>
            <w:rPr>
              <w:rFonts w:asciiTheme="minorHAnsi" w:eastAsiaTheme="minorEastAsia" w:hAnsiTheme="minorHAnsi"/>
              <w:noProof/>
              <w:sz w:val="22"/>
              <w:szCs w:val="20"/>
              <w:lang w:val="en-IN" w:eastAsia="en-IN" w:bidi="hi-IN"/>
            </w:rPr>
          </w:pPr>
          <w:hyperlink r:id="rId7" w:anchor="_Toc143804151" w:history="1">
            <w:r w:rsidR="0076154C">
              <w:rPr>
                <w:rStyle w:val="Hyperlink"/>
                <w:noProof/>
              </w:rPr>
              <w:t>Case Study: Fictitious Health-Tech Start-Up (Inspired by Monzo)</w:t>
            </w:r>
            <w:r w:rsidR="0076154C">
              <w:rPr>
                <w:rStyle w:val="Hyperlink"/>
                <w:noProof/>
                <w:webHidden/>
                <w:color w:val="auto"/>
              </w:rPr>
              <w:tab/>
            </w:r>
            <w:r w:rsidR="0076154C">
              <w:rPr>
                <w:rStyle w:val="Hyperlink"/>
                <w:noProof/>
                <w:webHidden/>
                <w:color w:val="auto"/>
              </w:rPr>
              <w:fldChar w:fldCharType="begin"/>
            </w:r>
            <w:r w:rsidR="0076154C">
              <w:rPr>
                <w:rStyle w:val="Hyperlink"/>
                <w:noProof/>
                <w:webHidden/>
                <w:color w:val="auto"/>
              </w:rPr>
              <w:instrText xml:space="preserve"> PAGEREF _Toc143804151 \h </w:instrText>
            </w:r>
            <w:r w:rsidR="0076154C">
              <w:rPr>
                <w:rStyle w:val="Hyperlink"/>
                <w:noProof/>
                <w:webHidden/>
                <w:color w:val="auto"/>
              </w:rPr>
            </w:r>
            <w:r w:rsidR="0076154C">
              <w:rPr>
                <w:rStyle w:val="Hyperlink"/>
                <w:noProof/>
                <w:webHidden/>
                <w:color w:val="auto"/>
              </w:rPr>
              <w:fldChar w:fldCharType="separate"/>
            </w:r>
            <w:r w:rsidR="0076154C">
              <w:rPr>
                <w:rStyle w:val="Hyperlink"/>
                <w:noProof/>
                <w:webHidden/>
                <w:color w:val="auto"/>
              </w:rPr>
              <w:t>3</w:t>
            </w:r>
            <w:r w:rsidR="0076154C">
              <w:rPr>
                <w:rStyle w:val="Hyperlink"/>
                <w:noProof/>
                <w:webHidden/>
                <w:color w:val="auto"/>
              </w:rPr>
              <w:fldChar w:fldCharType="end"/>
            </w:r>
          </w:hyperlink>
        </w:p>
        <w:p w14:paraId="48C153C9" w14:textId="77777777" w:rsidR="0076154C" w:rsidRDefault="00000000" w:rsidP="0076154C">
          <w:pPr>
            <w:pStyle w:val="TOC1"/>
            <w:tabs>
              <w:tab w:val="right" w:leader="dot" w:pos="9016"/>
            </w:tabs>
            <w:rPr>
              <w:rFonts w:asciiTheme="minorHAnsi" w:eastAsiaTheme="minorEastAsia" w:hAnsiTheme="minorHAnsi"/>
              <w:noProof/>
              <w:sz w:val="22"/>
              <w:szCs w:val="20"/>
              <w:lang w:val="en-IN" w:eastAsia="en-IN" w:bidi="hi-IN"/>
            </w:rPr>
          </w:pPr>
          <w:hyperlink r:id="rId8" w:anchor="_Toc143804152" w:history="1">
            <w:r w:rsidR="0076154C">
              <w:rPr>
                <w:rStyle w:val="Hyperlink"/>
                <w:noProof/>
              </w:rPr>
              <w:t>Demonstrating Professional Qualities and Transferable Skills for Start-Up Success</w:t>
            </w:r>
            <w:r w:rsidR="0076154C">
              <w:rPr>
                <w:rStyle w:val="Hyperlink"/>
                <w:noProof/>
                <w:webHidden/>
                <w:color w:val="auto"/>
              </w:rPr>
              <w:tab/>
            </w:r>
            <w:r w:rsidR="0076154C">
              <w:rPr>
                <w:rStyle w:val="Hyperlink"/>
                <w:noProof/>
                <w:webHidden/>
                <w:color w:val="auto"/>
              </w:rPr>
              <w:fldChar w:fldCharType="begin"/>
            </w:r>
            <w:r w:rsidR="0076154C">
              <w:rPr>
                <w:rStyle w:val="Hyperlink"/>
                <w:noProof/>
                <w:webHidden/>
                <w:color w:val="auto"/>
              </w:rPr>
              <w:instrText xml:space="preserve"> PAGEREF _Toc143804152 \h </w:instrText>
            </w:r>
            <w:r w:rsidR="0076154C">
              <w:rPr>
                <w:rStyle w:val="Hyperlink"/>
                <w:noProof/>
                <w:webHidden/>
                <w:color w:val="auto"/>
              </w:rPr>
            </w:r>
            <w:r w:rsidR="0076154C">
              <w:rPr>
                <w:rStyle w:val="Hyperlink"/>
                <w:noProof/>
                <w:webHidden/>
                <w:color w:val="auto"/>
              </w:rPr>
              <w:fldChar w:fldCharType="separate"/>
            </w:r>
            <w:r w:rsidR="0076154C">
              <w:rPr>
                <w:rStyle w:val="Hyperlink"/>
                <w:noProof/>
                <w:webHidden/>
                <w:color w:val="auto"/>
              </w:rPr>
              <w:t>4</w:t>
            </w:r>
            <w:r w:rsidR="0076154C">
              <w:rPr>
                <w:rStyle w:val="Hyperlink"/>
                <w:noProof/>
                <w:webHidden/>
                <w:color w:val="auto"/>
              </w:rPr>
              <w:fldChar w:fldCharType="end"/>
            </w:r>
          </w:hyperlink>
        </w:p>
        <w:p w14:paraId="3BB81B70" w14:textId="77777777" w:rsidR="0076154C" w:rsidRDefault="00000000" w:rsidP="0076154C">
          <w:pPr>
            <w:pStyle w:val="TOC1"/>
            <w:tabs>
              <w:tab w:val="right" w:leader="dot" w:pos="9016"/>
            </w:tabs>
            <w:rPr>
              <w:rFonts w:asciiTheme="minorHAnsi" w:eastAsiaTheme="minorEastAsia" w:hAnsiTheme="minorHAnsi"/>
              <w:noProof/>
              <w:sz w:val="22"/>
              <w:szCs w:val="20"/>
              <w:lang w:val="en-IN" w:eastAsia="en-IN" w:bidi="hi-IN"/>
            </w:rPr>
          </w:pPr>
          <w:hyperlink r:id="rId9" w:anchor="_Toc143804153" w:history="1">
            <w:r w:rsidR="0076154C">
              <w:rPr>
                <w:rStyle w:val="Hyperlink"/>
                <w:noProof/>
              </w:rPr>
              <w:t>Conclusion</w:t>
            </w:r>
            <w:r w:rsidR="0076154C">
              <w:rPr>
                <w:rStyle w:val="Hyperlink"/>
                <w:noProof/>
                <w:webHidden/>
                <w:color w:val="auto"/>
              </w:rPr>
              <w:tab/>
            </w:r>
            <w:r w:rsidR="0076154C">
              <w:rPr>
                <w:rStyle w:val="Hyperlink"/>
                <w:noProof/>
                <w:webHidden/>
                <w:color w:val="auto"/>
              </w:rPr>
              <w:fldChar w:fldCharType="begin"/>
            </w:r>
            <w:r w:rsidR="0076154C">
              <w:rPr>
                <w:rStyle w:val="Hyperlink"/>
                <w:noProof/>
                <w:webHidden/>
                <w:color w:val="auto"/>
              </w:rPr>
              <w:instrText xml:space="preserve"> PAGEREF _Toc143804153 \h </w:instrText>
            </w:r>
            <w:r w:rsidR="0076154C">
              <w:rPr>
                <w:rStyle w:val="Hyperlink"/>
                <w:noProof/>
                <w:webHidden/>
                <w:color w:val="auto"/>
              </w:rPr>
            </w:r>
            <w:r w:rsidR="0076154C">
              <w:rPr>
                <w:rStyle w:val="Hyperlink"/>
                <w:noProof/>
                <w:webHidden/>
                <w:color w:val="auto"/>
              </w:rPr>
              <w:fldChar w:fldCharType="separate"/>
            </w:r>
            <w:r w:rsidR="0076154C">
              <w:rPr>
                <w:rStyle w:val="Hyperlink"/>
                <w:noProof/>
                <w:webHidden/>
                <w:color w:val="auto"/>
              </w:rPr>
              <w:t>5</w:t>
            </w:r>
            <w:r w:rsidR="0076154C">
              <w:rPr>
                <w:rStyle w:val="Hyperlink"/>
                <w:noProof/>
                <w:webHidden/>
                <w:color w:val="auto"/>
              </w:rPr>
              <w:fldChar w:fldCharType="end"/>
            </w:r>
          </w:hyperlink>
        </w:p>
        <w:p w14:paraId="2101743A" w14:textId="77777777" w:rsidR="0076154C" w:rsidRDefault="0076154C" w:rsidP="0076154C">
          <w:pPr>
            <w:rPr>
              <w:b/>
              <w:bCs/>
              <w:noProof/>
            </w:rPr>
          </w:pPr>
          <w:r>
            <w:rPr>
              <w:rFonts w:cs="Arial"/>
              <w:b/>
              <w:bCs/>
              <w:noProof/>
              <w:szCs w:val="24"/>
            </w:rPr>
            <w:fldChar w:fldCharType="end"/>
          </w:r>
        </w:p>
      </w:sdtContent>
    </w:sdt>
    <w:p w14:paraId="4FD4950F" w14:textId="77777777" w:rsidR="0076154C" w:rsidRDefault="0076154C" w:rsidP="0076154C">
      <w:pPr>
        <w:spacing w:after="160" w:line="256" w:lineRule="auto"/>
        <w:jc w:val="left"/>
        <w:rPr>
          <w:rFonts w:eastAsiaTheme="majorEastAsia" w:cstheme="majorBidi"/>
          <w:b/>
          <w:bCs/>
          <w:color w:val="2F5496" w:themeColor="accent1" w:themeShade="BF"/>
          <w:sz w:val="32"/>
          <w:szCs w:val="28"/>
        </w:rPr>
      </w:pPr>
      <w:r>
        <w:br w:type="page"/>
      </w:r>
    </w:p>
    <w:p w14:paraId="29673EEF" w14:textId="77777777" w:rsidR="0076154C" w:rsidRDefault="0076154C" w:rsidP="0076154C">
      <w:pPr>
        <w:pStyle w:val="Heading1"/>
        <w:spacing w:before="240" w:after="240"/>
      </w:pPr>
      <w:bookmarkStart w:id="0" w:name="_Toc143804150"/>
      <w:r>
        <w:lastRenderedPageBreak/>
        <w:t>Introduction</w:t>
      </w:r>
      <w:bookmarkEnd w:id="0"/>
    </w:p>
    <w:p w14:paraId="78E63289" w14:textId="77777777" w:rsidR="0076154C" w:rsidRDefault="0076154C" w:rsidP="0076154C">
      <w:pPr>
        <w:spacing w:before="240" w:after="240"/>
      </w:pPr>
      <w:r>
        <w:t xml:space="preserve">It takes a multifaceted approach that integrates systematic knowledge, critical thinking, and the use of cutting-edge concepts to assess a startup's viability after the first three years in the competitive startup landscape (Giardino </w:t>
      </w:r>
      <w:r>
        <w:rPr>
          <w:i/>
        </w:rPr>
        <w:t xml:space="preserve">et al., </w:t>
      </w:r>
      <w:r>
        <w:t>2015). This report analyses Monzo, a successful UK-based fintech startup, in depth to determine the complex factors that contribute to a company's early success. It is crucial to demonstrate sound judgement, independent learning, and effective communication in a professional setting, all of which are necessary for success at the graduate level.</w:t>
      </w:r>
    </w:p>
    <w:p w14:paraId="322D9833" w14:textId="77777777" w:rsidR="0076154C" w:rsidRDefault="0076154C" w:rsidP="0076154C">
      <w:pPr>
        <w:spacing w:before="240" w:after="240"/>
      </w:pPr>
      <w:r>
        <w:t>Using disruptive innovation theories, lean startup methodologies, customer journey mapping, and ecosystem analysis, we conduct an in-depth examination of Monzo's development to uncover the novel tactics that have sustained the company for more than three years. The report highlights the writer's ability to translate theoretical knowledge into actionable insights, shows that they can handle complex challenges, and illustrates their subject-matter expertise with concrete examples. By analysing Monzo's development, we show how the company's success exemplifies the fusion of theory and practice in the field of entrepreneurship at the start-up level.</w:t>
      </w:r>
    </w:p>
    <w:p w14:paraId="1A349BB2" w14:textId="77777777" w:rsidR="0076154C" w:rsidRDefault="0076154C" w:rsidP="0076154C">
      <w:pPr>
        <w:pStyle w:val="Heading1"/>
        <w:spacing w:before="240" w:after="240"/>
      </w:pPr>
      <w:bookmarkStart w:id="1" w:name="_Toc143035702"/>
      <w:bookmarkStart w:id="2" w:name="_Toc143804151"/>
      <w:r>
        <w:t>Case Study: Fictitious Health-Tech Start-Up (Inspired by Monzo)</w:t>
      </w:r>
      <w:bookmarkEnd w:id="1"/>
      <w:bookmarkEnd w:id="2"/>
    </w:p>
    <w:p w14:paraId="6F45B3DC" w14:textId="77777777" w:rsidR="0076154C" w:rsidRDefault="0076154C" w:rsidP="0076154C">
      <w:pPr>
        <w:spacing w:before="240" w:after="240"/>
      </w:pPr>
      <w:r>
        <w:t>Visualise a tech startup in the health care industry that provides a system for customised, online medical monitoring and advice. The use of the DEM technique:</w:t>
      </w:r>
    </w:p>
    <w:p w14:paraId="6011E19A" w14:textId="77777777" w:rsidR="0076154C" w:rsidRDefault="0076154C" w:rsidP="0076154C">
      <w:pPr>
        <w:numPr>
          <w:ilvl w:val="0"/>
          <w:numId w:val="1"/>
        </w:numPr>
        <w:spacing w:before="240" w:after="240"/>
      </w:pPr>
      <w:r>
        <w:rPr>
          <w:b/>
          <w:bCs/>
        </w:rPr>
        <w:t>Stakeholder Mapping:</w:t>
      </w:r>
      <w:r>
        <w:t xml:space="preserve"> The start-up maps stakeholders such as patients, doctors, insurance providers, regulatory bodies, and wearable device manufacturers. The network analysis reveals potential collaboration opportunities and regulatory dependencies (Slabá, 2016).</w:t>
      </w:r>
    </w:p>
    <w:p w14:paraId="2908B354" w14:textId="77777777" w:rsidR="0076154C" w:rsidRDefault="0076154C" w:rsidP="0076154C">
      <w:pPr>
        <w:numPr>
          <w:ilvl w:val="0"/>
          <w:numId w:val="1"/>
        </w:numPr>
        <w:spacing w:before="240" w:after="240"/>
      </w:pPr>
      <w:r>
        <w:rPr>
          <w:b/>
          <w:bCs/>
        </w:rPr>
        <w:t>Scenario Planning:</w:t>
      </w:r>
      <w:r>
        <w:t xml:space="preserve"> Scenarios could include regulatory changes that encourage telehealth adoption, the rise of new wearable technologies, and shifts in patient preferences towards virtual care (Aggarwal </w:t>
      </w:r>
      <w:r>
        <w:rPr>
          <w:i/>
        </w:rPr>
        <w:t xml:space="preserve">et al., </w:t>
      </w:r>
      <w:r>
        <w:t>2020).</w:t>
      </w:r>
    </w:p>
    <w:p w14:paraId="4DD463F3" w14:textId="77777777" w:rsidR="0076154C" w:rsidRDefault="0076154C" w:rsidP="0076154C">
      <w:pPr>
        <w:numPr>
          <w:ilvl w:val="0"/>
          <w:numId w:val="1"/>
        </w:numPr>
        <w:spacing w:before="240" w:after="240"/>
      </w:pPr>
      <w:r>
        <w:rPr>
          <w:b/>
          <w:bCs/>
        </w:rPr>
        <w:t>Impact Analysis:</w:t>
      </w:r>
      <w:r>
        <w:t xml:space="preserve"> For each scenario, the start-up evaluates the implications on patient acquisition, revenue models, partnerships, and regulatory compliance. For instance, in a scenario where wearable technologies become ubiquitous, </w:t>
      </w:r>
      <w:r>
        <w:lastRenderedPageBreak/>
        <w:t>the start-up might need to pivot its business model to integrate with popular wearables (Çiçek, 2015).</w:t>
      </w:r>
    </w:p>
    <w:p w14:paraId="680B3139" w14:textId="77777777" w:rsidR="0076154C" w:rsidRDefault="0076154C" w:rsidP="0076154C">
      <w:pPr>
        <w:pStyle w:val="Heading1"/>
        <w:spacing w:before="240" w:after="240"/>
      </w:pPr>
      <w:bookmarkStart w:id="3" w:name="_Toc143035703"/>
      <w:bookmarkStart w:id="4" w:name="_Toc143804152"/>
      <w:r>
        <w:t>Demonstrating Professional Qualities and Transferable Skills for Start-Up Success</w:t>
      </w:r>
      <w:bookmarkEnd w:id="3"/>
      <w:bookmarkEnd w:id="4"/>
    </w:p>
    <w:p w14:paraId="106C50A5" w14:textId="77777777" w:rsidR="0076154C" w:rsidRDefault="0076154C" w:rsidP="0076154C">
      <w:pPr>
        <w:spacing w:before="240" w:after="240"/>
      </w:pPr>
      <w:r>
        <w:t>In the context of evaluating start-up success and preparing for postgraduate-level employment, it's essential to showcase qualities and transferable skills that align with sound judgment, personal responsibility, and initiative. Let's explore how these qualities can be exemplified through a case study involving the evaluation of a start-up's success using the dynamic ecosystem mapping (DEM) approach mentioned earlier:</w:t>
      </w:r>
    </w:p>
    <w:p w14:paraId="265E83DD" w14:textId="77777777" w:rsidR="0076154C" w:rsidRDefault="0076154C" w:rsidP="0076154C">
      <w:pPr>
        <w:spacing w:before="240" w:after="240"/>
      </w:pPr>
      <w:r>
        <w:rPr>
          <w:b/>
          <w:bCs/>
        </w:rPr>
        <w:t>1. Independent Learning for Professional Development:</w:t>
      </w:r>
      <w:r>
        <w:t xml:space="preserve"> Incorporating DEM into the evaluation process requires a deep understanding of ecosystem analysis, scenario planning, and network theory. This entails independent learning to enhance existing skills and acquire new competencies (Zanchi and Brady, 2019). This showcases the ability to self-direct learning and adapt knowledge to complex contexts.</w:t>
      </w:r>
    </w:p>
    <w:p w14:paraId="12F5786D" w14:textId="77777777" w:rsidR="0076154C" w:rsidRDefault="0076154C" w:rsidP="0076154C">
      <w:pPr>
        <w:spacing w:before="240" w:after="240"/>
      </w:pPr>
      <w:r>
        <w:rPr>
          <w:b/>
          <w:bCs/>
        </w:rPr>
        <w:t>2. Initiative and Task Completion:</w:t>
      </w:r>
      <w:r>
        <w:t xml:space="preserve"> Applying the DEM approach involves initiating and completing tasks, projects, and procedures. The process entails stakeholder mapping, scenario development, impact analysis, and strategy formulation. Taking the initiative to gather diverse data sources, create stakeholder maps, and conduct thorough scenario analyses demonstrates a proactive approach to problem-solving and project management (Kettunen, 2014).</w:t>
      </w:r>
    </w:p>
    <w:p w14:paraId="6E19977B" w14:textId="77777777" w:rsidR="0076154C" w:rsidRDefault="0076154C" w:rsidP="0076154C">
      <w:pPr>
        <w:spacing w:before="240" w:after="240"/>
      </w:pPr>
      <w:r>
        <w:rPr>
          <w:b/>
          <w:bCs/>
        </w:rPr>
        <w:t>3. Effective Communication in Various Formats:</w:t>
      </w:r>
      <w:r>
        <w:t xml:space="preserve"> Effectively communicating findings and insights is crucial in postgraduate-level employment. The DEM analysis outcomes, scenario implications, and strategic recommendations must be communicated coherently to diverse audiences. This could involve creating presentations, reports, and visualizations to convey complex information clearly and persuasively. Using appropriate media to engage stakeholders highlights the ability to tailor communication for specific contexts (Lovejoy, Waters and Saxton, 2012).</w:t>
      </w:r>
    </w:p>
    <w:p w14:paraId="66D53820" w14:textId="77777777" w:rsidR="0076154C" w:rsidRDefault="0076154C" w:rsidP="0076154C">
      <w:pPr>
        <w:pStyle w:val="Heading1"/>
        <w:spacing w:before="240" w:after="240"/>
      </w:pPr>
      <w:bookmarkStart w:id="5" w:name="_Toc143804153"/>
      <w:r>
        <w:lastRenderedPageBreak/>
        <w:t>Conclusion</w:t>
      </w:r>
      <w:bookmarkEnd w:id="5"/>
    </w:p>
    <w:p w14:paraId="1CD719F0" w14:textId="77777777" w:rsidR="0076154C" w:rsidRDefault="0076154C" w:rsidP="0076154C">
      <w:pPr>
        <w:spacing w:before="240" w:after="240"/>
      </w:pPr>
      <w:r>
        <w:t xml:space="preserve">In conclusion, this comprehensive analysis of Monzo's success underscores the significance of integrating systematic understanding, critical awareness, and contemporary concepts in evaluating start-up achievements. By applying theories such as disruptive innovation and lean startup methodologies to Monzo's journey, we've showcased how theoretical knowledge can be harnessed to address real-world challenges. </w:t>
      </w:r>
    </w:p>
    <w:p w14:paraId="030ADEC3" w14:textId="77777777" w:rsidR="0076154C" w:rsidRDefault="0076154C" w:rsidP="0076154C">
      <w:pPr>
        <w:spacing w:before="240" w:after="240"/>
      </w:pPr>
      <w:r>
        <w:t>The ability to adapt and innovate, as demonstrated by Monzo's disruptive digital banking approach and customer-centric strategies, reflects the essence of successful start-ups. This report has exemplified the transferable skills required at a postgraduate level—autonomous learning, initiative, effective communication, and informed decision-making. The case of Monzo has illustrated the symbiotic relationship between theory and practice, demonstrating how mastery of subject-related concepts equips individuals to navigate complex, unpredictable professional environments with acumen, originality, and impact.</w:t>
      </w:r>
    </w:p>
    <w:p w14:paraId="531098C2" w14:textId="77777777" w:rsidR="0076154C" w:rsidRDefault="0076154C" w:rsidP="0076154C">
      <w:pPr>
        <w:spacing w:after="160" w:line="256" w:lineRule="auto"/>
        <w:jc w:val="left"/>
      </w:pPr>
      <w:r>
        <w:br w:type="page"/>
      </w:r>
    </w:p>
    <w:p w14:paraId="3EC133FA" w14:textId="77777777" w:rsidR="0076154C" w:rsidRDefault="0076154C" w:rsidP="0076154C">
      <w:pPr>
        <w:rPr>
          <w:b/>
        </w:rPr>
      </w:pPr>
      <w:r>
        <w:rPr>
          <w:b/>
        </w:rPr>
        <w:lastRenderedPageBreak/>
        <w:t>References</w:t>
      </w:r>
    </w:p>
    <w:p w14:paraId="14F3E513" w14:textId="77777777" w:rsidR="0076154C" w:rsidRDefault="0076154C" w:rsidP="0076154C">
      <w:r>
        <w:t xml:space="preserve">Aggarwal, D., Ploderer, B., Hoang, T., Vetere, F. and Bradford, M. (2020) ‘Physiotherapy over a distance: The use of wearable technology for video consultations in hospital settings’, </w:t>
      </w:r>
      <w:r>
        <w:rPr>
          <w:i/>
        </w:rPr>
        <w:t>ACM Transactions on Computing for Healthcare,</w:t>
      </w:r>
      <w:r>
        <w:t xml:space="preserve"> 1(4), pp.1-29.</w:t>
      </w:r>
    </w:p>
    <w:p w14:paraId="6BA7C8EA" w14:textId="77777777" w:rsidR="0076154C" w:rsidRDefault="0076154C" w:rsidP="0076154C">
      <w:r>
        <w:t xml:space="preserve">Çiçek, M.E.S.U.T. (2015) ‘Wearable technologies and its future applications’, </w:t>
      </w:r>
      <w:r>
        <w:rPr>
          <w:i/>
        </w:rPr>
        <w:t>International Journal of Electrical, Electronics and Data Communication,</w:t>
      </w:r>
      <w:r>
        <w:t xml:space="preserve"> 3(4), pp.45-50.</w:t>
      </w:r>
    </w:p>
    <w:p w14:paraId="1ED3AFFF" w14:textId="77777777" w:rsidR="0076154C" w:rsidRDefault="0076154C" w:rsidP="0076154C">
      <w:r>
        <w:t>Giardino, C., Bajwa, S.S., Wang, X. and Abrahamsson, P. (2015) ‘Key challenges in early-stage software startups’,</w:t>
      </w:r>
      <w:r>
        <w:rPr>
          <w:i/>
        </w:rPr>
        <w:t xml:space="preserve"> In Agile Processes in Software Engineering and Extreme Programming: 16th International Conference, XP 2015</w:t>
      </w:r>
      <w:r>
        <w:t>, 8(3), pp. 52-63.</w:t>
      </w:r>
    </w:p>
    <w:p w14:paraId="3A138E32" w14:textId="77777777" w:rsidR="0076154C" w:rsidRDefault="0076154C" w:rsidP="0076154C">
      <w:r>
        <w:t xml:space="preserve">Kettunen, J. (2014) ‘The stakeholder map in higher education’, </w:t>
      </w:r>
      <w:r>
        <w:rPr>
          <w:i/>
        </w:rPr>
        <w:t>International Proceedings of Economics Development and Research,</w:t>
      </w:r>
      <w:r>
        <w:t xml:space="preserve"> 78(1), pp.34-38.</w:t>
      </w:r>
    </w:p>
    <w:p w14:paraId="1B42F5B9" w14:textId="77777777" w:rsidR="0076154C" w:rsidRDefault="0076154C" w:rsidP="0076154C">
      <w:r>
        <w:t xml:space="preserve">Lovejoy, K., Waters, R.D. and Saxton, G.D.  (2012) ‘Engaging stakeholders through Twitter: How nonprofit organizations are getting more out of 140 characters or les’, </w:t>
      </w:r>
      <w:r>
        <w:rPr>
          <w:i/>
        </w:rPr>
        <w:t>Public relations review,</w:t>
      </w:r>
      <w:r>
        <w:t xml:space="preserve"> 38(2), pp. 313-318.</w:t>
      </w:r>
    </w:p>
    <w:p w14:paraId="72D980B6" w14:textId="7833EFEB" w:rsidR="0076154C" w:rsidRDefault="00DA3DA2" w:rsidP="0076154C">
      <w:r>
        <w:t>Sla</w:t>
      </w:r>
      <w:r w:rsidR="00C92F6B">
        <w:t>ba,</w:t>
      </w:r>
      <w:r w:rsidR="0076154C">
        <w:t xml:space="preserve"> M. (2016) ‘Stakeholder profile and stakeholder mapping of SME’, </w:t>
      </w:r>
      <w:r w:rsidR="0076154C">
        <w:rPr>
          <w:i/>
        </w:rPr>
        <w:t>Littera Scripta,</w:t>
      </w:r>
      <w:r w:rsidR="0076154C">
        <w:t xml:space="preserve"> 9(1), pp. 123-139.</w:t>
      </w:r>
    </w:p>
    <w:p w14:paraId="1D2BC366" w14:textId="77777777" w:rsidR="0076154C" w:rsidRDefault="0076154C" w:rsidP="0076154C">
      <w:r>
        <w:t xml:space="preserve">Zanchi, G. and Brady, M.V. (2019) ‘Evaluating the contribution of forest ecosystem services to societal welfare through linking dynamic ecosystem modelling with economic valuation’, </w:t>
      </w:r>
      <w:r>
        <w:rPr>
          <w:i/>
        </w:rPr>
        <w:t>Ecosystem Services,</w:t>
      </w:r>
      <w:r>
        <w:t xml:space="preserve"> 39(3), pp. 12-23. </w:t>
      </w:r>
    </w:p>
    <w:p w14:paraId="32F3EE81" w14:textId="5210C316" w:rsidR="0076154C" w:rsidRDefault="0076154C" w:rsidP="0076154C"/>
    <w:p w14:paraId="1F5D8F0A" w14:textId="77777777" w:rsidR="0076154C" w:rsidRPr="0076154C" w:rsidRDefault="0076154C" w:rsidP="0076154C"/>
    <w:sectPr w:rsidR="0076154C" w:rsidRPr="00761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707AEF"/>
    <w:multiLevelType w:val="multilevel"/>
    <w:tmpl w:val="FF82E1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717762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54C"/>
    <w:rsid w:val="00206E56"/>
    <w:rsid w:val="003C0D45"/>
    <w:rsid w:val="00410B33"/>
    <w:rsid w:val="0044450A"/>
    <w:rsid w:val="00555892"/>
    <w:rsid w:val="005C0CE5"/>
    <w:rsid w:val="0076154C"/>
    <w:rsid w:val="00C92F6B"/>
    <w:rsid w:val="00D531AF"/>
    <w:rsid w:val="00DA3DA2"/>
    <w:rsid w:val="00DB3E65"/>
    <w:rsid w:val="00EF1A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C7174"/>
  <w15:chartTrackingRefBased/>
  <w15:docId w15:val="{6057C537-EEC1-44A4-8CC3-48248E4E4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54C"/>
    <w:pPr>
      <w:spacing w:after="200" w:line="360" w:lineRule="auto"/>
      <w:jc w:val="both"/>
    </w:pPr>
    <w:rPr>
      <w:rFonts w:ascii="Arial" w:hAnsi="Arial"/>
      <w:kern w:val="0"/>
      <w:sz w:val="24"/>
      <w:lang w:val="en-US"/>
      <w14:ligatures w14:val="none"/>
    </w:rPr>
  </w:style>
  <w:style w:type="paragraph" w:styleId="Heading1">
    <w:name w:val="heading 1"/>
    <w:basedOn w:val="Normal"/>
    <w:next w:val="Normal"/>
    <w:link w:val="Heading1Char"/>
    <w:autoRedefine/>
    <w:uiPriority w:val="9"/>
    <w:qFormat/>
    <w:rsid w:val="0076154C"/>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54C"/>
    <w:rPr>
      <w:rFonts w:ascii="Arial" w:eastAsiaTheme="majorEastAsia" w:hAnsi="Arial" w:cstheme="majorBidi"/>
      <w:b/>
      <w:bCs/>
      <w:color w:val="000000" w:themeColor="text1"/>
      <w:kern w:val="0"/>
      <w:sz w:val="24"/>
      <w:szCs w:val="28"/>
      <w:lang w:val="en-US"/>
      <w14:ligatures w14:val="none"/>
    </w:rPr>
  </w:style>
  <w:style w:type="character" w:styleId="Hyperlink">
    <w:name w:val="Hyperlink"/>
    <w:basedOn w:val="DefaultParagraphFont"/>
    <w:uiPriority w:val="99"/>
    <w:semiHidden/>
    <w:unhideWhenUsed/>
    <w:rsid w:val="0076154C"/>
    <w:rPr>
      <w:color w:val="0563C1" w:themeColor="hyperlink"/>
      <w:u w:val="single"/>
    </w:rPr>
  </w:style>
  <w:style w:type="paragraph" w:styleId="TOC1">
    <w:name w:val="toc 1"/>
    <w:basedOn w:val="Normal"/>
    <w:next w:val="Normal"/>
    <w:autoRedefine/>
    <w:uiPriority w:val="39"/>
    <w:semiHidden/>
    <w:unhideWhenUsed/>
    <w:rsid w:val="0076154C"/>
    <w:pPr>
      <w:spacing w:after="100"/>
    </w:pPr>
  </w:style>
  <w:style w:type="paragraph" w:styleId="TOCHeading">
    <w:name w:val="TOC Heading"/>
    <w:basedOn w:val="Heading1"/>
    <w:next w:val="Normal"/>
    <w:uiPriority w:val="39"/>
    <w:semiHidden/>
    <w:unhideWhenUsed/>
    <w:qFormat/>
    <w:rsid w:val="0076154C"/>
    <w:pPr>
      <w:spacing w:line="276" w:lineRule="auto"/>
      <w:jc w:val="left"/>
      <w:outlineLvl w:val="9"/>
    </w:pPr>
    <w:rPr>
      <w:rFonts w:asciiTheme="majorHAnsi" w:hAnsiTheme="majorHAnsi"/>
      <w:sz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51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AppData\Local\Packages\microsoft.windowscommunicationsapps_8wekyb3d8bbwe\LocalState\Files\S0\4\Attachments\Rinku%20Goswami%20LCMB7004%20Assessment%202-1%5b1754%5d.docx" TargetMode="External"/><Relationship Id="rId3" Type="http://schemas.openxmlformats.org/officeDocument/2006/relationships/settings" Target="settings.xml"/><Relationship Id="rId7" Type="http://schemas.openxmlformats.org/officeDocument/2006/relationships/hyperlink" Target="file:///C:\Users\Admin\AppData\Local\Packages\microsoft.windowscommunicationsapps_8wekyb3d8bbwe\LocalState\Files\S0\4\Attachments\Rinku%20Goswami%20LCMB7004%20Assessment%202-1%5b1754%5d.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Admin\AppData\Local\Packages\microsoft.windowscommunicationsapps_8wekyb3d8bbwe\LocalState\Files\S0\4\Attachments\Rinku%20Goswami%20LCMB7004%20Assessment%202-1%5b1754%5d.docx"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Admin\AppData\Local\Packages\microsoft.windowscommunicationsapps_8wekyb3d8bbwe\LocalState\Files\S0\4\Attachments\Rinku%20Goswami%20LCMB7004%20Assessment%202-1%5b1754%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6</Pages>
  <Words>1238</Words>
  <Characters>7057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Rinku Aparanathi</dc:creator>
  <cp:keywords/>
  <dc:description/>
  <cp:lastModifiedBy>Rinku Aparanathi</cp:lastModifiedBy>
  <cp:revision>44</cp:revision>
  <dcterms:created xsi:type="dcterms:W3CDTF">2023-08-24T17:46:00Z</dcterms:created>
  <dcterms:modified xsi:type="dcterms:W3CDTF">2023-08-24T18:38:00Z</dcterms:modified>
</cp:coreProperties>
</file>