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8FB05" w14:textId="0709E7AC" w:rsidR="00E10583" w:rsidRPr="00DD5A48" w:rsidRDefault="00AE0225">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Title: Refining </w:t>
      </w:r>
      <w:r w:rsidR="004125EE" w:rsidRPr="00DD5A48">
        <w:rPr>
          <w:rFonts w:ascii="Times New Roman" w:eastAsiaTheme="majorHAnsi" w:hAnsi="Times New Roman" w:cs="Times New Roman"/>
          <w:sz w:val="24"/>
          <w:szCs w:val="24"/>
        </w:rPr>
        <w:t xml:space="preserve">Technology-Organization-Environment (TOE) </w:t>
      </w:r>
      <w:r w:rsidR="00A32798" w:rsidRPr="00DD5A48">
        <w:rPr>
          <w:rFonts w:ascii="Times New Roman" w:eastAsiaTheme="majorHAnsi" w:hAnsi="Times New Roman" w:cs="Times New Roman"/>
          <w:sz w:val="24"/>
          <w:szCs w:val="24"/>
        </w:rPr>
        <w:t>Framework</w:t>
      </w:r>
      <w:r w:rsidRPr="00DD5A48">
        <w:rPr>
          <w:rFonts w:ascii="Times New Roman" w:eastAsiaTheme="majorHAnsi" w:hAnsi="Times New Roman" w:cs="Times New Roman"/>
          <w:sz w:val="24"/>
          <w:szCs w:val="24"/>
        </w:rPr>
        <w:t xml:space="preserve"> in the Cybersecurity Industry: Shifting from Defense to Business Accelerat</w:t>
      </w:r>
      <w:r w:rsidR="00D81101" w:rsidRPr="00DD5A48">
        <w:rPr>
          <w:rFonts w:ascii="Times New Roman" w:eastAsiaTheme="majorHAnsi" w:hAnsi="Times New Roman" w:cs="Times New Roman"/>
          <w:sz w:val="24"/>
          <w:szCs w:val="24"/>
        </w:rPr>
        <w:t>ion</w:t>
      </w:r>
    </w:p>
    <w:p w14:paraId="40A0F4D7" w14:textId="77777777" w:rsidR="00AE0225" w:rsidRPr="00DD5A48" w:rsidRDefault="00AE0225">
      <w:pPr>
        <w:rPr>
          <w:rFonts w:ascii="Times New Roman" w:eastAsiaTheme="majorHAnsi" w:hAnsi="Times New Roman" w:cs="Times New Roman"/>
          <w:sz w:val="24"/>
          <w:szCs w:val="24"/>
        </w:rPr>
      </w:pPr>
    </w:p>
    <w:p w14:paraId="4874BAC8" w14:textId="5D9573BC" w:rsidR="00AE0225" w:rsidRPr="00DD5A48" w:rsidRDefault="00AE0225">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Part 1: Design a Research Project with Clarity and Precision.</w:t>
      </w:r>
    </w:p>
    <w:p w14:paraId="5DFCAF9C" w14:textId="2544A282" w:rsidR="000D1313" w:rsidRPr="00DD5A48" w:rsidRDefault="000D1313" w:rsidP="000D131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As digital transformation accelerates, cybersecurity must evolve from a reactive defense mechanism to a strategic enabler of trust, innovation, and resilience. In World Economic Forum</w:t>
      </w:r>
      <w:r w:rsidR="00A32798" w:rsidRPr="00DD5A48">
        <w:rPr>
          <w:rFonts w:ascii="Times New Roman" w:eastAsiaTheme="majorHAnsi" w:hAnsi="Times New Roman" w:cs="Times New Roman"/>
          <w:sz w:val="24"/>
          <w:szCs w:val="24"/>
        </w:rPr>
        <w:t xml:space="preserve"> (WEF)</w:t>
      </w:r>
      <w:r w:rsidRPr="00DD5A48">
        <w:rPr>
          <w:rFonts w:ascii="Times New Roman" w:eastAsiaTheme="majorHAnsi" w:hAnsi="Times New Roman" w:cs="Times New Roman"/>
          <w:sz w:val="24"/>
          <w:szCs w:val="24"/>
        </w:rPr>
        <w:t xml:space="preserve"> 2025, the message from Chief Information Security Officers (CISOs) emphasizes that the pressures to balance regulatory demands, budget constraints, and talent shortages while safeguarding increasingly complex digital ecosystems has grown significantly with the rise of AI and interconnected platforms. Organizations are facing expanded attack surfaces and new risks, necessitating a shift toward cyber resilience—defined by rapid recovery and continuity rather than mere prevention. WEF advocates for integrated security platforms over fragmented tools and highlights the importance of global collaboration, such as initiatives to foster a resilient digital future. With such background, it is important to review </w:t>
      </w:r>
      <w:r w:rsidR="00EF4AE2" w:rsidRPr="00DD5A48">
        <w:rPr>
          <w:rFonts w:ascii="Times New Roman" w:eastAsiaTheme="majorHAnsi" w:hAnsi="Times New Roman" w:cs="Times New Roman"/>
          <w:sz w:val="24"/>
          <w:szCs w:val="24"/>
        </w:rPr>
        <w:t xml:space="preserve">the theoretical underpinnings and refine the models, such as </w:t>
      </w:r>
      <w:r w:rsidR="004125EE" w:rsidRPr="00DD5A48">
        <w:rPr>
          <w:rFonts w:ascii="Times New Roman" w:eastAsiaTheme="majorHAnsi" w:hAnsi="Times New Roman" w:cs="Times New Roman"/>
          <w:sz w:val="24"/>
          <w:szCs w:val="24"/>
        </w:rPr>
        <w:t xml:space="preserve">Technology-Organization-Environment (TOE) </w:t>
      </w:r>
      <w:r w:rsidR="00A32798" w:rsidRPr="00DD5A48">
        <w:rPr>
          <w:rFonts w:ascii="Times New Roman" w:eastAsiaTheme="majorHAnsi" w:hAnsi="Times New Roman" w:cs="Times New Roman"/>
          <w:sz w:val="24"/>
          <w:szCs w:val="24"/>
        </w:rPr>
        <w:t>Framework</w:t>
      </w:r>
      <w:r w:rsidR="00EF4AE2" w:rsidRPr="00DD5A48">
        <w:rPr>
          <w:rFonts w:ascii="Times New Roman" w:eastAsiaTheme="majorHAnsi" w:hAnsi="Times New Roman" w:cs="Times New Roman"/>
          <w:sz w:val="24"/>
          <w:szCs w:val="24"/>
        </w:rPr>
        <w:t xml:space="preserve">, to </w:t>
      </w:r>
      <w:r w:rsidR="00D81101" w:rsidRPr="00DD5A48">
        <w:rPr>
          <w:rFonts w:ascii="Times New Roman" w:eastAsiaTheme="majorHAnsi" w:hAnsi="Times New Roman" w:cs="Times New Roman"/>
          <w:sz w:val="24"/>
          <w:szCs w:val="24"/>
        </w:rPr>
        <w:t>guide adoption decisions.</w:t>
      </w:r>
    </w:p>
    <w:p w14:paraId="71692E15" w14:textId="5158AD6B" w:rsidR="002069E1" w:rsidRPr="00DD5A48" w:rsidRDefault="00000000"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pict w14:anchorId="2BD91EE7">
          <v:rect id="_x0000_i1025" style="width:0;height:1.5pt" o:hralign="center" o:hrstd="t" o:hr="t" fillcolor="#a0a0a0" stroked="f"/>
        </w:pi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12"/>
        <w:gridCol w:w="2285"/>
        <w:gridCol w:w="2381"/>
        <w:gridCol w:w="3398"/>
        <w:gridCol w:w="3082"/>
      </w:tblGrid>
      <w:tr w:rsidR="002069E1" w:rsidRPr="00DD5A48" w14:paraId="654E6D38" w14:textId="77777777">
        <w:trPr>
          <w:tblHeader/>
          <w:tblCellSpacing w:w="15" w:type="dxa"/>
        </w:trPr>
        <w:tc>
          <w:tcPr>
            <w:tcW w:w="0" w:type="auto"/>
            <w:vAlign w:val="center"/>
            <w:hideMark/>
          </w:tcPr>
          <w:p w14:paraId="6B19CE6B"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Model</w:t>
            </w:r>
          </w:p>
        </w:tc>
        <w:tc>
          <w:tcPr>
            <w:tcW w:w="0" w:type="auto"/>
            <w:vAlign w:val="center"/>
            <w:hideMark/>
          </w:tcPr>
          <w:p w14:paraId="5810C333"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Focus Level</w:t>
            </w:r>
          </w:p>
        </w:tc>
        <w:tc>
          <w:tcPr>
            <w:tcW w:w="0" w:type="auto"/>
            <w:vAlign w:val="center"/>
            <w:hideMark/>
          </w:tcPr>
          <w:p w14:paraId="161D5DC3"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Key Constructs</w:t>
            </w:r>
          </w:p>
        </w:tc>
        <w:tc>
          <w:tcPr>
            <w:tcW w:w="0" w:type="auto"/>
            <w:vAlign w:val="center"/>
            <w:hideMark/>
          </w:tcPr>
          <w:p w14:paraId="7FA2BA55"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Strengths</w:t>
            </w:r>
          </w:p>
        </w:tc>
        <w:tc>
          <w:tcPr>
            <w:tcW w:w="0" w:type="auto"/>
            <w:vAlign w:val="center"/>
            <w:hideMark/>
          </w:tcPr>
          <w:p w14:paraId="20D34D6F"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Limitations</w:t>
            </w:r>
          </w:p>
        </w:tc>
      </w:tr>
      <w:tr w:rsidR="002069E1" w:rsidRPr="00DD5A48" w14:paraId="2FE908FA" w14:textId="77777777">
        <w:trPr>
          <w:tblCellSpacing w:w="15" w:type="dxa"/>
        </w:trPr>
        <w:tc>
          <w:tcPr>
            <w:tcW w:w="0" w:type="auto"/>
            <w:vAlign w:val="center"/>
            <w:hideMark/>
          </w:tcPr>
          <w:p w14:paraId="0CC0EBA4"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Technology Acceptance Model (TAM)</w:t>
            </w:r>
          </w:p>
        </w:tc>
        <w:tc>
          <w:tcPr>
            <w:tcW w:w="0" w:type="auto"/>
            <w:vAlign w:val="center"/>
            <w:hideMark/>
          </w:tcPr>
          <w:p w14:paraId="601CB470"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Individual</w:t>
            </w:r>
          </w:p>
        </w:tc>
        <w:tc>
          <w:tcPr>
            <w:tcW w:w="0" w:type="auto"/>
            <w:vAlign w:val="center"/>
            <w:hideMark/>
          </w:tcPr>
          <w:p w14:paraId="7C6C42F9" w14:textId="77777777" w:rsidR="002069E1" w:rsidRPr="00DD5A48" w:rsidRDefault="002069E1" w:rsidP="002069E1">
            <w:pPr>
              <w:pStyle w:val="a9"/>
              <w:numPr>
                <w:ilvl w:val="0"/>
                <w:numId w:val="2"/>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Perceived Usefulness (PU) </w:t>
            </w:r>
          </w:p>
          <w:p w14:paraId="48431FED" w14:textId="6C6511E4" w:rsidR="002069E1" w:rsidRPr="00DD5A48" w:rsidRDefault="002069E1" w:rsidP="002069E1">
            <w:pPr>
              <w:pStyle w:val="a9"/>
              <w:numPr>
                <w:ilvl w:val="0"/>
                <w:numId w:val="2"/>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Perceived Ease of Use (PEOU)</w:t>
            </w:r>
          </w:p>
        </w:tc>
        <w:tc>
          <w:tcPr>
            <w:tcW w:w="0" w:type="auto"/>
            <w:vAlign w:val="center"/>
            <w:hideMark/>
          </w:tcPr>
          <w:p w14:paraId="522CAEDF"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Simple, widely used, strong predictive power for user acceptance</w:t>
            </w:r>
          </w:p>
        </w:tc>
        <w:tc>
          <w:tcPr>
            <w:tcW w:w="0" w:type="auto"/>
            <w:vAlign w:val="center"/>
            <w:hideMark/>
          </w:tcPr>
          <w:p w14:paraId="173D90CF"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Ignores social, organizational, and environmental factors</w:t>
            </w:r>
          </w:p>
        </w:tc>
      </w:tr>
      <w:tr w:rsidR="002069E1" w:rsidRPr="00DD5A48" w14:paraId="7AD571C1" w14:textId="77777777">
        <w:trPr>
          <w:tblCellSpacing w:w="15" w:type="dxa"/>
        </w:trPr>
        <w:tc>
          <w:tcPr>
            <w:tcW w:w="0" w:type="auto"/>
            <w:vAlign w:val="center"/>
            <w:hideMark/>
          </w:tcPr>
          <w:p w14:paraId="1A0A2601"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Theory of Planned Behavior (TPB)</w:t>
            </w:r>
          </w:p>
        </w:tc>
        <w:tc>
          <w:tcPr>
            <w:tcW w:w="0" w:type="auto"/>
            <w:vAlign w:val="center"/>
            <w:hideMark/>
          </w:tcPr>
          <w:p w14:paraId="1260BD46"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Individual</w:t>
            </w:r>
          </w:p>
        </w:tc>
        <w:tc>
          <w:tcPr>
            <w:tcW w:w="0" w:type="auto"/>
            <w:vAlign w:val="center"/>
            <w:hideMark/>
          </w:tcPr>
          <w:p w14:paraId="2F680111" w14:textId="77777777" w:rsidR="002069E1" w:rsidRPr="00DD5A48" w:rsidRDefault="002069E1" w:rsidP="002069E1">
            <w:pPr>
              <w:pStyle w:val="a9"/>
              <w:numPr>
                <w:ilvl w:val="0"/>
                <w:numId w:val="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Attitude toward behavior </w:t>
            </w:r>
          </w:p>
          <w:p w14:paraId="38BD58C7" w14:textId="77777777" w:rsidR="002069E1" w:rsidRPr="00DD5A48" w:rsidRDefault="002069E1" w:rsidP="002069E1">
            <w:pPr>
              <w:pStyle w:val="a9"/>
              <w:numPr>
                <w:ilvl w:val="0"/>
                <w:numId w:val="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Subjective Norms</w:t>
            </w:r>
          </w:p>
          <w:p w14:paraId="2449CFCB" w14:textId="2CC5BBAB" w:rsidR="002069E1" w:rsidRPr="00DD5A48" w:rsidRDefault="002069E1" w:rsidP="002069E1">
            <w:pPr>
              <w:pStyle w:val="a9"/>
              <w:numPr>
                <w:ilvl w:val="0"/>
                <w:numId w:val="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Perceived Behavioral Control</w:t>
            </w:r>
          </w:p>
        </w:tc>
        <w:tc>
          <w:tcPr>
            <w:tcW w:w="0" w:type="auto"/>
            <w:vAlign w:val="center"/>
            <w:hideMark/>
          </w:tcPr>
          <w:p w14:paraId="3EB55C6A"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Incorporates social pressure and perceived control</w:t>
            </w:r>
          </w:p>
        </w:tc>
        <w:tc>
          <w:tcPr>
            <w:tcW w:w="0" w:type="auto"/>
            <w:vAlign w:val="center"/>
            <w:hideMark/>
          </w:tcPr>
          <w:p w14:paraId="4EA714CA"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Not technology-specific; limited in explaining system-specific adoption</w:t>
            </w:r>
          </w:p>
        </w:tc>
      </w:tr>
      <w:tr w:rsidR="002069E1" w:rsidRPr="00DD5A48" w14:paraId="499EA6C7" w14:textId="77777777">
        <w:trPr>
          <w:tblCellSpacing w:w="15" w:type="dxa"/>
        </w:trPr>
        <w:tc>
          <w:tcPr>
            <w:tcW w:w="0" w:type="auto"/>
            <w:vAlign w:val="center"/>
            <w:hideMark/>
          </w:tcPr>
          <w:p w14:paraId="6979FA4A"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Innovation Diffusion Theory (IDT)</w:t>
            </w:r>
          </w:p>
        </w:tc>
        <w:tc>
          <w:tcPr>
            <w:tcW w:w="0" w:type="auto"/>
            <w:vAlign w:val="center"/>
            <w:hideMark/>
          </w:tcPr>
          <w:p w14:paraId="0783C86C" w14:textId="706AEC41"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Individual and Social</w:t>
            </w:r>
          </w:p>
        </w:tc>
        <w:tc>
          <w:tcPr>
            <w:tcW w:w="0" w:type="auto"/>
            <w:vAlign w:val="center"/>
            <w:hideMark/>
          </w:tcPr>
          <w:p w14:paraId="1767CBA6" w14:textId="77777777" w:rsidR="002069E1" w:rsidRPr="00DD5A48" w:rsidRDefault="002069E1" w:rsidP="002069E1">
            <w:pPr>
              <w:pStyle w:val="a9"/>
              <w:numPr>
                <w:ilvl w:val="0"/>
                <w:numId w:val="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Relative Advantage</w:t>
            </w:r>
          </w:p>
          <w:p w14:paraId="0665D4E1" w14:textId="77777777" w:rsidR="002069E1" w:rsidRPr="00DD5A48" w:rsidRDefault="002069E1" w:rsidP="002069E1">
            <w:pPr>
              <w:pStyle w:val="a9"/>
              <w:numPr>
                <w:ilvl w:val="0"/>
                <w:numId w:val="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Compatibility</w:t>
            </w:r>
          </w:p>
          <w:p w14:paraId="5361FC5F" w14:textId="77777777" w:rsidR="002069E1" w:rsidRPr="00DD5A48" w:rsidRDefault="002069E1" w:rsidP="002069E1">
            <w:pPr>
              <w:pStyle w:val="a9"/>
              <w:numPr>
                <w:ilvl w:val="0"/>
                <w:numId w:val="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Complexity</w:t>
            </w:r>
          </w:p>
          <w:p w14:paraId="296AE622" w14:textId="77777777" w:rsidR="002069E1" w:rsidRPr="00DD5A48" w:rsidRDefault="002069E1" w:rsidP="002069E1">
            <w:pPr>
              <w:pStyle w:val="a9"/>
              <w:numPr>
                <w:ilvl w:val="0"/>
                <w:numId w:val="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Trialability</w:t>
            </w:r>
          </w:p>
          <w:p w14:paraId="65AC7B0C" w14:textId="4D5DFACA" w:rsidR="002069E1" w:rsidRPr="00DD5A48" w:rsidRDefault="002069E1" w:rsidP="002069E1">
            <w:pPr>
              <w:pStyle w:val="a9"/>
              <w:numPr>
                <w:ilvl w:val="0"/>
                <w:numId w:val="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Observability</w:t>
            </w:r>
          </w:p>
        </w:tc>
        <w:tc>
          <w:tcPr>
            <w:tcW w:w="0" w:type="auto"/>
            <w:vAlign w:val="center"/>
            <w:hideMark/>
          </w:tcPr>
          <w:p w14:paraId="24F974D2"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Explains adoption over time and across social systems</w:t>
            </w:r>
          </w:p>
        </w:tc>
        <w:tc>
          <w:tcPr>
            <w:tcW w:w="0" w:type="auto"/>
            <w:vAlign w:val="center"/>
            <w:hideMark/>
          </w:tcPr>
          <w:p w14:paraId="110360A0"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Less predictive at organizational level; abstract constructs</w:t>
            </w:r>
          </w:p>
        </w:tc>
      </w:tr>
      <w:tr w:rsidR="002069E1" w:rsidRPr="00DD5A48" w14:paraId="039A3030" w14:textId="77777777">
        <w:trPr>
          <w:tblCellSpacing w:w="15" w:type="dxa"/>
        </w:trPr>
        <w:tc>
          <w:tcPr>
            <w:tcW w:w="0" w:type="auto"/>
            <w:vAlign w:val="center"/>
            <w:hideMark/>
          </w:tcPr>
          <w:p w14:paraId="6670F329"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lastRenderedPageBreak/>
              <w:t>Unified Theory of Acceptance and Use of Technology (UTAUT)</w:t>
            </w:r>
          </w:p>
        </w:tc>
        <w:tc>
          <w:tcPr>
            <w:tcW w:w="0" w:type="auto"/>
            <w:vAlign w:val="center"/>
            <w:hideMark/>
          </w:tcPr>
          <w:p w14:paraId="162D680E"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Individual (with organizational moderators)</w:t>
            </w:r>
          </w:p>
        </w:tc>
        <w:tc>
          <w:tcPr>
            <w:tcW w:w="0" w:type="auto"/>
            <w:vAlign w:val="center"/>
            <w:hideMark/>
          </w:tcPr>
          <w:p w14:paraId="47951BB4" w14:textId="77777777" w:rsidR="002069E1" w:rsidRPr="00DD5A48" w:rsidRDefault="002069E1" w:rsidP="002069E1">
            <w:pPr>
              <w:pStyle w:val="a9"/>
              <w:numPr>
                <w:ilvl w:val="0"/>
                <w:numId w:val="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Performance Expectancy</w:t>
            </w:r>
          </w:p>
          <w:p w14:paraId="31E0CFF4" w14:textId="77777777" w:rsidR="002069E1" w:rsidRPr="00DD5A48" w:rsidRDefault="002069E1" w:rsidP="002069E1">
            <w:pPr>
              <w:pStyle w:val="a9"/>
              <w:numPr>
                <w:ilvl w:val="0"/>
                <w:numId w:val="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Effort Expectancy</w:t>
            </w:r>
          </w:p>
          <w:p w14:paraId="24B0BF26" w14:textId="77777777" w:rsidR="002069E1" w:rsidRPr="00DD5A48" w:rsidRDefault="002069E1" w:rsidP="002069E1">
            <w:pPr>
              <w:pStyle w:val="a9"/>
              <w:numPr>
                <w:ilvl w:val="0"/>
                <w:numId w:val="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Social Influence</w:t>
            </w:r>
          </w:p>
          <w:p w14:paraId="66FD93BC" w14:textId="63F0B731" w:rsidR="002069E1" w:rsidRPr="00DD5A48" w:rsidRDefault="002069E1" w:rsidP="002069E1">
            <w:pPr>
              <w:pStyle w:val="a9"/>
              <w:numPr>
                <w:ilvl w:val="0"/>
                <w:numId w:val="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Facilitating Conditions</w:t>
            </w:r>
          </w:p>
        </w:tc>
        <w:tc>
          <w:tcPr>
            <w:tcW w:w="0" w:type="auto"/>
            <w:vAlign w:val="center"/>
            <w:hideMark/>
          </w:tcPr>
          <w:p w14:paraId="29198B69"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High explanatory power; includes demographic moderators (age, gender, experience)</w:t>
            </w:r>
          </w:p>
        </w:tc>
        <w:tc>
          <w:tcPr>
            <w:tcW w:w="0" w:type="auto"/>
            <w:vAlign w:val="center"/>
            <w:hideMark/>
          </w:tcPr>
          <w:p w14:paraId="5405F523"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Complex structure; harder to apply without customization</w:t>
            </w:r>
          </w:p>
        </w:tc>
      </w:tr>
      <w:tr w:rsidR="002069E1" w:rsidRPr="00DD5A48" w14:paraId="5BE395C2" w14:textId="77777777">
        <w:trPr>
          <w:tblCellSpacing w:w="15" w:type="dxa"/>
        </w:trPr>
        <w:tc>
          <w:tcPr>
            <w:tcW w:w="0" w:type="auto"/>
            <w:vAlign w:val="center"/>
            <w:hideMark/>
          </w:tcPr>
          <w:p w14:paraId="4D374733" w14:textId="04FD9288"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Technology-Organization-Environment (TOE) </w:t>
            </w:r>
            <w:r w:rsidR="00A32798" w:rsidRPr="00DD5A48">
              <w:rPr>
                <w:rFonts w:ascii="Times New Roman" w:eastAsiaTheme="majorHAnsi" w:hAnsi="Times New Roman" w:cs="Times New Roman"/>
                <w:sz w:val="24"/>
                <w:szCs w:val="24"/>
              </w:rPr>
              <w:t>Framework</w:t>
            </w:r>
          </w:p>
        </w:tc>
        <w:tc>
          <w:tcPr>
            <w:tcW w:w="0" w:type="auto"/>
            <w:vAlign w:val="center"/>
            <w:hideMark/>
          </w:tcPr>
          <w:p w14:paraId="5CB35E58"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Organizational</w:t>
            </w:r>
          </w:p>
        </w:tc>
        <w:tc>
          <w:tcPr>
            <w:tcW w:w="0" w:type="auto"/>
            <w:vAlign w:val="center"/>
            <w:hideMark/>
          </w:tcPr>
          <w:p w14:paraId="4342EF4E" w14:textId="77777777" w:rsidR="002069E1" w:rsidRPr="00DD5A48" w:rsidRDefault="002069E1" w:rsidP="002069E1">
            <w:pPr>
              <w:pStyle w:val="a9"/>
              <w:numPr>
                <w:ilvl w:val="0"/>
                <w:numId w:val="5"/>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Technological Context</w:t>
            </w:r>
          </w:p>
          <w:p w14:paraId="1A29C832" w14:textId="77777777" w:rsidR="002069E1" w:rsidRPr="00DD5A48" w:rsidRDefault="002069E1" w:rsidP="002069E1">
            <w:pPr>
              <w:pStyle w:val="a9"/>
              <w:numPr>
                <w:ilvl w:val="0"/>
                <w:numId w:val="5"/>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Organizational Context</w:t>
            </w:r>
          </w:p>
          <w:p w14:paraId="6837489B" w14:textId="294A158F" w:rsidR="002069E1" w:rsidRPr="00DD5A48" w:rsidRDefault="002069E1" w:rsidP="002069E1">
            <w:pPr>
              <w:pStyle w:val="a9"/>
              <w:numPr>
                <w:ilvl w:val="0"/>
                <w:numId w:val="5"/>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Environmental Context</w:t>
            </w:r>
          </w:p>
        </w:tc>
        <w:tc>
          <w:tcPr>
            <w:tcW w:w="0" w:type="auto"/>
            <w:vAlign w:val="center"/>
            <w:hideMark/>
          </w:tcPr>
          <w:p w14:paraId="2BE95F11"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Holistic view of organizational adoption; includes external pressures</w:t>
            </w:r>
          </w:p>
        </w:tc>
        <w:tc>
          <w:tcPr>
            <w:tcW w:w="0" w:type="auto"/>
            <w:vAlign w:val="center"/>
            <w:hideMark/>
          </w:tcPr>
          <w:p w14:paraId="32F0D336" w14:textId="77777777" w:rsidR="002069E1" w:rsidRPr="00DD5A48" w:rsidRDefault="002069E1"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Does not account for individual user perceptions or attitudes</w:t>
            </w:r>
          </w:p>
        </w:tc>
      </w:tr>
    </w:tbl>
    <w:p w14:paraId="44F516D5" w14:textId="77777777" w:rsidR="002069E1" w:rsidRPr="00DD5A48" w:rsidRDefault="00000000" w:rsidP="002069E1">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pict w14:anchorId="43834541">
          <v:rect id="_x0000_i1026" style="width:0;height:1.5pt" o:hralign="center" o:hrstd="t" o:hr="t" fillcolor="#a0a0a0" stroked="f"/>
        </w:pict>
      </w:r>
    </w:p>
    <w:p w14:paraId="1D154181" w14:textId="4C9E596A" w:rsidR="002069E1" w:rsidRPr="00DD5A48" w:rsidRDefault="0051699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To pursuit of theoretical advancements, this research establishes the following objectives.</w:t>
      </w:r>
    </w:p>
    <w:p w14:paraId="54C0881D" w14:textId="77777777" w:rsidR="00B80196" w:rsidRPr="00B80196" w:rsidRDefault="00B80196" w:rsidP="00B80196">
      <w:pPr>
        <w:numPr>
          <w:ilvl w:val="0"/>
          <w:numId w:val="43"/>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O1: To analyze how cybersecurity has evolved from a technical function to a strategic business enabler.</w:t>
      </w:r>
    </w:p>
    <w:p w14:paraId="7932B57F" w14:textId="77777777" w:rsidR="00B80196" w:rsidRPr="00B80196" w:rsidRDefault="00B80196" w:rsidP="00B80196">
      <w:pPr>
        <w:numPr>
          <w:ilvl w:val="0"/>
          <w:numId w:val="43"/>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O2: To assess the applicability of the traditional TOE framework in guiding cybersecurity adoption and leadership.</w:t>
      </w:r>
    </w:p>
    <w:p w14:paraId="2969B7BC" w14:textId="77777777" w:rsidR="00B80196" w:rsidRPr="00B80196" w:rsidRDefault="00B80196" w:rsidP="00B80196">
      <w:pPr>
        <w:numPr>
          <w:ilvl w:val="0"/>
          <w:numId w:val="43"/>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O3: To identify emerging factors—technological, organizational, and environmental—that influence cybersecurity strategy in digitally transforming enterprises.</w:t>
      </w:r>
    </w:p>
    <w:p w14:paraId="57BA5EAB" w14:textId="77777777" w:rsidR="00B80196" w:rsidRPr="00B80196" w:rsidRDefault="00B80196" w:rsidP="00B80196">
      <w:pPr>
        <w:numPr>
          <w:ilvl w:val="0"/>
          <w:numId w:val="43"/>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O4: To propose an extended TOE framework that integrates leadership, innovation, and resilience as core dimensions.</w:t>
      </w:r>
    </w:p>
    <w:p w14:paraId="23CEA8E1" w14:textId="77777777" w:rsidR="00B80196" w:rsidRPr="00B80196" w:rsidRDefault="00B80196" w:rsidP="00B80196">
      <w:pPr>
        <w:numPr>
          <w:ilvl w:val="0"/>
          <w:numId w:val="43"/>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O5: To validate the extended framework through case studies and expert interviews across industries.</w:t>
      </w:r>
    </w:p>
    <w:p w14:paraId="29D5335F" w14:textId="30DEA15C" w:rsidR="00516993" w:rsidRPr="00DD5A48" w:rsidRDefault="00B80196" w:rsidP="00B80196">
      <w:pPr>
        <w:numPr>
          <w:ilvl w:val="0"/>
          <w:numId w:val="4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O6: </w:t>
      </w:r>
      <w:r w:rsidR="00516993" w:rsidRPr="00DD5A48">
        <w:rPr>
          <w:rFonts w:ascii="Times New Roman" w:eastAsiaTheme="majorHAnsi" w:hAnsi="Times New Roman" w:cs="Times New Roman"/>
          <w:sz w:val="24"/>
          <w:szCs w:val="24"/>
        </w:rPr>
        <w:t>To investigate the evolving structure and newest trends of TOE</w:t>
      </w:r>
    </w:p>
    <w:p w14:paraId="34DE3D3A" w14:textId="372E8EEC" w:rsidR="00516993" w:rsidRPr="00DD5A48" w:rsidRDefault="00B80196" w:rsidP="00B80196">
      <w:pPr>
        <w:numPr>
          <w:ilvl w:val="0"/>
          <w:numId w:val="4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O7: </w:t>
      </w:r>
      <w:r w:rsidR="00516993" w:rsidRPr="00DD5A48">
        <w:rPr>
          <w:rFonts w:ascii="Times New Roman" w:eastAsiaTheme="majorHAnsi" w:hAnsi="Times New Roman" w:cs="Times New Roman"/>
          <w:sz w:val="24"/>
          <w:szCs w:val="24"/>
        </w:rPr>
        <w:t xml:space="preserve">To identify shared moderators, mediators, and variables in TOE </w:t>
      </w:r>
      <w:r w:rsidR="00A32798" w:rsidRPr="00DD5A48">
        <w:rPr>
          <w:rFonts w:ascii="Times New Roman" w:eastAsiaTheme="majorHAnsi" w:hAnsi="Times New Roman" w:cs="Times New Roman"/>
          <w:sz w:val="24"/>
          <w:szCs w:val="24"/>
        </w:rPr>
        <w:t>for</w:t>
      </w:r>
      <w:r w:rsidR="00516993" w:rsidRPr="00DD5A48">
        <w:rPr>
          <w:rFonts w:ascii="Times New Roman" w:eastAsiaTheme="majorHAnsi" w:hAnsi="Times New Roman" w:cs="Times New Roman"/>
          <w:sz w:val="24"/>
          <w:szCs w:val="24"/>
        </w:rPr>
        <w:t xml:space="preserve"> cybersecurity industry</w:t>
      </w:r>
    </w:p>
    <w:p w14:paraId="536A86B8" w14:textId="7096D1D4" w:rsidR="00516993" w:rsidRPr="00DD5A48" w:rsidRDefault="00B80196" w:rsidP="00B80196">
      <w:pPr>
        <w:numPr>
          <w:ilvl w:val="0"/>
          <w:numId w:val="4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O8: </w:t>
      </w:r>
      <w:r w:rsidR="00516993" w:rsidRPr="00DD5A48">
        <w:rPr>
          <w:rFonts w:ascii="Times New Roman" w:eastAsiaTheme="majorHAnsi" w:hAnsi="Times New Roman" w:cs="Times New Roman"/>
          <w:sz w:val="24"/>
          <w:szCs w:val="24"/>
        </w:rPr>
        <w:t>To refine TOE in a novel variant</w:t>
      </w:r>
    </w:p>
    <w:p w14:paraId="27895FE9" w14:textId="3A144C38" w:rsidR="00516993" w:rsidRPr="00DD5A48" w:rsidRDefault="00516993" w:rsidP="0051699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This study aims to offer holistic and up-to-date knowledge about the evolving TOE in cybersecurity field. The results would </w:t>
      </w:r>
      <w:r w:rsidR="00A32798" w:rsidRPr="00DD5A48">
        <w:rPr>
          <w:rFonts w:ascii="Times New Roman" w:eastAsiaTheme="majorHAnsi" w:hAnsi="Times New Roman" w:cs="Times New Roman"/>
          <w:sz w:val="24"/>
          <w:szCs w:val="24"/>
        </w:rPr>
        <w:t>assist</w:t>
      </w:r>
      <w:r w:rsidRPr="00DD5A48">
        <w:rPr>
          <w:rFonts w:ascii="Times New Roman" w:eastAsiaTheme="majorHAnsi" w:hAnsi="Times New Roman" w:cs="Times New Roman"/>
          <w:sz w:val="24"/>
          <w:szCs w:val="24"/>
        </w:rPr>
        <w:t xml:space="preserve"> investigators to grasp better and operationalize the constructs to be applied in future research dealing with technological </w:t>
      </w:r>
      <w:r w:rsidR="00A32798" w:rsidRPr="00DD5A48">
        <w:rPr>
          <w:rFonts w:ascii="Times New Roman" w:eastAsiaTheme="majorHAnsi" w:hAnsi="Times New Roman" w:cs="Times New Roman"/>
          <w:sz w:val="24"/>
          <w:szCs w:val="24"/>
        </w:rPr>
        <w:t>adoption</w:t>
      </w:r>
      <w:r w:rsidRPr="00DD5A48">
        <w:rPr>
          <w:rFonts w:ascii="Times New Roman" w:eastAsiaTheme="majorHAnsi" w:hAnsi="Times New Roman" w:cs="Times New Roman"/>
          <w:sz w:val="24"/>
          <w:szCs w:val="24"/>
        </w:rPr>
        <w:t xml:space="preserve"> or commercializing innovative products.  The results advance the TOE knowledge of the latest situation in cybersecurity industry, trace the development process of TOE, and provide practical and academic recommendations for future studies.</w:t>
      </w:r>
    </w:p>
    <w:p w14:paraId="63CB0816" w14:textId="14E02866" w:rsidR="00DD5A48" w:rsidRPr="00DD5A48" w:rsidRDefault="00DD5A48" w:rsidP="0051699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lastRenderedPageBreak/>
        <w:t>Research Questions:</w:t>
      </w:r>
    </w:p>
    <w:p w14:paraId="067189B5" w14:textId="77777777" w:rsidR="00DD5A48" w:rsidRPr="00B80196" w:rsidRDefault="00DD5A48" w:rsidP="00DD5A48">
      <w:pPr>
        <w:numPr>
          <w:ilvl w:val="0"/>
          <w:numId w:val="44"/>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How do organizations currently align cybersecurity with strategic business goals?</w:t>
      </w:r>
    </w:p>
    <w:p w14:paraId="4CBC9CE0" w14:textId="77777777" w:rsidR="00DD5A48" w:rsidRPr="00B80196" w:rsidRDefault="00DD5A48" w:rsidP="00DD5A48">
      <w:pPr>
        <w:numPr>
          <w:ilvl w:val="0"/>
          <w:numId w:val="44"/>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What limitations exist in the traditional TOE framework when applied to cybersecurity leadership?</w:t>
      </w:r>
    </w:p>
    <w:p w14:paraId="7ADB1915" w14:textId="77777777" w:rsidR="00DD5A48" w:rsidRPr="00B80196" w:rsidRDefault="00DD5A48" w:rsidP="00DD5A48">
      <w:pPr>
        <w:numPr>
          <w:ilvl w:val="0"/>
          <w:numId w:val="44"/>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What new variables (e.g., board-level engagement, brand reputation, innovation capacity) should be incorporated into the TOE model?</w:t>
      </w:r>
    </w:p>
    <w:p w14:paraId="425E476B" w14:textId="77777777" w:rsidR="00DD5A48" w:rsidRPr="00B80196" w:rsidRDefault="00DD5A48" w:rsidP="00DD5A48">
      <w:pPr>
        <w:numPr>
          <w:ilvl w:val="0"/>
          <w:numId w:val="44"/>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How can an evolved TOE framework support cybersecurity decision-making in agile, digitally transforming enterprises?</w:t>
      </w:r>
    </w:p>
    <w:p w14:paraId="35E6B966" w14:textId="77777777" w:rsidR="00DD5A48" w:rsidRPr="00B80196" w:rsidRDefault="00DD5A48" w:rsidP="00DD5A48">
      <w:pPr>
        <w:numPr>
          <w:ilvl w:val="0"/>
          <w:numId w:val="44"/>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What best practices emerge from organizations that successfully integrate cybersecurity into their growth strategies?</w:t>
      </w:r>
    </w:p>
    <w:p w14:paraId="6F635C9D" w14:textId="77777777" w:rsidR="00DD5A48" w:rsidRPr="00B80196" w:rsidRDefault="00DD5A48" w:rsidP="00DD5A48">
      <w:pPr>
        <w:numPr>
          <w:ilvl w:val="0"/>
          <w:numId w:val="44"/>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 xml:space="preserve">TOE Framework Origins and Applications: Foundational studies by </w:t>
      </w:r>
      <w:proofErr w:type="spellStart"/>
      <w:r w:rsidRPr="00B80196">
        <w:rPr>
          <w:rFonts w:ascii="Times New Roman" w:eastAsiaTheme="majorHAnsi" w:hAnsi="Times New Roman" w:cs="Times New Roman"/>
          <w:sz w:val="24"/>
          <w:szCs w:val="24"/>
        </w:rPr>
        <w:t>Tornatzky</w:t>
      </w:r>
      <w:proofErr w:type="spellEnd"/>
      <w:r w:rsidRPr="00B80196">
        <w:rPr>
          <w:rFonts w:ascii="Times New Roman" w:eastAsiaTheme="majorHAnsi" w:hAnsi="Times New Roman" w:cs="Times New Roman"/>
          <w:sz w:val="24"/>
          <w:szCs w:val="24"/>
        </w:rPr>
        <w:t xml:space="preserve"> &amp; Fleischer (1990), and its use in IT and cybersecurity adoption.</w:t>
      </w:r>
    </w:p>
    <w:p w14:paraId="51E4D5B7" w14:textId="77777777" w:rsidR="00DD5A48" w:rsidRPr="00B80196" w:rsidRDefault="00DD5A48" w:rsidP="00DD5A48">
      <w:pPr>
        <w:numPr>
          <w:ilvl w:val="0"/>
          <w:numId w:val="44"/>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Cybersecurity as Strategic Imperative: Research highlighting the shift from operational security to strategic risk management.</w:t>
      </w:r>
    </w:p>
    <w:p w14:paraId="52E7AFDC" w14:textId="77777777" w:rsidR="00DD5A48" w:rsidRPr="00B80196" w:rsidRDefault="00DD5A48" w:rsidP="00DD5A48">
      <w:pPr>
        <w:numPr>
          <w:ilvl w:val="0"/>
          <w:numId w:val="44"/>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Digital Transformation and Cyber Risk: Studies on how cloud computing, AI, and IoT reshape the threat landscape.</w:t>
      </w:r>
    </w:p>
    <w:p w14:paraId="1D5277B8" w14:textId="77777777" w:rsidR="00DD5A48" w:rsidRPr="00B80196" w:rsidRDefault="00DD5A48" w:rsidP="00DD5A48">
      <w:pPr>
        <w:numPr>
          <w:ilvl w:val="0"/>
          <w:numId w:val="44"/>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Leadership and Governance: Insights into board-level involvement in cybersecurity, including regulatory pressures and investor expectations.</w:t>
      </w:r>
    </w:p>
    <w:p w14:paraId="7FC79DCA" w14:textId="77777777" w:rsidR="00DD5A48" w:rsidRPr="00B80196" w:rsidRDefault="00DD5A48" w:rsidP="00DD5A48">
      <w:pPr>
        <w:numPr>
          <w:ilvl w:val="0"/>
          <w:numId w:val="44"/>
        </w:num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Brand and Trust: Literature on how cybersecurity affects customer loyalty, brand equity, and market differentiation.</w:t>
      </w:r>
    </w:p>
    <w:p w14:paraId="3CA82BA2" w14:textId="77777777" w:rsidR="002069E1" w:rsidRPr="00DD5A48" w:rsidRDefault="002069E1">
      <w:pPr>
        <w:rPr>
          <w:rFonts w:ascii="Times New Roman" w:eastAsiaTheme="majorHAnsi" w:hAnsi="Times New Roman" w:cs="Times New Roman"/>
          <w:sz w:val="24"/>
          <w:szCs w:val="24"/>
        </w:rPr>
      </w:pPr>
    </w:p>
    <w:p w14:paraId="2CF62B12" w14:textId="537EA5B6" w:rsidR="00AE0225" w:rsidRPr="00DD5A48" w:rsidRDefault="00AE0225">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Part 2: Critically Assess Philosophical Presumptions</w:t>
      </w:r>
    </w:p>
    <w:p w14:paraId="28962A6B" w14:textId="11A56B2B" w:rsidR="00516993" w:rsidRPr="00DD5A48" w:rsidRDefault="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The Technology–Organization–Environment (TOE) </w:t>
      </w:r>
      <w:r w:rsidR="00A32798" w:rsidRPr="00DD5A48">
        <w:rPr>
          <w:rFonts w:ascii="Times New Roman" w:eastAsiaTheme="majorHAnsi" w:hAnsi="Times New Roman" w:cs="Times New Roman"/>
          <w:sz w:val="24"/>
          <w:szCs w:val="24"/>
        </w:rPr>
        <w:t>framework</w:t>
      </w:r>
      <w:r w:rsidRPr="00DD5A48">
        <w:rPr>
          <w:rFonts w:ascii="Times New Roman" w:eastAsiaTheme="majorHAnsi" w:hAnsi="Times New Roman" w:cs="Times New Roman"/>
          <w:sz w:val="24"/>
          <w:szCs w:val="24"/>
        </w:rPr>
        <w:t xml:space="preserve"> has emerged as a foundational model for analyzing organizational technology adoption. Developed by </w:t>
      </w:r>
      <w:proofErr w:type="spellStart"/>
      <w:r w:rsidRPr="00DD5A48">
        <w:rPr>
          <w:rFonts w:ascii="Times New Roman" w:eastAsiaTheme="majorHAnsi" w:hAnsi="Times New Roman" w:cs="Times New Roman"/>
          <w:sz w:val="24"/>
          <w:szCs w:val="24"/>
        </w:rPr>
        <w:t>Tornatzky</w:t>
      </w:r>
      <w:proofErr w:type="spellEnd"/>
      <w:r w:rsidRPr="00DD5A48">
        <w:rPr>
          <w:rFonts w:ascii="Times New Roman" w:eastAsiaTheme="majorHAnsi" w:hAnsi="Times New Roman" w:cs="Times New Roman"/>
          <w:sz w:val="24"/>
          <w:szCs w:val="24"/>
        </w:rPr>
        <w:t xml:space="preserve"> and Fleischer in 1990, TOE offers a holistic lens by integrating technological capabilities, organizational readiness, and environmental pressures. </w:t>
      </w:r>
      <w:r w:rsidR="00A32798" w:rsidRPr="00DD5A48">
        <w:rPr>
          <w:rFonts w:ascii="Times New Roman" w:eastAsiaTheme="majorHAnsi" w:hAnsi="Times New Roman" w:cs="Times New Roman"/>
          <w:sz w:val="24"/>
          <w:szCs w:val="24"/>
        </w:rPr>
        <w:t>The research</w:t>
      </w:r>
      <w:r w:rsidRPr="00DD5A48">
        <w:rPr>
          <w:rFonts w:ascii="Times New Roman" w:eastAsiaTheme="majorHAnsi" w:hAnsi="Times New Roman" w:cs="Times New Roman"/>
          <w:sz w:val="24"/>
          <w:szCs w:val="24"/>
        </w:rPr>
        <w:t xml:space="preserve"> reviews the theoretical underpinnings, empirical applications, strengths, limitations, and future directions of TOE. It highlights the framework’s adaptability across sectors and its relevance in guiding digital transformation, while also addressing critiques regarding its static nature and limited user-level insight. The </w:t>
      </w:r>
      <w:r w:rsidR="00A32798" w:rsidRPr="00DD5A48">
        <w:rPr>
          <w:rFonts w:ascii="Times New Roman" w:eastAsiaTheme="majorHAnsi" w:hAnsi="Times New Roman" w:cs="Times New Roman"/>
          <w:sz w:val="24"/>
          <w:szCs w:val="24"/>
        </w:rPr>
        <w:t>research</w:t>
      </w:r>
      <w:r w:rsidRPr="00DD5A48">
        <w:rPr>
          <w:rFonts w:ascii="Times New Roman" w:eastAsiaTheme="majorHAnsi" w:hAnsi="Times New Roman" w:cs="Times New Roman"/>
          <w:sz w:val="24"/>
          <w:szCs w:val="24"/>
        </w:rPr>
        <w:t xml:space="preserve"> concludes by advocating for hybrid models and dynamic extensions to enhance TOE’s utility in contemporary technological landscapes</w:t>
      </w:r>
      <w:r w:rsidR="00A32798" w:rsidRPr="00DD5A48">
        <w:rPr>
          <w:rFonts w:ascii="Times New Roman" w:eastAsiaTheme="majorHAnsi" w:hAnsi="Times New Roman" w:cs="Times New Roman"/>
          <w:sz w:val="24"/>
          <w:szCs w:val="24"/>
        </w:rPr>
        <w:t xml:space="preserve"> of cybersecurity</w:t>
      </w:r>
      <w:r w:rsidRPr="00DD5A48">
        <w:rPr>
          <w:rFonts w:ascii="Times New Roman" w:eastAsiaTheme="majorHAnsi" w:hAnsi="Times New Roman" w:cs="Times New Roman"/>
          <w:sz w:val="24"/>
          <w:szCs w:val="24"/>
        </w:rPr>
        <w:t>.</w:t>
      </w:r>
    </w:p>
    <w:p w14:paraId="06B54F41" w14:textId="14253862" w:rsidR="00A80F02" w:rsidRPr="00DD5A48" w:rsidRDefault="00A32798"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w:t>
      </w:r>
      <w:r w:rsidR="00A80F02" w:rsidRPr="00DD5A48">
        <w:rPr>
          <w:rFonts w:ascii="Times New Roman" w:eastAsiaTheme="majorHAnsi" w:hAnsi="Times New Roman" w:cs="Times New Roman"/>
          <w:sz w:val="24"/>
          <w:szCs w:val="24"/>
        </w:rPr>
        <w:t xml:space="preserve">n an era of rapid technological advancement, understanding the factors that drive or hinder organizational adoption of innovation is critical. While individual-level models such as the Technology Acceptance Model (TAM) and Unified Theory of Acceptance and Use of Technology (UTAUT) have dominated user-centric research, the Technology–Organization–Environment (TOE) </w:t>
      </w:r>
      <w:r w:rsidRPr="00DD5A48">
        <w:rPr>
          <w:rFonts w:ascii="Times New Roman" w:eastAsiaTheme="majorHAnsi" w:hAnsi="Times New Roman" w:cs="Times New Roman"/>
          <w:sz w:val="24"/>
          <w:szCs w:val="24"/>
        </w:rPr>
        <w:t>framework</w:t>
      </w:r>
      <w:r w:rsidR="00A80F02" w:rsidRPr="00DD5A48">
        <w:rPr>
          <w:rFonts w:ascii="Times New Roman" w:eastAsiaTheme="majorHAnsi" w:hAnsi="Times New Roman" w:cs="Times New Roman"/>
          <w:sz w:val="24"/>
          <w:szCs w:val="24"/>
        </w:rPr>
        <w:t xml:space="preserve"> provides a broader organizational perspective. Introduced by </w:t>
      </w:r>
      <w:proofErr w:type="spellStart"/>
      <w:r w:rsidR="00A80F02" w:rsidRPr="00DD5A48">
        <w:rPr>
          <w:rFonts w:ascii="Times New Roman" w:eastAsiaTheme="majorHAnsi" w:hAnsi="Times New Roman" w:cs="Times New Roman"/>
          <w:sz w:val="24"/>
          <w:szCs w:val="24"/>
        </w:rPr>
        <w:t>Tornatzky</w:t>
      </w:r>
      <w:proofErr w:type="spellEnd"/>
      <w:r w:rsidR="00A80F02" w:rsidRPr="00DD5A48">
        <w:rPr>
          <w:rFonts w:ascii="Times New Roman" w:eastAsiaTheme="majorHAnsi" w:hAnsi="Times New Roman" w:cs="Times New Roman"/>
          <w:sz w:val="24"/>
          <w:szCs w:val="24"/>
        </w:rPr>
        <w:t xml:space="preserve"> and Fleischer (1990), TOE posits that technology adoption is influenced by three contextual dimensions: technological, organizational, and environmental. This </w:t>
      </w:r>
      <w:r w:rsidR="00D64B5B" w:rsidRPr="00DD5A48">
        <w:rPr>
          <w:rFonts w:ascii="Times New Roman" w:eastAsiaTheme="majorHAnsi" w:hAnsi="Times New Roman" w:cs="Times New Roman"/>
          <w:sz w:val="24"/>
          <w:szCs w:val="24"/>
        </w:rPr>
        <w:t>section</w:t>
      </w:r>
      <w:r w:rsidR="00A80F02" w:rsidRPr="00DD5A48">
        <w:rPr>
          <w:rFonts w:ascii="Times New Roman" w:eastAsiaTheme="majorHAnsi" w:hAnsi="Times New Roman" w:cs="Times New Roman"/>
          <w:sz w:val="24"/>
          <w:szCs w:val="24"/>
        </w:rPr>
        <w:t xml:space="preserve"> explores the evolution of TOE, its empirical applications, and its relevance in modern digital ecosystems.</w:t>
      </w:r>
    </w:p>
    <w:p w14:paraId="4CBEA3B4" w14:textId="45182ECD"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 TOE framework is built on three pillars:</w:t>
      </w:r>
    </w:p>
    <w:p w14:paraId="7F9962F4" w14:textId="3D058A8F" w:rsidR="00A80F02" w:rsidRPr="00DD5A48" w:rsidRDefault="00A80F02" w:rsidP="00A80F02">
      <w:pPr>
        <w:pStyle w:val="a9"/>
        <w:numPr>
          <w:ilvl w:val="0"/>
          <w:numId w:val="7"/>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lastRenderedPageBreak/>
        <w:t>Technological Context: Refers to the internal and external technologies available to the organization. This includes infrastructure, system compatibility, and perceived benefits of the innovation.</w:t>
      </w:r>
    </w:p>
    <w:p w14:paraId="639B4386" w14:textId="1506E8A8" w:rsidR="00A80F02" w:rsidRPr="00DD5A48" w:rsidRDefault="00A80F02" w:rsidP="00A80F02">
      <w:pPr>
        <w:pStyle w:val="a9"/>
        <w:numPr>
          <w:ilvl w:val="0"/>
          <w:numId w:val="7"/>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Organizational Context: Encompasses the firm’s size, structure, resources, and managerial support. Organizational readiness and culture play a pivotal role in adoption decisions.</w:t>
      </w:r>
    </w:p>
    <w:p w14:paraId="30AC38BC" w14:textId="074A316A" w:rsidR="00A80F02" w:rsidRPr="00DD5A48" w:rsidRDefault="00A80F02" w:rsidP="00A80F02">
      <w:pPr>
        <w:pStyle w:val="a9"/>
        <w:numPr>
          <w:ilvl w:val="0"/>
          <w:numId w:val="7"/>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Environmental Context: Captures external factors such as industry trends, competitive pressure, regulatory requirements, and support from technology vendors.</w:t>
      </w:r>
    </w:p>
    <w:p w14:paraId="3DC6BD66" w14:textId="5A0941BD"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This triadic structure allows TOE to be flexible and applicable across various industries and technological domains.</w:t>
      </w:r>
    </w:p>
    <w:p w14:paraId="4A54F636" w14:textId="77777777"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Over the past three decades, TOE has evolved to accommodate emerging technologies and interdisciplinary approaches:</w:t>
      </w:r>
    </w:p>
    <w:p w14:paraId="3169E3DB" w14:textId="38764B09" w:rsidR="00A80F02" w:rsidRPr="00DD5A48" w:rsidRDefault="00A80F02" w:rsidP="00A80F02">
      <w:pPr>
        <w:pStyle w:val="a9"/>
        <w:numPr>
          <w:ilvl w:val="0"/>
          <w:numId w:val="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Integration with Behavioral Models</w:t>
      </w:r>
    </w:p>
    <w:p w14:paraId="1406CBD0" w14:textId="77777777"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Researchers have integrated TOE with TAM and UTAUT to bridge the gap between organizational and individual-level adoption. For example, combining perceived usefulness (TAM) with organizational readiness (TOE) provides a more comprehensive understanding of adoption behavior.</w:t>
      </w:r>
    </w:p>
    <w:p w14:paraId="3296F16A" w14:textId="20FD4C14" w:rsidR="00A80F02" w:rsidRPr="00DD5A48" w:rsidRDefault="00A80F02" w:rsidP="00A80F02">
      <w:pPr>
        <w:pStyle w:val="a9"/>
        <w:numPr>
          <w:ilvl w:val="0"/>
          <w:numId w:val="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Sector-Specific Adaptations</w:t>
      </w:r>
    </w:p>
    <w:p w14:paraId="2D16ED35" w14:textId="77777777"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TOE has been tailored to specific domains such as healthcare, agriculture, and education. In healthcare, for instance, the framework has been expanded to include patient data sensitivity and compliance with health regulations.</w:t>
      </w:r>
    </w:p>
    <w:p w14:paraId="2D352FDA" w14:textId="65AC963A" w:rsidR="00A80F02" w:rsidRPr="00DD5A48" w:rsidRDefault="00A80F02" w:rsidP="00A80F02">
      <w:pPr>
        <w:pStyle w:val="a9"/>
        <w:numPr>
          <w:ilvl w:val="0"/>
          <w:numId w:val="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Emerging Technologies</w:t>
      </w:r>
    </w:p>
    <w:p w14:paraId="5BCDE6FA" w14:textId="0CDC24B3"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With the rise of AI, blockchain, and IoT, TOE has been adapted to include constructs like ethical governance, data privacy, and digital maturity. These extensions reflect the growing complexity of technological ecosystems.</w:t>
      </w:r>
    </w:p>
    <w:p w14:paraId="03FF87B8" w14:textId="77777777"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TOE has been widely applied in empirical research, demonstrating its versatility:</w:t>
      </w:r>
    </w:p>
    <w:p w14:paraId="78E2EC02" w14:textId="49ACAADF" w:rsidR="00A80F02" w:rsidRPr="00DD5A48" w:rsidRDefault="00A80F02" w:rsidP="00A80F02">
      <w:pPr>
        <w:pStyle w:val="a9"/>
        <w:numPr>
          <w:ilvl w:val="0"/>
          <w:numId w:val="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E-Government Adoption</w:t>
      </w:r>
    </w:p>
    <w:p w14:paraId="6B058EA0" w14:textId="77777777"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 developing countries, TOE has been used to assess barriers to e-government implementation. Studies highlight the importance of organizational capacity and regulatory support in driving adoption.</w:t>
      </w:r>
    </w:p>
    <w:p w14:paraId="0469FFC9" w14:textId="4F98E010" w:rsidR="00A80F02" w:rsidRPr="00DD5A48" w:rsidRDefault="00A80F02" w:rsidP="00A80F02">
      <w:pPr>
        <w:pStyle w:val="a9"/>
        <w:numPr>
          <w:ilvl w:val="0"/>
          <w:numId w:val="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Cloud Computing in SMEs</w:t>
      </w:r>
    </w:p>
    <w:p w14:paraId="4EFFF32E" w14:textId="77777777"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TOE has helped identify key drivers of cloud adoption in small and medium enterprises (SMEs), such as technological compatibility and competitive pressure. Organizational inertia and lack of IT expertise often emerge as barriers.</w:t>
      </w:r>
    </w:p>
    <w:p w14:paraId="27DF1AEB" w14:textId="4F093E85" w:rsidR="00A80F02" w:rsidRPr="00DD5A48" w:rsidRDefault="00A80F02" w:rsidP="00A80F02">
      <w:pPr>
        <w:pStyle w:val="a9"/>
        <w:numPr>
          <w:ilvl w:val="0"/>
          <w:numId w:val="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Green IT and Sustainability</w:t>
      </w:r>
    </w:p>
    <w:p w14:paraId="034FBB44" w14:textId="77777777"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TOE has been extended to study environmental technologies, where external pressures like carbon regulations and internal culture toward sustainability are critical.</w:t>
      </w:r>
    </w:p>
    <w:p w14:paraId="53BD1F32" w14:textId="3B4DAD08" w:rsidR="00A80F02" w:rsidRPr="00DD5A48" w:rsidRDefault="00A80F02" w:rsidP="00A80F02">
      <w:pPr>
        <w:pStyle w:val="a9"/>
        <w:numPr>
          <w:ilvl w:val="0"/>
          <w:numId w:val="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Digital Transformation</w:t>
      </w:r>
    </w:p>
    <w:p w14:paraId="51894313" w14:textId="7FF59E87"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lastRenderedPageBreak/>
        <w:t>In large enterprises, TOE has guided strategic planning for digital transformation, emphasizing the interplay between legacy systems, leadership commitment, and market disruption.</w:t>
      </w:r>
      <w:r w:rsidR="00D64B5B" w:rsidRPr="00DD5A48">
        <w:rPr>
          <w:rFonts w:ascii="Times New Roman" w:eastAsiaTheme="majorHAnsi" w:hAnsi="Times New Roman" w:cs="Times New Roman"/>
          <w:sz w:val="24"/>
          <w:szCs w:val="24"/>
        </w:rPr>
        <w:t xml:space="preserve"> </w:t>
      </w:r>
      <w:r w:rsidRPr="00DD5A48">
        <w:rPr>
          <w:rFonts w:ascii="Times New Roman" w:eastAsiaTheme="majorHAnsi" w:hAnsi="Times New Roman" w:cs="Times New Roman"/>
          <w:sz w:val="24"/>
          <w:szCs w:val="24"/>
        </w:rPr>
        <w:t>TOE’s enduring relevance stems from several strengths:</w:t>
      </w:r>
    </w:p>
    <w:p w14:paraId="1FD8696B" w14:textId="2E37AB5F" w:rsidR="00A80F02" w:rsidRPr="00DD5A48" w:rsidRDefault="00A80F02" w:rsidP="00A80F02">
      <w:pPr>
        <w:pStyle w:val="a9"/>
        <w:numPr>
          <w:ilvl w:val="0"/>
          <w:numId w:val="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Holistic Perspective: By integrating internal and external factors, TOE provides a comprehensive view of technology adoption.</w:t>
      </w:r>
    </w:p>
    <w:p w14:paraId="4C50E8B0" w14:textId="601404F4" w:rsidR="00A80F02" w:rsidRPr="00DD5A48" w:rsidRDefault="00A80F02" w:rsidP="00A80F02">
      <w:pPr>
        <w:pStyle w:val="a9"/>
        <w:numPr>
          <w:ilvl w:val="0"/>
          <w:numId w:val="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Scalability: Applicable to organizations of all sizes and sectors.</w:t>
      </w:r>
    </w:p>
    <w:p w14:paraId="56FB9854" w14:textId="020EF62B" w:rsidR="00A80F02" w:rsidRPr="00DD5A48" w:rsidRDefault="00A80F02" w:rsidP="00A80F02">
      <w:pPr>
        <w:pStyle w:val="a9"/>
        <w:numPr>
          <w:ilvl w:val="0"/>
          <w:numId w:val="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Customizability: Easily adapted to different technologies and contexts.</w:t>
      </w:r>
    </w:p>
    <w:p w14:paraId="0D0FBA0B" w14:textId="3CE3839C" w:rsidR="00A80F02" w:rsidRPr="00DD5A48" w:rsidRDefault="00A80F02" w:rsidP="00A80F02">
      <w:pPr>
        <w:pStyle w:val="a9"/>
        <w:numPr>
          <w:ilvl w:val="0"/>
          <w:numId w:val="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Empirical Rigor: Supported by a wide range of quantitative and qualitative studies.</w:t>
      </w:r>
    </w:p>
    <w:p w14:paraId="39C419B9" w14:textId="180682C9"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These strengths make TOE a valuable tool for both academic research and practical implementation.</w:t>
      </w:r>
      <w:r w:rsidR="00D64B5B" w:rsidRPr="00DD5A48">
        <w:rPr>
          <w:rFonts w:ascii="Times New Roman" w:eastAsiaTheme="majorHAnsi" w:hAnsi="Times New Roman" w:cs="Times New Roman"/>
          <w:sz w:val="24"/>
          <w:szCs w:val="24"/>
        </w:rPr>
        <w:t xml:space="preserve"> </w:t>
      </w:r>
      <w:r w:rsidRPr="00DD5A48">
        <w:rPr>
          <w:rFonts w:ascii="Times New Roman" w:eastAsiaTheme="majorHAnsi" w:hAnsi="Times New Roman" w:cs="Times New Roman"/>
          <w:sz w:val="24"/>
          <w:szCs w:val="24"/>
        </w:rPr>
        <w:t>Despite its strengths, TOE faces several critiques:</w:t>
      </w:r>
    </w:p>
    <w:p w14:paraId="487D7559" w14:textId="4BF476D3" w:rsidR="00A80F02" w:rsidRPr="00DD5A48" w:rsidRDefault="00A80F02" w:rsidP="00A80F02">
      <w:pPr>
        <w:pStyle w:val="a9"/>
        <w:numPr>
          <w:ilvl w:val="0"/>
          <w:numId w:val="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Lack of User-Level Insight: TOE does not account for individual user attitudes, which are crucial for successful adoption.</w:t>
      </w:r>
    </w:p>
    <w:p w14:paraId="100BB632" w14:textId="4812A171" w:rsidR="00A80F02" w:rsidRPr="00DD5A48" w:rsidRDefault="00A80F02" w:rsidP="00A80F02">
      <w:pPr>
        <w:pStyle w:val="a9"/>
        <w:numPr>
          <w:ilvl w:val="0"/>
          <w:numId w:val="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Ambiguity in Construct Definitions: Constructs like “organizational readiness” are often interpreted differently across studies, leading to inconsistencies.</w:t>
      </w:r>
    </w:p>
    <w:p w14:paraId="2C594DFE" w14:textId="1E745317" w:rsidR="00A80F02" w:rsidRPr="00DD5A48" w:rsidRDefault="00A80F02" w:rsidP="00A80F02">
      <w:pPr>
        <w:pStyle w:val="a9"/>
        <w:numPr>
          <w:ilvl w:val="0"/>
          <w:numId w:val="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Static Nature: TOE is sometimes criticized for not capturing the dynamic, iterative nature of technology adoption.</w:t>
      </w:r>
    </w:p>
    <w:p w14:paraId="7911DB18" w14:textId="05C9C75D" w:rsidR="00A80F02" w:rsidRPr="00DD5A48" w:rsidRDefault="00A80F02" w:rsidP="00A80F02">
      <w:pPr>
        <w:pStyle w:val="a9"/>
        <w:numPr>
          <w:ilvl w:val="0"/>
          <w:numId w:val="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Limited Predictive Power: Compared to models like UTAUT, TOE may lack granularity in predicting behavioral intention.</w:t>
      </w:r>
    </w:p>
    <w:p w14:paraId="2A7934E1" w14:textId="05C1056C" w:rsidR="00A80F02" w:rsidRPr="00DD5A48" w:rsidRDefault="00A80F02" w:rsidP="00A80F0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These limitations suggest the need for hybrid models and dynamic extensions.</w:t>
      </w:r>
    </w:p>
    <w:p w14:paraId="0501E1DD" w14:textId="77777777" w:rsidR="00A80F02" w:rsidRPr="00DD5A48" w:rsidRDefault="00A80F02">
      <w:pPr>
        <w:rPr>
          <w:rFonts w:ascii="Times New Roman" w:eastAsiaTheme="majorHAnsi" w:hAnsi="Times New Roman" w:cs="Times New Roman"/>
          <w:sz w:val="24"/>
          <w:szCs w:val="24"/>
        </w:rPr>
      </w:pPr>
    </w:p>
    <w:p w14:paraId="4B60AE1A" w14:textId="3EDFAFFB" w:rsidR="00AE0225" w:rsidRPr="00DD5A48" w:rsidRDefault="00AE0225">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Part 3: Develop a Comprehensive Understanding of Research Design and Methods</w:t>
      </w:r>
    </w:p>
    <w:p w14:paraId="54D39B0A" w14:textId="4EBDEDA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Research design and methods form the backbone of scholarly inquiry, guiding the systematic investigation of phenomena across disciplines. This thesis explores the foundational concepts, classifications, philosophical paradigms, and evolving trends in research design and methodology. It distinguishes between qualitative, quantitative, and mixed methods approaches, examines their respective strengths and limitations, and highlights the importance of validity, reliability, and ethical considerations. Drawing on contemporary literature, the </w:t>
      </w:r>
      <w:r w:rsidR="00D64B5B" w:rsidRPr="00DD5A48">
        <w:rPr>
          <w:rFonts w:ascii="Times New Roman" w:eastAsiaTheme="majorHAnsi" w:hAnsi="Times New Roman" w:cs="Times New Roman"/>
          <w:sz w:val="24"/>
          <w:szCs w:val="24"/>
        </w:rPr>
        <w:t>section</w:t>
      </w:r>
      <w:r w:rsidRPr="00DD5A48">
        <w:rPr>
          <w:rFonts w:ascii="Times New Roman" w:eastAsiaTheme="majorHAnsi" w:hAnsi="Times New Roman" w:cs="Times New Roman"/>
          <w:sz w:val="24"/>
          <w:szCs w:val="24"/>
        </w:rPr>
        <w:t xml:space="preserve"> also addresses emerging challenges and innovations in research practice, including digital tools, participatory approaches, and open science. By synthesizing theoretical and practical insights, this </w:t>
      </w:r>
      <w:r w:rsidR="00D64B5B" w:rsidRPr="00DD5A48">
        <w:rPr>
          <w:rFonts w:ascii="Times New Roman" w:eastAsiaTheme="majorHAnsi" w:hAnsi="Times New Roman" w:cs="Times New Roman"/>
          <w:sz w:val="24"/>
          <w:szCs w:val="24"/>
        </w:rPr>
        <w:t>section</w:t>
      </w:r>
      <w:r w:rsidRPr="00DD5A48">
        <w:rPr>
          <w:rFonts w:ascii="Times New Roman" w:eastAsiaTheme="majorHAnsi" w:hAnsi="Times New Roman" w:cs="Times New Roman"/>
          <w:sz w:val="24"/>
          <w:szCs w:val="24"/>
        </w:rPr>
        <w:t xml:space="preserve"> aims to </w:t>
      </w:r>
      <w:r w:rsidR="00D64B5B" w:rsidRPr="00DD5A48">
        <w:rPr>
          <w:rFonts w:ascii="Times New Roman" w:eastAsiaTheme="majorHAnsi" w:hAnsi="Times New Roman" w:cs="Times New Roman"/>
          <w:sz w:val="24"/>
          <w:szCs w:val="24"/>
        </w:rPr>
        <w:t>review</w:t>
      </w:r>
      <w:r w:rsidRPr="00DD5A48">
        <w:rPr>
          <w:rFonts w:ascii="Times New Roman" w:eastAsiaTheme="majorHAnsi" w:hAnsi="Times New Roman" w:cs="Times New Roman"/>
          <w:sz w:val="24"/>
          <w:szCs w:val="24"/>
        </w:rPr>
        <w:t xml:space="preserve"> </w:t>
      </w:r>
      <w:r w:rsidR="00D64B5B" w:rsidRPr="00DD5A48">
        <w:rPr>
          <w:rFonts w:ascii="Times New Roman" w:eastAsiaTheme="majorHAnsi" w:hAnsi="Times New Roman" w:cs="Times New Roman"/>
          <w:sz w:val="24"/>
          <w:szCs w:val="24"/>
        </w:rPr>
        <w:t>on</w:t>
      </w:r>
      <w:r w:rsidRPr="00DD5A48">
        <w:rPr>
          <w:rFonts w:ascii="Times New Roman" w:eastAsiaTheme="majorHAnsi" w:hAnsi="Times New Roman" w:cs="Times New Roman"/>
          <w:sz w:val="24"/>
          <w:szCs w:val="24"/>
        </w:rPr>
        <w:t xml:space="preserve"> framework</w:t>
      </w:r>
      <w:r w:rsidR="00D64B5B" w:rsidRPr="00DD5A48">
        <w:rPr>
          <w:rFonts w:ascii="Times New Roman" w:eastAsiaTheme="majorHAnsi" w:hAnsi="Times New Roman" w:cs="Times New Roman"/>
          <w:sz w:val="24"/>
          <w:szCs w:val="24"/>
        </w:rPr>
        <w:t>s</w:t>
      </w:r>
      <w:r w:rsidRPr="00DD5A48">
        <w:rPr>
          <w:rFonts w:ascii="Times New Roman" w:eastAsiaTheme="majorHAnsi" w:hAnsi="Times New Roman" w:cs="Times New Roman"/>
          <w:sz w:val="24"/>
          <w:szCs w:val="24"/>
        </w:rPr>
        <w:t xml:space="preserve"> for conducting methodologically sound and impactful studies.</w:t>
      </w:r>
    </w:p>
    <w:p w14:paraId="5ED1A42B" w14:textId="7777777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Research is a systematic process of inquiry that seeks to generate new knowledge, validate existing theories, and inform practice. At the heart of this process lies research design—the strategic blueprint that outlines how a study will be conducted—and research methods, the tools and techniques used to collect and analyze data. Together, they determine the credibility, relevance, and utility of research findings (Creswell &amp; Creswell, 2018).</w:t>
      </w:r>
    </w:p>
    <w:p w14:paraId="2B93DBCA" w14:textId="7777777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The importance of research design and methods cannot be overstated. Poorly designed studies can lead to invalid conclusions, wasted resources, and ethical breaches. Conversely, a well-structured design enhances the rigor, transparency, and impact of research. As such, understanding the </w:t>
      </w:r>
      <w:r w:rsidRPr="00DD5A48">
        <w:rPr>
          <w:rFonts w:ascii="Times New Roman" w:eastAsiaTheme="majorHAnsi" w:hAnsi="Times New Roman" w:cs="Times New Roman"/>
          <w:sz w:val="24"/>
          <w:szCs w:val="24"/>
        </w:rPr>
        <w:lastRenderedPageBreak/>
        <w:t>principles and practices of research design is essential for scholars, practitioners, and students across disciplines.</w:t>
      </w:r>
    </w:p>
    <w:p w14:paraId="6263A9E0" w14:textId="5F41EC54"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This </w:t>
      </w:r>
      <w:r w:rsidR="001C75A4" w:rsidRPr="00DD5A48">
        <w:rPr>
          <w:rFonts w:ascii="Times New Roman" w:eastAsiaTheme="majorHAnsi" w:hAnsi="Times New Roman" w:cs="Times New Roman"/>
          <w:sz w:val="24"/>
          <w:szCs w:val="24"/>
        </w:rPr>
        <w:t>section</w:t>
      </w:r>
      <w:r w:rsidRPr="00DD5A48">
        <w:rPr>
          <w:rFonts w:ascii="Times New Roman" w:eastAsiaTheme="majorHAnsi" w:hAnsi="Times New Roman" w:cs="Times New Roman"/>
          <w:sz w:val="24"/>
          <w:szCs w:val="24"/>
        </w:rPr>
        <w:t xml:space="preserve"> provides a comprehensive overview of research design and methods, examining their definitions, classifications, philosophical foundations, and applications. It also explores emerging trends and challenges in contemporary research practice, offering a holistic understanding for those engaged in knowledge production.</w:t>
      </w:r>
    </w:p>
    <w:p w14:paraId="49FDAED5" w14:textId="7777777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Research design refers to the overall strategy that integrates different components of a study in a coherent and logical way. It ensures that the research problem is effectively addressed and that the findings are valid and reliable (Kerlinger &amp; Lee, 2000). A well-structured design includes the formulation of research questions, selection of variables, sampling strategy, data collection procedures, and analytical techniques.</w:t>
      </w:r>
    </w:p>
    <w:p w14:paraId="2428F334" w14:textId="7777777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Designs can be exploratory, descriptive, explanatory, or evaluative, depending on the purpose of the study. Exploratory designs are used when little is known about a phenomenon, while descriptive designs aim to portray characteristics of a population. Explanatory designs seek to identify causal relationships, and evaluative designs assess the effectiveness of interventions or programs (Babbie, 2020).</w:t>
      </w:r>
    </w:p>
    <w:p w14:paraId="6AD3E18A" w14:textId="7777777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Research methods are the specific procedures used to gather and analyze data. These include surveys, interviews, experiments, observations, and statistical analyses. The choice of methods depends on the nature of the research question, the type of data required, and the epistemological stance of the researcher (Bryman, 2016).</w:t>
      </w:r>
    </w:p>
    <w:p w14:paraId="5D805DFF" w14:textId="7777777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Methods can be classified as primary or secondary. Primary methods involve original data collection, while secondary methods use existing data sources. Both have advantages and limitations, and the choice often depends on resource availability, ethical considerations, and research objectives.</w:t>
      </w:r>
    </w:p>
    <w:p w14:paraId="20A32A15" w14:textId="599FAE74"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Research designs are typically categorized into three main types: qualitative, quantitative, and mixed methods.</w:t>
      </w:r>
      <w:r w:rsidR="001C75A4" w:rsidRPr="00DD5A48">
        <w:rPr>
          <w:rFonts w:ascii="Times New Roman" w:eastAsiaTheme="majorHAnsi" w:hAnsi="Times New Roman" w:cs="Times New Roman"/>
          <w:sz w:val="24"/>
          <w:szCs w:val="24"/>
        </w:rPr>
        <w:t xml:space="preserve"> This research plans to use mixed methods.</w:t>
      </w:r>
    </w:p>
    <w:p w14:paraId="243A0B0F" w14:textId="75F99ECF" w:rsidR="009458F9" w:rsidRPr="00DD5A48" w:rsidRDefault="009458F9" w:rsidP="009458F9">
      <w:pPr>
        <w:pStyle w:val="a9"/>
        <w:numPr>
          <w:ilvl w:val="0"/>
          <w:numId w:val="1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Qualitative research seeks to understand human experiences, behaviors, and social phenomena through rich, contextual data. It is inductive, flexible, and interpretive, often used when little is known about a topic (Denzin &amp; Lincoln, 2018).</w:t>
      </w:r>
      <w:r w:rsidR="001C75A4" w:rsidRPr="00DD5A48">
        <w:rPr>
          <w:rFonts w:ascii="Times New Roman" w:eastAsiaTheme="majorHAnsi" w:hAnsi="Times New Roman" w:cs="Times New Roman"/>
          <w:sz w:val="24"/>
          <w:szCs w:val="24"/>
        </w:rPr>
        <w:t xml:space="preserve"> </w:t>
      </w:r>
      <w:r w:rsidRPr="00DD5A48">
        <w:rPr>
          <w:rFonts w:ascii="Times New Roman" w:eastAsiaTheme="majorHAnsi" w:hAnsi="Times New Roman" w:cs="Times New Roman"/>
          <w:sz w:val="24"/>
          <w:szCs w:val="24"/>
        </w:rPr>
        <w:t>Common designs include:</w:t>
      </w:r>
    </w:p>
    <w:p w14:paraId="61C7094D" w14:textId="77777777" w:rsidR="009458F9" w:rsidRPr="00DD5A48" w:rsidRDefault="009458F9" w:rsidP="009458F9">
      <w:pPr>
        <w:numPr>
          <w:ilvl w:val="0"/>
          <w:numId w:val="10"/>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Case Study: In-depth analysis of a single unit or case, such as an organization, event, or individual.</w:t>
      </w:r>
    </w:p>
    <w:p w14:paraId="2BBCBA6C" w14:textId="77777777" w:rsidR="009458F9" w:rsidRPr="00DD5A48" w:rsidRDefault="009458F9" w:rsidP="009458F9">
      <w:pPr>
        <w:numPr>
          <w:ilvl w:val="0"/>
          <w:numId w:val="10"/>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Ethnography: Study of cultural practices within natural settings, often involving participant observation.</w:t>
      </w:r>
    </w:p>
    <w:p w14:paraId="024886D9" w14:textId="77777777" w:rsidR="009458F9" w:rsidRPr="00DD5A48" w:rsidRDefault="009458F9" w:rsidP="009458F9">
      <w:pPr>
        <w:numPr>
          <w:ilvl w:val="0"/>
          <w:numId w:val="10"/>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Grounded Theory: Development of theory based on data collected from participants.</w:t>
      </w:r>
    </w:p>
    <w:p w14:paraId="3369DC7E" w14:textId="77777777" w:rsidR="009458F9" w:rsidRPr="00DD5A48" w:rsidRDefault="009458F9" w:rsidP="009458F9">
      <w:pPr>
        <w:numPr>
          <w:ilvl w:val="0"/>
          <w:numId w:val="10"/>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Phenomenology: Exploration of lived experiences to uncover the essence of a phenomenon.</w:t>
      </w:r>
    </w:p>
    <w:p w14:paraId="7F3CA750" w14:textId="77777777" w:rsidR="009458F9" w:rsidRPr="00DD5A48" w:rsidRDefault="009458F9" w:rsidP="001C75A4">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Qualitative designs are particularly useful for exploring complex, context-dependent issues such as identity, culture, and meaning-making. They prioritize depth over breadth and often involve iterative data collection and analysis.</w:t>
      </w:r>
    </w:p>
    <w:p w14:paraId="68F8C528" w14:textId="7ACE43FE" w:rsidR="009458F9" w:rsidRPr="00DD5A48" w:rsidRDefault="009458F9" w:rsidP="009458F9">
      <w:pPr>
        <w:pStyle w:val="a9"/>
        <w:numPr>
          <w:ilvl w:val="0"/>
          <w:numId w:val="1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Quantitative research aims to test hypotheses, measure variables, and establish relationships using statistical analysis. It is deductive, structured, and objective (Creswell &amp; Creswell, 2018).</w:t>
      </w:r>
      <w:r w:rsidR="001C75A4" w:rsidRPr="00DD5A48">
        <w:rPr>
          <w:rFonts w:ascii="Times New Roman" w:eastAsiaTheme="majorHAnsi" w:hAnsi="Times New Roman" w:cs="Times New Roman"/>
          <w:sz w:val="24"/>
          <w:szCs w:val="24"/>
        </w:rPr>
        <w:t xml:space="preserve"> </w:t>
      </w:r>
      <w:r w:rsidRPr="00DD5A48">
        <w:rPr>
          <w:rFonts w:ascii="Times New Roman" w:eastAsiaTheme="majorHAnsi" w:hAnsi="Times New Roman" w:cs="Times New Roman"/>
          <w:sz w:val="24"/>
          <w:szCs w:val="24"/>
        </w:rPr>
        <w:t>Common designs include:</w:t>
      </w:r>
    </w:p>
    <w:p w14:paraId="2AB08B8A" w14:textId="77777777" w:rsidR="009458F9" w:rsidRPr="00DD5A48" w:rsidRDefault="009458F9" w:rsidP="009458F9">
      <w:pPr>
        <w:numPr>
          <w:ilvl w:val="0"/>
          <w:numId w:val="11"/>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Descriptive: Summarizes characteristics of a population using measures such as mean, median, and frequency.</w:t>
      </w:r>
    </w:p>
    <w:p w14:paraId="51E5F836" w14:textId="77777777" w:rsidR="009458F9" w:rsidRPr="00DD5A48" w:rsidRDefault="009458F9" w:rsidP="009458F9">
      <w:pPr>
        <w:numPr>
          <w:ilvl w:val="0"/>
          <w:numId w:val="11"/>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lastRenderedPageBreak/>
        <w:t>Correlational: Examines relationships between variables without implying causation.</w:t>
      </w:r>
    </w:p>
    <w:p w14:paraId="7E70099A" w14:textId="77777777" w:rsidR="009458F9" w:rsidRPr="00DD5A48" w:rsidRDefault="009458F9" w:rsidP="009458F9">
      <w:pPr>
        <w:numPr>
          <w:ilvl w:val="0"/>
          <w:numId w:val="11"/>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Experimental: Tests causality through manipulation of independent variables and control of extraneous factors.</w:t>
      </w:r>
    </w:p>
    <w:p w14:paraId="2B2D5EEB" w14:textId="77777777" w:rsidR="009458F9" w:rsidRPr="00DD5A48" w:rsidRDefault="009458F9" w:rsidP="009458F9">
      <w:pPr>
        <w:numPr>
          <w:ilvl w:val="0"/>
          <w:numId w:val="11"/>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Quasi-Experimental: Similar to experimental but lacks random assignment, often used in field settings.</w:t>
      </w:r>
    </w:p>
    <w:p w14:paraId="069F2E86" w14:textId="7777777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Quantitative designs are valued for their precision, generalizability, and replicability. They are widely used in fields such as psychology, economics, and public health.</w:t>
      </w:r>
    </w:p>
    <w:p w14:paraId="65592822" w14:textId="7B91DAD3" w:rsidR="009458F9" w:rsidRPr="00DD5A48" w:rsidRDefault="009458F9" w:rsidP="009458F9">
      <w:pPr>
        <w:pStyle w:val="a9"/>
        <w:numPr>
          <w:ilvl w:val="0"/>
          <w:numId w:val="1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Mixed methods research combines qualitative and quantitative approaches to provide a more comprehensive understanding of research problems. It allows for triangulation, validation, and integration of diverse data sources (</w:t>
      </w:r>
      <w:proofErr w:type="spellStart"/>
      <w:r w:rsidRPr="00DD5A48">
        <w:rPr>
          <w:rFonts w:ascii="Times New Roman" w:eastAsiaTheme="majorHAnsi" w:hAnsi="Times New Roman" w:cs="Times New Roman"/>
          <w:sz w:val="24"/>
          <w:szCs w:val="24"/>
        </w:rPr>
        <w:t>Tashakkori</w:t>
      </w:r>
      <w:proofErr w:type="spellEnd"/>
      <w:r w:rsidRPr="00DD5A48">
        <w:rPr>
          <w:rFonts w:ascii="Times New Roman" w:eastAsiaTheme="majorHAnsi" w:hAnsi="Times New Roman" w:cs="Times New Roman"/>
          <w:sz w:val="24"/>
          <w:szCs w:val="24"/>
        </w:rPr>
        <w:t xml:space="preserve"> &amp; Teddlie, 2010).</w:t>
      </w:r>
      <w:r w:rsidR="001C75A4" w:rsidRPr="00DD5A48">
        <w:rPr>
          <w:rFonts w:ascii="Times New Roman" w:eastAsiaTheme="majorHAnsi" w:hAnsi="Times New Roman" w:cs="Times New Roman"/>
          <w:sz w:val="24"/>
          <w:szCs w:val="24"/>
        </w:rPr>
        <w:t xml:space="preserve"> </w:t>
      </w:r>
      <w:r w:rsidRPr="00DD5A48">
        <w:rPr>
          <w:rFonts w:ascii="Times New Roman" w:eastAsiaTheme="majorHAnsi" w:hAnsi="Times New Roman" w:cs="Times New Roman"/>
          <w:sz w:val="24"/>
          <w:szCs w:val="24"/>
        </w:rPr>
        <w:t>Common designs include:</w:t>
      </w:r>
    </w:p>
    <w:p w14:paraId="286584FB" w14:textId="7ABC3686" w:rsidR="009458F9" w:rsidRPr="00DD5A48" w:rsidRDefault="009458F9" w:rsidP="009458F9">
      <w:pPr>
        <w:numPr>
          <w:ilvl w:val="0"/>
          <w:numId w:val="12"/>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Quantitative data is collected first, followed by qualitative data to explain the results.</w:t>
      </w:r>
    </w:p>
    <w:p w14:paraId="59AB68D9" w14:textId="68A0AF23" w:rsidR="009458F9" w:rsidRPr="00DD5A48" w:rsidRDefault="009458F9" w:rsidP="009458F9">
      <w:pPr>
        <w:numPr>
          <w:ilvl w:val="0"/>
          <w:numId w:val="12"/>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Qualitative data is collected first to explore a phenomenon, followed by quantitative data to test emerging hypotheses.</w:t>
      </w:r>
    </w:p>
    <w:p w14:paraId="1FE23A9B" w14:textId="228A29DB" w:rsidR="009458F9" w:rsidRPr="00DD5A48" w:rsidRDefault="009458F9" w:rsidP="009458F9">
      <w:pPr>
        <w:numPr>
          <w:ilvl w:val="0"/>
          <w:numId w:val="12"/>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Both qualitative and quantitative data are collected simultaneously and integrated during analysis.</w:t>
      </w:r>
    </w:p>
    <w:p w14:paraId="44EF03C1" w14:textId="7777777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Mixed methods designs are increasingly popular in interdisciplinary research, policy evaluation, and program assessment. They offer the strengths of both approaches while mitigating their limitations.</w:t>
      </w:r>
    </w:p>
    <w:p w14:paraId="5424DD46" w14:textId="2584D4AE"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Research design is influenced by philosophical paradigms that shape how knowledge is understood and generated.</w:t>
      </w:r>
    </w:p>
    <w:p w14:paraId="2549975B" w14:textId="08BCDA5F" w:rsidR="009458F9" w:rsidRPr="00DD5A48" w:rsidRDefault="009458F9" w:rsidP="001C75A4">
      <w:pPr>
        <w:pStyle w:val="a9"/>
        <w:numPr>
          <w:ilvl w:val="0"/>
          <w:numId w:val="1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Positivism</w:t>
      </w:r>
    </w:p>
    <w:p w14:paraId="13404398" w14:textId="7777777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Positivism assumes an objective reality that can be measured and tested. It underpins quantitative research and emphasizes empirical observation, hypothesis testing, and statistical analysis (Neuman, 2014). Positivist researchers seek to uncover universal laws and causal relationships through rigorous experimentation.</w:t>
      </w:r>
    </w:p>
    <w:p w14:paraId="236DE747" w14:textId="79F99F3D" w:rsidR="009458F9" w:rsidRPr="00DD5A48" w:rsidRDefault="009458F9" w:rsidP="001C75A4">
      <w:pPr>
        <w:pStyle w:val="a9"/>
        <w:numPr>
          <w:ilvl w:val="0"/>
          <w:numId w:val="1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Interpretivism</w:t>
      </w:r>
    </w:p>
    <w:p w14:paraId="4A4E4617" w14:textId="7777777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Interpretivism views reality as socially constructed and subjective. It supports qualitative research focused on meaning, context, and human experience (Schwandt, 2007). Interpretivist researchers prioritize depth, reflexivity, and the co-construction of knowledge between researcher and participant.</w:t>
      </w:r>
    </w:p>
    <w:p w14:paraId="37E3BC25" w14:textId="44739416" w:rsidR="009458F9" w:rsidRPr="00DD5A48" w:rsidRDefault="009458F9" w:rsidP="001C75A4">
      <w:pPr>
        <w:pStyle w:val="a9"/>
        <w:numPr>
          <w:ilvl w:val="0"/>
          <w:numId w:val="1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Pragmatism</w:t>
      </w:r>
    </w:p>
    <w:p w14:paraId="36B59E79" w14:textId="42C6B1C8"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Pragmatism advocates for methodological pluralism, using whatever methods best address the research question. It underlies mixed methods research and emphasizes practical outcomes, relevance, and utility (Morgan, 2007). Pragmatists reject rigid adherence to paradigms and focus on problem-solving.</w:t>
      </w:r>
      <w:r w:rsidR="00E06407" w:rsidRPr="00DD5A48">
        <w:rPr>
          <w:rFonts w:ascii="Times New Roman" w:eastAsiaTheme="majorHAnsi" w:hAnsi="Times New Roman" w:cs="Times New Roman"/>
          <w:sz w:val="24"/>
          <w:szCs w:val="24"/>
        </w:rPr>
        <w:t xml:space="preserve"> This research is designed with Pragmatism paradigm.</w:t>
      </w:r>
    </w:p>
    <w:p w14:paraId="1CBF4F44" w14:textId="7777777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A robust research design includes several interrelated components:</w:t>
      </w:r>
    </w:p>
    <w:p w14:paraId="725098AD" w14:textId="77777777" w:rsidR="009458F9" w:rsidRPr="00DD5A48" w:rsidRDefault="009458F9" w:rsidP="009458F9">
      <w:pPr>
        <w:numPr>
          <w:ilvl w:val="0"/>
          <w:numId w:val="1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Research Problem and Questions: Clearly defined problems guide the choice of design and methods. A well-formulated question is specific, </w:t>
      </w:r>
      <w:r w:rsidRPr="00DD5A48">
        <w:rPr>
          <w:rFonts w:ascii="Times New Roman" w:eastAsiaTheme="majorHAnsi" w:hAnsi="Times New Roman" w:cs="Times New Roman"/>
          <w:sz w:val="24"/>
          <w:szCs w:val="24"/>
        </w:rPr>
        <w:lastRenderedPageBreak/>
        <w:t>feasible, and significant.</w:t>
      </w:r>
    </w:p>
    <w:p w14:paraId="18FE0ECD" w14:textId="77777777" w:rsidR="009458F9" w:rsidRPr="00DD5A48" w:rsidRDefault="009458F9" w:rsidP="009458F9">
      <w:pPr>
        <w:numPr>
          <w:ilvl w:val="0"/>
          <w:numId w:val="1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Theoretical Framework: Provides the lens through which data is interpreted. It situates the study within existing literature and guides hypothesis formulation.</w:t>
      </w:r>
    </w:p>
    <w:p w14:paraId="658A7BF4" w14:textId="77777777" w:rsidR="009458F9" w:rsidRPr="00DD5A48" w:rsidRDefault="009458F9" w:rsidP="009458F9">
      <w:pPr>
        <w:numPr>
          <w:ilvl w:val="0"/>
          <w:numId w:val="1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Variables and Hypotheses: In quantitative research, variables are measurable attributes, and hypotheses are testable predictions about their relationships.</w:t>
      </w:r>
    </w:p>
    <w:p w14:paraId="0CC2234C" w14:textId="77777777" w:rsidR="009458F9" w:rsidRPr="00DD5A48" w:rsidRDefault="009458F9" w:rsidP="009458F9">
      <w:pPr>
        <w:numPr>
          <w:ilvl w:val="0"/>
          <w:numId w:val="1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Sampling Strategy: Determines how participants or units are selected. Strategies include probability sampling (e.g., random, stratified) and non-probability sampling (e.g., purposive, snowball).</w:t>
      </w:r>
    </w:p>
    <w:p w14:paraId="0ED0E46B" w14:textId="77777777" w:rsidR="009458F9" w:rsidRPr="00DD5A48" w:rsidRDefault="009458F9" w:rsidP="009458F9">
      <w:pPr>
        <w:numPr>
          <w:ilvl w:val="0"/>
          <w:numId w:val="1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Data Collection Methods: Vary by design type and research objectives. Qualitative methods include interviews and observations; quantitative methods include surveys and experiments.</w:t>
      </w:r>
    </w:p>
    <w:p w14:paraId="7ED78D1F" w14:textId="77777777" w:rsidR="009458F9" w:rsidRPr="00DD5A48" w:rsidRDefault="009458F9" w:rsidP="009458F9">
      <w:pPr>
        <w:numPr>
          <w:ilvl w:val="0"/>
          <w:numId w:val="1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Data Analysis Plan: Aligns with the type of data and research goals. Qualitative analysis involves coding and thematic synthesis; quantitative analysis involves statistical tests.</w:t>
      </w:r>
    </w:p>
    <w:p w14:paraId="010CADE2" w14:textId="15464937" w:rsidR="00E06407" w:rsidRPr="00DD5A48" w:rsidRDefault="009458F9" w:rsidP="00E06407">
      <w:pPr>
        <w:numPr>
          <w:ilvl w:val="0"/>
          <w:numId w:val="13"/>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Ethical Considerations: Ensure informed consent, confidentiality, and protection from harm. Ethical review boards oversee compliance with standards.</w:t>
      </w:r>
    </w:p>
    <w:p w14:paraId="5516D572" w14:textId="1D3DD08C"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Ensuring the credibility of research findings is essential.</w:t>
      </w:r>
      <w:r w:rsidR="00E06407" w:rsidRPr="00DD5A48">
        <w:rPr>
          <w:rFonts w:ascii="Times New Roman" w:eastAsiaTheme="majorHAnsi" w:hAnsi="Times New Roman" w:cs="Times New Roman"/>
          <w:sz w:val="24"/>
          <w:szCs w:val="24"/>
        </w:rPr>
        <w:t xml:space="preserve"> </w:t>
      </w:r>
      <w:r w:rsidRPr="00DD5A48">
        <w:rPr>
          <w:rFonts w:ascii="Times New Roman" w:eastAsiaTheme="majorHAnsi" w:hAnsi="Times New Roman" w:cs="Times New Roman"/>
          <w:sz w:val="24"/>
          <w:szCs w:val="24"/>
        </w:rPr>
        <w:t>Validity refers to the accuracy of measurement and interpretation.</w:t>
      </w:r>
    </w:p>
    <w:p w14:paraId="68075353" w14:textId="77777777" w:rsidR="009458F9" w:rsidRPr="00DD5A48" w:rsidRDefault="009458F9" w:rsidP="009458F9">
      <w:pPr>
        <w:numPr>
          <w:ilvl w:val="0"/>
          <w:numId w:val="1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Internal Validity: The extent to which a study establishes a causal relationship.</w:t>
      </w:r>
    </w:p>
    <w:p w14:paraId="7C1479FB" w14:textId="77777777" w:rsidR="009458F9" w:rsidRPr="00DD5A48" w:rsidRDefault="009458F9" w:rsidP="009458F9">
      <w:pPr>
        <w:numPr>
          <w:ilvl w:val="0"/>
          <w:numId w:val="1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External Validity: The generalizability of findings to other contexts.</w:t>
      </w:r>
    </w:p>
    <w:p w14:paraId="3898826D" w14:textId="77777777" w:rsidR="009458F9" w:rsidRPr="00DD5A48" w:rsidRDefault="009458F9" w:rsidP="009458F9">
      <w:pPr>
        <w:numPr>
          <w:ilvl w:val="0"/>
          <w:numId w:val="1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Construct Validity: The degree to which a test measures the intended construct.</w:t>
      </w:r>
    </w:p>
    <w:p w14:paraId="4DD06D55" w14:textId="77777777" w:rsidR="009458F9" w:rsidRPr="00DD5A48" w:rsidRDefault="009458F9" w:rsidP="009458F9">
      <w:pPr>
        <w:numPr>
          <w:ilvl w:val="0"/>
          <w:numId w:val="14"/>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Content Validity: The extent to which a measure covers all aspects of a concept.</w:t>
      </w:r>
    </w:p>
    <w:p w14:paraId="0D2C8821" w14:textId="77777777"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Reliability refers to the consistency of measurement.</w:t>
      </w:r>
    </w:p>
    <w:p w14:paraId="006F1556" w14:textId="77777777" w:rsidR="009458F9" w:rsidRPr="00DD5A48" w:rsidRDefault="009458F9" w:rsidP="009458F9">
      <w:pPr>
        <w:numPr>
          <w:ilvl w:val="0"/>
          <w:numId w:val="15"/>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Test-Retest Reliability: Stability of results over time.</w:t>
      </w:r>
    </w:p>
    <w:p w14:paraId="40923253" w14:textId="77777777" w:rsidR="009458F9" w:rsidRPr="00DD5A48" w:rsidRDefault="009458F9" w:rsidP="009458F9">
      <w:pPr>
        <w:numPr>
          <w:ilvl w:val="0"/>
          <w:numId w:val="15"/>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Inter-Rater Reliability: Agreement among different observers.</w:t>
      </w:r>
    </w:p>
    <w:p w14:paraId="43A168D4" w14:textId="77777777" w:rsidR="009458F9" w:rsidRPr="00DD5A48" w:rsidRDefault="009458F9" w:rsidP="009458F9">
      <w:pPr>
        <w:numPr>
          <w:ilvl w:val="0"/>
          <w:numId w:val="15"/>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Internal Consistency: Cohesion among items in a scale, often measured by Cronbach’s alpha.</w:t>
      </w:r>
    </w:p>
    <w:p w14:paraId="49F78A9F" w14:textId="37FC4886" w:rsidR="009458F9" w:rsidRPr="00DD5A48" w:rsidRDefault="009458F9" w:rsidP="009458F9">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Ethical research requires adherence to principles such as respect for persons, beneficence, and justice (Belmont Report, 1979). </w:t>
      </w:r>
      <w:r w:rsidR="00E06407" w:rsidRPr="00DD5A48">
        <w:rPr>
          <w:rFonts w:ascii="Times New Roman" w:eastAsiaTheme="majorHAnsi" w:hAnsi="Times New Roman" w:cs="Times New Roman"/>
          <w:sz w:val="24"/>
          <w:szCs w:val="24"/>
        </w:rPr>
        <w:t>In this research, r</w:t>
      </w:r>
      <w:r w:rsidRPr="00DD5A48">
        <w:rPr>
          <w:rFonts w:ascii="Times New Roman" w:eastAsiaTheme="majorHAnsi" w:hAnsi="Times New Roman" w:cs="Times New Roman"/>
          <w:sz w:val="24"/>
          <w:szCs w:val="24"/>
        </w:rPr>
        <w:t xml:space="preserve">esearchers </w:t>
      </w:r>
      <w:r w:rsidR="00E06407" w:rsidRPr="00DD5A48">
        <w:rPr>
          <w:rFonts w:ascii="Times New Roman" w:eastAsiaTheme="majorHAnsi" w:hAnsi="Times New Roman" w:cs="Times New Roman"/>
          <w:sz w:val="24"/>
          <w:szCs w:val="24"/>
        </w:rPr>
        <w:t>will</w:t>
      </w:r>
      <w:r w:rsidRPr="00DD5A48">
        <w:rPr>
          <w:rFonts w:ascii="Times New Roman" w:eastAsiaTheme="majorHAnsi" w:hAnsi="Times New Roman" w:cs="Times New Roman"/>
          <w:sz w:val="24"/>
          <w:szCs w:val="24"/>
        </w:rPr>
        <w:t xml:space="preserve"> obtain informed consent, ensure confidentiality, and minimize harm.</w:t>
      </w:r>
    </w:p>
    <w:p w14:paraId="1ED69857"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Research design is undergoing a dynamic transformation, driven by technological advancements, interdisciplinary collaboration, and the need to address increasingly complex societal challenges. These emerging trends are reshaping how researchers conceptualize, execute, and disseminate their work.</w:t>
      </w:r>
    </w:p>
    <w:p w14:paraId="52AB729C"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Participatory research methods emphasize collaboration between researchers and stakeholders, including community members, practitioners, and </w:t>
      </w:r>
      <w:r w:rsidRPr="00DD5A48">
        <w:rPr>
          <w:rFonts w:ascii="Times New Roman" w:eastAsiaTheme="majorHAnsi" w:hAnsi="Times New Roman" w:cs="Times New Roman"/>
          <w:sz w:val="24"/>
          <w:szCs w:val="24"/>
        </w:rPr>
        <w:lastRenderedPageBreak/>
        <w:t>policy-makers. These approaches democratize the research process, ensuring that those affected by the research have a voice in its design and implementation.</w:t>
      </w:r>
    </w:p>
    <w:p w14:paraId="1658AE8E"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Participatory Action Research (PAR) is a prominent example, where participants act as co-researchers to identify problems, collect data, and implement solutions (Chevalier &amp; Buckles, 2019). This method is especially valuable in fields such as public health, education, and environmental justice, where local knowledge and lived experience are critical.</w:t>
      </w:r>
    </w:p>
    <w:p w14:paraId="632D35EE"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Collaborative approaches also extend to transdisciplinary research, which integrates academic and non-academic perspectives to address real-world problems. Lang et al. (2012) argue that transdisciplinary designs foster mutual learning and co-production of knowledge, enhancing the relevance and impact of research.</w:t>
      </w:r>
    </w:p>
    <w:p w14:paraId="7C59C553"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 open science movement promotes transparency, accessibility, and reproducibility in research. It encourages practices such as:</w:t>
      </w:r>
    </w:p>
    <w:p w14:paraId="1AF40E18"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Pre-registration of studies: Declaring hypotheses and methods before data collection to prevent p-hacking and selective reporting.</w:t>
      </w:r>
    </w:p>
    <w:p w14:paraId="1FCD7BD2"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Open data and code sharing: Making datasets and analytical scripts publicly available for verification and reuse.</w:t>
      </w:r>
    </w:p>
    <w:p w14:paraId="2913FD9C"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Replication studies: Repeating research to test the robustness of findings.</w:t>
      </w:r>
    </w:p>
    <w:p w14:paraId="7EF506BC"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Nosek et al. (2015) highlight that open science enhances trust in research and accelerates scientific progress. Journals and funding agencies increasingly require open practices, signaling a shift toward greater accountability.</w:t>
      </w:r>
    </w:p>
    <w:p w14:paraId="4B3BB70A" w14:textId="493FEBA0"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 rise of big data and computational tools has revolutionized research design. Computational social science uses algorithms, simulations, and machine learning to analyze complex social phenomena (Lazer et al., 2009). These methods enable researchers to process vast datasets from digital platforms, sensors, and administrative records.</w:t>
      </w:r>
      <w:r w:rsidR="00E06407" w:rsidRPr="00DD5A48">
        <w:rPr>
          <w:rFonts w:ascii="Times New Roman" w:eastAsiaTheme="majorHAnsi" w:hAnsi="Times New Roman" w:cs="Times New Roman"/>
          <w:sz w:val="24"/>
          <w:szCs w:val="24"/>
        </w:rPr>
        <w:t xml:space="preserve"> </w:t>
      </w:r>
      <w:r w:rsidRPr="00DD5A48">
        <w:rPr>
          <w:rFonts w:ascii="Times New Roman" w:eastAsiaTheme="majorHAnsi" w:hAnsi="Times New Roman" w:cs="Times New Roman"/>
          <w:sz w:val="24"/>
          <w:szCs w:val="24"/>
        </w:rPr>
        <w:t>Examples include:</w:t>
      </w:r>
    </w:p>
    <w:p w14:paraId="4CE9C7BC" w14:textId="77777777" w:rsidR="007F04EC" w:rsidRPr="00DD5A48" w:rsidRDefault="007F04EC" w:rsidP="007F04EC">
      <w:pPr>
        <w:tabs>
          <w:tab w:val="num" w:pos="720"/>
        </w:tabs>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Social media sentiment analysis: Studying public opinion through platforms like Twitter and Reddit.</w:t>
      </w:r>
    </w:p>
    <w:p w14:paraId="3FA04D9D" w14:textId="77777777" w:rsidR="007F04EC" w:rsidRPr="00DD5A48" w:rsidRDefault="007F04EC" w:rsidP="007F04EC">
      <w:pPr>
        <w:tabs>
          <w:tab w:val="num" w:pos="720"/>
        </w:tabs>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Network analysis: Mapping relationships and influence within communities or organizations.</w:t>
      </w:r>
    </w:p>
    <w:p w14:paraId="03CE6378" w14:textId="77777777" w:rsidR="007F04EC" w:rsidRPr="00DD5A48" w:rsidRDefault="007F04EC" w:rsidP="007F04EC">
      <w:pPr>
        <w:tabs>
          <w:tab w:val="num" w:pos="720"/>
        </w:tabs>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Predictive modeling: Forecasting outcomes based on historical data patterns.</w:t>
      </w:r>
    </w:p>
    <w:p w14:paraId="1FCAA77F"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While powerful, these methods raise ethical concerns about privacy, consent, and algorithmic bias, necessitating careful design and oversight.</w:t>
      </w:r>
    </w:p>
    <w:p w14:paraId="593416EE"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Traditional ethnographic methods are being adapted to digital contexts. Digital ethnography involves studying online communities, virtual interactions, and digital cultures (Pink et al., 2016). Researchers observe behaviors in virtual spaces, collect digital artifacts (e.g., posts, memes), and engage with participants through online platforms.</w:t>
      </w:r>
    </w:p>
    <w:p w14:paraId="3E607DCE"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This approach is particularly useful for examining phenomena such as misinformation, online activism, and digital identity. It also enables access to hard-to-reach populations and real-time data collection.</w:t>
      </w:r>
    </w:p>
    <w:p w14:paraId="16C71D68"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Virtual reality (VR) and augmented reality (AR) are also emerging as tools for immersive research. VR ethnography allows researchers to simulate environments and study participant responses in controlled yet lifelike settings (</w:t>
      </w:r>
      <w:proofErr w:type="spellStart"/>
      <w:r w:rsidRPr="00DD5A48">
        <w:rPr>
          <w:rFonts w:ascii="Times New Roman" w:eastAsiaTheme="majorHAnsi" w:hAnsi="Times New Roman" w:cs="Times New Roman"/>
          <w:sz w:val="24"/>
          <w:szCs w:val="24"/>
        </w:rPr>
        <w:t>Gaggioli</w:t>
      </w:r>
      <w:proofErr w:type="spellEnd"/>
      <w:r w:rsidRPr="00DD5A48">
        <w:rPr>
          <w:rFonts w:ascii="Times New Roman" w:eastAsiaTheme="majorHAnsi" w:hAnsi="Times New Roman" w:cs="Times New Roman"/>
          <w:sz w:val="24"/>
          <w:szCs w:val="24"/>
        </w:rPr>
        <w:t xml:space="preserve"> et al., 2014).</w:t>
      </w:r>
    </w:p>
    <w:p w14:paraId="2F7022F0"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lastRenderedPageBreak/>
        <w:t>New technologies are expanding the toolkit for data collection:</w:t>
      </w:r>
    </w:p>
    <w:p w14:paraId="7BF9306B" w14:textId="77777777" w:rsidR="007F04EC" w:rsidRPr="00DD5A48" w:rsidRDefault="007F04EC" w:rsidP="007F04EC">
      <w:pPr>
        <w:tabs>
          <w:tab w:val="num" w:pos="720"/>
        </w:tabs>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Biometric feedback: Using physiological measures (e.g., heart rate, eye tracking) to assess emotional and cognitive responses.</w:t>
      </w:r>
    </w:p>
    <w:p w14:paraId="21C373E8" w14:textId="77777777" w:rsidR="007F04EC" w:rsidRPr="00DD5A48" w:rsidRDefault="007F04EC" w:rsidP="007F04EC">
      <w:pPr>
        <w:tabs>
          <w:tab w:val="num" w:pos="720"/>
        </w:tabs>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Drone-based sampling: Collecting environmental data in remote or hazardous areas.</w:t>
      </w:r>
    </w:p>
    <w:p w14:paraId="624248A5" w14:textId="77777777" w:rsidR="007F04EC" w:rsidRPr="00DD5A48" w:rsidRDefault="007F04EC" w:rsidP="007F04EC">
      <w:pPr>
        <w:tabs>
          <w:tab w:val="num" w:pos="720"/>
        </w:tabs>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Mobile ethnography: Leveraging smartphones to capture real-time experiences through photos, videos, and geolocation.</w:t>
      </w:r>
    </w:p>
    <w:p w14:paraId="23E9D914"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These techniques enhance the granularity and ecological validity of data, offering richer insights into human behavior and environmental dynamics.</w:t>
      </w:r>
    </w:p>
    <w:p w14:paraId="07BF6028"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Citizen science involves public participation in scientific research, often through data collection, analysis, or dissemination. Platforms like Zooniverse and </w:t>
      </w:r>
      <w:proofErr w:type="spellStart"/>
      <w:r w:rsidRPr="00DD5A48">
        <w:rPr>
          <w:rFonts w:ascii="Times New Roman" w:eastAsiaTheme="majorHAnsi" w:hAnsi="Times New Roman" w:cs="Times New Roman"/>
          <w:sz w:val="24"/>
          <w:szCs w:val="24"/>
        </w:rPr>
        <w:t>iNaturalist</w:t>
      </w:r>
      <w:proofErr w:type="spellEnd"/>
      <w:r w:rsidRPr="00DD5A48">
        <w:rPr>
          <w:rFonts w:ascii="Times New Roman" w:eastAsiaTheme="majorHAnsi" w:hAnsi="Times New Roman" w:cs="Times New Roman"/>
          <w:sz w:val="24"/>
          <w:szCs w:val="24"/>
        </w:rPr>
        <w:t xml:space="preserve"> enable volunteers to contribute to projects in astronomy, ecology, and epidemiology.</w:t>
      </w:r>
    </w:p>
    <w:p w14:paraId="53D8A5CA"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Crowdsourced research can accelerate data collection, increase public engagement, and democratize knowledge production (Bonney et al., 2014). However, it requires careful design to ensure data quality, ethical standards, and meaningful participation.</w:t>
      </w:r>
    </w:p>
    <w:p w14:paraId="40C5DD94"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 fields like psychology and neuroscience, researchers are integrating neuroimaging techniques (e.g., fMRI, EEG) with traditional surveys and experiments. These methods provide insights into brain activity, emotional processing, and decision-making.</w:t>
      </w:r>
    </w:p>
    <w:p w14:paraId="330B2A4C" w14:textId="2A4AD3E6"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For example, combining self-report measures with neuroimaging can reveal discrepancies between stated preferences and neural responses, enriching our understanding of cognition and behavior (Poldrack, 2015).</w:t>
      </w:r>
      <w:r w:rsidR="00E06407" w:rsidRPr="00DD5A48">
        <w:rPr>
          <w:rFonts w:ascii="Times New Roman" w:eastAsiaTheme="majorHAnsi" w:hAnsi="Times New Roman" w:cs="Times New Roman"/>
          <w:sz w:val="24"/>
          <w:szCs w:val="24"/>
        </w:rPr>
        <w:t xml:space="preserve"> </w:t>
      </w:r>
      <w:r w:rsidRPr="00DD5A48">
        <w:rPr>
          <w:rFonts w:ascii="Times New Roman" w:eastAsiaTheme="majorHAnsi" w:hAnsi="Times New Roman" w:cs="Times New Roman"/>
          <w:sz w:val="24"/>
          <w:szCs w:val="24"/>
        </w:rPr>
        <w:t>The application of emerging trends</w:t>
      </w:r>
      <w:r w:rsidR="00E06407" w:rsidRPr="00DD5A48">
        <w:rPr>
          <w:rFonts w:ascii="Times New Roman" w:eastAsiaTheme="majorHAnsi" w:hAnsi="Times New Roman" w:cs="Times New Roman"/>
          <w:sz w:val="24"/>
          <w:szCs w:val="24"/>
        </w:rPr>
        <w:t xml:space="preserve"> </w:t>
      </w:r>
      <w:r w:rsidR="00B40DD1" w:rsidRPr="00DD5A48">
        <w:rPr>
          <w:rFonts w:ascii="Times New Roman" w:eastAsiaTheme="majorHAnsi" w:hAnsi="Times New Roman" w:cs="Times New Roman"/>
          <w:sz w:val="24"/>
          <w:szCs w:val="24"/>
        </w:rPr>
        <w:t>is</w:t>
      </w:r>
      <w:r w:rsidR="00E06407" w:rsidRPr="00DD5A48">
        <w:rPr>
          <w:rFonts w:ascii="Times New Roman" w:eastAsiaTheme="majorHAnsi" w:hAnsi="Times New Roman" w:cs="Times New Roman"/>
          <w:sz w:val="24"/>
          <w:szCs w:val="24"/>
        </w:rPr>
        <w:t xml:space="preserve"> reflected in the</w:t>
      </w:r>
      <w:r w:rsidRPr="00DD5A48">
        <w:rPr>
          <w:rFonts w:ascii="Times New Roman" w:eastAsiaTheme="majorHAnsi" w:hAnsi="Times New Roman" w:cs="Times New Roman"/>
          <w:sz w:val="24"/>
          <w:szCs w:val="24"/>
        </w:rPr>
        <w:t xml:space="preserve"> following </w:t>
      </w:r>
      <w:r w:rsidR="00E06407" w:rsidRPr="00DD5A48">
        <w:rPr>
          <w:rFonts w:ascii="Times New Roman" w:eastAsiaTheme="majorHAnsi" w:hAnsi="Times New Roman" w:cs="Times New Roman"/>
          <w:sz w:val="24"/>
          <w:szCs w:val="24"/>
        </w:rPr>
        <w:t>c</w:t>
      </w:r>
      <w:r w:rsidRPr="00DD5A48">
        <w:rPr>
          <w:rFonts w:ascii="Times New Roman" w:eastAsiaTheme="majorHAnsi" w:hAnsi="Times New Roman" w:cs="Times New Roman"/>
          <w:sz w:val="24"/>
          <w:szCs w:val="24"/>
        </w:rPr>
        <w:t>ase studies:</w:t>
      </w:r>
    </w:p>
    <w:p w14:paraId="31A98881" w14:textId="77777777" w:rsidR="007F04EC" w:rsidRPr="00DD5A48" w:rsidRDefault="007F04EC" w:rsidP="00B40DD1">
      <w:pPr>
        <w:pStyle w:val="a9"/>
        <w:numPr>
          <w:ilvl w:val="0"/>
          <w:numId w:val="25"/>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A study examining climate activism on Instagram used digital ethnography to analyze hashtags, visual content, and user interactions. Researchers identified patterns of engagement, narrative framing, and community formation, offering insights into digital mobilization strategies.</w:t>
      </w:r>
    </w:p>
    <w:p w14:paraId="5C024B21" w14:textId="77777777" w:rsidR="007F04EC" w:rsidRPr="00DD5A48" w:rsidRDefault="007F04EC" w:rsidP="00B40DD1">
      <w:pPr>
        <w:pStyle w:val="a9"/>
        <w:numPr>
          <w:ilvl w:val="0"/>
          <w:numId w:val="25"/>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A healthcare study combined quantitative surveys with qualitative interviews to assess patient satisfaction with telehealth. Statistical analysis revealed high satisfaction rates, while thematic coding uncovered concerns about privacy and digital literacy.</w:t>
      </w:r>
    </w:p>
    <w:p w14:paraId="7D01C9DE" w14:textId="77777777" w:rsidR="007F04EC" w:rsidRPr="00DD5A48" w:rsidRDefault="007F04EC" w:rsidP="00B40DD1">
      <w:pPr>
        <w:pStyle w:val="a9"/>
        <w:numPr>
          <w:ilvl w:val="0"/>
          <w:numId w:val="25"/>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Using GPS data and machine learning, researchers modeled urban mobility patterns to inform transportation planning. The study identified peak congestion zones and predicted traffic flow under different policy scenarios.</w:t>
      </w:r>
    </w:p>
    <w:p w14:paraId="48757B38" w14:textId="77777777" w:rsidR="007F04EC" w:rsidRPr="00DD5A48" w:rsidRDefault="007F04EC" w:rsidP="00B40DD1">
      <w:pPr>
        <w:pStyle w:val="a9"/>
        <w:numPr>
          <w:ilvl w:val="0"/>
          <w:numId w:val="25"/>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Community members collaborated with researchers to map pollution sources in a low-income neighborhood. The project used GIS tools, focus groups, and policy advocacy, resulting in improved environmental regulations.</w:t>
      </w:r>
    </w:p>
    <w:p w14:paraId="6B495F10"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Research design and methods are evolving rapidly in response to technological innovation, societal demands, and epistemological shifts. Traditional paradigms are being complemented—and sometimes challenged—by emerging approaches that emphasize collaboration, transparency, and interdisciplinarity.</w:t>
      </w:r>
    </w:p>
    <w:p w14:paraId="78D0DA53" w14:textId="235C00F1"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A comprehensive understanding of research design enables scholars to choose appropriate strategies, navigate ethical complexities, and produce impactful findings. As the boundaries of inquiry expand, embracing methodological diversity and innovation will be essential for addressing the </w:t>
      </w:r>
      <w:r w:rsidRPr="00DD5A48">
        <w:rPr>
          <w:rFonts w:ascii="Times New Roman" w:eastAsiaTheme="majorHAnsi" w:hAnsi="Times New Roman" w:cs="Times New Roman"/>
          <w:sz w:val="24"/>
          <w:szCs w:val="24"/>
        </w:rPr>
        <w:lastRenderedPageBreak/>
        <w:t xml:space="preserve">multifaceted challenges of </w:t>
      </w:r>
      <w:r w:rsidR="00B40DD1" w:rsidRPr="00DD5A48">
        <w:rPr>
          <w:rFonts w:ascii="Times New Roman" w:eastAsiaTheme="majorHAnsi" w:hAnsi="Times New Roman" w:cs="Times New Roman"/>
          <w:sz w:val="24"/>
          <w:szCs w:val="24"/>
        </w:rPr>
        <w:t>current</w:t>
      </w:r>
      <w:r w:rsidRPr="00DD5A48">
        <w:rPr>
          <w:rFonts w:ascii="Times New Roman" w:eastAsiaTheme="majorHAnsi" w:hAnsi="Times New Roman" w:cs="Times New Roman"/>
          <w:sz w:val="24"/>
          <w:szCs w:val="24"/>
        </w:rPr>
        <w:t>.</w:t>
      </w:r>
    </w:p>
    <w:p w14:paraId="7F54A98B"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Whether through digital ethnography, computational modeling, or participatory action research, the future of research lies not only in what we study—but in how we study it.</w:t>
      </w:r>
    </w:p>
    <w:p w14:paraId="4547A127" w14:textId="77777777" w:rsidR="007F04EC" w:rsidRPr="00DD5A48" w:rsidRDefault="007F04EC">
      <w:pPr>
        <w:rPr>
          <w:rFonts w:ascii="Times New Roman" w:eastAsiaTheme="majorHAnsi" w:hAnsi="Times New Roman" w:cs="Times New Roman"/>
          <w:sz w:val="24"/>
          <w:szCs w:val="24"/>
        </w:rPr>
      </w:pPr>
    </w:p>
    <w:p w14:paraId="0B1D0E29" w14:textId="0BF4B16F" w:rsidR="00AE0225" w:rsidRPr="00DD5A48" w:rsidRDefault="00AE0225">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Part 4: Advance Your Philosophical Understanding of Research Approaches.</w:t>
      </w:r>
    </w:p>
    <w:p w14:paraId="6F28ABFB"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 the digital age, cybersecurity has evolved from a technical safeguard to a strategic imperative. As organizations face increasingly sophisticated cyber threats, the traditional view of cybersecurity as a defensive mechanism is no longer sufficient. Instead, forward-thinking enterprises are embracing cybersecurity as a catalyst for innovation, trust, and competitive advantage. At the heart of this strategic shift lies the Technology–Organization–Environment (TOE) framework, a robust model that offers a multidimensional lens for understanding and guiding technology adoption.</w:t>
      </w:r>
    </w:p>
    <w:p w14:paraId="065AAB9B"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Originally developed by </w:t>
      </w:r>
      <w:proofErr w:type="spellStart"/>
      <w:r w:rsidRPr="00DD5A48">
        <w:rPr>
          <w:rFonts w:ascii="Times New Roman" w:eastAsiaTheme="majorHAnsi" w:hAnsi="Times New Roman" w:cs="Times New Roman"/>
          <w:sz w:val="24"/>
          <w:szCs w:val="24"/>
        </w:rPr>
        <w:t>Tornatzky</w:t>
      </w:r>
      <w:proofErr w:type="spellEnd"/>
      <w:r w:rsidRPr="00DD5A48">
        <w:rPr>
          <w:rFonts w:ascii="Times New Roman" w:eastAsiaTheme="majorHAnsi" w:hAnsi="Times New Roman" w:cs="Times New Roman"/>
          <w:sz w:val="24"/>
          <w:szCs w:val="24"/>
        </w:rPr>
        <w:t xml:space="preserve"> and Fleischer (1990), the TOE framework has gained renewed relevance in the cybersecurity domain. By integrating technological capabilities, organizational dynamics, and environmental pressures, TOE enables firms to move beyond reactive security postures and toward proactive, business-aligned cyber resilience. This essay explores how TOE is innovatively positioned at the forefront of cybersecurity strategy, facilitating a transition from defense to business acceleration.</w:t>
      </w:r>
    </w:p>
    <w:p w14:paraId="4E397E01"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 TOE framework posits that three contextual dimensions influence an organization’s decision to adopt and implement technological innovations:</w:t>
      </w:r>
    </w:p>
    <w:p w14:paraId="0EA3CE13" w14:textId="77777777" w:rsidR="00AC74C3" w:rsidRPr="00DD5A48" w:rsidRDefault="00AC74C3" w:rsidP="00AC74C3">
      <w:pPr>
        <w:numPr>
          <w:ilvl w:val="0"/>
          <w:numId w:val="26"/>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Technology: The internal and external technologies available to the firm, including infrastructure, compatibility, and perceived benefits.</w:t>
      </w:r>
    </w:p>
    <w:p w14:paraId="3D255CFC" w14:textId="77777777" w:rsidR="00AC74C3" w:rsidRPr="00DD5A48" w:rsidRDefault="00AC74C3" w:rsidP="00AC74C3">
      <w:pPr>
        <w:numPr>
          <w:ilvl w:val="0"/>
          <w:numId w:val="26"/>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Organization: The firm’s size, structure, resources, culture, and managerial support.</w:t>
      </w:r>
    </w:p>
    <w:p w14:paraId="5D6CFE38" w14:textId="77777777" w:rsidR="00AC74C3" w:rsidRPr="00DD5A48" w:rsidRDefault="00AC74C3" w:rsidP="00AC74C3">
      <w:pPr>
        <w:numPr>
          <w:ilvl w:val="0"/>
          <w:numId w:val="26"/>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Environment: External factors such as industry dynamics, regulatory requirements, competitive pressure, and vendor relationships.</w:t>
      </w:r>
    </w:p>
    <w:p w14:paraId="39619FE8"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This triadic structure allows TOE to capture the complexity of organizational decision-making, making it particularly suited to the multifaceted nature of cybersecurity adoption.</w:t>
      </w:r>
    </w:p>
    <w:p w14:paraId="0F62739F"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Historically, cybersecurity has been viewed as a cost center—a necessary but burdensome investment aimed at minimizing risk. However, this perception is rapidly changing. Organizations now recognize that robust cybersecurity can:</w:t>
      </w:r>
    </w:p>
    <w:p w14:paraId="4EFA4878" w14:textId="77777777" w:rsidR="00AC74C3" w:rsidRPr="00DD5A48" w:rsidRDefault="00AC74C3" w:rsidP="00AC74C3">
      <w:pPr>
        <w:numPr>
          <w:ilvl w:val="0"/>
          <w:numId w:val="27"/>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Enable digital transformation</w:t>
      </w:r>
    </w:p>
    <w:p w14:paraId="72BAF5CA" w14:textId="77777777" w:rsidR="00AC74C3" w:rsidRPr="00DD5A48" w:rsidRDefault="00AC74C3" w:rsidP="00AC74C3">
      <w:pPr>
        <w:numPr>
          <w:ilvl w:val="0"/>
          <w:numId w:val="27"/>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Foster customer trust</w:t>
      </w:r>
    </w:p>
    <w:p w14:paraId="09742A31" w14:textId="77777777" w:rsidR="00AC74C3" w:rsidRPr="00DD5A48" w:rsidRDefault="00AC74C3" w:rsidP="00AC74C3">
      <w:pPr>
        <w:numPr>
          <w:ilvl w:val="0"/>
          <w:numId w:val="27"/>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Protect intellectual property</w:t>
      </w:r>
    </w:p>
    <w:p w14:paraId="48834B2E" w14:textId="77777777" w:rsidR="00AC74C3" w:rsidRPr="00DD5A48" w:rsidRDefault="00AC74C3" w:rsidP="00AC74C3">
      <w:pPr>
        <w:numPr>
          <w:ilvl w:val="0"/>
          <w:numId w:val="27"/>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Ensure regulatory compliance</w:t>
      </w:r>
    </w:p>
    <w:p w14:paraId="6FE7F215" w14:textId="77777777" w:rsidR="00AC74C3" w:rsidRPr="00DD5A48" w:rsidRDefault="00AC74C3" w:rsidP="00AC74C3">
      <w:pPr>
        <w:numPr>
          <w:ilvl w:val="0"/>
          <w:numId w:val="27"/>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Drive operational efficiency</w:t>
      </w:r>
    </w:p>
    <w:p w14:paraId="303F0FAF"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In this context, cybersecurity becomes a strategic enabler rather than a reactive shield. The TOE framework supports this shift by aligning </w:t>
      </w:r>
      <w:r w:rsidRPr="00DD5A48">
        <w:rPr>
          <w:rFonts w:ascii="Times New Roman" w:eastAsiaTheme="majorHAnsi" w:hAnsi="Times New Roman" w:cs="Times New Roman"/>
          <w:sz w:val="24"/>
          <w:szCs w:val="24"/>
        </w:rPr>
        <w:lastRenderedPageBreak/>
        <w:t>cybersecurity initiatives with broader business objectives across its three dimensions.</w:t>
      </w:r>
    </w:p>
    <w:p w14:paraId="7C03BC3E"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 technological component of TOE focuses on the tools, systems, and capabilities that support cybersecurity. This includes firewalls, intrusion detection systems, encryption protocols, and emerging technologies such as artificial intelligence (AI) and blockchain.</w:t>
      </w:r>
    </w:p>
    <w:p w14:paraId="24F85AE7"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Modern cybersecurity solutions are increasingly integrated with business platforms, enabling real-time threat detection, automated response, and predictive analytics. For example, AI-driven security tools can analyze vast datasets to identify anomalies and prevent breaches before they occur. Blockchain can enhance data integrity and transparency in supply chains.</w:t>
      </w:r>
    </w:p>
    <w:p w14:paraId="66C42662"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 TOE framework encourages organizations to assess the relative advantage, compatibility, and complexity of these technologies—concepts borrowed from Rogers’ Diffusion of Innovation Theory (DOI)—to make informed adoption decisions (Wallace et al., 2020).</w:t>
      </w:r>
    </w:p>
    <w:p w14:paraId="680AF31D"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Rather than deploying siloed security tools, firms are adopting integrated platforms that unify threat intelligence, compliance monitoring, and incident response. This platform approach reduces complexity, enhances scalability, and supports business agility. TOE’s technological lens helps organizations evaluate these platforms not just for technical efficacy but for strategic alignment.</w:t>
      </w:r>
    </w:p>
    <w:p w14:paraId="798352D0"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 organizational component of TOE examines internal factors that influence cybersecurity adoption, including leadership commitment, resource availability, employee awareness, and organizational culture.</w:t>
      </w:r>
    </w:p>
    <w:p w14:paraId="122912C9"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C-level executives increasingly view cybersecurity as a board-level issue. Strategic alignment between cybersecurity and business goals is essential for securing investment and driving innovation. TOE emphasizes the role of top management support and organizational readiness in successful adoption.</w:t>
      </w:r>
    </w:p>
    <w:p w14:paraId="4CC25288"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 a study by Hasani et al. (2023), integrating TOE with the balanced scorecard revealed that cybersecurity adoption positively impacts organizational performance, especially when supported by leadership and aligned with strategic objectives.</w:t>
      </w:r>
    </w:p>
    <w:p w14:paraId="4BE4EC21"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Employees are often the weakest link in cybersecurity. Phishing attacks, social engineering, and poor password hygiene can compromise even the most advanced systems. TOE encourages organizations to invest in training, awareness, and change management to build a cyber-resilient workforce.</w:t>
      </w:r>
    </w:p>
    <w:p w14:paraId="2843971D"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Moreover, the rise of cybersecurity champions—internal advocates who promote best practices—reflects the importance of culture in driving adoption. TOE’s organizational lens helps identify and nurture these enablers.</w:t>
      </w:r>
    </w:p>
    <w:p w14:paraId="66286C1A"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 environmental component of TOE addresses external factors that shape cybersecurity strategy, including regulatory frameworks, industry standards, competitive dynamics, and vendor ecosystems.</w:t>
      </w:r>
    </w:p>
    <w:p w14:paraId="1335B530"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Cybersecurity regulations are becoming more stringent and complex. From GDPR in Europe to CCPA in California, organizations must navigate a maze of compliance requirements. TOE helps firms assess the regulatory environment and integrate compliance into their strategic planning.</w:t>
      </w:r>
    </w:p>
    <w:p w14:paraId="0E74AB76"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Risk management frameworks such as NIST, ISO 27001, and CIS Controls provide structured approaches to cybersecurity. TOE enables </w:t>
      </w:r>
      <w:r w:rsidRPr="00DD5A48">
        <w:rPr>
          <w:rFonts w:ascii="Times New Roman" w:eastAsiaTheme="majorHAnsi" w:hAnsi="Times New Roman" w:cs="Times New Roman"/>
          <w:sz w:val="24"/>
          <w:szCs w:val="24"/>
        </w:rPr>
        <w:lastRenderedPageBreak/>
        <w:t>organizations to evaluate these frameworks in light of their environmental context and business priorities.</w:t>
      </w:r>
    </w:p>
    <w:p w14:paraId="09D92F83"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 sectors such as finance, healthcare, and e-commerce, cybersecurity is a key differentiator. Customers are more likely to trust firms that demonstrate robust data protection and transparency. TOE’s environmental lens highlights the role of competitive pressure and customer expectations in shaping cybersecurity strategy.</w:t>
      </w:r>
    </w:p>
    <w:p w14:paraId="6C00782C"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For example, firms that proactively disclose their cybersecurity posture and incident response capabilities may gain a reputational edge. This strategic use of cybersecurity as a brand asset exemplifies the shift from defense to acceleration.</w:t>
      </w:r>
    </w:p>
    <w:p w14:paraId="1A99C766" w14:textId="7C724B53"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While the traditional TOE framework provides a solid foundation, </w:t>
      </w:r>
      <w:r w:rsidR="00147120" w:rsidRPr="00DD5A48">
        <w:rPr>
          <w:rFonts w:ascii="Times New Roman" w:eastAsiaTheme="majorHAnsi" w:hAnsi="Times New Roman" w:cs="Times New Roman"/>
          <w:sz w:val="24"/>
          <w:szCs w:val="24"/>
        </w:rPr>
        <w:t>this research proposes</w:t>
      </w:r>
      <w:r w:rsidRPr="00DD5A48">
        <w:rPr>
          <w:rFonts w:ascii="Times New Roman" w:eastAsiaTheme="majorHAnsi" w:hAnsi="Times New Roman" w:cs="Times New Roman"/>
          <w:sz w:val="24"/>
          <w:szCs w:val="24"/>
        </w:rPr>
        <w:t xml:space="preserve"> extensions to better capture the nuances of cybersecurity adoption. Wallace et al. (2020) introduced an Extended TOE Framework that includes:</w:t>
      </w:r>
    </w:p>
    <w:p w14:paraId="188365CE" w14:textId="77777777" w:rsidR="00AC74C3" w:rsidRPr="00DD5A48" w:rsidRDefault="00AC74C3" w:rsidP="00AC74C3">
      <w:pPr>
        <w:numPr>
          <w:ilvl w:val="0"/>
          <w:numId w:val="2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Cyber Catalysts: Events or triggers that accelerate adoption (e.g., data breaches, regulatory changes)</w:t>
      </w:r>
    </w:p>
    <w:p w14:paraId="03E549D6" w14:textId="77777777" w:rsidR="00AC74C3" w:rsidRPr="00DD5A48" w:rsidRDefault="00AC74C3" w:rsidP="00AC74C3">
      <w:pPr>
        <w:numPr>
          <w:ilvl w:val="0"/>
          <w:numId w:val="2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Practice Standards: Industry norms and best practices</w:t>
      </w:r>
    </w:p>
    <w:p w14:paraId="0E4E3A7D" w14:textId="77777777" w:rsidR="00AC74C3" w:rsidRPr="00DD5A48" w:rsidRDefault="00AC74C3" w:rsidP="00AC74C3">
      <w:pPr>
        <w:numPr>
          <w:ilvl w:val="0"/>
          <w:numId w:val="28"/>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New Factors: Under each TOE dimension, such as threat landscape (technology), cyber governance (organization), and public trust (environment)</w:t>
      </w:r>
    </w:p>
    <w:p w14:paraId="6A26732C"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These extensions enhance TOE’s explanatory power and make it more responsive to the dynamic cybersecurity landscape.</w:t>
      </w:r>
    </w:p>
    <w:p w14:paraId="6084E87F"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A multinational bank used the TOE framework to guide its cybersecurity transformation. Technologically, it adopted AI-powered threat detection and blockchain-based identity verification. Organizationally, it established a cybersecurity steering committee and launched employee training programs. Environmentally, it aligned with global compliance standards and leveraged its security posture as a competitive advantage.</w:t>
      </w:r>
    </w:p>
    <w:p w14:paraId="65D82747"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 result was not only reduced risk but enhanced customer trust, faster innovation cycles, and improved market positioning.</w:t>
      </w:r>
    </w:p>
    <w:p w14:paraId="16E1FC51"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A hospital network applied TOE to implement a secure telemedicine platform. Technological considerations included encryption and secure authentication. Organizationally, it trained staff and integrated cybersecurity into clinical workflows. Environmentally, it complied with HIPAA and responded to patient concerns about data privacy.</w:t>
      </w:r>
    </w:p>
    <w:p w14:paraId="76995F74"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TOE enabled the hospital to accelerate digital health services while maintaining security and compliance.</w:t>
      </w:r>
    </w:p>
    <w:p w14:paraId="3D1F38DC"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While TOE offers a powerful framework, its application in cybersecurity is not without challenges:</w:t>
      </w:r>
    </w:p>
    <w:p w14:paraId="71D52B2F" w14:textId="77777777" w:rsidR="00AC74C3" w:rsidRPr="00DD5A48" w:rsidRDefault="00AC74C3" w:rsidP="00AC74C3">
      <w:pPr>
        <w:numPr>
          <w:ilvl w:val="0"/>
          <w:numId w:val="2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Complexity of Integration: Aligning technology, organization, and environment requires cross-functional collaboration.</w:t>
      </w:r>
    </w:p>
    <w:p w14:paraId="19E68D0F" w14:textId="77777777" w:rsidR="00AC74C3" w:rsidRPr="00DD5A48" w:rsidRDefault="00AC74C3" w:rsidP="00AC74C3">
      <w:pPr>
        <w:numPr>
          <w:ilvl w:val="0"/>
          <w:numId w:val="2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Rapidly Evolving Threats: Cyber threats evolve faster than organizational change processes.</w:t>
      </w:r>
    </w:p>
    <w:p w14:paraId="3CBE29FA" w14:textId="77777777" w:rsidR="00AC74C3" w:rsidRPr="00DD5A48" w:rsidRDefault="00AC74C3" w:rsidP="00AC74C3">
      <w:pPr>
        <w:numPr>
          <w:ilvl w:val="0"/>
          <w:numId w:val="29"/>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Measurement and Metrics: Quantifying the impact of cybersecurity on business acceleration remains difficult.</w:t>
      </w:r>
    </w:p>
    <w:p w14:paraId="665D3821"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To address these challenges, organizations must adopt agile governance models, invest in continuous learning, and develop metrics that capture both risk reduction and value creation.</w:t>
      </w:r>
    </w:p>
    <w:p w14:paraId="3B0CA698"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As cybersecurity continues to evolve, TOE is poised to play an even greater role in strategic planning. Future research and practice may focus on:</w:t>
      </w:r>
    </w:p>
    <w:p w14:paraId="6F5FDFD8" w14:textId="77777777" w:rsidR="00AC74C3" w:rsidRPr="00DD5A48" w:rsidRDefault="00AC74C3" w:rsidP="00AC74C3">
      <w:pPr>
        <w:numPr>
          <w:ilvl w:val="0"/>
          <w:numId w:val="30"/>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lastRenderedPageBreak/>
        <w:t>Dynamic TOE Models: Incorporating feedback loops and real-time data to reflect changing conditions.</w:t>
      </w:r>
    </w:p>
    <w:p w14:paraId="4C1B5E60" w14:textId="77777777" w:rsidR="00AC74C3" w:rsidRPr="00DD5A48" w:rsidRDefault="00AC74C3" w:rsidP="00AC74C3">
      <w:pPr>
        <w:numPr>
          <w:ilvl w:val="0"/>
          <w:numId w:val="30"/>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Integration with Behavioral Models: Combining TOE with TAM or UTAUT to capture user-level adoption.</w:t>
      </w:r>
    </w:p>
    <w:p w14:paraId="51005AEC" w14:textId="77777777" w:rsidR="00AC74C3" w:rsidRPr="00DD5A48" w:rsidRDefault="00AC74C3" w:rsidP="00AC74C3">
      <w:pPr>
        <w:numPr>
          <w:ilvl w:val="0"/>
          <w:numId w:val="30"/>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Sector-Specific Frameworks: Tailoring TOE to industries with unique cybersecurity needs.</w:t>
      </w:r>
    </w:p>
    <w:p w14:paraId="15ACE59B" w14:textId="77777777" w:rsidR="00AC74C3" w:rsidRPr="00DD5A48" w:rsidRDefault="00AC74C3" w:rsidP="00AC74C3">
      <w:pPr>
        <w:numPr>
          <w:ilvl w:val="0"/>
          <w:numId w:val="30"/>
        </w:num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Sustainability and Ethics: Expanding TOE to include ethical governance and environmental sustainability in cybersecurity.</w:t>
      </w:r>
    </w:p>
    <w:p w14:paraId="24F124EE"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These directions will enhance TOE’s relevance and utility in a world where cybersecurity is not just a technical issue—but a strategic imperative.</w:t>
      </w:r>
    </w:p>
    <w:p w14:paraId="490C8E27" w14:textId="77777777" w:rsidR="00AC74C3" w:rsidRPr="00DD5A48" w:rsidRDefault="00AC74C3" w:rsidP="00AC74C3">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The Technology–Organization–Environment (TOE) framework is innovatively positioned at the forefront of cybersecurity strategy. By integrating technological capabilities, organizational dynamics, and environmental pressures, TOE enables firms to move beyond reactive defense and toward proactive business acceleration.</w:t>
      </w:r>
    </w:p>
    <w:p w14:paraId="5245F1B7" w14:textId="77777777" w:rsidR="00B80196" w:rsidRPr="00B80196" w:rsidRDefault="00B80196" w:rsidP="00B80196">
      <w:p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In today’s hyperconnected world, cybersecurity has transcended its traditional role as a technical safeguard. It is now a boardroom priority, a brand differentiator, and a driver of innovation. As organizations undergo digital transformation, the stakes of cyber resilience have never been higher. From protecting customer trust to enabling secure product development, cybersecurity is central to sustainable growth.</w:t>
      </w:r>
    </w:p>
    <w:p w14:paraId="6056EDFE" w14:textId="77777777" w:rsidR="00B80196" w:rsidRPr="00B80196" w:rsidRDefault="00B80196" w:rsidP="00B80196">
      <w:p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The Technology-Organization-Environment (TOE) framework, originally developed to explain technology adoption, offers a strategic lens to understand how organizations align cybersecurity with broader business objectives. However, the pace of digital change demands an evolution of this framework—one that reflects the strategic, cultural, and leadership dimensions of cybersecurity in modern enterprises.</w:t>
      </w:r>
    </w:p>
    <w:p w14:paraId="28368FA1" w14:textId="5EE1DF1C" w:rsidR="00B80196" w:rsidRPr="00B80196" w:rsidRDefault="00B80196" w:rsidP="00B80196">
      <w:pPr>
        <w:rPr>
          <w:rFonts w:ascii="Times New Roman" w:eastAsiaTheme="majorHAnsi" w:hAnsi="Times New Roman" w:cs="Times New Roman"/>
          <w:sz w:val="24"/>
          <w:szCs w:val="24"/>
        </w:rPr>
      </w:pPr>
      <w:r w:rsidRPr="00B80196">
        <w:rPr>
          <w:rFonts w:ascii="Times New Roman" w:eastAsiaTheme="majorHAnsi" w:hAnsi="Times New Roman" w:cs="Times New Roman"/>
          <w:sz w:val="24"/>
          <w:szCs w:val="24"/>
        </w:rPr>
        <w:t>This research aims to extend the TOE framework to guide the next generation of cybersecurity leaders in building secure, agile, and future-ready organizations.</w:t>
      </w:r>
    </w:p>
    <w:p w14:paraId="4222A41A" w14:textId="77777777" w:rsidR="00B80196" w:rsidRPr="00DD5A48" w:rsidRDefault="00B80196">
      <w:pPr>
        <w:rPr>
          <w:rFonts w:ascii="Times New Roman" w:eastAsiaTheme="majorHAnsi" w:hAnsi="Times New Roman" w:cs="Times New Roman"/>
          <w:sz w:val="24"/>
          <w:szCs w:val="24"/>
        </w:rPr>
      </w:pPr>
    </w:p>
    <w:p w14:paraId="4AEA5C57" w14:textId="77777777" w:rsidR="00B80196" w:rsidRDefault="00B80196">
      <w:pPr>
        <w:rPr>
          <w:rFonts w:ascii="Times New Roman" w:eastAsiaTheme="majorHAnsi" w:hAnsi="Times New Roman" w:cs="Times New Roman"/>
          <w:sz w:val="24"/>
          <w:szCs w:val="24"/>
        </w:rPr>
      </w:pPr>
    </w:p>
    <w:p w14:paraId="05A73020" w14:textId="77777777" w:rsidR="007B1B64" w:rsidRDefault="007B1B64">
      <w:pPr>
        <w:rPr>
          <w:rFonts w:ascii="Times New Roman" w:eastAsiaTheme="majorHAnsi" w:hAnsi="Times New Roman" w:cs="Times New Roman"/>
          <w:sz w:val="24"/>
          <w:szCs w:val="24"/>
        </w:rPr>
      </w:pPr>
    </w:p>
    <w:p w14:paraId="38EBFF41" w14:textId="77777777" w:rsidR="007B1B64" w:rsidRDefault="007B1B64">
      <w:pPr>
        <w:rPr>
          <w:rFonts w:ascii="Times New Roman" w:eastAsiaTheme="majorHAnsi" w:hAnsi="Times New Roman" w:cs="Times New Roman"/>
          <w:sz w:val="24"/>
          <w:szCs w:val="24"/>
        </w:rPr>
      </w:pPr>
    </w:p>
    <w:p w14:paraId="7A1D47E1" w14:textId="77777777" w:rsidR="007B1B64" w:rsidRDefault="007B1B64">
      <w:pPr>
        <w:rPr>
          <w:rFonts w:ascii="Times New Roman" w:eastAsiaTheme="majorHAnsi" w:hAnsi="Times New Roman" w:cs="Times New Roman"/>
          <w:sz w:val="24"/>
          <w:szCs w:val="24"/>
        </w:rPr>
      </w:pPr>
    </w:p>
    <w:p w14:paraId="600BFCB2" w14:textId="77777777" w:rsidR="007B1B64" w:rsidRDefault="007B1B64">
      <w:pPr>
        <w:rPr>
          <w:rFonts w:ascii="Times New Roman" w:eastAsiaTheme="majorHAnsi" w:hAnsi="Times New Roman" w:cs="Times New Roman"/>
          <w:sz w:val="24"/>
          <w:szCs w:val="24"/>
        </w:rPr>
      </w:pPr>
    </w:p>
    <w:p w14:paraId="1E757DC9" w14:textId="77777777" w:rsidR="007B1B64" w:rsidRDefault="007B1B64">
      <w:pPr>
        <w:rPr>
          <w:rFonts w:ascii="Times New Roman" w:eastAsiaTheme="majorHAnsi" w:hAnsi="Times New Roman" w:cs="Times New Roman"/>
          <w:sz w:val="24"/>
          <w:szCs w:val="24"/>
        </w:rPr>
      </w:pPr>
    </w:p>
    <w:p w14:paraId="41C0CD85" w14:textId="77777777" w:rsidR="007B1B64" w:rsidRDefault="007B1B64">
      <w:pPr>
        <w:rPr>
          <w:rFonts w:ascii="Times New Roman" w:eastAsiaTheme="majorHAnsi" w:hAnsi="Times New Roman" w:cs="Times New Roman"/>
          <w:sz w:val="24"/>
          <w:szCs w:val="24"/>
        </w:rPr>
      </w:pPr>
    </w:p>
    <w:p w14:paraId="403FB7DD" w14:textId="77777777" w:rsidR="007B1B64" w:rsidRDefault="007B1B64">
      <w:pPr>
        <w:rPr>
          <w:rFonts w:ascii="Times New Roman" w:eastAsiaTheme="majorHAnsi" w:hAnsi="Times New Roman" w:cs="Times New Roman"/>
          <w:sz w:val="24"/>
          <w:szCs w:val="24"/>
        </w:rPr>
      </w:pPr>
    </w:p>
    <w:p w14:paraId="543A72D6" w14:textId="77777777" w:rsidR="007B1B64" w:rsidRPr="00DD5A48" w:rsidRDefault="007B1B64">
      <w:pPr>
        <w:rPr>
          <w:rFonts w:ascii="Times New Roman" w:eastAsiaTheme="majorHAnsi" w:hAnsi="Times New Roman" w:cs="Times New Roman" w:hint="eastAsia"/>
          <w:sz w:val="24"/>
          <w:szCs w:val="24"/>
        </w:rPr>
      </w:pPr>
    </w:p>
    <w:p w14:paraId="4A81136B" w14:textId="77777777" w:rsidR="00B80196" w:rsidRPr="00DD5A48" w:rsidRDefault="00B80196">
      <w:pPr>
        <w:rPr>
          <w:rFonts w:ascii="Times New Roman" w:eastAsiaTheme="majorHAnsi" w:hAnsi="Times New Roman" w:cs="Times New Roman"/>
          <w:sz w:val="24"/>
          <w:szCs w:val="24"/>
        </w:rPr>
      </w:pPr>
    </w:p>
    <w:p w14:paraId="1C2A9F3D" w14:textId="77777777" w:rsidR="007F04EC" w:rsidRPr="00DD5A48" w:rsidRDefault="007F04EC">
      <w:pPr>
        <w:rPr>
          <w:rFonts w:ascii="Times New Roman" w:eastAsiaTheme="majorHAnsi" w:hAnsi="Times New Roman" w:cs="Times New Roman"/>
          <w:sz w:val="24"/>
          <w:szCs w:val="24"/>
        </w:rPr>
      </w:pPr>
    </w:p>
    <w:p w14:paraId="48DE99F3"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lastRenderedPageBreak/>
        <w:t>References</w:t>
      </w:r>
    </w:p>
    <w:p w14:paraId="6DA654CC" w14:textId="77777777" w:rsidR="00187DC2" w:rsidRPr="00DD5A48" w:rsidRDefault="00187DC2" w:rsidP="00187DC2">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Zhang, H.J. </w:t>
      </w:r>
      <w:r w:rsidRPr="00DD5A48">
        <w:rPr>
          <w:rFonts w:ascii="Times New Roman" w:eastAsiaTheme="majorHAnsi" w:hAnsi="Times New Roman" w:cs="Times New Roman"/>
          <w:i/>
          <w:iCs/>
          <w:sz w:val="24"/>
          <w:szCs w:val="24"/>
        </w:rPr>
        <w:t>et al.</w:t>
      </w:r>
      <w:r w:rsidRPr="00DD5A48">
        <w:rPr>
          <w:rFonts w:ascii="Times New Roman" w:eastAsiaTheme="majorHAnsi" w:hAnsi="Times New Roman" w:cs="Times New Roman"/>
          <w:sz w:val="24"/>
          <w:szCs w:val="24"/>
        </w:rPr>
        <w:t xml:space="preserve"> (2025) “Refining Technology Adoption Model in Tourism-Culture-Museum and Mainstream Service Industries: A Bibliometric Analysis,” </w:t>
      </w:r>
      <w:r w:rsidRPr="00DD5A48">
        <w:rPr>
          <w:rFonts w:ascii="Times New Roman" w:eastAsiaTheme="majorHAnsi" w:hAnsi="Times New Roman" w:cs="Times New Roman"/>
          <w:i/>
          <w:iCs/>
          <w:sz w:val="24"/>
          <w:szCs w:val="24"/>
        </w:rPr>
        <w:t>Journal of Quality Assurance in Hospitality &amp; Tourism</w:t>
      </w:r>
      <w:r w:rsidRPr="00DD5A48">
        <w:rPr>
          <w:rFonts w:ascii="Times New Roman" w:eastAsiaTheme="majorHAnsi" w:hAnsi="Times New Roman" w:cs="Times New Roman"/>
          <w:sz w:val="24"/>
          <w:szCs w:val="24"/>
        </w:rPr>
        <w:t xml:space="preserve">, pp. 1–23. Available at: </w:t>
      </w:r>
      <w:hyperlink r:id="rId7" w:history="1">
        <w:r w:rsidRPr="00DD5A48">
          <w:rPr>
            <w:rStyle w:val="ae"/>
            <w:rFonts w:ascii="Times New Roman" w:eastAsiaTheme="majorHAnsi" w:hAnsi="Times New Roman" w:cs="Times New Roman"/>
            <w:sz w:val="24"/>
            <w:szCs w:val="24"/>
          </w:rPr>
          <w:t>https://doi.org/10.1080/1528008X.2024.2447876</w:t>
        </w:r>
      </w:hyperlink>
      <w:r w:rsidRPr="00DD5A48">
        <w:rPr>
          <w:rFonts w:ascii="Times New Roman" w:eastAsiaTheme="majorHAnsi" w:hAnsi="Times New Roman" w:cs="Times New Roman"/>
          <w:sz w:val="24"/>
          <w:szCs w:val="24"/>
        </w:rPr>
        <w:t>.</w:t>
      </w:r>
    </w:p>
    <w:p w14:paraId="1EC4E435"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Babbie, E. R. (2020). The practice of social research (15th ed.). Cengage Learning.</w:t>
      </w:r>
    </w:p>
    <w:p w14:paraId="0273926F"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Bonney, R., Phillips, T. B., Ballard, H. L., &amp; Enck, J. W. (2014). Can citizen science enhance public understanding of science? Public Understanding of Science, 25(1), 2–16. https://doi.org/10.1177/0963662515607406</w:t>
      </w:r>
    </w:p>
    <w:p w14:paraId="26C56340"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Bryman, A. (2016). Social research methods (5th ed.). Oxford University Press.</w:t>
      </w:r>
    </w:p>
    <w:p w14:paraId="7D7D4732"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Chevalier, J. M., &amp; Buckles, D. J. (2019). Participatory action research: Theory and methods for engaged inquiry. Routledge.</w:t>
      </w:r>
    </w:p>
    <w:p w14:paraId="4A213BCE"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Creswell, J. W., &amp; Creswell, J. D. (2018). Research design: Qualitative, quantitative, and mixed methods </w:t>
      </w:r>
      <w:proofErr w:type="gramStart"/>
      <w:r w:rsidRPr="00DD5A48">
        <w:rPr>
          <w:rFonts w:ascii="Times New Roman" w:eastAsiaTheme="majorHAnsi" w:hAnsi="Times New Roman" w:cs="Times New Roman"/>
          <w:sz w:val="24"/>
          <w:szCs w:val="24"/>
        </w:rPr>
        <w:t>approaches</w:t>
      </w:r>
      <w:proofErr w:type="gramEnd"/>
      <w:r w:rsidRPr="00DD5A48">
        <w:rPr>
          <w:rFonts w:ascii="Times New Roman" w:eastAsiaTheme="majorHAnsi" w:hAnsi="Times New Roman" w:cs="Times New Roman"/>
          <w:sz w:val="24"/>
          <w:szCs w:val="24"/>
        </w:rPr>
        <w:t xml:space="preserve"> (5th ed.). SAGE Publications.</w:t>
      </w:r>
    </w:p>
    <w:p w14:paraId="78002460"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Denzin, N. K., &amp; Lincoln, Y. S. (Eds.). (2018). The SAGE handbook of qualitative research (5th ed.). SAGE Publications.</w:t>
      </w:r>
    </w:p>
    <w:p w14:paraId="38806F36" w14:textId="77777777" w:rsidR="007F04EC" w:rsidRPr="00DD5A48" w:rsidRDefault="007F04EC" w:rsidP="007F04EC">
      <w:pPr>
        <w:rPr>
          <w:rFonts w:ascii="Times New Roman" w:eastAsiaTheme="majorHAnsi" w:hAnsi="Times New Roman" w:cs="Times New Roman"/>
          <w:sz w:val="24"/>
          <w:szCs w:val="24"/>
        </w:rPr>
      </w:pPr>
      <w:proofErr w:type="spellStart"/>
      <w:r w:rsidRPr="00DD5A48">
        <w:rPr>
          <w:rFonts w:ascii="Times New Roman" w:eastAsiaTheme="majorHAnsi" w:hAnsi="Times New Roman" w:cs="Times New Roman"/>
          <w:sz w:val="24"/>
          <w:szCs w:val="24"/>
        </w:rPr>
        <w:t>Gaggioli</w:t>
      </w:r>
      <w:proofErr w:type="spellEnd"/>
      <w:r w:rsidRPr="00DD5A48">
        <w:rPr>
          <w:rFonts w:ascii="Times New Roman" w:eastAsiaTheme="majorHAnsi" w:hAnsi="Times New Roman" w:cs="Times New Roman"/>
          <w:sz w:val="24"/>
          <w:szCs w:val="24"/>
        </w:rPr>
        <w:t>, A., Riva, G., &amp; Wiederhold, B. K. (2014). Virtual reality in clinical psychology. Studies in Health Technology and Informatics, 199, 3–20.</w:t>
      </w:r>
    </w:p>
    <w:p w14:paraId="323739AB"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Kerlinger, F. N., &amp; Lee, H. B. (2000). Foundations of behavioral research (4th ed.). Harcourt College Publishers.</w:t>
      </w:r>
    </w:p>
    <w:p w14:paraId="0BAC20CD"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Lang, D. J., Wiek, A., Bergmann, M., Stauffacher, M., Martens, P., Moll, P., ... &amp; Thomas, C. J. (2012). Transdisciplinary research in sustainability science: Practice, principles, and challenges. Sustainability Science, 7(1), 25–43.</w:t>
      </w:r>
    </w:p>
    <w:p w14:paraId="65731D7B"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 xml:space="preserve">Lazer, D., Pentland, A., Adamic, L., Aral, S., </w:t>
      </w:r>
      <w:proofErr w:type="spellStart"/>
      <w:r w:rsidRPr="00DD5A48">
        <w:rPr>
          <w:rFonts w:ascii="Times New Roman" w:eastAsiaTheme="majorHAnsi" w:hAnsi="Times New Roman" w:cs="Times New Roman"/>
          <w:sz w:val="24"/>
          <w:szCs w:val="24"/>
        </w:rPr>
        <w:t>Barabási</w:t>
      </w:r>
      <w:proofErr w:type="spellEnd"/>
      <w:r w:rsidRPr="00DD5A48">
        <w:rPr>
          <w:rFonts w:ascii="Times New Roman" w:eastAsiaTheme="majorHAnsi" w:hAnsi="Times New Roman" w:cs="Times New Roman"/>
          <w:sz w:val="24"/>
          <w:szCs w:val="24"/>
        </w:rPr>
        <w:t>, A. L., Brewer, D., ... &amp; Van Alstyne, M. (2009). Computational social science. Science, 323(5915), 721–723.</w:t>
      </w:r>
    </w:p>
    <w:p w14:paraId="0C3EDCB1"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Morgan, D. L. (2007). Paradigms lost and pragmatism regained: Methodological implications of combining qualitative and quantitative methods. Journal of Mixed Methods Research, 1(1), 48–76.</w:t>
      </w:r>
    </w:p>
    <w:p w14:paraId="62A52015"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Neuman, W. L. (2014). Social research methods: Qualitative and quantitative approaches (7th ed.). Pearson.</w:t>
      </w:r>
    </w:p>
    <w:p w14:paraId="73CC9ECA" w14:textId="77777777" w:rsidR="007F04EC" w:rsidRPr="00DD5A48" w:rsidRDefault="007F04EC" w:rsidP="007F04EC">
      <w:pPr>
        <w:rPr>
          <w:rFonts w:ascii="Times New Roman" w:eastAsiaTheme="majorHAnsi" w:hAnsi="Times New Roman" w:cs="Times New Roman"/>
          <w:sz w:val="24"/>
          <w:szCs w:val="24"/>
        </w:rPr>
      </w:pPr>
      <w:r w:rsidRPr="00DD5A48">
        <w:rPr>
          <w:rFonts w:ascii="Times New Roman" w:eastAsiaTheme="majorHAnsi" w:hAnsi="Times New Roman" w:cs="Times New Roman"/>
          <w:sz w:val="24"/>
          <w:szCs w:val="24"/>
        </w:rPr>
        <w:t>Nosek, B. A., Alter, G., Banks, G. C., Borsboom, D., Bowman, S. D., Breckler, S. J., ... &amp; Yarkoni, T. (2015). Promoting an open research culture. Science, 348(6242), 1422–1425.</w:t>
      </w:r>
    </w:p>
    <w:p w14:paraId="718CFD4E" w14:textId="77777777" w:rsidR="007F04EC" w:rsidRPr="00DD5A48" w:rsidRDefault="007F04EC">
      <w:pPr>
        <w:rPr>
          <w:rFonts w:ascii="Times New Roman" w:eastAsiaTheme="majorHAnsi" w:hAnsi="Times New Roman" w:cs="Times New Roman"/>
          <w:sz w:val="24"/>
          <w:szCs w:val="24"/>
        </w:rPr>
      </w:pPr>
    </w:p>
    <w:sectPr w:rsidR="007F04EC" w:rsidRPr="00DD5A48" w:rsidSect="00D81101">
      <w:pgSz w:w="16838" w:h="11906" w:orient="landscape"/>
      <w:pgMar w:top="1440" w:right="1440" w:bottom="1440" w:left="1440" w:header="720" w:footer="720" w:gutter="0"/>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E53CE" w14:textId="77777777" w:rsidR="007351F8" w:rsidRDefault="007351F8" w:rsidP="00F24DA1">
      <w:r>
        <w:separator/>
      </w:r>
    </w:p>
  </w:endnote>
  <w:endnote w:type="continuationSeparator" w:id="0">
    <w:p w14:paraId="5A0D2B46" w14:textId="77777777" w:rsidR="007351F8" w:rsidRDefault="007351F8" w:rsidP="00F24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E5547" w14:textId="77777777" w:rsidR="007351F8" w:rsidRDefault="007351F8" w:rsidP="00F24DA1">
      <w:r>
        <w:separator/>
      </w:r>
    </w:p>
  </w:footnote>
  <w:footnote w:type="continuationSeparator" w:id="0">
    <w:p w14:paraId="27482086" w14:textId="77777777" w:rsidR="007351F8" w:rsidRDefault="007351F8" w:rsidP="00F24D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326DD"/>
    <w:multiLevelType w:val="hybridMultilevel"/>
    <w:tmpl w:val="31120B6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356208A"/>
    <w:multiLevelType w:val="multilevel"/>
    <w:tmpl w:val="8C7A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A1DBB"/>
    <w:multiLevelType w:val="multilevel"/>
    <w:tmpl w:val="6CA21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2F715B"/>
    <w:multiLevelType w:val="multilevel"/>
    <w:tmpl w:val="00369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1A03D7"/>
    <w:multiLevelType w:val="multilevel"/>
    <w:tmpl w:val="F25EC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FB54D5"/>
    <w:multiLevelType w:val="multilevel"/>
    <w:tmpl w:val="84346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3D188C"/>
    <w:multiLevelType w:val="multilevel"/>
    <w:tmpl w:val="F6886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8A5A1B"/>
    <w:multiLevelType w:val="multilevel"/>
    <w:tmpl w:val="08AAC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5F380E"/>
    <w:multiLevelType w:val="multilevel"/>
    <w:tmpl w:val="733C3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AA6F27"/>
    <w:multiLevelType w:val="hybridMultilevel"/>
    <w:tmpl w:val="DABAB3B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0" w15:restartNumberingAfterBreak="0">
    <w:nsid w:val="16DC2B13"/>
    <w:multiLevelType w:val="multilevel"/>
    <w:tmpl w:val="63145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906F10"/>
    <w:multiLevelType w:val="multilevel"/>
    <w:tmpl w:val="11A8E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1836AF"/>
    <w:multiLevelType w:val="hybridMultilevel"/>
    <w:tmpl w:val="2D84816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3" w15:restartNumberingAfterBreak="0">
    <w:nsid w:val="1B7E59AC"/>
    <w:multiLevelType w:val="multilevel"/>
    <w:tmpl w:val="8C7A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5443B3"/>
    <w:multiLevelType w:val="multilevel"/>
    <w:tmpl w:val="8C7A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DA4EC3"/>
    <w:multiLevelType w:val="multilevel"/>
    <w:tmpl w:val="8C7A9FF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2AEF3EA5"/>
    <w:multiLevelType w:val="multilevel"/>
    <w:tmpl w:val="104A3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433137"/>
    <w:multiLevelType w:val="multilevel"/>
    <w:tmpl w:val="8C7A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68012D"/>
    <w:multiLevelType w:val="hybridMultilevel"/>
    <w:tmpl w:val="8E4A55D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9" w15:restartNumberingAfterBreak="0">
    <w:nsid w:val="2FF87C37"/>
    <w:multiLevelType w:val="multilevel"/>
    <w:tmpl w:val="1FB00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0515B60"/>
    <w:multiLevelType w:val="multilevel"/>
    <w:tmpl w:val="8C7A9FF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34EA3104"/>
    <w:multiLevelType w:val="multilevel"/>
    <w:tmpl w:val="5E1A6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1F7B88"/>
    <w:multiLevelType w:val="multilevel"/>
    <w:tmpl w:val="A9C69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230DAD"/>
    <w:multiLevelType w:val="multilevel"/>
    <w:tmpl w:val="8C7A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60449F"/>
    <w:multiLevelType w:val="hybridMultilevel"/>
    <w:tmpl w:val="AC968CA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5" w15:restartNumberingAfterBreak="0">
    <w:nsid w:val="38402D7E"/>
    <w:multiLevelType w:val="multilevel"/>
    <w:tmpl w:val="8C7A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A9C2617"/>
    <w:multiLevelType w:val="multilevel"/>
    <w:tmpl w:val="F72E3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B3A627D"/>
    <w:multiLevelType w:val="multilevel"/>
    <w:tmpl w:val="8C7A9FF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3DE9463F"/>
    <w:multiLevelType w:val="multilevel"/>
    <w:tmpl w:val="52EA2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DF94278"/>
    <w:multiLevelType w:val="multilevel"/>
    <w:tmpl w:val="6A107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F166AA0"/>
    <w:multiLevelType w:val="multilevel"/>
    <w:tmpl w:val="8C7A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435799A"/>
    <w:multiLevelType w:val="multilevel"/>
    <w:tmpl w:val="A588F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44B2B48"/>
    <w:multiLevelType w:val="multilevel"/>
    <w:tmpl w:val="4566A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46773A5"/>
    <w:multiLevelType w:val="hybridMultilevel"/>
    <w:tmpl w:val="D9DA2C4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4" w15:restartNumberingAfterBreak="0">
    <w:nsid w:val="49CF522B"/>
    <w:multiLevelType w:val="hybridMultilevel"/>
    <w:tmpl w:val="84BC9DE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5" w15:restartNumberingAfterBreak="0">
    <w:nsid w:val="4B6B1493"/>
    <w:multiLevelType w:val="multilevel"/>
    <w:tmpl w:val="E6500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D10112C"/>
    <w:multiLevelType w:val="multilevel"/>
    <w:tmpl w:val="F8D00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EFC6F4A"/>
    <w:multiLevelType w:val="hybridMultilevel"/>
    <w:tmpl w:val="88025022"/>
    <w:lvl w:ilvl="0" w:tplc="04090001">
      <w:start w:val="1"/>
      <w:numFmt w:val="bullet"/>
      <w:lvlText w:val=""/>
      <w:lvlJc w:val="left"/>
      <w:pPr>
        <w:ind w:left="1280" w:hanging="440"/>
      </w:pPr>
      <w:rPr>
        <w:rFonts w:ascii="Wingdings" w:hAnsi="Wingdings" w:hint="default"/>
      </w:rPr>
    </w:lvl>
    <w:lvl w:ilvl="1" w:tplc="04090003" w:tentative="1">
      <w:start w:val="1"/>
      <w:numFmt w:val="bullet"/>
      <w:lvlText w:val=""/>
      <w:lvlJc w:val="left"/>
      <w:pPr>
        <w:ind w:left="1720" w:hanging="440"/>
      </w:pPr>
      <w:rPr>
        <w:rFonts w:ascii="Wingdings" w:hAnsi="Wingdings" w:hint="default"/>
      </w:rPr>
    </w:lvl>
    <w:lvl w:ilvl="2" w:tplc="04090005" w:tentative="1">
      <w:start w:val="1"/>
      <w:numFmt w:val="bullet"/>
      <w:lvlText w:val=""/>
      <w:lvlJc w:val="left"/>
      <w:pPr>
        <w:ind w:left="2160" w:hanging="440"/>
      </w:pPr>
      <w:rPr>
        <w:rFonts w:ascii="Wingdings" w:hAnsi="Wingdings" w:hint="default"/>
      </w:rPr>
    </w:lvl>
    <w:lvl w:ilvl="3" w:tplc="04090001" w:tentative="1">
      <w:start w:val="1"/>
      <w:numFmt w:val="bullet"/>
      <w:lvlText w:val=""/>
      <w:lvlJc w:val="left"/>
      <w:pPr>
        <w:ind w:left="2600" w:hanging="440"/>
      </w:pPr>
      <w:rPr>
        <w:rFonts w:ascii="Wingdings" w:hAnsi="Wingdings" w:hint="default"/>
      </w:rPr>
    </w:lvl>
    <w:lvl w:ilvl="4" w:tplc="04090003" w:tentative="1">
      <w:start w:val="1"/>
      <w:numFmt w:val="bullet"/>
      <w:lvlText w:val=""/>
      <w:lvlJc w:val="left"/>
      <w:pPr>
        <w:ind w:left="3040" w:hanging="440"/>
      </w:pPr>
      <w:rPr>
        <w:rFonts w:ascii="Wingdings" w:hAnsi="Wingdings" w:hint="default"/>
      </w:rPr>
    </w:lvl>
    <w:lvl w:ilvl="5" w:tplc="04090005" w:tentative="1">
      <w:start w:val="1"/>
      <w:numFmt w:val="bullet"/>
      <w:lvlText w:val=""/>
      <w:lvlJc w:val="left"/>
      <w:pPr>
        <w:ind w:left="3480" w:hanging="440"/>
      </w:pPr>
      <w:rPr>
        <w:rFonts w:ascii="Wingdings" w:hAnsi="Wingdings" w:hint="default"/>
      </w:rPr>
    </w:lvl>
    <w:lvl w:ilvl="6" w:tplc="04090001" w:tentative="1">
      <w:start w:val="1"/>
      <w:numFmt w:val="bullet"/>
      <w:lvlText w:val=""/>
      <w:lvlJc w:val="left"/>
      <w:pPr>
        <w:ind w:left="3920" w:hanging="440"/>
      </w:pPr>
      <w:rPr>
        <w:rFonts w:ascii="Wingdings" w:hAnsi="Wingdings" w:hint="default"/>
      </w:rPr>
    </w:lvl>
    <w:lvl w:ilvl="7" w:tplc="04090003" w:tentative="1">
      <w:start w:val="1"/>
      <w:numFmt w:val="bullet"/>
      <w:lvlText w:val=""/>
      <w:lvlJc w:val="left"/>
      <w:pPr>
        <w:ind w:left="4360" w:hanging="440"/>
      </w:pPr>
      <w:rPr>
        <w:rFonts w:ascii="Wingdings" w:hAnsi="Wingdings" w:hint="default"/>
      </w:rPr>
    </w:lvl>
    <w:lvl w:ilvl="8" w:tplc="04090005" w:tentative="1">
      <w:start w:val="1"/>
      <w:numFmt w:val="bullet"/>
      <w:lvlText w:val=""/>
      <w:lvlJc w:val="left"/>
      <w:pPr>
        <w:ind w:left="4800" w:hanging="440"/>
      </w:pPr>
      <w:rPr>
        <w:rFonts w:ascii="Wingdings" w:hAnsi="Wingdings" w:hint="default"/>
      </w:rPr>
    </w:lvl>
  </w:abstractNum>
  <w:abstractNum w:abstractNumId="38" w15:restartNumberingAfterBreak="0">
    <w:nsid w:val="4FDA1F61"/>
    <w:multiLevelType w:val="multilevel"/>
    <w:tmpl w:val="8C7A9FF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513935C6"/>
    <w:multiLevelType w:val="hybridMultilevel"/>
    <w:tmpl w:val="48BA950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0" w15:restartNumberingAfterBreak="0">
    <w:nsid w:val="539368D3"/>
    <w:multiLevelType w:val="multilevel"/>
    <w:tmpl w:val="4D44A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AA47C86"/>
    <w:multiLevelType w:val="multilevel"/>
    <w:tmpl w:val="F3906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2FF1E7E"/>
    <w:multiLevelType w:val="multilevel"/>
    <w:tmpl w:val="F9BAF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6883C9E"/>
    <w:multiLevelType w:val="multilevel"/>
    <w:tmpl w:val="64A4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9937397"/>
    <w:multiLevelType w:val="multilevel"/>
    <w:tmpl w:val="8C7A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A7443D4"/>
    <w:multiLevelType w:val="hybridMultilevel"/>
    <w:tmpl w:val="A8DEFBC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6" w15:restartNumberingAfterBreak="0">
    <w:nsid w:val="6DE4179A"/>
    <w:multiLevelType w:val="multilevel"/>
    <w:tmpl w:val="39B2B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82B6493"/>
    <w:multiLevelType w:val="multilevel"/>
    <w:tmpl w:val="59626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B53601B"/>
    <w:multiLevelType w:val="multilevel"/>
    <w:tmpl w:val="8C5C0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C9F4130"/>
    <w:multiLevelType w:val="multilevel"/>
    <w:tmpl w:val="2482F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DE04034"/>
    <w:multiLevelType w:val="multilevel"/>
    <w:tmpl w:val="8EAAB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E090553"/>
    <w:multiLevelType w:val="multilevel"/>
    <w:tmpl w:val="E4F63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7410405">
    <w:abstractNumId w:val="41"/>
  </w:num>
  <w:num w:numId="2" w16cid:durableId="1635212837">
    <w:abstractNumId w:val="45"/>
  </w:num>
  <w:num w:numId="3" w16cid:durableId="884298213">
    <w:abstractNumId w:val="0"/>
  </w:num>
  <w:num w:numId="4" w16cid:durableId="1154179836">
    <w:abstractNumId w:val="12"/>
  </w:num>
  <w:num w:numId="5" w16cid:durableId="2055037306">
    <w:abstractNumId w:val="39"/>
  </w:num>
  <w:num w:numId="6" w16cid:durableId="1838569009">
    <w:abstractNumId w:val="37"/>
  </w:num>
  <w:num w:numId="7" w16cid:durableId="12804870">
    <w:abstractNumId w:val="24"/>
  </w:num>
  <w:num w:numId="8" w16cid:durableId="487400738">
    <w:abstractNumId w:val="34"/>
  </w:num>
  <w:num w:numId="9" w16cid:durableId="862742768">
    <w:abstractNumId w:val="9"/>
  </w:num>
  <w:num w:numId="10" w16cid:durableId="1963152723">
    <w:abstractNumId w:val="17"/>
  </w:num>
  <w:num w:numId="11" w16cid:durableId="1274434792">
    <w:abstractNumId w:val="7"/>
  </w:num>
  <w:num w:numId="12" w16cid:durableId="1012223422">
    <w:abstractNumId w:val="8"/>
  </w:num>
  <w:num w:numId="13" w16cid:durableId="278413175">
    <w:abstractNumId w:val="26"/>
  </w:num>
  <w:num w:numId="14" w16cid:durableId="367877266">
    <w:abstractNumId w:val="47"/>
  </w:num>
  <w:num w:numId="15" w16cid:durableId="1248885114">
    <w:abstractNumId w:val="4"/>
  </w:num>
  <w:num w:numId="16" w16cid:durableId="452868294">
    <w:abstractNumId w:val="49"/>
  </w:num>
  <w:num w:numId="17" w16cid:durableId="339623111">
    <w:abstractNumId w:val="35"/>
  </w:num>
  <w:num w:numId="18" w16cid:durableId="1692146231">
    <w:abstractNumId w:val="36"/>
  </w:num>
  <w:num w:numId="19" w16cid:durableId="1215046192">
    <w:abstractNumId w:val="33"/>
  </w:num>
  <w:num w:numId="20" w16cid:durableId="1144658960">
    <w:abstractNumId w:val="38"/>
  </w:num>
  <w:num w:numId="21" w16cid:durableId="1345588995">
    <w:abstractNumId w:val="15"/>
  </w:num>
  <w:num w:numId="22" w16cid:durableId="964772098">
    <w:abstractNumId w:val="20"/>
  </w:num>
  <w:num w:numId="23" w16cid:durableId="4862676">
    <w:abstractNumId w:val="30"/>
  </w:num>
  <w:num w:numId="24" w16cid:durableId="848063106">
    <w:abstractNumId w:val="27"/>
  </w:num>
  <w:num w:numId="25" w16cid:durableId="1741366145">
    <w:abstractNumId w:val="25"/>
  </w:num>
  <w:num w:numId="26" w16cid:durableId="48650419">
    <w:abstractNumId w:val="1"/>
  </w:num>
  <w:num w:numId="27" w16cid:durableId="1647736854">
    <w:abstractNumId w:val="14"/>
  </w:num>
  <w:num w:numId="28" w16cid:durableId="1210722386">
    <w:abstractNumId w:val="23"/>
  </w:num>
  <w:num w:numId="29" w16cid:durableId="1753240370">
    <w:abstractNumId w:val="13"/>
  </w:num>
  <w:num w:numId="30" w16cid:durableId="797574592">
    <w:abstractNumId w:val="44"/>
  </w:num>
  <w:num w:numId="31" w16cid:durableId="626283336">
    <w:abstractNumId w:val="2"/>
  </w:num>
  <w:num w:numId="32" w16cid:durableId="1430270871">
    <w:abstractNumId w:val="28"/>
  </w:num>
  <w:num w:numId="33" w16cid:durableId="1101873058">
    <w:abstractNumId w:val="43"/>
  </w:num>
  <w:num w:numId="34" w16cid:durableId="445277407">
    <w:abstractNumId w:val="51"/>
  </w:num>
  <w:num w:numId="35" w16cid:durableId="963803366">
    <w:abstractNumId w:val="10"/>
  </w:num>
  <w:num w:numId="36" w16cid:durableId="1222055667">
    <w:abstractNumId w:val="40"/>
  </w:num>
  <w:num w:numId="37" w16cid:durableId="1515263927">
    <w:abstractNumId w:val="11"/>
  </w:num>
  <w:num w:numId="38" w16cid:durableId="810906004">
    <w:abstractNumId w:val="46"/>
  </w:num>
  <w:num w:numId="39" w16cid:durableId="796411896">
    <w:abstractNumId w:val="48"/>
  </w:num>
  <w:num w:numId="40" w16cid:durableId="1354040471">
    <w:abstractNumId w:val="31"/>
  </w:num>
  <w:num w:numId="41" w16cid:durableId="1922063330">
    <w:abstractNumId w:val="6"/>
  </w:num>
  <w:num w:numId="42" w16cid:durableId="1260257593">
    <w:abstractNumId w:val="32"/>
  </w:num>
  <w:num w:numId="43" w16cid:durableId="28186641">
    <w:abstractNumId w:val="22"/>
  </w:num>
  <w:num w:numId="44" w16cid:durableId="46924325">
    <w:abstractNumId w:val="3"/>
  </w:num>
  <w:num w:numId="45" w16cid:durableId="557207551">
    <w:abstractNumId w:val="42"/>
  </w:num>
  <w:num w:numId="46" w16cid:durableId="388454289">
    <w:abstractNumId w:val="29"/>
  </w:num>
  <w:num w:numId="47" w16cid:durableId="2051801278">
    <w:abstractNumId w:val="16"/>
  </w:num>
  <w:num w:numId="48" w16cid:durableId="259991465">
    <w:abstractNumId w:val="21"/>
  </w:num>
  <w:num w:numId="49" w16cid:durableId="85615980">
    <w:abstractNumId w:val="5"/>
  </w:num>
  <w:num w:numId="50" w16cid:durableId="1027364109">
    <w:abstractNumId w:val="19"/>
  </w:num>
  <w:num w:numId="51" w16cid:durableId="229535393">
    <w:abstractNumId w:val="50"/>
  </w:num>
  <w:num w:numId="52" w16cid:durableId="73990950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1"/>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225"/>
    <w:rsid w:val="000D1313"/>
    <w:rsid w:val="00147120"/>
    <w:rsid w:val="00187DC2"/>
    <w:rsid w:val="001C75A4"/>
    <w:rsid w:val="002069E1"/>
    <w:rsid w:val="002922AC"/>
    <w:rsid w:val="004125EE"/>
    <w:rsid w:val="00516993"/>
    <w:rsid w:val="00681529"/>
    <w:rsid w:val="007351F8"/>
    <w:rsid w:val="007B1B64"/>
    <w:rsid w:val="007F04EC"/>
    <w:rsid w:val="009458F9"/>
    <w:rsid w:val="00A32798"/>
    <w:rsid w:val="00A80F02"/>
    <w:rsid w:val="00AC74C3"/>
    <w:rsid w:val="00AE0225"/>
    <w:rsid w:val="00B40DD1"/>
    <w:rsid w:val="00B80196"/>
    <w:rsid w:val="00CA00FA"/>
    <w:rsid w:val="00CD32B4"/>
    <w:rsid w:val="00D247DA"/>
    <w:rsid w:val="00D64B5B"/>
    <w:rsid w:val="00D81101"/>
    <w:rsid w:val="00DD5A48"/>
    <w:rsid w:val="00E06407"/>
    <w:rsid w:val="00E10583"/>
    <w:rsid w:val="00EE578A"/>
    <w:rsid w:val="00EF4AE2"/>
    <w:rsid w:val="00F24D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FEE315"/>
  <w15:chartTrackingRefBased/>
  <w15:docId w15:val="{A97FFC6D-B2E2-4B2D-B094-E125FE9E2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E0225"/>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AE0225"/>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AE0225"/>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AE0225"/>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AE0225"/>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AE0225"/>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AE0225"/>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AE0225"/>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AE0225"/>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E0225"/>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AE0225"/>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AE0225"/>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AE0225"/>
    <w:rPr>
      <w:rFonts w:cstheme="majorBidi"/>
      <w:color w:val="0F4761" w:themeColor="accent1" w:themeShade="BF"/>
      <w:sz w:val="28"/>
      <w:szCs w:val="28"/>
    </w:rPr>
  </w:style>
  <w:style w:type="character" w:customStyle="1" w:styleId="50">
    <w:name w:val="标题 5 字符"/>
    <w:basedOn w:val="a0"/>
    <w:link w:val="5"/>
    <w:uiPriority w:val="9"/>
    <w:semiHidden/>
    <w:rsid w:val="00AE0225"/>
    <w:rPr>
      <w:rFonts w:cstheme="majorBidi"/>
      <w:color w:val="0F4761" w:themeColor="accent1" w:themeShade="BF"/>
      <w:sz w:val="24"/>
      <w:szCs w:val="24"/>
    </w:rPr>
  </w:style>
  <w:style w:type="character" w:customStyle="1" w:styleId="60">
    <w:name w:val="标题 6 字符"/>
    <w:basedOn w:val="a0"/>
    <w:link w:val="6"/>
    <w:uiPriority w:val="9"/>
    <w:semiHidden/>
    <w:rsid w:val="00AE0225"/>
    <w:rPr>
      <w:rFonts w:cstheme="majorBidi"/>
      <w:b/>
      <w:bCs/>
      <w:color w:val="0F4761" w:themeColor="accent1" w:themeShade="BF"/>
    </w:rPr>
  </w:style>
  <w:style w:type="character" w:customStyle="1" w:styleId="70">
    <w:name w:val="标题 7 字符"/>
    <w:basedOn w:val="a0"/>
    <w:link w:val="7"/>
    <w:uiPriority w:val="9"/>
    <w:semiHidden/>
    <w:rsid w:val="00AE0225"/>
    <w:rPr>
      <w:rFonts w:cstheme="majorBidi"/>
      <w:b/>
      <w:bCs/>
      <w:color w:val="595959" w:themeColor="text1" w:themeTint="A6"/>
    </w:rPr>
  </w:style>
  <w:style w:type="character" w:customStyle="1" w:styleId="80">
    <w:name w:val="标题 8 字符"/>
    <w:basedOn w:val="a0"/>
    <w:link w:val="8"/>
    <w:uiPriority w:val="9"/>
    <w:semiHidden/>
    <w:rsid w:val="00AE0225"/>
    <w:rPr>
      <w:rFonts w:cstheme="majorBidi"/>
      <w:color w:val="595959" w:themeColor="text1" w:themeTint="A6"/>
    </w:rPr>
  </w:style>
  <w:style w:type="character" w:customStyle="1" w:styleId="90">
    <w:name w:val="标题 9 字符"/>
    <w:basedOn w:val="a0"/>
    <w:link w:val="9"/>
    <w:uiPriority w:val="9"/>
    <w:semiHidden/>
    <w:rsid w:val="00AE0225"/>
    <w:rPr>
      <w:rFonts w:eastAsiaTheme="majorEastAsia" w:cstheme="majorBidi"/>
      <w:color w:val="595959" w:themeColor="text1" w:themeTint="A6"/>
    </w:rPr>
  </w:style>
  <w:style w:type="paragraph" w:styleId="a3">
    <w:name w:val="Title"/>
    <w:basedOn w:val="a"/>
    <w:next w:val="a"/>
    <w:link w:val="a4"/>
    <w:uiPriority w:val="10"/>
    <w:qFormat/>
    <w:rsid w:val="00AE0225"/>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E022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E0225"/>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E0225"/>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E0225"/>
    <w:pPr>
      <w:spacing w:before="160" w:after="160"/>
      <w:jc w:val="center"/>
    </w:pPr>
    <w:rPr>
      <w:i/>
      <w:iCs/>
      <w:color w:val="404040" w:themeColor="text1" w:themeTint="BF"/>
    </w:rPr>
  </w:style>
  <w:style w:type="character" w:customStyle="1" w:styleId="a8">
    <w:name w:val="引用 字符"/>
    <w:basedOn w:val="a0"/>
    <w:link w:val="a7"/>
    <w:uiPriority w:val="29"/>
    <w:rsid w:val="00AE0225"/>
    <w:rPr>
      <w:i/>
      <w:iCs/>
      <w:color w:val="404040" w:themeColor="text1" w:themeTint="BF"/>
    </w:rPr>
  </w:style>
  <w:style w:type="paragraph" w:styleId="a9">
    <w:name w:val="List Paragraph"/>
    <w:basedOn w:val="a"/>
    <w:uiPriority w:val="34"/>
    <w:qFormat/>
    <w:rsid w:val="00AE0225"/>
    <w:pPr>
      <w:ind w:left="720"/>
      <w:contextualSpacing/>
    </w:pPr>
  </w:style>
  <w:style w:type="character" w:styleId="aa">
    <w:name w:val="Intense Emphasis"/>
    <w:basedOn w:val="a0"/>
    <w:uiPriority w:val="21"/>
    <w:qFormat/>
    <w:rsid w:val="00AE0225"/>
    <w:rPr>
      <w:i/>
      <w:iCs/>
      <w:color w:val="0F4761" w:themeColor="accent1" w:themeShade="BF"/>
    </w:rPr>
  </w:style>
  <w:style w:type="paragraph" w:styleId="ab">
    <w:name w:val="Intense Quote"/>
    <w:basedOn w:val="a"/>
    <w:next w:val="a"/>
    <w:link w:val="ac"/>
    <w:uiPriority w:val="30"/>
    <w:qFormat/>
    <w:rsid w:val="00AE02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E0225"/>
    <w:rPr>
      <w:i/>
      <w:iCs/>
      <w:color w:val="0F4761" w:themeColor="accent1" w:themeShade="BF"/>
    </w:rPr>
  </w:style>
  <w:style w:type="character" w:styleId="ad">
    <w:name w:val="Intense Reference"/>
    <w:basedOn w:val="a0"/>
    <w:uiPriority w:val="32"/>
    <w:qFormat/>
    <w:rsid w:val="00AE0225"/>
    <w:rPr>
      <w:b/>
      <w:bCs/>
      <w:smallCaps/>
      <w:color w:val="0F4761" w:themeColor="accent1" w:themeShade="BF"/>
      <w:spacing w:val="5"/>
    </w:rPr>
  </w:style>
  <w:style w:type="character" w:styleId="ae">
    <w:name w:val="Hyperlink"/>
    <w:basedOn w:val="a0"/>
    <w:uiPriority w:val="99"/>
    <w:unhideWhenUsed/>
    <w:rsid w:val="00AE0225"/>
    <w:rPr>
      <w:color w:val="467886" w:themeColor="hyperlink"/>
      <w:u w:val="single"/>
    </w:rPr>
  </w:style>
  <w:style w:type="character" w:styleId="af">
    <w:name w:val="Unresolved Mention"/>
    <w:basedOn w:val="a0"/>
    <w:uiPriority w:val="99"/>
    <w:semiHidden/>
    <w:unhideWhenUsed/>
    <w:rsid w:val="00AE0225"/>
    <w:rPr>
      <w:color w:val="605E5C"/>
      <w:shd w:val="clear" w:color="auto" w:fill="E1DFDD"/>
    </w:rPr>
  </w:style>
  <w:style w:type="paragraph" w:styleId="af0">
    <w:name w:val="header"/>
    <w:basedOn w:val="a"/>
    <w:link w:val="af1"/>
    <w:uiPriority w:val="99"/>
    <w:unhideWhenUsed/>
    <w:rsid w:val="00F24DA1"/>
    <w:pPr>
      <w:tabs>
        <w:tab w:val="center" w:pos="4513"/>
        <w:tab w:val="right" w:pos="9026"/>
      </w:tabs>
      <w:snapToGrid w:val="0"/>
      <w:jc w:val="center"/>
    </w:pPr>
    <w:rPr>
      <w:sz w:val="18"/>
      <w:szCs w:val="18"/>
    </w:rPr>
  </w:style>
  <w:style w:type="character" w:customStyle="1" w:styleId="af1">
    <w:name w:val="页眉 字符"/>
    <w:basedOn w:val="a0"/>
    <w:link w:val="af0"/>
    <w:uiPriority w:val="99"/>
    <w:rsid w:val="00F24DA1"/>
    <w:rPr>
      <w:sz w:val="18"/>
      <w:szCs w:val="18"/>
    </w:rPr>
  </w:style>
  <w:style w:type="paragraph" w:styleId="af2">
    <w:name w:val="footer"/>
    <w:basedOn w:val="a"/>
    <w:link w:val="af3"/>
    <w:uiPriority w:val="99"/>
    <w:unhideWhenUsed/>
    <w:rsid w:val="00F24DA1"/>
    <w:pPr>
      <w:tabs>
        <w:tab w:val="center" w:pos="4513"/>
        <w:tab w:val="right" w:pos="9026"/>
      </w:tabs>
      <w:snapToGrid w:val="0"/>
      <w:jc w:val="left"/>
    </w:pPr>
    <w:rPr>
      <w:sz w:val="18"/>
      <w:szCs w:val="18"/>
    </w:rPr>
  </w:style>
  <w:style w:type="character" w:customStyle="1" w:styleId="af3">
    <w:name w:val="页脚 字符"/>
    <w:basedOn w:val="a0"/>
    <w:link w:val="af2"/>
    <w:uiPriority w:val="99"/>
    <w:rsid w:val="00F24DA1"/>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528008X.2024.244787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554</TotalTime>
  <Pages>15</Pages>
  <Words>5144</Words>
  <Characters>34468</Characters>
  <Application>Microsoft Office Word</Application>
  <DocSecurity>0</DocSecurity>
  <Lines>465</Lines>
  <Paragraphs>284</Paragraphs>
  <ScaleCrop>false</ScaleCrop>
  <Company/>
  <LinksUpToDate>false</LinksUpToDate>
  <CharactersWithSpaces>39328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 Lu</dc:creator>
  <cp:keywords/>
  <dc:description/>
  <cp:lastModifiedBy>Qi Lu</cp:lastModifiedBy>
  <cp:revision>10</cp:revision>
  <dcterms:created xsi:type="dcterms:W3CDTF">2025-09-14T12:35:00Z</dcterms:created>
  <dcterms:modified xsi:type="dcterms:W3CDTF">2025-09-15T13:27:00Z</dcterms:modified>
</cp:coreProperties>
</file>