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9F348A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33C39">
        <w:rPr>
          <w:rFonts w:asciiTheme="minorBidi" w:hAnsiTheme="minorBidi"/>
          <w:sz w:val="28"/>
          <w:szCs w:val="28"/>
        </w:rPr>
        <w:t>Andleeb Saeed</w:t>
      </w:r>
    </w:p>
    <w:p w14:paraId="485B6F49" w14:textId="41D895C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33C39">
        <w:rPr>
          <w:rFonts w:asciiTheme="minorBidi" w:hAnsiTheme="minorBidi"/>
          <w:sz w:val="28"/>
          <w:szCs w:val="28"/>
        </w:rPr>
        <w:t>2506509</w:t>
      </w:r>
    </w:p>
    <w:p w14:paraId="3C1E7A20" w14:textId="5413984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33C39">
        <w:rPr>
          <w:rFonts w:asciiTheme="minorBidi" w:hAnsiTheme="minorBidi"/>
          <w:sz w:val="28"/>
          <w:szCs w:val="28"/>
        </w:rPr>
        <w:t>4001</w:t>
      </w:r>
    </w:p>
    <w:p w14:paraId="4EEB2DA3" w14:textId="70B2938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33C39">
        <w:rPr>
          <w:rFonts w:asciiTheme="minorBidi" w:hAnsiTheme="minorBidi"/>
          <w:sz w:val="28"/>
          <w:szCs w:val="28"/>
        </w:rPr>
        <w:t>Academic and Employability Skills</w:t>
      </w:r>
    </w:p>
    <w:p w14:paraId="112342CB" w14:textId="1D02E57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33C39">
        <w:rPr>
          <w:rFonts w:asciiTheme="minorBidi" w:hAnsiTheme="minorBidi"/>
          <w:sz w:val="28"/>
          <w:szCs w:val="28"/>
        </w:rPr>
        <w:t>Charissa Brain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81480A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4B0405">
        <w:rPr>
          <w:rFonts w:asciiTheme="minorBidi" w:hAnsiTheme="minorBidi"/>
          <w:sz w:val="28"/>
          <w:szCs w:val="28"/>
        </w:rPr>
        <w:t>12-11-2025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rsidP="001F38AA">
          <w:pPr>
            <w:pStyle w:val="TOCHeading"/>
            <w:spacing w:line="360" w:lineRule="auto"/>
            <w:rPr>
              <w:color w:val="4472C4" w:themeColor="accent1"/>
            </w:rPr>
          </w:pPr>
          <w:r w:rsidRPr="002976D4">
            <w:rPr>
              <w:color w:val="4472C4" w:themeColor="accent1"/>
            </w:rPr>
            <w:t>Table of Contents</w:t>
          </w:r>
        </w:p>
        <w:p w14:paraId="7EB6EB74" w14:textId="378B75B7" w:rsidR="0036558B" w:rsidRDefault="00184A9A">
          <w:pPr>
            <w:pStyle w:val="TOC2"/>
            <w:tabs>
              <w:tab w:val="right" w:leader="dot" w:pos="9016"/>
            </w:tabs>
            <w:rPr>
              <w:rFonts w:asciiTheme="minorHAnsi" w:hAnsiTheme="minorHAnsi" w:cstheme="minorBidi"/>
              <w:b w:val="0"/>
              <w:bCs w:val="0"/>
              <w:noProof/>
              <w:sz w:val="24"/>
              <w:szCs w:val="24"/>
              <w:lang w:eastAsia="en-GB"/>
            </w:rPr>
          </w:pPr>
          <w:r w:rsidRPr="00242974">
            <w:rPr>
              <w:b w:val="0"/>
              <w:bCs w:val="0"/>
              <w:i/>
              <w:iCs/>
              <w:sz w:val="24"/>
              <w:szCs w:val="24"/>
            </w:rPr>
            <w:fldChar w:fldCharType="begin"/>
          </w:r>
          <w:r w:rsidRPr="00242974">
            <w:instrText xml:space="preserve"> TOC \o "1-3" \h \z \u </w:instrText>
          </w:r>
          <w:r w:rsidRPr="00242974">
            <w:rPr>
              <w:b w:val="0"/>
              <w:bCs w:val="0"/>
              <w:i/>
              <w:iCs/>
              <w:sz w:val="24"/>
              <w:szCs w:val="24"/>
            </w:rPr>
            <w:fldChar w:fldCharType="separate"/>
          </w:r>
          <w:hyperlink w:anchor="_Toc213860848" w:history="1">
            <w:r w:rsidR="0036558B" w:rsidRPr="00A82650">
              <w:rPr>
                <w:rStyle w:val="Hyperlink"/>
                <w:noProof/>
              </w:rPr>
              <w:t>1.1 Introduction</w:t>
            </w:r>
            <w:r w:rsidR="0036558B">
              <w:rPr>
                <w:noProof/>
                <w:webHidden/>
              </w:rPr>
              <w:tab/>
            </w:r>
            <w:r w:rsidR="0036558B">
              <w:rPr>
                <w:noProof/>
                <w:webHidden/>
              </w:rPr>
              <w:fldChar w:fldCharType="begin"/>
            </w:r>
            <w:r w:rsidR="0036558B">
              <w:rPr>
                <w:noProof/>
                <w:webHidden/>
              </w:rPr>
              <w:instrText xml:space="preserve"> PAGEREF _Toc213860848 \h </w:instrText>
            </w:r>
            <w:r w:rsidR="0036558B">
              <w:rPr>
                <w:noProof/>
                <w:webHidden/>
              </w:rPr>
            </w:r>
            <w:r w:rsidR="0036558B">
              <w:rPr>
                <w:noProof/>
                <w:webHidden/>
              </w:rPr>
              <w:fldChar w:fldCharType="separate"/>
            </w:r>
            <w:r w:rsidR="0036558B">
              <w:rPr>
                <w:noProof/>
                <w:webHidden/>
              </w:rPr>
              <w:t>2</w:t>
            </w:r>
            <w:r w:rsidR="0036558B">
              <w:rPr>
                <w:noProof/>
                <w:webHidden/>
              </w:rPr>
              <w:fldChar w:fldCharType="end"/>
            </w:r>
          </w:hyperlink>
        </w:p>
        <w:p w14:paraId="4A73B188" w14:textId="4F888BC3" w:rsidR="0036558B" w:rsidRDefault="0036558B">
          <w:pPr>
            <w:pStyle w:val="TOC2"/>
            <w:tabs>
              <w:tab w:val="right" w:leader="dot" w:pos="9016"/>
            </w:tabs>
            <w:rPr>
              <w:rFonts w:asciiTheme="minorHAnsi" w:hAnsiTheme="minorHAnsi" w:cstheme="minorBidi"/>
              <w:b w:val="0"/>
              <w:bCs w:val="0"/>
              <w:noProof/>
              <w:sz w:val="24"/>
              <w:szCs w:val="24"/>
              <w:lang w:eastAsia="en-GB"/>
            </w:rPr>
          </w:pPr>
          <w:hyperlink w:anchor="_Toc213860849" w:history="1">
            <w:r w:rsidRPr="00A82650">
              <w:rPr>
                <w:rStyle w:val="Hyperlink"/>
                <w:noProof/>
              </w:rPr>
              <w:t>1.2 Description of, and Background to, the Nursing Role in Healthcare</w:t>
            </w:r>
            <w:r>
              <w:rPr>
                <w:noProof/>
                <w:webHidden/>
              </w:rPr>
              <w:tab/>
            </w:r>
            <w:r>
              <w:rPr>
                <w:noProof/>
                <w:webHidden/>
              </w:rPr>
              <w:fldChar w:fldCharType="begin"/>
            </w:r>
            <w:r>
              <w:rPr>
                <w:noProof/>
                <w:webHidden/>
              </w:rPr>
              <w:instrText xml:space="preserve"> PAGEREF _Toc213860849 \h </w:instrText>
            </w:r>
            <w:r>
              <w:rPr>
                <w:noProof/>
                <w:webHidden/>
              </w:rPr>
            </w:r>
            <w:r>
              <w:rPr>
                <w:noProof/>
                <w:webHidden/>
              </w:rPr>
              <w:fldChar w:fldCharType="separate"/>
            </w:r>
            <w:r>
              <w:rPr>
                <w:noProof/>
                <w:webHidden/>
              </w:rPr>
              <w:t>3</w:t>
            </w:r>
            <w:r>
              <w:rPr>
                <w:noProof/>
                <w:webHidden/>
              </w:rPr>
              <w:fldChar w:fldCharType="end"/>
            </w:r>
          </w:hyperlink>
        </w:p>
        <w:p w14:paraId="536E99ED" w14:textId="303437C3" w:rsidR="0036558B" w:rsidRDefault="0036558B">
          <w:pPr>
            <w:pStyle w:val="TOC2"/>
            <w:tabs>
              <w:tab w:val="right" w:leader="dot" w:pos="9016"/>
            </w:tabs>
            <w:rPr>
              <w:rFonts w:asciiTheme="minorHAnsi" w:hAnsiTheme="minorHAnsi" w:cstheme="minorBidi"/>
              <w:b w:val="0"/>
              <w:bCs w:val="0"/>
              <w:noProof/>
              <w:sz w:val="24"/>
              <w:szCs w:val="24"/>
              <w:lang w:eastAsia="en-GB"/>
            </w:rPr>
          </w:pPr>
          <w:hyperlink w:anchor="_Toc213860850" w:history="1">
            <w:r w:rsidRPr="00A82650">
              <w:rPr>
                <w:rStyle w:val="Hyperlink"/>
                <w:noProof/>
              </w:rPr>
              <w:t>1.3 Evaluation of the Skills Needed for the Nursing Role</w:t>
            </w:r>
            <w:r>
              <w:rPr>
                <w:noProof/>
                <w:webHidden/>
              </w:rPr>
              <w:tab/>
            </w:r>
            <w:r>
              <w:rPr>
                <w:noProof/>
                <w:webHidden/>
              </w:rPr>
              <w:fldChar w:fldCharType="begin"/>
            </w:r>
            <w:r>
              <w:rPr>
                <w:noProof/>
                <w:webHidden/>
              </w:rPr>
              <w:instrText xml:space="preserve"> PAGEREF _Toc213860850 \h </w:instrText>
            </w:r>
            <w:r>
              <w:rPr>
                <w:noProof/>
                <w:webHidden/>
              </w:rPr>
            </w:r>
            <w:r>
              <w:rPr>
                <w:noProof/>
                <w:webHidden/>
              </w:rPr>
              <w:fldChar w:fldCharType="separate"/>
            </w:r>
            <w:r>
              <w:rPr>
                <w:noProof/>
                <w:webHidden/>
              </w:rPr>
              <w:t>3</w:t>
            </w:r>
            <w:r>
              <w:rPr>
                <w:noProof/>
                <w:webHidden/>
              </w:rPr>
              <w:fldChar w:fldCharType="end"/>
            </w:r>
          </w:hyperlink>
        </w:p>
        <w:p w14:paraId="55140C09" w14:textId="229F4CF6" w:rsidR="0036558B" w:rsidRDefault="0036558B">
          <w:pPr>
            <w:pStyle w:val="TOC3"/>
            <w:tabs>
              <w:tab w:val="right" w:leader="dot" w:pos="9016"/>
            </w:tabs>
            <w:rPr>
              <w:rFonts w:asciiTheme="minorHAnsi" w:hAnsiTheme="minorHAnsi" w:cstheme="minorBidi"/>
              <w:noProof/>
              <w:sz w:val="24"/>
              <w:szCs w:val="24"/>
              <w:lang w:eastAsia="en-GB"/>
            </w:rPr>
          </w:pPr>
          <w:hyperlink w:anchor="_Toc213860851" w:history="1">
            <w:r w:rsidRPr="00A82650">
              <w:rPr>
                <w:rStyle w:val="Hyperlink"/>
                <w:noProof/>
              </w:rPr>
              <w:t>1.3.1 Communication</w:t>
            </w:r>
            <w:r>
              <w:rPr>
                <w:noProof/>
                <w:webHidden/>
              </w:rPr>
              <w:tab/>
            </w:r>
            <w:r>
              <w:rPr>
                <w:noProof/>
                <w:webHidden/>
              </w:rPr>
              <w:fldChar w:fldCharType="begin"/>
            </w:r>
            <w:r>
              <w:rPr>
                <w:noProof/>
                <w:webHidden/>
              </w:rPr>
              <w:instrText xml:space="preserve"> PAGEREF _Toc213860851 \h </w:instrText>
            </w:r>
            <w:r>
              <w:rPr>
                <w:noProof/>
                <w:webHidden/>
              </w:rPr>
            </w:r>
            <w:r>
              <w:rPr>
                <w:noProof/>
                <w:webHidden/>
              </w:rPr>
              <w:fldChar w:fldCharType="separate"/>
            </w:r>
            <w:r>
              <w:rPr>
                <w:noProof/>
                <w:webHidden/>
              </w:rPr>
              <w:t>3</w:t>
            </w:r>
            <w:r>
              <w:rPr>
                <w:noProof/>
                <w:webHidden/>
              </w:rPr>
              <w:fldChar w:fldCharType="end"/>
            </w:r>
          </w:hyperlink>
        </w:p>
        <w:p w14:paraId="7D1EA788" w14:textId="56416631" w:rsidR="0036558B" w:rsidRDefault="0036558B">
          <w:pPr>
            <w:pStyle w:val="TOC3"/>
            <w:tabs>
              <w:tab w:val="right" w:leader="dot" w:pos="9016"/>
            </w:tabs>
            <w:rPr>
              <w:rFonts w:asciiTheme="minorHAnsi" w:hAnsiTheme="minorHAnsi" w:cstheme="minorBidi"/>
              <w:noProof/>
              <w:sz w:val="24"/>
              <w:szCs w:val="24"/>
              <w:lang w:eastAsia="en-GB"/>
            </w:rPr>
          </w:pPr>
          <w:hyperlink w:anchor="_Toc213860852" w:history="1">
            <w:r w:rsidRPr="00A82650">
              <w:rPr>
                <w:rStyle w:val="Hyperlink"/>
                <w:noProof/>
              </w:rPr>
              <w:t>1.3.2 Critical Thinking</w:t>
            </w:r>
            <w:r>
              <w:rPr>
                <w:noProof/>
                <w:webHidden/>
              </w:rPr>
              <w:tab/>
            </w:r>
            <w:r>
              <w:rPr>
                <w:noProof/>
                <w:webHidden/>
              </w:rPr>
              <w:fldChar w:fldCharType="begin"/>
            </w:r>
            <w:r>
              <w:rPr>
                <w:noProof/>
                <w:webHidden/>
              </w:rPr>
              <w:instrText xml:space="preserve"> PAGEREF _Toc213860852 \h </w:instrText>
            </w:r>
            <w:r>
              <w:rPr>
                <w:noProof/>
                <w:webHidden/>
              </w:rPr>
            </w:r>
            <w:r>
              <w:rPr>
                <w:noProof/>
                <w:webHidden/>
              </w:rPr>
              <w:fldChar w:fldCharType="separate"/>
            </w:r>
            <w:r>
              <w:rPr>
                <w:noProof/>
                <w:webHidden/>
              </w:rPr>
              <w:t>4</w:t>
            </w:r>
            <w:r>
              <w:rPr>
                <w:noProof/>
                <w:webHidden/>
              </w:rPr>
              <w:fldChar w:fldCharType="end"/>
            </w:r>
          </w:hyperlink>
        </w:p>
        <w:p w14:paraId="1C0E0CB0" w14:textId="0CAD4526" w:rsidR="0036558B" w:rsidRDefault="0036558B">
          <w:pPr>
            <w:pStyle w:val="TOC3"/>
            <w:tabs>
              <w:tab w:val="right" w:leader="dot" w:pos="9016"/>
            </w:tabs>
            <w:rPr>
              <w:rFonts w:asciiTheme="minorHAnsi" w:hAnsiTheme="minorHAnsi" w:cstheme="minorBidi"/>
              <w:noProof/>
              <w:sz w:val="24"/>
              <w:szCs w:val="24"/>
              <w:lang w:eastAsia="en-GB"/>
            </w:rPr>
          </w:pPr>
          <w:hyperlink w:anchor="_Toc213860853" w:history="1">
            <w:r w:rsidRPr="00A82650">
              <w:rPr>
                <w:rStyle w:val="Hyperlink"/>
                <w:noProof/>
              </w:rPr>
              <w:t>1.3.3 Empathy</w:t>
            </w:r>
            <w:r>
              <w:rPr>
                <w:noProof/>
                <w:webHidden/>
              </w:rPr>
              <w:tab/>
            </w:r>
            <w:r>
              <w:rPr>
                <w:noProof/>
                <w:webHidden/>
              </w:rPr>
              <w:fldChar w:fldCharType="begin"/>
            </w:r>
            <w:r>
              <w:rPr>
                <w:noProof/>
                <w:webHidden/>
              </w:rPr>
              <w:instrText xml:space="preserve"> PAGEREF _Toc213860853 \h </w:instrText>
            </w:r>
            <w:r>
              <w:rPr>
                <w:noProof/>
                <w:webHidden/>
              </w:rPr>
            </w:r>
            <w:r>
              <w:rPr>
                <w:noProof/>
                <w:webHidden/>
              </w:rPr>
              <w:fldChar w:fldCharType="separate"/>
            </w:r>
            <w:r>
              <w:rPr>
                <w:noProof/>
                <w:webHidden/>
              </w:rPr>
              <w:t>4</w:t>
            </w:r>
            <w:r>
              <w:rPr>
                <w:noProof/>
                <w:webHidden/>
              </w:rPr>
              <w:fldChar w:fldCharType="end"/>
            </w:r>
          </w:hyperlink>
        </w:p>
        <w:p w14:paraId="62096E36" w14:textId="091C1EAC" w:rsidR="0036558B" w:rsidRDefault="0036558B">
          <w:pPr>
            <w:pStyle w:val="TOC2"/>
            <w:tabs>
              <w:tab w:val="right" w:leader="dot" w:pos="9016"/>
            </w:tabs>
            <w:rPr>
              <w:rFonts w:asciiTheme="minorHAnsi" w:hAnsiTheme="minorHAnsi" w:cstheme="minorBidi"/>
              <w:b w:val="0"/>
              <w:bCs w:val="0"/>
              <w:noProof/>
              <w:sz w:val="24"/>
              <w:szCs w:val="24"/>
              <w:lang w:eastAsia="en-GB"/>
            </w:rPr>
          </w:pPr>
          <w:hyperlink w:anchor="_Toc213860854" w:history="1">
            <w:r w:rsidRPr="00A82650">
              <w:rPr>
                <w:rStyle w:val="Hyperlink"/>
                <w:noProof/>
              </w:rPr>
              <w:t>1.4 Strategies to Improve Skills for Nursing Practice</w:t>
            </w:r>
            <w:r>
              <w:rPr>
                <w:noProof/>
                <w:webHidden/>
              </w:rPr>
              <w:tab/>
            </w:r>
            <w:r>
              <w:rPr>
                <w:noProof/>
                <w:webHidden/>
              </w:rPr>
              <w:fldChar w:fldCharType="begin"/>
            </w:r>
            <w:r>
              <w:rPr>
                <w:noProof/>
                <w:webHidden/>
              </w:rPr>
              <w:instrText xml:space="preserve"> PAGEREF _Toc213860854 \h </w:instrText>
            </w:r>
            <w:r>
              <w:rPr>
                <w:noProof/>
                <w:webHidden/>
              </w:rPr>
            </w:r>
            <w:r>
              <w:rPr>
                <w:noProof/>
                <w:webHidden/>
              </w:rPr>
              <w:fldChar w:fldCharType="separate"/>
            </w:r>
            <w:r>
              <w:rPr>
                <w:noProof/>
                <w:webHidden/>
              </w:rPr>
              <w:t>5</w:t>
            </w:r>
            <w:r>
              <w:rPr>
                <w:noProof/>
                <w:webHidden/>
              </w:rPr>
              <w:fldChar w:fldCharType="end"/>
            </w:r>
          </w:hyperlink>
        </w:p>
        <w:p w14:paraId="1ED60940" w14:textId="7BD39596" w:rsidR="0036558B" w:rsidRDefault="0036558B">
          <w:pPr>
            <w:pStyle w:val="TOC3"/>
            <w:tabs>
              <w:tab w:val="right" w:leader="dot" w:pos="9016"/>
            </w:tabs>
            <w:rPr>
              <w:rFonts w:asciiTheme="minorHAnsi" w:hAnsiTheme="minorHAnsi" w:cstheme="minorBidi"/>
              <w:noProof/>
              <w:sz w:val="24"/>
              <w:szCs w:val="24"/>
              <w:lang w:eastAsia="en-GB"/>
            </w:rPr>
          </w:pPr>
          <w:hyperlink w:anchor="_Toc213860855" w:history="1">
            <w:r w:rsidRPr="00A82650">
              <w:rPr>
                <w:rStyle w:val="Hyperlink"/>
                <w:noProof/>
              </w:rPr>
              <w:t>1.4.1 Reflective Practice</w:t>
            </w:r>
            <w:r>
              <w:rPr>
                <w:noProof/>
                <w:webHidden/>
              </w:rPr>
              <w:tab/>
            </w:r>
            <w:r>
              <w:rPr>
                <w:noProof/>
                <w:webHidden/>
              </w:rPr>
              <w:fldChar w:fldCharType="begin"/>
            </w:r>
            <w:r>
              <w:rPr>
                <w:noProof/>
                <w:webHidden/>
              </w:rPr>
              <w:instrText xml:space="preserve"> PAGEREF _Toc213860855 \h </w:instrText>
            </w:r>
            <w:r>
              <w:rPr>
                <w:noProof/>
                <w:webHidden/>
              </w:rPr>
            </w:r>
            <w:r>
              <w:rPr>
                <w:noProof/>
                <w:webHidden/>
              </w:rPr>
              <w:fldChar w:fldCharType="separate"/>
            </w:r>
            <w:r>
              <w:rPr>
                <w:noProof/>
                <w:webHidden/>
              </w:rPr>
              <w:t>5</w:t>
            </w:r>
            <w:r>
              <w:rPr>
                <w:noProof/>
                <w:webHidden/>
              </w:rPr>
              <w:fldChar w:fldCharType="end"/>
            </w:r>
          </w:hyperlink>
        </w:p>
        <w:p w14:paraId="142DAADA" w14:textId="50933816" w:rsidR="0036558B" w:rsidRDefault="0036558B">
          <w:pPr>
            <w:pStyle w:val="TOC3"/>
            <w:tabs>
              <w:tab w:val="right" w:leader="dot" w:pos="9016"/>
            </w:tabs>
            <w:rPr>
              <w:rFonts w:asciiTheme="minorHAnsi" w:hAnsiTheme="minorHAnsi" w:cstheme="minorBidi"/>
              <w:noProof/>
              <w:sz w:val="24"/>
              <w:szCs w:val="24"/>
              <w:lang w:eastAsia="en-GB"/>
            </w:rPr>
          </w:pPr>
          <w:hyperlink w:anchor="_Toc213860856" w:history="1">
            <w:r w:rsidRPr="00A82650">
              <w:rPr>
                <w:rStyle w:val="Hyperlink"/>
                <w:noProof/>
              </w:rPr>
              <w:t>1.4.2 Continuing Professional Development (CPD)</w:t>
            </w:r>
            <w:r>
              <w:rPr>
                <w:noProof/>
                <w:webHidden/>
              </w:rPr>
              <w:tab/>
            </w:r>
            <w:r>
              <w:rPr>
                <w:noProof/>
                <w:webHidden/>
              </w:rPr>
              <w:fldChar w:fldCharType="begin"/>
            </w:r>
            <w:r>
              <w:rPr>
                <w:noProof/>
                <w:webHidden/>
              </w:rPr>
              <w:instrText xml:space="preserve"> PAGEREF _Toc213860856 \h </w:instrText>
            </w:r>
            <w:r>
              <w:rPr>
                <w:noProof/>
                <w:webHidden/>
              </w:rPr>
            </w:r>
            <w:r>
              <w:rPr>
                <w:noProof/>
                <w:webHidden/>
              </w:rPr>
              <w:fldChar w:fldCharType="separate"/>
            </w:r>
            <w:r>
              <w:rPr>
                <w:noProof/>
                <w:webHidden/>
              </w:rPr>
              <w:t>5</w:t>
            </w:r>
            <w:r>
              <w:rPr>
                <w:noProof/>
                <w:webHidden/>
              </w:rPr>
              <w:fldChar w:fldCharType="end"/>
            </w:r>
          </w:hyperlink>
        </w:p>
        <w:p w14:paraId="3700356D" w14:textId="15093CEE" w:rsidR="0036558B" w:rsidRDefault="0036558B">
          <w:pPr>
            <w:pStyle w:val="TOC3"/>
            <w:tabs>
              <w:tab w:val="right" w:leader="dot" w:pos="9016"/>
            </w:tabs>
            <w:rPr>
              <w:rFonts w:asciiTheme="minorHAnsi" w:hAnsiTheme="minorHAnsi" w:cstheme="minorBidi"/>
              <w:noProof/>
              <w:sz w:val="24"/>
              <w:szCs w:val="24"/>
              <w:lang w:eastAsia="en-GB"/>
            </w:rPr>
          </w:pPr>
          <w:hyperlink w:anchor="_Toc213860857" w:history="1">
            <w:r w:rsidRPr="00A82650">
              <w:rPr>
                <w:rStyle w:val="Hyperlink"/>
                <w:noProof/>
              </w:rPr>
              <w:t>1.4.3 Mentorship and Peer Support</w:t>
            </w:r>
            <w:r>
              <w:rPr>
                <w:noProof/>
                <w:webHidden/>
              </w:rPr>
              <w:tab/>
            </w:r>
            <w:r>
              <w:rPr>
                <w:noProof/>
                <w:webHidden/>
              </w:rPr>
              <w:fldChar w:fldCharType="begin"/>
            </w:r>
            <w:r>
              <w:rPr>
                <w:noProof/>
                <w:webHidden/>
              </w:rPr>
              <w:instrText xml:space="preserve"> PAGEREF _Toc213860857 \h </w:instrText>
            </w:r>
            <w:r>
              <w:rPr>
                <w:noProof/>
                <w:webHidden/>
              </w:rPr>
            </w:r>
            <w:r>
              <w:rPr>
                <w:noProof/>
                <w:webHidden/>
              </w:rPr>
              <w:fldChar w:fldCharType="separate"/>
            </w:r>
            <w:r>
              <w:rPr>
                <w:noProof/>
                <w:webHidden/>
              </w:rPr>
              <w:t>5</w:t>
            </w:r>
            <w:r>
              <w:rPr>
                <w:noProof/>
                <w:webHidden/>
              </w:rPr>
              <w:fldChar w:fldCharType="end"/>
            </w:r>
          </w:hyperlink>
        </w:p>
        <w:p w14:paraId="1E0E7456" w14:textId="421FB93D" w:rsidR="0036558B" w:rsidRDefault="0036558B">
          <w:pPr>
            <w:pStyle w:val="TOC2"/>
            <w:tabs>
              <w:tab w:val="right" w:leader="dot" w:pos="9016"/>
            </w:tabs>
            <w:rPr>
              <w:rFonts w:asciiTheme="minorHAnsi" w:hAnsiTheme="minorHAnsi" w:cstheme="minorBidi"/>
              <w:b w:val="0"/>
              <w:bCs w:val="0"/>
              <w:noProof/>
              <w:sz w:val="24"/>
              <w:szCs w:val="24"/>
              <w:lang w:eastAsia="en-GB"/>
            </w:rPr>
          </w:pPr>
          <w:hyperlink w:anchor="_Toc213860858" w:history="1">
            <w:r w:rsidRPr="00A82650">
              <w:rPr>
                <w:rStyle w:val="Hyperlink"/>
                <w:noProof/>
              </w:rPr>
              <w:t>1.5 Conclusion</w:t>
            </w:r>
            <w:r>
              <w:rPr>
                <w:noProof/>
                <w:webHidden/>
              </w:rPr>
              <w:tab/>
            </w:r>
            <w:r>
              <w:rPr>
                <w:noProof/>
                <w:webHidden/>
              </w:rPr>
              <w:fldChar w:fldCharType="begin"/>
            </w:r>
            <w:r>
              <w:rPr>
                <w:noProof/>
                <w:webHidden/>
              </w:rPr>
              <w:instrText xml:space="preserve"> PAGEREF _Toc213860858 \h </w:instrText>
            </w:r>
            <w:r>
              <w:rPr>
                <w:noProof/>
                <w:webHidden/>
              </w:rPr>
            </w:r>
            <w:r>
              <w:rPr>
                <w:noProof/>
                <w:webHidden/>
              </w:rPr>
              <w:fldChar w:fldCharType="separate"/>
            </w:r>
            <w:r>
              <w:rPr>
                <w:noProof/>
                <w:webHidden/>
              </w:rPr>
              <w:t>6</w:t>
            </w:r>
            <w:r>
              <w:rPr>
                <w:noProof/>
                <w:webHidden/>
              </w:rPr>
              <w:fldChar w:fldCharType="end"/>
            </w:r>
          </w:hyperlink>
        </w:p>
        <w:p w14:paraId="2B91C3A3" w14:textId="15C4FB72" w:rsidR="0036558B" w:rsidRDefault="0036558B">
          <w:pPr>
            <w:pStyle w:val="TOC2"/>
            <w:tabs>
              <w:tab w:val="right" w:leader="dot" w:pos="9016"/>
            </w:tabs>
            <w:rPr>
              <w:rFonts w:asciiTheme="minorHAnsi" w:hAnsiTheme="minorHAnsi" w:cstheme="minorBidi"/>
              <w:b w:val="0"/>
              <w:bCs w:val="0"/>
              <w:noProof/>
              <w:sz w:val="24"/>
              <w:szCs w:val="24"/>
              <w:lang w:eastAsia="en-GB"/>
            </w:rPr>
          </w:pPr>
          <w:hyperlink w:anchor="_Toc213860859" w:history="1">
            <w:r w:rsidRPr="00A82650">
              <w:rPr>
                <w:rStyle w:val="Hyperlink"/>
                <w:noProof/>
              </w:rPr>
              <w:t>1.6 Reference List</w:t>
            </w:r>
            <w:r>
              <w:rPr>
                <w:noProof/>
                <w:webHidden/>
              </w:rPr>
              <w:tab/>
            </w:r>
            <w:r>
              <w:rPr>
                <w:noProof/>
                <w:webHidden/>
              </w:rPr>
              <w:fldChar w:fldCharType="begin"/>
            </w:r>
            <w:r>
              <w:rPr>
                <w:noProof/>
                <w:webHidden/>
              </w:rPr>
              <w:instrText xml:space="preserve"> PAGEREF _Toc213860859 \h </w:instrText>
            </w:r>
            <w:r>
              <w:rPr>
                <w:noProof/>
                <w:webHidden/>
              </w:rPr>
            </w:r>
            <w:r>
              <w:rPr>
                <w:noProof/>
                <w:webHidden/>
              </w:rPr>
              <w:fldChar w:fldCharType="separate"/>
            </w:r>
            <w:r>
              <w:rPr>
                <w:noProof/>
                <w:webHidden/>
              </w:rPr>
              <w:t>6</w:t>
            </w:r>
            <w:r>
              <w:rPr>
                <w:noProof/>
                <w:webHidden/>
              </w:rPr>
              <w:fldChar w:fldCharType="end"/>
            </w:r>
          </w:hyperlink>
        </w:p>
        <w:p w14:paraId="6138A55F" w14:textId="120B0721" w:rsidR="00184A9A" w:rsidRPr="00242974" w:rsidRDefault="00184A9A" w:rsidP="001F38AA">
          <w:pPr>
            <w:spacing w:line="360" w:lineRule="auto"/>
          </w:pPr>
          <w:r w:rsidRPr="00242974">
            <w:rPr>
              <w:b/>
              <w:bCs/>
              <w:noProof/>
            </w:rPr>
            <w:fldChar w:fldCharType="end"/>
          </w:r>
        </w:p>
      </w:sdtContent>
    </w:sdt>
    <w:p w14:paraId="4A159F97" w14:textId="77777777" w:rsidR="00ED5964" w:rsidRPr="00242974" w:rsidRDefault="00ED5964" w:rsidP="001F38AA">
      <w:pPr>
        <w:spacing w:line="360" w:lineRule="auto"/>
        <w:jc w:val="both"/>
        <w:rPr>
          <w:rFonts w:asciiTheme="minorBidi" w:hAnsiTheme="minorBidi"/>
          <w:b/>
          <w:bCs/>
          <w:sz w:val="28"/>
          <w:szCs w:val="28"/>
        </w:rPr>
      </w:pPr>
    </w:p>
    <w:p w14:paraId="09E24E55" w14:textId="77777777" w:rsidR="00ED5964" w:rsidRPr="00242974" w:rsidRDefault="00ED5964" w:rsidP="001F38AA">
      <w:pPr>
        <w:spacing w:line="360" w:lineRule="auto"/>
        <w:jc w:val="both"/>
        <w:rPr>
          <w:rFonts w:asciiTheme="minorBidi" w:hAnsiTheme="minorBidi"/>
          <w:b/>
          <w:bCs/>
          <w:sz w:val="28"/>
          <w:szCs w:val="28"/>
        </w:rPr>
      </w:pPr>
    </w:p>
    <w:p w14:paraId="40BC340F" w14:textId="77777777" w:rsidR="00ED5964" w:rsidRPr="00242974" w:rsidRDefault="00ED5964" w:rsidP="001F38AA">
      <w:pPr>
        <w:spacing w:line="360" w:lineRule="auto"/>
        <w:jc w:val="both"/>
        <w:rPr>
          <w:rFonts w:asciiTheme="minorBidi" w:hAnsiTheme="minorBidi"/>
          <w:b/>
          <w:bCs/>
          <w:sz w:val="28"/>
          <w:szCs w:val="28"/>
        </w:rPr>
      </w:pPr>
    </w:p>
    <w:p w14:paraId="41A63835" w14:textId="77777777" w:rsidR="00ED5964" w:rsidRPr="00242974" w:rsidRDefault="00ED5964" w:rsidP="001F38AA">
      <w:pPr>
        <w:spacing w:line="360" w:lineRule="auto"/>
        <w:jc w:val="both"/>
        <w:rPr>
          <w:rFonts w:asciiTheme="minorBidi" w:hAnsiTheme="minorBidi"/>
          <w:b/>
          <w:bCs/>
          <w:sz w:val="28"/>
          <w:szCs w:val="28"/>
        </w:rPr>
      </w:pPr>
    </w:p>
    <w:p w14:paraId="123865CA" w14:textId="77777777" w:rsidR="00ED5964" w:rsidRPr="00242974" w:rsidRDefault="00ED5964" w:rsidP="001F38AA">
      <w:pPr>
        <w:spacing w:line="360" w:lineRule="auto"/>
        <w:jc w:val="both"/>
        <w:rPr>
          <w:rFonts w:asciiTheme="minorBidi" w:hAnsiTheme="minorBidi"/>
          <w:b/>
          <w:bCs/>
          <w:sz w:val="28"/>
          <w:szCs w:val="28"/>
        </w:rPr>
      </w:pPr>
    </w:p>
    <w:p w14:paraId="2A21042D" w14:textId="77777777" w:rsidR="00ED5964" w:rsidRPr="00242974" w:rsidRDefault="00ED5964" w:rsidP="001F38AA">
      <w:pPr>
        <w:spacing w:line="360" w:lineRule="auto"/>
        <w:jc w:val="both"/>
        <w:rPr>
          <w:rFonts w:asciiTheme="minorBidi" w:hAnsiTheme="minorBidi"/>
          <w:b/>
          <w:bCs/>
          <w:sz w:val="28"/>
          <w:szCs w:val="28"/>
        </w:rPr>
      </w:pPr>
    </w:p>
    <w:p w14:paraId="48382F67" w14:textId="77777777" w:rsidR="00ED5964" w:rsidRPr="00242974" w:rsidRDefault="00ED5964" w:rsidP="001F38AA">
      <w:pPr>
        <w:spacing w:line="360" w:lineRule="auto"/>
        <w:jc w:val="both"/>
        <w:rPr>
          <w:rFonts w:asciiTheme="minorBidi" w:hAnsiTheme="minorBidi"/>
          <w:b/>
          <w:bCs/>
          <w:sz w:val="28"/>
          <w:szCs w:val="28"/>
        </w:rPr>
      </w:pPr>
    </w:p>
    <w:p w14:paraId="6A057EFD" w14:textId="77777777" w:rsidR="00ED5964" w:rsidRPr="00242974" w:rsidRDefault="00ED5964" w:rsidP="001F38AA">
      <w:pPr>
        <w:spacing w:line="360" w:lineRule="auto"/>
        <w:jc w:val="both"/>
        <w:rPr>
          <w:rFonts w:asciiTheme="minorBidi" w:hAnsiTheme="minorBidi"/>
          <w:b/>
          <w:bCs/>
          <w:sz w:val="28"/>
          <w:szCs w:val="28"/>
        </w:rPr>
      </w:pPr>
    </w:p>
    <w:p w14:paraId="55078F3B" w14:textId="77777777" w:rsidR="00ED5964" w:rsidRPr="00242974" w:rsidRDefault="00ED5964" w:rsidP="001F38AA">
      <w:pPr>
        <w:spacing w:line="360" w:lineRule="auto"/>
        <w:jc w:val="both"/>
        <w:rPr>
          <w:rFonts w:asciiTheme="minorBidi" w:hAnsiTheme="minorBidi"/>
          <w:b/>
          <w:bCs/>
          <w:sz w:val="28"/>
          <w:szCs w:val="28"/>
        </w:rPr>
      </w:pPr>
    </w:p>
    <w:p w14:paraId="4CEF6B46" w14:textId="77777777" w:rsidR="005709B1" w:rsidRPr="00242974" w:rsidRDefault="005709B1" w:rsidP="001F38AA">
      <w:pPr>
        <w:spacing w:line="360" w:lineRule="auto"/>
      </w:pPr>
    </w:p>
    <w:p w14:paraId="0A6F067A" w14:textId="77777777" w:rsidR="001F38AA" w:rsidRDefault="001F38AA" w:rsidP="001F38AA">
      <w:pPr>
        <w:pStyle w:val="Heading2"/>
        <w:spacing w:line="360" w:lineRule="auto"/>
      </w:pPr>
      <w:bookmarkStart w:id="0" w:name="_Toc213860848"/>
      <w:r>
        <w:t>1.1 Introduction</w:t>
      </w:r>
      <w:bookmarkEnd w:id="0"/>
    </w:p>
    <w:p w14:paraId="60582C0B" w14:textId="1445C5E8" w:rsidR="001F38AA" w:rsidRPr="001F38AA" w:rsidRDefault="001F38AA" w:rsidP="001F38AA">
      <w:pPr>
        <w:spacing w:line="360" w:lineRule="auto"/>
        <w:rPr>
          <w:sz w:val="22"/>
        </w:rPr>
      </w:pPr>
      <w:r w:rsidRPr="001F38AA">
        <w:rPr>
          <w:rFonts w:ascii="Arial" w:hAnsi="Arial"/>
          <w:sz w:val="22"/>
        </w:rPr>
        <w:t>Nursing plays an essential role within healthcare systems by ensuring that individuals receive high-quality, safe, and person-centred care</w:t>
      </w:r>
      <w:r w:rsidR="00BC220A">
        <w:rPr>
          <w:rFonts w:ascii="Arial" w:hAnsi="Arial"/>
          <w:sz w:val="22"/>
        </w:rPr>
        <w:t xml:space="preserve"> (World Health Organization,</w:t>
      </w:r>
      <w:r w:rsidR="008E744A">
        <w:rPr>
          <w:rFonts w:ascii="Arial" w:hAnsi="Arial"/>
          <w:sz w:val="22"/>
        </w:rPr>
        <w:t xml:space="preserve"> </w:t>
      </w:r>
      <w:r w:rsidR="00BC220A">
        <w:rPr>
          <w:rFonts w:ascii="Arial" w:hAnsi="Arial"/>
          <w:sz w:val="22"/>
        </w:rPr>
        <w:t>2020).</w:t>
      </w:r>
      <w:r w:rsidRPr="001F38AA">
        <w:rPr>
          <w:rFonts w:ascii="Arial" w:hAnsi="Arial"/>
          <w:sz w:val="22"/>
        </w:rPr>
        <w:t xml:space="preserve"> The nursing profession focuses on promoting health, preventing illness, and supporting recovery through compassionate practice and evidence-based interventions. Nurses serve as the backbone of health services, working collaboratively with multidisciplinary teams to address </w:t>
      </w:r>
      <w:r w:rsidRPr="001F38AA">
        <w:rPr>
          <w:rFonts w:ascii="Arial" w:hAnsi="Arial"/>
          <w:sz w:val="22"/>
        </w:rPr>
        <w:lastRenderedPageBreak/>
        <w:t>patient needs across physical, emotional, and social domains. This report examines the nursing role, outlining its significance and the skills required to perform it effectively. It describes the duties and background of the nursing profession, evaluates three essential skills—communication, critical thinking, and empathy—and discusses strategies for developing these abilities. The report concludes by highlighting how continual skill development contributes to improved patient care and professional standards in healthcare practice.</w:t>
      </w:r>
    </w:p>
    <w:p w14:paraId="319E84E7" w14:textId="77777777" w:rsidR="001F38AA" w:rsidRDefault="001F38AA" w:rsidP="001F38AA">
      <w:pPr>
        <w:pStyle w:val="Heading2"/>
        <w:spacing w:line="360" w:lineRule="auto"/>
      </w:pPr>
      <w:bookmarkStart w:id="1" w:name="_Toc213860849"/>
      <w:r>
        <w:t>1.2 Description of, and Background to, the Nursing Role in Healthcare</w:t>
      </w:r>
      <w:bookmarkEnd w:id="1"/>
    </w:p>
    <w:p w14:paraId="295D62C4" w14:textId="5A6B1363" w:rsidR="001F38AA" w:rsidRPr="001F38AA" w:rsidRDefault="001F38AA" w:rsidP="001F38AA">
      <w:pPr>
        <w:spacing w:line="360" w:lineRule="auto"/>
        <w:rPr>
          <w:sz w:val="22"/>
        </w:rPr>
      </w:pPr>
      <w:r w:rsidRPr="001F38AA">
        <w:rPr>
          <w:rFonts w:ascii="Arial" w:hAnsi="Arial"/>
          <w:sz w:val="22"/>
        </w:rPr>
        <w:t xml:space="preserve">Nurses are central to the delivery of healthcare services and contribute significantly to improving patient outcomes. According to the World Health Organization (2020), nurses </w:t>
      </w:r>
      <w:r w:rsidR="00C94D13">
        <w:rPr>
          <w:rFonts w:ascii="Arial" w:hAnsi="Arial"/>
          <w:sz w:val="22"/>
        </w:rPr>
        <w:t>account for majority of the global health workforce and are instrumental in ensuring the attainment of universal health coverage.</w:t>
      </w:r>
      <w:r w:rsidRPr="001F38AA">
        <w:rPr>
          <w:rFonts w:ascii="Arial" w:hAnsi="Arial"/>
          <w:sz w:val="22"/>
        </w:rPr>
        <w:t xml:space="preserve"> Their duties include monitoring patients, administering medications, recording observations, coordinating with doctors, and providing both emotional and physical support to individuals and their families. Nurses also act as advocates, ensuring that patients’ rights, dignity, and preferences are respected within healthcare decisions (NMC, 2018). Among these responsibilities, the most critical duty is maintaining patient safety by recognising early signs of deterioration, escalating concerns, and responding promptly to prevent complications or harm. Through these responsibilities, nurses ensure that patients receive safe, consistent, and effective care across diverse clinical environments.</w:t>
      </w:r>
    </w:p>
    <w:p w14:paraId="7EA2D2AA" w14:textId="4B8EC901" w:rsidR="001F38AA" w:rsidRPr="001F38AA" w:rsidRDefault="001F38AA" w:rsidP="001F38AA">
      <w:pPr>
        <w:spacing w:line="360" w:lineRule="auto"/>
        <w:rPr>
          <w:sz w:val="22"/>
        </w:rPr>
      </w:pPr>
      <w:r w:rsidRPr="001F38AA">
        <w:rPr>
          <w:rFonts w:ascii="Arial" w:hAnsi="Arial"/>
          <w:sz w:val="22"/>
        </w:rPr>
        <w:t xml:space="preserve">To perform these duties effectively, nurses require a wide range of professional and interpersonal skills. These include technical competence, effective communication, empathy, teamwork, leadership, and ethical awareness (Black et al., 2019). Collaboration within multidisciplinary teams allows nurses to contribute to care planning, share knowledge, and provide holistic treatment tailored to each patient’s needs. Such skills </w:t>
      </w:r>
      <w:r w:rsidR="00C94D13">
        <w:rPr>
          <w:rFonts w:ascii="Arial" w:hAnsi="Arial"/>
          <w:sz w:val="22"/>
        </w:rPr>
        <w:t>equip</w:t>
      </w:r>
      <w:r w:rsidR="008C2D0D">
        <w:rPr>
          <w:rFonts w:ascii="Arial" w:hAnsi="Arial"/>
          <w:sz w:val="22"/>
        </w:rPr>
        <w:t xml:space="preserve"> nurses to deliver </w:t>
      </w:r>
      <w:r w:rsidR="00C94D13">
        <w:rPr>
          <w:rFonts w:ascii="Arial" w:hAnsi="Arial"/>
          <w:sz w:val="22"/>
        </w:rPr>
        <w:t xml:space="preserve">compassionate, evidence </w:t>
      </w:r>
      <w:r w:rsidR="008C2D0D">
        <w:rPr>
          <w:rFonts w:ascii="Arial" w:hAnsi="Arial"/>
          <w:sz w:val="22"/>
        </w:rPr>
        <w:t>informed care that holistically addresses both physical and emotional dimensions of wellbeing.</w:t>
      </w:r>
      <w:r w:rsidRPr="001F38AA">
        <w:rPr>
          <w:rFonts w:ascii="Arial" w:hAnsi="Arial"/>
          <w:sz w:val="22"/>
        </w:rPr>
        <w:t xml:space="preserve"> By integrating clinical expertise with interpersonal understanding, nurses uphold the quality, safety, and integrity of healthcare delivery and reinforce trust between patients and the healthcare system.</w:t>
      </w:r>
    </w:p>
    <w:p w14:paraId="4778BF50" w14:textId="77777777" w:rsidR="001F38AA" w:rsidRDefault="001F38AA" w:rsidP="001F38AA">
      <w:pPr>
        <w:pStyle w:val="Heading2"/>
        <w:spacing w:line="360" w:lineRule="auto"/>
      </w:pPr>
      <w:bookmarkStart w:id="2" w:name="_Toc213860850"/>
      <w:r>
        <w:t>1.3 Evaluation of the Skills Needed for the Nursing Role</w:t>
      </w:r>
      <w:bookmarkEnd w:id="2"/>
    </w:p>
    <w:p w14:paraId="7E504E21" w14:textId="77777777" w:rsidR="001F38AA" w:rsidRDefault="001F38AA" w:rsidP="001F38AA">
      <w:pPr>
        <w:pStyle w:val="Heading3"/>
        <w:spacing w:line="360" w:lineRule="auto"/>
        <w:rPr>
          <w:sz w:val="28"/>
          <w:szCs w:val="28"/>
        </w:rPr>
      </w:pPr>
      <w:bookmarkStart w:id="3" w:name="_Toc213860851"/>
      <w:r w:rsidRPr="001F38AA">
        <w:rPr>
          <w:sz w:val="28"/>
          <w:szCs w:val="28"/>
        </w:rPr>
        <w:t>1.3.1 Communication</w:t>
      </w:r>
      <w:bookmarkEnd w:id="3"/>
    </w:p>
    <w:p w14:paraId="07891704" w14:textId="77777777" w:rsidR="00064111" w:rsidRDefault="00BC220A" w:rsidP="00064111">
      <w:pPr>
        <w:spacing w:line="360" w:lineRule="auto"/>
        <w:rPr>
          <w:rFonts w:ascii="Arial" w:hAnsi="Arial"/>
          <w:sz w:val="22"/>
        </w:rPr>
      </w:pPr>
      <w:r w:rsidRPr="00BC220A">
        <w:rPr>
          <w:rFonts w:ascii="Arial" w:hAnsi="Arial" w:cs="Arial"/>
          <w:sz w:val="22"/>
        </w:rPr>
        <w:t>Effective communication is a cornerstone of nursing practice, as it fosters mutual understanding between healthcare professionals, patients, and their families. It promotes interprofessional collaboration, minimi</w:t>
      </w:r>
      <w:r w:rsidR="00064111">
        <w:rPr>
          <w:rFonts w:ascii="Arial" w:hAnsi="Arial" w:cs="Arial"/>
          <w:sz w:val="22"/>
        </w:rPr>
        <w:t>s</w:t>
      </w:r>
      <w:r w:rsidRPr="00BC220A">
        <w:rPr>
          <w:rFonts w:ascii="Arial" w:hAnsi="Arial" w:cs="Arial"/>
          <w:sz w:val="22"/>
        </w:rPr>
        <w:t xml:space="preserve">es clinical errors, and enhances patient satisfaction </w:t>
      </w:r>
      <w:r w:rsidRPr="00BC220A">
        <w:rPr>
          <w:rFonts w:ascii="Arial" w:hAnsi="Arial" w:cs="Arial"/>
          <w:sz w:val="22"/>
        </w:rPr>
        <w:lastRenderedPageBreak/>
        <w:t>(Arnold &amp; Boggs, 2019</w:t>
      </w:r>
      <w:r w:rsidR="00064111" w:rsidRPr="00BC220A">
        <w:rPr>
          <w:rFonts w:ascii="Arial" w:hAnsi="Arial" w:cs="Arial"/>
          <w:sz w:val="22"/>
        </w:rPr>
        <w:t>).</w:t>
      </w:r>
      <w:r w:rsidR="00064111" w:rsidRPr="001F38AA">
        <w:rPr>
          <w:rFonts w:ascii="Arial" w:hAnsi="Arial"/>
          <w:sz w:val="22"/>
        </w:rPr>
        <w:t xml:space="preserve"> Clear</w:t>
      </w:r>
      <w:r w:rsidR="001F38AA" w:rsidRPr="001F38AA">
        <w:rPr>
          <w:rFonts w:ascii="Arial" w:hAnsi="Arial"/>
          <w:sz w:val="22"/>
        </w:rPr>
        <w:t xml:space="preserve"> and empathetic communication is especially important when providing complex instructions such as medication schedules or post-surgical care. For example, when nurses explain discharge instructions using plain language and written summaries, patients are more likely to follow treatment accurately. Act</w:t>
      </w:r>
      <w:r w:rsidR="008C2D0D">
        <w:rPr>
          <w:rFonts w:ascii="Arial" w:hAnsi="Arial"/>
          <w:sz w:val="22"/>
        </w:rPr>
        <w:t>ive listening, clear communication, and nonverbal cues such as eye contact and body language helps to strengthen trust and foster a therapeutic relationship.</w:t>
      </w:r>
      <w:r w:rsidR="008C2D0D" w:rsidRPr="001F38AA">
        <w:rPr>
          <w:rFonts w:ascii="Arial" w:hAnsi="Arial"/>
          <w:sz w:val="22"/>
        </w:rPr>
        <w:t xml:space="preserve"> Poor</w:t>
      </w:r>
      <w:r w:rsidR="001F38AA" w:rsidRPr="001F38AA">
        <w:rPr>
          <w:rFonts w:ascii="Arial" w:hAnsi="Arial"/>
          <w:sz w:val="22"/>
        </w:rPr>
        <w:t xml:space="preserve"> communication can lead to medication errors, misinterpretation of care plans, and decreased confidence in healthcare services (O’Hagan et al., 2014). Therefore, developing strong communication skills is crucial to promoting patient-centred care and ensuring that patients feel respected, informed, and supported.</w:t>
      </w:r>
      <w:bookmarkStart w:id="4" w:name="_Toc213860852"/>
    </w:p>
    <w:p w14:paraId="2171718E" w14:textId="5A90FEBA" w:rsidR="00064111" w:rsidRPr="00064111" w:rsidRDefault="001F38AA" w:rsidP="00064111">
      <w:pPr>
        <w:spacing w:line="360" w:lineRule="auto"/>
        <w:rPr>
          <w:rFonts w:ascii="Calibri Light" w:hAnsi="Calibri Light" w:cs="Calibri Light"/>
          <w:color w:val="A5A5A5" w:themeColor="accent3"/>
          <w:sz w:val="22"/>
        </w:rPr>
      </w:pPr>
      <w:r w:rsidRPr="00064111">
        <w:rPr>
          <w:rFonts w:ascii="Calibri Light" w:hAnsi="Calibri Light" w:cs="Calibri Light"/>
          <w:color w:val="A5A5A5" w:themeColor="accent3"/>
          <w:sz w:val="28"/>
          <w:szCs w:val="28"/>
        </w:rPr>
        <w:t>1.3.2 Critical Thinking</w:t>
      </w:r>
      <w:bookmarkEnd w:id="4"/>
    </w:p>
    <w:p w14:paraId="02DC6BDD" w14:textId="22152D24" w:rsidR="001F38AA" w:rsidRPr="00064111" w:rsidRDefault="005328AF" w:rsidP="005328AF">
      <w:pPr>
        <w:pStyle w:val="Heading3"/>
        <w:spacing w:line="360" w:lineRule="auto"/>
        <w:rPr>
          <w:sz w:val="28"/>
          <w:szCs w:val="28"/>
        </w:rPr>
      </w:pPr>
      <w:r w:rsidRPr="005328AF">
        <w:rPr>
          <w:rFonts w:ascii="Arial" w:hAnsi="Arial" w:cs="Arial"/>
          <w:color w:val="auto"/>
          <w:sz w:val="22"/>
          <w:szCs w:val="22"/>
        </w:rPr>
        <w:t xml:space="preserve"> Critical thinking equips nurses with the ability to interpret clinical data accurately, anticipate potential complications, and make sound, evidence-based decisions. Through this skill, nurses can effectively prioritise care, handle complex clinical situations, and respond efficiently to sudden changes in patients’ conditions (Benner </w:t>
      </w:r>
      <w:r w:rsidRPr="005328AF">
        <w:rPr>
          <w:rStyle w:val="Emphasis"/>
          <w:rFonts w:ascii="Arial" w:hAnsi="Arial" w:cs="Arial"/>
          <w:color w:val="auto"/>
          <w:sz w:val="22"/>
          <w:szCs w:val="22"/>
        </w:rPr>
        <w:t>et al</w:t>
      </w:r>
      <w:r w:rsidRPr="005328AF">
        <w:rPr>
          <w:rFonts w:ascii="Arial" w:hAnsi="Arial" w:cs="Arial"/>
          <w:color w:val="auto"/>
          <w:sz w:val="22"/>
          <w:szCs w:val="22"/>
        </w:rPr>
        <w:t>., 2021</w:t>
      </w:r>
      <w:r w:rsidRPr="005328AF">
        <w:rPr>
          <w:rFonts w:ascii="Arial" w:hAnsi="Arial" w:cs="Arial"/>
          <w:color w:val="000000" w:themeColor="text1"/>
          <w:sz w:val="22"/>
          <w:szCs w:val="22"/>
        </w:rPr>
        <w:t>).</w:t>
      </w:r>
      <w:r w:rsidRPr="005328AF">
        <w:rPr>
          <w:rFonts w:ascii="Arial" w:hAnsi="Arial"/>
          <w:color w:val="000000" w:themeColor="text1"/>
          <w:sz w:val="22"/>
        </w:rPr>
        <w:t xml:space="preserve"> For</w:t>
      </w:r>
      <w:r w:rsidR="001F38AA" w:rsidRPr="005328AF">
        <w:rPr>
          <w:rFonts w:ascii="Arial" w:hAnsi="Arial"/>
          <w:color w:val="000000" w:themeColor="text1"/>
          <w:sz w:val="22"/>
        </w:rPr>
        <w:t xml:space="preserve"> example, when a patient exhibits early signs of sepsis, a nurse must interpret subtle changes in vital signs, recognise the seriousness, and escalate concerns immediately. Critical thinking also promotes reflective judgement, allowing nurses to evaluate the outcomes of interventions and adjust their approach where necessary. According to Papathanasiou et al. (2014), the absence of critical thinking may result in delayed interventions, compromising patient safety and clinical outcomes. In practice, critical thinking underpins every clinical decision and ensures that patient care remains both safe and </w:t>
      </w:r>
      <w:r w:rsidR="00A80DF2" w:rsidRPr="005328AF">
        <w:rPr>
          <w:rFonts w:ascii="Arial" w:hAnsi="Arial"/>
          <w:color w:val="000000" w:themeColor="text1"/>
          <w:sz w:val="22"/>
        </w:rPr>
        <w:t>evidence driven</w:t>
      </w:r>
      <w:r w:rsidR="001F38AA" w:rsidRPr="005328AF">
        <w:rPr>
          <w:rFonts w:ascii="Arial" w:hAnsi="Arial"/>
          <w:color w:val="000000" w:themeColor="text1"/>
          <w:sz w:val="22"/>
        </w:rPr>
        <w:t>.</w:t>
      </w:r>
    </w:p>
    <w:p w14:paraId="5D22AAEA" w14:textId="77777777" w:rsidR="001F38AA" w:rsidRPr="001F38AA" w:rsidRDefault="001F38AA" w:rsidP="001F38AA">
      <w:pPr>
        <w:pStyle w:val="Heading3"/>
        <w:spacing w:line="360" w:lineRule="auto"/>
        <w:rPr>
          <w:sz w:val="28"/>
          <w:szCs w:val="28"/>
        </w:rPr>
      </w:pPr>
      <w:bookmarkStart w:id="5" w:name="_Toc213860853"/>
      <w:r w:rsidRPr="001F38AA">
        <w:rPr>
          <w:sz w:val="28"/>
          <w:szCs w:val="28"/>
        </w:rPr>
        <w:t>1.3.3 Empathy</w:t>
      </w:r>
      <w:bookmarkEnd w:id="5"/>
    </w:p>
    <w:p w14:paraId="3E588041" w14:textId="3712E6AE" w:rsidR="00A80DF2" w:rsidRPr="00A80DF2" w:rsidRDefault="00A80DF2" w:rsidP="00A80DF2">
      <w:pPr>
        <w:pStyle w:val="NormalWeb"/>
        <w:spacing w:line="360" w:lineRule="auto"/>
        <w:rPr>
          <w:rFonts w:ascii="Arial" w:hAnsi="Arial" w:cs="Arial"/>
          <w:sz w:val="22"/>
          <w:szCs w:val="22"/>
        </w:rPr>
      </w:pPr>
      <w:r w:rsidRPr="00A80DF2">
        <w:rPr>
          <w:rFonts w:ascii="Arial" w:hAnsi="Arial" w:cs="Arial"/>
          <w:sz w:val="22"/>
          <w:szCs w:val="22"/>
        </w:rPr>
        <w:t>Empathy involves recognising and resonating with another person’s feelings and experiences. It enables nurses to engage with patients more meaningfully, fostering trust and supporting compassionate, person-centred care (Sinclair et al., 2017). For instance, when a patient voices fear before a surgical procedure, an empathetic nurse can offer reassurance and emotional comfort, ease anxiety and promot</w:t>
      </w:r>
      <w:r w:rsidR="00064111">
        <w:rPr>
          <w:rFonts w:ascii="Arial" w:hAnsi="Arial" w:cs="Arial"/>
          <w:sz w:val="22"/>
          <w:szCs w:val="22"/>
        </w:rPr>
        <w:t>e</w:t>
      </w:r>
      <w:r w:rsidRPr="00A80DF2">
        <w:rPr>
          <w:rFonts w:ascii="Arial" w:hAnsi="Arial" w:cs="Arial"/>
          <w:sz w:val="22"/>
          <w:szCs w:val="22"/>
        </w:rPr>
        <w:t xml:space="preserve"> calmness. Empathy also strengthens patient cooperation and satisfaction, as individuals who feel acknowledged are more inclined to participate actively in their treatment plans. According to Morse et al. (2020), empathy benefits nurses as well by enhancing job satisfaction through the development of genuine therapeutic relationships. In its absence, care becomes purely task-focused, contributing to emotional strain and lowering patient confidence in healthcare </w:t>
      </w:r>
      <w:r w:rsidRPr="00A80DF2">
        <w:rPr>
          <w:rFonts w:ascii="Arial" w:hAnsi="Arial" w:cs="Arial"/>
          <w:sz w:val="22"/>
          <w:szCs w:val="22"/>
        </w:rPr>
        <w:lastRenderedPageBreak/>
        <w:t>professionals. Therefore, empathy is vital for preserving the human connection that underpins effective nursing practice.</w:t>
      </w:r>
    </w:p>
    <w:p w14:paraId="1603C49B" w14:textId="5845413A" w:rsidR="001F38AA" w:rsidRPr="001F38AA" w:rsidRDefault="001F38AA" w:rsidP="001F38AA">
      <w:pPr>
        <w:spacing w:line="360" w:lineRule="auto"/>
        <w:rPr>
          <w:sz w:val="22"/>
        </w:rPr>
      </w:pPr>
    </w:p>
    <w:p w14:paraId="299A2083" w14:textId="77777777" w:rsidR="001F38AA" w:rsidRDefault="001F38AA" w:rsidP="001F38AA">
      <w:pPr>
        <w:pStyle w:val="Heading2"/>
        <w:spacing w:line="360" w:lineRule="auto"/>
      </w:pPr>
      <w:bookmarkStart w:id="6" w:name="_Toc213860854"/>
      <w:r>
        <w:t>1.4 Strategies to Improve Skills for Nursing Practice</w:t>
      </w:r>
      <w:bookmarkEnd w:id="6"/>
    </w:p>
    <w:p w14:paraId="18DE0FE5" w14:textId="77777777" w:rsidR="001F38AA" w:rsidRPr="001F38AA" w:rsidRDefault="001F38AA" w:rsidP="001F38AA">
      <w:pPr>
        <w:pStyle w:val="Heading3"/>
        <w:spacing w:line="360" w:lineRule="auto"/>
        <w:rPr>
          <w:sz w:val="28"/>
          <w:szCs w:val="28"/>
        </w:rPr>
      </w:pPr>
      <w:bookmarkStart w:id="7" w:name="_Toc213860855"/>
      <w:r w:rsidRPr="001F38AA">
        <w:rPr>
          <w:sz w:val="28"/>
          <w:szCs w:val="28"/>
        </w:rPr>
        <w:t>1.4.1 Reflective Practice</w:t>
      </w:r>
      <w:bookmarkEnd w:id="7"/>
    </w:p>
    <w:p w14:paraId="1A14708D" w14:textId="77777777" w:rsidR="001F38AA" w:rsidRPr="001F38AA" w:rsidRDefault="001F38AA" w:rsidP="001F38AA">
      <w:pPr>
        <w:spacing w:line="360" w:lineRule="auto"/>
        <w:rPr>
          <w:sz w:val="22"/>
        </w:rPr>
      </w:pPr>
      <w:r w:rsidRPr="001F38AA">
        <w:rPr>
          <w:rFonts w:ascii="Arial" w:hAnsi="Arial"/>
          <w:sz w:val="22"/>
        </w:rPr>
        <w:t>Reflective practice encourages nurses to examine their experiences, recognise areas for growth, and identify ways to improve performance. Models such as Gibbs’ Reflective Cycle help practitioners to critically assess communication, decision-making, and emotional responses (Bulman and Schutz, 2013). For example, after handling a difficult conversation with a family member, reflection can help a nurse identify which communication techniques worked and what could be improved. According to Asselin and Fain (2013), reflective learning enhances self-awareness, critical reasoning, and emotional intelligence. Incorporating reflection into everyday practice allows nurses to continually refine their skills, improve patient relationships, and maintain professionalism.</w:t>
      </w:r>
    </w:p>
    <w:p w14:paraId="1D2E9915" w14:textId="77777777" w:rsidR="001F38AA" w:rsidRPr="001F38AA" w:rsidRDefault="001F38AA" w:rsidP="001F38AA">
      <w:pPr>
        <w:pStyle w:val="Heading3"/>
        <w:spacing w:line="360" w:lineRule="auto"/>
        <w:rPr>
          <w:sz w:val="28"/>
          <w:szCs w:val="28"/>
        </w:rPr>
      </w:pPr>
      <w:bookmarkStart w:id="8" w:name="_Toc213860856"/>
      <w:r w:rsidRPr="001F38AA">
        <w:rPr>
          <w:sz w:val="28"/>
          <w:szCs w:val="28"/>
        </w:rPr>
        <w:t>1.4.2 Continuing Professional Development (CPD)</w:t>
      </w:r>
      <w:bookmarkEnd w:id="8"/>
    </w:p>
    <w:p w14:paraId="1FB37586" w14:textId="4A4F7A6C" w:rsidR="001F38AA" w:rsidRPr="001F38AA" w:rsidRDefault="001F38AA" w:rsidP="001F38AA">
      <w:pPr>
        <w:spacing w:line="360" w:lineRule="auto"/>
        <w:rPr>
          <w:sz w:val="22"/>
        </w:rPr>
      </w:pPr>
      <w:r w:rsidRPr="001F38AA">
        <w:rPr>
          <w:rFonts w:ascii="Arial" w:hAnsi="Arial"/>
          <w:sz w:val="22"/>
        </w:rPr>
        <w:t xml:space="preserve">Continuing Professional Development </w:t>
      </w:r>
      <w:r w:rsidR="00433F95">
        <w:rPr>
          <w:rFonts w:ascii="Arial" w:hAnsi="Arial"/>
          <w:sz w:val="22"/>
        </w:rPr>
        <w:t>equips</w:t>
      </w:r>
      <w:r w:rsidRPr="001F38AA">
        <w:rPr>
          <w:rFonts w:ascii="Arial" w:hAnsi="Arial"/>
          <w:sz w:val="22"/>
        </w:rPr>
        <w:t xml:space="preserve"> nurses to stay current with emerging healthcare knowledge and technologies. The Royal College of Nursing (RCN, 2022) emphasises that CPD supports revalidation and lifelong learning, ensuring nurses maintain competence throughout their careers. For instance, attending online courses on pain management or infection control can enhance both theoretical understanding and clinical practice. Participation in professional workshops and conferences allows nurses to share knowledge and apply evidence-based techniques in their workplaces. By engaging in CPD, nurses not only improve individual skills but also contribute to higher standards of care within their organisations.</w:t>
      </w:r>
    </w:p>
    <w:p w14:paraId="2BBEF21E" w14:textId="77777777" w:rsidR="008E744A" w:rsidRDefault="001F38AA" w:rsidP="001F38AA">
      <w:pPr>
        <w:pStyle w:val="Heading3"/>
        <w:spacing w:line="360" w:lineRule="auto"/>
        <w:rPr>
          <w:sz w:val="28"/>
          <w:szCs w:val="28"/>
        </w:rPr>
      </w:pPr>
      <w:bookmarkStart w:id="9" w:name="_Toc213860857"/>
      <w:r w:rsidRPr="001F38AA">
        <w:rPr>
          <w:sz w:val="28"/>
          <w:szCs w:val="28"/>
        </w:rPr>
        <w:lastRenderedPageBreak/>
        <w:t>1.4.3 Mentorship and Peer Support</w:t>
      </w:r>
      <w:bookmarkEnd w:id="9"/>
    </w:p>
    <w:p w14:paraId="42B066AD" w14:textId="33AD23DE" w:rsidR="001F38AA" w:rsidRPr="008E744A" w:rsidRDefault="008E744A" w:rsidP="008E744A">
      <w:pPr>
        <w:pStyle w:val="Heading3"/>
        <w:spacing w:line="360" w:lineRule="auto"/>
        <w:rPr>
          <w:rFonts w:ascii="Arial" w:hAnsi="Arial" w:cs="Arial"/>
          <w:color w:val="auto"/>
          <w:sz w:val="22"/>
          <w:szCs w:val="22"/>
        </w:rPr>
      </w:pPr>
      <w:r w:rsidRPr="008E744A">
        <w:rPr>
          <w:rFonts w:ascii="Arial" w:hAnsi="Arial" w:cs="Arial"/>
          <w:color w:val="auto"/>
          <w:sz w:val="22"/>
          <w:szCs w:val="22"/>
        </w:rPr>
        <w:t xml:space="preserve">Mentorship provides nurses with valuable opportunities to learn from experienced practitioners who offer guidance, feedback, and encouragement to build confidence and competence </w:t>
      </w:r>
      <w:r w:rsidRPr="008E744A">
        <w:rPr>
          <w:rStyle w:val="Strong"/>
          <w:rFonts w:ascii="Arial" w:hAnsi="Arial" w:cs="Arial"/>
          <w:b w:val="0"/>
          <w:bCs w:val="0"/>
          <w:color w:val="auto"/>
          <w:sz w:val="22"/>
          <w:szCs w:val="22"/>
        </w:rPr>
        <w:t>(Jackson et al., 2015)</w:t>
      </w:r>
      <w:r w:rsidRPr="008E744A">
        <w:rPr>
          <w:rFonts w:ascii="Arial" w:hAnsi="Arial" w:cs="Arial"/>
          <w:b/>
          <w:bCs/>
          <w:color w:val="auto"/>
          <w:sz w:val="22"/>
          <w:szCs w:val="22"/>
        </w:rPr>
        <w:t>.</w:t>
      </w:r>
      <w:r w:rsidRPr="008E744A">
        <w:rPr>
          <w:rFonts w:ascii="Arial" w:hAnsi="Arial" w:cs="Arial"/>
          <w:color w:val="auto"/>
          <w:sz w:val="22"/>
          <w:szCs w:val="22"/>
        </w:rPr>
        <w:t xml:space="preserve"> It also plays a vital role in developing empathy, as mentors’ model compassionate behaviour and demonstrate how to respond sensitively to patients’ emotional needs. For example, a mentor may show how empathetic communication can comfort an anxious patient before a procedure, helping them feel heard and reassured. Peer support further strengthens empathy by encouraging nurses to share experiences, reflect on emotional challenges, and understand colleagues’ perspectives </w:t>
      </w:r>
      <w:r>
        <w:rPr>
          <w:rStyle w:val="Strong"/>
          <w:rFonts w:ascii="Arial" w:hAnsi="Arial" w:cs="Arial"/>
          <w:b w:val="0"/>
          <w:bCs w:val="0"/>
          <w:color w:val="auto"/>
          <w:sz w:val="22"/>
          <w:szCs w:val="22"/>
        </w:rPr>
        <w:t>(</w:t>
      </w:r>
      <w:r w:rsidRPr="008E744A">
        <w:rPr>
          <w:rStyle w:val="Strong"/>
          <w:rFonts w:ascii="Arial" w:hAnsi="Arial" w:cs="Arial"/>
          <w:b w:val="0"/>
          <w:bCs w:val="0"/>
          <w:color w:val="auto"/>
          <w:sz w:val="22"/>
          <w:szCs w:val="22"/>
        </w:rPr>
        <w:t>Chen et al., 2021)</w:t>
      </w:r>
      <w:r w:rsidRPr="008E744A">
        <w:rPr>
          <w:rFonts w:ascii="Arial" w:hAnsi="Arial" w:cs="Arial"/>
          <w:b/>
          <w:bCs/>
          <w:color w:val="auto"/>
          <w:sz w:val="22"/>
          <w:szCs w:val="22"/>
        </w:rPr>
        <w:t>.</w:t>
      </w:r>
      <w:r w:rsidRPr="008E744A">
        <w:rPr>
          <w:rFonts w:ascii="Arial" w:hAnsi="Arial" w:cs="Arial"/>
          <w:color w:val="auto"/>
          <w:sz w:val="22"/>
          <w:szCs w:val="22"/>
        </w:rPr>
        <w:t xml:space="preserve"> Through mentorship and peer collaboration, nurses enhance both their clinical competence and empathetic practice, leading to more compassionate, person-centred care.</w:t>
      </w:r>
    </w:p>
    <w:p w14:paraId="3EEDDD49" w14:textId="77777777" w:rsidR="008E744A" w:rsidRPr="008E744A" w:rsidRDefault="008E744A" w:rsidP="008E744A"/>
    <w:p w14:paraId="6D777E33" w14:textId="77777777" w:rsidR="001F38AA" w:rsidRDefault="001F38AA" w:rsidP="001F38AA">
      <w:pPr>
        <w:pStyle w:val="Heading2"/>
        <w:spacing w:line="360" w:lineRule="auto"/>
      </w:pPr>
      <w:bookmarkStart w:id="10" w:name="_Toc213860858"/>
      <w:r>
        <w:t>1.5 Conclusion</w:t>
      </w:r>
      <w:bookmarkEnd w:id="10"/>
    </w:p>
    <w:p w14:paraId="1C315946" w14:textId="77777777" w:rsidR="001F38AA" w:rsidRPr="001F38AA" w:rsidRDefault="001F38AA" w:rsidP="001F38AA">
      <w:pPr>
        <w:spacing w:line="360" w:lineRule="auto"/>
        <w:rPr>
          <w:sz w:val="22"/>
        </w:rPr>
      </w:pPr>
      <w:r w:rsidRPr="001F38AA">
        <w:rPr>
          <w:rFonts w:ascii="Arial" w:hAnsi="Arial"/>
          <w:sz w:val="22"/>
        </w:rPr>
        <w:t>The nursing role remains vital in ensuring safe, ethical, and compassionate healthcare delivery. Core skills such as communication, critical thinking, and empathy are essential for maintaining patient safety and providing holistic, person-centred care. Strategies including reflective practice, continuing professional development, and mentorship offer practical pathways to enhance these abilities and sustain lifelong learning. By continually improving skills and engaging in reflective, evidence-based practice, nurses uphold professional values, strengthen teamwork, and contribute to better health outcomes. Ultimately, investing in the ongoing development of nursing skills ensures a resilient, competent workforce capable of meeting the evolving challenges of modern healthcare.</w:t>
      </w:r>
    </w:p>
    <w:p w14:paraId="2C3A97E4" w14:textId="77777777" w:rsidR="001F38AA" w:rsidRDefault="001F38AA" w:rsidP="001F38AA">
      <w:pPr>
        <w:pStyle w:val="Heading2"/>
        <w:spacing w:line="360" w:lineRule="auto"/>
      </w:pPr>
      <w:bookmarkStart w:id="11" w:name="_Toc213860859"/>
      <w:r>
        <w:t>1.6 Reference List</w:t>
      </w:r>
      <w:bookmarkEnd w:id="11"/>
    </w:p>
    <w:p w14:paraId="6D835230"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Arnold, E.C. and Boggs, K.U. (2019) </w:t>
      </w:r>
      <w:r w:rsidRPr="00256B2C">
        <w:rPr>
          <w:rFonts w:ascii="Arial" w:eastAsia="Times New Roman" w:hAnsi="Arial" w:cs="Arial"/>
          <w:i/>
          <w:iCs/>
          <w:kern w:val="0"/>
          <w:sz w:val="22"/>
          <w:lang w:eastAsia="en-GB"/>
          <w14:ligatures w14:val="none"/>
        </w:rPr>
        <w:t>Interpersonal Relationships: Professional Communication Skills for Nurses.</w:t>
      </w:r>
      <w:r w:rsidRPr="00256B2C">
        <w:rPr>
          <w:rFonts w:ascii="Arial" w:eastAsia="Times New Roman" w:hAnsi="Arial" w:cs="Arial"/>
          <w:kern w:val="0"/>
          <w:sz w:val="22"/>
          <w:lang w:eastAsia="en-GB"/>
          <w14:ligatures w14:val="none"/>
        </w:rPr>
        <w:t xml:space="preserve"> 8th </w:t>
      </w:r>
      <w:proofErr w:type="spellStart"/>
      <w:r w:rsidRPr="00256B2C">
        <w:rPr>
          <w:rFonts w:ascii="Arial" w:eastAsia="Times New Roman" w:hAnsi="Arial" w:cs="Arial"/>
          <w:kern w:val="0"/>
          <w:sz w:val="22"/>
          <w:lang w:eastAsia="en-GB"/>
          <w14:ligatures w14:val="none"/>
        </w:rPr>
        <w:t>edn</w:t>
      </w:r>
      <w:proofErr w:type="spellEnd"/>
      <w:r w:rsidRPr="00256B2C">
        <w:rPr>
          <w:rFonts w:ascii="Arial" w:eastAsia="Times New Roman" w:hAnsi="Arial" w:cs="Arial"/>
          <w:kern w:val="0"/>
          <w:sz w:val="22"/>
          <w:lang w:eastAsia="en-GB"/>
          <w14:ligatures w14:val="none"/>
        </w:rPr>
        <w:t>. St. Louis, MO: Elsevier.</w:t>
      </w:r>
    </w:p>
    <w:p w14:paraId="61F4F724"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Asselin, M.E. and Fain, J.A. (2013) ‘Effect of reflective practice education on self-reflection, insight, and reflective thinking among experienced nurses: A pilot study’, </w:t>
      </w:r>
      <w:r w:rsidRPr="00256B2C">
        <w:rPr>
          <w:rFonts w:ascii="Arial" w:eastAsia="Times New Roman" w:hAnsi="Arial" w:cs="Arial"/>
          <w:i/>
          <w:iCs/>
          <w:kern w:val="0"/>
          <w:sz w:val="22"/>
          <w:lang w:eastAsia="en-GB"/>
          <w14:ligatures w14:val="none"/>
        </w:rPr>
        <w:t>Journal for Nurses in Professional Development</w:t>
      </w:r>
      <w:r w:rsidRPr="00256B2C">
        <w:rPr>
          <w:rFonts w:ascii="Arial" w:eastAsia="Times New Roman" w:hAnsi="Arial" w:cs="Arial"/>
          <w:kern w:val="0"/>
          <w:sz w:val="22"/>
          <w:lang w:eastAsia="en-GB"/>
          <w14:ligatures w14:val="none"/>
        </w:rPr>
        <w:t>, 29(3), pp. 111–119.</w:t>
      </w:r>
    </w:p>
    <w:p w14:paraId="0DBA1C16"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Benner, P., Sutphen, M., Leonard, V. and Day, L. (2021) </w:t>
      </w:r>
      <w:r w:rsidRPr="00256B2C">
        <w:rPr>
          <w:rFonts w:ascii="Arial" w:eastAsia="Times New Roman" w:hAnsi="Arial" w:cs="Arial"/>
          <w:i/>
          <w:iCs/>
          <w:kern w:val="0"/>
          <w:sz w:val="22"/>
          <w:lang w:eastAsia="en-GB"/>
          <w14:ligatures w14:val="none"/>
        </w:rPr>
        <w:t>Educating Nurses: A Call for Radical Transformation.</w:t>
      </w:r>
      <w:r w:rsidRPr="00256B2C">
        <w:rPr>
          <w:rFonts w:ascii="Arial" w:eastAsia="Times New Roman" w:hAnsi="Arial" w:cs="Arial"/>
          <w:kern w:val="0"/>
          <w:sz w:val="22"/>
          <w:lang w:eastAsia="en-GB"/>
          <w14:ligatures w14:val="none"/>
        </w:rPr>
        <w:t xml:space="preserve"> Hoboken, NJ: John Wiley &amp; Sons.</w:t>
      </w:r>
    </w:p>
    <w:p w14:paraId="37D44312"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Black, B.P., </w:t>
      </w:r>
      <w:proofErr w:type="spellStart"/>
      <w:r w:rsidRPr="00256B2C">
        <w:rPr>
          <w:rFonts w:ascii="Arial" w:eastAsia="Times New Roman" w:hAnsi="Arial" w:cs="Arial"/>
          <w:kern w:val="0"/>
          <w:sz w:val="22"/>
          <w:lang w:eastAsia="en-GB"/>
          <w14:ligatures w14:val="none"/>
        </w:rPr>
        <w:t>Balneaves</w:t>
      </w:r>
      <w:proofErr w:type="spellEnd"/>
      <w:r w:rsidRPr="00256B2C">
        <w:rPr>
          <w:rFonts w:ascii="Arial" w:eastAsia="Times New Roman" w:hAnsi="Arial" w:cs="Arial"/>
          <w:kern w:val="0"/>
          <w:sz w:val="22"/>
          <w:lang w:eastAsia="en-GB"/>
          <w14:ligatures w14:val="none"/>
        </w:rPr>
        <w:t xml:space="preserve">, L.G. and </w:t>
      </w:r>
      <w:proofErr w:type="spellStart"/>
      <w:r w:rsidRPr="00256B2C">
        <w:rPr>
          <w:rFonts w:ascii="Arial" w:eastAsia="Times New Roman" w:hAnsi="Arial" w:cs="Arial"/>
          <w:kern w:val="0"/>
          <w:sz w:val="22"/>
          <w:lang w:eastAsia="en-GB"/>
          <w14:ligatures w14:val="none"/>
        </w:rPr>
        <w:t>Garossino</w:t>
      </w:r>
      <w:proofErr w:type="spellEnd"/>
      <w:r w:rsidRPr="00256B2C">
        <w:rPr>
          <w:rFonts w:ascii="Arial" w:eastAsia="Times New Roman" w:hAnsi="Arial" w:cs="Arial"/>
          <w:kern w:val="0"/>
          <w:sz w:val="22"/>
          <w:lang w:eastAsia="en-GB"/>
          <w14:ligatures w14:val="none"/>
        </w:rPr>
        <w:t xml:space="preserve">, C. (2019) </w:t>
      </w:r>
      <w:r w:rsidRPr="00256B2C">
        <w:rPr>
          <w:rFonts w:ascii="Arial" w:eastAsia="Times New Roman" w:hAnsi="Arial" w:cs="Arial"/>
          <w:i/>
          <w:iCs/>
          <w:kern w:val="0"/>
          <w:sz w:val="22"/>
          <w:lang w:eastAsia="en-GB"/>
          <w14:ligatures w14:val="none"/>
        </w:rPr>
        <w:t>Professional Nursing: Concepts and Challenges.</w:t>
      </w:r>
      <w:r w:rsidRPr="00256B2C">
        <w:rPr>
          <w:rFonts w:ascii="Arial" w:eastAsia="Times New Roman" w:hAnsi="Arial" w:cs="Arial"/>
          <w:kern w:val="0"/>
          <w:sz w:val="22"/>
          <w:lang w:eastAsia="en-GB"/>
          <w14:ligatures w14:val="none"/>
        </w:rPr>
        <w:t xml:space="preserve"> 9th </w:t>
      </w:r>
      <w:proofErr w:type="spellStart"/>
      <w:r w:rsidRPr="00256B2C">
        <w:rPr>
          <w:rFonts w:ascii="Arial" w:eastAsia="Times New Roman" w:hAnsi="Arial" w:cs="Arial"/>
          <w:kern w:val="0"/>
          <w:sz w:val="22"/>
          <w:lang w:eastAsia="en-GB"/>
          <w14:ligatures w14:val="none"/>
        </w:rPr>
        <w:t>edn</w:t>
      </w:r>
      <w:proofErr w:type="spellEnd"/>
      <w:r w:rsidRPr="00256B2C">
        <w:rPr>
          <w:rFonts w:ascii="Arial" w:eastAsia="Times New Roman" w:hAnsi="Arial" w:cs="Arial"/>
          <w:kern w:val="0"/>
          <w:sz w:val="22"/>
          <w:lang w:eastAsia="en-GB"/>
          <w14:ligatures w14:val="none"/>
        </w:rPr>
        <w:t>. St. Louis, MO: Elsevier.</w:t>
      </w:r>
    </w:p>
    <w:p w14:paraId="651DE387"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lastRenderedPageBreak/>
        <w:t xml:space="preserve">Bulman, C. and Schutz, S. (2013) </w:t>
      </w:r>
      <w:r w:rsidRPr="00256B2C">
        <w:rPr>
          <w:rFonts w:ascii="Arial" w:eastAsia="Times New Roman" w:hAnsi="Arial" w:cs="Arial"/>
          <w:i/>
          <w:iCs/>
          <w:kern w:val="0"/>
          <w:sz w:val="22"/>
          <w:lang w:eastAsia="en-GB"/>
          <w14:ligatures w14:val="none"/>
        </w:rPr>
        <w:t>Reflective Practice in Nursing.</w:t>
      </w:r>
      <w:r w:rsidRPr="00256B2C">
        <w:rPr>
          <w:rFonts w:ascii="Arial" w:eastAsia="Times New Roman" w:hAnsi="Arial" w:cs="Arial"/>
          <w:kern w:val="0"/>
          <w:sz w:val="22"/>
          <w:lang w:eastAsia="en-GB"/>
          <w14:ligatures w14:val="none"/>
        </w:rPr>
        <w:t xml:space="preserve"> 5th </w:t>
      </w:r>
      <w:proofErr w:type="spellStart"/>
      <w:r w:rsidRPr="00256B2C">
        <w:rPr>
          <w:rFonts w:ascii="Arial" w:eastAsia="Times New Roman" w:hAnsi="Arial" w:cs="Arial"/>
          <w:kern w:val="0"/>
          <w:sz w:val="22"/>
          <w:lang w:eastAsia="en-GB"/>
          <w14:ligatures w14:val="none"/>
        </w:rPr>
        <w:t>edn</w:t>
      </w:r>
      <w:proofErr w:type="spellEnd"/>
      <w:r w:rsidRPr="00256B2C">
        <w:rPr>
          <w:rFonts w:ascii="Arial" w:eastAsia="Times New Roman" w:hAnsi="Arial" w:cs="Arial"/>
          <w:kern w:val="0"/>
          <w:sz w:val="22"/>
          <w:lang w:eastAsia="en-GB"/>
          <w14:ligatures w14:val="none"/>
        </w:rPr>
        <w:t>. Chichester: Wiley-Blackwell.</w:t>
      </w:r>
    </w:p>
    <w:p w14:paraId="46AE91A7"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Chen, S.Y., Wu, W.W. and Chang, C.S. (2021) ‘The impact of peer support on nurses’ burnout and wellbeing: A systematic review’, </w:t>
      </w:r>
      <w:r w:rsidRPr="00256B2C">
        <w:rPr>
          <w:rFonts w:ascii="Arial" w:eastAsia="Times New Roman" w:hAnsi="Arial" w:cs="Arial"/>
          <w:i/>
          <w:iCs/>
          <w:kern w:val="0"/>
          <w:sz w:val="22"/>
          <w:lang w:eastAsia="en-GB"/>
          <w14:ligatures w14:val="none"/>
        </w:rPr>
        <w:t>Journal of Nursing Management</w:t>
      </w:r>
      <w:r w:rsidRPr="00256B2C">
        <w:rPr>
          <w:rFonts w:ascii="Arial" w:eastAsia="Times New Roman" w:hAnsi="Arial" w:cs="Arial"/>
          <w:kern w:val="0"/>
          <w:sz w:val="22"/>
          <w:lang w:eastAsia="en-GB"/>
          <w14:ligatures w14:val="none"/>
        </w:rPr>
        <w:t>, 29(5), pp. 1120–1130.</w:t>
      </w:r>
    </w:p>
    <w:p w14:paraId="321684D1"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Jackson, D., Peters, K., Andrew, S., </w:t>
      </w:r>
      <w:proofErr w:type="spellStart"/>
      <w:r w:rsidRPr="00256B2C">
        <w:rPr>
          <w:rFonts w:ascii="Arial" w:eastAsia="Times New Roman" w:hAnsi="Arial" w:cs="Arial"/>
          <w:kern w:val="0"/>
          <w:sz w:val="22"/>
          <w:lang w:eastAsia="en-GB"/>
          <w14:ligatures w14:val="none"/>
        </w:rPr>
        <w:t>Salamonson</w:t>
      </w:r>
      <w:proofErr w:type="spellEnd"/>
      <w:r w:rsidRPr="00256B2C">
        <w:rPr>
          <w:rFonts w:ascii="Arial" w:eastAsia="Times New Roman" w:hAnsi="Arial" w:cs="Arial"/>
          <w:kern w:val="0"/>
          <w:sz w:val="22"/>
          <w:lang w:eastAsia="en-GB"/>
          <w14:ligatures w14:val="none"/>
        </w:rPr>
        <w:t xml:space="preserve">, Y. and Halcomb, E. (2015) ‘Enhancing self-efficacy and learning through mentoring in nurse education’, </w:t>
      </w:r>
      <w:r w:rsidRPr="00256B2C">
        <w:rPr>
          <w:rFonts w:ascii="Arial" w:eastAsia="Times New Roman" w:hAnsi="Arial" w:cs="Arial"/>
          <w:i/>
          <w:iCs/>
          <w:kern w:val="0"/>
          <w:sz w:val="22"/>
          <w:lang w:eastAsia="en-GB"/>
          <w14:ligatures w14:val="none"/>
        </w:rPr>
        <w:t>Nurse Education Today</w:t>
      </w:r>
      <w:r w:rsidRPr="00256B2C">
        <w:rPr>
          <w:rFonts w:ascii="Arial" w:eastAsia="Times New Roman" w:hAnsi="Arial" w:cs="Arial"/>
          <w:kern w:val="0"/>
          <w:sz w:val="22"/>
          <w:lang w:eastAsia="en-GB"/>
          <w14:ligatures w14:val="none"/>
        </w:rPr>
        <w:t>, 35(3), pp. 557–562.</w:t>
      </w:r>
    </w:p>
    <w:p w14:paraId="24F214E7"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Morse, J.M., Anderson, G., Bottorff, J.L., Yonge, O., O’Brien, B., Solberg, S.M. and McIlveen, K.H. (2020) ‘Exploring empathy: A conceptual fit for nursing practice?’, </w:t>
      </w:r>
      <w:r w:rsidRPr="00256B2C">
        <w:rPr>
          <w:rFonts w:ascii="Arial" w:eastAsia="Times New Roman" w:hAnsi="Arial" w:cs="Arial"/>
          <w:i/>
          <w:iCs/>
          <w:kern w:val="0"/>
          <w:sz w:val="22"/>
          <w:lang w:eastAsia="en-GB"/>
          <w14:ligatures w14:val="none"/>
        </w:rPr>
        <w:t>Journal of Nursing Scholarship</w:t>
      </w:r>
      <w:r w:rsidRPr="00256B2C">
        <w:rPr>
          <w:rFonts w:ascii="Arial" w:eastAsia="Times New Roman" w:hAnsi="Arial" w:cs="Arial"/>
          <w:kern w:val="0"/>
          <w:sz w:val="22"/>
          <w:lang w:eastAsia="en-GB"/>
          <w14:ligatures w14:val="none"/>
        </w:rPr>
        <w:t>, 52(1), pp. 66–74.</w:t>
      </w:r>
    </w:p>
    <w:p w14:paraId="7618A6A0"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Nursing and Midwifery Council (NMC) (2018) </w:t>
      </w:r>
      <w:r w:rsidRPr="00256B2C">
        <w:rPr>
          <w:rFonts w:ascii="Arial" w:eastAsia="Times New Roman" w:hAnsi="Arial" w:cs="Arial"/>
          <w:i/>
          <w:iCs/>
          <w:kern w:val="0"/>
          <w:sz w:val="22"/>
          <w:lang w:eastAsia="en-GB"/>
          <w14:ligatures w14:val="none"/>
        </w:rPr>
        <w:t>The Code: Professional Standards of Practice and Behaviour for Nurses, Midwives and Nursing Associates.</w:t>
      </w:r>
      <w:r w:rsidRPr="00256B2C">
        <w:rPr>
          <w:rFonts w:ascii="Arial" w:eastAsia="Times New Roman" w:hAnsi="Arial" w:cs="Arial"/>
          <w:kern w:val="0"/>
          <w:sz w:val="22"/>
          <w:lang w:eastAsia="en-GB"/>
          <w14:ligatures w14:val="none"/>
        </w:rPr>
        <w:t xml:space="preserve"> London: NMC.</w:t>
      </w:r>
    </w:p>
    <w:p w14:paraId="2ABD379F"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O’Hagan, S., Manias, E., Elder, C., Pill, J., Woodward-Kron, R., Webb, G. and Webb, J. (2014) ‘What counts as effective communication in nursing? Evidence from nurse educators and clinicians’ feedback on nurse interactions with simulated patients’, </w:t>
      </w:r>
      <w:r w:rsidRPr="00256B2C">
        <w:rPr>
          <w:rFonts w:ascii="Arial" w:eastAsia="Times New Roman" w:hAnsi="Arial" w:cs="Arial"/>
          <w:i/>
          <w:iCs/>
          <w:kern w:val="0"/>
          <w:sz w:val="22"/>
          <w:lang w:eastAsia="en-GB"/>
          <w14:ligatures w14:val="none"/>
        </w:rPr>
        <w:t>Journal of Advanced Nursing</w:t>
      </w:r>
      <w:r w:rsidRPr="00256B2C">
        <w:rPr>
          <w:rFonts w:ascii="Arial" w:eastAsia="Times New Roman" w:hAnsi="Arial" w:cs="Arial"/>
          <w:kern w:val="0"/>
          <w:sz w:val="22"/>
          <w:lang w:eastAsia="en-GB"/>
          <w14:ligatures w14:val="none"/>
        </w:rPr>
        <w:t>, 70(6), pp. 1344–1355.</w:t>
      </w:r>
    </w:p>
    <w:p w14:paraId="380B8D07"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Papathanasiou, I.V., Kleisiaris, C.F., Fradelos, E.C., Kakou, K. and </w:t>
      </w:r>
      <w:proofErr w:type="spellStart"/>
      <w:r w:rsidRPr="00256B2C">
        <w:rPr>
          <w:rFonts w:ascii="Arial" w:eastAsia="Times New Roman" w:hAnsi="Arial" w:cs="Arial"/>
          <w:kern w:val="0"/>
          <w:sz w:val="22"/>
          <w:lang w:eastAsia="en-GB"/>
          <w14:ligatures w14:val="none"/>
        </w:rPr>
        <w:t>Kourkouta</w:t>
      </w:r>
      <w:proofErr w:type="spellEnd"/>
      <w:r w:rsidRPr="00256B2C">
        <w:rPr>
          <w:rFonts w:ascii="Arial" w:eastAsia="Times New Roman" w:hAnsi="Arial" w:cs="Arial"/>
          <w:kern w:val="0"/>
          <w:sz w:val="22"/>
          <w:lang w:eastAsia="en-GB"/>
          <w14:ligatures w14:val="none"/>
        </w:rPr>
        <w:t xml:space="preserve">, L. (2014) ‘Critical thinking: The development of an essential skill for nursing students’, </w:t>
      </w:r>
      <w:r w:rsidRPr="00256B2C">
        <w:rPr>
          <w:rFonts w:ascii="Arial" w:eastAsia="Times New Roman" w:hAnsi="Arial" w:cs="Arial"/>
          <w:i/>
          <w:iCs/>
          <w:kern w:val="0"/>
          <w:sz w:val="22"/>
          <w:lang w:eastAsia="en-GB"/>
          <w14:ligatures w14:val="none"/>
        </w:rPr>
        <w:t>Acta Informatica Medica</w:t>
      </w:r>
      <w:r w:rsidRPr="00256B2C">
        <w:rPr>
          <w:rFonts w:ascii="Arial" w:eastAsia="Times New Roman" w:hAnsi="Arial" w:cs="Arial"/>
          <w:kern w:val="0"/>
          <w:sz w:val="22"/>
          <w:lang w:eastAsia="en-GB"/>
          <w14:ligatures w14:val="none"/>
        </w:rPr>
        <w:t>, 22(4), pp. 283–286.</w:t>
      </w:r>
    </w:p>
    <w:p w14:paraId="2E2E1D36"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Royal College of Nursing (RCN) (2022) </w:t>
      </w:r>
      <w:r w:rsidRPr="00256B2C">
        <w:rPr>
          <w:rFonts w:ascii="Arial" w:eastAsia="Times New Roman" w:hAnsi="Arial" w:cs="Arial"/>
          <w:i/>
          <w:iCs/>
          <w:kern w:val="0"/>
          <w:sz w:val="22"/>
          <w:lang w:eastAsia="en-GB"/>
          <w14:ligatures w14:val="none"/>
        </w:rPr>
        <w:t>Revalidation and Continuing Professional Development.</w:t>
      </w:r>
      <w:r w:rsidRPr="00256B2C">
        <w:rPr>
          <w:rFonts w:ascii="Arial" w:eastAsia="Times New Roman" w:hAnsi="Arial" w:cs="Arial"/>
          <w:kern w:val="0"/>
          <w:sz w:val="22"/>
          <w:lang w:eastAsia="en-GB"/>
          <w14:ligatures w14:val="none"/>
        </w:rPr>
        <w:t xml:space="preserve"> Available at: </w:t>
      </w:r>
      <w:hyperlink r:id="rId9" w:tgtFrame="_new" w:history="1">
        <w:r w:rsidRPr="00256B2C">
          <w:rPr>
            <w:rFonts w:ascii="Arial" w:eastAsia="Times New Roman" w:hAnsi="Arial" w:cs="Arial"/>
            <w:color w:val="0000FF"/>
            <w:kern w:val="0"/>
            <w:sz w:val="22"/>
            <w:u w:val="single"/>
            <w:lang w:eastAsia="en-GB"/>
            <w14:ligatures w14:val="none"/>
          </w:rPr>
          <w:t>https://www.rcn.org.uk/professional-development/revalidation</w:t>
        </w:r>
      </w:hyperlink>
      <w:r w:rsidRPr="00256B2C">
        <w:rPr>
          <w:rFonts w:ascii="Arial" w:eastAsia="Times New Roman" w:hAnsi="Arial" w:cs="Arial"/>
          <w:kern w:val="0"/>
          <w:sz w:val="22"/>
          <w:lang w:eastAsia="en-GB"/>
          <w14:ligatures w14:val="none"/>
        </w:rPr>
        <w:t xml:space="preserve"> (Accessed: 10 November 2025).</w:t>
      </w:r>
    </w:p>
    <w:p w14:paraId="3A236806"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Sinclair, S., Beamer, K., Hack, T.F., McClement, S., Raffin Bouchal, S., Chochinov, H.M. and Hagen, N.A. (2017) ‘Sympathy, empathy, and compassion: A grounded theory study of palliative care patients’ understandings, experiences, and preferences’, </w:t>
      </w:r>
      <w:r w:rsidRPr="00256B2C">
        <w:rPr>
          <w:rFonts w:ascii="Arial" w:eastAsia="Times New Roman" w:hAnsi="Arial" w:cs="Arial"/>
          <w:i/>
          <w:iCs/>
          <w:kern w:val="0"/>
          <w:sz w:val="22"/>
          <w:lang w:eastAsia="en-GB"/>
          <w14:ligatures w14:val="none"/>
        </w:rPr>
        <w:t>Palliative Medicine</w:t>
      </w:r>
      <w:r w:rsidRPr="00256B2C">
        <w:rPr>
          <w:rFonts w:ascii="Arial" w:eastAsia="Times New Roman" w:hAnsi="Arial" w:cs="Arial"/>
          <w:kern w:val="0"/>
          <w:sz w:val="22"/>
          <w:lang w:eastAsia="en-GB"/>
          <w14:ligatures w14:val="none"/>
        </w:rPr>
        <w:t>, 31(5), pp. 437–447.</w:t>
      </w:r>
    </w:p>
    <w:p w14:paraId="7B5A8BFD" w14:textId="77777777" w:rsidR="00256B2C" w:rsidRPr="00256B2C" w:rsidRDefault="00256B2C" w:rsidP="00256B2C">
      <w:pPr>
        <w:spacing w:before="100" w:beforeAutospacing="1" w:after="100" w:afterAutospacing="1" w:line="360" w:lineRule="auto"/>
        <w:rPr>
          <w:rFonts w:ascii="Arial" w:eastAsia="Times New Roman" w:hAnsi="Arial" w:cs="Arial"/>
          <w:kern w:val="0"/>
          <w:sz w:val="22"/>
          <w:lang w:eastAsia="en-GB"/>
          <w14:ligatures w14:val="none"/>
        </w:rPr>
      </w:pPr>
      <w:r w:rsidRPr="00256B2C">
        <w:rPr>
          <w:rFonts w:ascii="Arial" w:eastAsia="Times New Roman" w:hAnsi="Arial" w:cs="Arial"/>
          <w:kern w:val="0"/>
          <w:sz w:val="22"/>
          <w:lang w:eastAsia="en-GB"/>
          <w14:ligatures w14:val="none"/>
        </w:rPr>
        <w:t xml:space="preserve">World Health Organization (WHO) (2020) </w:t>
      </w:r>
      <w:r w:rsidRPr="00256B2C">
        <w:rPr>
          <w:rFonts w:ascii="Arial" w:eastAsia="Times New Roman" w:hAnsi="Arial" w:cs="Arial"/>
          <w:i/>
          <w:iCs/>
          <w:kern w:val="0"/>
          <w:sz w:val="22"/>
          <w:lang w:eastAsia="en-GB"/>
          <w14:ligatures w14:val="none"/>
        </w:rPr>
        <w:t>State of the World’s Nursing 2020: Investing in Education, Jobs and Leadership.</w:t>
      </w:r>
      <w:r w:rsidRPr="00256B2C">
        <w:rPr>
          <w:rFonts w:ascii="Arial" w:eastAsia="Times New Roman" w:hAnsi="Arial" w:cs="Arial"/>
          <w:kern w:val="0"/>
          <w:sz w:val="22"/>
          <w:lang w:eastAsia="en-GB"/>
          <w14:ligatures w14:val="none"/>
        </w:rPr>
        <w:t xml:space="preserve"> Geneva: World Health Organization. Available at: </w:t>
      </w:r>
      <w:hyperlink r:id="rId10" w:tgtFrame="_new" w:history="1">
        <w:r w:rsidRPr="00256B2C">
          <w:rPr>
            <w:rFonts w:ascii="Arial" w:eastAsia="Times New Roman" w:hAnsi="Arial" w:cs="Arial"/>
            <w:color w:val="0000FF"/>
            <w:kern w:val="0"/>
            <w:sz w:val="22"/>
            <w:u w:val="single"/>
            <w:lang w:eastAsia="en-GB"/>
            <w14:ligatures w14:val="none"/>
          </w:rPr>
          <w:t>https://www.who.int/publications/i/item/9789240003279</w:t>
        </w:r>
      </w:hyperlink>
      <w:r w:rsidRPr="00256B2C">
        <w:rPr>
          <w:rFonts w:ascii="Arial" w:eastAsia="Times New Roman" w:hAnsi="Arial" w:cs="Arial"/>
          <w:kern w:val="0"/>
          <w:sz w:val="22"/>
          <w:lang w:eastAsia="en-GB"/>
          <w14:ligatures w14:val="none"/>
        </w:rPr>
        <w:t xml:space="preserve"> (Accessed: 10 November 2025).</w:t>
      </w:r>
    </w:p>
    <w:p w14:paraId="5CF6C7B1" w14:textId="77777777" w:rsidR="00256B2C" w:rsidRPr="00256B2C" w:rsidRDefault="00256B2C" w:rsidP="00256B2C">
      <w:pPr>
        <w:spacing w:line="360" w:lineRule="auto"/>
        <w:rPr>
          <w:rFonts w:ascii="Arial" w:hAnsi="Arial" w:cs="Arial"/>
          <w:sz w:val="22"/>
        </w:rPr>
      </w:pPr>
    </w:p>
    <w:p w14:paraId="06C96B35" w14:textId="77777777" w:rsidR="00256B2C" w:rsidRPr="00256B2C" w:rsidRDefault="00256B2C" w:rsidP="00256B2C">
      <w:pPr>
        <w:spacing w:line="360" w:lineRule="auto"/>
        <w:rPr>
          <w:rFonts w:ascii="Arial" w:hAnsi="Arial" w:cs="Arial"/>
          <w:sz w:val="22"/>
        </w:rPr>
      </w:pPr>
    </w:p>
    <w:p w14:paraId="1D0F2D59" w14:textId="6DE0F132" w:rsidR="004552CE" w:rsidRPr="00256B2C" w:rsidRDefault="004552CE" w:rsidP="00256B2C">
      <w:pPr>
        <w:spacing w:line="360" w:lineRule="auto"/>
        <w:rPr>
          <w:rFonts w:ascii="Arial" w:hAnsi="Arial" w:cs="Arial"/>
          <w:b/>
          <w:bCs/>
          <w:sz w:val="22"/>
        </w:rPr>
      </w:pPr>
    </w:p>
    <w:p w14:paraId="1F07F226" w14:textId="77777777" w:rsidR="001F38AA" w:rsidRPr="00256B2C" w:rsidRDefault="001F38AA" w:rsidP="00256B2C">
      <w:pPr>
        <w:spacing w:line="360" w:lineRule="auto"/>
        <w:rPr>
          <w:rFonts w:ascii="Arial" w:hAnsi="Arial" w:cs="Arial"/>
          <w:b/>
          <w:bCs/>
          <w:sz w:val="22"/>
        </w:rPr>
      </w:pPr>
    </w:p>
    <w:p w14:paraId="7485F082" w14:textId="77777777" w:rsidR="001F38AA" w:rsidRDefault="001F38AA" w:rsidP="001F38AA">
      <w:pPr>
        <w:rPr>
          <w:b/>
          <w:bCs/>
          <w:sz w:val="21"/>
          <w:szCs w:val="21"/>
        </w:rPr>
      </w:pPr>
    </w:p>
    <w:p w14:paraId="33FBF55F" w14:textId="77777777" w:rsidR="001F38AA" w:rsidRDefault="001F38AA" w:rsidP="001F38AA">
      <w:pPr>
        <w:rPr>
          <w:b/>
          <w:bCs/>
          <w:sz w:val="21"/>
          <w:szCs w:val="21"/>
        </w:rPr>
      </w:pPr>
    </w:p>
    <w:p w14:paraId="17E9D4E1" w14:textId="77777777" w:rsidR="001F38AA" w:rsidRDefault="001F38AA" w:rsidP="001F38AA">
      <w:pPr>
        <w:rPr>
          <w:b/>
          <w:bCs/>
          <w:sz w:val="21"/>
          <w:szCs w:val="21"/>
        </w:rPr>
      </w:pPr>
    </w:p>
    <w:p w14:paraId="76171E4F" w14:textId="77777777" w:rsidR="001F38AA" w:rsidRDefault="001F38AA" w:rsidP="001F38AA">
      <w:pPr>
        <w:rPr>
          <w:b/>
          <w:bCs/>
          <w:sz w:val="21"/>
          <w:szCs w:val="21"/>
        </w:rPr>
      </w:pPr>
    </w:p>
    <w:p w14:paraId="4D237431" w14:textId="77777777" w:rsidR="001F38AA" w:rsidRPr="001F38AA" w:rsidRDefault="001F38AA" w:rsidP="001F38AA">
      <w:pPr>
        <w:rPr>
          <w:b/>
          <w:bCs/>
          <w:sz w:val="21"/>
          <w:szCs w:val="21"/>
        </w:rPr>
      </w:pPr>
    </w:p>
    <w:sectPr w:rsidR="001F38AA" w:rsidRPr="001F38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DD111" w14:textId="77777777" w:rsidR="00A05AB8" w:rsidRDefault="00A05AB8" w:rsidP="003C7C97">
      <w:pPr>
        <w:spacing w:after="0" w:line="240" w:lineRule="auto"/>
      </w:pPr>
      <w:r>
        <w:separator/>
      </w:r>
    </w:p>
  </w:endnote>
  <w:endnote w:type="continuationSeparator" w:id="0">
    <w:p w14:paraId="70EB1DE8" w14:textId="77777777" w:rsidR="00A05AB8" w:rsidRDefault="00A05AB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098E8" w14:textId="77777777" w:rsidR="00A05AB8" w:rsidRDefault="00A05AB8" w:rsidP="003C7C97">
      <w:pPr>
        <w:spacing w:after="0" w:line="240" w:lineRule="auto"/>
      </w:pPr>
      <w:r>
        <w:separator/>
      </w:r>
    </w:p>
  </w:footnote>
  <w:footnote w:type="continuationSeparator" w:id="0">
    <w:p w14:paraId="20DD3D1A" w14:textId="77777777" w:rsidR="00A05AB8" w:rsidRDefault="00A05AB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3AC8"/>
    <w:rsid w:val="00027524"/>
    <w:rsid w:val="00027B15"/>
    <w:rsid w:val="00030A05"/>
    <w:rsid w:val="00033C39"/>
    <w:rsid w:val="00064111"/>
    <w:rsid w:val="00070818"/>
    <w:rsid w:val="0008238F"/>
    <w:rsid w:val="00082EC6"/>
    <w:rsid w:val="00085388"/>
    <w:rsid w:val="000D41DC"/>
    <w:rsid w:val="00125D37"/>
    <w:rsid w:val="00127C1A"/>
    <w:rsid w:val="00130EC2"/>
    <w:rsid w:val="00150D81"/>
    <w:rsid w:val="00166CEB"/>
    <w:rsid w:val="00182094"/>
    <w:rsid w:val="00183CB9"/>
    <w:rsid w:val="00184A9A"/>
    <w:rsid w:val="0018744E"/>
    <w:rsid w:val="001947DF"/>
    <w:rsid w:val="001B22BB"/>
    <w:rsid w:val="001B619C"/>
    <w:rsid w:val="001D1D3C"/>
    <w:rsid w:val="001F38AA"/>
    <w:rsid w:val="002205D4"/>
    <w:rsid w:val="00222C3A"/>
    <w:rsid w:val="00226D31"/>
    <w:rsid w:val="00236401"/>
    <w:rsid w:val="002370CE"/>
    <w:rsid w:val="00242974"/>
    <w:rsid w:val="00256B2C"/>
    <w:rsid w:val="00256F57"/>
    <w:rsid w:val="002976D4"/>
    <w:rsid w:val="002A5577"/>
    <w:rsid w:val="002B4AA4"/>
    <w:rsid w:val="002E71BA"/>
    <w:rsid w:val="002F5066"/>
    <w:rsid w:val="003003FD"/>
    <w:rsid w:val="00307F08"/>
    <w:rsid w:val="00310245"/>
    <w:rsid w:val="00316C95"/>
    <w:rsid w:val="00345264"/>
    <w:rsid w:val="003458DB"/>
    <w:rsid w:val="003523D3"/>
    <w:rsid w:val="00364C35"/>
    <w:rsid w:val="0036558B"/>
    <w:rsid w:val="003754E5"/>
    <w:rsid w:val="00390BA6"/>
    <w:rsid w:val="003924C3"/>
    <w:rsid w:val="00396F60"/>
    <w:rsid w:val="003A51D6"/>
    <w:rsid w:val="003B125E"/>
    <w:rsid w:val="003B2A5E"/>
    <w:rsid w:val="003C7C97"/>
    <w:rsid w:val="00406B8D"/>
    <w:rsid w:val="00410068"/>
    <w:rsid w:val="0041618E"/>
    <w:rsid w:val="0042295C"/>
    <w:rsid w:val="00426EEC"/>
    <w:rsid w:val="00433F95"/>
    <w:rsid w:val="004466C3"/>
    <w:rsid w:val="004552CE"/>
    <w:rsid w:val="00481FF7"/>
    <w:rsid w:val="004B0405"/>
    <w:rsid w:val="00500295"/>
    <w:rsid w:val="00501AAF"/>
    <w:rsid w:val="00527AFA"/>
    <w:rsid w:val="005328AF"/>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4FB7"/>
    <w:rsid w:val="006457C0"/>
    <w:rsid w:val="00652BB7"/>
    <w:rsid w:val="00661758"/>
    <w:rsid w:val="0067612C"/>
    <w:rsid w:val="00676FEB"/>
    <w:rsid w:val="006912C4"/>
    <w:rsid w:val="00691A3E"/>
    <w:rsid w:val="006A5CFC"/>
    <w:rsid w:val="006C5138"/>
    <w:rsid w:val="006C689B"/>
    <w:rsid w:val="006E005C"/>
    <w:rsid w:val="006E1F65"/>
    <w:rsid w:val="006E6EE5"/>
    <w:rsid w:val="006F0029"/>
    <w:rsid w:val="007138EF"/>
    <w:rsid w:val="007632A9"/>
    <w:rsid w:val="00774092"/>
    <w:rsid w:val="00782830"/>
    <w:rsid w:val="0078664A"/>
    <w:rsid w:val="007B0F6D"/>
    <w:rsid w:val="007C62C3"/>
    <w:rsid w:val="007D25AA"/>
    <w:rsid w:val="007F0873"/>
    <w:rsid w:val="00805726"/>
    <w:rsid w:val="0081234E"/>
    <w:rsid w:val="00815117"/>
    <w:rsid w:val="008520F8"/>
    <w:rsid w:val="00855F34"/>
    <w:rsid w:val="008826B6"/>
    <w:rsid w:val="008B0B22"/>
    <w:rsid w:val="008C2D0D"/>
    <w:rsid w:val="008C4953"/>
    <w:rsid w:val="008C58B0"/>
    <w:rsid w:val="008C591B"/>
    <w:rsid w:val="008C6182"/>
    <w:rsid w:val="008E744A"/>
    <w:rsid w:val="00926458"/>
    <w:rsid w:val="00933720"/>
    <w:rsid w:val="009C7E52"/>
    <w:rsid w:val="009E4934"/>
    <w:rsid w:val="009F40A7"/>
    <w:rsid w:val="009F5CE6"/>
    <w:rsid w:val="009F670A"/>
    <w:rsid w:val="00A035CD"/>
    <w:rsid w:val="00A05AB8"/>
    <w:rsid w:val="00A50E80"/>
    <w:rsid w:val="00A513B0"/>
    <w:rsid w:val="00A63F7F"/>
    <w:rsid w:val="00A667CE"/>
    <w:rsid w:val="00A75042"/>
    <w:rsid w:val="00A774BC"/>
    <w:rsid w:val="00A80DF2"/>
    <w:rsid w:val="00A821B5"/>
    <w:rsid w:val="00A82678"/>
    <w:rsid w:val="00A946CB"/>
    <w:rsid w:val="00AA77C8"/>
    <w:rsid w:val="00AC7BE2"/>
    <w:rsid w:val="00AE35BF"/>
    <w:rsid w:val="00B1067E"/>
    <w:rsid w:val="00B50A8E"/>
    <w:rsid w:val="00B81790"/>
    <w:rsid w:val="00B81BBC"/>
    <w:rsid w:val="00BC220A"/>
    <w:rsid w:val="00BD03D5"/>
    <w:rsid w:val="00C3215E"/>
    <w:rsid w:val="00C45272"/>
    <w:rsid w:val="00C47770"/>
    <w:rsid w:val="00C75856"/>
    <w:rsid w:val="00C85A7C"/>
    <w:rsid w:val="00C94D13"/>
    <w:rsid w:val="00C95214"/>
    <w:rsid w:val="00CC3F59"/>
    <w:rsid w:val="00CD4774"/>
    <w:rsid w:val="00D10AAF"/>
    <w:rsid w:val="00D27540"/>
    <w:rsid w:val="00D4006B"/>
    <w:rsid w:val="00D40D7A"/>
    <w:rsid w:val="00D64A0D"/>
    <w:rsid w:val="00D72D2F"/>
    <w:rsid w:val="00D750B4"/>
    <w:rsid w:val="00D81C18"/>
    <w:rsid w:val="00D8461A"/>
    <w:rsid w:val="00D95CAF"/>
    <w:rsid w:val="00DB60B6"/>
    <w:rsid w:val="00DC1CC6"/>
    <w:rsid w:val="00E01679"/>
    <w:rsid w:val="00E067A8"/>
    <w:rsid w:val="00E13924"/>
    <w:rsid w:val="00E15FD5"/>
    <w:rsid w:val="00E1725A"/>
    <w:rsid w:val="00E33758"/>
    <w:rsid w:val="00E53E5E"/>
    <w:rsid w:val="00E64325"/>
    <w:rsid w:val="00E673C5"/>
    <w:rsid w:val="00E67967"/>
    <w:rsid w:val="00E82723"/>
    <w:rsid w:val="00E97E16"/>
    <w:rsid w:val="00EA29A5"/>
    <w:rsid w:val="00EC107C"/>
    <w:rsid w:val="00EC7EBE"/>
    <w:rsid w:val="00EC7FD2"/>
    <w:rsid w:val="00ED5964"/>
    <w:rsid w:val="00F1720B"/>
    <w:rsid w:val="00F36ADC"/>
    <w:rsid w:val="00F605C6"/>
    <w:rsid w:val="00F6785B"/>
    <w:rsid w:val="00F915D6"/>
    <w:rsid w:val="00FD38FF"/>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publications/i/item/9789240003279" TargetMode="External"/><Relationship Id="rId4" Type="http://schemas.openxmlformats.org/officeDocument/2006/relationships/settings" Target="settings.xml"/><Relationship Id="rId9" Type="http://schemas.openxmlformats.org/officeDocument/2006/relationships/hyperlink" Target="https://www.rcn.org.uk/professional-development/revali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8</Pages>
  <Words>1687</Words>
  <Characters>11022</Characters>
  <Application>Microsoft Office Word</Application>
  <DocSecurity>0</DocSecurity>
  <Lines>216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Andleeb Saeed</cp:lastModifiedBy>
  <cp:revision>156</cp:revision>
  <dcterms:created xsi:type="dcterms:W3CDTF">2025-06-26T13:37:00Z</dcterms:created>
  <dcterms:modified xsi:type="dcterms:W3CDTF">2025-11-12T22:32:00Z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