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2FEA4" w14:textId="77777777" w:rsidR="00A2271A" w:rsidRPr="007B7DF9" w:rsidRDefault="00A2271A" w:rsidP="00A2271A">
      <w:pPr>
        <w:pStyle w:val="NormalWeb"/>
        <w:spacing w:before="200" w:beforeAutospacing="0" w:after="0" w:afterAutospacing="0" w:line="288" w:lineRule="auto"/>
        <w:jc w:val="center"/>
        <w:rPr>
          <w:rFonts w:asciiTheme="minorHAnsi" w:eastAsiaTheme="minorEastAsia" w:hAnsi="Gill Sans MT" w:cstheme="minorBidi"/>
          <w:color w:val="000000" w:themeColor="text1"/>
          <w:kern w:val="24"/>
          <w:sz w:val="32"/>
          <w:szCs w:val="32"/>
        </w:rPr>
      </w:pPr>
      <w:r>
        <w:rPr>
          <w:rFonts w:asciiTheme="minorHAnsi" w:eastAsiaTheme="minorEastAsia" w:hAnsi="Gill Sans MT" w:cstheme="minorBidi"/>
          <w:color w:val="000000" w:themeColor="text1"/>
          <w:kern w:val="24"/>
          <w:sz w:val="32"/>
          <w:szCs w:val="32"/>
        </w:rPr>
        <w:t>How the Changing Reception of Abraham in</w:t>
      </w:r>
      <w:r w:rsidRPr="007B7DF9">
        <w:rPr>
          <w:rFonts w:asciiTheme="minorHAnsi" w:eastAsiaTheme="minorEastAsia" w:hAnsi="Gill Sans MT" w:cstheme="minorBidi"/>
          <w:color w:val="000000" w:themeColor="text1"/>
          <w:kern w:val="24"/>
          <w:sz w:val="32"/>
          <w:szCs w:val="32"/>
        </w:rPr>
        <w:t xml:space="preserve"> </w:t>
      </w:r>
      <w:r>
        <w:rPr>
          <w:rFonts w:asciiTheme="minorHAnsi" w:eastAsiaTheme="minorEastAsia" w:hAnsi="Gill Sans MT" w:cstheme="minorBidi"/>
          <w:color w:val="000000" w:themeColor="text1"/>
          <w:kern w:val="24"/>
          <w:sz w:val="32"/>
          <w:szCs w:val="32"/>
        </w:rPr>
        <w:t xml:space="preserve">Genesis 12:11-20, Influences the Reception of Sarah in the Abrahamic Religions and in Nineteenth Century </w:t>
      </w:r>
      <w:r>
        <w:rPr>
          <w:rFonts w:asciiTheme="minorHAnsi" w:eastAsiaTheme="minorEastAsia" w:hAnsi="Gill Sans MT" w:cstheme="minorBidi"/>
          <w:color w:val="000000" w:themeColor="text1"/>
          <w:kern w:val="24"/>
          <w:sz w:val="32"/>
          <w:szCs w:val="32"/>
        </w:rPr>
        <w:t>‘</w:t>
      </w:r>
      <w:r>
        <w:rPr>
          <w:rFonts w:asciiTheme="minorHAnsi" w:eastAsiaTheme="minorEastAsia" w:hAnsi="Gill Sans MT" w:cstheme="minorBidi"/>
          <w:color w:val="000000" w:themeColor="text1"/>
          <w:kern w:val="24"/>
          <w:sz w:val="32"/>
          <w:szCs w:val="32"/>
        </w:rPr>
        <w:t>New</w:t>
      </w:r>
      <w:r>
        <w:rPr>
          <w:rFonts w:asciiTheme="minorHAnsi" w:eastAsiaTheme="minorEastAsia" w:hAnsi="Gill Sans MT" w:cstheme="minorBidi"/>
          <w:color w:val="000000" w:themeColor="text1"/>
          <w:kern w:val="24"/>
          <w:sz w:val="32"/>
          <w:szCs w:val="32"/>
        </w:rPr>
        <w:t>’</w:t>
      </w:r>
      <w:r>
        <w:rPr>
          <w:rFonts w:asciiTheme="minorHAnsi" w:eastAsiaTheme="minorEastAsia" w:hAnsi="Gill Sans MT" w:cstheme="minorBidi"/>
          <w:color w:val="000000" w:themeColor="text1"/>
          <w:kern w:val="24"/>
          <w:sz w:val="32"/>
          <w:szCs w:val="32"/>
        </w:rPr>
        <w:t xml:space="preserve"> Religions. </w:t>
      </w:r>
    </w:p>
    <w:p w14:paraId="5F7FB12B" w14:textId="77777777" w:rsidR="00A2271A" w:rsidRPr="007B7DF9" w:rsidRDefault="00A2271A" w:rsidP="00A2271A">
      <w:pPr>
        <w:pStyle w:val="NormalWeb"/>
        <w:spacing w:before="200" w:beforeAutospacing="0" w:after="0" w:afterAutospacing="0" w:line="288" w:lineRule="auto"/>
        <w:jc w:val="center"/>
      </w:pPr>
    </w:p>
    <w:p w14:paraId="480D4ADE" w14:textId="1DCAAC5C" w:rsidR="00A2271A" w:rsidRDefault="00A2271A" w:rsidP="00A2271A">
      <w:pPr>
        <w:spacing w:line="360" w:lineRule="auto"/>
        <w:rPr>
          <w:rFonts w:cstheme="minorHAnsi"/>
          <w:color w:val="000000"/>
          <w:sz w:val="24"/>
          <w:szCs w:val="24"/>
          <w:shd w:val="clear" w:color="auto" w:fill="FFFFFF"/>
        </w:rPr>
      </w:pPr>
      <w:r>
        <w:rPr>
          <w:rFonts w:cstheme="minorHAnsi"/>
          <w:sz w:val="24"/>
          <w:szCs w:val="24"/>
        </w:rPr>
        <w:t>Abraham was from a Mesopotamian, polytheistic background, and through the Book of Genesis, is viewed as the father and exemplar of the three great monotheistic faiths; the father of Isaac and Ishmael; the ancestor of Jesus; and the father and progenitor of the Jews. Abraham is considered the ‘first of the converts</w:t>
      </w:r>
      <w:r>
        <w:rPr>
          <w:rFonts w:cstheme="minorHAnsi"/>
          <w:sz w:val="24"/>
          <w:szCs w:val="24"/>
        </w:rPr>
        <w:t>.,</w:t>
      </w:r>
      <w:r>
        <w:rPr>
          <w:rFonts w:cstheme="minorHAnsi"/>
          <w:sz w:val="24"/>
          <w:szCs w:val="24"/>
        </w:rPr>
        <w:t>’</w:t>
      </w:r>
      <w:r>
        <w:rPr>
          <w:rFonts w:cstheme="minorHAnsi"/>
          <w:sz w:val="24"/>
          <w:szCs w:val="24"/>
        </w:rPr>
        <w:t xml:space="preserve"> </w:t>
      </w:r>
      <w:r>
        <w:rPr>
          <w:rStyle w:val="FootnoteReference"/>
          <w:rFonts w:cstheme="minorHAnsi"/>
          <w:sz w:val="24"/>
          <w:szCs w:val="24"/>
        </w:rPr>
        <w:footnoteReference w:id="1"/>
      </w:r>
      <w:r>
        <w:rPr>
          <w:rFonts w:cstheme="minorHAnsi"/>
          <w:sz w:val="24"/>
          <w:szCs w:val="24"/>
        </w:rPr>
        <w:t xml:space="preserve"> </w:t>
      </w:r>
      <w:bookmarkStart w:id="1" w:name="_Hlk141087526"/>
      <w:r w:rsidRPr="005C23D4">
        <w:rPr>
          <w:rFonts w:cstheme="minorHAnsi"/>
          <w:sz w:val="24"/>
          <w:szCs w:val="24"/>
          <w:vertAlign w:val="superscript"/>
        </w:rPr>
        <w:t>)</w:t>
      </w:r>
      <w:r>
        <w:rPr>
          <w:rFonts w:cstheme="minorHAnsi"/>
          <w:sz w:val="24"/>
          <w:szCs w:val="24"/>
        </w:rPr>
        <w:t xml:space="preserve">, and </w:t>
      </w:r>
      <w:r w:rsidRPr="005C23D4">
        <w:rPr>
          <w:rFonts w:cstheme="minorHAnsi"/>
          <w:color w:val="000000" w:themeColor="text1"/>
          <w:sz w:val="24"/>
          <w:szCs w:val="24"/>
        </w:rPr>
        <w:t xml:space="preserve">the first </w:t>
      </w:r>
      <w:r>
        <w:rPr>
          <w:rFonts w:cstheme="minorHAnsi"/>
          <w:color w:val="000000" w:themeColor="text1"/>
          <w:sz w:val="24"/>
          <w:szCs w:val="24"/>
        </w:rPr>
        <w:t>‘</w:t>
      </w:r>
      <w:r w:rsidRPr="005C23D4">
        <w:rPr>
          <w:rFonts w:cstheme="minorHAnsi"/>
          <w:color w:val="000000" w:themeColor="text1"/>
          <w:sz w:val="24"/>
          <w:szCs w:val="24"/>
        </w:rPr>
        <w:t>Hebr</w:t>
      </w:r>
      <w:r>
        <w:rPr>
          <w:rFonts w:cstheme="minorHAnsi"/>
          <w:color w:val="000000" w:themeColor="text1"/>
          <w:sz w:val="24"/>
          <w:szCs w:val="24"/>
        </w:rPr>
        <w:t xml:space="preserve">ew’, Gen 14:13, or immigrant. </w:t>
      </w:r>
      <w:r w:rsidRPr="00026398">
        <w:rPr>
          <w:rFonts w:cstheme="minorHAnsi"/>
          <w:color w:val="000000" w:themeColor="text1"/>
          <w:sz w:val="24"/>
          <w:szCs w:val="24"/>
        </w:rPr>
        <w:t>The emigration of Abraham is the first we see of Abraham’s faith, set</w:t>
      </w:r>
      <w:r>
        <w:rPr>
          <w:rFonts w:cstheme="minorHAnsi"/>
          <w:color w:val="000000" w:themeColor="text1"/>
          <w:sz w:val="24"/>
          <w:szCs w:val="24"/>
        </w:rPr>
        <w:t>ting</w:t>
      </w:r>
      <w:r w:rsidRPr="00026398">
        <w:rPr>
          <w:rFonts w:cstheme="minorHAnsi"/>
          <w:color w:val="000000" w:themeColor="text1"/>
          <w:sz w:val="24"/>
          <w:szCs w:val="24"/>
        </w:rPr>
        <w:t xml:space="preserve"> him apart in </w:t>
      </w:r>
      <w:r w:rsidRPr="00026398">
        <w:rPr>
          <w:rFonts w:eastAsia="Times New Roman" w:cstheme="minorHAnsi"/>
          <w:color w:val="000000"/>
          <w:kern w:val="0"/>
          <w:sz w:val="24"/>
          <w:szCs w:val="24"/>
          <w:lang w:eastAsia="en-GB"/>
          <w14:ligatures w14:val="none"/>
        </w:rPr>
        <w:t>Gen 11</w:t>
      </w:r>
      <w:r>
        <w:rPr>
          <w:rFonts w:eastAsia="Times New Roman" w:cstheme="minorHAnsi"/>
          <w:color w:val="000000"/>
          <w:kern w:val="0"/>
          <w:sz w:val="24"/>
          <w:szCs w:val="24"/>
          <w:lang w:eastAsia="en-GB"/>
          <w14:ligatures w14:val="none"/>
        </w:rPr>
        <w:t>:</w:t>
      </w:r>
      <w:r w:rsidRPr="00026398">
        <w:rPr>
          <w:rFonts w:eastAsia="Times New Roman" w:cstheme="minorHAnsi"/>
          <w:color w:val="000000"/>
          <w:kern w:val="0"/>
          <w:sz w:val="24"/>
          <w:szCs w:val="24"/>
          <w:lang w:eastAsia="en-GB"/>
          <w14:ligatures w14:val="none"/>
        </w:rPr>
        <w:t>3-9</w:t>
      </w:r>
      <w:r>
        <w:rPr>
          <w:rFonts w:eastAsia="Times New Roman" w:cstheme="minorHAnsi"/>
          <w:color w:val="000000"/>
          <w:kern w:val="0"/>
          <w:sz w:val="24"/>
          <w:szCs w:val="24"/>
          <w:lang w:eastAsia="en-GB"/>
          <w14:ligatures w14:val="none"/>
        </w:rPr>
        <w:t xml:space="preserve">, </w:t>
      </w:r>
      <w:r>
        <w:rPr>
          <w:rFonts w:cstheme="minorHAnsi"/>
          <w:color w:val="000000"/>
          <w:sz w:val="24"/>
          <w:szCs w:val="24"/>
          <w:shd w:val="clear" w:color="auto" w:fill="FFFFFF"/>
        </w:rPr>
        <w:t>where Abraham would rather trust in God, than in humanity.</w:t>
      </w:r>
      <w:bookmarkEnd w:id="1"/>
      <w:r>
        <w:rPr>
          <w:rFonts w:cstheme="minorHAnsi"/>
          <w:color w:val="000000"/>
          <w:sz w:val="24"/>
          <w:szCs w:val="24"/>
          <w:shd w:val="clear" w:color="auto" w:fill="FFFFFF"/>
        </w:rPr>
        <w:t xml:space="preserve"> </w:t>
      </w:r>
      <w:r>
        <w:rPr>
          <w:rStyle w:val="FootnoteReference"/>
          <w:rFonts w:cstheme="minorHAnsi"/>
          <w:color w:val="000000"/>
          <w:sz w:val="24"/>
          <w:szCs w:val="24"/>
          <w:shd w:val="clear" w:color="auto" w:fill="FFFFFF"/>
        </w:rPr>
        <w:footnoteReference w:id="2"/>
      </w:r>
    </w:p>
    <w:p w14:paraId="38A92B3A" w14:textId="77777777" w:rsidR="00A2271A" w:rsidRDefault="00A2271A" w:rsidP="00A2271A">
      <w:pPr>
        <w:spacing w:line="360" w:lineRule="auto"/>
        <w:rPr>
          <w:rFonts w:cstheme="minorHAnsi"/>
          <w:sz w:val="24"/>
          <w:szCs w:val="24"/>
        </w:rPr>
      </w:pPr>
      <w:r>
        <w:rPr>
          <w:rFonts w:cstheme="minorHAnsi"/>
          <w:sz w:val="24"/>
          <w:szCs w:val="24"/>
        </w:rPr>
        <w:t>The events in Egypt, Gen 12:11-20, question the faith of Abraham, in allowing, or even encouraging his wife into concubinage, for financial gain and personal safety. This could be interpreted as demonstrating complete faith in God’s promise, with or without Sarah, whose name is not referenced as the mother of any offspring in the promises made in Genesis 12. However, his actions proved problematic for those exalting the father of the Jews.</w:t>
      </w:r>
    </w:p>
    <w:p w14:paraId="32419C1F" w14:textId="2B561108" w:rsidR="00A2271A" w:rsidRDefault="00A2271A" w:rsidP="00A2271A">
      <w:pPr>
        <w:spacing w:line="360" w:lineRule="auto"/>
        <w:rPr>
          <w:rFonts w:cstheme="minorHAnsi"/>
          <w:sz w:val="24"/>
          <w:szCs w:val="24"/>
        </w:rPr>
      </w:pPr>
      <w:r>
        <w:rPr>
          <w:rFonts w:cstheme="minorHAnsi"/>
          <w:sz w:val="24"/>
          <w:szCs w:val="24"/>
        </w:rPr>
        <w:t>The ‘Genesis Apocryphon’,</w:t>
      </w:r>
      <w:r>
        <w:rPr>
          <w:rFonts w:cstheme="minorHAnsi"/>
          <w:sz w:val="24"/>
          <w:szCs w:val="24"/>
        </w:rPr>
        <w:t xml:space="preserve"> </w:t>
      </w:r>
      <w:r>
        <w:rPr>
          <w:rStyle w:val="FootnoteReference"/>
          <w:rFonts w:cstheme="minorHAnsi"/>
          <w:sz w:val="24"/>
          <w:szCs w:val="24"/>
        </w:rPr>
        <w:footnoteReference w:id="3"/>
      </w:r>
      <w:r>
        <w:rPr>
          <w:rFonts w:cstheme="minorHAnsi"/>
          <w:sz w:val="24"/>
          <w:szCs w:val="24"/>
        </w:rPr>
        <w:t xml:space="preserve"> </w:t>
      </w:r>
      <w:r>
        <w:rPr>
          <w:rFonts w:cstheme="minorHAnsi"/>
          <w:sz w:val="24"/>
          <w:szCs w:val="24"/>
        </w:rPr>
        <w:t>circa early first century BC, during the late Second Temple period, is one of the Dead Sea Scrolls, and has been interpreted under the umbrella of ‘para-biblical’ literature; almost an exegetical rewriting of Genesis. This enables the editors to receive and explain incidents that could be misinterpreted, including Gen 12:11-20.</w:t>
      </w:r>
    </w:p>
    <w:p w14:paraId="552CE705" w14:textId="77777777" w:rsidR="00A2271A" w:rsidRDefault="00A2271A" w:rsidP="00A2271A">
      <w:pPr>
        <w:spacing w:line="360" w:lineRule="auto"/>
        <w:rPr>
          <w:rFonts w:cstheme="minorHAnsi"/>
          <w:color w:val="000000" w:themeColor="text1"/>
          <w:sz w:val="24"/>
          <w:szCs w:val="24"/>
        </w:rPr>
      </w:pPr>
      <w:bookmarkStart w:id="3" w:name="_Hlk141087818"/>
      <w:r w:rsidRPr="00E62270">
        <w:rPr>
          <w:rFonts w:cstheme="minorHAnsi"/>
          <w:sz w:val="24"/>
          <w:szCs w:val="24"/>
        </w:rPr>
        <w:lastRenderedPageBreak/>
        <w:t>In the ‘Apocryphon’, Abraham tells of a dream</w:t>
      </w:r>
      <w:r>
        <w:rPr>
          <w:rFonts w:cstheme="minorHAnsi"/>
          <w:sz w:val="24"/>
          <w:szCs w:val="24"/>
        </w:rPr>
        <w:t xml:space="preserve"> on their arrival in Egypt</w:t>
      </w:r>
      <w:r w:rsidRPr="00E62270">
        <w:rPr>
          <w:rFonts w:cstheme="minorHAnsi"/>
          <w:sz w:val="24"/>
          <w:szCs w:val="24"/>
        </w:rPr>
        <w:t xml:space="preserve">, where he is a cedar tree, about to be cut down, </w:t>
      </w:r>
      <w:r>
        <w:rPr>
          <w:rFonts w:cstheme="minorHAnsi"/>
          <w:sz w:val="24"/>
          <w:szCs w:val="24"/>
        </w:rPr>
        <w:t xml:space="preserve">but </w:t>
      </w:r>
      <w:r w:rsidRPr="00E62270">
        <w:rPr>
          <w:rFonts w:cstheme="minorHAnsi"/>
          <w:sz w:val="24"/>
          <w:szCs w:val="24"/>
        </w:rPr>
        <w:t>is protected by Sarah,</w:t>
      </w:r>
      <w:r>
        <w:rPr>
          <w:rFonts w:cstheme="minorHAnsi"/>
          <w:sz w:val="24"/>
          <w:szCs w:val="24"/>
        </w:rPr>
        <w:t xml:space="preserve"> as a</w:t>
      </w:r>
      <w:r w:rsidRPr="00E62270">
        <w:rPr>
          <w:rFonts w:cstheme="minorHAnsi"/>
          <w:sz w:val="24"/>
          <w:szCs w:val="24"/>
        </w:rPr>
        <w:t xml:space="preserve"> palm tree</w:t>
      </w:r>
      <w:r>
        <w:rPr>
          <w:rFonts w:cstheme="minorHAnsi"/>
          <w:sz w:val="24"/>
          <w:szCs w:val="24"/>
        </w:rPr>
        <w:t xml:space="preserve"> </w:t>
      </w:r>
      <w:r w:rsidRPr="00E62270">
        <w:rPr>
          <w:rFonts w:cstheme="minorHAnsi"/>
          <w:sz w:val="24"/>
          <w:szCs w:val="24"/>
        </w:rPr>
        <w:t>plead</w:t>
      </w:r>
      <w:r>
        <w:rPr>
          <w:rFonts w:cstheme="minorHAnsi"/>
          <w:sz w:val="24"/>
          <w:szCs w:val="24"/>
        </w:rPr>
        <w:t>ing</w:t>
      </w:r>
      <w:r w:rsidRPr="00E62270">
        <w:rPr>
          <w:rFonts w:cstheme="minorHAnsi"/>
          <w:sz w:val="24"/>
          <w:szCs w:val="24"/>
        </w:rPr>
        <w:t>,</w:t>
      </w:r>
      <w:r w:rsidRPr="00E62270">
        <w:rPr>
          <w:rFonts w:ascii="Helvetica" w:hAnsi="Helvetica"/>
          <w:color w:val="333333"/>
          <w:sz w:val="24"/>
          <w:szCs w:val="24"/>
        </w:rPr>
        <w:t xml:space="preserve"> </w:t>
      </w:r>
      <w:r w:rsidRPr="00E62270">
        <w:rPr>
          <w:rFonts w:cstheme="minorHAnsi"/>
          <w:color w:val="000000" w:themeColor="text1"/>
          <w:sz w:val="24"/>
          <w:szCs w:val="24"/>
        </w:rPr>
        <w:t xml:space="preserve">‘Do not chop down the cedar, for both of us are from </w:t>
      </w:r>
      <w:proofErr w:type="gramStart"/>
      <w:r w:rsidRPr="00E62270">
        <w:rPr>
          <w:rFonts w:cstheme="minorHAnsi"/>
          <w:color w:val="000000" w:themeColor="text1"/>
          <w:sz w:val="24"/>
          <w:szCs w:val="24"/>
        </w:rPr>
        <w:t>o[</w:t>
      </w:r>
      <w:proofErr w:type="gramEnd"/>
      <w:r w:rsidRPr="00E62270">
        <w:rPr>
          <w:rFonts w:cstheme="minorHAnsi"/>
          <w:color w:val="000000" w:themeColor="text1"/>
          <w:sz w:val="24"/>
          <w:szCs w:val="24"/>
        </w:rPr>
        <w:t>ne r]</w:t>
      </w:r>
      <w:proofErr w:type="spellStart"/>
      <w:r w:rsidRPr="00E62270">
        <w:rPr>
          <w:rFonts w:cstheme="minorHAnsi"/>
          <w:color w:val="000000" w:themeColor="text1"/>
          <w:sz w:val="24"/>
          <w:szCs w:val="24"/>
        </w:rPr>
        <w:t>oot</w:t>
      </w:r>
      <w:proofErr w:type="spellEnd"/>
      <w:r w:rsidRPr="00E62270">
        <w:rPr>
          <w:rFonts w:cstheme="minorHAnsi"/>
          <w:color w:val="000000" w:themeColor="text1"/>
          <w:sz w:val="24"/>
          <w:szCs w:val="24"/>
        </w:rPr>
        <w:t>!’ And the cedar was left alone thanks to the protection of the palm and was not [chopped down].’</w:t>
      </w:r>
      <w:bookmarkEnd w:id="3"/>
      <w:r>
        <w:rPr>
          <w:rFonts w:cstheme="minorHAnsi"/>
          <w:color w:val="000000" w:themeColor="text1"/>
          <w:sz w:val="24"/>
          <w:szCs w:val="24"/>
        </w:rPr>
        <w:t xml:space="preserve"> </w:t>
      </w:r>
      <w:r>
        <w:rPr>
          <w:rStyle w:val="FootnoteReference"/>
          <w:rFonts w:cstheme="minorHAnsi"/>
          <w:color w:val="000000" w:themeColor="text1"/>
          <w:sz w:val="24"/>
          <w:szCs w:val="24"/>
        </w:rPr>
        <w:footnoteReference w:id="4"/>
      </w:r>
      <w:r>
        <w:rPr>
          <w:rFonts w:cstheme="minorHAnsi"/>
          <w:color w:val="000000" w:themeColor="text1"/>
          <w:sz w:val="24"/>
          <w:szCs w:val="24"/>
        </w:rPr>
        <w:t xml:space="preserve"> </w:t>
      </w:r>
      <w:r w:rsidRPr="000D09F4">
        <w:rPr>
          <w:rFonts w:cstheme="minorHAnsi"/>
          <w:color w:val="000000" w:themeColor="text1"/>
          <w:sz w:val="24"/>
          <w:szCs w:val="24"/>
        </w:rPr>
        <w:t>Abraham explains th</w:t>
      </w:r>
      <w:r>
        <w:rPr>
          <w:rFonts w:cstheme="minorHAnsi"/>
          <w:color w:val="000000" w:themeColor="text1"/>
          <w:sz w:val="24"/>
          <w:szCs w:val="24"/>
        </w:rPr>
        <w:t>is</w:t>
      </w:r>
      <w:r w:rsidRPr="000D09F4">
        <w:rPr>
          <w:rFonts w:cstheme="minorHAnsi"/>
          <w:color w:val="000000" w:themeColor="text1"/>
          <w:sz w:val="24"/>
          <w:szCs w:val="24"/>
        </w:rPr>
        <w:t xml:space="preserve"> to Sarah, whence ‘Sarai wept over my words that night.’</w:t>
      </w:r>
      <w:r>
        <w:rPr>
          <w:rFonts w:cstheme="minorHAnsi"/>
          <w:color w:val="000000" w:themeColor="text1"/>
          <w:sz w:val="24"/>
          <w:szCs w:val="24"/>
        </w:rPr>
        <w:t xml:space="preserve"> </w:t>
      </w:r>
      <w:r>
        <w:rPr>
          <w:rStyle w:val="FootnoteReference"/>
          <w:rFonts w:cstheme="minorHAnsi"/>
          <w:color w:val="000000" w:themeColor="text1"/>
          <w:sz w:val="24"/>
          <w:szCs w:val="24"/>
        </w:rPr>
        <w:footnoteReference w:id="5"/>
      </w:r>
      <w:r>
        <w:rPr>
          <w:rFonts w:cstheme="minorHAnsi"/>
          <w:color w:val="000000" w:themeColor="text1"/>
          <w:sz w:val="24"/>
          <w:szCs w:val="24"/>
        </w:rPr>
        <w:t xml:space="preserve"> </w:t>
      </w:r>
      <w:r w:rsidRPr="000B6ED6">
        <w:rPr>
          <w:rFonts w:cstheme="minorHAnsi"/>
          <w:color w:val="000000" w:themeColor="text1"/>
          <w:sz w:val="24"/>
          <w:szCs w:val="24"/>
        </w:rPr>
        <w:t>In the ‘Apocryphon’ this does not happen for five years after their arrival in Egypt</w:t>
      </w:r>
      <w:r>
        <w:rPr>
          <w:rFonts w:cstheme="minorHAnsi"/>
          <w:color w:val="000000" w:themeColor="text1"/>
          <w:sz w:val="24"/>
          <w:szCs w:val="24"/>
        </w:rPr>
        <w:t>, and could be suggesting that they are related, as from the same root.</w:t>
      </w:r>
    </w:p>
    <w:p w14:paraId="6998C2F6" w14:textId="77777777" w:rsidR="00E90ABB" w:rsidRDefault="00A2271A" w:rsidP="00E90ABB">
      <w:pPr>
        <w:spacing w:line="360" w:lineRule="auto"/>
        <w:rPr>
          <w:rFonts w:cstheme="minorHAnsi"/>
          <w:color w:val="000000" w:themeColor="text1"/>
          <w:sz w:val="24"/>
          <w:szCs w:val="24"/>
        </w:rPr>
      </w:pPr>
      <w:r>
        <w:rPr>
          <w:rFonts w:cstheme="minorHAnsi"/>
          <w:color w:val="000000" w:themeColor="text1"/>
          <w:sz w:val="24"/>
          <w:szCs w:val="24"/>
        </w:rPr>
        <w:t>The ‘Apocryphon’</w:t>
      </w:r>
      <w:r w:rsidRPr="000B6ED6">
        <w:rPr>
          <w:rFonts w:cstheme="minorHAnsi"/>
          <w:color w:val="000000" w:themeColor="text1"/>
          <w:sz w:val="24"/>
          <w:szCs w:val="24"/>
        </w:rPr>
        <w:t xml:space="preserve"> describes her expression, facial features, </w:t>
      </w:r>
      <w:r>
        <w:rPr>
          <w:rFonts w:cstheme="minorHAnsi"/>
          <w:color w:val="000000" w:themeColor="text1"/>
          <w:sz w:val="24"/>
          <w:szCs w:val="24"/>
        </w:rPr>
        <w:t>and body</w:t>
      </w:r>
      <w:r w:rsidRPr="000B6ED6">
        <w:rPr>
          <w:rFonts w:cstheme="minorHAnsi"/>
          <w:color w:val="000000" w:themeColor="text1"/>
          <w:sz w:val="24"/>
          <w:szCs w:val="24"/>
        </w:rPr>
        <w:t>, ‘how lovely is her breast … how perfect are her thighs’, no bride could be ‘more beautiful … her beauty is high above all of them…. And with all this beauty she possesses much wisdom.’</w:t>
      </w:r>
      <w:r>
        <w:rPr>
          <w:rFonts w:cstheme="minorHAnsi"/>
          <w:color w:val="000000" w:themeColor="text1"/>
          <w:sz w:val="24"/>
          <w:szCs w:val="24"/>
        </w:rPr>
        <w:t xml:space="preserve"> </w:t>
      </w:r>
      <w:r>
        <w:rPr>
          <w:rStyle w:val="FootnoteReference"/>
          <w:rFonts w:cstheme="minorHAnsi"/>
          <w:color w:val="000000" w:themeColor="text1"/>
          <w:sz w:val="24"/>
          <w:szCs w:val="24"/>
        </w:rPr>
        <w:footnoteReference w:id="6"/>
      </w:r>
      <w:r>
        <w:rPr>
          <w:rFonts w:cstheme="minorHAnsi"/>
          <w:color w:val="000000" w:themeColor="text1"/>
          <w:sz w:val="24"/>
          <w:szCs w:val="24"/>
        </w:rPr>
        <w:t xml:space="preserve"> </w:t>
      </w:r>
      <w:r w:rsidRPr="000B6ED6">
        <w:rPr>
          <w:rFonts w:cstheme="minorHAnsi"/>
          <w:sz w:val="24"/>
          <w:szCs w:val="24"/>
        </w:rPr>
        <w:t>This description of Sarah is ‘composed as a ‘</w:t>
      </w:r>
      <w:proofErr w:type="spellStart"/>
      <w:r w:rsidRPr="000B6ED6">
        <w:rPr>
          <w:rFonts w:cstheme="minorHAnsi"/>
          <w:sz w:val="24"/>
          <w:szCs w:val="24"/>
        </w:rPr>
        <w:t>wasf</w:t>
      </w:r>
      <w:proofErr w:type="spellEnd"/>
      <w:r w:rsidRPr="000B6ED6">
        <w:rPr>
          <w:rFonts w:cstheme="minorHAnsi"/>
          <w:sz w:val="24"/>
          <w:szCs w:val="24"/>
        </w:rPr>
        <w:t>’, a style of Near Eastern poetry, as in the Song of Solomon, wh</w:t>
      </w:r>
      <w:r>
        <w:rPr>
          <w:rFonts w:cstheme="minorHAnsi"/>
          <w:sz w:val="24"/>
          <w:szCs w:val="24"/>
        </w:rPr>
        <w:t>ence</w:t>
      </w:r>
      <w:r w:rsidRPr="000B6ED6">
        <w:rPr>
          <w:rFonts w:cstheme="minorHAnsi"/>
          <w:sz w:val="24"/>
          <w:szCs w:val="24"/>
        </w:rPr>
        <w:t xml:space="preserve"> the narrator describes their lover, moving down her body</w:t>
      </w:r>
      <w:r>
        <w:rPr>
          <w:rFonts w:cstheme="minorHAnsi"/>
          <w:sz w:val="24"/>
          <w:szCs w:val="24"/>
        </w:rPr>
        <w:t>,</w:t>
      </w:r>
      <w:r w:rsidRPr="000B6ED6">
        <w:rPr>
          <w:rFonts w:cstheme="minorHAnsi"/>
          <w:sz w:val="24"/>
          <w:szCs w:val="24"/>
        </w:rPr>
        <w:t>’</w:t>
      </w:r>
      <w:r>
        <w:rPr>
          <w:rFonts w:cstheme="minorHAnsi"/>
          <w:sz w:val="24"/>
          <w:szCs w:val="24"/>
        </w:rPr>
        <w:t xml:space="preserve"> </w:t>
      </w:r>
      <w:r>
        <w:rPr>
          <w:rStyle w:val="FootnoteReference"/>
          <w:rFonts w:cstheme="minorHAnsi"/>
          <w:sz w:val="24"/>
          <w:szCs w:val="24"/>
        </w:rPr>
        <w:footnoteReference w:id="7"/>
      </w:r>
      <w:r w:rsidR="00E90ABB">
        <w:rPr>
          <w:rFonts w:cstheme="minorHAnsi"/>
          <w:sz w:val="24"/>
          <w:szCs w:val="24"/>
        </w:rPr>
        <w:t xml:space="preserve"> </w:t>
      </w:r>
      <w:r w:rsidR="00E90ABB" w:rsidRPr="000B6ED6">
        <w:rPr>
          <w:rFonts w:cstheme="minorHAnsi"/>
          <w:sz w:val="24"/>
          <w:szCs w:val="24"/>
        </w:rPr>
        <w:t>portray</w:t>
      </w:r>
      <w:r w:rsidR="00E90ABB">
        <w:rPr>
          <w:rFonts w:cstheme="minorHAnsi"/>
          <w:sz w:val="24"/>
          <w:szCs w:val="24"/>
        </w:rPr>
        <w:t xml:space="preserve">ing </w:t>
      </w:r>
      <w:r w:rsidR="00E90ABB" w:rsidRPr="000B6ED6">
        <w:rPr>
          <w:rFonts w:cstheme="minorHAnsi"/>
          <w:sz w:val="24"/>
          <w:szCs w:val="24"/>
          <w:shd w:val="clear" w:color="auto" w:fill="FFFFFF"/>
        </w:rPr>
        <w:t>the pleasure of those seeing the woman’s beauty and sensuality, still visible through her wisdom</w:t>
      </w:r>
      <w:r w:rsidR="00E90ABB">
        <w:rPr>
          <w:rFonts w:cstheme="minorHAnsi"/>
          <w:sz w:val="24"/>
          <w:szCs w:val="24"/>
          <w:shd w:val="clear" w:color="auto" w:fill="FFFFFF"/>
        </w:rPr>
        <w:t xml:space="preserve">, and </w:t>
      </w:r>
      <w:r w:rsidR="00E90ABB" w:rsidRPr="000B6ED6">
        <w:rPr>
          <w:rFonts w:cstheme="minorHAnsi"/>
          <w:sz w:val="24"/>
          <w:szCs w:val="24"/>
          <w:shd w:val="clear" w:color="auto" w:fill="FFFFFF"/>
        </w:rPr>
        <w:t>reflected in the world</w:t>
      </w:r>
      <w:r w:rsidR="00E90ABB">
        <w:rPr>
          <w:rFonts w:cstheme="minorHAnsi"/>
          <w:sz w:val="24"/>
          <w:szCs w:val="24"/>
          <w:shd w:val="clear" w:color="auto" w:fill="FFFFFF"/>
        </w:rPr>
        <w:t>, emphasising</w:t>
      </w:r>
      <w:r w:rsidR="00E90ABB" w:rsidRPr="000B6ED6">
        <w:rPr>
          <w:rFonts w:cstheme="minorHAnsi"/>
          <w:sz w:val="24"/>
          <w:szCs w:val="24"/>
          <w:shd w:val="clear" w:color="auto" w:fill="FFFFFF"/>
        </w:rPr>
        <w:t xml:space="preserve"> the beauty and femininity of the mother of the Jews. </w:t>
      </w:r>
      <w:r w:rsidR="00E90ABB">
        <w:rPr>
          <w:rFonts w:cstheme="minorHAnsi"/>
          <w:color w:val="000000" w:themeColor="text1"/>
          <w:sz w:val="24"/>
          <w:szCs w:val="24"/>
        </w:rPr>
        <w:t xml:space="preserve"> </w:t>
      </w:r>
      <w:r w:rsidR="00E90ABB" w:rsidRPr="00861772">
        <w:rPr>
          <w:rFonts w:cstheme="minorHAnsi"/>
          <w:color w:val="000000" w:themeColor="text1"/>
          <w:sz w:val="24"/>
          <w:szCs w:val="24"/>
        </w:rPr>
        <w:t>Th</w:t>
      </w:r>
      <w:r w:rsidR="00E90ABB">
        <w:rPr>
          <w:rFonts w:cstheme="minorHAnsi"/>
          <w:color w:val="000000" w:themeColor="text1"/>
          <w:sz w:val="24"/>
          <w:szCs w:val="24"/>
        </w:rPr>
        <w:t>ese points</w:t>
      </w:r>
      <w:r w:rsidR="00E90ABB" w:rsidRPr="00861772">
        <w:rPr>
          <w:rFonts w:cstheme="minorHAnsi"/>
          <w:color w:val="000000" w:themeColor="text1"/>
          <w:sz w:val="24"/>
          <w:szCs w:val="24"/>
        </w:rPr>
        <w:t xml:space="preserve"> explain the real motivation for Abraham </w:t>
      </w:r>
      <w:r w:rsidR="00E90ABB">
        <w:rPr>
          <w:rFonts w:cstheme="minorHAnsi"/>
          <w:color w:val="000000" w:themeColor="text1"/>
          <w:sz w:val="24"/>
          <w:szCs w:val="24"/>
        </w:rPr>
        <w:t xml:space="preserve">in </w:t>
      </w:r>
      <w:r w:rsidR="00E90ABB" w:rsidRPr="00861772">
        <w:rPr>
          <w:rFonts w:cstheme="minorHAnsi"/>
          <w:color w:val="000000" w:themeColor="text1"/>
          <w:sz w:val="24"/>
          <w:szCs w:val="24"/>
        </w:rPr>
        <w:t>surrendering Sarah to Pharoah</w:t>
      </w:r>
      <w:r w:rsidR="00E90ABB">
        <w:rPr>
          <w:rFonts w:cstheme="minorHAnsi"/>
          <w:color w:val="000000" w:themeColor="text1"/>
          <w:sz w:val="24"/>
          <w:szCs w:val="24"/>
        </w:rPr>
        <w:t xml:space="preserve">; the dream </w:t>
      </w:r>
      <w:r w:rsidR="00E90ABB" w:rsidRPr="00861772">
        <w:rPr>
          <w:rFonts w:cstheme="minorHAnsi"/>
          <w:color w:val="000000" w:themeColor="text1"/>
          <w:sz w:val="24"/>
          <w:szCs w:val="24"/>
        </w:rPr>
        <w:t>absolving him of blame or weakness,</w:t>
      </w:r>
      <w:r w:rsidR="00E90ABB">
        <w:rPr>
          <w:rFonts w:cstheme="minorHAnsi"/>
          <w:color w:val="000000" w:themeColor="text1"/>
          <w:sz w:val="24"/>
          <w:szCs w:val="24"/>
        </w:rPr>
        <w:t xml:space="preserve"> whilst describing his heartbreak,</w:t>
      </w:r>
      <w:r w:rsidR="00E90ABB">
        <w:rPr>
          <w:rFonts w:cstheme="minorHAnsi"/>
          <w:color w:val="000000" w:themeColor="text1"/>
          <w:sz w:val="24"/>
          <w:szCs w:val="24"/>
        </w:rPr>
        <w:t xml:space="preserve"> </w:t>
      </w:r>
      <w:r w:rsidR="00E90ABB">
        <w:rPr>
          <w:rStyle w:val="FootnoteReference"/>
          <w:rFonts w:cstheme="minorHAnsi"/>
          <w:color w:val="000000" w:themeColor="text1"/>
          <w:sz w:val="24"/>
          <w:szCs w:val="24"/>
        </w:rPr>
        <w:footnoteReference w:id="8"/>
      </w:r>
      <w:r w:rsidR="00E90ABB">
        <w:rPr>
          <w:rFonts w:cstheme="minorHAnsi"/>
          <w:color w:val="000000" w:themeColor="text1"/>
          <w:sz w:val="24"/>
          <w:szCs w:val="24"/>
        </w:rPr>
        <w:t xml:space="preserve"> </w:t>
      </w:r>
      <w:r w:rsidR="00E90ABB">
        <w:rPr>
          <w:rFonts w:cstheme="minorHAnsi"/>
          <w:color w:val="000000" w:themeColor="text1"/>
          <w:sz w:val="24"/>
          <w:szCs w:val="24"/>
        </w:rPr>
        <w:t xml:space="preserve">and </w:t>
      </w:r>
      <w:r w:rsidR="00E90ABB" w:rsidRPr="00861772">
        <w:rPr>
          <w:rFonts w:cstheme="minorHAnsi"/>
          <w:color w:val="000000" w:themeColor="text1"/>
          <w:sz w:val="24"/>
          <w:szCs w:val="24"/>
        </w:rPr>
        <w:t>emphasis</w:t>
      </w:r>
      <w:r w:rsidR="00E90ABB">
        <w:rPr>
          <w:rFonts w:cstheme="minorHAnsi"/>
          <w:color w:val="000000" w:themeColor="text1"/>
          <w:sz w:val="24"/>
          <w:szCs w:val="24"/>
        </w:rPr>
        <w:t>ing</w:t>
      </w:r>
      <w:r w:rsidR="00E90ABB" w:rsidRPr="00861772">
        <w:rPr>
          <w:rFonts w:cstheme="minorHAnsi"/>
          <w:color w:val="000000" w:themeColor="text1"/>
          <w:sz w:val="24"/>
          <w:szCs w:val="24"/>
        </w:rPr>
        <w:t xml:space="preserve"> Sarah’s unrivalled bea</w:t>
      </w:r>
      <w:r w:rsidR="00E90ABB">
        <w:rPr>
          <w:rFonts w:cstheme="minorHAnsi"/>
          <w:color w:val="000000" w:themeColor="text1"/>
          <w:sz w:val="24"/>
          <w:szCs w:val="24"/>
        </w:rPr>
        <w:t>u</w:t>
      </w:r>
      <w:r w:rsidR="00E90ABB" w:rsidRPr="00861772">
        <w:rPr>
          <w:rFonts w:cstheme="minorHAnsi"/>
          <w:color w:val="000000" w:themeColor="text1"/>
          <w:sz w:val="24"/>
          <w:szCs w:val="24"/>
        </w:rPr>
        <w:t>ty and femininity</w:t>
      </w:r>
      <w:r w:rsidR="00E90ABB">
        <w:rPr>
          <w:rFonts w:cstheme="minorHAnsi"/>
          <w:color w:val="000000" w:themeColor="text1"/>
          <w:sz w:val="24"/>
          <w:szCs w:val="24"/>
        </w:rPr>
        <w:t>.</w:t>
      </w:r>
    </w:p>
    <w:p w14:paraId="4E7DCD23" w14:textId="77777777" w:rsidR="00E90ABB" w:rsidRDefault="00E90ABB" w:rsidP="00E90ABB">
      <w:pPr>
        <w:spacing w:line="360" w:lineRule="auto"/>
        <w:rPr>
          <w:rFonts w:cstheme="minorHAnsi"/>
          <w:color w:val="000000" w:themeColor="text1"/>
          <w:sz w:val="24"/>
          <w:szCs w:val="24"/>
        </w:rPr>
      </w:pPr>
    </w:p>
    <w:p w14:paraId="73E3E23C" w14:textId="7DC08AB8" w:rsidR="00A2271A" w:rsidRDefault="00E90ABB" w:rsidP="00E90ABB">
      <w:pPr>
        <w:spacing w:line="360" w:lineRule="auto"/>
        <w:rPr>
          <w:rFonts w:cstheme="minorHAnsi"/>
          <w:sz w:val="24"/>
          <w:szCs w:val="24"/>
        </w:rPr>
      </w:pPr>
      <w:r>
        <w:rPr>
          <w:rFonts w:cstheme="minorHAnsi"/>
          <w:color w:val="000000" w:themeColor="text1"/>
          <w:sz w:val="24"/>
          <w:szCs w:val="24"/>
        </w:rPr>
        <w:t>This shows</w:t>
      </w:r>
      <w:r w:rsidRPr="00861772">
        <w:rPr>
          <w:rFonts w:cstheme="minorHAnsi"/>
          <w:color w:val="000000" w:themeColor="text1"/>
          <w:sz w:val="24"/>
          <w:szCs w:val="24"/>
        </w:rPr>
        <w:t xml:space="preserve"> a </w:t>
      </w:r>
      <w:r>
        <w:rPr>
          <w:rFonts w:cstheme="minorHAnsi"/>
          <w:color w:val="000000" w:themeColor="text1"/>
          <w:sz w:val="24"/>
          <w:szCs w:val="24"/>
        </w:rPr>
        <w:t xml:space="preserve">reception </w:t>
      </w:r>
      <w:r w:rsidRPr="00861772">
        <w:rPr>
          <w:rFonts w:cstheme="minorHAnsi"/>
          <w:color w:val="000000" w:themeColor="text1"/>
          <w:sz w:val="24"/>
          <w:szCs w:val="24"/>
        </w:rPr>
        <w:t>towards a different kind of expression regarding women in Judaism.</w:t>
      </w:r>
      <w:r w:rsidRPr="00E10905">
        <w:rPr>
          <w:rFonts w:cstheme="minorHAnsi"/>
          <w:color w:val="000000" w:themeColor="text1"/>
          <w:sz w:val="24"/>
          <w:szCs w:val="24"/>
        </w:rPr>
        <w:t xml:space="preserve"> </w:t>
      </w:r>
      <w:r>
        <w:rPr>
          <w:rFonts w:cstheme="minorHAnsi"/>
          <w:color w:val="000000" w:themeColor="text1"/>
          <w:sz w:val="24"/>
          <w:szCs w:val="24"/>
        </w:rPr>
        <w:t>Her thighs and breasts</w:t>
      </w:r>
      <w:r w:rsidRPr="00861772">
        <w:rPr>
          <w:rFonts w:cstheme="minorHAnsi"/>
          <w:color w:val="000000" w:themeColor="text1"/>
          <w:sz w:val="24"/>
          <w:szCs w:val="24"/>
        </w:rPr>
        <w:t xml:space="preserve"> </w:t>
      </w:r>
      <w:r>
        <w:rPr>
          <w:rFonts w:cstheme="minorHAnsi"/>
          <w:color w:val="000000" w:themeColor="text1"/>
          <w:sz w:val="24"/>
          <w:szCs w:val="24"/>
        </w:rPr>
        <w:t>are</w:t>
      </w:r>
      <w:r w:rsidRPr="00861772">
        <w:rPr>
          <w:rFonts w:cstheme="minorHAnsi"/>
          <w:color w:val="000000" w:themeColor="text1"/>
          <w:sz w:val="24"/>
          <w:szCs w:val="24"/>
        </w:rPr>
        <w:t xml:space="preserve"> portrayed as erotic,</w:t>
      </w:r>
      <w:r>
        <w:rPr>
          <w:rFonts w:cstheme="minorHAnsi"/>
          <w:color w:val="000000" w:themeColor="text1"/>
          <w:sz w:val="24"/>
          <w:szCs w:val="24"/>
        </w:rPr>
        <w:t xml:space="preserve"> </w:t>
      </w:r>
      <w:r>
        <w:rPr>
          <w:rStyle w:val="FootnoteReference"/>
          <w:rFonts w:cstheme="minorHAnsi"/>
          <w:color w:val="000000" w:themeColor="text1"/>
          <w:sz w:val="24"/>
          <w:szCs w:val="24"/>
        </w:rPr>
        <w:footnoteReference w:id="9"/>
      </w:r>
      <w:r>
        <w:rPr>
          <w:rFonts w:cstheme="minorHAnsi"/>
          <w:color w:val="000000" w:themeColor="text1"/>
          <w:sz w:val="24"/>
          <w:szCs w:val="24"/>
        </w:rPr>
        <w:t xml:space="preserve"> </w:t>
      </w:r>
      <w:r w:rsidRPr="00861772">
        <w:rPr>
          <w:rFonts w:cstheme="minorHAnsi"/>
          <w:color w:val="000000" w:themeColor="text1"/>
          <w:sz w:val="24"/>
          <w:szCs w:val="24"/>
        </w:rPr>
        <w:t xml:space="preserve">but </w:t>
      </w:r>
      <w:r>
        <w:rPr>
          <w:rFonts w:cstheme="minorHAnsi"/>
          <w:color w:val="000000" w:themeColor="text1"/>
          <w:sz w:val="24"/>
          <w:szCs w:val="24"/>
        </w:rPr>
        <w:t>with</w:t>
      </w:r>
      <w:r w:rsidRPr="00861772">
        <w:rPr>
          <w:rFonts w:cstheme="minorHAnsi"/>
          <w:color w:val="000000" w:themeColor="text1"/>
          <w:sz w:val="24"/>
          <w:szCs w:val="24"/>
        </w:rPr>
        <w:t xml:space="preserve"> an</w:t>
      </w:r>
      <w:r w:rsidRPr="00861772">
        <w:rPr>
          <w:sz w:val="24"/>
          <w:szCs w:val="24"/>
        </w:rPr>
        <w:t xml:space="preserve"> ‘element of morality and chastity to their eroticism.’</w:t>
      </w:r>
      <w:r>
        <w:rPr>
          <w:sz w:val="24"/>
          <w:szCs w:val="24"/>
        </w:rPr>
        <w:t xml:space="preserve"> </w:t>
      </w:r>
      <w:r>
        <w:rPr>
          <w:rStyle w:val="FootnoteReference"/>
          <w:sz w:val="24"/>
          <w:szCs w:val="24"/>
        </w:rPr>
        <w:footnoteReference w:id="10"/>
      </w:r>
      <w:r>
        <w:rPr>
          <w:sz w:val="24"/>
          <w:szCs w:val="24"/>
        </w:rPr>
        <w:t xml:space="preserve"> </w:t>
      </w:r>
      <w:r w:rsidRPr="00861772">
        <w:rPr>
          <w:sz w:val="24"/>
          <w:szCs w:val="24"/>
        </w:rPr>
        <w:t xml:space="preserve">This is </w:t>
      </w:r>
      <w:r>
        <w:rPr>
          <w:sz w:val="24"/>
          <w:szCs w:val="24"/>
        </w:rPr>
        <w:t>reinforced</w:t>
      </w:r>
      <w:r w:rsidRPr="00861772">
        <w:rPr>
          <w:sz w:val="24"/>
          <w:szCs w:val="24"/>
        </w:rPr>
        <w:t xml:space="preserve"> by Sarah being outside her normal physical surroundings,</w:t>
      </w:r>
      <w:r>
        <w:rPr>
          <w:sz w:val="24"/>
          <w:szCs w:val="24"/>
        </w:rPr>
        <w:t xml:space="preserve"> and</w:t>
      </w:r>
      <w:r w:rsidRPr="00861772">
        <w:rPr>
          <w:sz w:val="24"/>
          <w:szCs w:val="24"/>
        </w:rPr>
        <w:t xml:space="preserve"> </w:t>
      </w:r>
      <w:proofErr w:type="spellStart"/>
      <w:r w:rsidRPr="002563F7">
        <w:rPr>
          <w:sz w:val="24"/>
          <w:szCs w:val="24"/>
        </w:rPr>
        <w:t>Picus</w:t>
      </w:r>
      <w:proofErr w:type="spellEnd"/>
      <w:r w:rsidRPr="002563F7">
        <w:rPr>
          <w:sz w:val="24"/>
          <w:szCs w:val="24"/>
        </w:rPr>
        <w:t xml:space="preserve"> believes this displacement, enables the author to </w:t>
      </w:r>
      <w:r>
        <w:rPr>
          <w:sz w:val="24"/>
          <w:szCs w:val="24"/>
        </w:rPr>
        <w:t>‘</w:t>
      </w:r>
      <w:r w:rsidRPr="002563F7">
        <w:rPr>
          <w:sz w:val="24"/>
          <w:szCs w:val="24"/>
        </w:rPr>
        <w:t xml:space="preserve">give </w:t>
      </w:r>
      <w:r>
        <w:rPr>
          <w:sz w:val="24"/>
          <w:szCs w:val="24"/>
        </w:rPr>
        <w:t>‘</w:t>
      </w:r>
      <w:r w:rsidRPr="002563F7">
        <w:rPr>
          <w:sz w:val="24"/>
          <w:szCs w:val="24"/>
        </w:rPr>
        <w:t>Sarah an identity that she would normally be denied, yet still appear morally ambiguous.’</w:t>
      </w:r>
      <w:r>
        <w:rPr>
          <w:sz w:val="24"/>
          <w:szCs w:val="24"/>
        </w:rPr>
        <w:t xml:space="preserve"> </w:t>
      </w:r>
      <w:r>
        <w:rPr>
          <w:rStyle w:val="FootnoteReference"/>
          <w:sz w:val="24"/>
          <w:szCs w:val="24"/>
        </w:rPr>
        <w:footnoteReference w:id="11"/>
      </w:r>
      <w:r w:rsidR="007B6F38">
        <w:rPr>
          <w:sz w:val="24"/>
          <w:szCs w:val="24"/>
        </w:rPr>
        <w:t xml:space="preserve"> </w:t>
      </w:r>
      <w:r w:rsidR="007B6F38" w:rsidRPr="002563F7">
        <w:rPr>
          <w:sz w:val="24"/>
          <w:szCs w:val="24"/>
        </w:rPr>
        <w:t xml:space="preserve">This is achieved by the emphasis on Sarah’s </w:t>
      </w:r>
      <w:r w:rsidR="007B6F38">
        <w:rPr>
          <w:sz w:val="24"/>
          <w:szCs w:val="24"/>
        </w:rPr>
        <w:t xml:space="preserve">faithfulness to Abraham, </w:t>
      </w:r>
      <w:r w:rsidR="007B6F38" w:rsidRPr="002563F7">
        <w:rPr>
          <w:sz w:val="24"/>
          <w:szCs w:val="24"/>
        </w:rPr>
        <w:t xml:space="preserve">despite </w:t>
      </w:r>
      <w:r w:rsidR="007B6F38" w:rsidRPr="002563F7">
        <w:rPr>
          <w:color w:val="000000" w:themeColor="text1"/>
          <w:sz w:val="24"/>
          <w:szCs w:val="24"/>
        </w:rPr>
        <w:t xml:space="preserve">living as Pharoah’s wife for two years, </w:t>
      </w:r>
      <w:r w:rsidR="007B6F38" w:rsidRPr="002563F7">
        <w:rPr>
          <w:rFonts w:cstheme="minorHAnsi"/>
          <w:color w:val="000000" w:themeColor="text1"/>
          <w:sz w:val="24"/>
          <w:szCs w:val="24"/>
        </w:rPr>
        <w:t xml:space="preserve">for </w:t>
      </w:r>
      <w:r w:rsidR="007B6F38">
        <w:rPr>
          <w:rFonts w:cstheme="minorHAnsi"/>
          <w:color w:val="000000" w:themeColor="text1"/>
          <w:sz w:val="24"/>
          <w:szCs w:val="24"/>
        </w:rPr>
        <w:t>he</w:t>
      </w:r>
      <w:r w:rsidR="007B6F38" w:rsidRPr="002563F7">
        <w:rPr>
          <w:rFonts w:cstheme="minorHAnsi"/>
          <w:color w:val="000000" w:themeColor="text1"/>
          <w:sz w:val="24"/>
          <w:szCs w:val="24"/>
        </w:rPr>
        <w:t xml:space="preserve"> </w:t>
      </w:r>
      <w:r w:rsidR="007B6F38">
        <w:rPr>
          <w:rFonts w:cstheme="minorHAnsi"/>
          <w:color w:val="000000" w:themeColor="text1"/>
          <w:sz w:val="24"/>
          <w:szCs w:val="24"/>
        </w:rPr>
        <w:t>‘</w:t>
      </w:r>
      <w:r w:rsidR="007B6F38" w:rsidRPr="002563F7">
        <w:rPr>
          <w:rFonts w:cstheme="minorHAnsi"/>
          <w:color w:val="000000" w:themeColor="text1"/>
          <w:sz w:val="24"/>
          <w:szCs w:val="24"/>
          <w:vertAlign w:val="superscript"/>
        </w:rPr>
        <w:t>‘</w:t>
      </w:r>
      <w:r w:rsidR="007B6F38" w:rsidRPr="002563F7">
        <w:rPr>
          <w:rFonts w:cstheme="minorHAnsi"/>
          <w:color w:val="000000" w:themeColor="text1"/>
          <w:sz w:val="24"/>
          <w:szCs w:val="24"/>
          <w:shd w:val="clear" w:color="auto" w:fill="FFFFFF"/>
        </w:rPr>
        <w:t>was unable to approach her, and indeed he did not have sexual relations with her.</w:t>
      </w:r>
      <w:r w:rsidR="007B6F38">
        <w:rPr>
          <w:rFonts w:cstheme="minorHAnsi"/>
          <w:color w:val="000000" w:themeColor="text1"/>
          <w:sz w:val="24"/>
          <w:szCs w:val="24"/>
          <w:shd w:val="clear" w:color="auto" w:fill="FFFFFF"/>
        </w:rPr>
        <w:t>’</w:t>
      </w:r>
      <w:r w:rsidR="007B6F38">
        <w:rPr>
          <w:rFonts w:cstheme="minorHAnsi"/>
          <w:color w:val="000000" w:themeColor="text1"/>
          <w:sz w:val="24"/>
          <w:szCs w:val="24"/>
          <w:shd w:val="clear" w:color="auto" w:fill="FFFFFF"/>
        </w:rPr>
        <w:t xml:space="preserve"> </w:t>
      </w:r>
      <w:r w:rsidR="007B6F38">
        <w:rPr>
          <w:rStyle w:val="FootnoteReference"/>
          <w:rFonts w:cstheme="minorHAnsi"/>
          <w:color w:val="000000" w:themeColor="text1"/>
          <w:sz w:val="24"/>
          <w:szCs w:val="24"/>
          <w:shd w:val="clear" w:color="auto" w:fill="FFFFFF"/>
        </w:rPr>
        <w:footnoteReference w:id="12"/>
      </w:r>
      <w:r w:rsidR="007B6F38">
        <w:rPr>
          <w:rFonts w:cstheme="minorHAnsi"/>
          <w:color w:val="000000" w:themeColor="text1"/>
          <w:sz w:val="24"/>
          <w:szCs w:val="24"/>
          <w:shd w:val="clear" w:color="auto" w:fill="FFFFFF"/>
        </w:rPr>
        <w:t xml:space="preserve"> </w:t>
      </w:r>
      <w:r w:rsidR="007B6F38" w:rsidRPr="00E36795">
        <w:rPr>
          <w:rFonts w:cstheme="minorHAnsi"/>
          <w:color w:val="000000" w:themeColor="text1"/>
          <w:sz w:val="24"/>
          <w:szCs w:val="24"/>
          <w:shd w:val="clear" w:color="auto" w:fill="FFFFFF"/>
        </w:rPr>
        <w:t xml:space="preserve">This explanation allows </w:t>
      </w:r>
      <w:r w:rsidR="007B6F38" w:rsidRPr="00E36795">
        <w:rPr>
          <w:rFonts w:cstheme="minorHAnsi"/>
          <w:sz w:val="24"/>
          <w:szCs w:val="24"/>
        </w:rPr>
        <w:t xml:space="preserve">her marriage to remain intact, </w:t>
      </w:r>
      <w:r w:rsidR="007B6F38">
        <w:rPr>
          <w:rFonts w:cstheme="minorHAnsi"/>
          <w:sz w:val="24"/>
          <w:szCs w:val="24"/>
        </w:rPr>
        <w:t>‘</w:t>
      </w:r>
      <w:r w:rsidR="007B6F38" w:rsidRPr="00E36795">
        <w:rPr>
          <w:rFonts w:cstheme="minorHAnsi"/>
          <w:sz w:val="24"/>
          <w:szCs w:val="24"/>
        </w:rPr>
        <w:t>as does her ability to be the first true matriarch of the Jewish people</w:t>
      </w:r>
      <w:r w:rsidR="007B6F38">
        <w:rPr>
          <w:rFonts w:cstheme="minorHAnsi"/>
          <w:sz w:val="24"/>
          <w:szCs w:val="24"/>
        </w:rPr>
        <w:t>.’</w:t>
      </w:r>
      <w:r w:rsidR="007B6F38">
        <w:rPr>
          <w:rFonts w:cstheme="minorHAnsi"/>
          <w:sz w:val="24"/>
          <w:szCs w:val="24"/>
        </w:rPr>
        <w:t xml:space="preserve"> </w:t>
      </w:r>
      <w:r w:rsidR="007B6F38">
        <w:rPr>
          <w:rStyle w:val="FootnoteReference"/>
          <w:rFonts w:cstheme="minorHAnsi"/>
          <w:sz w:val="24"/>
          <w:szCs w:val="24"/>
        </w:rPr>
        <w:footnoteReference w:id="13"/>
      </w:r>
    </w:p>
    <w:p w14:paraId="39A255F6" w14:textId="2814778C" w:rsidR="007B6F38" w:rsidRDefault="007B6F38" w:rsidP="00E90ABB">
      <w:pPr>
        <w:spacing w:line="360" w:lineRule="auto"/>
        <w:rPr>
          <w:rFonts w:cstheme="minorHAnsi"/>
          <w:color w:val="000000" w:themeColor="text1"/>
          <w:sz w:val="24"/>
          <w:szCs w:val="24"/>
        </w:rPr>
      </w:pPr>
      <w:r>
        <w:rPr>
          <w:rFonts w:cstheme="minorHAnsi"/>
          <w:sz w:val="24"/>
          <w:szCs w:val="24"/>
        </w:rPr>
        <w:t>Originally Pharoah blames</w:t>
      </w:r>
      <w:r w:rsidRPr="002F4050">
        <w:rPr>
          <w:rFonts w:cstheme="minorHAnsi"/>
          <w:sz w:val="24"/>
          <w:szCs w:val="24"/>
        </w:rPr>
        <w:t xml:space="preserve"> Abraham</w:t>
      </w:r>
      <w:r>
        <w:rPr>
          <w:rFonts w:cstheme="minorHAnsi"/>
          <w:sz w:val="24"/>
          <w:szCs w:val="24"/>
        </w:rPr>
        <w:t xml:space="preserve"> for lying,</w:t>
      </w:r>
      <w:r w:rsidRPr="002F4050">
        <w:rPr>
          <w:rFonts w:cstheme="minorHAnsi"/>
          <w:sz w:val="24"/>
          <w:szCs w:val="24"/>
        </w:rPr>
        <w:t xml:space="preserve"> ‘</w:t>
      </w:r>
      <w:r w:rsidRPr="002F4050">
        <w:rPr>
          <w:rFonts w:cstheme="minorHAnsi"/>
          <w:color w:val="000000"/>
          <w:sz w:val="24"/>
          <w:szCs w:val="24"/>
          <w:shd w:val="clear" w:color="auto" w:fill="FFFFFF"/>
        </w:rPr>
        <w:t xml:space="preserve">Why did you say, “She is my sister,’’, </w:t>
      </w:r>
      <w:r w:rsidRPr="002F4050">
        <w:rPr>
          <w:rFonts w:cstheme="minorHAnsi"/>
          <w:sz w:val="24"/>
          <w:szCs w:val="24"/>
        </w:rPr>
        <w:t>Gen 12:18 -19</w:t>
      </w:r>
      <w:r>
        <w:rPr>
          <w:rFonts w:cstheme="minorHAnsi"/>
          <w:sz w:val="24"/>
          <w:szCs w:val="24"/>
        </w:rPr>
        <w:t xml:space="preserve">, </w:t>
      </w:r>
      <w:r w:rsidRPr="002F4050">
        <w:rPr>
          <w:rFonts w:cstheme="minorHAnsi"/>
          <w:color w:val="000000"/>
          <w:sz w:val="24"/>
          <w:szCs w:val="24"/>
          <w:shd w:val="clear" w:color="auto" w:fill="FFFFFF"/>
        </w:rPr>
        <w:t>whereas in the ‘Apocryphon’,</w:t>
      </w:r>
      <w:r>
        <w:rPr>
          <w:rFonts w:cstheme="minorHAnsi"/>
          <w:color w:val="000000"/>
          <w:sz w:val="24"/>
          <w:szCs w:val="24"/>
          <w:shd w:val="clear" w:color="auto" w:fill="FFFFFF"/>
        </w:rPr>
        <w:t xml:space="preserve"> </w:t>
      </w:r>
      <w:r w:rsidRPr="002F4050">
        <w:rPr>
          <w:rFonts w:cstheme="minorHAnsi"/>
          <w:color w:val="000000" w:themeColor="text1"/>
          <w:sz w:val="24"/>
          <w:szCs w:val="24"/>
        </w:rPr>
        <w:t>‘Sarai said to the king: ‘He is my brother!’ that I might profit because of her.’</w:t>
      </w:r>
      <w:r>
        <w:rPr>
          <w:rFonts w:cstheme="minorHAnsi"/>
          <w:color w:val="000000" w:themeColor="text1"/>
          <w:sz w:val="24"/>
          <w:szCs w:val="24"/>
        </w:rPr>
        <w:t xml:space="preserve"> </w:t>
      </w:r>
      <w:r>
        <w:rPr>
          <w:rStyle w:val="FootnoteReference"/>
          <w:rFonts w:cstheme="minorHAnsi"/>
          <w:color w:val="000000" w:themeColor="text1"/>
          <w:sz w:val="24"/>
          <w:szCs w:val="24"/>
        </w:rPr>
        <w:footnoteReference w:id="14"/>
      </w:r>
    </w:p>
    <w:p w14:paraId="6075CF1B" w14:textId="77777777" w:rsidR="007B6F38" w:rsidRPr="00642185" w:rsidRDefault="007B6F38" w:rsidP="007B6F38">
      <w:pPr>
        <w:spacing w:line="360" w:lineRule="auto"/>
        <w:rPr>
          <w:sz w:val="24"/>
          <w:szCs w:val="24"/>
        </w:rPr>
      </w:pPr>
      <w:r w:rsidRPr="00C62496">
        <w:rPr>
          <w:rFonts w:cstheme="minorHAnsi"/>
          <w:color w:val="000000" w:themeColor="text1"/>
          <w:sz w:val="24"/>
          <w:szCs w:val="24"/>
        </w:rPr>
        <w:t>With the addition of the dream, Abraham’s ability to interpret this ‘divine revelation’</w:t>
      </w:r>
      <w:r>
        <w:rPr>
          <w:rFonts w:cstheme="minorHAnsi"/>
          <w:color w:val="000000" w:themeColor="text1"/>
          <w:sz w:val="24"/>
          <w:szCs w:val="24"/>
        </w:rPr>
        <w:t xml:space="preserve"> </w:t>
      </w:r>
      <w:r>
        <w:rPr>
          <w:rStyle w:val="FootnoteReference"/>
          <w:rFonts w:cstheme="minorHAnsi"/>
          <w:color w:val="000000" w:themeColor="text1"/>
          <w:sz w:val="24"/>
          <w:szCs w:val="24"/>
        </w:rPr>
        <w:footnoteReference w:id="15"/>
      </w:r>
      <w:r>
        <w:rPr>
          <w:rFonts w:cstheme="minorHAnsi"/>
          <w:color w:val="000000" w:themeColor="text1"/>
          <w:sz w:val="24"/>
          <w:szCs w:val="24"/>
        </w:rPr>
        <w:t xml:space="preserve"> </w:t>
      </w:r>
      <w:r w:rsidRPr="00C62496">
        <w:rPr>
          <w:rFonts w:cstheme="minorHAnsi"/>
          <w:color w:val="000000" w:themeColor="text1"/>
          <w:sz w:val="24"/>
          <w:szCs w:val="24"/>
        </w:rPr>
        <w:t>alongside the</w:t>
      </w:r>
      <w:r>
        <w:rPr>
          <w:rFonts w:cstheme="minorHAnsi"/>
          <w:color w:val="000000" w:themeColor="text1"/>
          <w:sz w:val="24"/>
          <w:szCs w:val="24"/>
        </w:rPr>
        <w:t xml:space="preserve"> </w:t>
      </w:r>
      <w:r w:rsidRPr="00C62496">
        <w:rPr>
          <w:rFonts w:cstheme="minorHAnsi"/>
          <w:color w:val="000000" w:themeColor="text1"/>
          <w:sz w:val="24"/>
          <w:szCs w:val="24"/>
        </w:rPr>
        <w:t>attribut</w:t>
      </w:r>
      <w:r>
        <w:rPr>
          <w:rFonts w:cstheme="minorHAnsi"/>
          <w:color w:val="000000" w:themeColor="text1"/>
          <w:sz w:val="24"/>
          <w:szCs w:val="24"/>
        </w:rPr>
        <w:t>ion</w:t>
      </w:r>
      <w:r w:rsidRPr="00C62496">
        <w:rPr>
          <w:rFonts w:cstheme="minorHAnsi"/>
          <w:color w:val="000000" w:themeColor="text1"/>
          <w:sz w:val="24"/>
          <w:szCs w:val="24"/>
        </w:rPr>
        <w:t xml:space="preserve"> </w:t>
      </w:r>
      <w:r>
        <w:rPr>
          <w:rFonts w:cstheme="minorHAnsi"/>
          <w:color w:val="000000" w:themeColor="text1"/>
          <w:sz w:val="24"/>
          <w:szCs w:val="24"/>
        </w:rPr>
        <w:t xml:space="preserve">of the lie </w:t>
      </w:r>
      <w:r w:rsidRPr="00C62496">
        <w:rPr>
          <w:rFonts w:cstheme="minorHAnsi"/>
          <w:color w:val="000000" w:themeColor="text1"/>
          <w:sz w:val="24"/>
          <w:szCs w:val="24"/>
        </w:rPr>
        <w:t xml:space="preserve">to Sarah, the </w:t>
      </w:r>
      <w:r>
        <w:rPr>
          <w:rFonts w:cstheme="minorHAnsi"/>
          <w:color w:val="000000" w:themeColor="text1"/>
          <w:sz w:val="24"/>
          <w:szCs w:val="24"/>
        </w:rPr>
        <w:t>‘</w:t>
      </w:r>
      <w:r w:rsidRPr="00C62496">
        <w:rPr>
          <w:rFonts w:cstheme="minorHAnsi"/>
          <w:color w:val="000000" w:themeColor="text1"/>
          <w:sz w:val="24"/>
          <w:szCs w:val="24"/>
        </w:rPr>
        <w:t>Apocryphon</w:t>
      </w:r>
      <w:r>
        <w:rPr>
          <w:rFonts w:cstheme="minorHAnsi"/>
          <w:color w:val="000000" w:themeColor="text1"/>
          <w:sz w:val="24"/>
          <w:szCs w:val="24"/>
        </w:rPr>
        <w:t>’</w:t>
      </w:r>
      <w:r w:rsidRPr="00C62496">
        <w:rPr>
          <w:rFonts w:cstheme="minorHAnsi"/>
          <w:color w:val="000000" w:themeColor="text1"/>
          <w:sz w:val="24"/>
          <w:szCs w:val="24"/>
        </w:rPr>
        <w:t xml:space="preserve"> imbues Abraham with greater piety than Genesis 12, justifying his actions.</w:t>
      </w:r>
      <w:r>
        <w:rPr>
          <w:rFonts w:cstheme="minorHAnsi"/>
          <w:color w:val="000000" w:themeColor="text1"/>
          <w:sz w:val="24"/>
          <w:szCs w:val="24"/>
        </w:rPr>
        <w:t xml:space="preserve"> </w:t>
      </w:r>
      <w:r w:rsidRPr="00C62496">
        <w:rPr>
          <w:rFonts w:cstheme="minorHAnsi"/>
          <w:color w:val="000000" w:themeColor="text1"/>
          <w:sz w:val="24"/>
          <w:szCs w:val="24"/>
        </w:rPr>
        <w:t xml:space="preserve">Furthermore, </w:t>
      </w:r>
      <w:r w:rsidRPr="00EB3520">
        <w:rPr>
          <w:sz w:val="24"/>
          <w:szCs w:val="24"/>
        </w:rPr>
        <w:t>Abraham no longer receives gifts for the apprehending of Sarah</w:t>
      </w:r>
      <w:r>
        <w:rPr>
          <w:sz w:val="24"/>
          <w:szCs w:val="24"/>
        </w:rPr>
        <w:t>,</w:t>
      </w:r>
      <w:r w:rsidRPr="00EB3520">
        <w:rPr>
          <w:sz w:val="24"/>
          <w:szCs w:val="24"/>
        </w:rPr>
        <w:t xml:space="preserve"> Gen 12:16, but rather on </w:t>
      </w:r>
      <w:r>
        <w:rPr>
          <w:sz w:val="24"/>
          <w:szCs w:val="24"/>
        </w:rPr>
        <w:t>her restoration</w:t>
      </w:r>
      <w:r w:rsidRPr="00EB3520">
        <w:rPr>
          <w:sz w:val="24"/>
          <w:szCs w:val="24"/>
        </w:rPr>
        <w:t xml:space="preserve">, </w:t>
      </w:r>
      <w:r>
        <w:rPr>
          <w:sz w:val="24"/>
          <w:szCs w:val="24"/>
        </w:rPr>
        <w:t>avoiding</w:t>
      </w:r>
      <w:r w:rsidRPr="00EB3520">
        <w:rPr>
          <w:sz w:val="24"/>
          <w:szCs w:val="24"/>
        </w:rPr>
        <w:t xml:space="preserve"> portray</w:t>
      </w:r>
      <w:r>
        <w:rPr>
          <w:sz w:val="24"/>
          <w:szCs w:val="24"/>
        </w:rPr>
        <w:t>ing</w:t>
      </w:r>
      <w:r w:rsidRPr="00EB3520">
        <w:rPr>
          <w:sz w:val="24"/>
          <w:szCs w:val="24"/>
        </w:rPr>
        <w:t xml:space="preserve"> Abraham as ‘profiting from the whole transaction.’</w:t>
      </w:r>
      <w:r>
        <w:rPr>
          <w:sz w:val="24"/>
          <w:szCs w:val="24"/>
        </w:rPr>
        <w:t xml:space="preserve"> </w:t>
      </w:r>
      <w:r>
        <w:rPr>
          <w:rStyle w:val="FootnoteReference"/>
          <w:sz w:val="24"/>
          <w:szCs w:val="24"/>
        </w:rPr>
        <w:footnoteReference w:id="16"/>
      </w:r>
      <w:r>
        <w:rPr>
          <w:sz w:val="24"/>
          <w:szCs w:val="24"/>
        </w:rPr>
        <w:t xml:space="preserve"> </w:t>
      </w:r>
      <w:r>
        <w:rPr>
          <w:sz w:val="24"/>
          <w:szCs w:val="24"/>
        </w:rPr>
        <w:t xml:space="preserve">In improving the reception of Abraham, Sarah as an individual is also being received. </w:t>
      </w:r>
      <w:r>
        <w:rPr>
          <w:rFonts w:cstheme="minorHAnsi"/>
          <w:color w:val="000000" w:themeColor="text1"/>
          <w:sz w:val="24"/>
          <w:szCs w:val="24"/>
        </w:rPr>
        <w:t>I</w:t>
      </w:r>
      <w:r w:rsidRPr="00C62496">
        <w:rPr>
          <w:sz w:val="24"/>
          <w:szCs w:val="24"/>
        </w:rPr>
        <w:t xml:space="preserve">n the </w:t>
      </w:r>
      <w:r>
        <w:rPr>
          <w:sz w:val="24"/>
          <w:szCs w:val="24"/>
        </w:rPr>
        <w:t>‘</w:t>
      </w:r>
      <w:r w:rsidRPr="00C62496">
        <w:rPr>
          <w:sz w:val="24"/>
          <w:szCs w:val="24"/>
        </w:rPr>
        <w:t>Apocryphon</w:t>
      </w:r>
      <w:r>
        <w:rPr>
          <w:sz w:val="24"/>
          <w:szCs w:val="24"/>
        </w:rPr>
        <w:t>’</w:t>
      </w:r>
      <w:r w:rsidRPr="00C62496">
        <w:rPr>
          <w:sz w:val="24"/>
          <w:szCs w:val="24"/>
        </w:rPr>
        <w:t>, Sarah ‘was exceedingly careful for five years</w:t>
      </w:r>
      <w:r>
        <w:rPr>
          <w:sz w:val="24"/>
          <w:szCs w:val="24"/>
        </w:rPr>
        <w:t>,</w:t>
      </w:r>
      <w:r w:rsidRPr="00C62496">
        <w:rPr>
          <w:sz w:val="24"/>
          <w:szCs w:val="24"/>
        </w:rPr>
        <w:t>’</w:t>
      </w:r>
      <w:r>
        <w:rPr>
          <w:sz w:val="24"/>
          <w:szCs w:val="24"/>
        </w:rPr>
        <w:t xml:space="preserve"> </w:t>
      </w:r>
      <w:r>
        <w:rPr>
          <w:rStyle w:val="FootnoteReference"/>
          <w:sz w:val="24"/>
          <w:szCs w:val="24"/>
        </w:rPr>
        <w:footnoteReference w:id="17"/>
      </w:r>
      <w:r>
        <w:rPr>
          <w:sz w:val="24"/>
          <w:szCs w:val="24"/>
        </w:rPr>
        <w:t xml:space="preserve"> </w:t>
      </w:r>
      <w:r>
        <w:rPr>
          <w:sz w:val="24"/>
          <w:szCs w:val="24"/>
        </w:rPr>
        <w:t>prior to her abduction, further emphasising Sarah’s suitability as the chaste mother of the Jews and Abraham’s concern for her as her husband/brother.</w:t>
      </w:r>
    </w:p>
    <w:p w14:paraId="702166D4" w14:textId="77777777" w:rsidR="007B6F38" w:rsidRPr="008F4A1B" w:rsidRDefault="007B6F38" w:rsidP="007B6F38">
      <w:pPr>
        <w:spacing w:line="360" w:lineRule="auto"/>
        <w:rPr>
          <w:rFonts w:cstheme="minorHAnsi"/>
          <w:sz w:val="24"/>
          <w:szCs w:val="24"/>
        </w:rPr>
      </w:pPr>
      <w:r>
        <w:rPr>
          <w:sz w:val="24"/>
          <w:szCs w:val="24"/>
        </w:rPr>
        <w:t>Another of the Dead Sea Scrolls, t</w:t>
      </w:r>
      <w:r w:rsidRPr="00AA7789">
        <w:rPr>
          <w:sz w:val="24"/>
          <w:szCs w:val="24"/>
        </w:rPr>
        <w:t xml:space="preserve">he </w:t>
      </w:r>
      <w:r>
        <w:rPr>
          <w:sz w:val="24"/>
          <w:szCs w:val="24"/>
        </w:rPr>
        <w:t>‘</w:t>
      </w:r>
      <w:r w:rsidRPr="00AA7789">
        <w:rPr>
          <w:sz w:val="24"/>
          <w:szCs w:val="24"/>
        </w:rPr>
        <w:t>Book of Jubilees</w:t>
      </w:r>
      <w:r>
        <w:rPr>
          <w:sz w:val="24"/>
          <w:szCs w:val="24"/>
        </w:rPr>
        <w:t>’, c</w:t>
      </w:r>
      <w:r w:rsidRPr="00AA7789">
        <w:rPr>
          <w:sz w:val="24"/>
          <w:szCs w:val="24"/>
        </w:rPr>
        <w:t>omposed</w:t>
      </w:r>
      <w:r>
        <w:rPr>
          <w:sz w:val="24"/>
          <w:szCs w:val="24"/>
        </w:rPr>
        <w:t xml:space="preserve"> slightly earlier than</w:t>
      </w:r>
      <w:r w:rsidRPr="00AA7789">
        <w:rPr>
          <w:sz w:val="24"/>
          <w:szCs w:val="24"/>
        </w:rPr>
        <w:t xml:space="preserve"> the </w:t>
      </w:r>
      <w:r>
        <w:rPr>
          <w:sz w:val="24"/>
          <w:szCs w:val="24"/>
        </w:rPr>
        <w:t>‘</w:t>
      </w:r>
      <w:r w:rsidRPr="00AA7789">
        <w:rPr>
          <w:sz w:val="24"/>
          <w:szCs w:val="24"/>
        </w:rPr>
        <w:t>Apocryphon</w:t>
      </w:r>
      <w:r>
        <w:rPr>
          <w:sz w:val="24"/>
          <w:szCs w:val="24"/>
        </w:rPr>
        <w:t>’</w:t>
      </w:r>
      <w:r w:rsidRPr="00AA7789">
        <w:rPr>
          <w:sz w:val="24"/>
          <w:szCs w:val="24"/>
        </w:rPr>
        <w:t>,</w:t>
      </w:r>
      <w:r w:rsidRPr="00EB3520">
        <w:rPr>
          <w:rFonts w:cstheme="minorHAnsi"/>
          <w:sz w:val="24"/>
          <w:szCs w:val="24"/>
        </w:rPr>
        <w:t xml:space="preserve"> </w:t>
      </w:r>
      <w:r>
        <w:rPr>
          <w:rFonts w:cstheme="minorHAnsi"/>
          <w:sz w:val="24"/>
          <w:szCs w:val="24"/>
        </w:rPr>
        <w:t xml:space="preserve">also has a </w:t>
      </w:r>
      <w:r w:rsidRPr="00EB3520">
        <w:rPr>
          <w:rFonts w:cstheme="minorHAnsi"/>
          <w:sz w:val="24"/>
          <w:szCs w:val="24"/>
        </w:rPr>
        <w:t xml:space="preserve">five years </w:t>
      </w:r>
      <w:r>
        <w:rPr>
          <w:rFonts w:cstheme="minorHAnsi"/>
          <w:sz w:val="24"/>
          <w:szCs w:val="24"/>
        </w:rPr>
        <w:t xml:space="preserve">period before </w:t>
      </w:r>
      <w:r w:rsidRPr="00EB3520">
        <w:rPr>
          <w:rFonts w:cstheme="minorHAnsi"/>
          <w:sz w:val="24"/>
          <w:szCs w:val="24"/>
        </w:rPr>
        <w:t xml:space="preserve">‘his wife was torn away from </w:t>
      </w:r>
      <w:r>
        <w:rPr>
          <w:rFonts w:cstheme="minorHAnsi"/>
          <w:sz w:val="24"/>
          <w:szCs w:val="24"/>
        </w:rPr>
        <w:t>h</w:t>
      </w:r>
      <w:r w:rsidRPr="00EB3520">
        <w:rPr>
          <w:rFonts w:cstheme="minorHAnsi"/>
          <w:sz w:val="24"/>
          <w:szCs w:val="24"/>
        </w:rPr>
        <w:t>im’ 13:11</w:t>
      </w:r>
      <w:r>
        <w:rPr>
          <w:rFonts w:cstheme="minorHAnsi"/>
          <w:sz w:val="24"/>
          <w:szCs w:val="24"/>
        </w:rPr>
        <w:t>.</w:t>
      </w:r>
      <w:r>
        <w:rPr>
          <w:rFonts w:cstheme="minorHAnsi"/>
          <w:sz w:val="24"/>
          <w:szCs w:val="24"/>
        </w:rPr>
        <w:t xml:space="preserve"> </w:t>
      </w:r>
      <w:r>
        <w:rPr>
          <w:rStyle w:val="FootnoteReference"/>
          <w:rFonts w:cstheme="minorHAnsi"/>
          <w:sz w:val="24"/>
          <w:szCs w:val="24"/>
        </w:rPr>
        <w:footnoteReference w:id="18"/>
      </w:r>
      <w:r>
        <w:rPr>
          <w:rFonts w:cstheme="minorHAnsi"/>
          <w:sz w:val="24"/>
          <w:szCs w:val="24"/>
        </w:rPr>
        <w:t xml:space="preserve"> </w:t>
      </w:r>
      <w:r>
        <w:rPr>
          <w:rFonts w:cstheme="minorHAnsi"/>
          <w:sz w:val="24"/>
          <w:szCs w:val="24"/>
        </w:rPr>
        <w:t>Jubilees ignores the lie, possibly indicating an earlier and simpler revision, in improving the reception of Abraham</w:t>
      </w:r>
      <w:r w:rsidRPr="00EB3520">
        <w:rPr>
          <w:rFonts w:cstheme="minorHAnsi"/>
          <w:sz w:val="24"/>
          <w:szCs w:val="24"/>
        </w:rPr>
        <w:t>.</w:t>
      </w:r>
      <w:r>
        <w:rPr>
          <w:rFonts w:cstheme="minorHAnsi"/>
          <w:sz w:val="24"/>
          <w:szCs w:val="24"/>
        </w:rPr>
        <w:t xml:space="preserve"> Jubilees states Abraham </w:t>
      </w:r>
      <w:r w:rsidRPr="00572E7E">
        <w:rPr>
          <w:rFonts w:cstheme="minorHAnsi"/>
          <w:sz w:val="24"/>
          <w:szCs w:val="24"/>
        </w:rPr>
        <w:t xml:space="preserve">was </w:t>
      </w:r>
      <w:r w:rsidRPr="00572E7E">
        <w:rPr>
          <w:sz w:val="24"/>
          <w:szCs w:val="24"/>
        </w:rPr>
        <w:t>‘very glorious by reason of possessions’</w:t>
      </w:r>
      <w:r>
        <w:rPr>
          <w:sz w:val="24"/>
          <w:szCs w:val="24"/>
        </w:rPr>
        <w:t>,</w:t>
      </w:r>
      <w:r>
        <w:rPr>
          <w:sz w:val="24"/>
          <w:szCs w:val="24"/>
        </w:rPr>
        <w:t xml:space="preserve"> </w:t>
      </w:r>
      <w:r>
        <w:rPr>
          <w:rStyle w:val="FootnoteReference"/>
          <w:sz w:val="24"/>
          <w:szCs w:val="24"/>
        </w:rPr>
        <w:footnoteReference w:id="19"/>
      </w:r>
      <w:r>
        <w:rPr>
          <w:sz w:val="24"/>
          <w:szCs w:val="24"/>
        </w:rPr>
        <w:t xml:space="preserve"> </w:t>
      </w:r>
      <w:r w:rsidRPr="00572E7E">
        <w:rPr>
          <w:sz w:val="24"/>
          <w:szCs w:val="24"/>
        </w:rPr>
        <w:t xml:space="preserve">without stating whence they were derived, </w:t>
      </w:r>
      <w:r>
        <w:rPr>
          <w:sz w:val="24"/>
          <w:szCs w:val="24"/>
        </w:rPr>
        <w:t xml:space="preserve">again, not seen to be profiting from Sarah’s misery. </w:t>
      </w:r>
    </w:p>
    <w:p w14:paraId="52EBC699" w14:textId="16468471" w:rsidR="007B6F38" w:rsidRDefault="007B6F38" w:rsidP="007B6F38">
      <w:pPr>
        <w:spacing w:line="360" w:lineRule="auto"/>
        <w:rPr>
          <w:rFonts w:cstheme="minorHAnsi"/>
          <w:color w:val="000000"/>
          <w:sz w:val="24"/>
          <w:szCs w:val="24"/>
          <w:shd w:val="clear" w:color="auto" w:fill="FFFFFF"/>
        </w:rPr>
      </w:pPr>
      <w:r>
        <w:rPr>
          <w:sz w:val="24"/>
          <w:szCs w:val="24"/>
        </w:rPr>
        <w:t xml:space="preserve">The wife/sister story is repeated in Gen 20:2-7 and with Isaac in Gen 26:7-10. In both instances the lie is discovered, whereas there is no explanation in Gen 12. </w:t>
      </w:r>
      <w:r w:rsidRPr="00CC4177">
        <w:rPr>
          <w:rFonts w:cstheme="minorHAnsi"/>
          <w:color w:val="000000"/>
          <w:sz w:val="24"/>
          <w:szCs w:val="24"/>
          <w:shd w:val="clear" w:color="auto" w:fill="FFFFFF"/>
        </w:rPr>
        <w:t xml:space="preserve">This is </w:t>
      </w:r>
      <w:r>
        <w:rPr>
          <w:rFonts w:cstheme="minorHAnsi"/>
          <w:color w:val="000000"/>
          <w:sz w:val="24"/>
          <w:szCs w:val="24"/>
          <w:shd w:val="clear" w:color="auto" w:fill="FFFFFF"/>
        </w:rPr>
        <w:t xml:space="preserve">a </w:t>
      </w:r>
      <w:r w:rsidRPr="00CC4177">
        <w:rPr>
          <w:rFonts w:cstheme="minorHAnsi"/>
          <w:color w:val="000000"/>
          <w:sz w:val="24"/>
          <w:szCs w:val="24"/>
          <w:shd w:val="clear" w:color="auto" w:fill="FFFFFF"/>
        </w:rPr>
        <w:t>problem</w:t>
      </w:r>
      <w:r>
        <w:rPr>
          <w:rFonts w:cstheme="minorHAnsi"/>
          <w:color w:val="000000"/>
          <w:sz w:val="24"/>
          <w:szCs w:val="24"/>
          <w:shd w:val="clear" w:color="auto" w:fill="FFFFFF"/>
        </w:rPr>
        <w:t xml:space="preserve"> schematically speaking, ‘</w:t>
      </w:r>
      <w:r w:rsidRPr="00CC4177">
        <w:rPr>
          <w:rFonts w:cstheme="minorHAnsi"/>
          <w:color w:val="000000"/>
          <w:sz w:val="24"/>
          <w:szCs w:val="24"/>
          <w:shd w:val="clear" w:color="auto" w:fill="FFFFFF"/>
        </w:rPr>
        <w:t xml:space="preserve">unless </w:t>
      </w:r>
      <w:r>
        <w:rPr>
          <w:rFonts w:cstheme="minorHAnsi"/>
          <w:color w:val="000000"/>
          <w:sz w:val="24"/>
          <w:szCs w:val="24"/>
          <w:shd w:val="clear" w:color="auto" w:fill="FFFFFF"/>
        </w:rPr>
        <w:t>he</w:t>
      </w:r>
      <w:r w:rsidRPr="00CC4177">
        <w:rPr>
          <w:rFonts w:cstheme="minorHAnsi"/>
          <w:color w:val="000000"/>
          <w:sz w:val="24"/>
          <w:szCs w:val="24"/>
          <w:shd w:val="clear" w:color="auto" w:fill="FFFFFF"/>
        </w:rPr>
        <w:t xml:space="preserve"> has already read Genesis 2</w:t>
      </w:r>
      <w:r>
        <w:rPr>
          <w:rFonts w:cstheme="minorHAnsi"/>
          <w:color w:val="000000"/>
          <w:sz w:val="24"/>
          <w:szCs w:val="24"/>
          <w:shd w:val="clear" w:color="auto" w:fill="FFFFFF"/>
        </w:rPr>
        <w:t>0</w:t>
      </w:r>
      <w:r w:rsidRPr="00CC4177">
        <w:rPr>
          <w:rFonts w:cstheme="minorHAnsi"/>
          <w:color w:val="000000"/>
          <w:sz w:val="24"/>
          <w:szCs w:val="24"/>
          <w:shd w:val="clear" w:color="auto" w:fill="FFFFFF"/>
        </w:rPr>
        <w:t xml:space="preserve">, how </w:t>
      </w:r>
      <w:r>
        <w:rPr>
          <w:rFonts w:cstheme="minorHAnsi"/>
          <w:color w:val="000000"/>
          <w:sz w:val="24"/>
          <w:szCs w:val="24"/>
          <w:shd w:val="clear" w:color="auto" w:fill="FFFFFF"/>
        </w:rPr>
        <w:t>does</w:t>
      </w:r>
      <w:r w:rsidRPr="00CC4177">
        <w:rPr>
          <w:rFonts w:cstheme="minorHAnsi"/>
          <w:color w:val="000000"/>
          <w:sz w:val="24"/>
          <w:szCs w:val="24"/>
          <w:shd w:val="clear" w:color="auto" w:fill="FFFFFF"/>
        </w:rPr>
        <w:t xml:space="preserve"> Pharaoh know</w:t>
      </w:r>
      <w:r>
        <w:rPr>
          <w:rFonts w:cstheme="minorHAnsi"/>
          <w:color w:val="000000"/>
          <w:sz w:val="24"/>
          <w:szCs w:val="24"/>
          <w:shd w:val="clear" w:color="auto" w:fill="FFFFFF"/>
        </w:rPr>
        <w:t xml:space="preserve"> his</w:t>
      </w:r>
      <w:r w:rsidRPr="00CC4177">
        <w:rPr>
          <w:rFonts w:cstheme="minorHAnsi"/>
          <w:color w:val="000000"/>
          <w:sz w:val="24"/>
          <w:szCs w:val="24"/>
          <w:shd w:val="clear" w:color="auto" w:fill="FFFFFF"/>
        </w:rPr>
        <w:t xml:space="preserve"> afflict</w:t>
      </w:r>
      <w:r>
        <w:rPr>
          <w:rFonts w:cstheme="minorHAnsi"/>
          <w:color w:val="000000"/>
          <w:sz w:val="24"/>
          <w:szCs w:val="24"/>
          <w:shd w:val="clear" w:color="auto" w:fill="FFFFFF"/>
        </w:rPr>
        <w:t>ion is</w:t>
      </w:r>
      <w:r w:rsidRPr="00CC4177">
        <w:rPr>
          <w:rFonts w:cstheme="minorHAnsi"/>
          <w:color w:val="000000"/>
          <w:sz w:val="24"/>
          <w:szCs w:val="24"/>
          <w:shd w:val="clear" w:color="auto" w:fill="FFFFFF"/>
        </w:rPr>
        <w:t xml:space="preserve"> “on account of Sarai, the wife of Abra</w:t>
      </w:r>
      <w:r>
        <w:rPr>
          <w:rFonts w:cstheme="minorHAnsi"/>
          <w:color w:val="000000"/>
          <w:sz w:val="24"/>
          <w:szCs w:val="24"/>
          <w:shd w:val="clear" w:color="auto" w:fill="FFFFFF"/>
        </w:rPr>
        <w:t>ha</w:t>
      </w:r>
      <w:r w:rsidRPr="00CC4177">
        <w:rPr>
          <w:rFonts w:cstheme="minorHAnsi"/>
          <w:color w:val="000000"/>
          <w:sz w:val="24"/>
          <w:szCs w:val="24"/>
          <w:shd w:val="clear" w:color="auto" w:fill="FFFFFF"/>
        </w:rPr>
        <w:t>m”?</w:t>
      </w:r>
      <w:r>
        <w:rPr>
          <w:rFonts w:cstheme="minorHAnsi"/>
          <w:color w:val="000000"/>
          <w:sz w:val="24"/>
          <w:szCs w:val="24"/>
          <w:shd w:val="clear" w:color="auto" w:fill="FFFFFF"/>
        </w:rPr>
        <w:t xml:space="preserve"> </w:t>
      </w:r>
      <w:r>
        <w:rPr>
          <w:rStyle w:val="FootnoteReference"/>
          <w:rFonts w:cstheme="minorHAnsi"/>
          <w:color w:val="000000"/>
          <w:sz w:val="24"/>
          <w:szCs w:val="24"/>
          <w:shd w:val="clear" w:color="auto" w:fill="FFFFFF"/>
        </w:rPr>
        <w:footnoteReference w:id="20"/>
      </w:r>
      <w:r>
        <w:rPr>
          <w:rFonts w:cstheme="minorHAnsi"/>
          <w:color w:val="000000"/>
          <w:sz w:val="24"/>
          <w:szCs w:val="24"/>
          <w:shd w:val="clear" w:color="auto" w:fill="FFFFFF"/>
        </w:rPr>
        <w:t xml:space="preserve"> </w:t>
      </w:r>
      <w:r w:rsidRPr="008F4A1B">
        <w:rPr>
          <w:rFonts w:cstheme="minorHAnsi"/>
          <w:color w:val="000000"/>
          <w:sz w:val="24"/>
          <w:szCs w:val="24"/>
          <w:shd w:val="clear" w:color="auto" w:fill="FFFFFF"/>
        </w:rPr>
        <w:t>This could suggest a later writing of the events of Abraham in Egypt in order to foreshadow the later events in Gen 20 and 26</w:t>
      </w:r>
      <w:r>
        <w:rPr>
          <w:rFonts w:cstheme="minorHAnsi"/>
          <w:color w:val="000000"/>
          <w:sz w:val="24"/>
          <w:szCs w:val="24"/>
          <w:shd w:val="clear" w:color="auto" w:fill="FFFFFF"/>
        </w:rPr>
        <w:t>.</w:t>
      </w:r>
    </w:p>
    <w:p w14:paraId="798AD94D" w14:textId="77777777" w:rsidR="007B6F38" w:rsidRDefault="007B6F38" w:rsidP="007B6F38">
      <w:pPr>
        <w:spacing w:line="360" w:lineRule="auto"/>
        <w:rPr>
          <w:rFonts w:cstheme="minorHAnsi"/>
          <w:color w:val="000000"/>
          <w:sz w:val="24"/>
          <w:szCs w:val="24"/>
          <w:shd w:val="clear" w:color="auto" w:fill="FFFFFF"/>
        </w:rPr>
      </w:pPr>
      <w:r>
        <w:rPr>
          <w:rFonts w:cstheme="minorHAnsi"/>
          <w:color w:val="000000"/>
          <w:sz w:val="24"/>
          <w:szCs w:val="24"/>
          <w:shd w:val="clear" w:color="auto" w:fill="FFFFFF"/>
        </w:rPr>
        <w:t>The problem appears to be solved by the Jewish historian Josephus, a descendent of the Hasmonean dynasty and a former Jewish soldier, freed by the Romans. Writing after the fall of the Second Temple in AD 94 the Romanised Josephus wrote ‘Antiquities of the Jews’, on Jewish history, law and customs, probably targeting a Roman Gentile audience, and wanting to portray the father of Judaism positively.</w:t>
      </w:r>
    </w:p>
    <w:p w14:paraId="65E1D245" w14:textId="157D750C" w:rsidR="007B6F38" w:rsidRDefault="007B6F38" w:rsidP="007B6F38">
      <w:pPr>
        <w:spacing w:line="360" w:lineRule="auto"/>
        <w:rPr>
          <w:rFonts w:cstheme="minorHAnsi"/>
          <w:sz w:val="24"/>
          <w:szCs w:val="24"/>
          <w:shd w:val="clear" w:color="auto" w:fill="FFFFFF"/>
        </w:rPr>
      </w:pPr>
      <w:r>
        <w:rPr>
          <w:rFonts w:cstheme="minorHAnsi"/>
          <w:color w:val="000000"/>
          <w:sz w:val="24"/>
          <w:szCs w:val="24"/>
          <w:shd w:val="clear" w:color="auto" w:fill="FFFFFF"/>
        </w:rPr>
        <w:t>Josephus states that when Pharoah, ‘inquired of the priests’ how to stop the pestilences, he was told it was due to ‘his inclinations to abuse his stranger’s wife.’ Pharoah, ‘out of fear, asked Sarah who she was’,</w:t>
      </w:r>
      <w:r>
        <w:rPr>
          <w:rFonts w:cstheme="minorHAnsi"/>
          <w:color w:val="000000"/>
          <w:sz w:val="24"/>
          <w:szCs w:val="24"/>
          <w:shd w:val="clear" w:color="auto" w:fill="FFFFFF"/>
        </w:rPr>
        <w:t xml:space="preserve"> </w:t>
      </w:r>
      <w:r>
        <w:rPr>
          <w:rStyle w:val="FootnoteReference"/>
          <w:rFonts w:cstheme="minorHAnsi"/>
          <w:color w:val="000000"/>
          <w:sz w:val="24"/>
          <w:szCs w:val="24"/>
          <w:shd w:val="clear" w:color="auto" w:fill="FFFFFF"/>
        </w:rPr>
        <w:footnoteReference w:id="21"/>
      </w:r>
      <w:r>
        <w:rPr>
          <w:rFonts w:cstheme="minorHAnsi"/>
          <w:color w:val="000000"/>
          <w:sz w:val="24"/>
          <w:szCs w:val="24"/>
          <w:shd w:val="clear" w:color="auto" w:fill="FFFFFF"/>
        </w:rPr>
        <w:t xml:space="preserve"> </w:t>
      </w:r>
      <w:r w:rsidRPr="00367475">
        <w:rPr>
          <w:rFonts w:cstheme="minorHAnsi"/>
          <w:color w:val="000000"/>
          <w:sz w:val="24"/>
          <w:szCs w:val="24"/>
          <w:shd w:val="clear" w:color="auto" w:fill="FFFFFF"/>
        </w:rPr>
        <w:t>discovering</w:t>
      </w:r>
      <w:r>
        <w:rPr>
          <w:rFonts w:cstheme="minorHAnsi"/>
          <w:color w:val="000000"/>
          <w:sz w:val="24"/>
          <w:szCs w:val="24"/>
          <w:shd w:val="clear" w:color="auto" w:fill="FFFFFF"/>
        </w:rPr>
        <w:t xml:space="preserve"> the truth. Josephus </w:t>
      </w:r>
      <w:r>
        <w:rPr>
          <w:rFonts w:cstheme="minorHAnsi"/>
          <w:sz w:val="24"/>
          <w:szCs w:val="24"/>
        </w:rPr>
        <w:t xml:space="preserve">informs his audience that it was not only famine that encouraged Abraham to visit Egypt, but to converse with the priests, and </w:t>
      </w:r>
      <w:r>
        <w:rPr>
          <w:rFonts w:cstheme="minorHAnsi"/>
          <w:sz w:val="24"/>
          <w:szCs w:val="24"/>
          <w:shd w:val="clear" w:color="auto" w:fill="FFFFFF"/>
        </w:rPr>
        <w:t>‘</w:t>
      </w:r>
      <w:r w:rsidRPr="008349D1">
        <w:rPr>
          <w:rFonts w:cstheme="minorHAnsi"/>
          <w:sz w:val="24"/>
          <w:szCs w:val="24"/>
          <w:shd w:val="clear" w:color="auto" w:fill="FFFFFF"/>
        </w:rPr>
        <w:t>to know what they said concerning the gods;</w:t>
      </w:r>
      <w:r>
        <w:rPr>
          <w:rFonts w:cstheme="minorHAnsi"/>
          <w:sz w:val="24"/>
          <w:szCs w:val="24"/>
          <w:shd w:val="clear" w:color="auto" w:fill="FFFFFF"/>
        </w:rPr>
        <w:t xml:space="preserve"> …. </w:t>
      </w:r>
      <w:r w:rsidRPr="008349D1">
        <w:rPr>
          <w:rFonts w:cstheme="minorHAnsi"/>
          <w:sz w:val="24"/>
          <w:szCs w:val="24"/>
          <w:shd w:val="clear" w:color="auto" w:fill="FFFFFF"/>
        </w:rPr>
        <w:t>to convert them into a better way</w:t>
      </w:r>
      <w:r>
        <w:rPr>
          <w:rFonts w:cstheme="minorHAnsi"/>
          <w:sz w:val="24"/>
          <w:szCs w:val="24"/>
          <w:shd w:val="clear" w:color="auto" w:fill="FFFFFF"/>
        </w:rPr>
        <w:t>.’</w:t>
      </w:r>
      <w:r>
        <w:rPr>
          <w:rFonts w:cstheme="minorHAnsi"/>
          <w:sz w:val="24"/>
          <w:szCs w:val="24"/>
          <w:shd w:val="clear" w:color="auto" w:fill="FFFFFF"/>
        </w:rPr>
        <w:t xml:space="preserve"> </w:t>
      </w:r>
      <w:r>
        <w:rPr>
          <w:rStyle w:val="FootnoteReference"/>
          <w:rFonts w:cstheme="minorHAnsi"/>
          <w:sz w:val="24"/>
          <w:szCs w:val="24"/>
          <w:shd w:val="clear" w:color="auto" w:fill="FFFFFF"/>
        </w:rPr>
        <w:footnoteReference w:id="22"/>
      </w:r>
    </w:p>
    <w:p w14:paraId="4BFDADDC" w14:textId="77777777" w:rsidR="00917C7D" w:rsidRPr="003E00A7" w:rsidRDefault="007B6F38" w:rsidP="00917C7D">
      <w:pPr>
        <w:spacing w:line="360" w:lineRule="auto"/>
        <w:rPr>
          <w:rFonts w:cstheme="minorHAnsi"/>
          <w:color w:val="000000"/>
          <w:sz w:val="24"/>
          <w:szCs w:val="24"/>
          <w:shd w:val="clear" w:color="auto" w:fill="FFFFFF"/>
        </w:rPr>
      </w:pPr>
      <w:r w:rsidRPr="008349D1">
        <w:rPr>
          <w:rFonts w:cstheme="minorHAnsi"/>
          <w:sz w:val="24"/>
          <w:szCs w:val="24"/>
          <w:shd w:val="clear" w:color="auto" w:fill="FFFFFF"/>
        </w:rPr>
        <w:t xml:space="preserve">Josephus is </w:t>
      </w:r>
      <w:r>
        <w:rPr>
          <w:rFonts w:cstheme="minorHAnsi"/>
          <w:sz w:val="24"/>
          <w:szCs w:val="24"/>
          <w:shd w:val="clear" w:color="auto" w:fill="FFFFFF"/>
        </w:rPr>
        <w:t xml:space="preserve">creating a </w:t>
      </w:r>
      <w:r>
        <w:rPr>
          <w:sz w:val="24"/>
          <w:szCs w:val="24"/>
        </w:rPr>
        <w:t xml:space="preserve">reception of </w:t>
      </w:r>
      <w:r w:rsidRPr="008349D1">
        <w:rPr>
          <w:sz w:val="24"/>
          <w:szCs w:val="24"/>
        </w:rPr>
        <w:t xml:space="preserve">Abraham ‘as the wise man and sage </w:t>
      </w:r>
      <w:r>
        <w:rPr>
          <w:sz w:val="24"/>
          <w:szCs w:val="24"/>
        </w:rPr>
        <w:t xml:space="preserve">… </w:t>
      </w:r>
      <w:r w:rsidRPr="008349D1">
        <w:rPr>
          <w:sz w:val="24"/>
          <w:szCs w:val="24"/>
        </w:rPr>
        <w:t>who taught the Egyptians astronomy,’ for which they w</w:t>
      </w:r>
      <w:r>
        <w:rPr>
          <w:sz w:val="24"/>
          <w:szCs w:val="24"/>
        </w:rPr>
        <w:t>ere</w:t>
      </w:r>
      <w:r w:rsidRPr="008349D1">
        <w:rPr>
          <w:sz w:val="24"/>
          <w:szCs w:val="24"/>
        </w:rPr>
        <w:t xml:space="preserve"> renowned</w:t>
      </w:r>
      <w:r>
        <w:rPr>
          <w:sz w:val="24"/>
          <w:szCs w:val="24"/>
        </w:rPr>
        <w:t>,</w:t>
      </w:r>
      <w:r>
        <w:t xml:space="preserve"> </w:t>
      </w:r>
      <w:r w:rsidRPr="0082250E">
        <w:rPr>
          <w:sz w:val="24"/>
          <w:szCs w:val="24"/>
        </w:rPr>
        <w:t>promoting</w:t>
      </w:r>
      <w:r>
        <w:rPr>
          <w:sz w:val="24"/>
          <w:szCs w:val="24"/>
        </w:rPr>
        <w:t xml:space="preserve"> ‘</w:t>
      </w:r>
      <w:r w:rsidRPr="0082250E">
        <w:rPr>
          <w:sz w:val="24"/>
          <w:szCs w:val="24"/>
        </w:rPr>
        <w:t>Judaism as playing a major part in developing the art</w:t>
      </w:r>
      <w:r>
        <w:rPr>
          <w:sz w:val="24"/>
          <w:szCs w:val="24"/>
        </w:rPr>
        <w:t>,’</w:t>
      </w:r>
      <w:r>
        <w:rPr>
          <w:sz w:val="24"/>
          <w:szCs w:val="24"/>
        </w:rPr>
        <w:t xml:space="preserve"> </w:t>
      </w:r>
      <w:r>
        <w:rPr>
          <w:rStyle w:val="FootnoteReference"/>
          <w:sz w:val="24"/>
          <w:szCs w:val="24"/>
        </w:rPr>
        <w:footnoteReference w:id="23"/>
      </w:r>
      <w:r w:rsidR="00917C7D">
        <w:rPr>
          <w:sz w:val="24"/>
          <w:szCs w:val="24"/>
        </w:rPr>
        <w:t xml:space="preserve"> </w:t>
      </w:r>
      <w:r w:rsidR="00917C7D">
        <w:rPr>
          <w:sz w:val="24"/>
          <w:szCs w:val="24"/>
        </w:rPr>
        <w:t xml:space="preserve">thus promoting the positives of Judaism to the Romans following the Jewish Revolt of AD 66-70. </w:t>
      </w:r>
    </w:p>
    <w:p w14:paraId="5FD0252A" w14:textId="77777777" w:rsidR="00917C7D" w:rsidRPr="007A461E" w:rsidRDefault="00917C7D" w:rsidP="00917C7D">
      <w:pPr>
        <w:spacing w:line="360" w:lineRule="auto"/>
        <w:rPr>
          <w:rFonts w:cstheme="minorHAnsi"/>
          <w:color w:val="000000"/>
          <w:sz w:val="24"/>
          <w:szCs w:val="24"/>
        </w:rPr>
      </w:pPr>
      <w:r w:rsidRPr="0082250E">
        <w:rPr>
          <w:sz w:val="24"/>
          <w:szCs w:val="24"/>
        </w:rPr>
        <w:t>Josephus justifies Abraham</w:t>
      </w:r>
      <w:r>
        <w:rPr>
          <w:sz w:val="24"/>
          <w:szCs w:val="24"/>
        </w:rPr>
        <w:t>’s fear</w:t>
      </w:r>
      <w:r w:rsidRPr="0082250E">
        <w:rPr>
          <w:sz w:val="24"/>
          <w:szCs w:val="24"/>
        </w:rPr>
        <w:t xml:space="preserve"> due to the </w:t>
      </w:r>
      <w:r w:rsidRPr="0082250E">
        <w:rPr>
          <w:rFonts w:cstheme="minorHAnsi"/>
          <w:sz w:val="24"/>
          <w:szCs w:val="24"/>
        </w:rPr>
        <w:t>‘</w:t>
      </w:r>
      <w:r w:rsidRPr="0082250E">
        <w:rPr>
          <w:rFonts w:cstheme="minorHAnsi"/>
          <w:sz w:val="24"/>
          <w:szCs w:val="24"/>
          <w:shd w:val="clear" w:color="auto" w:fill="FFFFFF"/>
        </w:rPr>
        <w:t>madness of the Egyptians’</w:t>
      </w:r>
      <w:r>
        <w:rPr>
          <w:rFonts w:cstheme="minorHAnsi"/>
          <w:sz w:val="24"/>
          <w:szCs w:val="24"/>
          <w:shd w:val="clear" w:color="auto" w:fill="FFFFFF"/>
        </w:rPr>
        <w:t>,</w:t>
      </w:r>
      <w:r>
        <w:rPr>
          <w:rFonts w:cstheme="minorHAnsi"/>
          <w:sz w:val="24"/>
          <w:szCs w:val="24"/>
          <w:shd w:val="clear" w:color="auto" w:fill="FFFFFF"/>
        </w:rPr>
        <w:t xml:space="preserve"> </w:t>
      </w:r>
      <w:r>
        <w:rPr>
          <w:rStyle w:val="FootnoteReference"/>
          <w:rFonts w:cstheme="minorHAnsi"/>
          <w:sz w:val="24"/>
          <w:szCs w:val="24"/>
          <w:shd w:val="clear" w:color="auto" w:fill="FFFFFF"/>
        </w:rPr>
        <w:footnoteReference w:id="24"/>
      </w:r>
      <w:r>
        <w:rPr>
          <w:rFonts w:cstheme="minorHAnsi"/>
          <w:sz w:val="24"/>
          <w:szCs w:val="24"/>
          <w:shd w:val="clear" w:color="auto" w:fill="FFFFFF"/>
        </w:rPr>
        <w:t xml:space="preserve"> </w:t>
      </w:r>
      <w:r w:rsidRPr="0082250E">
        <w:rPr>
          <w:rFonts w:cstheme="minorHAnsi"/>
          <w:sz w:val="24"/>
          <w:szCs w:val="24"/>
          <w:shd w:val="clear" w:color="auto" w:fill="FFFFFF"/>
        </w:rPr>
        <w:t>and praises Abraham for his awareness and forethought</w:t>
      </w:r>
      <w:r>
        <w:rPr>
          <w:rFonts w:cstheme="minorHAnsi"/>
          <w:sz w:val="24"/>
          <w:szCs w:val="24"/>
          <w:shd w:val="clear" w:color="auto" w:fill="FFFFFF"/>
        </w:rPr>
        <w:t>, as a man of intellect, rather than a liar.</w:t>
      </w:r>
      <w:r>
        <w:rPr>
          <w:rFonts w:cstheme="minorHAnsi"/>
          <w:sz w:val="24"/>
          <w:szCs w:val="24"/>
          <w:shd w:val="clear" w:color="auto" w:fill="FFFFFF"/>
        </w:rPr>
        <w:t xml:space="preserve"> </w:t>
      </w:r>
      <w:r>
        <w:rPr>
          <w:rStyle w:val="FootnoteReference"/>
          <w:rFonts w:cstheme="minorHAnsi"/>
          <w:sz w:val="24"/>
          <w:szCs w:val="24"/>
          <w:shd w:val="clear" w:color="auto" w:fill="FFFFFF"/>
        </w:rPr>
        <w:footnoteReference w:id="25"/>
      </w:r>
      <w:r>
        <w:rPr>
          <w:rFonts w:cstheme="minorHAnsi"/>
          <w:sz w:val="24"/>
          <w:szCs w:val="24"/>
          <w:shd w:val="clear" w:color="auto" w:fill="FFFFFF"/>
        </w:rPr>
        <w:t xml:space="preserve"> </w:t>
      </w:r>
      <w:r>
        <w:rPr>
          <w:rFonts w:cstheme="minorHAnsi"/>
          <w:color w:val="000000"/>
          <w:sz w:val="24"/>
          <w:szCs w:val="24"/>
        </w:rPr>
        <w:t>Being Jewish, Josephus must be confused as to what has happened to the covenant and the promised land, and</w:t>
      </w:r>
      <w:r>
        <w:rPr>
          <w:rFonts w:cstheme="minorHAnsi"/>
          <w:sz w:val="24"/>
          <w:szCs w:val="24"/>
          <w:shd w:val="clear" w:color="auto" w:fill="FFFFFF"/>
        </w:rPr>
        <w:t xml:space="preserve"> is trying to protect, promote and inspire his people following their defeat and the destruction of the Second Temple.</w:t>
      </w:r>
      <w:r>
        <w:rPr>
          <w:rFonts w:cstheme="minorHAnsi"/>
          <w:sz w:val="24"/>
          <w:szCs w:val="24"/>
          <w:shd w:val="clear" w:color="auto" w:fill="FFFFFF"/>
        </w:rPr>
        <w:t xml:space="preserve"> </w:t>
      </w:r>
      <w:r>
        <w:rPr>
          <w:rFonts w:cstheme="minorHAnsi"/>
          <w:sz w:val="24"/>
          <w:szCs w:val="24"/>
          <w:shd w:val="clear" w:color="auto" w:fill="FFFFFF"/>
        </w:rPr>
        <w:t>Josephus’s explanation that it was Pharoah’s priest that reveal the truth to him,</w:t>
      </w:r>
      <w:r>
        <w:rPr>
          <w:rFonts w:cstheme="minorHAnsi"/>
          <w:sz w:val="24"/>
          <w:szCs w:val="24"/>
          <w:shd w:val="clear" w:color="auto" w:fill="FFFFFF"/>
        </w:rPr>
        <w:t xml:space="preserve"> </w:t>
      </w:r>
      <w:r>
        <w:rPr>
          <w:rStyle w:val="FootnoteReference"/>
          <w:rFonts w:cstheme="minorHAnsi"/>
          <w:sz w:val="24"/>
          <w:szCs w:val="24"/>
          <w:shd w:val="clear" w:color="auto" w:fill="FFFFFF"/>
        </w:rPr>
        <w:footnoteReference w:id="26"/>
      </w:r>
      <w:r>
        <w:rPr>
          <w:rFonts w:cstheme="minorHAnsi"/>
          <w:sz w:val="24"/>
          <w:szCs w:val="24"/>
          <w:shd w:val="clear" w:color="auto" w:fill="FFFFFF"/>
        </w:rPr>
        <w:t xml:space="preserve"> </w:t>
      </w:r>
      <w:r w:rsidRPr="006F26CC">
        <w:rPr>
          <w:rFonts w:cstheme="minorHAnsi"/>
          <w:color w:val="000000"/>
          <w:sz w:val="24"/>
          <w:szCs w:val="24"/>
        </w:rPr>
        <w:t xml:space="preserve">is probably part of an </w:t>
      </w:r>
      <w:r>
        <w:rPr>
          <w:rFonts w:cstheme="minorHAnsi"/>
          <w:color w:val="000000"/>
          <w:sz w:val="24"/>
          <w:szCs w:val="24"/>
        </w:rPr>
        <w:t>‘</w:t>
      </w:r>
      <w:r w:rsidRPr="006F26CC">
        <w:rPr>
          <w:rFonts w:cstheme="minorHAnsi"/>
          <w:color w:val="000000"/>
          <w:sz w:val="24"/>
          <w:szCs w:val="24"/>
        </w:rPr>
        <w:t>exegetical tradition, and we find it in</w:t>
      </w:r>
      <w:r>
        <w:rPr>
          <w:rFonts w:cstheme="minorHAnsi"/>
          <w:color w:val="000000"/>
          <w:sz w:val="24"/>
          <w:szCs w:val="24"/>
        </w:rPr>
        <w:t xml:space="preserve"> ‘</w:t>
      </w:r>
      <w:r w:rsidRPr="007661EB">
        <w:rPr>
          <w:rStyle w:val="italic"/>
          <w:rFonts w:cstheme="minorHAnsi"/>
          <w:color w:val="000000"/>
          <w:sz w:val="24"/>
          <w:szCs w:val="24"/>
        </w:rPr>
        <w:t>Pseudo-</w:t>
      </w:r>
      <w:proofErr w:type="spellStart"/>
      <w:r w:rsidRPr="007661EB">
        <w:rPr>
          <w:rStyle w:val="italic"/>
          <w:rFonts w:cstheme="minorHAnsi"/>
          <w:color w:val="000000"/>
          <w:sz w:val="24"/>
          <w:szCs w:val="24"/>
        </w:rPr>
        <w:t>Eupolemus</w:t>
      </w:r>
      <w:proofErr w:type="spellEnd"/>
      <w:r>
        <w:rPr>
          <w:rStyle w:val="italic"/>
          <w:rFonts w:cstheme="minorHAnsi"/>
          <w:i/>
          <w:iCs/>
          <w:color w:val="000000"/>
          <w:sz w:val="24"/>
          <w:szCs w:val="24"/>
        </w:rPr>
        <w:t xml:space="preserve"> </w:t>
      </w:r>
      <w:r>
        <w:rPr>
          <w:rStyle w:val="italic"/>
          <w:rFonts w:cstheme="minorHAnsi"/>
          <w:color w:val="000000"/>
          <w:sz w:val="24"/>
          <w:szCs w:val="24"/>
        </w:rPr>
        <w:t xml:space="preserve">(Eusebius, </w:t>
      </w:r>
      <w:proofErr w:type="spellStart"/>
      <w:r w:rsidRPr="006F26CC">
        <w:rPr>
          <w:rStyle w:val="italic"/>
          <w:rFonts w:cstheme="minorHAnsi"/>
          <w:i/>
          <w:iCs/>
          <w:color w:val="000000"/>
          <w:sz w:val="24"/>
          <w:szCs w:val="24"/>
        </w:rPr>
        <w:t>Praep</w:t>
      </w:r>
      <w:proofErr w:type="spellEnd"/>
      <w:r w:rsidRPr="006F26CC">
        <w:rPr>
          <w:rStyle w:val="italic"/>
          <w:rFonts w:cstheme="minorHAnsi"/>
          <w:i/>
          <w:iCs/>
          <w:color w:val="000000"/>
          <w:sz w:val="24"/>
          <w:szCs w:val="24"/>
        </w:rPr>
        <w:t xml:space="preserve">. </w:t>
      </w:r>
      <w:proofErr w:type="spellStart"/>
      <w:r w:rsidRPr="006F26CC">
        <w:rPr>
          <w:rStyle w:val="italic"/>
          <w:rFonts w:cstheme="minorHAnsi"/>
          <w:i/>
          <w:iCs/>
          <w:color w:val="000000"/>
          <w:sz w:val="24"/>
          <w:szCs w:val="24"/>
        </w:rPr>
        <w:t>Ev</w:t>
      </w:r>
      <w:proofErr w:type="spellEnd"/>
      <w:r w:rsidRPr="006F26CC">
        <w:rPr>
          <w:rFonts w:cstheme="minorHAnsi"/>
          <w:color w:val="000000"/>
          <w:sz w:val="24"/>
          <w:szCs w:val="24"/>
        </w:rPr>
        <w:t>. 9.17.7)</w:t>
      </w:r>
      <w:r>
        <w:rPr>
          <w:rFonts w:cstheme="minorHAnsi"/>
          <w:color w:val="000000"/>
          <w:sz w:val="24"/>
          <w:szCs w:val="24"/>
        </w:rPr>
        <w:t>’</w:t>
      </w:r>
      <w:r w:rsidRPr="006F26CC">
        <w:rPr>
          <w:rFonts w:cstheme="minorHAnsi"/>
          <w:color w:val="000000"/>
          <w:sz w:val="24"/>
          <w:szCs w:val="24"/>
        </w:rPr>
        <w:t xml:space="preserve"> and the </w:t>
      </w:r>
      <w:r w:rsidRPr="006F26CC">
        <w:rPr>
          <w:rStyle w:val="italic"/>
          <w:rFonts w:cstheme="minorHAnsi"/>
          <w:i/>
          <w:iCs/>
          <w:color w:val="000000"/>
          <w:sz w:val="24"/>
          <w:szCs w:val="24"/>
        </w:rPr>
        <w:t>Apocryphon</w:t>
      </w:r>
      <w:r w:rsidRPr="006F26CC">
        <w:rPr>
          <w:rFonts w:cstheme="minorHAnsi"/>
          <w:color w:val="000000"/>
          <w:sz w:val="24"/>
          <w:szCs w:val="24"/>
        </w:rPr>
        <w:t> (col. 20)</w:t>
      </w:r>
      <w:r>
        <w:rPr>
          <w:rFonts w:cstheme="minorHAnsi"/>
          <w:color w:val="000000"/>
          <w:sz w:val="24"/>
          <w:szCs w:val="24"/>
        </w:rPr>
        <w:t>.</w:t>
      </w:r>
      <w:r>
        <w:rPr>
          <w:rFonts w:cstheme="minorHAnsi"/>
          <w:color w:val="000000"/>
          <w:sz w:val="24"/>
          <w:szCs w:val="24"/>
        </w:rPr>
        <w:t xml:space="preserve"> </w:t>
      </w:r>
      <w:r>
        <w:rPr>
          <w:rStyle w:val="FootnoteReference"/>
          <w:rFonts w:cstheme="minorHAnsi"/>
          <w:color w:val="000000"/>
          <w:sz w:val="24"/>
          <w:szCs w:val="24"/>
        </w:rPr>
        <w:footnoteReference w:id="27"/>
      </w:r>
      <w:r>
        <w:rPr>
          <w:rFonts w:cstheme="minorHAnsi"/>
          <w:color w:val="000000"/>
          <w:sz w:val="24"/>
          <w:szCs w:val="24"/>
        </w:rPr>
        <w:t xml:space="preserve"> </w:t>
      </w:r>
      <w:r>
        <w:rPr>
          <w:rFonts w:cstheme="minorHAnsi"/>
          <w:color w:val="000000"/>
          <w:sz w:val="24"/>
          <w:szCs w:val="24"/>
        </w:rPr>
        <w:t xml:space="preserve">It is generally considered that the </w:t>
      </w:r>
      <w:r w:rsidRPr="00831AF4">
        <w:rPr>
          <w:rFonts w:cstheme="minorHAnsi"/>
          <w:color w:val="000000"/>
          <w:sz w:val="24"/>
          <w:szCs w:val="24"/>
        </w:rPr>
        <w:t>retelling of the Abraham</w:t>
      </w:r>
      <w:r>
        <w:rPr>
          <w:rFonts w:cstheme="minorHAnsi"/>
          <w:color w:val="000000"/>
          <w:sz w:val="24"/>
          <w:szCs w:val="24"/>
        </w:rPr>
        <w:t>ic</w:t>
      </w:r>
      <w:r w:rsidRPr="00831AF4">
        <w:rPr>
          <w:rFonts w:cstheme="minorHAnsi"/>
          <w:color w:val="000000"/>
          <w:sz w:val="24"/>
          <w:szCs w:val="24"/>
        </w:rPr>
        <w:t xml:space="preserve"> cycle is motivated by exegetical concerns</w:t>
      </w:r>
      <w:r>
        <w:rPr>
          <w:rFonts w:cstheme="minorHAnsi"/>
          <w:color w:val="000000"/>
          <w:sz w:val="24"/>
          <w:szCs w:val="24"/>
        </w:rPr>
        <w:t>,’</w:t>
      </w:r>
      <w:r>
        <w:rPr>
          <w:rFonts w:cstheme="minorHAnsi"/>
          <w:color w:val="000000"/>
          <w:sz w:val="24"/>
          <w:szCs w:val="24"/>
        </w:rPr>
        <w:t xml:space="preserve"> </w:t>
      </w:r>
      <w:r>
        <w:rPr>
          <w:rStyle w:val="FootnoteReference"/>
          <w:rFonts w:cstheme="minorHAnsi"/>
          <w:color w:val="000000"/>
          <w:sz w:val="24"/>
          <w:szCs w:val="24"/>
        </w:rPr>
        <w:footnoteReference w:id="28"/>
      </w:r>
      <w:r>
        <w:rPr>
          <w:rFonts w:cstheme="minorHAnsi"/>
          <w:color w:val="000000"/>
          <w:sz w:val="24"/>
          <w:szCs w:val="24"/>
        </w:rPr>
        <w:t xml:space="preserve"> </w:t>
      </w:r>
      <w:r w:rsidRPr="0075095E">
        <w:rPr>
          <w:rFonts w:cstheme="minorHAnsi"/>
          <w:color w:val="000000"/>
          <w:sz w:val="24"/>
          <w:szCs w:val="24"/>
        </w:rPr>
        <w:t>but</w:t>
      </w:r>
      <w:r>
        <w:rPr>
          <w:rFonts w:cstheme="minorHAnsi"/>
          <w:color w:val="000000"/>
          <w:sz w:val="24"/>
          <w:szCs w:val="24"/>
        </w:rPr>
        <w:t xml:space="preserve"> can appear to be an apologia for Abraham to improve his reception.</w:t>
      </w:r>
    </w:p>
    <w:p w14:paraId="4F2E992B" w14:textId="77777777" w:rsidR="00917C7D" w:rsidRDefault="00917C7D" w:rsidP="00917C7D">
      <w:pPr>
        <w:spacing w:line="360" w:lineRule="auto"/>
        <w:rPr>
          <w:rFonts w:cstheme="minorHAnsi"/>
          <w:sz w:val="24"/>
          <w:szCs w:val="24"/>
        </w:rPr>
      </w:pPr>
      <w:r w:rsidRPr="00EE57A3">
        <w:rPr>
          <w:rFonts w:cstheme="minorHAnsi"/>
          <w:sz w:val="24"/>
          <w:szCs w:val="24"/>
        </w:rPr>
        <w:t xml:space="preserve">Writing </w:t>
      </w:r>
      <w:r>
        <w:rPr>
          <w:rFonts w:cstheme="minorHAnsi"/>
          <w:sz w:val="24"/>
          <w:szCs w:val="24"/>
        </w:rPr>
        <w:t>in</w:t>
      </w:r>
      <w:r w:rsidRPr="00EE57A3">
        <w:rPr>
          <w:rFonts w:cstheme="minorHAnsi"/>
          <w:sz w:val="24"/>
          <w:szCs w:val="24"/>
        </w:rPr>
        <w:t xml:space="preserve"> </w:t>
      </w:r>
      <w:r>
        <w:rPr>
          <w:rFonts w:cstheme="minorHAnsi"/>
          <w:sz w:val="24"/>
          <w:szCs w:val="24"/>
        </w:rPr>
        <w:t>the early</w:t>
      </w:r>
      <w:r w:rsidRPr="00EE57A3">
        <w:rPr>
          <w:rFonts w:cstheme="minorHAnsi"/>
          <w:sz w:val="24"/>
          <w:szCs w:val="24"/>
        </w:rPr>
        <w:t xml:space="preserve"> first century BC, Philo of Alexandria, was a Jewish </w:t>
      </w:r>
      <w:r>
        <w:rPr>
          <w:rFonts w:cstheme="minorHAnsi"/>
          <w:sz w:val="24"/>
          <w:szCs w:val="24"/>
        </w:rPr>
        <w:t>think</w:t>
      </w:r>
      <w:r w:rsidRPr="00EE57A3">
        <w:rPr>
          <w:rFonts w:cstheme="minorHAnsi"/>
          <w:sz w:val="24"/>
          <w:szCs w:val="24"/>
        </w:rPr>
        <w:t xml:space="preserve">er, </w:t>
      </w:r>
      <w:r>
        <w:rPr>
          <w:rFonts w:cstheme="minorHAnsi"/>
          <w:sz w:val="24"/>
          <w:szCs w:val="24"/>
        </w:rPr>
        <w:t>influenced by stoicism in ‘On Abraham’, Philo portrays Abraham as a Roman stoic, blessed with the stoic virtues of wisdom, courage, moderation and justice</w:t>
      </w:r>
      <w:r>
        <w:rPr>
          <w:color w:val="000000"/>
          <w:sz w:val="24"/>
          <w:szCs w:val="24"/>
          <w:shd w:val="clear" w:color="auto" w:fill="FFFFFF"/>
        </w:rPr>
        <w:t>.</w:t>
      </w:r>
      <w:r w:rsidRPr="007A461E">
        <w:rPr>
          <w:rFonts w:cstheme="minorHAnsi"/>
          <w:sz w:val="24"/>
          <w:szCs w:val="24"/>
        </w:rPr>
        <w:t xml:space="preserve"> </w:t>
      </w:r>
      <w:r>
        <w:rPr>
          <w:rFonts w:cstheme="minorHAnsi"/>
          <w:sz w:val="24"/>
          <w:szCs w:val="24"/>
        </w:rPr>
        <w:t xml:space="preserve">Not only is Philo attempting to correct any negative perceptions of Jews and Judaism, but he is formulating an Abraham for to be received in a Hellenistic world. </w:t>
      </w:r>
    </w:p>
    <w:p w14:paraId="7FF7290B" w14:textId="77777777" w:rsidR="00917C7D" w:rsidRDefault="00917C7D" w:rsidP="00917C7D">
      <w:pPr>
        <w:spacing w:line="360" w:lineRule="auto"/>
        <w:rPr>
          <w:color w:val="000000"/>
          <w:sz w:val="24"/>
          <w:szCs w:val="24"/>
          <w:shd w:val="clear" w:color="auto" w:fill="FFFFFF"/>
        </w:rPr>
      </w:pPr>
      <w:r>
        <w:rPr>
          <w:rFonts w:cstheme="minorHAnsi"/>
          <w:sz w:val="24"/>
          <w:szCs w:val="24"/>
        </w:rPr>
        <w:t xml:space="preserve">Philo removes the lies from Gen 12:13, with Pharoah </w:t>
      </w:r>
      <w:r>
        <w:rPr>
          <w:color w:val="000000"/>
          <w:sz w:val="24"/>
          <w:szCs w:val="24"/>
          <w:shd w:val="clear" w:color="auto" w:fill="FFFFFF"/>
        </w:rPr>
        <w:t>‘</w:t>
      </w:r>
      <w:r w:rsidRPr="00DF034B">
        <w:rPr>
          <w:color w:val="000000"/>
          <w:sz w:val="24"/>
          <w:szCs w:val="24"/>
          <w:shd w:val="clear" w:color="auto" w:fill="FFFFFF"/>
        </w:rPr>
        <w:t>yielding to his incontinent desires</w:t>
      </w:r>
      <w:r>
        <w:rPr>
          <w:color w:val="000000"/>
          <w:sz w:val="24"/>
          <w:szCs w:val="24"/>
          <w:shd w:val="clear" w:color="auto" w:fill="FFFFFF"/>
        </w:rPr>
        <w:t xml:space="preserve"> …</w:t>
      </w:r>
      <w:r w:rsidRPr="00DF034B">
        <w:rPr>
          <w:color w:val="000000"/>
          <w:sz w:val="24"/>
          <w:szCs w:val="24"/>
          <w:shd w:val="clear" w:color="auto" w:fill="FFFFFF"/>
        </w:rPr>
        <w:t xml:space="preserve"> to seduce and defile</w:t>
      </w:r>
      <w:r>
        <w:rPr>
          <w:color w:val="000000"/>
          <w:sz w:val="24"/>
          <w:szCs w:val="24"/>
          <w:shd w:val="clear" w:color="auto" w:fill="FFFFFF"/>
        </w:rPr>
        <w:t xml:space="preserve">,’ for Abraham, ‘had </w:t>
      </w:r>
      <w:r w:rsidRPr="00DF034B">
        <w:rPr>
          <w:color w:val="000000"/>
          <w:sz w:val="24"/>
          <w:szCs w:val="24"/>
          <w:shd w:val="clear" w:color="auto" w:fill="FFFFFF"/>
        </w:rPr>
        <w:t>no power to protect her</w:t>
      </w:r>
      <w:r>
        <w:rPr>
          <w:color w:val="000000"/>
          <w:sz w:val="24"/>
          <w:szCs w:val="24"/>
          <w:shd w:val="clear" w:color="auto" w:fill="FFFFFF"/>
        </w:rPr>
        <w:t>.’ Abraham is showing stoic courage and relying on God’s justice.</w:t>
      </w:r>
      <w:r>
        <w:rPr>
          <w:color w:val="000000"/>
          <w:sz w:val="24"/>
          <w:szCs w:val="24"/>
          <w:shd w:val="clear" w:color="auto" w:fill="FFFFFF"/>
        </w:rPr>
        <w:t xml:space="preserve"> </w:t>
      </w:r>
      <w:r>
        <w:rPr>
          <w:color w:val="000000"/>
          <w:sz w:val="24"/>
          <w:szCs w:val="24"/>
          <w:shd w:val="clear" w:color="auto" w:fill="FFFFFF"/>
        </w:rPr>
        <w:t>Whence Sarah, ‘</w:t>
      </w:r>
      <w:r w:rsidRPr="00DF034B">
        <w:rPr>
          <w:color w:val="000000"/>
          <w:sz w:val="24"/>
          <w:szCs w:val="24"/>
          <w:shd w:val="clear" w:color="auto" w:fill="FFFFFF"/>
        </w:rPr>
        <w:t>took refuge in the only alliance remaining to her, the protection of God</w:t>
      </w:r>
      <w:r>
        <w:rPr>
          <w:color w:val="000000"/>
          <w:sz w:val="24"/>
          <w:szCs w:val="24"/>
          <w:shd w:val="clear" w:color="auto" w:fill="FFFFFF"/>
        </w:rPr>
        <w:t>,’</w:t>
      </w:r>
      <w:r>
        <w:rPr>
          <w:color w:val="000000"/>
          <w:sz w:val="24"/>
          <w:szCs w:val="24"/>
          <w:shd w:val="clear" w:color="auto" w:fill="FFFFFF"/>
        </w:rPr>
        <w:t xml:space="preserve"> </w:t>
      </w:r>
      <w:r>
        <w:rPr>
          <w:rStyle w:val="FootnoteReference"/>
          <w:color w:val="000000"/>
          <w:sz w:val="24"/>
          <w:szCs w:val="24"/>
          <w:shd w:val="clear" w:color="auto" w:fill="FFFFFF"/>
        </w:rPr>
        <w:footnoteReference w:id="29"/>
      </w:r>
      <w:r>
        <w:rPr>
          <w:color w:val="000000"/>
          <w:sz w:val="24"/>
          <w:szCs w:val="24"/>
          <w:shd w:val="clear" w:color="auto" w:fill="FFFFFF"/>
        </w:rPr>
        <w:t xml:space="preserve"> </w:t>
      </w:r>
      <w:r>
        <w:rPr>
          <w:color w:val="000000"/>
          <w:sz w:val="24"/>
          <w:szCs w:val="24"/>
          <w:shd w:val="clear" w:color="auto" w:fill="FFFFFF"/>
        </w:rPr>
        <w:t>who wrought vengeance on the Egyptians, whilst Sarah’s</w:t>
      </w:r>
      <w:r w:rsidRPr="00DF034B">
        <w:rPr>
          <w:color w:val="000000"/>
          <w:sz w:val="24"/>
          <w:szCs w:val="24"/>
          <w:shd w:val="clear" w:color="auto" w:fill="FFFFFF"/>
        </w:rPr>
        <w:t xml:space="preserve"> </w:t>
      </w:r>
      <w:r>
        <w:rPr>
          <w:color w:val="000000"/>
          <w:sz w:val="24"/>
          <w:szCs w:val="24"/>
          <w:shd w:val="clear" w:color="auto" w:fill="FFFFFF"/>
        </w:rPr>
        <w:t xml:space="preserve">chastity </w:t>
      </w:r>
      <w:r w:rsidRPr="00DF034B">
        <w:rPr>
          <w:color w:val="000000"/>
          <w:sz w:val="24"/>
          <w:szCs w:val="24"/>
          <w:shd w:val="clear" w:color="auto" w:fill="FFFFFF"/>
        </w:rPr>
        <w:t xml:space="preserve">was preserved, and </w:t>
      </w:r>
      <w:r>
        <w:rPr>
          <w:color w:val="000000"/>
          <w:sz w:val="24"/>
          <w:szCs w:val="24"/>
          <w:shd w:val="clear" w:color="auto" w:fill="FFFFFF"/>
        </w:rPr>
        <w:t>‘</w:t>
      </w:r>
      <w:r w:rsidRPr="00DF034B">
        <w:rPr>
          <w:color w:val="000000"/>
          <w:sz w:val="24"/>
          <w:szCs w:val="24"/>
          <w:shd w:val="clear" w:color="auto" w:fill="FFFFFF"/>
        </w:rPr>
        <w:t>God condescended to display the excellence and piety of her husband, giving him the noblest reward</w:t>
      </w:r>
      <w:r>
        <w:rPr>
          <w:color w:val="000000"/>
          <w:sz w:val="24"/>
          <w:szCs w:val="24"/>
          <w:shd w:val="clear" w:color="auto" w:fill="FFFFFF"/>
        </w:rPr>
        <w:t xml:space="preserve"> …</w:t>
      </w:r>
      <w:r w:rsidRPr="00DF034B">
        <w:rPr>
          <w:color w:val="000000"/>
          <w:sz w:val="24"/>
          <w:szCs w:val="24"/>
          <w:shd w:val="clear" w:color="auto" w:fill="FFFFFF"/>
        </w:rPr>
        <w:t xml:space="preserve"> his marriage free from all injury, and </w:t>
      </w:r>
      <w:r>
        <w:rPr>
          <w:color w:val="000000"/>
          <w:sz w:val="24"/>
          <w:szCs w:val="24"/>
          <w:shd w:val="clear" w:color="auto" w:fill="FFFFFF"/>
        </w:rPr>
        <w:t xml:space="preserve">… </w:t>
      </w:r>
      <w:r w:rsidRPr="00DF034B">
        <w:rPr>
          <w:color w:val="000000"/>
          <w:sz w:val="24"/>
          <w:szCs w:val="24"/>
          <w:shd w:val="clear" w:color="auto" w:fill="FFFFFF"/>
        </w:rPr>
        <w:t>insult</w:t>
      </w:r>
      <w:r>
        <w:rPr>
          <w:color w:val="000000"/>
          <w:sz w:val="24"/>
          <w:szCs w:val="24"/>
          <w:shd w:val="clear" w:color="auto" w:fill="FFFFFF"/>
        </w:rPr>
        <w:t>.’</w:t>
      </w:r>
      <w:r>
        <w:rPr>
          <w:color w:val="000000"/>
          <w:sz w:val="24"/>
          <w:szCs w:val="24"/>
          <w:shd w:val="clear" w:color="auto" w:fill="FFFFFF"/>
        </w:rPr>
        <w:t xml:space="preserve"> </w:t>
      </w:r>
      <w:r>
        <w:rPr>
          <w:rStyle w:val="FootnoteReference"/>
          <w:color w:val="000000"/>
          <w:sz w:val="24"/>
          <w:szCs w:val="24"/>
          <w:shd w:val="clear" w:color="auto" w:fill="FFFFFF"/>
        </w:rPr>
        <w:footnoteReference w:id="30"/>
      </w:r>
      <w:r>
        <w:rPr>
          <w:color w:val="000000"/>
          <w:sz w:val="24"/>
          <w:szCs w:val="24"/>
          <w:shd w:val="clear" w:color="auto" w:fill="FFFFFF"/>
        </w:rPr>
        <w:t xml:space="preserve"> </w:t>
      </w:r>
    </w:p>
    <w:p w14:paraId="006DF158" w14:textId="77777777" w:rsidR="009E4F70" w:rsidRPr="006053E1" w:rsidRDefault="00917C7D" w:rsidP="009E4F70">
      <w:pPr>
        <w:spacing w:line="360" w:lineRule="auto"/>
        <w:rPr>
          <w:rFonts w:cstheme="minorHAnsi"/>
          <w:sz w:val="24"/>
          <w:szCs w:val="24"/>
        </w:rPr>
      </w:pPr>
      <w:r>
        <w:rPr>
          <w:color w:val="000000"/>
          <w:sz w:val="24"/>
          <w:szCs w:val="24"/>
          <w:shd w:val="clear" w:color="auto" w:fill="FFFFFF"/>
        </w:rPr>
        <w:t>This is a reward for Abraham’s stoicism in the face of danger and distress, and contrasts Abraham’s piety, with that of the negative actions</w:t>
      </w:r>
      <w:r>
        <w:rPr>
          <w:color w:val="000000"/>
          <w:sz w:val="24"/>
          <w:szCs w:val="24"/>
          <w:shd w:val="clear" w:color="auto" w:fill="FFFFFF"/>
        </w:rPr>
        <w:t xml:space="preserve"> </w:t>
      </w:r>
      <w:r>
        <w:rPr>
          <w:rStyle w:val="FootnoteReference"/>
          <w:color w:val="000000"/>
          <w:sz w:val="24"/>
          <w:szCs w:val="24"/>
          <w:shd w:val="clear" w:color="auto" w:fill="FFFFFF"/>
        </w:rPr>
        <w:footnoteReference w:id="31"/>
      </w:r>
      <w:r w:rsidR="009E4F70">
        <w:rPr>
          <w:color w:val="000000"/>
          <w:sz w:val="24"/>
          <w:szCs w:val="24"/>
          <w:shd w:val="clear" w:color="auto" w:fill="FFFFFF"/>
        </w:rPr>
        <w:t xml:space="preserve"> </w:t>
      </w:r>
      <w:r w:rsidR="009E4F70">
        <w:rPr>
          <w:color w:val="000000"/>
          <w:sz w:val="24"/>
          <w:szCs w:val="24"/>
          <w:shd w:val="clear" w:color="auto" w:fill="FFFFFF"/>
          <w:vertAlign w:val="superscript"/>
        </w:rPr>
        <w:t>)</w:t>
      </w:r>
      <w:r w:rsidR="009E4F70">
        <w:rPr>
          <w:color w:val="000000"/>
          <w:sz w:val="24"/>
          <w:szCs w:val="24"/>
          <w:shd w:val="clear" w:color="auto" w:fill="FFFFFF"/>
        </w:rPr>
        <w:t xml:space="preserve"> of Pharoah,</w:t>
      </w:r>
      <w:r w:rsidR="009E4F70">
        <w:rPr>
          <w:rStyle w:val="FootnoteReference"/>
          <w:color w:val="000000"/>
          <w:sz w:val="24"/>
          <w:szCs w:val="24"/>
          <w:shd w:val="clear" w:color="auto" w:fill="FFFFFF"/>
        </w:rPr>
        <w:footnoteReference w:id="32"/>
      </w:r>
      <w:r w:rsidR="009E4F70">
        <w:rPr>
          <w:color w:val="000000"/>
          <w:sz w:val="24"/>
          <w:szCs w:val="24"/>
          <w:shd w:val="clear" w:color="auto" w:fill="FFFFFF"/>
        </w:rPr>
        <w:t xml:space="preserve"> </w:t>
      </w:r>
      <w:r w:rsidR="009E4F70">
        <w:rPr>
          <w:color w:val="000000"/>
          <w:sz w:val="24"/>
          <w:szCs w:val="24"/>
          <w:shd w:val="clear" w:color="auto" w:fill="FFFFFF"/>
        </w:rPr>
        <w:t>creating a reception of Abraham as the first stoic.</w:t>
      </w:r>
    </w:p>
    <w:p w14:paraId="768C0C90" w14:textId="77777777" w:rsidR="009E4F70" w:rsidRDefault="009E4F70" w:rsidP="009E4F70">
      <w:pPr>
        <w:pStyle w:val="chapter-1"/>
        <w:shd w:val="clear" w:color="auto" w:fill="FFFFFF"/>
        <w:spacing w:line="360" w:lineRule="auto"/>
        <w:rPr>
          <w:rFonts w:asciiTheme="minorHAnsi" w:hAnsiTheme="minorHAnsi" w:cstheme="minorHAnsi"/>
          <w:color w:val="000000"/>
          <w:shd w:val="clear" w:color="auto" w:fill="FFFFFF"/>
        </w:rPr>
      </w:pPr>
      <w:r w:rsidRPr="007E2544">
        <w:rPr>
          <w:rFonts w:asciiTheme="minorHAnsi" w:hAnsiTheme="minorHAnsi" w:cstheme="minorHAnsi"/>
          <w:color w:val="000000"/>
        </w:rPr>
        <w:t>Philo, writes in eulogistic praise of Sarah</w:t>
      </w:r>
      <w:r>
        <w:rPr>
          <w:rFonts w:asciiTheme="minorHAnsi" w:hAnsiTheme="minorHAnsi" w:cstheme="minorHAnsi"/>
          <w:color w:val="000000"/>
        </w:rPr>
        <w:t xml:space="preserve">, </w:t>
      </w:r>
      <w:r w:rsidRPr="007E2544">
        <w:rPr>
          <w:rFonts w:asciiTheme="minorHAnsi" w:hAnsiTheme="minorHAnsi" w:cstheme="minorHAnsi"/>
          <w:color w:val="000000"/>
        </w:rPr>
        <w:t>praising her unhesitating willingness to follow Abraham in their wanderings, ‘her endurance of want’, in sharing ‘</w:t>
      </w:r>
      <w:r w:rsidRPr="007E2544">
        <w:rPr>
          <w:rFonts w:asciiTheme="minorHAnsi" w:hAnsiTheme="minorHAnsi" w:cstheme="minorHAnsi"/>
          <w:color w:val="000000"/>
          <w:shd w:val="clear" w:color="auto" w:fill="FFFFFF"/>
        </w:rPr>
        <w:t xml:space="preserve">his good and evil fortune …. always with him at all times, and in all places.’ </w:t>
      </w:r>
      <w:r w:rsidRPr="007E2544">
        <w:rPr>
          <w:rFonts w:asciiTheme="minorHAnsi" w:hAnsiTheme="minorHAnsi" w:cstheme="minorHAnsi"/>
          <w:color w:val="000000"/>
        </w:rPr>
        <w:t>On Abraham’ 245-54</w:t>
      </w:r>
      <w:r>
        <w:rPr>
          <w:rFonts w:asciiTheme="minorHAnsi" w:hAnsiTheme="minorHAnsi" w:cstheme="minorHAnsi"/>
          <w:color w:val="000000"/>
        </w:rPr>
        <w:t>.</w:t>
      </w:r>
      <w:r>
        <w:rPr>
          <w:rFonts w:cstheme="minorHAnsi"/>
          <w:color w:val="000000"/>
        </w:rPr>
        <w:t xml:space="preserve"> </w:t>
      </w:r>
      <w:r>
        <w:rPr>
          <w:rStyle w:val="FootnoteReference"/>
          <w:rFonts w:cstheme="minorHAnsi"/>
          <w:color w:val="000000"/>
        </w:rPr>
        <w:footnoteReference w:id="33"/>
      </w:r>
      <w:r>
        <w:rPr>
          <w:rFonts w:cstheme="minorHAnsi"/>
          <w:color w:val="000000"/>
        </w:rPr>
        <w:t xml:space="preserve"> </w:t>
      </w:r>
      <w:r w:rsidRPr="007E2544">
        <w:rPr>
          <w:rFonts w:asciiTheme="minorHAnsi" w:hAnsiTheme="minorHAnsi" w:cstheme="minorHAnsi"/>
          <w:color w:val="000000"/>
        </w:rPr>
        <w:t xml:space="preserve">Philo is praising </w:t>
      </w:r>
      <w:r w:rsidRPr="007E2544">
        <w:rPr>
          <w:rFonts w:asciiTheme="minorHAnsi" w:hAnsiTheme="minorHAnsi" w:cstheme="minorHAnsi"/>
          <w:color w:val="000000"/>
          <w:shd w:val="clear" w:color="auto" w:fill="FFFFFF"/>
        </w:rPr>
        <w:t>the perfect Stoic couple, the progenitors of all Jews, with Sarah ‘being truly the partner of his life, and of all the circumstances of his life’.</w:t>
      </w:r>
      <w:r>
        <w:rPr>
          <w:rFonts w:cstheme="minorHAnsi"/>
          <w:color w:val="000000"/>
          <w:shd w:val="clear" w:color="auto" w:fill="FFFFFF"/>
        </w:rPr>
        <w:t xml:space="preserve"> </w:t>
      </w:r>
      <w:r>
        <w:rPr>
          <w:rStyle w:val="FootnoteReference"/>
          <w:rFonts w:cstheme="minorHAnsi"/>
          <w:color w:val="000000"/>
          <w:shd w:val="clear" w:color="auto" w:fill="FFFFFF"/>
        </w:rPr>
        <w:footnoteReference w:id="34"/>
      </w:r>
      <w:r>
        <w:rPr>
          <w:rFonts w:cstheme="minorHAnsi"/>
          <w:color w:val="000000"/>
          <w:shd w:val="clear" w:color="auto" w:fill="FFFFFF"/>
        </w:rPr>
        <w:t xml:space="preserve"> </w:t>
      </w:r>
      <w:r w:rsidRPr="007E2544">
        <w:rPr>
          <w:rFonts w:asciiTheme="minorHAnsi" w:hAnsiTheme="minorHAnsi" w:cstheme="minorHAnsi"/>
          <w:color w:val="000000"/>
          <w:shd w:val="clear" w:color="auto" w:fill="FFFFFF"/>
        </w:rPr>
        <w:t>Abraham and Sarah both ‘walk the path of devotional surrender’</w:t>
      </w:r>
      <w:r>
        <w:rPr>
          <w:rFonts w:cstheme="minorHAnsi"/>
          <w:color w:val="000000"/>
          <w:shd w:val="clear" w:color="auto" w:fill="FFFFFF"/>
        </w:rPr>
        <w:t xml:space="preserve"> </w:t>
      </w:r>
      <w:r>
        <w:rPr>
          <w:rStyle w:val="FootnoteReference"/>
          <w:rFonts w:cstheme="minorHAnsi"/>
          <w:color w:val="000000"/>
          <w:shd w:val="clear" w:color="auto" w:fill="FFFFFF"/>
        </w:rPr>
        <w:footnoteReference w:id="35"/>
      </w:r>
      <w:r>
        <w:rPr>
          <w:rFonts w:cstheme="minorHAnsi"/>
          <w:color w:val="000000"/>
          <w:shd w:val="clear" w:color="auto" w:fill="FFFFFF"/>
        </w:rPr>
        <w:t xml:space="preserve"> </w:t>
      </w:r>
      <w:r>
        <w:rPr>
          <w:rFonts w:asciiTheme="minorHAnsi" w:hAnsiTheme="minorHAnsi" w:cstheme="minorHAnsi"/>
          <w:color w:val="000000"/>
          <w:shd w:val="clear" w:color="auto" w:fill="FFFFFF"/>
        </w:rPr>
        <w:t xml:space="preserve">to be received </w:t>
      </w:r>
      <w:r w:rsidRPr="007E2544">
        <w:rPr>
          <w:rFonts w:asciiTheme="minorHAnsi" w:hAnsiTheme="minorHAnsi" w:cstheme="minorHAnsi"/>
          <w:color w:val="000000"/>
          <w:shd w:val="clear" w:color="auto" w:fill="FFFFFF"/>
        </w:rPr>
        <w:t xml:space="preserve">as exemplars for the Jews, </w:t>
      </w:r>
      <w:r>
        <w:rPr>
          <w:rFonts w:asciiTheme="minorHAnsi" w:hAnsiTheme="minorHAnsi" w:cstheme="minorHAnsi"/>
          <w:color w:val="000000"/>
          <w:shd w:val="clear" w:color="auto" w:fill="FFFFFF"/>
        </w:rPr>
        <w:t>and</w:t>
      </w:r>
      <w:r w:rsidRPr="007E2544">
        <w:rPr>
          <w:rFonts w:asciiTheme="minorHAnsi" w:hAnsiTheme="minorHAnsi" w:cstheme="minorHAnsi"/>
          <w:color w:val="000000"/>
          <w:shd w:val="clear" w:color="auto" w:fill="FFFFFF"/>
        </w:rPr>
        <w:t xml:space="preserve"> also the Hellenistic World. </w:t>
      </w:r>
    </w:p>
    <w:p w14:paraId="75CAE99E" w14:textId="77777777" w:rsidR="009E4F70" w:rsidRPr="0075095E" w:rsidRDefault="009E4F70" w:rsidP="009E4F70">
      <w:pPr>
        <w:pStyle w:val="chapter-1"/>
        <w:shd w:val="clear" w:color="auto" w:fill="FFFFFF"/>
        <w:spacing w:line="360" w:lineRule="auto"/>
        <w:rPr>
          <w:rFonts w:asciiTheme="minorHAnsi" w:hAnsiTheme="minorHAnsi" w:cstheme="minorHAnsi"/>
          <w:color w:val="000000"/>
        </w:rPr>
      </w:pPr>
      <w:r w:rsidRPr="003E00A7">
        <w:rPr>
          <w:rFonts w:asciiTheme="minorHAnsi" w:hAnsiTheme="minorHAnsi" w:cstheme="minorHAnsi"/>
          <w:color w:val="000000"/>
          <w:shd w:val="clear" w:color="auto" w:fill="FFFFFF"/>
        </w:rPr>
        <w:t>Unsurprisingly, the New Testament, has no direct reference to the un-Christian events in Egypt, however, the faith of Abraham is portrayed by Paul in his letters to the Romans</w:t>
      </w:r>
      <w:r>
        <w:rPr>
          <w:rFonts w:asciiTheme="minorHAnsi" w:hAnsiTheme="minorHAnsi" w:cstheme="minorHAnsi"/>
          <w:color w:val="000000"/>
          <w:shd w:val="clear" w:color="auto" w:fill="FFFFFF"/>
        </w:rPr>
        <w:t xml:space="preserve">, with </w:t>
      </w:r>
      <w:r w:rsidRPr="003E00A7">
        <w:rPr>
          <w:rFonts w:asciiTheme="minorHAnsi" w:hAnsiTheme="minorHAnsi" w:cstheme="minorHAnsi"/>
          <w:color w:val="000000"/>
          <w:shd w:val="clear" w:color="auto" w:fill="FFFFFF"/>
        </w:rPr>
        <w:t>‘</w:t>
      </w:r>
      <w:r w:rsidRPr="003E00A7">
        <w:rPr>
          <w:rStyle w:val="text"/>
          <w:rFonts w:asciiTheme="minorHAnsi" w:hAnsiTheme="minorHAnsi" w:cstheme="minorHAnsi"/>
          <w:color w:val="000000"/>
        </w:rPr>
        <w:t>Against all hope, Abraham in hope believed.’</w:t>
      </w:r>
      <w:r>
        <w:rPr>
          <w:rStyle w:val="text"/>
          <w:rFonts w:asciiTheme="minorHAnsi" w:hAnsiTheme="minorHAnsi" w:cstheme="minorHAnsi"/>
          <w:color w:val="000000"/>
        </w:rPr>
        <w:t xml:space="preserve"> Rom. 4:18 </w:t>
      </w:r>
      <w:r w:rsidRPr="003E00A7">
        <w:rPr>
          <w:rStyle w:val="text"/>
          <w:rFonts w:asciiTheme="minorHAnsi" w:hAnsiTheme="minorHAnsi" w:cstheme="minorHAnsi"/>
          <w:color w:val="000000"/>
        </w:rPr>
        <w:t xml:space="preserve">Paul states Abraham “believed God, and it was credited to him as righteousness.’, </w:t>
      </w:r>
      <w:r>
        <w:rPr>
          <w:rStyle w:val="text"/>
          <w:rFonts w:asciiTheme="minorHAnsi" w:hAnsiTheme="minorHAnsi" w:cstheme="minorHAnsi"/>
          <w:color w:val="000000"/>
        </w:rPr>
        <w:t xml:space="preserve">Gal 3: 7-9, </w:t>
      </w:r>
      <w:r w:rsidRPr="003E00A7">
        <w:rPr>
          <w:rStyle w:val="text"/>
          <w:rFonts w:asciiTheme="minorHAnsi" w:hAnsiTheme="minorHAnsi" w:cstheme="minorHAnsi"/>
          <w:color w:val="000000"/>
        </w:rPr>
        <w:t xml:space="preserve">encouraging his audience, Jew or Gentile, not to lose their faith in the promise of Christ, </w:t>
      </w:r>
      <w:r>
        <w:rPr>
          <w:rStyle w:val="text"/>
          <w:rFonts w:asciiTheme="minorHAnsi" w:hAnsiTheme="minorHAnsi" w:cstheme="minorHAnsi"/>
          <w:color w:val="000000"/>
        </w:rPr>
        <w:t>whatever the cost. A</w:t>
      </w:r>
      <w:r w:rsidRPr="003E00A7">
        <w:rPr>
          <w:rStyle w:val="text"/>
          <w:rFonts w:asciiTheme="minorHAnsi" w:hAnsiTheme="minorHAnsi" w:cstheme="minorHAnsi"/>
          <w:color w:val="000000"/>
        </w:rPr>
        <w:t>braham had endured for them, as Christ had suffered for them</w:t>
      </w:r>
      <w:r>
        <w:rPr>
          <w:rStyle w:val="text"/>
          <w:rFonts w:asciiTheme="minorHAnsi" w:hAnsiTheme="minorHAnsi" w:cstheme="minorHAnsi"/>
          <w:color w:val="000000"/>
        </w:rPr>
        <w:t>.</w:t>
      </w:r>
    </w:p>
    <w:p w14:paraId="66417076" w14:textId="662D719B" w:rsidR="007B6F38" w:rsidRDefault="009E4F70" w:rsidP="009E4F70">
      <w:pPr>
        <w:spacing w:line="360" w:lineRule="auto"/>
        <w:rPr>
          <w:rFonts w:cstheme="minorHAnsi"/>
          <w:color w:val="000000"/>
          <w:sz w:val="24"/>
          <w:szCs w:val="24"/>
          <w:shd w:val="clear" w:color="auto" w:fill="FFFFFF"/>
        </w:rPr>
      </w:pPr>
      <w:r w:rsidRPr="009E4F70">
        <w:rPr>
          <w:rStyle w:val="text"/>
          <w:rFonts w:cstheme="minorHAnsi"/>
          <w:color w:val="000000"/>
          <w:sz w:val="24"/>
          <w:szCs w:val="24"/>
        </w:rPr>
        <w:t xml:space="preserve">Paul references Sarah’s significant role, as in Isaiah 51:2, omitting her concubinage, in that Galatians are </w:t>
      </w:r>
      <w:r w:rsidRPr="009E4F70">
        <w:rPr>
          <w:rFonts w:cstheme="minorHAnsi"/>
          <w:color w:val="000000"/>
          <w:sz w:val="24"/>
          <w:szCs w:val="24"/>
          <w:shd w:val="clear" w:color="auto" w:fill="FFFFFF"/>
        </w:rPr>
        <w:t xml:space="preserve">children ‘of the free woman.’ </w:t>
      </w:r>
      <w:r w:rsidRPr="009E4F70">
        <w:rPr>
          <w:rStyle w:val="text"/>
          <w:rFonts w:cstheme="minorHAnsi"/>
          <w:color w:val="000000"/>
          <w:sz w:val="24"/>
          <w:szCs w:val="24"/>
        </w:rPr>
        <w:t xml:space="preserve">Gal 4: 21-31. </w:t>
      </w:r>
      <w:r w:rsidRPr="009E4F70">
        <w:rPr>
          <w:rFonts w:cstheme="minorHAnsi"/>
          <w:color w:val="000000"/>
          <w:sz w:val="24"/>
          <w:szCs w:val="24"/>
          <w:shd w:val="clear" w:color="auto" w:fill="FFFFFF"/>
        </w:rPr>
        <w:t>All nations should receive Abraham and Sarah as their ancestors</w:t>
      </w:r>
      <w:r>
        <w:rPr>
          <w:rFonts w:cstheme="minorHAnsi"/>
          <w:color w:val="000000"/>
          <w:sz w:val="24"/>
          <w:szCs w:val="24"/>
          <w:shd w:val="clear" w:color="auto" w:fill="FFFFFF"/>
        </w:rPr>
        <w:t>.</w:t>
      </w:r>
    </w:p>
    <w:p w14:paraId="7FBAA820" w14:textId="77777777" w:rsidR="009E4F70" w:rsidRDefault="009E4F70" w:rsidP="009E4F70">
      <w:pPr>
        <w:spacing w:line="360" w:lineRule="auto"/>
        <w:rPr>
          <w:rFonts w:cstheme="minorHAnsi"/>
          <w:sz w:val="24"/>
          <w:szCs w:val="24"/>
        </w:rPr>
      </w:pPr>
      <w:r w:rsidRPr="00FA6035">
        <w:rPr>
          <w:rFonts w:cstheme="minorHAnsi"/>
          <w:sz w:val="24"/>
          <w:szCs w:val="24"/>
        </w:rPr>
        <w:t>As Philo</w:t>
      </w:r>
      <w:r>
        <w:rPr>
          <w:rFonts w:cstheme="minorHAnsi"/>
          <w:sz w:val="24"/>
          <w:szCs w:val="24"/>
        </w:rPr>
        <w:t>,</w:t>
      </w:r>
      <w:r>
        <w:rPr>
          <w:rStyle w:val="FootnoteReference"/>
          <w:rFonts w:cstheme="minorHAnsi"/>
          <w:sz w:val="24"/>
          <w:szCs w:val="24"/>
        </w:rPr>
        <w:footnoteReference w:id="36"/>
      </w:r>
      <w:r>
        <w:rPr>
          <w:rFonts w:cstheme="minorHAnsi"/>
          <w:sz w:val="24"/>
          <w:szCs w:val="24"/>
        </w:rPr>
        <w:t xml:space="preserve"> </w:t>
      </w:r>
      <w:r w:rsidRPr="00FA6035">
        <w:rPr>
          <w:rFonts w:cstheme="minorHAnsi"/>
          <w:sz w:val="24"/>
          <w:szCs w:val="24"/>
        </w:rPr>
        <w:t>and Josephus</w:t>
      </w:r>
      <w:r>
        <w:rPr>
          <w:rFonts w:cstheme="minorHAnsi"/>
          <w:sz w:val="24"/>
          <w:szCs w:val="24"/>
        </w:rPr>
        <w:t xml:space="preserve">, </w:t>
      </w:r>
      <w:r>
        <w:rPr>
          <w:rStyle w:val="FootnoteReference"/>
          <w:rFonts w:cstheme="minorHAnsi"/>
          <w:sz w:val="24"/>
          <w:szCs w:val="24"/>
        </w:rPr>
        <w:footnoteReference w:id="37"/>
      </w:r>
      <w:r w:rsidRPr="00FA6035">
        <w:rPr>
          <w:rFonts w:cstheme="minorHAnsi"/>
          <w:sz w:val="24"/>
          <w:szCs w:val="24"/>
        </w:rPr>
        <w:t xml:space="preserve"> recognised Abraham as the first Gentile to become a proselyte</w:t>
      </w:r>
      <w:r>
        <w:rPr>
          <w:rFonts w:cstheme="minorHAnsi"/>
          <w:sz w:val="24"/>
          <w:szCs w:val="24"/>
        </w:rPr>
        <w:t>,</w:t>
      </w:r>
      <w:r w:rsidRPr="00FA6035">
        <w:rPr>
          <w:rFonts w:cstheme="minorHAnsi"/>
          <w:sz w:val="24"/>
          <w:szCs w:val="24"/>
        </w:rPr>
        <w:t xml:space="preserve"> Pamela </w:t>
      </w:r>
      <w:proofErr w:type="spellStart"/>
      <w:r w:rsidRPr="00FA6035">
        <w:rPr>
          <w:rFonts w:cstheme="minorHAnsi"/>
          <w:sz w:val="24"/>
          <w:szCs w:val="24"/>
        </w:rPr>
        <w:t>Eisenbaum</w:t>
      </w:r>
      <w:proofErr w:type="spellEnd"/>
      <w:r w:rsidRPr="00FA6035">
        <w:rPr>
          <w:rFonts w:cstheme="minorHAnsi"/>
          <w:sz w:val="24"/>
          <w:szCs w:val="24"/>
        </w:rPr>
        <w:t xml:space="preserve"> views Paul as ‘the new Abraham’.</w:t>
      </w:r>
      <w:r>
        <w:rPr>
          <w:rFonts w:cstheme="minorHAnsi"/>
          <w:sz w:val="24"/>
          <w:szCs w:val="24"/>
        </w:rPr>
        <w:t xml:space="preserve"> </w:t>
      </w:r>
      <w:r>
        <w:rPr>
          <w:rStyle w:val="FootnoteReference"/>
          <w:rFonts w:cstheme="minorHAnsi"/>
          <w:sz w:val="24"/>
          <w:szCs w:val="24"/>
        </w:rPr>
        <w:footnoteReference w:id="38"/>
      </w:r>
      <w:r>
        <w:rPr>
          <w:rFonts w:cstheme="minorHAnsi"/>
          <w:sz w:val="24"/>
          <w:szCs w:val="24"/>
        </w:rPr>
        <w:t xml:space="preserve"> </w:t>
      </w:r>
      <w:r w:rsidRPr="00FA6035">
        <w:rPr>
          <w:rFonts w:cstheme="minorHAnsi"/>
          <w:sz w:val="24"/>
          <w:szCs w:val="24"/>
        </w:rPr>
        <w:t>With both Abraham and Paul leading their respective communities away from their old beliefs, to a new covenant</w:t>
      </w:r>
      <w:r>
        <w:rPr>
          <w:rFonts w:cstheme="minorHAnsi"/>
          <w:sz w:val="24"/>
          <w:szCs w:val="24"/>
        </w:rPr>
        <w:t xml:space="preserve">, </w:t>
      </w:r>
      <w:r w:rsidRPr="005A425C">
        <w:rPr>
          <w:rFonts w:cstheme="minorHAnsi"/>
          <w:sz w:val="24"/>
          <w:szCs w:val="24"/>
        </w:rPr>
        <w:t>and any mention of the sojourn in Egypt needs to be forgotten, as are Paul’s failings in his past.</w:t>
      </w:r>
    </w:p>
    <w:p w14:paraId="36D0C059" w14:textId="77777777" w:rsidR="009E4F70" w:rsidRDefault="009E4F70" w:rsidP="009E4F70">
      <w:pPr>
        <w:spacing w:line="360" w:lineRule="auto"/>
        <w:rPr>
          <w:rFonts w:cstheme="minorHAnsi"/>
          <w:color w:val="000000"/>
          <w:sz w:val="24"/>
          <w:szCs w:val="24"/>
          <w:shd w:val="clear" w:color="auto" w:fill="FFFFFF"/>
        </w:rPr>
      </w:pPr>
      <w:r>
        <w:rPr>
          <w:rFonts w:cstheme="minorHAnsi"/>
          <w:sz w:val="24"/>
          <w:szCs w:val="24"/>
        </w:rPr>
        <w:t>Sarah is praised for her holiness and</w:t>
      </w:r>
      <w:r w:rsidRPr="00565BF6">
        <w:rPr>
          <w:rFonts w:cstheme="minorHAnsi"/>
          <w:sz w:val="24"/>
          <w:szCs w:val="24"/>
        </w:rPr>
        <w:t xml:space="preserve"> </w:t>
      </w:r>
      <w:r>
        <w:rPr>
          <w:rFonts w:cstheme="minorHAnsi"/>
          <w:sz w:val="24"/>
          <w:szCs w:val="24"/>
        </w:rPr>
        <w:t xml:space="preserve">her matrimonial </w:t>
      </w:r>
      <w:r w:rsidRPr="00565BF6">
        <w:rPr>
          <w:rFonts w:cstheme="minorHAnsi"/>
          <w:sz w:val="24"/>
          <w:szCs w:val="24"/>
        </w:rPr>
        <w:t>submi</w:t>
      </w:r>
      <w:r>
        <w:rPr>
          <w:rFonts w:cstheme="minorHAnsi"/>
          <w:sz w:val="24"/>
          <w:szCs w:val="24"/>
        </w:rPr>
        <w:t>ssion,</w:t>
      </w:r>
      <w:r>
        <w:rPr>
          <w:rStyle w:val="text"/>
          <w:rFonts w:cstheme="minorHAnsi"/>
          <w:color w:val="000000"/>
          <w:sz w:val="24"/>
          <w:szCs w:val="24"/>
          <w:shd w:val="clear" w:color="auto" w:fill="FFFFFF"/>
        </w:rPr>
        <w:t xml:space="preserve"> ‘</w:t>
      </w:r>
      <w:r w:rsidRPr="00565BF6">
        <w:rPr>
          <w:rStyle w:val="text"/>
          <w:rFonts w:cstheme="minorHAnsi"/>
          <w:color w:val="000000"/>
          <w:sz w:val="24"/>
          <w:szCs w:val="24"/>
          <w:shd w:val="clear" w:color="auto" w:fill="FFFFFF"/>
        </w:rPr>
        <w:t xml:space="preserve">obeyed Abraham </w:t>
      </w:r>
      <w:r>
        <w:rPr>
          <w:rStyle w:val="text"/>
          <w:rFonts w:cstheme="minorHAnsi"/>
          <w:color w:val="000000"/>
          <w:sz w:val="24"/>
          <w:szCs w:val="24"/>
          <w:shd w:val="clear" w:color="auto" w:fill="FFFFFF"/>
        </w:rPr>
        <w:t>..</w:t>
      </w:r>
      <w:r w:rsidRPr="00565BF6">
        <w:rPr>
          <w:rStyle w:val="text"/>
          <w:rFonts w:cstheme="minorHAnsi"/>
          <w:color w:val="000000"/>
          <w:sz w:val="24"/>
          <w:szCs w:val="24"/>
          <w:shd w:val="clear" w:color="auto" w:fill="FFFFFF"/>
        </w:rPr>
        <w:t>. You are her daughters if you do what is right and do not give way to fear.</w:t>
      </w:r>
      <w:r>
        <w:rPr>
          <w:rStyle w:val="text"/>
          <w:rFonts w:cstheme="minorHAnsi"/>
          <w:color w:val="000000"/>
          <w:sz w:val="24"/>
          <w:szCs w:val="24"/>
          <w:shd w:val="clear" w:color="auto" w:fill="FFFFFF"/>
        </w:rPr>
        <w:t>’</w:t>
      </w:r>
      <w:r>
        <w:rPr>
          <w:rFonts w:cstheme="minorHAnsi"/>
          <w:color w:val="000000"/>
          <w:sz w:val="24"/>
          <w:szCs w:val="24"/>
          <w:shd w:val="clear" w:color="auto" w:fill="FFFFFF"/>
        </w:rPr>
        <w:t xml:space="preserve"> I Peter 3-7. This indicates Sarah’s willingness to do whatever her husband asked, as in Gen 12, trusting in him and God, even at risk to herself. Peter is telling his audience to act as honourably as Sarah, to trust in Christ as she </w:t>
      </w:r>
      <w:r w:rsidRPr="00885895">
        <w:rPr>
          <w:rFonts w:cstheme="minorHAnsi"/>
          <w:color w:val="0A0002"/>
          <w:sz w:val="24"/>
          <w:szCs w:val="24"/>
          <w:shd w:val="clear" w:color="auto" w:fill="FFFFFF"/>
        </w:rPr>
        <w:t>trust</w:t>
      </w:r>
      <w:r>
        <w:rPr>
          <w:rFonts w:cstheme="minorHAnsi"/>
          <w:color w:val="0A0002"/>
          <w:sz w:val="24"/>
          <w:szCs w:val="24"/>
          <w:shd w:val="clear" w:color="auto" w:fill="FFFFFF"/>
        </w:rPr>
        <w:t>ed</w:t>
      </w:r>
      <w:r w:rsidRPr="00885895">
        <w:rPr>
          <w:rFonts w:cstheme="minorHAnsi"/>
          <w:color w:val="0A0002"/>
          <w:sz w:val="24"/>
          <w:szCs w:val="24"/>
          <w:shd w:val="clear" w:color="auto" w:fill="FFFFFF"/>
        </w:rPr>
        <w:t xml:space="preserve"> in Go</w:t>
      </w:r>
      <w:r>
        <w:rPr>
          <w:rFonts w:cstheme="minorHAnsi"/>
          <w:color w:val="0A0002"/>
          <w:sz w:val="24"/>
          <w:szCs w:val="24"/>
          <w:shd w:val="clear" w:color="auto" w:fill="FFFFFF"/>
        </w:rPr>
        <w:t>d</w:t>
      </w:r>
      <w:r>
        <w:rPr>
          <w:rFonts w:cstheme="minorHAnsi"/>
          <w:color w:val="000000"/>
          <w:sz w:val="24"/>
          <w:szCs w:val="24"/>
          <w:shd w:val="clear" w:color="auto" w:fill="FFFFFF"/>
        </w:rPr>
        <w:t xml:space="preserve">, to be her worthy children, </w:t>
      </w:r>
      <w:r>
        <w:rPr>
          <w:rFonts w:cstheme="minorHAnsi"/>
          <w:color w:val="0A0002"/>
          <w:sz w:val="24"/>
          <w:szCs w:val="24"/>
          <w:shd w:val="clear" w:color="auto" w:fill="FFFFFF"/>
        </w:rPr>
        <w:t xml:space="preserve">and they </w:t>
      </w:r>
      <w:r>
        <w:rPr>
          <w:rFonts w:cstheme="minorHAnsi"/>
          <w:color w:val="000000"/>
          <w:sz w:val="24"/>
          <w:szCs w:val="24"/>
          <w:shd w:val="clear" w:color="auto" w:fill="FFFFFF"/>
        </w:rPr>
        <w:t>will receive honour. Her reception is being promoted as the worthy wife of Abraham.</w:t>
      </w:r>
    </w:p>
    <w:p w14:paraId="6BEC4AAD" w14:textId="2240FCEF" w:rsidR="009E4F70" w:rsidRDefault="009E4F70" w:rsidP="009E4F70">
      <w:pPr>
        <w:spacing w:line="360" w:lineRule="auto"/>
        <w:rPr>
          <w:rFonts w:cstheme="minorHAnsi"/>
          <w:sz w:val="24"/>
          <w:szCs w:val="24"/>
          <w:shd w:val="clear" w:color="auto" w:fill="FFFFFF"/>
        </w:rPr>
      </w:pPr>
      <w:r w:rsidRPr="00885895">
        <w:rPr>
          <w:rFonts w:cstheme="minorHAnsi"/>
          <w:sz w:val="24"/>
          <w:szCs w:val="24"/>
          <w:shd w:val="clear" w:color="auto" w:fill="FFFFFF"/>
        </w:rPr>
        <w:t>As Christianity developed, perhaps concerned by the prominence of Mary Magdelene</w:t>
      </w:r>
      <w:r>
        <w:rPr>
          <w:rFonts w:cstheme="minorHAnsi"/>
          <w:sz w:val="24"/>
          <w:szCs w:val="24"/>
          <w:shd w:val="clear" w:color="auto" w:fill="FFFFFF"/>
        </w:rPr>
        <w:t xml:space="preserve"> in scriptures, especially those that became considered heretical</w:t>
      </w:r>
      <w:r w:rsidRPr="00885895">
        <w:rPr>
          <w:rFonts w:cstheme="minorHAnsi"/>
          <w:sz w:val="24"/>
          <w:szCs w:val="24"/>
          <w:shd w:val="clear" w:color="auto" w:fill="FFFFFF"/>
        </w:rPr>
        <w:t>, there appears to be little mention of the episode from Gen 12</w:t>
      </w:r>
      <w:r>
        <w:rPr>
          <w:rFonts w:cstheme="minorHAnsi"/>
          <w:sz w:val="24"/>
          <w:szCs w:val="24"/>
          <w:shd w:val="clear" w:color="auto" w:fill="FFFFFF"/>
        </w:rPr>
        <w:t>, whilst t</w:t>
      </w:r>
      <w:r>
        <w:rPr>
          <w:rFonts w:cstheme="minorHAnsi"/>
          <w:sz w:val="24"/>
          <w:szCs w:val="24"/>
        </w:rPr>
        <w:t>he</w:t>
      </w:r>
      <w:r w:rsidRPr="00885895">
        <w:rPr>
          <w:rFonts w:cstheme="minorHAnsi"/>
          <w:color w:val="000000"/>
          <w:sz w:val="24"/>
          <w:szCs w:val="24"/>
        </w:rPr>
        <w:t xml:space="preserve"> </w:t>
      </w:r>
      <w:r>
        <w:rPr>
          <w:rFonts w:cstheme="minorHAnsi"/>
          <w:color w:val="000000"/>
          <w:sz w:val="24"/>
          <w:szCs w:val="24"/>
        </w:rPr>
        <w:t>‘</w:t>
      </w:r>
      <w:r w:rsidRPr="00885895">
        <w:rPr>
          <w:rFonts w:cstheme="minorHAnsi"/>
          <w:color w:val="000000"/>
          <w:sz w:val="24"/>
          <w:szCs w:val="24"/>
        </w:rPr>
        <w:t>Apostolic Fathers</w:t>
      </w:r>
      <w:r>
        <w:rPr>
          <w:rFonts w:cstheme="minorHAnsi"/>
          <w:color w:val="000000"/>
          <w:sz w:val="24"/>
          <w:szCs w:val="24"/>
        </w:rPr>
        <w:t>’ fail to mention Sarah at all.</w:t>
      </w:r>
      <w:r>
        <w:rPr>
          <w:rFonts w:cstheme="minorHAnsi"/>
          <w:sz w:val="24"/>
          <w:szCs w:val="24"/>
          <w:shd w:val="clear" w:color="auto" w:fill="FFFFFF"/>
        </w:rPr>
        <w:t xml:space="preserve"> There is more focus on receiving </w:t>
      </w:r>
      <w:r w:rsidRPr="00885895">
        <w:rPr>
          <w:rFonts w:cstheme="minorHAnsi"/>
          <w:sz w:val="24"/>
          <w:szCs w:val="24"/>
          <w:shd w:val="clear" w:color="auto" w:fill="FFFFFF"/>
        </w:rPr>
        <w:t>Abraham the astrologer</w:t>
      </w:r>
      <w:r>
        <w:rPr>
          <w:rFonts w:cstheme="minorHAnsi"/>
          <w:color w:val="C00000"/>
          <w:sz w:val="24"/>
          <w:szCs w:val="24"/>
          <w:shd w:val="clear" w:color="auto" w:fill="FFFFFF"/>
        </w:rPr>
        <w:t xml:space="preserve">, </w:t>
      </w:r>
      <w:r w:rsidRPr="00885895">
        <w:rPr>
          <w:rFonts w:cstheme="minorHAnsi"/>
          <w:sz w:val="24"/>
          <w:szCs w:val="24"/>
          <w:shd w:val="clear" w:color="auto" w:fill="FFFFFF"/>
        </w:rPr>
        <w:t>as seen in Josephus.</w:t>
      </w:r>
      <w:r>
        <w:rPr>
          <w:rFonts w:cstheme="minorHAnsi"/>
          <w:sz w:val="24"/>
          <w:szCs w:val="24"/>
          <w:shd w:val="clear" w:color="auto" w:fill="FFFFFF"/>
        </w:rPr>
        <w:t xml:space="preserve"> </w:t>
      </w:r>
      <w:r>
        <w:rPr>
          <w:rStyle w:val="FootnoteReference"/>
          <w:rFonts w:cstheme="minorHAnsi"/>
          <w:sz w:val="24"/>
          <w:szCs w:val="24"/>
          <w:shd w:val="clear" w:color="auto" w:fill="FFFFFF"/>
        </w:rPr>
        <w:footnoteReference w:id="39"/>
      </w:r>
    </w:p>
    <w:p w14:paraId="16D4786F" w14:textId="7E82C2D9" w:rsidR="009E4F70" w:rsidRDefault="009E4F70" w:rsidP="009E4F70">
      <w:pPr>
        <w:spacing w:line="360" w:lineRule="auto"/>
        <w:rPr>
          <w:rFonts w:cstheme="minorHAnsi"/>
          <w:color w:val="000D1E"/>
          <w:sz w:val="24"/>
          <w:szCs w:val="24"/>
          <w:shd w:val="clear" w:color="auto" w:fill="FFFFFF"/>
        </w:rPr>
      </w:pPr>
      <w:r>
        <w:rPr>
          <w:rFonts w:cstheme="minorHAnsi"/>
          <w:sz w:val="24"/>
          <w:szCs w:val="24"/>
        </w:rPr>
        <w:t>Sarah and Pharoah do not meet in the Qur’an, but are present in the Sunni ‘Hadith’, involving a village and a king. Here, the use of the word sister, is not attributed to Abraham as a lie, rather he is referring to her as his spiritual sister, or sister in religion or faith.</w:t>
      </w:r>
      <w:r>
        <w:rPr>
          <w:rFonts w:cstheme="minorHAnsi"/>
          <w:sz w:val="24"/>
          <w:szCs w:val="24"/>
        </w:rPr>
        <w:t xml:space="preserve"> </w:t>
      </w:r>
      <w:r>
        <w:rPr>
          <w:rStyle w:val="FootnoteReference"/>
          <w:rFonts w:cstheme="minorHAnsi"/>
          <w:sz w:val="24"/>
          <w:szCs w:val="24"/>
        </w:rPr>
        <w:footnoteReference w:id="40"/>
      </w:r>
      <w:r>
        <w:rPr>
          <w:rFonts w:cstheme="minorHAnsi"/>
          <w:sz w:val="24"/>
          <w:szCs w:val="24"/>
        </w:rPr>
        <w:t xml:space="preserve"> </w:t>
      </w:r>
      <w:r>
        <w:rPr>
          <w:rFonts w:cstheme="minorHAnsi"/>
          <w:sz w:val="24"/>
          <w:szCs w:val="24"/>
        </w:rPr>
        <w:t xml:space="preserve">This is reinforced by Abraham telling Sarah, that as spiritual siblings, they were the </w:t>
      </w:r>
      <w:r w:rsidRPr="00FE2651">
        <w:rPr>
          <w:rFonts w:cstheme="minorHAnsi"/>
          <w:sz w:val="24"/>
          <w:szCs w:val="24"/>
        </w:rPr>
        <w:t>only</w:t>
      </w:r>
      <w:r w:rsidRPr="00FE2651">
        <w:rPr>
          <w:rFonts w:cstheme="minorHAnsi"/>
          <w:color w:val="000D1E"/>
          <w:sz w:val="24"/>
          <w:szCs w:val="24"/>
          <w:shd w:val="clear" w:color="auto" w:fill="FFFFFF"/>
        </w:rPr>
        <w:t xml:space="preserve"> ‘true believers’ in this land.</w:t>
      </w:r>
      <w:r>
        <w:rPr>
          <w:rFonts w:cstheme="minorHAnsi"/>
          <w:color w:val="000D1E"/>
          <w:sz w:val="24"/>
          <w:szCs w:val="24"/>
          <w:shd w:val="clear" w:color="auto" w:fill="FFFFFF"/>
        </w:rPr>
        <w:t xml:space="preserve"> </w:t>
      </w:r>
      <w:r>
        <w:rPr>
          <w:rStyle w:val="FootnoteReference"/>
          <w:rFonts w:cstheme="minorHAnsi"/>
          <w:color w:val="000D1E"/>
          <w:sz w:val="24"/>
          <w:szCs w:val="24"/>
          <w:shd w:val="clear" w:color="auto" w:fill="FFFFFF"/>
        </w:rPr>
        <w:footnoteReference w:id="41"/>
      </w:r>
      <w:r>
        <w:rPr>
          <w:rFonts w:cstheme="minorHAnsi"/>
          <w:color w:val="000D1E"/>
          <w:sz w:val="24"/>
          <w:szCs w:val="24"/>
          <w:shd w:val="clear" w:color="auto" w:fill="FFFFFF"/>
        </w:rPr>
        <w:t xml:space="preserve"> </w:t>
      </w:r>
      <w:r>
        <w:rPr>
          <w:rFonts w:cstheme="minorHAnsi"/>
          <w:color w:val="000D1E"/>
          <w:sz w:val="24"/>
          <w:szCs w:val="24"/>
          <w:shd w:val="clear" w:color="auto" w:fill="FFFFFF"/>
        </w:rPr>
        <w:t>This exegesis confirms that they were not involved in an unnatural marriage. Abraham’s use of sister, was not familial, but is similar to the referencing of ‘brothers in religion’ or a brotherhood in the Qur’an.</w:t>
      </w:r>
      <w:r>
        <w:rPr>
          <w:rFonts w:cstheme="minorHAnsi"/>
          <w:color w:val="000D1E"/>
          <w:sz w:val="24"/>
          <w:szCs w:val="24"/>
          <w:shd w:val="clear" w:color="auto" w:fill="FFFFFF"/>
        </w:rPr>
        <w:t xml:space="preserve"> </w:t>
      </w:r>
      <w:r>
        <w:rPr>
          <w:rStyle w:val="FootnoteReference"/>
          <w:rFonts w:cstheme="minorHAnsi"/>
          <w:color w:val="000D1E"/>
          <w:sz w:val="24"/>
          <w:szCs w:val="24"/>
          <w:shd w:val="clear" w:color="auto" w:fill="FFFFFF"/>
        </w:rPr>
        <w:footnoteReference w:id="42"/>
      </w:r>
    </w:p>
    <w:p w14:paraId="2E12173D" w14:textId="77777777" w:rsidR="009E4F70" w:rsidRPr="00277255" w:rsidRDefault="009E4F70" w:rsidP="009E4F70">
      <w:pPr>
        <w:spacing w:line="360" w:lineRule="auto"/>
        <w:rPr>
          <w:rFonts w:cstheme="minorHAnsi"/>
          <w:color w:val="000D1E"/>
          <w:sz w:val="24"/>
          <w:szCs w:val="24"/>
          <w:shd w:val="clear" w:color="auto" w:fill="FFFFFF"/>
        </w:rPr>
      </w:pPr>
      <w:r>
        <w:rPr>
          <w:rFonts w:cstheme="minorHAnsi"/>
          <w:sz w:val="24"/>
          <w:szCs w:val="24"/>
        </w:rPr>
        <w:t xml:space="preserve">After Abraham dispatches Sarah, the Hadith explains Sarah </w:t>
      </w:r>
      <w:r>
        <w:rPr>
          <w:rFonts w:cstheme="minorHAnsi"/>
          <w:color w:val="000D1E"/>
          <w:sz w:val="24"/>
          <w:szCs w:val="24"/>
          <w:shd w:val="clear" w:color="auto" w:fill="FFFFFF"/>
        </w:rPr>
        <w:t>abluted</w:t>
      </w:r>
      <w:r w:rsidRPr="00083AA1">
        <w:rPr>
          <w:rFonts w:cstheme="minorHAnsi"/>
          <w:color w:val="000D1E"/>
          <w:sz w:val="24"/>
          <w:szCs w:val="24"/>
          <w:shd w:val="clear" w:color="auto" w:fill="FFFFFF"/>
        </w:rPr>
        <w:t xml:space="preserve"> </w:t>
      </w:r>
      <w:r>
        <w:rPr>
          <w:rFonts w:cstheme="minorHAnsi"/>
          <w:color w:val="000D1E"/>
          <w:sz w:val="24"/>
          <w:szCs w:val="24"/>
          <w:shd w:val="clear" w:color="auto" w:fill="FFFFFF"/>
        </w:rPr>
        <w:t>and prayed</w:t>
      </w:r>
      <w:r w:rsidRPr="00083AA1">
        <w:rPr>
          <w:rFonts w:cstheme="minorHAnsi"/>
          <w:color w:val="000D1E"/>
          <w:sz w:val="24"/>
          <w:szCs w:val="24"/>
          <w:shd w:val="clear" w:color="auto" w:fill="FFFFFF"/>
        </w:rPr>
        <w:t xml:space="preserve"> </w:t>
      </w:r>
      <w:r>
        <w:rPr>
          <w:rFonts w:cstheme="minorHAnsi"/>
          <w:color w:val="000D1E"/>
          <w:sz w:val="24"/>
          <w:szCs w:val="24"/>
          <w:shd w:val="clear" w:color="auto" w:fill="FFFFFF"/>
        </w:rPr>
        <w:t>‘</w:t>
      </w:r>
      <w:r w:rsidRPr="00083AA1">
        <w:rPr>
          <w:rFonts w:cstheme="minorHAnsi"/>
          <w:color w:val="000D1E"/>
          <w:sz w:val="24"/>
          <w:szCs w:val="24"/>
          <w:shd w:val="clear" w:color="auto" w:fill="FFFFFF"/>
        </w:rPr>
        <w:t>If I have believed in You and Your Apostle, and have saved my private parts from everybody except my husband, then please do not let this pagan overpower me.’</w:t>
      </w:r>
      <w:r>
        <w:rPr>
          <w:rFonts w:cstheme="minorHAnsi"/>
          <w:color w:val="000D1E"/>
          <w:sz w:val="24"/>
          <w:szCs w:val="24"/>
          <w:shd w:val="clear" w:color="auto" w:fill="FFFFFF"/>
        </w:rPr>
        <w:t xml:space="preserve"> </w:t>
      </w:r>
      <w:r>
        <w:rPr>
          <w:rStyle w:val="FootnoteReference"/>
          <w:rFonts w:cstheme="minorHAnsi"/>
          <w:color w:val="000D1E"/>
          <w:sz w:val="24"/>
          <w:szCs w:val="24"/>
          <w:shd w:val="clear" w:color="auto" w:fill="FFFFFF"/>
        </w:rPr>
        <w:footnoteReference w:id="43"/>
      </w:r>
      <w:r>
        <w:rPr>
          <w:rFonts w:cstheme="minorHAnsi"/>
          <w:color w:val="000D1E"/>
          <w:sz w:val="24"/>
          <w:szCs w:val="24"/>
          <w:shd w:val="clear" w:color="auto" w:fill="FFFFFF"/>
        </w:rPr>
        <w:t xml:space="preserve"> </w:t>
      </w:r>
      <w:r>
        <w:rPr>
          <w:rFonts w:cstheme="minorHAnsi"/>
          <w:sz w:val="24"/>
          <w:szCs w:val="24"/>
        </w:rPr>
        <w:t xml:space="preserve">The king started to fit as Allah protected Sarah. After this was repeated, he returned her stating </w:t>
      </w:r>
      <w:r w:rsidRPr="00083AA1">
        <w:rPr>
          <w:rFonts w:cstheme="minorHAnsi"/>
          <w:color w:val="000D1E"/>
          <w:sz w:val="24"/>
          <w:szCs w:val="24"/>
          <w:shd w:val="clear" w:color="auto" w:fill="FFFFFF"/>
        </w:rPr>
        <w:t xml:space="preserve">‘By Allah! You have sent a </w:t>
      </w:r>
      <w:proofErr w:type="spellStart"/>
      <w:r w:rsidRPr="00083AA1">
        <w:rPr>
          <w:rFonts w:cstheme="minorHAnsi"/>
          <w:color w:val="000D1E"/>
          <w:sz w:val="24"/>
          <w:szCs w:val="24"/>
          <w:shd w:val="clear" w:color="auto" w:fill="FFFFFF"/>
        </w:rPr>
        <w:t>satan</w:t>
      </w:r>
      <w:proofErr w:type="spellEnd"/>
      <w:r w:rsidRPr="00083AA1">
        <w:rPr>
          <w:rFonts w:cstheme="minorHAnsi"/>
          <w:color w:val="000D1E"/>
          <w:sz w:val="24"/>
          <w:szCs w:val="24"/>
          <w:shd w:val="clear" w:color="auto" w:fill="FFFFFF"/>
        </w:rPr>
        <w:t xml:space="preserve"> to me’</w:t>
      </w:r>
      <w:r>
        <w:rPr>
          <w:rFonts w:cstheme="minorHAnsi"/>
          <w:color w:val="000D1E"/>
          <w:sz w:val="24"/>
          <w:szCs w:val="24"/>
          <w:shd w:val="clear" w:color="auto" w:fill="FFFFFF"/>
        </w:rPr>
        <w:t>.</w:t>
      </w:r>
      <w:r>
        <w:rPr>
          <w:rFonts w:cstheme="minorHAnsi"/>
          <w:color w:val="000D1E"/>
          <w:sz w:val="24"/>
          <w:szCs w:val="24"/>
          <w:shd w:val="clear" w:color="auto" w:fill="FFFFFF"/>
        </w:rPr>
        <w:t xml:space="preserve"> </w:t>
      </w:r>
      <w:r>
        <w:rPr>
          <w:rStyle w:val="FootnoteReference"/>
          <w:rFonts w:cstheme="minorHAnsi"/>
          <w:color w:val="000D1E"/>
          <w:sz w:val="24"/>
          <w:szCs w:val="24"/>
          <w:shd w:val="clear" w:color="auto" w:fill="FFFFFF"/>
        </w:rPr>
        <w:footnoteReference w:id="44"/>
      </w:r>
      <w:r>
        <w:rPr>
          <w:rFonts w:cstheme="minorHAnsi"/>
          <w:color w:val="000D1E"/>
          <w:sz w:val="24"/>
          <w:szCs w:val="24"/>
          <w:shd w:val="clear" w:color="auto" w:fill="FFFFFF"/>
        </w:rPr>
        <w:t xml:space="preserve"> </w:t>
      </w:r>
      <w:r>
        <w:rPr>
          <w:rFonts w:cstheme="minorHAnsi"/>
          <w:color w:val="000D1E"/>
          <w:sz w:val="24"/>
          <w:szCs w:val="24"/>
          <w:shd w:val="clear" w:color="auto" w:fill="FFFFFF"/>
        </w:rPr>
        <w:t xml:space="preserve">Her release results from the power of prayer and Sarah’s faith in God. </w:t>
      </w:r>
    </w:p>
    <w:p w14:paraId="0A2EEE1D" w14:textId="2CBF07E9" w:rsidR="00297498" w:rsidRPr="00297498" w:rsidRDefault="009E4F70" w:rsidP="00297498">
      <w:pPr>
        <w:spacing w:line="360" w:lineRule="auto"/>
        <w:rPr>
          <w:rFonts w:cstheme="minorHAnsi"/>
          <w:color w:val="202122"/>
          <w:sz w:val="24"/>
          <w:szCs w:val="24"/>
          <w:shd w:val="clear" w:color="auto" w:fill="FFFFFF"/>
        </w:rPr>
      </w:pPr>
      <w:r>
        <w:rPr>
          <w:rFonts w:cstheme="minorHAnsi"/>
          <w:color w:val="000D1E"/>
          <w:sz w:val="24"/>
          <w:szCs w:val="24"/>
          <w:shd w:val="clear" w:color="auto" w:fill="FFFFFF"/>
        </w:rPr>
        <w:t xml:space="preserve">In Shia Islam, in the ‘Al-Kafi’ ‘Hadith’, </w:t>
      </w:r>
      <w:r w:rsidRPr="00BA2D42">
        <w:rPr>
          <w:rFonts w:cstheme="minorHAnsi"/>
          <w:color w:val="202122"/>
          <w:sz w:val="24"/>
          <w:szCs w:val="24"/>
          <w:shd w:val="clear" w:color="auto" w:fill="FFFFFF"/>
        </w:rPr>
        <w:t xml:space="preserve">Allama </w:t>
      </w:r>
      <w:proofErr w:type="spellStart"/>
      <w:r w:rsidRPr="00BA2D42">
        <w:rPr>
          <w:rFonts w:cstheme="minorHAnsi"/>
          <w:color w:val="202122"/>
          <w:sz w:val="24"/>
          <w:szCs w:val="24"/>
          <w:shd w:val="clear" w:color="auto" w:fill="FFFFFF"/>
        </w:rPr>
        <w:t>Tabataba'i</w:t>
      </w:r>
      <w:proofErr w:type="spellEnd"/>
      <w:r w:rsidRPr="00BA2D42">
        <w:rPr>
          <w:rFonts w:cstheme="minorHAnsi"/>
          <w:color w:val="202122"/>
          <w:sz w:val="24"/>
          <w:szCs w:val="24"/>
          <w:shd w:val="clear" w:color="auto" w:fill="FFFFFF"/>
        </w:rPr>
        <w:t>, states that there was no lie, and that Abraham always introduced Sarah as his wife</w:t>
      </w:r>
      <w:r>
        <w:rPr>
          <w:rFonts w:cstheme="minorHAnsi"/>
          <w:color w:val="202122"/>
          <w:sz w:val="24"/>
          <w:szCs w:val="24"/>
          <w:shd w:val="clear" w:color="auto" w:fill="FFFFFF"/>
        </w:rPr>
        <w:t>, whence</w:t>
      </w:r>
      <w:r w:rsidRPr="00BA2D42">
        <w:rPr>
          <w:rFonts w:cstheme="minorHAnsi"/>
          <w:color w:val="202122"/>
          <w:sz w:val="24"/>
          <w:szCs w:val="24"/>
          <w:shd w:val="clear" w:color="auto" w:fill="FFFFFF"/>
        </w:rPr>
        <w:t xml:space="preserve"> the king's hand became numb</w:t>
      </w:r>
      <w:r>
        <w:rPr>
          <w:rFonts w:cstheme="minorHAnsi"/>
          <w:color w:val="202122"/>
          <w:sz w:val="24"/>
          <w:szCs w:val="24"/>
          <w:shd w:val="clear" w:color="auto" w:fill="FFFFFF"/>
        </w:rPr>
        <w:t xml:space="preserve"> when he tried to touch her, and it was Abraha</w:t>
      </w:r>
      <w:r w:rsidRPr="00BA2D42">
        <w:rPr>
          <w:rFonts w:cstheme="minorHAnsi"/>
          <w:color w:val="202122"/>
          <w:sz w:val="24"/>
          <w:szCs w:val="24"/>
          <w:shd w:val="clear" w:color="auto" w:fill="FFFFFF"/>
        </w:rPr>
        <w:t>m's </w:t>
      </w:r>
      <w:r>
        <w:rPr>
          <w:rFonts w:cstheme="minorHAnsi"/>
          <w:color w:val="202122"/>
          <w:sz w:val="24"/>
          <w:szCs w:val="24"/>
          <w:shd w:val="clear" w:color="auto" w:fill="FFFFFF"/>
        </w:rPr>
        <w:t>‘</w:t>
      </w:r>
      <w:hyperlink r:id="rId8" w:tooltip="Dua" w:history="1">
        <w:r w:rsidRPr="009E4F70">
          <w:rPr>
            <w:rStyle w:val="Hyperlink"/>
            <w:rFonts w:cstheme="minorHAnsi"/>
            <w:color w:val="000000" w:themeColor="text1"/>
            <w:sz w:val="24"/>
            <w:szCs w:val="24"/>
            <w:u w:val="none"/>
            <w:shd w:val="clear" w:color="auto" w:fill="FFFFFF"/>
          </w:rPr>
          <w:t>dua</w:t>
        </w:r>
      </w:hyperlink>
      <w:r w:rsidRPr="009E4F70">
        <w:rPr>
          <w:rStyle w:val="Hyperlink"/>
          <w:rFonts w:cstheme="minorHAnsi"/>
          <w:color w:val="000000" w:themeColor="text1"/>
          <w:sz w:val="24"/>
          <w:szCs w:val="24"/>
          <w:u w:val="none"/>
          <w:shd w:val="clear" w:color="auto" w:fill="FFFFFF"/>
        </w:rPr>
        <w:t>’</w:t>
      </w:r>
      <w:r w:rsidRPr="00BA2D42">
        <w:rPr>
          <w:rFonts w:cstheme="minorHAnsi"/>
          <w:sz w:val="24"/>
          <w:szCs w:val="24"/>
          <w:shd w:val="clear" w:color="auto" w:fill="FFFFFF"/>
        </w:rPr>
        <w:t xml:space="preserve">, </w:t>
      </w:r>
      <w:r w:rsidRPr="00BA2D42">
        <w:rPr>
          <w:rFonts w:cstheme="minorHAnsi"/>
          <w:color w:val="202122"/>
          <w:sz w:val="24"/>
          <w:szCs w:val="24"/>
          <w:shd w:val="clear" w:color="auto" w:fill="FFFFFF"/>
        </w:rPr>
        <w:t>his believers weapon, that healed the king's hand</w:t>
      </w:r>
      <w:r>
        <w:rPr>
          <w:rFonts w:cstheme="minorHAnsi"/>
          <w:color w:val="202122"/>
          <w:sz w:val="24"/>
          <w:szCs w:val="24"/>
          <w:shd w:val="clear" w:color="auto" w:fill="FFFFFF"/>
        </w:rPr>
        <w:t>, and gained their wealth and freedom.</w:t>
      </w:r>
      <w:r>
        <w:rPr>
          <w:rFonts w:cstheme="minorHAnsi"/>
          <w:color w:val="202122"/>
          <w:sz w:val="24"/>
          <w:szCs w:val="24"/>
          <w:shd w:val="clear" w:color="auto" w:fill="FFFFFF"/>
        </w:rPr>
        <w:t xml:space="preserve"> </w:t>
      </w:r>
      <w:r w:rsidR="00297498">
        <w:rPr>
          <w:rStyle w:val="FootnoteReference"/>
          <w:rFonts w:cstheme="minorHAnsi"/>
          <w:color w:val="202122"/>
          <w:sz w:val="24"/>
          <w:szCs w:val="24"/>
          <w:shd w:val="clear" w:color="auto" w:fill="FFFFFF"/>
        </w:rPr>
        <w:footnoteReference w:id="45"/>
      </w:r>
      <w:r w:rsidR="00297498">
        <w:rPr>
          <w:rFonts w:cstheme="minorHAnsi"/>
          <w:color w:val="202122"/>
          <w:sz w:val="24"/>
          <w:szCs w:val="24"/>
          <w:shd w:val="clear" w:color="auto" w:fill="FFFFFF"/>
        </w:rPr>
        <w:t xml:space="preserve"> </w:t>
      </w:r>
      <w:r w:rsidR="00297498">
        <w:rPr>
          <w:rFonts w:cstheme="minorHAnsi"/>
          <w:sz w:val="24"/>
          <w:szCs w:val="24"/>
        </w:rPr>
        <w:t>No lie was required as they both trusted in the power of Allah. Abraham is received as righteous and devout.</w:t>
      </w:r>
    </w:p>
    <w:p w14:paraId="38BEC8ED" w14:textId="654A3EBB" w:rsidR="00297498" w:rsidRDefault="00297498" w:rsidP="00297498">
      <w:pPr>
        <w:spacing w:line="360" w:lineRule="auto"/>
        <w:rPr>
          <w:rFonts w:eastAsia="Times New Roman" w:cstheme="minorHAnsi"/>
          <w:kern w:val="0"/>
          <w:sz w:val="24"/>
          <w:szCs w:val="24"/>
          <w:lang w:eastAsia="en-GB"/>
          <w14:ligatures w14:val="none"/>
        </w:rPr>
      </w:pPr>
      <w:r>
        <w:rPr>
          <w:rFonts w:cstheme="minorHAnsi"/>
          <w:sz w:val="24"/>
          <w:szCs w:val="24"/>
        </w:rPr>
        <w:t>P</w:t>
      </w:r>
      <w:r w:rsidRPr="007E2544">
        <w:rPr>
          <w:rFonts w:cstheme="minorHAnsi"/>
          <w:sz w:val="24"/>
          <w:szCs w:val="24"/>
        </w:rPr>
        <w:t xml:space="preserve">ost-Christian Judaism </w:t>
      </w:r>
      <w:r>
        <w:rPr>
          <w:rFonts w:cstheme="minorHAnsi"/>
          <w:sz w:val="24"/>
          <w:szCs w:val="24"/>
        </w:rPr>
        <w:t xml:space="preserve">also </w:t>
      </w:r>
      <w:r w:rsidRPr="007E2544">
        <w:rPr>
          <w:rFonts w:cstheme="minorHAnsi"/>
          <w:sz w:val="24"/>
          <w:szCs w:val="24"/>
        </w:rPr>
        <w:t>struggle</w:t>
      </w:r>
      <w:r>
        <w:rPr>
          <w:rFonts w:cstheme="minorHAnsi"/>
          <w:sz w:val="24"/>
          <w:szCs w:val="24"/>
        </w:rPr>
        <w:t>d</w:t>
      </w:r>
      <w:r w:rsidRPr="007E2544">
        <w:rPr>
          <w:rFonts w:cstheme="minorHAnsi"/>
          <w:sz w:val="24"/>
          <w:szCs w:val="24"/>
        </w:rPr>
        <w:t xml:space="preserve"> </w:t>
      </w:r>
      <w:r>
        <w:rPr>
          <w:rFonts w:cstheme="minorHAnsi"/>
          <w:sz w:val="24"/>
          <w:szCs w:val="24"/>
        </w:rPr>
        <w:t xml:space="preserve">with </w:t>
      </w:r>
      <w:r w:rsidRPr="007E2544">
        <w:rPr>
          <w:rFonts w:cstheme="minorHAnsi"/>
          <w:sz w:val="24"/>
          <w:szCs w:val="24"/>
        </w:rPr>
        <w:t>the actions of Abraham</w:t>
      </w:r>
      <w:r>
        <w:rPr>
          <w:rFonts w:cstheme="minorHAnsi"/>
          <w:sz w:val="24"/>
          <w:szCs w:val="24"/>
        </w:rPr>
        <w:t>.</w:t>
      </w:r>
      <w:r w:rsidRPr="00850B34">
        <w:rPr>
          <w:rFonts w:cstheme="minorHAnsi"/>
          <w:sz w:val="24"/>
          <w:szCs w:val="24"/>
        </w:rPr>
        <w:t xml:space="preserve"> </w:t>
      </w:r>
      <w:r>
        <w:rPr>
          <w:rFonts w:cstheme="minorHAnsi"/>
          <w:sz w:val="24"/>
          <w:szCs w:val="24"/>
        </w:rPr>
        <w:t>I</w:t>
      </w:r>
      <w:r w:rsidRPr="009F1DD6">
        <w:rPr>
          <w:rFonts w:cstheme="minorHAnsi"/>
          <w:sz w:val="24"/>
          <w:szCs w:val="24"/>
        </w:rPr>
        <w:t>n the ‘Pirke Avot’,</w:t>
      </w:r>
      <w:r>
        <w:rPr>
          <w:rFonts w:cstheme="minorHAnsi"/>
          <w:sz w:val="24"/>
          <w:szCs w:val="24"/>
        </w:rPr>
        <w:t xml:space="preserve"> </w:t>
      </w:r>
      <w:r>
        <w:rPr>
          <w:rStyle w:val="FootnoteReference"/>
          <w:rFonts w:cstheme="minorHAnsi"/>
          <w:sz w:val="24"/>
          <w:szCs w:val="24"/>
        </w:rPr>
        <w:footnoteReference w:id="46"/>
      </w:r>
      <w:r>
        <w:rPr>
          <w:rFonts w:cstheme="minorHAnsi"/>
          <w:sz w:val="24"/>
          <w:szCs w:val="24"/>
        </w:rPr>
        <w:t xml:space="preserve"> </w:t>
      </w:r>
      <w:r w:rsidRPr="009F1DD6">
        <w:rPr>
          <w:rFonts w:cstheme="minorHAnsi"/>
          <w:sz w:val="24"/>
          <w:szCs w:val="24"/>
        </w:rPr>
        <w:t>second - sixth century AD Rabbinic Judaism</w:t>
      </w:r>
      <w:r>
        <w:rPr>
          <w:rFonts w:cstheme="minorHAnsi"/>
          <w:sz w:val="24"/>
          <w:szCs w:val="24"/>
        </w:rPr>
        <w:t xml:space="preserve">, and </w:t>
      </w:r>
      <w:r w:rsidRPr="009F1DD6">
        <w:rPr>
          <w:rFonts w:cstheme="minorHAnsi"/>
          <w:sz w:val="24"/>
          <w:szCs w:val="24"/>
        </w:rPr>
        <w:t>the twelfth century Jewish philosopher Maimonides,</w:t>
      </w:r>
      <w:r>
        <w:rPr>
          <w:rFonts w:cstheme="minorHAnsi"/>
          <w:sz w:val="24"/>
          <w:szCs w:val="24"/>
        </w:rPr>
        <w:t xml:space="preserve"> </w:t>
      </w:r>
      <w:r>
        <w:rPr>
          <w:rStyle w:val="FootnoteReference"/>
          <w:rFonts w:cstheme="minorHAnsi"/>
          <w:sz w:val="24"/>
          <w:szCs w:val="24"/>
        </w:rPr>
        <w:footnoteReference w:id="47"/>
      </w:r>
      <w:r>
        <w:rPr>
          <w:rFonts w:cstheme="minorHAnsi"/>
          <w:sz w:val="24"/>
          <w:szCs w:val="24"/>
        </w:rPr>
        <w:t xml:space="preserve"> </w:t>
      </w:r>
      <w:r w:rsidRPr="009F1DD6">
        <w:rPr>
          <w:rFonts w:cstheme="minorHAnsi"/>
          <w:sz w:val="24"/>
          <w:szCs w:val="24"/>
        </w:rPr>
        <w:t xml:space="preserve">Abraham </w:t>
      </w:r>
      <w:r>
        <w:rPr>
          <w:rFonts w:cstheme="minorHAnsi"/>
          <w:sz w:val="24"/>
          <w:szCs w:val="24"/>
        </w:rPr>
        <w:t xml:space="preserve">is </w:t>
      </w:r>
      <w:r w:rsidRPr="009F1DD6">
        <w:rPr>
          <w:rFonts w:cstheme="minorHAnsi"/>
          <w:sz w:val="24"/>
          <w:szCs w:val="24"/>
        </w:rPr>
        <w:t xml:space="preserve">subjected to ten tests in order to prove his faith, </w:t>
      </w:r>
      <w:r>
        <w:rPr>
          <w:rFonts w:cstheme="minorHAnsi"/>
          <w:sz w:val="24"/>
          <w:szCs w:val="24"/>
        </w:rPr>
        <w:t>with one</w:t>
      </w:r>
      <w:r w:rsidRPr="009F1DD6">
        <w:rPr>
          <w:rFonts w:cstheme="minorHAnsi"/>
          <w:sz w:val="24"/>
          <w:szCs w:val="24"/>
        </w:rPr>
        <w:t xml:space="preserve"> being the abductions of Sarah in Gen 12:14-15 and 20:2</w:t>
      </w:r>
      <w:r>
        <w:rPr>
          <w:rFonts w:cstheme="minorHAnsi"/>
          <w:sz w:val="24"/>
          <w:szCs w:val="24"/>
        </w:rPr>
        <w:t>.</w:t>
      </w:r>
      <w:r>
        <w:rPr>
          <w:rFonts w:cstheme="minorHAnsi"/>
          <w:sz w:val="24"/>
          <w:szCs w:val="24"/>
        </w:rPr>
        <w:t xml:space="preserve"> </w:t>
      </w:r>
      <w:r>
        <w:rPr>
          <w:rFonts w:cstheme="minorHAnsi"/>
          <w:sz w:val="24"/>
          <w:szCs w:val="24"/>
        </w:rPr>
        <w:t>In the</w:t>
      </w:r>
      <w:r w:rsidRPr="009F1DD6">
        <w:rPr>
          <w:rFonts w:cstheme="minorHAnsi"/>
          <w:sz w:val="24"/>
          <w:szCs w:val="24"/>
        </w:rPr>
        <w:t xml:space="preserve"> ninth-century accounts of Rabbi Eliezer</w:t>
      </w:r>
      <w:r>
        <w:rPr>
          <w:rFonts w:cstheme="minorHAnsi"/>
          <w:sz w:val="24"/>
          <w:szCs w:val="24"/>
        </w:rPr>
        <w:t>,</w:t>
      </w:r>
      <w:r w:rsidRPr="009F1DD6">
        <w:rPr>
          <w:rFonts w:cstheme="minorHAnsi"/>
          <w:sz w:val="24"/>
          <w:szCs w:val="24"/>
        </w:rPr>
        <w:t xml:space="preserve"> ‘Abraham did not object … he believed that God would save Sarah and himself.’</w:t>
      </w:r>
      <w:r>
        <w:rPr>
          <w:rFonts w:cstheme="minorHAnsi"/>
          <w:sz w:val="24"/>
          <w:szCs w:val="24"/>
        </w:rPr>
        <w:t xml:space="preserve"> </w:t>
      </w:r>
      <w:r>
        <w:rPr>
          <w:rStyle w:val="FootnoteReference"/>
          <w:rFonts w:cstheme="minorHAnsi"/>
          <w:sz w:val="24"/>
          <w:szCs w:val="24"/>
        </w:rPr>
        <w:footnoteReference w:id="48"/>
      </w:r>
      <w:r>
        <w:rPr>
          <w:rFonts w:cstheme="minorHAnsi"/>
          <w:sz w:val="24"/>
          <w:szCs w:val="24"/>
        </w:rPr>
        <w:t xml:space="preserve"> </w:t>
      </w:r>
      <w:r>
        <w:rPr>
          <w:rFonts w:cstheme="minorHAnsi"/>
          <w:sz w:val="24"/>
          <w:szCs w:val="24"/>
        </w:rPr>
        <w:t>In ‘</w:t>
      </w:r>
      <w:r w:rsidRPr="009F1DD6">
        <w:rPr>
          <w:rFonts w:eastAsia="Times New Roman" w:cstheme="minorHAnsi"/>
          <w:kern w:val="0"/>
          <w:sz w:val="24"/>
          <w:szCs w:val="24"/>
          <w:lang w:eastAsia="en-GB"/>
          <w14:ligatures w14:val="none"/>
        </w:rPr>
        <w:t xml:space="preserve">Sefer </w:t>
      </w:r>
      <w:proofErr w:type="spellStart"/>
      <w:r w:rsidRPr="009F1DD6">
        <w:rPr>
          <w:rFonts w:eastAsia="Times New Roman" w:cstheme="minorHAnsi"/>
          <w:kern w:val="0"/>
          <w:sz w:val="24"/>
          <w:szCs w:val="24"/>
          <w:lang w:eastAsia="en-GB"/>
          <w14:ligatures w14:val="none"/>
        </w:rPr>
        <w:t>HaYashar</w:t>
      </w:r>
      <w:proofErr w:type="spellEnd"/>
      <w:r>
        <w:rPr>
          <w:rFonts w:eastAsia="Times New Roman" w:cstheme="minorHAnsi"/>
          <w:kern w:val="0"/>
          <w:sz w:val="24"/>
          <w:szCs w:val="24"/>
          <w:lang w:eastAsia="en-GB"/>
          <w14:ligatures w14:val="none"/>
        </w:rPr>
        <w:t>’</w:t>
      </w:r>
      <w:r w:rsidRPr="009F1DD6">
        <w:rPr>
          <w:rFonts w:eastAsia="Times New Roman" w:cstheme="minorHAnsi"/>
          <w:kern w:val="0"/>
          <w:sz w:val="24"/>
          <w:szCs w:val="24"/>
          <w:lang w:eastAsia="en-GB"/>
          <w14:ligatures w14:val="none"/>
        </w:rPr>
        <w:t xml:space="preserve">, </w:t>
      </w:r>
      <w:r w:rsidRPr="009F1DD6">
        <w:rPr>
          <w:rFonts w:cstheme="minorHAnsi"/>
          <w:sz w:val="24"/>
          <w:szCs w:val="24"/>
        </w:rPr>
        <w:t>Sarah was returned to Abraham after both had prayed fervently to God, and ‘</w:t>
      </w:r>
      <w:r w:rsidRPr="006C7619">
        <w:rPr>
          <w:rFonts w:eastAsia="Times New Roman" w:cstheme="minorHAnsi"/>
          <w:kern w:val="0"/>
          <w:sz w:val="24"/>
          <w:szCs w:val="24"/>
          <w:lang w:eastAsia="en-GB"/>
          <w14:ligatures w14:val="none"/>
        </w:rPr>
        <w:t>the Lord hearkened ‎unto the voice of Sarai</w:t>
      </w:r>
      <w:r w:rsidRPr="009F1DD6">
        <w:rPr>
          <w:rFonts w:eastAsia="Times New Roman" w:cstheme="minorHAnsi"/>
          <w:kern w:val="0"/>
          <w:sz w:val="24"/>
          <w:szCs w:val="24"/>
          <w:lang w:eastAsia="en-GB"/>
          <w14:ligatures w14:val="none"/>
        </w:rPr>
        <w:t>’ and s</w:t>
      </w:r>
      <w:r>
        <w:rPr>
          <w:rFonts w:eastAsia="Times New Roman" w:cstheme="minorHAnsi"/>
          <w:kern w:val="0"/>
          <w:sz w:val="24"/>
          <w:szCs w:val="24"/>
          <w:lang w:eastAsia="en-GB"/>
          <w14:ligatures w14:val="none"/>
        </w:rPr>
        <w:t>aved her</w:t>
      </w:r>
      <w:r w:rsidRPr="009F1DD6">
        <w:rPr>
          <w:rFonts w:eastAsia="Times New Roman" w:cstheme="minorHAnsi"/>
          <w:kern w:val="0"/>
          <w:sz w:val="24"/>
          <w:szCs w:val="24"/>
          <w:lang w:eastAsia="en-GB"/>
          <w14:ligatures w14:val="none"/>
        </w:rPr>
        <w:t>.</w:t>
      </w:r>
      <w:r>
        <w:rPr>
          <w:rStyle w:val="FootnoteReference"/>
          <w:rFonts w:eastAsia="Times New Roman" w:cstheme="minorHAnsi"/>
          <w:kern w:val="0"/>
          <w:sz w:val="24"/>
          <w:szCs w:val="24"/>
          <w:lang w:eastAsia="en-GB"/>
          <w14:ligatures w14:val="none"/>
        </w:rPr>
        <w:footnoteReference w:id="49"/>
      </w:r>
    </w:p>
    <w:p w14:paraId="5EDB2453" w14:textId="77777777" w:rsidR="00297498" w:rsidRPr="00D1491D" w:rsidRDefault="00297498" w:rsidP="00297498">
      <w:pPr>
        <w:spacing w:line="360" w:lineRule="auto"/>
        <w:rPr>
          <w:rFonts w:cstheme="minorHAnsi"/>
          <w:sz w:val="24"/>
          <w:szCs w:val="24"/>
          <w:vertAlign w:val="superscript"/>
        </w:rPr>
      </w:pPr>
      <w:r>
        <w:rPr>
          <w:rFonts w:cstheme="minorHAnsi"/>
          <w:sz w:val="24"/>
          <w:szCs w:val="24"/>
        </w:rPr>
        <w:t>These Midrashic accounts absolve Abraham of blame in Sarah’s abduction, showing that God was testing Abraham, with each test contrary to the promises and covenant made with God. This also applies to Sarah, who is equally tested and both are received as faithful servants.</w:t>
      </w:r>
    </w:p>
    <w:p w14:paraId="1EDC2B21" w14:textId="77777777" w:rsidR="00297498" w:rsidRDefault="00297498" w:rsidP="00297498">
      <w:pPr>
        <w:spacing w:line="360" w:lineRule="auto"/>
        <w:rPr>
          <w:rFonts w:cstheme="minorHAnsi"/>
          <w:color w:val="000000" w:themeColor="text1"/>
          <w:sz w:val="24"/>
          <w:szCs w:val="24"/>
        </w:rPr>
      </w:pPr>
      <w:r w:rsidRPr="00BF736D">
        <w:rPr>
          <w:rFonts w:cstheme="minorHAnsi"/>
          <w:sz w:val="24"/>
          <w:szCs w:val="24"/>
        </w:rPr>
        <w:t>Nach</w:t>
      </w:r>
      <w:r>
        <w:rPr>
          <w:rFonts w:cstheme="minorHAnsi"/>
          <w:sz w:val="24"/>
          <w:szCs w:val="24"/>
        </w:rPr>
        <w:t>man</w:t>
      </w:r>
      <w:r w:rsidRPr="00BF736D">
        <w:rPr>
          <w:rFonts w:cstheme="minorHAnsi"/>
          <w:sz w:val="24"/>
          <w:szCs w:val="24"/>
        </w:rPr>
        <w:t>ides (</w:t>
      </w:r>
      <w:r w:rsidRPr="00BF736D">
        <w:rPr>
          <w:sz w:val="24"/>
          <w:szCs w:val="24"/>
        </w:rPr>
        <w:t>1194–1270)</w:t>
      </w:r>
      <w:r>
        <w:rPr>
          <w:sz w:val="24"/>
          <w:szCs w:val="24"/>
        </w:rPr>
        <w:t xml:space="preserve"> however, </w:t>
      </w:r>
      <w:r w:rsidRPr="00BF736D">
        <w:rPr>
          <w:rFonts w:cstheme="minorHAnsi"/>
          <w:sz w:val="24"/>
          <w:szCs w:val="24"/>
        </w:rPr>
        <w:t>attacks Abraham’s lack of faith in leaving the</w:t>
      </w:r>
      <w:r w:rsidRPr="00BF736D">
        <w:rPr>
          <w:sz w:val="24"/>
          <w:szCs w:val="24"/>
        </w:rPr>
        <w:t xml:space="preserve"> Promised Land</w:t>
      </w:r>
      <w:r>
        <w:rPr>
          <w:sz w:val="24"/>
          <w:szCs w:val="24"/>
        </w:rPr>
        <w:t xml:space="preserve">, </w:t>
      </w:r>
      <w:r w:rsidRPr="00BF736D">
        <w:rPr>
          <w:sz w:val="24"/>
          <w:szCs w:val="24"/>
        </w:rPr>
        <w:t>risking his wife and marriage</w:t>
      </w:r>
      <w:r>
        <w:rPr>
          <w:sz w:val="24"/>
          <w:szCs w:val="24"/>
        </w:rPr>
        <w:t>, and</w:t>
      </w:r>
      <w:r w:rsidRPr="00BF736D">
        <w:rPr>
          <w:sz w:val="24"/>
          <w:szCs w:val="24"/>
        </w:rPr>
        <w:t xml:space="preserve"> sinned in</w:t>
      </w:r>
      <w:r>
        <w:rPr>
          <w:sz w:val="24"/>
          <w:szCs w:val="24"/>
        </w:rPr>
        <w:t xml:space="preserve"> </w:t>
      </w:r>
      <w:r w:rsidRPr="00BF736D">
        <w:rPr>
          <w:sz w:val="24"/>
          <w:szCs w:val="24"/>
        </w:rPr>
        <w:t>bringing ‘his righteous wife to a stumbling-block of sin”</w:t>
      </w:r>
      <w:r>
        <w:rPr>
          <w:sz w:val="24"/>
          <w:szCs w:val="24"/>
        </w:rPr>
        <w:t>.</w:t>
      </w:r>
      <w:r>
        <w:rPr>
          <w:sz w:val="24"/>
          <w:szCs w:val="24"/>
        </w:rPr>
        <w:t xml:space="preserve"> </w:t>
      </w:r>
      <w:r>
        <w:rPr>
          <w:rStyle w:val="FootnoteReference"/>
          <w:sz w:val="24"/>
          <w:szCs w:val="24"/>
        </w:rPr>
        <w:footnoteReference w:id="50"/>
      </w:r>
      <w:r>
        <w:rPr>
          <w:sz w:val="24"/>
          <w:szCs w:val="24"/>
        </w:rPr>
        <w:t xml:space="preserve"> </w:t>
      </w:r>
      <w:r>
        <w:rPr>
          <w:rFonts w:cstheme="minorHAnsi"/>
          <w:sz w:val="24"/>
          <w:szCs w:val="24"/>
        </w:rPr>
        <w:t>Nachmanides</w:t>
      </w:r>
      <w:r w:rsidRPr="002B2F9D">
        <w:rPr>
          <w:rFonts w:cstheme="minorHAnsi"/>
          <w:sz w:val="24"/>
          <w:szCs w:val="24"/>
        </w:rPr>
        <w:t xml:space="preserve"> viewed sin in the Torah as bringing karmic retribution, thus Abraham’s actions caused the future exile of his descendants. Abra</w:t>
      </w:r>
      <w:r>
        <w:rPr>
          <w:rFonts w:cstheme="minorHAnsi"/>
          <w:sz w:val="24"/>
          <w:szCs w:val="24"/>
        </w:rPr>
        <w:t>ha</w:t>
      </w:r>
      <w:r w:rsidRPr="002B2F9D">
        <w:rPr>
          <w:rFonts w:cstheme="minorHAnsi"/>
          <w:sz w:val="24"/>
          <w:szCs w:val="24"/>
        </w:rPr>
        <w:t xml:space="preserve">m “should </w:t>
      </w:r>
      <w:r w:rsidRPr="002B2F9D">
        <w:rPr>
          <w:rFonts w:cstheme="minorHAnsi"/>
          <w:color w:val="000000" w:themeColor="text1"/>
          <w:sz w:val="24"/>
          <w:szCs w:val="24"/>
        </w:rPr>
        <w:t>have trusted that the LORD would rescue him and his wife”.</w:t>
      </w:r>
      <w:r>
        <w:rPr>
          <w:rFonts w:cstheme="minorHAnsi"/>
          <w:color w:val="000000" w:themeColor="text1"/>
          <w:sz w:val="24"/>
          <w:szCs w:val="24"/>
        </w:rPr>
        <w:t xml:space="preserve"> </w:t>
      </w:r>
      <w:r>
        <w:rPr>
          <w:rStyle w:val="FootnoteReference"/>
          <w:rFonts w:cstheme="minorHAnsi"/>
          <w:color w:val="000000" w:themeColor="text1"/>
          <w:sz w:val="24"/>
          <w:szCs w:val="24"/>
        </w:rPr>
        <w:footnoteReference w:id="51"/>
      </w:r>
      <w:r>
        <w:rPr>
          <w:rFonts w:cstheme="minorHAnsi"/>
          <w:color w:val="000000" w:themeColor="text1"/>
          <w:sz w:val="24"/>
          <w:szCs w:val="24"/>
        </w:rPr>
        <w:t xml:space="preserve"> </w:t>
      </w:r>
      <w:r>
        <w:rPr>
          <w:rFonts w:cstheme="minorHAnsi"/>
          <w:color w:val="000000" w:themeColor="text1"/>
          <w:sz w:val="24"/>
          <w:szCs w:val="24"/>
        </w:rPr>
        <w:t>U</w:t>
      </w:r>
      <w:r w:rsidRPr="002B2F9D">
        <w:rPr>
          <w:rFonts w:cstheme="minorHAnsi"/>
          <w:color w:val="000000" w:themeColor="text1"/>
          <w:sz w:val="24"/>
          <w:szCs w:val="24"/>
        </w:rPr>
        <w:t>nlike other Midrashic commentators’</w:t>
      </w:r>
      <w:r>
        <w:rPr>
          <w:rFonts w:cstheme="minorHAnsi"/>
          <w:color w:val="000000" w:themeColor="text1"/>
          <w:sz w:val="24"/>
          <w:szCs w:val="24"/>
        </w:rPr>
        <w:t xml:space="preserve"> absolution of Abraham, </w:t>
      </w:r>
      <w:r w:rsidRPr="002B2F9D">
        <w:rPr>
          <w:rFonts w:cstheme="minorHAnsi"/>
          <w:color w:val="000000" w:themeColor="text1"/>
          <w:sz w:val="24"/>
          <w:szCs w:val="24"/>
        </w:rPr>
        <w:t>Nachmanides was explain</w:t>
      </w:r>
      <w:r>
        <w:rPr>
          <w:rFonts w:cstheme="minorHAnsi"/>
          <w:color w:val="000000" w:themeColor="text1"/>
          <w:sz w:val="24"/>
          <w:szCs w:val="24"/>
        </w:rPr>
        <w:t>ing</w:t>
      </w:r>
      <w:r w:rsidRPr="002B2F9D">
        <w:rPr>
          <w:rFonts w:cstheme="minorHAnsi"/>
          <w:color w:val="000000" w:themeColor="text1"/>
          <w:sz w:val="24"/>
          <w:szCs w:val="24"/>
        </w:rPr>
        <w:t xml:space="preserve"> the </w:t>
      </w:r>
      <w:r>
        <w:rPr>
          <w:rFonts w:cstheme="minorHAnsi"/>
          <w:color w:val="000000" w:themeColor="text1"/>
          <w:sz w:val="24"/>
          <w:szCs w:val="24"/>
        </w:rPr>
        <w:t>later</w:t>
      </w:r>
      <w:r w:rsidRPr="002B2F9D">
        <w:rPr>
          <w:rFonts w:cstheme="minorHAnsi"/>
          <w:color w:val="000000" w:themeColor="text1"/>
          <w:sz w:val="24"/>
          <w:szCs w:val="24"/>
        </w:rPr>
        <w:t xml:space="preserve"> Israelite bondage in Egypt, and its justification</w:t>
      </w:r>
      <w:r>
        <w:rPr>
          <w:rFonts w:cstheme="minorHAnsi"/>
          <w:color w:val="000000" w:themeColor="text1"/>
          <w:sz w:val="24"/>
          <w:szCs w:val="24"/>
        </w:rPr>
        <w:t>,</w:t>
      </w:r>
      <w:r>
        <w:rPr>
          <w:rFonts w:cstheme="minorHAnsi"/>
          <w:color w:val="000000" w:themeColor="text1"/>
          <w:sz w:val="24"/>
          <w:szCs w:val="24"/>
        </w:rPr>
        <w:t xml:space="preserve"> </w:t>
      </w:r>
      <w:r>
        <w:rPr>
          <w:rStyle w:val="FootnoteReference"/>
          <w:rFonts w:cstheme="minorHAnsi"/>
          <w:color w:val="000000" w:themeColor="text1"/>
          <w:sz w:val="24"/>
          <w:szCs w:val="24"/>
        </w:rPr>
        <w:footnoteReference w:id="52"/>
      </w:r>
      <w:r>
        <w:rPr>
          <w:rFonts w:cstheme="minorHAnsi"/>
          <w:color w:val="000000" w:themeColor="text1"/>
          <w:sz w:val="24"/>
          <w:szCs w:val="24"/>
        </w:rPr>
        <w:t xml:space="preserve"> </w:t>
      </w:r>
      <w:r>
        <w:rPr>
          <w:rFonts w:cstheme="minorHAnsi"/>
          <w:color w:val="000000" w:themeColor="text1"/>
          <w:sz w:val="24"/>
          <w:szCs w:val="24"/>
        </w:rPr>
        <w:t xml:space="preserve">receiving Abraham as he was first received, but with blame attached. </w:t>
      </w:r>
    </w:p>
    <w:p w14:paraId="2DD85254" w14:textId="61EB3CC3" w:rsidR="00297498" w:rsidRDefault="00297498" w:rsidP="00297498">
      <w:pPr>
        <w:spacing w:line="360" w:lineRule="auto"/>
        <w:rPr>
          <w:sz w:val="24"/>
          <w:szCs w:val="24"/>
        </w:rPr>
      </w:pPr>
      <w:r>
        <w:rPr>
          <w:rFonts w:cstheme="minorHAnsi"/>
          <w:color w:val="000000" w:themeColor="text1"/>
          <w:sz w:val="24"/>
          <w:szCs w:val="24"/>
        </w:rPr>
        <w:t>Further</w:t>
      </w:r>
      <w:r w:rsidRPr="000848D5">
        <w:rPr>
          <w:rFonts w:cstheme="minorHAnsi"/>
          <w:color w:val="000000" w:themeColor="text1"/>
          <w:sz w:val="24"/>
          <w:szCs w:val="24"/>
        </w:rPr>
        <w:t xml:space="preserve"> justification for Abraham</w:t>
      </w:r>
      <w:r>
        <w:rPr>
          <w:rFonts w:cstheme="minorHAnsi"/>
          <w:color w:val="000000" w:themeColor="text1"/>
          <w:sz w:val="24"/>
          <w:szCs w:val="24"/>
        </w:rPr>
        <w:t xml:space="preserve"> is</w:t>
      </w:r>
      <w:r w:rsidRPr="000848D5">
        <w:rPr>
          <w:rFonts w:cstheme="minorHAnsi"/>
          <w:color w:val="000000" w:themeColor="text1"/>
          <w:sz w:val="24"/>
          <w:szCs w:val="24"/>
        </w:rPr>
        <w:t xml:space="preserve"> his vulnerab</w:t>
      </w:r>
      <w:r>
        <w:rPr>
          <w:rFonts w:cstheme="minorHAnsi"/>
          <w:color w:val="000000" w:themeColor="text1"/>
          <w:sz w:val="24"/>
          <w:szCs w:val="24"/>
        </w:rPr>
        <w:t>ility</w:t>
      </w:r>
      <w:r w:rsidRPr="000848D5">
        <w:rPr>
          <w:rFonts w:cstheme="minorHAnsi"/>
          <w:color w:val="000000" w:themeColor="text1"/>
          <w:sz w:val="24"/>
          <w:szCs w:val="24"/>
        </w:rPr>
        <w:t xml:space="preserve"> as an economic migrant, and how that resonates currently, with millions of families and individuals, facing similar choices. His actions regarding</w:t>
      </w:r>
      <w:r>
        <w:rPr>
          <w:rFonts w:cstheme="minorHAnsi"/>
          <w:color w:val="000000" w:themeColor="text1"/>
          <w:sz w:val="24"/>
          <w:szCs w:val="24"/>
        </w:rPr>
        <w:t xml:space="preserve"> Sarah</w:t>
      </w:r>
      <w:r w:rsidRPr="000848D5">
        <w:rPr>
          <w:rFonts w:cstheme="minorHAnsi"/>
          <w:color w:val="000000" w:themeColor="text1"/>
          <w:sz w:val="24"/>
          <w:szCs w:val="24"/>
        </w:rPr>
        <w:t xml:space="preserve">, and her cooperation, </w:t>
      </w:r>
      <w:r>
        <w:rPr>
          <w:rFonts w:cstheme="minorHAnsi"/>
          <w:color w:val="000000" w:themeColor="text1"/>
          <w:sz w:val="24"/>
          <w:szCs w:val="24"/>
        </w:rPr>
        <w:t>improv</w:t>
      </w:r>
      <w:r w:rsidRPr="000848D5">
        <w:rPr>
          <w:rFonts w:cstheme="minorHAnsi"/>
          <w:color w:val="000000" w:themeColor="text1"/>
          <w:sz w:val="24"/>
          <w:szCs w:val="24"/>
        </w:rPr>
        <w:t>ed their financial position</w:t>
      </w:r>
      <w:r w:rsidRPr="000848D5">
        <w:rPr>
          <w:sz w:val="24"/>
          <w:szCs w:val="24"/>
        </w:rPr>
        <w:t xml:space="preserve">, </w:t>
      </w:r>
      <w:r>
        <w:rPr>
          <w:sz w:val="24"/>
          <w:szCs w:val="24"/>
        </w:rPr>
        <w:t>solidifying</w:t>
      </w:r>
      <w:r w:rsidRPr="000848D5">
        <w:rPr>
          <w:sz w:val="24"/>
          <w:szCs w:val="24"/>
        </w:rPr>
        <w:t xml:space="preserve"> the</w:t>
      </w:r>
      <w:r>
        <w:rPr>
          <w:sz w:val="24"/>
          <w:szCs w:val="24"/>
        </w:rPr>
        <w:t>ir</w:t>
      </w:r>
      <w:r w:rsidRPr="000848D5">
        <w:rPr>
          <w:sz w:val="24"/>
          <w:szCs w:val="24"/>
        </w:rPr>
        <w:t xml:space="preserve"> future, </w:t>
      </w:r>
      <w:r>
        <w:rPr>
          <w:sz w:val="24"/>
          <w:szCs w:val="24"/>
        </w:rPr>
        <w:t xml:space="preserve">thanks to their </w:t>
      </w:r>
      <w:r w:rsidRPr="000848D5">
        <w:rPr>
          <w:sz w:val="24"/>
          <w:szCs w:val="24"/>
        </w:rPr>
        <w:t>royal gifts.</w:t>
      </w:r>
      <w:r>
        <w:rPr>
          <w:sz w:val="24"/>
          <w:szCs w:val="24"/>
        </w:rPr>
        <w:t xml:space="preserve"> </w:t>
      </w:r>
      <w:r>
        <w:rPr>
          <w:rStyle w:val="FootnoteReference"/>
          <w:sz w:val="24"/>
          <w:szCs w:val="24"/>
        </w:rPr>
        <w:footnoteReference w:id="53"/>
      </w:r>
      <w:r>
        <w:rPr>
          <w:sz w:val="24"/>
          <w:szCs w:val="24"/>
        </w:rPr>
        <w:t xml:space="preserve"> </w:t>
      </w:r>
      <w:r w:rsidRPr="000848D5">
        <w:rPr>
          <w:sz w:val="24"/>
          <w:szCs w:val="24"/>
        </w:rPr>
        <w:t xml:space="preserve">Pharoah is punished for </w:t>
      </w:r>
      <w:r>
        <w:rPr>
          <w:sz w:val="24"/>
          <w:szCs w:val="24"/>
        </w:rPr>
        <w:t>taking</w:t>
      </w:r>
      <w:r w:rsidRPr="000848D5">
        <w:rPr>
          <w:sz w:val="24"/>
          <w:szCs w:val="24"/>
        </w:rPr>
        <w:t xml:space="preserve"> advantage of the vulnerable and</w:t>
      </w:r>
      <w:r>
        <w:rPr>
          <w:sz w:val="24"/>
          <w:szCs w:val="24"/>
        </w:rPr>
        <w:t xml:space="preserve"> scared</w:t>
      </w:r>
      <w:r w:rsidRPr="000848D5">
        <w:rPr>
          <w:sz w:val="24"/>
          <w:szCs w:val="24"/>
        </w:rPr>
        <w:t xml:space="preserve">, </w:t>
      </w:r>
      <w:r>
        <w:rPr>
          <w:sz w:val="24"/>
          <w:szCs w:val="24"/>
        </w:rPr>
        <w:t>whereas</w:t>
      </w:r>
      <w:r w:rsidRPr="000848D5">
        <w:rPr>
          <w:sz w:val="24"/>
          <w:szCs w:val="24"/>
        </w:rPr>
        <w:t xml:space="preserve"> Abraham </w:t>
      </w:r>
      <w:r>
        <w:rPr>
          <w:sz w:val="24"/>
          <w:szCs w:val="24"/>
        </w:rPr>
        <w:t>and</w:t>
      </w:r>
      <w:r w:rsidRPr="000848D5">
        <w:rPr>
          <w:sz w:val="24"/>
          <w:szCs w:val="24"/>
        </w:rPr>
        <w:t xml:space="preserve"> Sarah</w:t>
      </w:r>
      <w:r>
        <w:rPr>
          <w:sz w:val="24"/>
          <w:szCs w:val="24"/>
        </w:rPr>
        <w:t xml:space="preserve"> </w:t>
      </w:r>
      <w:r w:rsidRPr="000848D5">
        <w:rPr>
          <w:sz w:val="24"/>
          <w:szCs w:val="24"/>
        </w:rPr>
        <w:t>prayers are answered.</w:t>
      </w:r>
      <w:r>
        <w:rPr>
          <w:sz w:val="24"/>
          <w:szCs w:val="24"/>
        </w:rPr>
        <w:t xml:space="preserve"> </w:t>
      </w:r>
    </w:p>
    <w:p w14:paraId="3FB2A60B" w14:textId="77777777" w:rsidR="00297498" w:rsidRPr="00B618AB" w:rsidRDefault="00297498" w:rsidP="00297498">
      <w:pPr>
        <w:spacing w:line="360" w:lineRule="auto"/>
        <w:rPr>
          <w:sz w:val="24"/>
          <w:szCs w:val="24"/>
          <w:vertAlign w:val="superscript"/>
        </w:rPr>
      </w:pPr>
      <w:r w:rsidRPr="000848D5">
        <w:rPr>
          <w:sz w:val="24"/>
          <w:szCs w:val="24"/>
        </w:rPr>
        <w:t xml:space="preserve">‘Sex-for-hire </w:t>
      </w:r>
      <w:r>
        <w:rPr>
          <w:sz w:val="24"/>
          <w:szCs w:val="24"/>
        </w:rPr>
        <w:t xml:space="preserve">… </w:t>
      </w:r>
      <w:r w:rsidRPr="000848D5">
        <w:rPr>
          <w:sz w:val="24"/>
          <w:szCs w:val="24"/>
        </w:rPr>
        <w:t>is contrary to God's ways, but God’s compassion leads to rescue, not judgment, for those who are exploited.’</w:t>
      </w:r>
      <w:r>
        <w:rPr>
          <w:sz w:val="24"/>
          <w:szCs w:val="24"/>
        </w:rPr>
        <w:t xml:space="preserve"> </w:t>
      </w:r>
      <w:r>
        <w:rPr>
          <w:rStyle w:val="FootnoteReference"/>
          <w:sz w:val="24"/>
          <w:szCs w:val="24"/>
        </w:rPr>
        <w:footnoteReference w:id="54"/>
      </w:r>
      <w:r>
        <w:rPr>
          <w:sz w:val="24"/>
          <w:szCs w:val="24"/>
        </w:rPr>
        <w:t xml:space="preserve"> </w:t>
      </w:r>
      <w:r w:rsidRPr="000848D5">
        <w:rPr>
          <w:sz w:val="24"/>
          <w:szCs w:val="24"/>
        </w:rPr>
        <w:t xml:space="preserve">Thus, in the Midrash, there are numerous </w:t>
      </w:r>
      <w:r>
        <w:rPr>
          <w:sz w:val="24"/>
          <w:szCs w:val="24"/>
        </w:rPr>
        <w:t>receptions</w:t>
      </w:r>
      <w:r w:rsidRPr="000848D5">
        <w:rPr>
          <w:sz w:val="24"/>
          <w:szCs w:val="24"/>
        </w:rPr>
        <w:t xml:space="preserve"> </w:t>
      </w:r>
      <w:r>
        <w:rPr>
          <w:sz w:val="24"/>
          <w:szCs w:val="24"/>
        </w:rPr>
        <w:t xml:space="preserve">of </w:t>
      </w:r>
      <w:r w:rsidRPr="000848D5">
        <w:rPr>
          <w:sz w:val="24"/>
          <w:szCs w:val="24"/>
        </w:rPr>
        <w:t>Abraham’s treatment of Sarah, mostly justifying</w:t>
      </w:r>
      <w:r>
        <w:rPr>
          <w:sz w:val="24"/>
          <w:szCs w:val="24"/>
        </w:rPr>
        <w:t xml:space="preserve">, </w:t>
      </w:r>
      <w:r w:rsidRPr="000848D5">
        <w:rPr>
          <w:sz w:val="24"/>
          <w:szCs w:val="24"/>
        </w:rPr>
        <w:t>but other</w:t>
      </w:r>
      <w:r>
        <w:rPr>
          <w:sz w:val="24"/>
          <w:szCs w:val="24"/>
        </w:rPr>
        <w:t>s</w:t>
      </w:r>
      <w:r w:rsidRPr="000848D5">
        <w:rPr>
          <w:sz w:val="24"/>
          <w:szCs w:val="24"/>
        </w:rPr>
        <w:t xml:space="preserve"> </w:t>
      </w:r>
      <w:r>
        <w:rPr>
          <w:sz w:val="24"/>
          <w:szCs w:val="24"/>
        </w:rPr>
        <w:t xml:space="preserve">questioning, and </w:t>
      </w:r>
      <w:r w:rsidRPr="000848D5">
        <w:rPr>
          <w:sz w:val="24"/>
          <w:szCs w:val="24"/>
        </w:rPr>
        <w:t>trying to justify the treatment of the Hebrews through the failings of their patriarch.</w:t>
      </w:r>
    </w:p>
    <w:p w14:paraId="09CB5031" w14:textId="77777777" w:rsidR="00297498" w:rsidRDefault="00297498" w:rsidP="00297498">
      <w:pPr>
        <w:spacing w:line="360" w:lineRule="auto"/>
        <w:rPr>
          <w:rFonts w:cstheme="minorHAnsi"/>
          <w:color w:val="000000" w:themeColor="text1"/>
          <w:sz w:val="24"/>
          <w:szCs w:val="24"/>
          <w:shd w:val="clear" w:color="auto" w:fill="FFFFFF"/>
        </w:rPr>
      </w:pPr>
      <w:r w:rsidRPr="00CE2C3C">
        <w:rPr>
          <w:rFonts w:cstheme="minorHAnsi"/>
          <w:color w:val="000000" w:themeColor="text1"/>
          <w:sz w:val="24"/>
          <w:szCs w:val="24"/>
          <w:shd w:val="clear" w:color="auto" w:fill="FFFFFF"/>
        </w:rPr>
        <w:t>In literary terms, type-scenes,</w:t>
      </w:r>
      <w:r>
        <w:rPr>
          <w:rStyle w:val="FootnoteReference"/>
          <w:rFonts w:cstheme="minorHAnsi"/>
          <w:color w:val="000000" w:themeColor="text1"/>
          <w:sz w:val="24"/>
          <w:szCs w:val="24"/>
          <w:shd w:val="clear" w:color="auto" w:fill="FFFFFF"/>
        </w:rPr>
        <w:footnoteReference w:id="55"/>
      </w:r>
      <w:r>
        <w:rPr>
          <w:rFonts w:cstheme="minorHAnsi"/>
          <w:color w:val="000000" w:themeColor="text1"/>
          <w:sz w:val="24"/>
          <w:szCs w:val="24"/>
          <w:shd w:val="clear" w:color="auto" w:fill="FFFFFF"/>
        </w:rPr>
        <w:t xml:space="preserve"> </w:t>
      </w:r>
      <w:r w:rsidRPr="00CE2C3C">
        <w:rPr>
          <w:rFonts w:cstheme="minorHAnsi"/>
          <w:color w:val="000000" w:themeColor="text1"/>
          <w:sz w:val="24"/>
          <w:szCs w:val="24"/>
          <w:shd w:val="clear" w:color="auto" w:fill="FFFFFF"/>
        </w:rPr>
        <w:t xml:space="preserve">were used in the Homeric epics, as </w:t>
      </w:r>
      <w:r>
        <w:rPr>
          <w:rFonts w:cstheme="minorHAnsi"/>
          <w:color w:val="000000" w:themeColor="text1"/>
          <w:sz w:val="24"/>
          <w:szCs w:val="24"/>
          <w:shd w:val="clear" w:color="auto" w:fill="FFFFFF"/>
        </w:rPr>
        <w:t xml:space="preserve">in </w:t>
      </w:r>
      <w:r w:rsidRPr="00CE2C3C">
        <w:rPr>
          <w:rFonts w:cstheme="minorHAnsi"/>
          <w:color w:val="000000" w:themeColor="text1"/>
          <w:sz w:val="24"/>
          <w:szCs w:val="24"/>
          <w:shd w:val="clear" w:color="auto" w:fill="FFFFFF"/>
        </w:rPr>
        <w:t>the arming scenes in</w:t>
      </w:r>
      <w:r>
        <w:rPr>
          <w:rFonts w:cstheme="minorHAnsi"/>
          <w:color w:val="000000" w:themeColor="text1"/>
          <w:sz w:val="24"/>
          <w:szCs w:val="24"/>
          <w:shd w:val="clear" w:color="auto" w:fill="FFFFFF"/>
        </w:rPr>
        <w:t xml:space="preserve"> the</w:t>
      </w:r>
      <w:r w:rsidRPr="00CE2C3C">
        <w:rPr>
          <w:rFonts w:cstheme="minorHAnsi"/>
          <w:color w:val="000000" w:themeColor="text1"/>
          <w:sz w:val="24"/>
          <w:szCs w:val="24"/>
          <w:shd w:val="clear" w:color="auto" w:fill="FFFFFF"/>
        </w:rPr>
        <w:t xml:space="preserve"> Iliad</w:t>
      </w:r>
      <w:r>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w:t>
      </w:r>
      <w:r>
        <w:rPr>
          <w:rStyle w:val="FootnoteReference"/>
          <w:rFonts w:cstheme="minorHAnsi"/>
          <w:color w:val="000000" w:themeColor="text1"/>
          <w:sz w:val="24"/>
          <w:szCs w:val="24"/>
          <w:shd w:val="clear" w:color="auto" w:fill="FFFFFF"/>
        </w:rPr>
        <w:footnoteReference w:id="56"/>
      </w:r>
      <w:r>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rPr>
        <w:t xml:space="preserve">These tools enabled an oral poet to remember the story, producing tension as they were slightly altered, suggesting an oral tradition in the composition of Genesis. The apparent type-scenes in Gen 12:10-20, 20:1-18 and 26:1-16, create anticipation and expectation. In the first two, God is involved in different ways, whereas in the third, his intercession is not required. However, in all three, a chaste wife is returned, and their wealth enhanced. This implies a purely literary purpose for one or all these events, used in conjunction with each other for literary effect, totally changing our reception of the actions of Abraham, as possibly a tool. </w:t>
      </w:r>
    </w:p>
    <w:p w14:paraId="0D079D9F" w14:textId="487E6AB5" w:rsidR="00297498" w:rsidRDefault="00297498" w:rsidP="00297498">
      <w:pPr>
        <w:spacing w:line="36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There could also be an anthropological reception of Gen 12,</w:t>
      </w:r>
      <w:r>
        <w:rPr>
          <w:rFonts w:cstheme="minorHAnsi"/>
          <w:color w:val="000000" w:themeColor="text1"/>
          <w:sz w:val="24"/>
          <w:szCs w:val="24"/>
          <w:shd w:val="clear" w:color="auto" w:fill="FFFFFF"/>
        </w:rPr>
        <w:t xml:space="preserve"> </w:t>
      </w:r>
      <w:r>
        <w:rPr>
          <w:rStyle w:val="FootnoteReference"/>
          <w:rFonts w:cstheme="minorHAnsi"/>
          <w:color w:val="000000" w:themeColor="text1"/>
          <w:sz w:val="24"/>
          <w:szCs w:val="24"/>
          <w:shd w:val="clear" w:color="auto" w:fill="FFFFFF"/>
        </w:rPr>
        <w:footnoteReference w:id="57"/>
      </w:r>
      <w:r>
        <w:rPr>
          <w:rFonts w:cstheme="minorHAnsi"/>
          <w:color w:val="000000" w:themeColor="text1"/>
          <w:sz w:val="24"/>
          <w:szCs w:val="24"/>
          <w:shd w:val="clear" w:color="auto" w:fill="FFFFFF"/>
        </w:rPr>
        <w:t xml:space="preserve"> </w:t>
      </w:r>
      <w:r>
        <w:rPr>
          <w:rFonts w:cstheme="minorHAnsi"/>
          <w:color w:val="000000" w:themeColor="text1"/>
          <w:sz w:val="24"/>
          <w:szCs w:val="24"/>
          <w:shd w:val="clear" w:color="auto" w:fill="FFFFFF"/>
          <w:vertAlign w:val="superscript"/>
        </w:rPr>
        <w:t>)</w:t>
      </w:r>
      <w:r>
        <w:rPr>
          <w:rFonts w:cstheme="minorHAnsi"/>
          <w:color w:val="000000" w:themeColor="text1"/>
          <w:sz w:val="24"/>
          <w:szCs w:val="24"/>
          <w:shd w:val="clear" w:color="auto" w:fill="FFFFFF"/>
        </w:rPr>
        <w:t xml:space="preserve"> whence the role of a brother was considered as the protector of a fatherless sister in the Mesopotamia, from which Abraham and Sarah originate. As Sarah’s brother, Abraham would be considered her ‘protector and legal guardian’, and would not only save his own life, but protect Sarah’s, as he would have to be involved in any possible marriage transaction.</w:t>
      </w:r>
      <w:r>
        <w:rPr>
          <w:rFonts w:cstheme="minorHAnsi"/>
          <w:color w:val="000000" w:themeColor="text1"/>
          <w:sz w:val="24"/>
          <w:szCs w:val="24"/>
          <w:shd w:val="clear" w:color="auto" w:fill="FFFFFF"/>
        </w:rPr>
        <w:t xml:space="preserve"> </w:t>
      </w:r>
      <w:r>
        <w:rPr>
          <w:rStyle w:val="FootnoteReference"/>
          <w:rFonts w:cstheme="minorHAnsi"/>
          <w:color w:val="000000" w:themeColor="text1"/>
          <w:sz w:val="24"/>
          <w:szCs w:val="24"/>
          <w:shd w:val="clear" w:color="auto" w:fill="FFFFFF"/>
        </w:rPr>
        <w:footnoteReference w:id="58"/>
      </w:r>
      <w:r w:rsidR="007E71DA">
        <w:rPr>
          <w:rFonts w:cstheme="minorHAnsi"/>
          <w:color w:val="000000" w:themeColor="text1"/>
          <w:sz w:val="24"/>
          <w:szCs w:val="24"/>
          <w:shd w:val="clear" w:color="auto" w:fill="FFFFFF"/>
        </w:rPr>
        <w:t xml:space="preserve"> </w:t>
      </w:r>
      <w:r w:rsidR="007E71DA">
        <w:rPr>
          <w:rFonts w:cstheme="minorHAnsi"/>
          <w:color w:val="000000" w:themeColor="text1"/>
          <w:sz w:val="24"/>
          <w:szCs w:val="24"/>
          <w:shd w:val="clear" w:color="auto" w:fill="FFFFFF"/>
        </w:rPr>
        <w:t>As both husband and ‘brother’, Abraham was not lying, and was merely following cultural expectations.</w:t>
      </w:r>
    </w:p>
    <w:p w14:paraId="38FA99DF" w14:textId="77777777" w:rsidR="007E71DA" w:rsidRDefault="007E71DA" w:rsidP="007E71DA">
      <w:pPr>
        <w:spacing w:line="360" w:lineRule="auto"/>
        <w:rPr>
          <w:rFonts w:cstheme="minorHAnsi"/>
          <w:color w:val="000000"/>
          <w:sz w:val="24"/>
          <w:szCs w:val="24"/>
          <w:shd w:val="clear" w:color="auto" w:fill="FFFFFF"/>
        </w:rPr>
      </w:pPr>
      <w:r>
        <w:rPr>
          <w:rFonts w:cstheme="minorHAnsi"/>
          <w:color w:val="000000" w:themeColor="text1"/>
          <w:sz w:val="24"/>
          <w:szCs w:val="24"/>
          <w:shd w:val="clear" w:color="auto" w:fill="FFFFFF"/>
        </w:rPr>
        <w:t xml:space="preserve">A more recent reception from 1835 can be seen in the ‘Pearl of Great Price’, of The Church of Jesus Christ of the Latter-Day Saints, where God instructs Abraham to </w:t>
      </w:r>
      <w:r w:rsidRPr="00A65CAE">
        <w:rPr>
          <w:rFonts w:cstheme="minorHAnsi"/>
          <w:color w:val="000000" w:themeColor="text1"/>
          <w:sz w:val="24"/>
          <w:szCs w:val="24"/>
          <w:shd w:val="clear" w:color="auto" w:fill="FFFFFF"/>
        </w:rPr>
        <w:t>‘</w:t>
      </w:r>
      <w:r w:rsidRPr="00A65CAE">
        <w:rPr>
          <w:rFonts w:cstheme="minorHAnsi"/>
          <w:color w:val="000000"/>
          <w:sz w:val="24"/>
          <w:szCs w:val="24"/>
          <w:shd w:val="clear" w:color="auto" w:fill="FFFFFF"/>
        </w:rPr>
        <w:t>Let her say unto the Egyptians, she is thy sister, and thy soul shall live.’</w:t>
      </w:r>
      <w:r>
        <w:rPr>
          <w:rFonts w:cstheme="minorHAnsi"/>
          <w:color w:val="000000"/>
          <w:sz w:val="24"/>
          <w:szCs w:val="24"/>
          <w:shd w:val="clear" w:color="auto" w:fill="FFFFFF"/>
        </w:rPr>
        <w:t xml:space="preserve"> </w:t>
      </w:r>
      <w:r>
        <w:rPr>
          <w:rStyle w:val="FootnoteReference"/>
          <w:rFonts w:cstheme="minorHAnsi"/>
          <w:color w:val="000000"/>
          <w:sz w:val="24"/>
          <w:szCs w:val="24"/>
          <w:shd w:val="clear" w:color="auto" w:fill="FFFFFF"/>
        </w:rPr>
        <w:footnoteReference w:id="59"/>
      </w:r>
      <w:r>
        <w:rPr>
          <w:rFonts w:cstheme="minorHAnsi"/>
          <w:color w:val="000000"/>
          <w:sz w:val="24"/>
          <w:szCs w:val="24"/>
          <w:shd w:val="clear" w:color="auto" w:fill="FFFFFF"/>
        </w:rPr>
        <w:t xml:space="preserve"> </w:t>
      </w:r>
      <w:r>
        <w:rPr>
          <w:rFonts w:cstheme="minorHAnsi"/>
          <w:color w:val="000000"/>
          <w:sz w:val="24"/>
          <w:szCs w:val="24"/>
          <w:shd w:val="clear" w:color="auto" w:fill="FFFFFF"/>
        </w:rPr>
        <w:t>It is now God encouraging and protecting both Abraham and Sarah in the nineteenth-century United States.</w:t>
      </w:r>
    </w:p>
    <w:p w14:paraId="2BC33F75" w14:textId="77777777" w:rsidR="007E71DA" w:rsidRPr="0025718B" w:rsidRDefault="007E71DA" w:rsidP="007E71DA">
      <w:pPr>
        <w:spacing w:line="360" w:lineRule="auto"/>
        <w:rPr>
          <w:rFonts w:cstheme="minorHAnsi"/>
          <w:color w:val="000000" w:themeColor="text1"/>
          <w:sz w:val="24"/>
          <w:szCs w:val="24"/>
          <w:shd w:val="clear" w:color="auto" w:fill="FFFFFF"/>
        </w:rPr>
      </w:pPr>
      <w:r>
        <w:rPr>
          <w:rFonts w:cstheme="minorHAnsi"/>
          <w:color w:val="000000" w:themeColor="text1"/>
          <w:sz w:val="24"/>
          <w:szCs w:val="24"/>
          <w:shd w:val="clear" w:color="auto" w:fill="FFFFFF"/>
        </w:rPr>
        <w:t xml:space="preserve">Concurrently, </w:t>
      </w:r>
      <w:r w:rsidRPr="00062817">
        <w:rPr>
          <w:rFonts w:cstheme="minorHAnsi"/>
          <w:color w:val="000000" w:themeColor="text1"/>
          <w:sz w:val="24"/>
          <w:szCs w:val="24"/>
          <w:shd w:val="clear" w:color="auto" w:fill="FFFFFF"/>
        </w:rPr>
        <w:t xml:space="preserve">in the </w:t>
      </w:r>
      <w:proofErr w:type="spellStart"/>
      <w:r w:rsidRPr="00062817">
        <w:rPr>
          <w:rFonts w:cstheme="minorHAnsi"/>
          <w:color w:val="000000" w:themeColor="text1"/>
          <w:sz w:val="24"/>
          <w:szCs w:val="24"/>
          <w:shd w:val="clear" w:color="auto" w:fill="FFFFFF"/>
        </w:rPr>
        <w:t>Baha’I</w:t>
      </w:r>
      <w:proofErr w:type="spellEnd"/>
      <w:r w:rsidRPr="00062817">
        <w:rPr>
          <w:rFonts w:cstheme="minorHAnsi"/>
          <w:color w:val="000000" w:themeColor="text1"/>
          <w:sz w:val="24"/>
          <w:szCs w:val="24"/>
          <w:shd w:val="clear" w:color="auto" w:fill="FFFFFF"/>
        </w:rPr>
        <w:t xml:space="preserve"> Faith, Abraham to lie is considered sinful, therefore </w:t>
      </w:r>
      <w:r>
        <w:rPr>
          <w:rFonts w:cstheme="minorHAnsi"/>
          <w:color w:val="000000" w:themeColor="text1"/>
          <w:sz w:val="24"/>
          <w:szCs w:val="24"/>
          <w:shd w:val="clear" w:color="auto" w:fill="FFFFFF"/>
        </w:rPr>
        <w:t xml:space="preserve">it </w:t>
      </w:r>
      <w:r w:rsidRPr="00062817">
        <w:rPr>
          <w:rFonts w:cstheme="minorHAnsi"/>
          <w:color w:val="000000" w:themeColor="text1"/>
          <w:sz w:val="24"/>
          <w:szCs w:val="24"/>
          <w:shd w:val="clear" w:color="auto" w:fill="FFFFFF"/>
        </w:rPr>
        <w:t xml:space="preserve">would not have happened. Baha’i teach </w:t>
      </w:r>
      <w:r>
        <w:rPr>
          <w:rFonts w:cstheme="minorHAnsi"/>
          <w:color w:val="000000" w:themeColor="text1"/>
          <w:sz w:val="24"/>
          <w:szCs w:val="24"/>
          <w:shd w:val="clear" w:color="auto" w:fill="FFFFFF"/>
        </w:rPr>
        <w:t xml:space="preserve">that </w:t>
      </w:r>
      <w:r w:rsidRPr="00062817">
        <w:rPr>
          <w:rFonts w:cstheme="minorHAnsi"/>
          <w:color w:val="000000" w:themeColor="text1"/>
          <w:sz w:val="24"/>
          <w:szCs w:val="24"/>
          <w:shd w:val="clear" w:color="auto" w:fill="FFFFFF"/>
        </w:rPr>
        <w:t>‘</w:t>
      </w:r>
      <w:r w:rsidRPr="00062817">
        <w:rPr>
          <w:color w:val="000000" w:themeColor="text1"/>
          <w:sz w:val="24"/>
          <w:szCs w:val="24"/>
        </w:rPr>
        <w:t>Abraham wished to emphasi</w:t>
      </w:r>
      <w:r>
        <w:rPr>
          <w:color w:val="000000" w:themeColor="text1"/>
          <w:sz w:val="24"/>
          <w:szCs w:val="24"/>
        </w:rPr>
        <w:t>s</w:t>
      </w:r>
      <w:r w:rsidRPr="00062817">
        <w:rPr>
          <w:color w:val="000000" w:themeColor="text1"/>
          <w:sz w:val="24"/>
          <w:szCs w:val="24"/>
        </w:rPr>
        <w:t>e the superiority of the spiritual relationship binding him with his wife to the purely physical and material one.</w:t>
      </w:r>
      <w:r>
        <w:rPr>
          <w:color w:val="000000" w:themeColor="text1"/>
          <w:sz w:val="24"/>
          <w:szCs w:val="24"/>
        </w:rPr>
        <w:t>’</w:t>
      </w:r>
      <w:r>
        <w:rPr>
          <w:color w:val="000000" w:themeColor="text1"/>
          <w:sz w:val="24"/>
          <w:szCs w:val="24"/>
        </w:rPr>
        <w:t xml:space="preserve"> </w:t>
      </w:r>
      <w:r>
        <w:rPr>
          <w:rStyle w:val="FootnoteReference"/>
          <w:color w:val="000000" w:themeColor="text1"/>
          <w:sz w:val="24"/>
          <w:szCs w:val="24"/>
        </w:rPr>
        <w:footnoteReference w:id="60"/>
      </w:r>
      <w:r>
        <w:rPr>
          <w:color w:val="000000" w:themeColor="text1"/>
          <w:sz w:val="24"/>
          <w:szCs w:val="24"/>
        </w:rPr>
        <w:t xml:space="preserve"> </w:t>
      </w:r>
      <w:r w:rsidRPr="00D7500D">
        <w:rPr>
          <w:color w:val="000000" w:themeColor="text1"/>
          <w:sz w:val="24"/>
          <w:szCs w:val="24"/>
        </w:rPr>
        <w:t>This concept of a spiritual relationship between Sarah and Abraham can be seen in the significance of spiritual relationships in both Christianity and Islam.</w:t>
      </w:r>
    </w:p>
    <w:p w14:paraId="7C6647F6" w14:textId="77777777" w:rsidR="007E71DA" w:rsidRDefault="007E71DA" w:rsidP="007E71DA">
      <w:pPr>
        <w:spacing w:line="360" w:lineRule="auto"/>
        <w:rPr>
          <w:color w:val="000000" w:themeColor="text1"/>
          <w:sz w:val="24"/>
          <w:szCs w:val="24"/>
        </w:rPr>
      </w:pPr>
      <w:r>
        <w:rPr>
          <w:color w:val="000000" w:themeColor="text1"/>
          <w:sz w:val="24"/>
          <w:szCs w:val="24"/>
        </w:rPr>
        <w:t xml:space="preserve">In </w:t>
      </w:r>
      <w:r w:rsidRPr="00D7500D">
        <w:rPr>
          <w:color w:val="000000" w:themeColor="text1"/>
          <w:sz w:val="24"/>
          <w:szCs w:val="24"/>
        </w:rPr>
        <w:t xml:space="preserve">Matt 12:50 Jesus states that </w:t>
      </w:r>
      <w:r w:rsidRPr="00D7500D">
        <w:rPr>
          <w:rFonts w:cstheme="minorHAnsi"/>
          <w:color w:val="000000" w:themeColor="text1"/>
          <w:sz w:val="24"/>
          <w:szCs w:val="24"/>
        </w:rPr>
        <w:t>‘</w:t>
      </w:r>
      <w:r w:rsidRPr="00D7500D">
        <w:rPr>
          <w:rFonts w:cstheme="minorHAnsi"/>
          <w:color w:val="000000" w:themeColor="text1"/>
          <w:sz w:val="24"/>
          <w:szCs w:val="24"/>
          <w:shd w:val="clear" w:color="auto" w:fill="FFFFFF"/>
        </w:rPr>
        <w:t>For whoever does the will of my Father</w:t>
      </w:r>
      <w:r>
        <w:rPr>
          <w:rFonts w:cstheme="minorHAnsi"/>
          <w:color w:val="000000" w:themeColor="text1"/>
          <w:sz w:val="24"/>
          <w:szCs w:val="24"/>
          <w:shd w:val="clear" w:color="auto" w:fill="FFFFFF"/>
        </w:rPr>
        <w:t xml:space="preserve"> …</w:t>
      </w:r>
      <w:r w:rsidRPr="00D7500D">
        <w:rPr>
          <w:rFonts w:cstheme="minorHAnsi"/>
          <w:color w:val="000000" w:themeColor="text1"/>
          <w:sz w:val="24"/>
          <w:szCs w:val="24"/>
          <w:shd w:val="clear" w:color="auto" w:fill="FFFFFF"/>
        </w:rPr>
        <w:t> is my brother and sister</w:t>
      </w:r>
      <w:r>
        <w:rPr>
          <w:rFonts w:cstheme="minorHAnsi"/>
          <w:color w:val="000000" w:themeColor="text1"/>
          <w:sz w:val="24"/>
          <w:szCs w:val="24"/>
          <w:shd w:val="clear" w:color="auto" w:fill="FFFFFF"/>
        </w:rPr>
        <w:t>,</w:t>
      </w:r>
      <w:r w:rsidRPr="00D7500D">
        <w:rPr>
          <w:rFonts w:cstheme="minorHAnsi"/>
          <w:color w:val="000000" w:themeColor="text1"/>
          <w:sz w:val="24"/>
          <w:szCs w:val="24"/>
          <w:shd w:val="clear" w:color="auto" w:fill="FFFFFF"/>
        </w:rPr>
        <w:t>”,</w:t>
      </w:r>
      <w:r w:rsidRPr="00D7500D">
        <w:rPr>
          <w:rFonts w:ascii="-apple-system" w:hAnsi="-apple-system"/>
          <w:color w:val="000000" w:themeColor="text1"/>
          <w:sz w:val="24"/>
          <w:szCs w:val="24"/>
          <w:shd w:val="clear" w:color="auto" w:fill="FFFFFF"/>
        </w:rPr>
        <w:t xml:space="preserve"> </w:t>
      </w:r>
      <w:r w:rsidRPr="00D7500D">
        <w:rPr>
          <w:rFonts w:cstheme="minorHAnsi"/>
          <w:color w:val="000000" w:themeColor="text1"/>
          <w:sz w:val="24"/>
          <w:szCs w:val="24"/>
          <w:shd w:val="clear" w:color="auto" w:fill="FFFFFF"/>
        </w:rPr>
        <w:t xml:space="preserve">whilst in the Qur’an, 49:20 as referenced </w:t>
      </w:r>
      <w:r>
        <w:rPr>
          <w:rFonts w:cstheme="minorHAnsi"/>
          <w:color w:val="000000" w:themeColor="text1"/>
          <w:sz w:val="24"/>
          <w:szCs w:val="24"/>
          <w:shd w:val="clear" w:color="auto" w:fill="FFFFFF"/>
        </w:rPr>
        <w:t>previously</w:t>
      </w:r>
      <w:r w:rsidRPr="00D7500D">
        <w:rPr>
          <w:rFonts w:cstheme="minorHAnsi"/>
          <w:color w:val="000000" w:themeColor="text1"/>
          <w:sz w:val="24"/>
          <w:szCs w:val="24"/>
          <w:shd w:val="clear" w:color="auto" w:fill="FFFFFF"/>
        </w:rPr>
        <w:t xml:space="preserve">, Muhammad </w:t>
      </w:r>
      <w:r>
        <w:rPr>
          <w:rFonts w:cstheme="minorHAnsi"/>
          <w:color w:val="000000" w:themeColor="text1"/>
          <w:sz w:val="24"/>
          <w:szCs w:val="24"/>
          <w:shd w:val="clear" w:color="auto" w:fill="FFFFFF"/>
        </w:rPr>
        <w:t>states</w:t>
      </w:r>
      <w:r w:rsidRPr="00D7500D">
        <w:rPr>
          <w:color w:val="000000" w:themeColor="text1"/>
          <w:sz w:val="24"/>
          <w:szCs w:val="24"/>
        </w:rPr>
        <w:t xml:space="preserve"> “The believers are but a single Brotherhood.” </w:t>
      </w:r>
      <w:r w:rsidRPr="0025718B">
        <w:rPr>
          <w:color w:val="000000" w:themeColor="text1"/>
          <w:sz w:val="24"/>
          <w:szCs w:val="24"/>
        </w:rPr>
        <w:t>The Baha’i Faith receives the actions of Abraham and thus Sarah, as enabling his soul, and his new God to survive, rather than his body. This allows Abrah</w:t>
      </w:r>
      <w:r>
        <w:rPr>
          <w:color w:val="000000" w:themeColor="text1"/>
          <w:sz w:val="24"/>
          <w:szCs w:val="24"/>
        </w:rPr>
        <w:t>a</w:t>
      </w:r>
      <w:r w:rsidRPr="0025718B">
        <w:rPr>
          <w:color w:val="000000" w:themeColor="text1"/>
          <w:sz w:val="24"/>
          <w:szCs w:val="24"/>
        </w:rPr>
        <w:t>m the opportunity to spiritually educate the Egyptians in a new God, perhaps the real motive for the journey into Egypt</w:t>
      </w:r>
      <w:r>
        <w:rPr>
          <w:color w:val="000000" w:themeColor="text1"/>
          <w:sz w:val="24"/>
          <w:szCs w:val="24"/>
        </w:rPr>
        <w:t>, with Abraham as the spirit of God.</w:t>
      </w:r>
      <w:r w:rsidRPr="0025718B">
        <w:rPr>
          <w:color w:val="000000" w:themeColor="text1"/>
          <w:sz w:val="24"/>
          <w:szCs w:val="24"/>
        </w:rPr>
        <w:t xml:space="preserve"> </w:t>
      </w:r>
    </w:p>
    <w:p w14:paraId="78C8F1C7" w14:textId="5C091976" w:rsidR="007E71DA" w:rsidRDefault="007E71DA" w:rsidP="007E71DA">
      <w:pPr>
        <w:spacing w:line="360" w:lineRule="auto"/>
        <w:rPr>
          <w:rFonts w:cstheme="minorHAnsi"/>
          <w:color w:val="000000"/>
        </w:rPr>
      </w:pPr>
      <w:r w:rsidRPr="007E71DA">
        <w:rPr>
          <w:rFonts w:cstheme="minorHAnsi"/>
          <w:color w:val="000000" w:themeColor="text1"/>
          <w:sz w:val="24"/>
          <w:szCs w:val="24"/>
        </w:rPr>
        <w:t>This could be seen as similar to the teachings in the thirteenth century Jewish Kabbalistic work the ‘Zohar’,</w:t>
      </w:r>
      <w:r w:rsidRPr="007E71DA">
        <w:rPr>
          <w:rStyle w:val="FootnoteReference"/>
          <w:rFonts w:cstheme="minorHAnsi"/>
          <w:color w:val="000000" w:themeColor="text1"/>
          <w:sz w:val="24"/>
          <w:szCs w:val="24"/>
        </w:rPr>
        <w:footnoteReference w:id="61"/>
      </w:r>
      <w:r w:rsidRPr="007E71DA">
        <w:rPr>
          <w:rFonts w:cstheme="minorHAnsi"/>
          <w:color w:val="000000" w:themeColor="text1"/>
          <w:sz w:val="24"/>
          <w:szCs w:val="24"/>
        </w:rPr>
        <w:t xml:space="preserve"> </w:t>
      </w:r>
      <w:r w:rsidRPr="007E71DA">
        <w:rPr>
          <w:rFonts w:cstheme="minorHAnsi"/>
          <w:color w:val="000000" w:themeColor="text1"/>
          <w:sz w:val="24"/>
          <w:szCs w:val="24"/>
          <w:vertAlign w:val="superscript"/>
        </w:rPr>
        <w:t>)</w:t>
      </w:r>
      <w:r w:rsidRPr="007E71DA">
        <w:rPr>
          <w:rFonts w:cstheme="minorHAnsi"/>
          <w:color w:val="000000" w:themeColor="text1"/>
          <w:sz w:val="24"/>
          <w:szCs w:val="24"/>
        </w:rPr>
        <w:t xml:space="preserve"> which </w:t>
      </w:r>
      <w:r w:rsidRPr="007E71DA">
        <w:rPr>
          <w:rFonts w:cstheme="minorHAnsi"/>
          <w:color w:val="000000"/>
          <w:sz w:val="24"/>
          <w:szCs w:val="24"/>
        </w:rPr>
        <w:t>compares the union of Abraham and Sarah with the union of the soul and the body. This is a parallel between the story of Abraham and Sarah’s journey to Egypt and our journey through life.</w:t>
      </w:r>
      <w:r w:rsidRPr="007E71DA">
        <w:rPr>
          <w:rFonts w:cstheme="minorHAnsi"/>
          <w:color w:val="000000"/>
          <w:sz w:val="24"/>
          <w:szCs w:val="24"/>
        </w:rPr>
        <w:t xml:space="preserve"> </w:t>
      </w:r>
      <w:r w:rsidRPr="007E71DA">
        <w:rPr>
          <w:rStyle w:val="FootnoteReference"/>
          <w:rFonts w:cstheme="minorHAnsi"/>
          <w:color w:val="000000"/>
          <w:sz w:val="24"/>
          <w:szCs w:val="24"/>
        </w:rPr>
        <w:footnoteReference w:id="62"/>
      </w:r>
      <w:r w:rsidRPr="007E71DA">
        <w:rPr>
          <w:rFonts w:cstheme="minorHAnsi"/>
          <w:color w:val="000000"/>
          <w:sz w:val="24"/>
          <w:szCs w:val="24"/>
        </w:rPr>
        <w:t xml:space="preserve"> </w:t>
      </w:r>
      <w:r w:rsidRPr="007E71DA">
        <w:rPr>
          <w:rFonts w:cstheme="minorHAnsi"/>
          <w:color w:val="000000"/>
          <w:sz w:val="24"/>
          <w:szCs w:val="24"/>
        </w:rPr>
        <w:t>The soul descends to earth and partners with a body to protect it ... The soul’s instinct may be to shield the body from coarse materialism, but it is forced to let go.’</w:t>
      </w:r>
      <w:r w:rsidRPr="007E71DA">
        <w:rPr>
          <w:rFonts w:cstheme="minorHAnsi"/>
          <w:color w:val="000000"/>
          <w:sz w:val="24"/>
          <w:szCs w:val="24"/>
        </w:rPr>
        <w:t xml:space="preserve"> </w:t>
      </w:r>
      <w:r w:rsidRPr="007E71DA">
        <w:rPr>
          <w:rStyle w:val="FootnoteReference"/>
          <w:rFonts w:cstheme="minorHAnsi"/>
          <w:color w:val="000000"/>
          <w:sz w:val="24"/>
          <w:szCs w:val="24"/>
        </w:rPr>
        <w:footnoteReference w:id="63"/>
      </w:r>
      <w:r w:rsidRPr="007E71DA">
        <w:rPr>
          <w:rFonts w:cstheme="minorHAnsi"/>
          <w:color w:val="000000"/>
          <w:sz w:val="24"/>
          <w:szCs w:val="24"/>
        </w:rPr>
        <w:t xml:space="preserve"> </w:t>
      </w:r>
      <w:r w:rsidRPr="007E71DA">
        <w:rPr>
          <w:rFonts w:cstheme="minorHAnsi"/>
          <w:color w:val="000000"/>
          <w:sz w:val="24"/>
          <w:szCs w:val="24"/>
        </w:rPr>
        <w:t>Anything gained from the actions of the body, as with Abraham and Sarah, are of benefit to the soul. The Kabbalah teaches that we must be led by our soul, which instinctively knows what is right, as did Abraham and Sarah, absolving them of any blame.</w:t>
      </w:r>
      <w:r>
        <w:rPr>
          <w:rFonts w:cstheme="minorHAnsi"/>
          <w:color w:val="000000"/>
        </w:rPr>
        <w:t xml:space="preserve"> </w:t>
      </w:r>
    </w:p>
    <w:p w14:paraId="5D3C6993" w14:textId="5737559A" w:rsidR="007E71DA" w:rsidRPr="00EC01A2" w:rsidRDefault="007E71DA" w:rsidP="007E71DA">
      <w:pPr>
        <w:spacing w:line="360" w:lineRule="auto"/>
        <w:rPr>
          <w:rFonts w:cstheme="minorHAnsi"/>
          <w:sz w:val="24"/>
          <w:szCs w:val="24"/>
        </w:rPr>
      </w:pPr>
      <w:r w:rsidRPr="00936411">
        <w:rPr>
          <w:rFonts w:cstheme="minorHAnsi"/>
          <w:sz w:val="24"/>
          <w:szCs w:val="24"/>
        </w:rPr>
        <w:t xml:space="preserve">In the </w:t>
      </w:r>
      <w:r>
        <w:rPr>
          <w:rFonts w:cstheme="minorHAnsi"/>
          <w:sz w:val="24"/>
          <w:szCs w:val="24"/>
        </w:rPr>
        <w:t>below</w:t>
      </w:r>
      <w:r w:rsidRPr="00936411">
        <w:rPr>
          <w:rFonts w:cstheme="minorHAnsi"/>
          <w:sz w:val="24"/>
          <w:szCs w:val="24"/>
        </w:rPr>
        <w:t xml:space="preserve"> image</w:t>
      </w:r>
      <w:r>
        <w:rPr>
          <w:rFonts w:cstheme="minorHAnsi"/>
          <w:sz w:val="24"/>
          <w:szCs w:val="24"/>
        </w:rPr>
        <w:t>, Fig. 1</w:t>
      </w:r>
      <w:r w:rsidRPr="00936411">
        <w:rPr>
          <w:rFonts w:cstheme="minorHAnsi"/>
          <w:i/>
          <w:iCs/>
          <w:sz w:val="24"/>
          <w:szCs w:val="24"/>
          <w:shd w:val="clear" w:color="auto" w:fill="FFFFFF"/>
        </w:rPr>
        <w:t xml:space="preserve">"Abraham's Counsel to Sarai" </w:t>
      </w:r>
      <w:r w:rsidRPr="00936411">
        <w:rPr>
          <w:rFonts w:cstheme="minorHAnsi"/>
          <w:sz w:val="24"/>
          <w:szCs w:val="24"/>
          <w:shd w:val="clear" w:color="auto" w:fill="FFFFFF"/>
        </w:rPr>
        <w:t>circa 1900,</w:t>
      </w:r>
      <w:r w:rsidRPr="00936411">
        <w:rPr>
          <w:rFonts w:cstheme="minorHAnsi"/>
          <w:i/>
          <w:iCs/>
          <w:sz w:val="24"/>
          <w:szCs w:val="24"/>
          <w:shd w:val="clear" w:color="auto" w:fill="FFFFFF"/>
        </w:rPr>
        <w:t xml:space="preserve"> </w:t>
      </w:r>
      <w:r w:rsidRPr="00936411">
        <w:rPr>
          <w:rFonts w:cstheme="minorHAnsi"/>
          <w:sz w:val="24"/>
          <w:szCs w:val="24"/>
          <w:shd w:val="clear" w:color="auto" w:fill="FFFFFF"/>
        </w:rPr>
        <w:t xml:space="preserve">the painter and devout </w:t>
      </w:r>
      <w:r>
        <w:rPr>
          <w:rFonts w:cstheme="minorHAnsi"/>
          <w:sz w:val="24"/>
          <w:szCs w:val="24"/>
          <w:shd w:val="clear" w:color="auto" w:fill="FFFFFF"/>
        </w:rPr>
        <w:t xml:space="preserve">Catholic </w:t>
      </w:r>
      <w:r w:rsidRPr="00936411">
        <w:rPr>
          <w:rFonts w:cstheme="minorHAnsi"/>
          <w:sz w:val="24"/>
          <w:szCs w:val="24"/>
          <w:shd w:val="clear" w:color="auto" w:fill="FFFFFF"/>
        </w:rPr>
        <w:t>James Tissot,</w:t>
      </w:r>
      <w:r w:rsidRPr="00936411">
        <w:rPr>
          <w:rFonts w:cstheme="minorHAnsi"/>
          <w:i/>
          <w:iCs/>
          <w:sz w:val="24"/>
          <w:szCs w:val="24"/>
          <w:shd w:val="clear" w:color="auto" w:fill="FFFFFF"/>
        </w:rPr>
        <w:t xml:space="preserve"> </w:t>
      </w:r>
      <w:r w:rsidRPr="00936411">
        <w:rPr>
          <w:rFonts w:cstheme="minorHAnsi"/>
          <w:sz w:val="24"/>
          <w:szCs w:val="24"/>
          <w:shd w:val="clear" w:color="auto" w:fill="FFFFFF"/>
        </w:rPr>
        <w:t xml:space="preserve">would not want to portray either of the participants negatively, but it is Sarah who captures the viewers’ attention, not Abraham. </w:t>
      </w:r>
      <w:r w:rsidRPr="00936411">
        <w:rPr>
          <w:rFonts w:cstheme="minorHAnsi"/>
          <w:sz w:val="24"/>
          <w:szCs w:val="24"/>
        </w:rPr>
        <w:t>Sarah can be seen listening intently to what is being asked of her</w:t>
      </w:r>
      <w:r>
        <w:rPr>
          <w:rFonts w:cstheme="minorHAnsi"/>
          <w:sz w:val="24"/>
          <w:szCs w:val="24"/>
        </w:rPr>
        <w:t>, with</w:t>
      </w:r>
      <w:r w:rsidRPr="00936411">
        <w:rPr>
          <w:rFonts w:cstheme="minorHAnsi"/>
          <w:sz w:val="24"/>
          <w:szCs w:val="24"/>
        </w:rPr>
        <w:t xml:space="preserve"> no indication of her refus</w:t>
      </w:r>
      <w:r>
        <w:rPr>
          <w:rFonts w:cstheme="minorHAnsi"/>
          <w:sz w:val="24"/>
          <w:szCs w:val="24"/>
        </w:rPr>
        <w:t xml:space="preserve">al. </w:t>
      </w:r>
      <w:r w:rsidRPr="00936411">
        <w:rPr>
          <w:rFonts w:cstheme="minorHAnsi"/>
          <w:sz w:val="24"/>
          <w:szCs w:val="24"/>
        </w:rPr>
        <w:t>She is portrayed as young and beautiful</w:t>
      </w:r>
      <w:r>
        <w:rPr>
          <w:rFonts w:cstheme="minorHAnsi"/>
          <w:sz w:val="24"/>
          <w:szCs w:val="24"/>
        </w:rPr>
        <w:t xml:space="preserve">, </w:t>
      </w:r>
      <w:r w:rsidRPr="00936411">
        <w:rPr>
          <w:rFonts w:cstheme="minorHAnsi"/>
          <w:sz w:val="24"/>
          <w:szCs w:val="24"/>
        </w:rPr>
        <w:t>in complete contrast an aged Abraham</w:t>
      </w:r>
      <w:r>
        <w:rPr>
          <w:rFonts w:cstheme="minorHAnsi"/>
          <w:sz w:val="24"/>
          <w:szCs w:val="24"/>
        </w:rPr>
        <w:t xml:space="preserve">. </w:t>
      </w:r>
      <w:r w:rsidRPr="00205456">
        <w:rPr>
          <w:rFonts w:cstheme="minorHAnsi"/>
          <w:sz w:val="24"/>
          <w:szCs w:val="24"/>
        </w:rPr>
        <w:t>Sarah is calm and it is her face, not Abraham’s that centres the painting</w:t>
      </w:r>
      <w:r>
        <w:rPr>
          <w:rFonts w:cstheme="minorHAnsi"/>
          <w:sz w:val="24"/>
          <w:szCs w:val="24"/>
        </w:rPr>
        <w:t xml:space="preserve"> as</w:t>
      </w:r>
      <w:r w:rsidRPr="00205456">
        <w:rPr>
          <w:rFonts w:cstheme="minorHAnsi"/>
          <w:sz w:val="24"/>
          <w:szCs w:val="24"/>
        </w:rPr>
        <w:t xml:space="preserve"> the focal point, as she is in Gen 12:10-20. She is also the one who does not fail God in any way. </w:t>
      </w:r>
    </w:p>
    <w:p w14:paraId="71AB04BD" w14:textId="77777777" w:rsidR="007E71DA" w:rsidRPr="00E84BBD" w:rsidRDefault="007E71DA" w:rsidP="007E71DA">
      <w:pPr>
        <w:spacing w:line="360" w:lineRule="auto"/>
        <w:rPr>
          <w:rFonts w:cstheme="minorHAnsi"/>
          <w:sz w:val="24"/>
          <w:szCs w:val="24"/>
        </w:rPr>
      </w:pPr>
      <w:r w:rsidRPr="00936411">
        <w:rPr>
          <w:rFonts w:cstheme="minorHAnsi"/>
          <w:sz w:val="24"/>
          <w:szCs w:val="24"/>
        </w:rPr>
        <w:t>She is portrayed as young and beautiful</w:t>
      </w:r>
      <w:r>
        <w:rPr>
          <w:rFonts w:cstheme="minorHAnsi"/>
          <w:sz w:val="24"/>
          <w:szCs w:val="24"/>
        </w:rPr>
        <w:t xml:space="preserve">, </w:t>
      </w:r>
      <w:r w:rsidRPr="00936411">
        <w:rPr>
          <w:rFonts w:cstheme="minorHAnsi"/>
          <w:sz w:val="24"/>
          <w:szCs w:val="24"/>
        </w:rPr>
        <w:t>in complete contrast an aged Abraham</w:t>
      </w:r>
      <w:r>
        <w:rPr>
          <w:rFonts w:cstheme="minorHAnsi"/>
          <w:sz w:val="24"/>
          <w:szCs w:val="24"/>
        </w:rPr>
        <w:t xml:space="preserve">. </w:t>
      </w:r>
      <w:r w:rsidRPr="00205456">
        <w:rPr>
          <w:rFonts w:cstheme="minorHAnsi"/>
          <w:sz w:val="24"/>
          <w:szCs w:val="24"/>
        </w:rPr>
        <w:t>Sarah is calm and it is her face, not Abraham’s that centres the painting</w:t>
      </w:r>
      <w:r>
        <w:rPr>
          <w:rFonts w:cstheme="minorHAnsi"/>
          <w:sz w:val="24"/>
          <w:szCs w:val="24"/>
        </w:rPr>
        <w:t xml:space="preserve"> as</w:t>
      </w:r>
      <w:r w:rsidRPr="00205456">
        <w:rPr>
          <w:rFonts w:cstheme="minorHAnsi"/>
          <w:sz w:val="24"/>
          <w:szCs w:val="24"/>
        </w:rPr>
        <w:t xml:space="preserve"> the focal point, as she is in Gen 12:10-20. She is also the one who does not fail God in any way. </w:t>
      </w:r>
    </w:p>
    <w:p w14:paraId="3861968A" w14:textId="00DBDFCC" w:rsidR="007E71DA" w:rsidRDefault="00EC01A2" w:rsidP="007E71DA">
      <w:pPr>
        <w:spacing w:line="360" w:lineRule="auto"/>
        <w:rPr>
          <w:rFonts w:cstheme="minorHAnsi"/>
          <w:color w:val="000000"/>
        </w:rPr>
      </w:pPr>
      <w:r>
        <w:rPr>
          <w:rFonts w:cstheme="minorHAnsi"/>
          <w:color w:val="000000"/>
        </w:rPr>
        <w:t>Fig. 1</w:t>
      </w:r>
      <w:r>
        <w:rPr>
          <w:rStyle w:val="FootnoteReference"/>
          <w:rFonts w:cstheme="minorHAnsi"/>
          <w:color w:val="000000"/>
        </w:rPr>
        <w:footnoteReference w:id="64"/>
      </w:r>
    </w:p>
    <w:p w14:paraId="28058820" w14:textId="36D08FFB" w:rsidR="007E71DA" w:rsidRDefault="007E71DA" w:rsidP="007E71DA">
      <w:pPr>
        <w:spacing w:line="360" w:lineRule="auto"/>
        <w:rPr>
          <w:rFonts w:cstheme="minorHAnsi"/>
          <w:color w:val="000000"/>
          <w:sz w:val="24"/>
          <w:szCs w:val="24"/>
        </w:rPr>
      </w:pPr>
      <w:r>
        <w:rPr>
          <w:rFonts w:cstheme="minorHAnsi"/>
          <w:noProof/>
          <w:color w:val="000000"/>
          <w:sz w:val="24"/>
          <w:szCs w:val="24"/>
        </w:rPr>
        <w:drawing>
          <wp:inline distT="0" distB="0" distL="0" distR="0" wp14:anchorId="74474302" wp14:editId="15618875">
            <wp:extent cx="5658522" cy="3163373"/>
            <wp:effectExtent l="0" t="0" r="0" b="0"/>
            <wp:docPr id="942466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6497" cy="3167832"/>
                    </a:xfrm>
                    <a:prstGeom prst="rect">
                      <a:avLst/>
                    </a:prstGeom>
                    <a:noFill/>
                  </pic:spPr>
                </pic:pic>
              </a:graphicData>
            </a:graphic>
          </wp:inline>
        </w:drawing>
      </w:r>
    </w:p>
    <w:p w14:paraId="460890CA" w14:textId="77777777" w:rsidR="00EC01A2" w:rsidRDefault="00EC01A2" w:rsidP="00EC01A2">
      <w:pPr>
        <w:spacing w:line="360" w:lineRule="auto"/>
        <w:rPr>
          <w:color w:val="000000" w:themeColor="text1"/>
          <w:sz w:val="24"/>
          <w:szCs w:val="24"/>
        </w:rPr>
      </w:pPr>
    </w:p>
    <w:p w14:paraId="7E3BBE4A" w14:textId="3D03E92B" w:rsidR="00EC01A2" w:rsidRDefault="00EC01A2" w:rsidP="00EC01A2">
      <w:pPr>
        <w:spacing w:line="360" w:lineRule="auto"/>
        <w:rPr>
          <w:color w:val="000000" w:themeColor="text1"/>
          <w:sz w:val="24"/>
          <w:szCs w:val="24"/>
        </w:rPr>
      </w:pPr>
      <w:r w:rsidRPr="00062817">
        <w:rPr>
          <w:color w:val="000000" w:themeColor="text1"/>
          <w:sz w:val="24"/>
          <w:szCs w:val="24"/>
        </w:rPr>
        <w:t xml:space="preserve">In conclusion, it would </w:t>
      </w:r>
      <w:r>
        <w:rPr>
          <w:color w:val="000000" w:themeColor="text1"/>
          <w:sz w:val="24"/>
          <w:szCs w:val="24"/>
        </w:rPr>
        <w:t>seem</w:t>
      </w:r>
      <w:r w:rsidRPr="00062817">
        <w:rPr>
          <w:color w:val="000000" w:themeColor="text1"/>
          <w:sz w:val="24"/>
          <w:szCs w:val="24"/>
        </w:rPr>
        <w:t xml:space="preserve"> that our </w:t>
      </w:r>
      <w:r>
        <w:rPr>
          <w:color w:val="000000" w:themeColor="text1"/>
          <w:sz w:val="24"/>
          <w:szCs w:val="24"/>
        </w:rPr>
        <w:t xml:space="preserve">apparent </w:t>
      </w:r>
      <w:r w:rsidRPr="00062817">
        <w:rPr>
          <w:color w:val="000000" w:themeColor="text1"/>
          <w:sz w:val="24"/>
          <w:szCs w:val="24"/>
        </w:rPr>
        <w:t xml:space="preserve">oldest version of the events in Egypt which posed no </w:t>
      </w:r>
      <w:r>
        <w:rPr>
          <w:color w:val="000000" w:themeColor="text1"/>
          <w:sz w:val="24"/>
          <w:szCs w:val="24"/>
        </w:rPr>
        <w:t xml:space="preserve">initial </w:t>
      </w:r>
      <w:r w:rsidRPr="00062817">
        <w:rPr>
          <w:color w:val="000000" w:themeColor="text1"/>
          <w:sz w:val="24"/>
          <w:szCs w:val="24"/>
        </w:rPr>
        <w:t>problem</w:t>
      </w:r>
      <w:r>
        <w:rPr>
          <w:color w:val="000000" w:themeColor="text1"/>
          <w:sz w:val="24"/>
          <w:szCs w:val="24"/>
        </w:rPr>
        <w:t>, has caused much discussion, as its reception altered through later Judaic traditions, the Jewish writings of philosophers and historians, and in its absence from the New Testament and the Qur’an due to its inappropriateness for the offspring religions.</w:t>
      </w:r>
      <w:r>
        <w:rPr>
          <w:color w:val="000000" w:themeColor="text1"/>
          <w:sz w:val="24"/>
          <w:szCs w:val="24"/>
        </w:rPr>
        <w:t xml:space="preserve"> </w:t>
      </w:r>
      <w:r>
        <w:rPr>
          <w:color w:val="000000" w:themeColor="text1"/>
          <w:sz w:val="24"/>
          <w:szCs w:val="24"/>
        </w:rPr>
        <w:t xml:space="preserve">It is addressed in the later guidance provided by Midrash and Hadith, generally absolving Abraham of al blame, as it is </w:t>
      </w:r>
      <w:r>
        <w:rPr>
          <w:color w:val="000000" w:themeColor="text1"/>
          <w:sz w:val="24"/>
          <w:szCs w:val="24"/>
        </w:rPr>
        <w:t xml:space="preserve">in </w:t>
      </w:r>
      <w:r>
        <w:rPr>
          <w:color w:val="000000" w:themeColor="text1"/>
          <w:sz w:val="24"/>
          <w:szCs w:val="24"/>
        </w:rPr>
        <w:t xml:space="preserve">the new religions of the nineteenth century. Throughout, writers and scholars </w:t>
      </w:r>
      <w:r>
        <w:rPr>
          <w:color w:val="000000" w:themeColor="text1"/>
          <w:sz w:val="24"/>
          <w:szCs w:val="24"/>
        </w:rPr>
        <w:t xml:space="preserve">have </w:t>
      </w:r>
      <w:r>
        <w:rPr>
          <w:color w:val="000000" w:themeColor="text1"/>
          <w:sz w:val="24"/>
          <w:szCs w:val="24"/>
        </w:rPr>
        <w:t>look</w:t>
      </w:r>
      <w:r>
        <w:rPr>
          <w:color w:val="000000" w:themeColor="text1"/>
          <w:sz w:val="24"/>
          <w:szCs w:val="24"/>
        </w:rPr>
        <w:t>ed</w:t>
      </w:r>
      <w:r>
        <w:rPr>
          <w:color w:val="000000" w:themeColor="text1"/>
          <w:sz w:val="24"/>
          <w:szCs w:val="24"/>
        </w:rPr>
        <w:t xml:space="preserve"> for ways to improve Abraham’s reception, through promoting the worthiness and beauty of Sarah. The reception history of Abraham the patriarch in this passage, has become the reception history of Abraham and Sarah, the blessed couple. </w:t>
      </w:r>
      <w:r>
        <w:rPr>
          <w:color w:val="000000" w:themeColor="text1"/>
          <w:sz w:val="24"/>
          <w:szCs w:val="24"/>
        </w:rPr>
        <w:t xml:space="preserve">                                                                                              </w:t>
      </w:r>
      <w:r>
        <w:rPr>
          <w:color w:val="000000" w:themeColor="text1"/>
          <w:sz w:val="24"/>
          <w:szCs w:val="24"/>
        </w:rPr>
        <w:t>3, 29</w:t>
      </w:r>
      <w:r>
        <w:rPr>
          <w:color w:val="000000" w:themeColor="text1"/>
          <w:sz w:val="24"/>
          <w:szCs w:val="24"/>
        </w:rPr>
        <w:t>8</w:t>
      </w:r>
      <w:r>
        <w:rPr>
          <w:color w:val="000000" w:themeColor="text1"/>
          <w:sz w:val="24"/>
          <w:szCs w:val="24"/>
        </w:rPr>
        <w:t xml:space="preserve"> Words</w:t>
      </w:r>
    </w:p>
    <w:p w14:paraId="6306CFAE" w14:textId="090C7967" w:rsidR="00073942" w:rsidRPr="007F3CEF" w:rsidRDefault="00073942" w:rsidP="00073942">
      <w:pPr>
        <w:spacing w:line="360" w:lineRule="auto"/>
        <w:jc w:val="center"/>
        <w:rPr>
          <w:rFonts w:cstheme="minorHAnsi"/>
          <w:b/>
          <w:bCs/>
          <w:sz w:val="32"/>
          <w:szCs w:val="32"/>
        </w:rPr>
      </w:pPr>
      <w:r w:rsidRPr="007F3CEF">
        <w:rPr>
          <w:rFonts w:cstheme="minorHAnsi"/>
          <w:b/>
          <w:bCs/>
          <w:sz w:val="32"/>
          <w:szCs w:val="32"/>
        </w:rPr>
        <w:t>Bibliography</w:t>
      </w:r>
    </w:p>
    <w:p w14:paraId="175A23CD" w14:textId="77777777" w:rsidR="00073942" w:rsidRPr="007F3CEF" w:rsidRDefault="00073942" w:rsidP="00073942">
      <w:pPr>
        <w:spacing w:line="360" w:lineRule="auto"/>
        <w:rPr>
          <w:sz w:val="24"/>
          <w:szCs w:val="24"/>
        </w:rPr>
      </w:pPr>
      <w:bookmarkStart w:id="7" w:name="_Hlk141387003"/>
      <w:r>
        <w:rPr>
          <w:rFonts w:cstheme="minorHAnsi"/>
          <w:sz w:val="24"/>
          <w:szCs w:val="24"/>
        </w:rPr>
        <w:t xml:space="preserve">Adams, Joseph., trans. </w:t>
      </w:r>
      <w:r w:rsidRPr="007F3CEF">
        <w:rPr>
          <w:rFonts w:cstheme="minorHAnsi"/>
          <w:i/>
          <w:iCs/>
          <w:sz w:val="24"/>
          <w:szCs w:val="24"/>
        </w:rPr>
        <w:t>‘</w:t>
      </w:r>
      <w:r w:rsidRPr="007F3CEF">
        <w:rPr>
          <w:i/>
          <w:iCs/>
          <w:sz w:val="24"/>
          <w:szCs w:val="24"/>
        </w:rPr>
        <w:t>Pearl of Great Price’,</w:t>
      </w:r>
      <w:r w:rsidRPr="00476130">
        <w:rPr>
          <w:sz w:val="24"/>
          <w:szCs w:val="24"/>
        </w:rPr>
        <w:t xml:space="preserve"> </w:t>
      </w:r>
      <w:hyperlink r:id="rId10" w:history="1">
        <w:r w:rsidRPr="007F3CEF">
          <w:rPr>
            <w:rFonts w:cstheme="minorHAnsi"/>
            <w:sz w:val="24"/>
            <w:szCs w:val="24"/>
          </w:rPr>
          <w:t>Choice Selection from the Revelations</w:t>
        </w:r>
        <w:r>
          <w:rPr>
            <w:rFonts w:cstheme="minorHAnsi"/>
            <w:sz w:val="24"/>
            <w:szCs w:val="24"/>
          </w:rPr>
          <w:t>’</w:t>
        </w:r>
        <w:r w:rsidRPr="007F3CEF">
          <w:rPr>
            <w:rFonts w:cstheme="minorHAnsi"/>
            <w:sz w:val="24"/>
            <w:szCs w:val="24"/>
          </w:rPr>
          <w:t xml:space="preserve">, Translations, and Narrations of Joseph Smith, First Prophet, Seer, and </w:t>
        </w:r>
        <w:proofErr w:type="spellStart"/>
        <w:r w:rsidRPr="007F3CEF">
          <w:rPr>
            <w:rFonts w:cstheme="minorHAnsi"/>
            <w:sz w:val="24"/>
            <w:szCs w:val="24"/>
          </w:rPr>
          <w:t>Revelator</w:t>
        </w:r>
        <w:proofErr w:type="spellEnd"/>
        <w:r w:rsidRPr="007F3CEF">
          <w:rPr>
            <w:rFonts w:cstheme="minorHAnsi"/>
            <w:sz w:val="24"/>
            <w:szCs w:val="24"/>
          </w:rPr>
          <w:t xml:space="preserve"> to the Church of Jesus Christ of Latter-day Saints</w:t>
        </w:r>
      </w:hyperlink>
      <w:r>
        <w:rPr>
          <w:rFonts w:cstheme="minorHAnsi"/>
          <w:sz w:val="24"/>
          <w:szCs w:val="24"/>
        </w:rPr>
        <w:t>, Salt Lake City, LDS Church (1878)</w:t>
      </w:r>
    </w:p>
    <w:bookmarkEnd w:id="7"/>
    <w:p w14:paraId="781C1DED" w14:textId="77777777" w:rsidR="00073942" w:rsidRDefault="00073942" w:rsidP="00073942">
      <w:pPr>
        <w:spacing w:line="360" w:lineRule="auto"/>
        <w:rPr>
          <w:sz w:val="24"/>
          <w:szCs w:val="24"/>
        </w:rPr>
      </w:pPr>
      <w:r w:rsidRPr="00476130">
        <w:rPr>
          <w:rFonts w:cstheme="minorHAnsi"/>
          <w:sz w:val="24"/>
          <w:szCs w:val="24"/>
        </w:rPr>
        <w:t>Adams</w:t>
      </w:r>
      <w:r>
        <w:rPr>
          <w:rFonts w:cstheme="minorHAnsi"/>
          <w:sz w:val="24"/>
          <w:szCs w:val="24"/>
        </w:rPr>
        <w:t>, Sean A.</w:t>
      </w:r>
      <w:r w:rsidRPr="00476130">
        <w:rPr>
          <w:rFonts w:cstheme="minorHAnsi"/>
          <w:sz w:val="24"/>
          <w:szCs w:val="24"/>
        </w:rPr>
        <w:t xml:space="preserve"> &amp; Domoney-Lyttle</w:t>
      </w:r>
      <w:r>
        <w:rPr>
          <w:rFonts w:cstheme="minorHAnsi"/>
          <w:sz w:val="24"/>
          <w:szCs w:val="24"/>
        </w:rPr>
        <w:t>, Zanne</w:t>
      </w:r>
      <w:r w:rsidRPr="00476130">
        <w:rPr>
          <w:rFonts w:cstheme="minorHAnsi"/>
          <w:sz w:val="24"/>
          <w:szCs w:val="24"/>
        </w:rPr>
        <w:t>.,</w:t>
      </w:r>
      <w:r w:rsidRPr="007F3CEF">
        <w:rPr>
          <w:rFonts w:cstheme="minorHAnsi"/>
          <w:i/>
          <w:iCs/>
          <w:sz w:val="24"/>
          <w:szCs w:val="24"/>
        </w:rPr>
        <w:t xml:space="preserve"> ‘Abraham in Early Christian and Jewish Literature’, </w:t>
      </w:r>
      <w:r w:rsidRPr="00476130">
        <w:rPr>
          <w:sz w:val="24"/>
          <w:szCs w:val="24"/>
        </w:rPr>
        <w:t xml:space="preserve">T&amp;T Cark, Bloomsbury Publishing, London (2019) </w:t>
      </w:r>
    </w:p>
    <w:p w14:paraId="69B4FE9D" w14:textId="77777777" w:rsidR="00073942" w:rsidRPr="00476130" w:rsidRDefault="00073942" w:rsidP="00073942">
      <w:pPr>
        <w:spacing w:line="360" w:lineRule="auto"/>
        <w:rPr>
          <w:rFonts w:cstheme="minorHAnsi"/>
          <w:sz w:val="24"/>
          <w:szCs w:val="24"/>
        </w:rPr>
      </w:pPr>
      <w:r w:rsidRPr="00476130">
        <w:rPr>
          <w:rFonts w:cstheme="minorHAnsi"/>
          <w:sz w:val="24"/>
          <w:szCs w:val="24"/>
        </w:rPr>
        <w:t>Alter</w:t>
      </w:r>
      <w:r>
        <w:rPr>
          <w:rFonts w:cstheme="minorHAnsi"/>
          <w:sz w:val="24"/>
          <w:szCs w:val="24"/>
        </w:rPr>
        <w:t>, Robert.</w:t>
      </w:r>
      <w:r w:rsidRPr="00476130">
        <w:rPr>
          <w:rFonts w:cstheme="minorHAnsi"/>
          <w:sz w:val="24"/>
          <w:szCs w:val="24"/>
        </w:rPr>
        <w:t xml:space="preserve">, ‘The Art of Biblical Narrative’, </w:t>
      </w:r>
      <w:r w:rsidRPr="00476130">
        <w:rPr>
          <w:rStyle w:val="a-text-bold"/>
          <w:rFonts w:cstheme="minorHAnsi"/>
          <w:b/>
          <w:bCs/>
          <w:color w:val="0F1111"/>
          <w:sz w:val="24"/>
          <w:szCs w:val="24"/>
          <w:shd w:val="clear" w:color="auto" w:fill="FFFFFF"/>
        </w:rPr>
        <w:t>‎ </w:t>
      </w:r>
      <w:r w:rsidRPr="00476130">
        <w:rPr>
          <w:rFonts w:cstheme="minorHAnsi"/>
          <w:color w:val="0F1111"/>
          <w:sz w:val="24"/>
          <w:szCs w:val="24"/>
          <w:shd w:val="clear" w:color="auto" w:fill="FFFFFF"/>
        </w:rPr>
        <w:t xml:space="preserve">Basic Books; 2nd edition (26 April 2011) </w:t>
      </w:r>
    </w:p>
    <w:p w14:paraId="5F98AE11" w14:textId="77777777" w:rsidR="00073942" w:rsidRDefault="00073942" w:rsidP="00073942">
      <w:pPr>
        <w:spacing w:line="360" w:lineRule="auto"/>
        <w:rPr>
          <w:sz w:val="24"/>
          <w:szCs w:val="24"/>
        </w:rPr>
      </w:pPr>
      <w:r w:rsidRPr="00476130">
        <w:rPr>
          <w:sz w:val="24"/>
          <w:szCs w:val="24"/>
        </w:rPr>
        <w:t>Bukhari, ‘</w:t>
      </w:r>
      <w:r w:rsidRPr="00476130">
        <w:rPr>
          <w:rStyle w:val="Emphasis"/>
          <w:sz w:val="24"/>
          <w:szCs w:val="24"/>
          <w:bdr w:val="none" w:sz="0" w:space="0" w:color="auto" w:frame="1"/>
        </w:rPr>
        <w:t>The Hadith of Bukhari’</w:t>
      </w:r>
      <w:r w:rsidRPr="00476130">
        <w:rPr>
          <w:sz w:val="24"/>
          <w:szCs w:val="24"/>
        </w:rPr>
        <w:t>, vol. 3: book 34: Hadith 164</w:t>
      </w:r>
    </w:p>
    <w:p w14:paraId="7F5AA4A1" w14:textId="77777777" w:rsidR="00073942" w:rsidRPr="00346E4F" w:rsidRDefault="00073942" w:rsidP="00073942">
      <w:pPr>
        <w:spacing w:after="0" w:line="360" w:lineRule="auto"/>
        <w:rPr>
          <w:rFonts w:eastAsia="Times New Roman" w:cstheme="minorHAnsi"/>
          <w:kern w:val="0"/>
          <w:sz w:val="24"/>
          <w:szCs w:val="24"/>
          <w:lang w:eastAsia="en-GB"/>
          <w14:ligatures w14:val="none"/>
        </w:rPr>
      </w:pPr>
      <w:r>
        <w:rPr>
          <w:sz w:val="24"/>
          <w:szCs w:val="24"/>
        </w:rPr>
        <w:t xml:space="preserve">Chabad. </w:t>
      </w:r>
      <w:hyperlink r:id="rId11" w:history="1">
        <w:r w:rsidRPr="007373DD">
          <w:rPr>
            <w:rStyle w:val="Hyperlink"/>
            <w:rFonts w:eastAsia="Times New Roman" w:cstheme="minorHAnsi"/>
            <w:kern w:val="0"/>
            <w:sz w:val="24"/>
            <w:szCs w:val="24"/>
            <w:lang w:eastAsia="en-GB"/>
            <w14:ligatures w14:val="none"/>
          </w:rPr>
          <w:t>https://www.chabad.org/library/article_cdo/aid/1324268/jewish/What-Were-Abrahams-10-Tests.htm</w:t>
        </w:r>
      </w:hyperlink>
    </w:p>
    <w:p w14:paraId="536AA840" w14:textId="77777777" w:rsidR="00073942" w:rsidRDefault="00073942" w:rsidP="00073942">
      <w:pPr>
        <w:spacing w:line="360" w:lineRule="auto"/>
        <w:rPr>
          <w:sz w:val="24"/>
          <w:szCs w:val="24"/>
        </w:rPr>
      </w:pPr>
      <w:r w:rsidRPr="00476130">
        <w:rPr>
          <w:sz w:val="24"/>
          <w:szCs w:val="24"/>
        </w:rPr>
        <w:t>Ego,</w:t>
      </w:r>
      <w:r>
        <w:rPr>
          <w:sz w:val="24"/>
          <w:szCs w:val="24"/>
        </w:rPr>
        <w:t xml:space="preserve"> Beate.,</w:t>
      </w:r>
      <w:r w:rsidRPr="007F3CEF">
        <w:rPr>
          <w:i/>
          <w:iCs/>
          <w:sz w:val="24"/>
          <w:szCs w:val="24"/>
        </w:rPr>
        <w:t xml:space="preserve"> “The Figure of Abraham in the Genesis Apocryphon's Re-narration of Gen 12:10-20”</w:t>
      </w:r>
      <w:r w:rsidRPr="00476130">
        <w:rPr>
          <w:sz w:val="24"/>
          <w:szCs w:val="24"/>
        </w:rPr>
        <w:t xml:space="preserve"> in Qumran Cave 1 Revisited, (Leiden: </w:t>
      </w:r>
      <w:proofErr w:type="spellStart"/>
      <w:r w:rsidRPr="00476130">
        <w:rPr>
          <w:sz w:val="24"/>
          <w:szCs w:val="24"/>
        </w:rPr>
        <w:t>Koninklijke</w:t>
      </w:r>
      <w:proofErr w:type="spellEnd"/>
      <w:r w:rsidRPr="00476130">
        <w:rPr>
          <w:sz w:val="24"/>
          <w:szCs w:val="24"/>
        </w:rPr>
        <w:t xml:space="preserve"> Brill NV, 2010)</w:t>
      </w:r>
    </w:p>
    <w:p w14:paraId="3DC59184" w14:textId="77777777" w:rsidR="00073942" w:rsidRPr="00346E4F" w:rsidRDefault="00073942" w:rsidP="00073942">
      <w:pPr>
        <w:spacing w:line="360" w:lineRule="auto"/>
        <w:rPr>
          <w:sz w:val="24"/>
          <w:szCs w:val="24"/>
        </w:rPr>
      </w:pPr>
      <w:r w:rsidRPr="00476130">
        <w:rPr>
          <w:sz w:val="24"/>
          <w:szCs w:val="24"/>
        </w:rPr>
        <w:t>Eichler,</w:t>
      </w:r>
      <w:r>
        <w:rPr>
          <w:sz w:val="24"/>
          <w:szCs w:val="24"/>
        </w:rPr>
        <w:t xml:space="preserve"> Barry. L.,</w:t>
      </w:r>
      <w:r w:rsidRPr="00476130">
        <w:rPr>
          <w:sz w:val="24"/>
          <w:szCs w:val="24"/>
        </w:rPr>
        <w:t xml:space="preserve"> </w:t>
      </w:r>
      <w:r w:rsidRPr="007F3CEF">
        <w:rPr>
          <w:i/>
          <w:iCs/>
          <w:sz w:val="24"/>
          <w:szCs w:val="24"/>
        </w:rPr>
        <w:t>“On Reading Genesis 12:10–20,”</w:t>
      </w:r>
      <w:r w:rsidRPr="00476130">
        <w:rPr>
          <w:sz w:val="24"/>
          <w:szCs w:val="24"/>
        </w:rPr>
        <w:t xml:space="preserve"> in Tehillah le-Moshe, ed. Mordechai Cogan et al. (Winona Lake, Ind.: </w:t>
      </w:r>
      <w:proofErr w:type="spellStart"/>
      <w:r w:rsidRPr="00476130">
        <w:rPr>
          <w:sz w:val="24"/>
          <w:szCs w:val="24"/>
        </w:rPr>
        <w:t>Eisenbrauns</w:t>
      </w:r>
      <w:proofErr w:type="spellEnd"/>
      <w:r w:rsidRPr="00476130">
        <w:rPr>
          <w:sz w:val="24"/>
          <w:szCs w:val="24"/>
        </w:rPr>
        <w:t>, 1997), 33, 37–38.</w:t>
      </w:r>
    </w:p>
    <w:p w14:paraId="5F6C4EDE" w14:textId="77777777" w:rsidR="00073942" w:rsidRDefault="00073942" w:rsidP="00073942">
      <w:pPr>
        <w:spacing w:line="360" w:lineRule="auto"/>
        <w:rPr>
          <w:sz w:val="24"/>
          <w:szCs w:val="24"/>
        </w:rPr>
      </w:pPr>
      <w:proofErr w:type="spellStart"/>
      <w:r w:rsidRPr="00476130">
        <w:rPr>
          <w:sz w:val="24"/>
          <w:szCs w:val="24"/>
        </w:rPr>
        <w:t>Eisenbaum</w:t>
      </w:r>
      <w:proofErr w:type="spellEnd"/>
      <w:r>
        <w:rPr>
          <w:sz w:val="24"/>
          <w:szCs w:val="24"/>
        </w:rPr>
        <w:t>, Pamela</w:t>
      </w:r>
      <w:r w:rsidRPr="00476130">
        <w:rPr>
          <w:sz w:val="24"/>
          <w:szCs w:val="24"/>
        </w:rPr>
        <w:t xml:space="preserve">., </w:t>
      </w:r>
      <w:r w:rsidRPr="00476130">
        <w:rPr>
          <w:i/>
          <w:iCs/>
          <w:sz w:val="24"/>
          <w:szCs w:val="24"/>
        </w:rPr>
        <w:t>‘’Paul as the New Abraham.”</w:t>
      </w:r>
      <w:r w:rsidRPr="00476130">
        <w:rPr>
          <w:sz w:val="24"/>
          <w:szCs w:val="24"/>
        </w:rPr>
        <w:t xml:space="preserve"> In ‘Paul and Politics: </w:t>
      </w:r>
      <w:proofErr w:type="spellStart"/>
      <w:r w:rsidRPr="00476130">
        <w:rPr>
          <w:sz w:val="24"/>
          <w:szCs w:val="24"/>
        </w:rPr>
        <w:t>Ekklesia</w:t>
      </w:r>
      <w:proofErr w:type="spellEnd"/>
      <w:r w:rsidRPr="00476130">
        <w:rPr>
          <w:sz w:val="24"/>
          <w:szCs w:val="24"/>
        </w:rPr>
        <w:t>, Israel, Imperium, Interpretation’, edited by R. A. Horsley. Harrisburg, PA: Trinity Press International, 2000</w:t>
      </w:r>
    </w:p>
    <w:p w14:paraId="591A734A" w14:textId="77777777" w:rsidR="00073942" w:rsidRPr="00C35431" w:rsidRDefault="00073942" w:rsidP="00073942">
      <w:pPr>
        <w:spacing w:line="360" w:lineRule="auto"/>
        <w:rPr>
          <w:rFonts w:cstheme="minorHAnsi"/>
          <w:sz w:val="24"/>
          <w:szCs w:val="24"/>
        </w:rPr>
      </w:pPr>
      <w:r w:rsidRPr="00476130">
        <w:rPr>
          <w:rFonts w:cstheme="minorHAnsi"/>
          <w:sz w:val="24"/>
          <w:szCs w:val="24"/>
        </w:rPr>
        <w:t>Eslinger</w:t>
      </w:r>
      <w:r>
        <w:rPr>
          <w:rFonts w:cstheme="minorHAnsi"/>
          <w:sz w:val="24"/>
          <w:szCs w:val="24"/>
        </w:rPr>
        <w:t>, Lyle</w:t>
      </w:r>
      <w:r w:rsidRPr="00476130">
        <w:rPr>
          <w:rFonts w:cstheme="minorHAnsi"/>
          <w:i/>
          <w:iCs/>
          <w:sz w:val="24"/>
          <w:szCs w:val="24"/>
        </w:rPr>
        <w:t>., ‘Prehistory in the Call to Abraham’</w:t>
      </w:r>
      <w:r w:rsidRPr="00476130">
        <w:rPr>
          <w:rFonts w:cstheme="minorHAnsi"/>
          <w:sz w:val="24"/>
          <w:szCs w:val="24"/>
        </w:rPr>
        <w:t xml:space="preserve">, University of Calgary, </w:t>
      </w:r>
      <w:proofErr w:type="spellStart"/>
      <w:r w:rsidRPr="00476130">
        <w:rPr>
          <w:rFonts w:cstheme="minorHAnsi"/>
          <w:sz w:val="24"/>
          <w:szCs w:val="24"/>
        </w:rPr>
        <w:t>Koninklijke</w:t>
      </w:r>
      <w:proofErr w:type="spellEnd"/>
      <w:r w:rsidRPr="00476130">
        <w:rPr>
          <w:rFonts w:cstheme="minorHAnsi"/>
          <w:sz w:val="24"/>
          <w:szCs w:val="24"/>
        </w:rPr>
        <w:t>, Brill NV, Leiden, 2006</w:t>
      </w:r>
    </w:p>
    <w:p w14:paraId="66C5B326" w14:textId="77777777" w:rsidR="00073942" w:rsidRPr="00C35431" w:rsidRDefault="00073942" w:rsidP="00073942">
      <w:pPr>
        <w:spacing w:line="360" w:lineRule="auto"/>
        <w:rPr>
          <w:rFonts w:cstheme="minorHAnsi"/>
          <w:sz w:val="24"/>
          <w:szCs w:val="24"/>
        </w:rPr>
      </w:pPr>
      <w:r w:rsidRPr="00476130">
        <w:rPr>
          <w:rFonts w:cstheme="minorHAnsi"/>
          <w:sz w:val="24"/>
          <w:szCs w:val="24"/>
        </w:rPr>
        <w:t xml:space="preserve">Flavius Josephus., </w:t>
      </w:r>
      <w:r w:rsidRPr="00476130">
        <w:rPr>
          <w:rFonts w:cstheme="minorHAnsi"/>
          <w:i/>
          <w:iCs/>
          <w:sz w:val="24"/>
          <w:szCs w:val="24"/>
        </w:rPr>
        <w:t xml:space="preserve">Antiquities of the Jews’, </w:t>
      </w:r>
      <w:r w:rsidRPr="00476130">
        <w:rPr>
          <w:rFonts w:cstheme="minorHAnsi"/>
          <w:sz w:val="24"/>
          <w:szCs w:val="24"/>
        </w:rPr>
        <w:t>‘</w:t>
      </w:r>
      <w:r w:rsidRPr="00476130">
        <w:rPr>
          <w:rStyle w:val="HTMLCite"/>
          <w:rFonts w:cstheme="minorHAnsi"/>
          <w:sz w:val="24"/>
          <w:szCs w:val="24"/>
          <w:shd w:val="clear" w:color="auto" w:fill="FFFFFF"/>
        </w:rPr>
        <w:t>The Genuine Works of Flavius Josephus, the Jewish Historian’</w:t>
      </w:r>
      <w:r w:rsidRPr="00476130">
        <w:rPr>
          <w:rFonts w:cstheme="minorHAnsi"/>
          <w:sz w:val="24"/>
          <w:szCs w:val="24"/>
          <w:shd w:val="clear" w:color="auto" w:fill="FFFFFF"/>
        </w:rPr>
        <w:t> (trans. William Whiston, 1737) 1.164-165</w:t>
      </w:r>
    </w:p>
    <w:p w14:paraId="4976ADC4" w14:textId="77777777" w:rsidR="00073942" w:rsidRDefault="00073942" w:rsidP="00073942">
      <w:pPr>
        <w:spacing w:line="360" w:lineRule="auto"/>
        <w:rPr>
          <w:rFonts w:cstheme="minorHAnsi"/>
          <w:color w:val="000000" w:themeColor="text1"/>
          <w:sz w:val="24"/>
          <w:szCs w:val="24"/>
          <w:shd w:val="clear" w:color="auto" w:fill="FFFFFF"/>
        </w:rPr>
      </w:pPr>
      <w:proofErr w:type="spellStart"/>
      <w:r w:rsidRPr="00476130">
        <w:rPr>
          <w:rFonts w:cstheme="minorHAnsi"/>
          <w:color w:val="000000" w:themeColor="text1"/>
          <w:sz w:val="24"/>
          <w:szCs w:val="24"/>
          <w:shd w:val="clear" w:color="auto" w:fill="FFFFFF"/>
        </w:rPr>
        <w:t>Fitzmyer</w:t>
      </w:r>
      <w:proofErr w:type="spellEnd"/>
      <w:r w:rsidRPr="00476130">
        <w:rPr>
          <w:rFonts w:cstheme="minorHAnsi"/>
          <w:color w:val="000000" w:themeColor="text1"/>
          <w:sz w:val="24"/>
          <w:szCs w:val="24"/>
          <w:shd w:val="clear" w:color="auto" w:fill="FFFFFF"/>
        </w:rPr>
        <w:t>,</w:t>
      </w:r>
      <w:r>
        <w:rPr>
          <w:rFonts w:cstheme="minorHAnsi"/>
          <w:color w:val="000000" w:themeColor="text1"/>
          <w:sz w:val="24"/>
          <w:szCs w:val="24"/>
          <w:shd w:val="clear" w:color="auto" w:fill="FFFFFF"/>
        </w:rPr>
        <w:t xml:space="preserve"> Joseph. A., trans.</w:t>
      </w:r>
      <w:r w:rsidRPr="00476130">
        <w:rPr>
          <w:rFonts w:cstheme="minorHAnsi"/>
          <w:color w:val="000000" w:themeColor="text1"/>
          <w:sz w:val="24"/>
          <w:szCs w:val="24"/>
          <w:shd w:val="clear" w:color="auto" w:fill="FFFFFF"/>
        </w:rPr>
        <w:t> </w:t>
      </w:r>
      <w:r>
        <w:t>‘</w:t>
      </w:r>
      <w:r w:rsidRPr="00476130">
        <w:rPr>
          <w:rFonts w:cstheme="minorHAnsi"/>
          <w:i/>
          <w:iCs/>
          <w:color w:val="000000" w:themeColor="text1"/>
          <w:sz w:val="24"/>
          <w:szCs w:val="24"/>
          <w:shd w:val="clear" w:color="auto" w:fill="FFFFFF"/>
        </w:rPr>
        <w:t>The Genesis Apocryphon of Qumran Cave 1: A Commentary’ </w:t>
      </w:r>
      <w:r>
        <w:t xml:space="preserve">(1QapGen 19, 20) </w:t>
      </w:r>
      <w:r w:rsidRPr="00476130">
        <w:rPr>
          <w:rFonts w:cstheme="minorHAnsi"/>
          <w:color w:val="000000" w:themeColor="text1"/>
          <w:sz w:val="24"/>
          <w:szCs w:val="24"/>
          <w:shd w:val="clear" w:color="auto" w:fill="FFFFFF"/>
        </w:rPr>
        <w:t xml:space="preserve">(Rome: Biblical Institute Press, 1966) </w:t>
      </w:r>
    </w:p>
    <w:p w14:paraId="68F526CC" w14:textId="77777777" w:rsidR="00073942" w:rsidRPr="00476130" w:rsidRDefault="00073942" w:rsidP="00073942">
      <w:pPr>
        <w:spacing w:line="360" w:lineRule="auto"/>
        <w:rPr>
          <w:rFonts w:cstheme="minorHAnsi"/>
          <w:sz w:val="24"/>
          <w:szCs w:val="24"/>
        </w:rPr>
      </w:pPr>
      <w:r w:rsidRPr="00476130">
        <w:rPr>
          <w:rFonts w:cstheme="minorHAnsi"/>
          <w:sz w:val="24"/>
          <w:szCs w:val="24"/>
        </w:rPr>
        <w:t xml:space="preserve">Friedlander, G. (trans., ed.), </w:t>
      </w:r>
      <w:r w:rsidRPr="00346E4F">
        <w:rPr>
          <w:rFonts w:cstheme="minorHAnsi"/>
          <w:i/>
          <w:iCs/>
          <w:sz w:val="24"/>
          <w:szCs w:val="24"/>
        </w:rPr>
        <w:t>‘</w:t>
      </w:r>
      <w:proofErr w:type="spellStart"/>
      <w:r w:rsidRPr="00346E4F">
        <w:rPr>
          <w:rFonts w:cstheme="minorHAnsi"/>
          <w:i/>
          <w:iCs/>
          <w:sz w:val="24"/>
          <w:szCs w:val="24"/>
        </w:rPr>
        <w:t>Pirḳê</w:t>
      </w:r>
      <w:proofErr w:type="spellEnd"/>
      <w:r w:rsidRPr="00346E4F">
        <w:rPr>
          <w:rFonts w:cstheme="minorHAnsi"/>
          <w:i/>
          <w:iCs/>
          <w:sz w:val="24"/>
          <w:szCs w:val="24"/>
        </w:rPr>
        <w:t xml:space="preserve"> de Rabbi Eliezer’</w:t>
      </w:r>
      <w:r w:rsidRPr="00476130">
        <w:rPr>
          <w:rFonts w:cstheme="minorHAnsi"/>
          <w:sz w:val="24"/>
          <w:szCs w:val="24"/>
        </w:rPr>
        <w:t xml:space="preserve"> (London: Kegan Paul, Trench, </w:t>
      </w:r>
      <w:proofErr w:type="spellStart"/>
      <w:r w:rsidRPr="00476130">
        <w:rPr>
          <w:rFonts w:cstheme="minorHAnsi"/>
          <w:sz w:val="24"/>
          <w:szCs w:val="24"/>
        </w:rPr>
        <w:t>Trübner</w:t>
      </w:r>
      <w:proofErr w:type="spellEnd"/>
      <w:r w:rsidRPr="00476130">
        <w:rPr>
          <w:rFonts w:cstheme="minorHAnsi"/>
          <w:sz w:val="24"/>
          <w:szCs w:val="24"/>
        </w:rPr>
        <w:t xml:space="preserve"> 1916)</w:t>
      </w:r>
    </w:p>
    <w:p w14:paraId="1FDE3DD9" w14:textId="77777777" w:rsidR="00073942" w:rsidRDefault="00073942" w:rsidP="00073942">
      <w:pPr>
        <w:spacing w:line="360" w:lineRule="auto"/>
        <w:rPr>
          <w:sz w:val="24"/>
          <w:szCs w:val="24"/>
        </w:rPr>
      </w:pPr>
      <w:r w:rsidRPr="007F3CEF">
        <w:rPr>
          <w:rFonts w:cstheme="minorHAnsi"/>
          <w:i/>
          <w:iCs/>
          <w:color w:val="000000" w:themeColor="text1"/>
          <w:sz w:val="24"/>
          <w:szCs w:val="24"/>
          <w:shd w:val="clear" w:color="auto" w:fill="FFFFFF"/>
        </w:rPr>
        <w:t>Genesis Apocryphon</w:t>
      </w:r>
      <w:r w:rsidRPr="00E62270">
        <w:rPr>
          <w:rFonts w:cstheme="minorHAnsi"/>
          <w:color w:val="000000" w:themeColor="text1"/>
          <w:sz w:val="24"/>
          <w:szCs w:val="24"/>
          <w:shd w:val="clear" w:color="auto" w:fill="FFFFFF"/>
        </w:rPr>
        <w:t> (</w:t>
      </w:r>
      <w:r w:rsidRPr="00861772">
        <w:rPr>
          <w:sz w:val="24"/>
          <w:szCs w:val="24"/>
        </w:rPr>
        <w:t>1QapGen</w:t>
      </w:r>
      <w:r>
        <w:rPr>
          <w:sz w:val="24"/>
          <w:szCs w:val="24"/>
        </w:rPr>
        <w:t>)</w:t>
      </w:r>
    </w:p>
    <w:p w14:paraId="2BF76A3A" w14:textId="77777777" w:rsidR="00073942" w:rsidRDefault="00073942" w:rsidP="00073942">
      <w:pPr>
        <w:spacing w:line="360" w:lineRule="auto"/>
        <w:rPr>
          <w:sz w:val="24"/>
          <w:szCs w:val="24"/>
        </w:rPr>
      </w:pPr>
      <w:proofErr w:type="spellStart"/>
      <w:r w:rsidRPr="00476130">
        <w:rPr>
          <w:sz w:val="24"/>
          <w:szCs w:val="24"/>
        </w:rPr>
        <w:t>Geljon</w:t>
      </w:r>
      <w:proofErr w:type="spellEnd"/>
      <w:r w:rsidRPr="00476130">
        <w:rPr>
          <w:sz w:val="24"/>
          <w:szCs w:val="24"/>
        </w:rPr>
        <w:t xml:space="preserve">, </w:t>
      </w:r>
      <w:r>
        <w:rPr>
          <w:sz w:val="24"/>
          <w:szCs w:val="24"/>
        </w:rPr>
        <w:t>A-</w:t>
      </w:r>
      <w:proofErr w:type="gramStart"/>
      <w:r>
        <w:rPr>
          <w:sz w:val="24"/>
          <w:szCs w:val="24"/>
        </w:rPr>
        <w:t>C,.</w:t>
      </w:r>
      <w:proofErr w:type="gramEnd"/>
      <w:r>
        <w:rPr>
          <w:sz w:val="24"/>
          <w:szCs w:val="24"/>
        </w:rPr>
        <w:t xml:space="preserve"> </w:t>
      </w:r>
      <w:r w:rsidRPr="00476130">
        <w:rPr>
          <w:i/>
          <w:iCs/>
          <w:sz w:val="24"/>
          <w:szCs w:val="24"/>
        </w:rPr>
        <w:t>‘Abraham in Egypt: Philo’s Interpretation of Gen 12:10-20’</w:t>
      </w:r>
      <w:r w:rsidRPr="00476130">
        <w:rPr>
          <w:sz w:val="24"/>
          <w:szCs w:val="24"/>
        </w:rPr>
        <w:t xml:space="preserve">, </w:t>
      </w:r>
      <w:proofErr w:type="spellStart"/>
      <w:r w:rsidRPr="00476130">
        <w:rPr>
          <w:sz w:val="24"/>
          <w:szCs w:val="24"/>
        </w:rPr>
        <w:t>SPhA</w:t>
      </w:r>
      <w:proofErr w:type="spellEnd"/>
      <w:r w:rsidRPr="00476130">
        <w:rPr>
          <w:sz w:val="24"/>
          <w:szCs w:val="24"/>
        </w:rPr>
        <w:t xml:space="preserve"> 28 (2016)</w:t>
      </w:r>
    </w:p>
    <w:p w14:paraId="4DB2F5FB" w14:textId="77777777" w:rsidR="00073942" w:rsidRDefault="00073942" w:rsidP="00073942">
      <w:pPr>
        <w:spacing w:line="360" w:lineRule="auto"/>
        <w:rPr>
          <w:sz w:val="24"/>
          <w:szCs w:val="24"/>
        </w:rPr>
      </w:pPr>
      <w:proofErr w:type="spellStart"/>
      <w:r>
        <w:rPr>
          <w:rFonts w:cstheme="minorHAnsi"/>
          <w:color w:val="000000" w:themeColor="text1"/>
          <w:sz w:val="24"/>
          <w:szCs w:val="24"/>
        </w:rPr>
        <w:t>Holzkenner</w:t>
      </w:r>
      <w:proofErr w:type="spellEnd"/>
      <w:r>
        <w:rPr>
          <w:rFonts w:cstheme="minorHAnsi"/>
          <w:color w:val="000000" w:themeColor="text1"/>
          <w:sz w:val="24"/>
          <w:szCs w:val="24"/>
        </w:rPr>
        <w:t xml:space="preserve">, Rochel., </w:t>
      </w:r>
      <w:r w:rsidRPr="00433377">
        <w:rPr>
          <w:rFonts w:cstheme="minorHAnsi"/>
          <w:i/>
          <w:iCs/>
          <w:color w:val="000000" w:themeColor="text1"/>
          <w:sz w:val="24"/>
          <w:szCs w:val="24"/>
        </w:rPr>
        <w:t>‘How Could Abraham Let Sarah Be Abducted? And what we can learn from them today’</w:t>
      </w:r>
      <w:r>
        <w:rPr>
          <w:rFonts w:cstheme="minorHAnsi"/>
          <w:color w:val="000000" w:themeColor="text1"/>
          <w:sz w:val="24"/>
          <w:szCs w:val="24"/>
        </w:rPr>
        <w:t>,</w:t>
      </w:r>
      <w:r w:rsidRPr="00433377">
        <w:rPr>
          <w:rFonts w:cstheme="minorHAnsi"/>
          <w:color w:val="000000" w:themeColor="text1"/>
          <w:sz w:val="24"/>
          <w:szCs w:val="24"/>
        </w:rPr>
        <w:t xml:space="preserve"> </w:t>
      </w:r>
      <w:r w:rsidRPr="00433377">
        <w:rPr>
          <w:rFonts w:cstheme="minorHAnsi"/>
          <w:color w:val="000000"/>
          <w:sz w:val="24"/>
          <w:szCs w:val="24"/>
          <w:shd w:val="clear" w:color="auto" w:fill="FFFFFF"/>
        </w:rPr>
        <w:t>Based on a talk of the </w:t>
      </w:r>
      <w:r w:rsidRPr="00433377">
        <w:rPr>
          <w:rStyle w:val="glossaryitem"/>
          <w:rFonts w:cstheme="minorHAnsi"/>
          <w:color w:val="000000"/>
          <w:sz w:val="24"/>
          <w:szCs w:val="24"/>
          <w:shd w:val="clear" w:color="auto" w:fill="FFFFFF"/>
        </w:rPr>
        <w:t>Lubavitcher Rebbe</w:t>
      </w:r>
      <w:r w:rsidRPr="00433377">
        <w:rPr>
          <w:rFonts w:cstheme="minorHAnsi"/>
          <w:color w:val="000000"/>
          <w:sz w:val="24"/>
          <w:szCs w:val="24"/>
          <w:shd w:val="clear" w:color="auto" w:fill="FFFFFF"/>
        </w:rPr>
        <w:t> (</w:t>
      </w:r>
      <w:proofErr w:type="spellStart"/>
      <w:r w:rsidRPr="00433377">
        <w:rPr>
          <w:rStyle w:val="glossaryitem"/>
          <w:rFonts w:cstheme="minorHAnsi"/>
          <w:color w:val="000000"/>
          <w:sz w:val="24"/>
          <w:szCs w:val="24"/>
          <w:shd w:val="clear" w:color="auto" w:fill="FFFFFF"/>
        </w:rPr>
        <w:t>Likkutei</w:t>
      </w:r>
      <w:proofErr w:type="spellEnd"/>
      <w:r w:rsidRPr="00433377">
        <w:rPr>
          <w:rStyle w:val="glossaryitem"/>
          <w:rFonts w:cstheme="minorHAnsi"/>
          <w:color w:val="000000"/>
          <w:sz w:val="24"/>
          <w:szCs w:val="24"/>
          <w:shd w:val="clear" w:color="auto" w:fill="FFFFFF"/>
        </w:rPr>
        <w:t xml:space="preserve"> </w:t>
      </w:r>
      <w:proofErr w:type="spellStart"/>
      <w:r w:rsidRPr="00433377">
        <w:rPr>
          <w:rStyle w:val="glossaryitem"/>
          <w:rFonts w:cstheme="minorHAnsi"/>
          <w:color w:val="000000"/>
          <w:sz w:val="24"/>
          <w:szCs w:val="24"/>
          <w:shd w:val="clear" w:color="auto" w:fill="FFFFFF"/>
        </w:rPr>
        <w:t>Sichot</w:t>
      </w:r>
      <w:proofErr w:type="spellEnd"/>
      <w:r w:rsidRPr="00433377">
        <w:rPr>
          <w:rFonts w:cstheme="minorHAnsi"/>
          <w:color w:val="000000"/>
          <w:sz w:val="24"/>
          <w:szCs w:val="24"/>
          <w:shd w:val="clear" w:color="auto" w:fill="FFFFFF"/>
        </w:rPr>
        <w:t>, volume 20)</w:t>
      </w:r>
      <w:r>
        <w:rPr>
          <w:rFonts w:cstheme="minorHAnsi"/>
          <w:color w:val="000000"/>
          <w:sz w:val="24"/>
          <w:szCs w:val="24"/>
          <w:shd w:val="clear" w:color="auto" w:fill="FFFFFF"/>
        </w:rPr>
        <w:t xml:space="preserve"> </w:t>
      </w:r>
      <w:hyperlink r:id="rId12" w:history="1">
        <w:r w:rsidRPr="007373DD">
          <w:rPr>
            <w:rStyle w:val="Hyperlink"/>
            <w:rFonts w:cstheme="minorHAnsi"/>
            <w:sz w:val="24"/>
            <w:szCs w:val="24"/>
            <w:shd w:val="clear" w:color="auto" w:fill="FFFFFF"/>
          </w:rPr>
          <w:t>https://www.chabad.org/theJewishWoman/article_cdo/aid/1008032/jewish/How-Could-Abraham-Let-Sarah-Be-Abducted.htm</w:t>
        </w:r>
      </w:hyperlink>
    </w:p>
    <w:p w14:paraId="65937FE3" w14:textId="77777777" w:rsidR="00073942" w:rsidRPr="007F3CEF" w:rsidRDefault="00073942" w:rsidP="00073942">
      <w:pPr>
        <w:spacing w:line="360" w:lineRule="auto"/>
        <w:rPr>
          <w:rFonts w:cstheme="minorHAnsi"/>
          <w:sz w:val="24"/>
          <w:szCs w:val="24"/>
        </w:rPr>
      </w:pPr>
      <w:r w:rsidRPr="00476130">
        <w:rPr>
          <w:rFonts w:cstheme="minorHAnsi"/>
          <w:color w:val="0F1111"/>
          <w:sz w:val="24"/>
          <w:szCs w:val="24"/>
          <w:shd w:val="clear" w:color="auto" w:fill="FFFFFF"/>
        </w:rPr>
        <w:t xml:space="preserve">Homer, </w:t>
      </w:r>
      <w:r w:rsidRPr="00476130">
        <w:rPr>
          <w:rFonts w:cstheme="minorHAnsi"/>
          <w:i/>
          <w:iCs/>
          <w:color w:val="0F1111"/>
          <w:sz w:val="24"/>
          <w:szCs w:val="24"/>
          <w:shd w:val="clear" w:color="auto" w:fill="FFFFFF"/>
        </w:rPr>
        <w:t>‘Iliad’,</w:t>
      </w:r>
    </w:p>
    <w:p w14:paraId="669E2245" w14:textId="77777777" w:rsidR="00073942" w:rsidRPr="00346E4F" w:rsidRDefault="00073942" w:rsidP="00073942">
      <w:pPr>
        <w:spacing w:line="360" w:lineRule="auto"/>
        <w:rPr>
          <w:rFonts w:cstheme="minorHAnsi"/>
          <w:sz w:val="24"/>
          <w:szCs w:val="24"/>
        </w:rPr>
      </w:pPr>
      <w:r w:rsidRPr="00476130">
        <w:rPr>
          <w:rFonts w:cstheme="minorHAnsi"/>
          <w:color w:val="000000"/>
          <w:sz w:val="24"/>
          <w:szCs w:val="24"/>
        </w:rPr>
        <w:t>Machiela</w:t>
      </w:r>
      <w:r>
        <w:rPr>
          <w:rFonts w:cstheme="minorHAnsi"/>
          <w:color w:val="000000"/>
          <w:sz w:val="24"/>
          <w:szCs w:val="24"/>
        </w:rPr>
        <w:t>, Daniel A</w:t>
      </w:r>
      <w:r w:rsidRPr="00476130">
        <w:rPr>
          <w:rFonts w:cstheme="minorHAnsi"/>
          <w:color w:val="000000"/>
          <w:sz w:val="24"/>
          <w:szCs w:val="24"/>
        </w:rPr>
        <w:t>., </w:t>
      </w:r>
      <w:r w:rsidRPr="00476130">
        <w:rPr>
          <w:rStyle w:val="italic"/>
          <w:rFonts w:cstheme="minorHAnsi"/>
          <w:i/>
          <w:iCs/>
          <w:color w:val="000000"/>
          <w:sz w:val="24"/>
          <w:szCs w:val="24"/>
        </w:rPr>
        <w:t>The Dead Sea Genesis Apocryphon: A New Text and Translation with Introduction and Special Treatment of Columns 13–17</w:t>
      </w:r>
      <w:r w:rsidRPr="00476130">
        <w:rPr>
          <w:rFonts w:cstheme="minorHAnsi"/>
          <w:color w:val="000000"/>
          <w:sz w:val="24"/>
          <w:szCs w:val="24"/>
        </w:rPr>
        <w:t> (Leiden: Brill, </w:t>
      </w:r>
      <w:hyperlink r:id="rId13" w:anchor="b-9780567675545-ref296" w:tooltip="The Dead Sea Genesis Apocryphon:" w:history="1">
        <w:r w:rsidRPr="00476130">
          <w:rPr>
            <w:rStyle w:val="Hyperlink"/>
            <w:rFonts w:cstheme="minorHAnsi"/>
            <w:color w:val="000000" w:themeColor="text1"/>
            <w:sz w:val="24"/>
            <w:szCs w:val="24"/>
            <w:u w:val="none"/>
          </w:rPr>
          <w:t>2009</w:t>
        </w:r>
      </w:hyperlink>
      <w:r w:rsidRPr="00476130">
        <w:rPr>
          <w:rFonts w:cstheme="minorHAnsi"/>
          <w:color w:val="000000"/>
          <w:sz w:val="24"/>
          <w:szCs w:val="24"/>
        </w:rPr>
        <w:t>)</w:t>
      </w:r>
    </w:p>
    <w:p w14:paraId="5B95A61A" w14:textId="77777777" w:rsidR="00073942" w:rsidRDefault="00073942" w:rsidP="00073942">
      <w:pPr>
        <w:spacing w:line="360" w:lineRule="auto"/>
        <w:rPr>
          <w:sz w:val="24"/>
          <w:szCs w:val="24"/>
        </w:rPr>
      </w:pPr>
      <w:r w:rsidRPr="00476130">
        <w:rPr>
          <w:sz w:val="24"/>
          <w:szCs w:val="24"/>
        </w:rPr>
        <w:t>Machiela</w:t>
      </w:r>
      <w:r>
        <w:rPr>
          <w:sz w:val="24"/>
          <w:szCs w:val="24"/>
        </w:rPr>
        <w:t>, Daniel. A</w:t>
      </w:r>
      <w:r w:rsidRPr="00476130">
        <w:rPr>
          <w:sz w:val="24"/>
          <w:szCs w:val="24"/>
        </w:rPr>
        <w:t xml:space="preserve">., </w:t>
      </w:r>
      <w:r w:rsidRPr="00476130">
        <w:rPr>
          <w:i/>
          <w:iCs/>
          <w:sz w:val="24"/>
          <w:szCs w:val="24"/>
        </w:rPr>
        <w:t xml:space="preserve">“The Genesis Apocryphon (1Q20): A </w:t>
      </w:r>
      <w:proofErr w:type="spellStart"/>
      <w:r w:rsidRPr="00476130">
        <w:rPr>
          <w:i/>
          <w:iCs/>
          <w:sz w:val="24"/>
          <w:szCs w:val="24"/>
        </w:rPr>
        <w:t>Reevaluation</w:t>
      </w:r>
      <w:proofErr w:type="spellEnd"/>
      <w:r w:rsidRPr="00476130">
        <w:rPr>
          <w:i/>
          <w:iCs/>
          <w:sz w:val="24"/>
          <w:szCs w:val="24"/>
        </w:rPr>
        <w:t xml:space="preserve"> of its Text, Interpretive Character, and Relationship to the Book of Jubilees.”</w:t>
      </w:r>
      <w:r w:rsidRPr="00476130">
        <w:rPr>
          <w:sz w:val="24"/>
          <w:szCs w:val="24"/>
        </w:rPr>
        <w:t xml:space="preserve"> PhD diss., University of Notre Dame, (2007) p. 289</w:t>
      </w:r>
    </w:p>
    <w:p w14:paraId="17122903" w14:textId="77777777" w:rsidR="00073942" w:rsidRPr="00346E4F" w:rsidRDefault="00073942" w:rsidP="00073942">
      <w:pPr>
        <w:spacing w:after="0" w:line="360" w:lineRule="auto"/>
        <w:rPr>
          <w:rFonts w:eastAsia="Times New Roman" w:cstheme="minorHAnsi"/>
          <w:kern w:val="0"/>
          <w:sz w:val="24"/>
          <w:szCs w:val="24"/>
          <w:lang w:eastAsia="en-GB"/>
          <w14:ligatures w14:val="none"/>
        </w:rPr>
      </w:pPr>
      <w:r w:rsidRPr="00476130">
        <w:rPr>
          <w:rFonts w:eastAsia="Times New Roman" w:cstheme="minorHAnsi"/>
          <w:kern w:val="0"/>
          <w:sz w:val="24"/>
          <w:szCs w:val="24"/>
          <w:lang w:eastAsia="en-GB"/>
          <w14:ligatures w14:val="none"/>
        </w:rPr>
        <w:t>Parsons,</w:t>
      </w:r>
      <w:r>
        <w:rPr>
          <w:rFonts w:eastAsia="Times New Roman" w:cstheme="minorHAnsi"/>
          <w:kern w:val="0"/>
          <w:sz w:val="24"/>
          <w:szCs w:val="24"/>
          <w:lang w:eastAsia="en-GB"/>
          <w14:ligatures w14:val="none"/>
        </w:rPr>
        <w:t xml:space="preserve"> John</w:t>
      </w:r>
      <w:r w:rsidRPr="007F3CEF">
        <w:rPr>
          <w:rFonts w:eastAsia="Times New Roman" w:cstheme="minorHAnsi"/>
          <w:i/>
          <w:iCs/>
          <w:kern w:val="0"/>
          <w:sz w:val="24"/>
          <w:szCs w:val="24"/>
          <w:lang w:eastAsia="en-GB"/>
          <w14:ligatures w14:val="none"/>
        </w:rPr>
        <w:t>., ‘Ten Trials of Abrahm’ ‘Further Thoughts on the Parashat Lekha’</w:t>
      </w:r>
      <w:r w:rsidRPr="00476130">
        <w:rPr>
          <w:rFonts w:eastAsia="Times New Roman" w:cstheme="minorHAnsi"/>
          <w:kern w:val="0"/>
          <w:sz w:val="24"/>
          <w:szCs w:val="24"/>
          <w:lang w:eastAsia="en-GB"/>
          <w14:ligatures w14:val="none"/>
        </w:rPr>
        <w:t xml:space="preserve">, </w:t>
      </w:r>
      <w:r>
        <w:rPr>
          <w:rFonts w:eastAsia="Times New Roman" w:cstheme="minorHAnsi"/>
          <w:kern w:val="0"/>
          <w:sz w:val="24"/>
          <w:szCs w:val="24"/>
          <w:lang w:eastAsia="en-GB"/>
          <w14:ligatures w14:val="none"/>
        </w:rPr>
        <w:t xml:space="preserve">website </w:t>
      </w:r>
      <w:hyperlink r:id="rId14" w:history="1">
        <w:r w:rsidRPr="007373DD">
          <w:rPr>
            <w:rStyle w:val="Hyperlink"/>
            <w:rFonts w:eastAsia="Times New Roman" w:cstheme="minorHAnsi"/>
            <w:kern w:val="0"/>
            <w:sz w:val="24"/>
            <w:szCs w:val="24"/>
            <w:lang w:eastAsia="en-GB"/>
            <w14:ligatures w14:val="none"/>
          </w:rPr>
          <w:t>https://www.hebrew4christians.com/Scripture/Parashah/Summaries/Lekh_Lekha/Ten_Tests/ten_tests.html</w:t>
        </w:r>
      </w:hyperlink>
    </w:p>
    <w:p w14:paraId="2EBC0B58" w14:textId="77777777" w:rsidR="00073942" w:rsidRPr="00476130" w:rsidRDefault="00073942" w:rsidP="00073942">
      <w:pPr>
        <w:spacing w:line="360" w:lineRule="auto"/>
        <w:rPr>
          <w:rFonts w:cstheme="minorHAnsi"/>
          <w:sz w:val="24"/>
          <w:szCs w:val="24"/>
        </w:rPr>
      </w:pPr>
      <w:r w:rsidRPr="00476130">
        <w:rPr>
          <w:rFonts w:cstheme="minorHAnsi"/>
          <w:sz w:val="24"/>
          <w:szCs w:val="24"/>
        </w:rPr>
        <w:t xml:space="preserve">Philo., </w:t>
      </w:r>
      <w:r w:rsidRPr="00476130">
        <w:rPr>
          <w:rFonts w:cstheme="minorHAnsi"/>
          <w:i/>
          <w:iCs/>
          <w:sz w:val="24"/>
          <w:szCs w:val="24"/>
        </w:rPr>
        <w:t>‘De Abrahamo’</w:t>
      </w:r>
      <w:r w:rsidRPr="00476130">
        <w:rPr>
          <w:rFonts w:cstheme="minorHAnsi"/>
          <w:sz w:val="24"/>
          <w:szCs w:val="24"/>
        </w:rPr>
        <w:t xml:space="preserve"> XIX </w:t>
      </w:r>
      <w:r>
        <w:rPr>
          <w:rFonts w:cstheme="minorHAnsi"/>
          <w:sz w:val="24"/>
          <w:szCs w:val="24"/>
        </w:rPr>
        <w:t>- XLIII</w:t>
      </w:r>
      <w:r w:rsidRPr="00476130">
        <w:rPr>
          <w:rFonts w:cstheme="minorHAnsi"/>
          <w:sz w:val="24"/>
          <w:szCs w:val="24"/>
        </w:rPr>
        <w:t xml:space="preserve">, </w:t>
      </w:r>
      <w:hyperlink r:id="rId15" w:history="1">
        <w:r w:rsidRPr="00476130">
          <w:rPr>
            <w:rStyle w:val="Hyperlink"/>
            <w:rFonts w:cstheme="minorHAnsi"/>
            <w:sz w:val="24"/>
            <w:szCs w:val="24"/>
          </w:rPr>
          <w:t>http://www.earlychristianwritings.com/yonge/book31.html</w:t>
        </w:r>
      </w:hyperlink>
    </w:p>
    <w:p w14:paraId="7F0BEBBB" w14:textId="77777777" w:rsidR="00073942" w:rsidRDefault="00073942" w:rsidP="00073942">
      <w:pPr>
        <w:spacing w:line="360" w:lineRule="auto"/>
        <w:rPr>
          <w:rFonts w:cstheme="minorHAnsi"/>
          <w:sz w:val="24"/>
          <w:szCs w:val="24"/>
        </w:rPr>
      </w:pPr>
      <w:r w:rsidRPr="00476130">
        <w:rPr>
          <w:sz w:val="24"/>
          <w:szCs w:val="24"/>
        </w:rPr>
        <w:t xml:space="preserve">Philo., </w:t>
      </w:r>
      <w:r w:rsidRPr="00476130">
        <w:rPr>
          <w:i/>
          <w:iCs/>
          <w:sz w:val="24"/>
          <w:szCs w:val="24"/>
        </w:rPr>
        <w:t xml:space="preserve">‘De </w:t>
      </w:r>
      <w:proofErr w:type="spellStart"/>
      <w:r w:rsidRPr="00476130">
        <w:rPr>
          <w:i/>
          <w:iCs/>
          <w:sz w:val="24"/>
          <w:szCs w:val="24"/>
        </w:rPr>
        <w:t>Virtutibus</w:t>
      </w:r>
      <w:proofErr w:type="spellEnd"/>
      <w:r w:rsidRPr="00476130">
        <w:rPr>
          <w:i/>
          <w:iCs/>
          <w:sz w:val="24"/>
          <w:szCs w:val="24"/>
        </w:rPr>
        <w:t>’</w:t>
      </w:r>
      <w:r w:rsidRPr="00476130">
        <w:rPr>
          <w:sz w:val="24"/>
          <w:szCs w:val="24"/>
        </w:rPr>
        <w:t xml:space="preserve"> 212-17 </w:t>
      </w:r>
      <w:hyperlink r:id="rId16" w:history="1">
        <w:r w:rsidRPr="00476130">
          <w:rPr>
            <w:rStyle w:val="Hyperlink"/>
            <w:rFonts w:cstheme="minorHAnsi"/>
            <w:sz w:val="24"/>
            <w:szCs w:val="24"/>
          </w:rPr>
          <w:t>http://www.earlychristianwritings.com/yonge/book31.html</w:t>
        </w:r>
      </w:hyperlink>
    </w:p>
    <w:p w14:paraId="075F710E" w14:textId="77777777" w:rsidR="00073942" w:rsidRDefault="00073942" w:rsidP="00073942">
      <w:pPr>
        <w:spacing w:line="360" w:lineRule="auto"/>
        <w:rPr>
          <w:sz w:val="24"/>
          <w:szCs w:val="24"/>
        </w:rPr>
      </w:pPr>
      <w:proofErr w:type="spellStart"/>
      <w:r w:rsidRPr="00476130">
        <w:rPr>
          <w:rFonts w:cstheme="minorHAnsi"/>
          <w:sz w:val="24"/>
          <w:szCs w:val="24"/>
        </w:rPr>
        <w:t>Picus</w:t>
      </w:r>
      <w:proofErr w:type="spellEnd"/>
      <w:r>
        <w:rPr>
          <w:rFonts w:cstheme="minorHAnsi"/>
          <w:sz w:val="24"/>
          <w:szCs w:val="24"/>
        </w:rPr>
        <w:t>, Daniel. M.</w:t>
      </w:r>
      <w:r w:rsidRPr="00476130">
        <w:rPr>
          <w:rFonts w:cstheme="minorHAnsi"/>
          <w:sz w:val="24"/>
          <w:szCs w:val="24"/>
        </w:rPr>
        <w:t>,</w:t>
      </w:r>
      <w:r>
        <w:rPr>
          <w:rFonts w:cstheme="minorHAnsi"/>
          <w:sz w:val="24"/>
          <w:szCs w:val="24"/>
        </w:rPr>
        <w:t xml:space="preserve"> </w:t>
      </w:r>
      <w:r w:rsidRPr="00476130">
        <w:rPr>
          <w:i/>
          <w:iCs/>
          <w:sz w:val="24"/>
          <w:szCs w:val="24"/>
        </w:rPr>
        <w:t>‘Loveliness Far Above Them All: Women and Wives of the Genesis Apocryphon,’</w:t>
      </w:r>
      <w:r w:rsidRPr="00476130">
        <w:rPr>
          <w:sz w:val="24"/>
          <w:szCs w:val="24"/>
        </w:rPr>
        <w:t xml:space="preserve"> Studies in Mediterranean Antiquity and Classics: Vol. 6: </w:t>
      </w:r>
      <w:proofErr w:type="spellStart"/>
      <w:r w:rsidRPr="00476130">
        <w:rPr>
          <w:sz w:val="24"/>
          <w:szCs w:val="24"/>
        </w:rPr>
        <w:t>Iss</w:t>
      </w:r>
      <w:proofErr w:type="spellEnd"/>
      <w:r w:rsidRPr="00476130">
        <w:rPr>
          <w:sz w:val="24"/>
          <w:szCs w:val="24"/>
        </w:rPr>
        <w:t xml:space="preserve">. 1, Article 3. (2002) </w:t>
      </w:r>
    </w:p>
    <w:p w14:paraId="7380CCF9" w14:textId="77777777" w:rsidR="00073942" w:rsidRDefault="00073942" w:rsidP="00073942">
      <w:pPr>
        <w:spacing w:after="0" w:line="360" w:lineRule="auto"/>
        <w:rPr>
          <w:rFonts w:eastAsia="Times New Roman" w:cstheme="minorHAnsi"/>
          <w:color w:val="000000" w:themeColor="text1"/>
          <w:kern w:val="0"/>
          <w:sz w:val="24"/>
          <w:szCs w:val="24"/>
          <w:lang w:eastAsia="en-GB"/>
          <w14:ligatures w14:val="none"/>
        </w:rPr>
      </w:pPr>
      <w:proofErr w:type="spellStart"/>
      <w:r w:rsidRPr="00476130">
        <w:rPr>
          <w:rFonts w:cstheme="minorHAnsi"/>
          <w:color w:val="000000" w:themeColor="text1"/>
          <w:sz w:val="24"/>
          <w:szCs w:val="24"/>
        </w:rPr>
        <w:t>Ramban</w:t>
      </w:r>
      <w:proofErr w:type="spellEnd"/>
      <w:r w:rsidRPr="00476130">
        <w:rPr>
          <w:rFonts w:cstheme="minorHAnsi"/>
          <w:color w:val="000000" w:themeColor="text1"/>
          <w:sz w:val="24"/>
          <w:szCs w:val="24"/>
        </w:rPr>
        <w:t xml:space="preserve">, Commentary to Genesis 12: 10, based on Zohar, </w:t>
      </w:r>
      <w:proofErr w:type="spellStart"/>
      <w:r w:rsidRPr="00476130">
        <w:rPr>
          <w:rFonts w:cstheme="minorHAnsi"/>
          <w:color w:val="000000" w:themeColor="text1"/>
          <w:sz w:val="24"/>
          <w:szCs w:val="24"/>
        </w:rPr>
        <w:t>Tazria</w:t>
      </w:r>
      <w:proofErr w:type="spellEnd"/>
      <w:r w:rsidRPr="00476130">
        <w:rPr>
          <w:rFonts w:cstheme="minorHAnsi"/>
          <w:color w:val="000000" w:themeColor="text1"/>
          <w:sz w:val="24"/>
          <w:szCs w:val="24"/>
        </w:rPr>
        <w:t xml:space="preserve">, 52a </w:t>
      </w:r>
    </w:p>
    <w:p w14:paraId="2F4450B6" w14:textId="77777777" w:rsidR="00073942" w:rsidRDefault="00073942" w:rsidP="00073942">
      <w:pPr>
        <w:spacing w:after="0" w:line="360" w:lineRule="auto"/>
        <w:rPr>
          <w:rFonts w:eastAsia="Times New Roman" w:cstheme="minorHAnsi"/>
          <w:color w:val="000000" w:themeColor="text1"/>
          <w:kern w:val="0"/>
          <w:sz w:val="24"/>
          <w:szCs w:val="24"/>
          <w:lang w:eastAsia="en-GB"/>
          <w14:ligatures w14:val="none"/>
        </w:rPr>
      </w:pPr>
    </w:p>
    <w:p w14:paraId="6AD93174" w14:textId="77777777" w:rsidR="00073942" w:rsidRPr="00346E4F" w:rsidRDefault="00073942" w:rsidP="00073942">
      <w:pPr>
        <w:spacing w:after="0" w:line="360" w:lineRule="auto"/>
        <w:rPr>
          <w:rFonts w:eastAsia="Times New Roman" w:cstheme="minorHAnsi"/>
          <w:color w:val="000000" w:themeColor="text1"/>
          <w:kern w:val="0"/>
          <w:sz w:val="24"/>
          <w:szCs w:val="24"/>
          <w:lang w:eastAsia="en-GB"/>
          <w14:ligatures w14:val="none"/>
        </w:rPr>
      </w:pPr>
      <w:r w:rsidRPr="00C25BE3">
        <w:rPr>
          <w:rFonts w:cstheme="minorHAnsi"/>
          <w:sz w:val="24"/>
          <w:szCs w:val="24"/>
        </w:rPr>
        <w:t xml:space="preserve">Stallman, Bob., </w:t>
      </w:r>
      <w:r w:rsidRPr="00C25BE3">
        <w:rPr>
          <w:rFonts w:cstheme="minorHAnsi"/>
          <w:i/>
          <w:iCs/>
          <w:sz w:val="24"/>
          <w:szCs w:val="24"/>
        </w:rPr>
        <w:t xml:space="preserve">‘Theology of Work Project. 17’, </w:t>
      </w:r>
      <w:r w:rsidRPr="00C25BE3">
        <w:rPr>
          <w:rFonts w:cstheme="minorHAnsi"/>
          <w:sz w:val="24"/>
          <w:szCs w:val="24"/>
        </w:rPr>
        <w:t>Theology of Work Project ‘Genesis 12-50’, (2013), https//digitalcommons.spu.edu/</w:t>
      </w:r>
      <w:proofErr w:type="spellStart"/>
      <w:r w:rsidRPr="00C25BE3">
        <w:rPr>
          <w:rFonts w:cstheme="minorHAnsi"/>
          <w:sz w:val="24"/>
          <w:szCs w:val="24"/>
        </w:rPr>
        <w:t>tow_project</w:t>
      </w:r>
      <w:proofErr w:type="spellEnd"/>
      <w:r w:rsidRPr="00C25BE3">
        <w:rPr>
          <w:rFonts w:cstheme="minorHAnsi"/>
          <w:sz w:val="24"/>
          <w:szCs w:val="24"/>
        </w:rPr>
        <w:t xml:space="preserve">/17 </w:t>
      </w:r>
    </w:p>
    <w:p w14:paraId="294B1917" w14:textId="77777777" w:rsidR="00073942" w:rsidRDefault="00073942" w:rsidP="00073942">
      <w:pPr>
        <w:spacing w:after="0" w:line="360" w:lineRule="auto"/>
        <w:rPr>
          <w:rFonts w:eastAsia="Times New Roman" w:cstheme="minorHAnsi"/>
          <w:kern w:val="0"/>
          <w:sz w:val="24"/>
          <w:szCs w:val="24"/>
          <w:lang w:eastAsia="en-GB"/>
          <w14:ligatures w14:val="none"/>
        </w:rPr>
      </w:pPr>
    </w:p>
    <w:p w14:paraId="410E5B33" w14:textId="77777777" w:rsidR="00073942" w:rsidRDefault="00073942" w:rsidP="00073942">
      <w:pPr>
        <w:spacing w:after="0" w:line="360" w:lineRule="auto"/>
        <w:rPr>
          <w:rStyle w:val="Hyperlink"/>
          <w:rFonts w:eastAsia="Times New Roman" w:cstheme="minorHAnsi"/>
          <w:kern w:val="0"/>
          <w:sz w:val="24"/>
          <w:szCs w:val="24"/>
          <w:lang w:eastAsia="en-GB"/>
          <w14:ligatures w14:val="none"/>
        </w:rPr>
      </w:pPr>
      <w:r w:rsidRPr="00476130">
        <w:rPr>
          <w:rFonts w:eastAsia="Times New Roman" w:cstheme="minorHAnsi"/>
          <w:kern w:val="0"/>
          <w:sz w:val="24"/>
          <w:szCs w:val="24"/>
          <w:lang w:eastAsia="en-GB"/>
          <w14:ligatures w14:val="none"/>
        </w:rPr>
        <w:t xml:space="preserve">Sefer </w:t>
      </w:r>
      <w:proofErr w:type="spellStart"/>
      <w:r w:rsidRPr="00476130">
        <w:rPr>
          <w:rFonts w:eastAsia="Times New Roman" w:cstheme="minorHAnsi"/>
          <w:kern w:val="0"/>
          <w:sz w:val="24"/>
          <w:szCs w:val="24"/>
          <w:lang w:eastAsia="en-GB"/>
          <w14:ligatures w14:val="none"/>
        </w:rPr>
        <w:t>HaYashar</w:t>
      </w:r>
      <w:proofErr w:type="spellEnd"/>
      <w:r w:rsidRPr="00476130">
        <w:rPr>
          <w:rFonts w:eastAsia="Times New Roman" w:cstheme="minorHAnsi"/>
          <w:kern w:val="0"/>
          <w:sz w:val="24"/>
          <w:szCs w:val="24"/>
          <w:lang w:eastAsia="en-GB"/>
          <w14:ligatures w14:val="none"/>
        </w:rPr>
        <w:t xml:space="preserve"> (midrash), Book of Genesis, Lech Lecha 5</w:t>
      </w:r>
      <w:r>
        <w:rPr>
          <w:rFonts w:eastAsia="Times New Roman" w:cstheme="minorHAnsi"/>
          <w:kern w:val="0"/>
          <w:sz w:val="24"/>
          <w:szCs w:val="24"/>
          <w:lang w:eastAsia="en-GB"/>
          <w14:ligatures w14:val="none"/>
        </w:rPr>
        <w:t xml:space="preserve"> </w:t>
      </w:r>
      <w:hyperlink r:id="rId17" w:history="1">
        <w:r w:rsidRPr="00476130">
          <w:rPr>
            <w:rStyle w:val="Hyperlink"/>
            <w:rFonts w:eastAsia="Times New Roman" w:cstheme="minorHAnsi"/>
            <w:kern w:val="0"/>
            <w:sz w:val="24"/>
            <w:szCs w:val="24"/>
            <w:lang w:eastAsia="en-GB"/>
            <w14:ligatures w14:val="none"/>
          </w:rPr>
          <w:t>https://www.rabbisacks.org/covenant-conversation/lech-lecha/how-perfect-were-the-matriarchs-and-patriarchs/</w:t>
        </w:r>
      </w:hyperlink>
    </w:p>
    <w:p w14:paraId="5ECD972E" w14:textId="77777777" w:rsidR="00073942" w:rsidRDefault="00073942" w:rsidP="00073942">
      <w:pPr>
        <w:spacing w:line="360" w:lineRule="auto"/>
        <w:rPr>
          <w:rFonts w:cstheme="minorHAnsi"/>
          <w:color w:val="000000" w:themeColor="text1"/>
          <w:sz w:val="24"/>
          <w:szCs w:val="24"/>
        </w:rPr>
      </w:pPr>
      <w:hyperlink r:id="rId18" w:tooltip="Shoghi Effendi" w:history="1">
        <w:r w:rsidRPr="00476130">
          <w:rPr>
            <w:rStyle w:val="Hyperlink"/>
            <w:rFonts w:cstheme="minorHAnsi"/>
            <w:color w:val="000000" w:themeColor="text1"/>
            <w:sz w:val="24"/>
            <w:szCs w:val="24"/>
            <w:u w:val="none"/>
            <w:bdr w:val="none" w:sz="0" w:space="0" w:color="auto" w:frame="1"/>
          </w:rPr>
          <w:t>Shoghi Effendi</w:t>
        </w:r>
      </w:hyperlink>
      <w:r w:rsidRPr="00476130">
        <w:rPr>
          <w:rFonts w:cstheme="minorHAnsi"/>
          <w:color w:val="000000" w:themeColor="text1"/>
          <w:sz w:val="24"/>
          <w:szCs w:val="24"/>
        </w:rPr>
        <w:t>, </w:t>
      </w:r>
      <w:r w:rsidRPr="00476130">
        <w:rPr>
          <w:rStyle w:val="Emphasis"/>
          <w:rFonts w:cstheme="minorHAnsi"/>
          <w:color w:val="000000" w:themeColor="text1"/>
          <w:sz w:val="24"/>
          <w:szCs w:val="24"/>
          <w:bdr w:val="none" w:sz="0" w:space="0" w:color="auto" w:frame="1"/>
        </w:rPr>
        <w:t>Dawn of a New Day</w:t>
      </w:r>
      <w:r w:rsidRPr="00476130">
        <w:rPr>
          <w:rFonts w:cstheme="minorHAnsi"/>
          <w:color w:val="000000" w:themeColor="text1"/>
          <w:sz w:val="24"/>
          <w:szCs w:val="24"/>
        </w:rPr>
        <w:t>,</w:t>
      </w:r>
      <w:r w:rsidRPr="00C35431">
        <w:t xml:space="preserve"> </w:t>
      </w:r>
      <w:hyperlink r:id="rId19" w:history="1">
        <w:r w:rsidRPr="007373DD">
          <w:rPr>
            <w:rStyle w:val="Hyperlink"/>
            <w:rFonts w:cstheme="minorHAnsi"/>
            <w:sz w:val="24"/>
            <w:szCs w:val="24"/>
          </w:rPr>
          <w:t>https://bahai-library.com/shoghi-effendi_dawn_new_day</w:t>
        </w:r>
      </w:hyperlink>
    </w:p>
    <w:p w14:paraId="102DAFE2" w14:textId="77777777" w:rsidR="00073942" w:rsidRPr="00346E4F" w:rsidRDefault="00073942" w:rsidP="00073942">
      <w:pPr>
        <w:spacing w:line="360" w:lineRule="auto"/>
        <w:rPr>
          <w:rFonts w:cstheme="minorHAnsi"/>
          <w:sz w:val="24"/>
          <w:szCs w:val="24"/>
        </w:rPr>
      </w:pPr>
      <w:proofErr w:type="spellStart"/>
      <w:r w:rsidRPr="00476130">
        <w:rPr>
          <w:rFonts w:cstheme="minorHAnsi"/>
          <w:color w:val="202122"/>
          <w:sz w:val="24"/>
          <w:szCs w:val="24"/>
          <w:shd w:val="clear" w:color="auto" w:fill="F9F9FF"/>
        </w:rPr>
        <w:t>Ṭabāṭabāyī</w:t>
      </w:r>
      <w:proofErr w:type="spellEnd"/>
      <w:r w:rsidRPr="00476130">
        <w:rPr>
          <w:rFonts w:cstheme="minorHAnsi"/>
          <w:color w:val="202122"/>
          <w:sz w:val="24"/>
          <w:szCs w:val="24"/>
          <w:shd w:val="clear" w:color="auto" w:fill="F9F9FF"/>
        </w:rPr>
        <w:t>, ‘</w:t>
      </w:r>
      <w:r w:rsidRPr="00476130">
        <w:rPr>
          <w:rFonts w:cstheme="minorHAnsi"/>
          <w:i/>
          <w:iCs/>
          <w:color w:val="202122"/>
          <w:sz w:val="24"/>
          <w:szCs w:val="24"/>
          <w:shd w:val="clear" w:color="auto" w:fill="F9F9FF"/>
        </w:rPr>
        <w:t>Al-Kafi</w:t>
      </w:r>
      <w:r w:rsidRPr="00476130">
        <w:rPr>
          <w:rFonts w:cstheme="minorHAnsi"/>
          <w:color w:val="202122"/>
          <w:sz w:val="24"/>
          <w:szCs w:val="24"/>
          <w:shd w:val="clear" w:color="auto" w:fill="F9F9FF"/>
        </w:rPr>
        <w:t xml:space="preserve"> </w:t>
      </w:r>
      <w:r w:rsidRPr="00476130">
        <w:rPr>
          <w:rFonts w:cstheme="minorHAnsi"/>
          <w:i/>
          <w:iCs/>
          <w:color w:val="202122"/>
          <w:sz w:val="24"/>
          <w:szCs w:val="24"/>
          <w:shd w:val="clear" w:color="auto" w:fill="F9F9FF"/>
        </w:rPr>
        <w:t>al-</w:t>
      </w:r>
      <w:proofErr w:type="spellStart"/>
      <w:r w:rsidRPr="00476130">
        <w:rPr>
          <w:rFonts w:cstheme="minorHAnsi"/>
          <w:i/>
          <w:iCs/>
          <w:color w:val="202122"/>
          <w:sz w:val="24"/>
          <w:szCs w:val="24"/>
          <w:shd w:val="clear" w:color="auto" w:fill="F9F9FF"/>
        </w:rPr>
        <w:t>Mīzān</w:t>
      </w:r>
      <w:proofErr w:type="spellEnd"/>
      <w:r w:rsidRPr="00476130">
        <w:rPr>
          <w:rFonts w:cstheme="minorHAnsi"/>
          <w:i/>
          <w:iCs/>
          <w:color w:val="202122"/>
          <w:sz w:val="24"/>
          <w:szCs w:val="24"/>
          <w:shd w:val="clear" w:color="auto" w:fill="F9F9FF"/>
        </w:rPr>
        <w:t>’</w:t>
      </w:r>
      <w:r w:rsidRPr="00476130">
        <w:rPr>
          <w:rFonts w:cstheme="minorHAnsi"/>
          <w:color w:val="202122"/>
          <w:sz w:val="24"/>
          <w:szCs w:val="24"/>
          <w:shd w:val="clear" w:color="auto" w:fill="F9F9FF"/>
        </w:rPr>
        <w:t>, vol. 7, pp. 231-32</w:t>
      </w:r>
    </w:p>
    <w:p w14:paraId="43C1215B" w14:textId="77777777" w:rsidR="00073942" w:rsidRPr="00C25BE3" w:rsidRDefault="00073942" w:rsidP="00073942">
      <w:pPr>
        <w:spacing w:line="360" w:lineRule="auto"/>
        <w:rPr>
          <w:rFonts w:cstheme="minorHAnsi"/>
          <w:sz w:val="24"/>
          <w:szCs w:val="24"/>
        </w:rPr>
      </w:pPr>
      <w:r w:rsidRPr="00C25BE3">
        <w:rPr>
          <w:rFonts w:eastAsia="Times New Roman" w:cstheme="minorHAnsi"/>
          <w:color w:val="000000"/>
          <w:kern w:val="0"/>
          <w:sz w:val="24"/>
          <w:szCs w:val="24"/>
          <w:lang w:eastAsia="en-GB"/>
          <w14:ligatures w14:val="none"/>
        </w:rPr>
        <w:t>Talmud, Chagigah 3a. 14</w:t>
      </w:r>
    </w:p>
    <w:p w14:paraId="632978FF" w14:textId="77777777" w:rsidR="00073942" w:rsidRPr="007F3CEF" w:rsidRDefault="00073942" w:rsidP="00073942">
      <w:pPr>
        <w:spacing w:after="0" w:line="360" w:lineRule="auto"/>
        <w:rPr>
          <w:rFonts w:eastAsia="Times New Roman" w:cstheme="minorHAnsi"/>
          <w:color w:val="000000" w:themeColor="text1"/>
          <w:kern w:val="0"/>
          <w:sz w:val="24"/>
          <w:szCs w:val="24"/>
          <w:lang w:eastAsia="en-GB"/>
          <w14:ligatures w14:val="none"/>
        </w:rPr>
      </w:pPr>
      <w:r w:rsidRPr="00476130">
        <w:rPr>
          <w:sz w:val="24"/>
          <w:szCs w:val="24"/>
        </w:rPr>
        <w:t>Waltke</w:t>
      </w:r>
      <w:r>
        <w:rPr>
          <w:sz w:val="24"/>
          <w:szCs w:val="24"/>
        </w:rPr>
        <w:t>, Bruce. K.</w:t>
      </w:r>
      <w:r w:rsidRPr="00476130">
        <w:rPr>
          <w:sz w:val="24"/>
          <w:szCs w:val="24"/>
        </w:rPr>
        <w:t xml:space="preserve"> and Fredricks,</w:t>
      </w:r>
      <w:r>
        <w:rPr>
          <w:sz w:val="24"/>
          <w:szCs w:val="24"/>
        </w:rPr>
        <w:t xml:space="preserve"> Cathi. J.,</w:t>
      </w:r>
      <w:r w:rsidRPr="00476130">
        <w:rPr>
          <w:sz w:val="24"/>
          <w:szCs w:val="24"/>
        </w:rPr>
        <w:t xml:space="preserve"> Genesis: A Commentary, First ed. (Zondervan, 2001)</w:t>
      </w:r>
    </w:p>
    <w:p w14:paraId="4913BFC7" w14:textId="77777777" w:rsidR="00073942" w:rsidRDefault="00073942" w:rsidP="00073942">
      <w:pPr>
        <w:spacing w:line="360" w:lineRule="auto"/>
        <w:rPr>
          <w:rFonts w:cstheme="minorHAnsi"/>
          <w:sz w:val="24"/>
          <w:szCs w:val="24"/>
        </w:rPr>
      </w:pPr>
      <w:r w:rsidRPr="00476130">
        <w:rPr>
          <w:rFonts w:cstheme="minorHAnsi"/>
          <w:sz w:val="24"/>
          <w:szCs w:val="24"/>
        </w:rPr>
        <w:t xml:space="preserve">1 </w:t>
      </w:r>
      <w:proofErr w:type="spellStart"/>
      <w:r w:rsidRPr="00476130">
        <w:rPr>
          <w:rFonts w:cstheme="minorHAnsi"/>
          <w:sz w:val="24"/>
          <w:szCs w:val="24"/>
        </w:rPr>
        <w:t>Ikhwdnukumft</w:t>
      </w:r>
      <w:proofErr w:type="spellEnd"/>
      <w:r w:rsidRPr="00476130">
        <w:rPr>
          <w:rFonts w:cstheme="minorHAnsi"/>
          <w:sz w:val="24"/>
          <w:szCs w:val="24"/>
        </w:rPr>
        <w:t xml:space="preserve"> al-</w:t>
      </w:r>
      <w:proofErr w:type="spellStart"/>
      <w:r w:rsidRPr="00476130">
        <w:rPr>
          <w:rFonts w:cstheme="minorHAnsi"/>
          <w:sz w:val="24"/>
          <w:szCs w:val="24"/>
        </w:rPr>
        <w:t>dTn</w:t>
      </w:r>
      <w:proofErr w:type="spellEnd"/>
      <w:r w:rsidRPr="00476130">
        <w:rPr>
          <w:rFonts w:cstheme="minorHAnsi"/>
          <w:sz w:val="24"/>
          <w:szCs w:val="24"/>
        </w:rPr>
        <w:t xml:space="preserve"> (Qur'an 9:11)</w:t>
      </w:r>
    </w:p>
    <w:p w14:paraId="15B119C6" w14:textId="77777777" w:rsidR="00073942" w:rsidRDefault="00073942" w:rsidP="00073942">
      <w:pPr>
        <w:spacing w:line="360" w:lineRule="auto"/>
        <w:rPr>
          <w:rFonts w:cstheme="minorHAnsi"/>
          <w:sz w:val="24"/>
          <w:szCs w:val="24"/>
        </w:rPr>
      </w:pPr>
      <w:hyperlink r:id="rId20" w:history="1">
        <w:r w:rsidRPr="007373DD">
          <w:rPr>
            <w:rStyle w:val="Hyperlink"/>
            <w:rFonts w:cstheme="minorHAnsi"/>
            <w:sz w:val="24"/>
            <w:szCs w:val="24"/>
          </w:rPr>
          <w:t>https://www.zohar.com/zohar/Lech%20Lecha/</w:t>
        </w:r>
      </w:hyperlink>
    </w:p>
    <w:p w14:paraId="73037D68" w14:textId="46368AA9" w:rsidR="00EC01A2" w:rsidRDefault="00EC01A2" w:rsidP="00EC01A2">
      <w:pPr>
        <w:spacing w:line="360" w:lineRule="auto"/>
        <w:ind w:left="360"/>
        <w:rPr>
          <w:color w:val="000000" w:themeColor="text1"/>
          <w:sz w:val="24"/>
          <w:szCs w:val="24"/>
        </w:rPr>
      </w:pPr>
      <w:r>
        <w:rPr>
          <w:color w:val="000000" w:themeColor="text1"/>
          <w:sz w:val="24"/>
          <w:szCs w:val="24"/>
        </w:rPr>
        <w:t xml:space="preserve">                                                                                                           </w:t>
      </w:r>
    </w:p>
    <w:p w14:paraId="714EB1AF" w14:textId="77777777" w:rsidR="00EC01A2" w:rsidRPr="00E84BBD" w:rsidRDefault="00EC01A2" w:rsidP="007E71DA">
      <w:pPr>
        <w:spacing w:line="360" w:lineRule="auto"/>
        <w:rPr>
          <w:rFonts w:cstheme="minorHAnsi"/>
          <w:color w:val="000000"/>
          <w:sz w:val="24"/>
          <w:szCs w:val="24"/>
        </w:rPr>
      </w:pPr>
    </w:p>
    <w:p w14:paraId="437EF6A5" w14:textId="77777777" w:rsidR="007E71DA" w:rsidRPr="007E71DA" w:rsidRDefault="007E71DA" w:rsidP="007E71DA">
      <w:pPr>
        <w:spacing w:line="360" w:lineRule="auto"/>
        <w:rPr>
          <w:sz w:val="24"/>
          <w:szCs w:val="24"/>
        </w:rPr>
      </w:pPr>
    </w:p>
    <w:p w14:paraId="0DE46DA1" w14:textId="77777777" w:rsidR="00297498" w:rsidRPr="009E4F70" w:rsidRDefault="00297498" w:rsidP="00297498">
      <w:pPr>
        <w:spacing w:line="360" w:lineRule="auto"/>
        <w:rPr>
          <w:rFonts w:cstheme="minorHAnsi"/>
          <w:color w:val="000000" w:themeColor="text1"/>
          <w:sz w:val="24"/>
          <w:szCs w:val="24"/>
          <w:vertAlign w:val="superscript"/>
        </w:rPr>
      </w:pPr>
    </w:p>
    <w:sectPr w:rsidR="00297498" w:rsidRPr="009E4F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529B1" w14:textId="77777777" w:rsidR="00C43195" w:rsidRDefault="00C43195" w:rsidP="00A2271A">
      <w:pPr>
        <w:spacing w:after="0" w:line="240" w:lineRule="auto"/>
      </w:pPr>
      <w:r>
        <w:separator/>
      </w:r>
    </w:p>
  </w:endnote>
  <w:endnote w:type="continuationSeparator" w:id="0">
    <w:p w14:paraId="658AE31C" w14:textId="77777777" w:rsidR="00C43195" w:rsidRDefault="00C43195" w:rsidP="00A22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Helvetica">
    <w:panose1 w:val="020B0604020202020204"/>
    <w:charset w:val="00"/>
    <w:family w:val="swiss"/>
    <w:pitch w:val="variable"/>
    <w:sig w:usb0="E0002EFF" w:usb1="C000785B" w:usb2="00000009" w:usb3="00000000" w:csb0="000001FF" w:csb1="00000000"/>
  </w:font>
  <w:font w:name="-apple-system">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656148" w14:textId="77777777" w:rsidR="00C43195" w:rsidRDefault="00C43195" w:rsidP="00A2271A">
      <w:pPr>
        <w:spacing w:after="0" w:line="240" w:lineRule="auto"/>
      </w:pPr>
      <w:r>
        <w:separator/>
      </w:r>
    </w:p>
  </w:footnote>
  <w:footnote w:type="continuationSeparator" w:id="0">
    <w:p w14:paraId="7022DD71" w14:textId="77777777" w:rsidR="00C43195" w:rsidRDefault="00C43195" w:rsidP="00A2271A">
      <w:pPr>
        <w:spacing w:after="0" w:line="240" w:lineRule="auto"/>
      </w:pPr>
      <w:r>
        <w:continuationSeparator/>
      </w:r>
    </w:p>
  </w:footnote>
  <w:footnote w:id="1">
    <w:p w14:paraId="2AB93A4D" w14:textId="77777777" w:rsidR="00A2271A" w:rsidRPr="00A2271A" w:rsidRDefault="00A2271A" w:rsidP="00A2271A">
      <w:pPr>
        <w:spacing w:line="360" w:lineRule="auto"/>
        <w:rPr>
          <w:rFonts w:cstheme="minorHAnsi"/>
          <w:sz w:val="24"/>
          <w:szCs w:val="24"/>
        </w:rPr>
      </w:pPr>
      <w:r>
        <w:rPr>
          <w:rStyle w:val="FootnoteReference"/>
        </w:rPr>
        <w:footnoteRef/>
      </w:r>
      <w:r>
        <w:t xml:space="preserve"> </w:t>
      </w:r>
      <w:bookmarkStart w:id="0" w:name="_Hlk141086227"/>
      <w:r w:rsidRPr="00A2271A">
        <w:rPr>
          <w:rFonts w:eastAsia="Times New Roman" w:cstheme="minorHAnsi"/>
          <w:color w:val="000000"/>
          <w:kern w:val="0"/>
          <w:sz w:val="24"/>
          <w:szCs w:val="24"/>
          <w:lang w:eastAsia="en-GB"/>
          <w14:ligatures w14:val="none"/>
        </w:rPr>
        <w:t>Talmud, Chagigah 3a. 14</w:t>
      </w:r>
    </w:p>
    <w:bookmarkEnd w:id="0"/>
    <w:p w14:paraId="69747893" w14:textId="1EFE6B79" w:rsidR="00A2271A" w:rsidRDefault="00A2271A">
      <w:pPr>
        <w:pStyle w:val="FootnoteText"/>
      </w:pPr>
    </w:p>
  </w:footnote>
  <w:footnote w:id="2">
    <w:p w14:paraId="4E917116" w14:textId="77777777" w:rsidR="00A2271A" w:rsidRPr="00A2271A" w:rsidRDefault="00A2271A" w:rsidP="00A2271A">
      <w:pPr>
        <w:spacing w:line="360" w:lineRule="auto"/>
        <w:rPr>
          <w:rFonts w:cstheme="minorHAnsi"/>
          <w:sz w:val="24"/>
          <w:szCs w:val="24"/>
        </w:rPr>
      </w:pPr>
      <w:r>
        <w:rPr>
          <w:rStyle w:val="FootnoteReference"/>
        </w:rPr>
        <w:footnoteRef/>
      </w:r>
      <w:r w:rsidRPr="00A2271A">
        <w:rPr>
          <w:rFonts w:cstheme="minorHAnsi"/>
          <w:sz w:val="24"/>
          <w:szCs w:val="24"/>
        </w:rPr>
        <w:t xml:space="preserve">Bob Stallman., </w:t>
      </w:r>
      <w:r w:rsidRPr="00A2271A">
        <w:rPr>
          <w:rFonts w:cstheme="minorHAnsi"/>
          <w:i/>
          <w:iCs/>
          <w:sz w:val="24"/>
          <w:szCs w:val="24"/>
        </w:rPr>
        <w:t xml:space="preserve">‘Theology of Work Project. 17’, </w:t>
      </w:r>
      <w:r w:rsidRPr="00A2271A">
        <w:rPr>
          <w:rFonts w:cstheme="minorHAnsi"/>
          <w:sz w:val="24"/>
          <w:szCs w:val="24"/>
        </w:rPr>
        <w:t>Theology of Work Project ‘Genesis 12-50’, (2013), https//digitalcommons.spu.edu/</w:t>
      </w:r>
      <w:proofErr w:type="spellStart"/>
      <w:r w:rsidRPr="00A2271A">
        <w:rPr>
          <w:rFonts w:cstheme="minorHAnsi"/>
          <w:sz w:val="24"/>
          <w:szCs w:val="24"/>
        </w:rPr>
        <w:t>tow_project</w:t>
      </w:r>
      <w:proofErr w:type="spellEnd"/>
      <w:r w:rsidRPr="00A2271A">
        <w:rPr>
          <w:rFonts w:cstheme="minorHAnsi"/>
          <w:sz w:val="24"/>
          <w:szCs w:val="24"/>
        </w:rPr>
        <w:t xml:space="preserve">/17 </w:t>
      </w:r>
    </w:p>
    <w:p w14:paraId="0342FF58" w14:textId="3CAC409E" w:rsidR="00A2271A" w:rsidRDefault="00A2271A">
      <w:pPr>
        <w:pStyle w:val="FootnoteText"/>
      </w:pPr>
      <w:r>
        <w:t xml:space="preserve"> </w:t>
      </w:r>
    </w:p>
  </w:footnote>
  <w:footnote w:id="3">
    <w:p w14:paraId="369B71A4" w14:textId="77777777" w:rsidR="00A2271A" w:rsidRPr="00A2271A" w:rsidRDefault="00A2271A" w:rsidP="00A2271A">
      <w:pPr>
        <w:spacing w:line="360" w:lineRule="auto"/>
        <w:rPr>
          <w:rFonts w:cstheme="minorHAnsi"/>
          <w:color w:val="000000" w:themeColor="text1"/>
          <w:sz w:val="24"/>
          <w:szCs w:val="24"/>
        </w:rPr>
      </w:pPr>
      <w:r>
        <w:rPr>
          <w:rStyle w:val="FootnoteReference"/>
        </w:rPr>
        <w:footnoteRef/>
      </w:r>
      <w:r>
        <w:t xml:space="preserve"> </w:t>
      </w:r>
      <w:bookmarkStart w:id="2" w:name="_Hlk141087783"/>
      <w:r w:rsidRPr="00A2271A">
        <w:rPr>
          <w:rFonts w:cstheme="minorHAnsi"/>
          <w:color w:val="000000" w:themeColor="text1"/>
          <w:sz w:val="24"/>
          <w:szCs w:val="24"/>
          <w:shd w:val="clear" w:color="auto" w:fill="FFFFFF"/>
        </w:rPr>
        <w:t>Genesis Apocryphon (</w:t>
      </w:r>
      <w:r w:rsidRPr="00A2271A">
        <w:rPr>
          <w:sz w:val="24"/>
          <w:szCs w:val="24"/>
        </w:rPr>
        <w:t>1QapGen)</w:t>
      </w:r>
    </w:p>
    <w:bookmarkEnd w:id="2"/>
    <w:p w14:paraId="1EE94D51" w14:textId="04636A9C" w:rsidR="00A2271A" w:rsidRDefault="00A2271A">
      <w:pPr>
        <w:pStyle w:val="FootnoteText"/>
      </w:pPr>
    </w:p>
    <w:p w14:paraId="56C38D2A" w14:textId="77777777" w:rsidR="00A2271A" w:rsidRDefault="00A2271A">
      <w:pPr>
        <w:pStyle w:val="FootnoteText"/>
      </w:pPr>
    </w:p>
    <w:p w14:paraId="5DA6970C" w14:textId="77777777" w:rsidR="00A2271A" w:rsidRDefault="00A2271A">
      <w:pPr>
        <w:pStyle w:val="FootnoteText"/>
      </w:pPr>
    </w:p>
    <w:p w14:paraId="5C36CD97" w14:textId="77777777" w:rsidR="00A2271A" w:rsidRDefault="00A2271A">
      <w:pPr>
        <w:pStyle w:val="FootnoteText"/>
      </w:pPr>
    </w:p>
  </w:footnote>
  <w:footnote w:id="4">
    <w:p w14:paraId="22484612" w14:textId="77777777" w:rsidR="00E90ABB" w:rsidRDefault="00A2271A" w:rsidP="00E90ABB">
      <w:pPr>
        <w:spacing w:line="360" w:lineRule="auto"/>
        <w:rPr>
          <w:rFonts w:cstheme="minorHAnsi"/>
          <w:i/>
          <w:iCs/>
          <w:color w:val="000000" w:themeColor="text1"/>
          <w:sz w:val="24"/>
          <w:szCs w:val="24"/>
          <w:shd w:val="clear" w:color="auto" w:fill="FFFFFF"/>
        </w:rPr>
      </w:pPr>
      <w:r>
        <w:rPr>
          <w:rStyle w:val="FootnoteReference"/>
        </w:rPr>
        <w:footnoteRef/>
      </w:r>
      <w:r>
        <w:t xml:space="preserve"> </w:t>
      </w:r>
      <w:r w:rsidRPr="00A2271A">
        <w:rPr>
          <w:rFonts w:cstheme="minorHAnsi"/>
          <w:color w:val="000000" w:themeColor="text1"/>
          <w:sz w:val="24"/>
          <w:szCs w:val="24"/>
          <w:shd w:val="clear" w:color="auto" w:fill="FFFFFF"/>
        </w:rPr>
        <w:t xml:space="preserve">Trans. Joseph A. </w:t>
      </w:r>
      <w:proofErr w:type="spellStart"/>
      <w:r w:rsidRPr="00A2271A">
        <w:rPr>
          <w:rFonts w:cstheme="minorHAnsi"/>
          <w:color w:val="000000" w:themeColor="text1"/>
          <w:sz w:val="24"/>
          <w:szCs w:val="24"/>
          <w:shd w:val="clear" w:color="auto" w:fill="FFFFFF"/>
        </w:rPr>
        <w:t>Fitzmyer</w:t>
      </w:r>
      <w:proofErr w:type="spellEnd"/>
      <w:r w:rsidRPr="00A2271A">
        <w:rPr>
          <w:rFonts w:cstheme="minorHAnsi"/>
          <w:color w:val="000000" w:themeColor="text1"/>
          <w:sz w:val="24"/>
          <w:szCs w:val="24"/>
          <w:shd w:val="clear" w:color="auto" w:fill="FFFFFF"/>
        </w:rPr>
        <w:t>, </w:t>
      </w:r>
      <w:r>
        <w:t>‘</w:t>
      </w:r>
      <w:r w:rsidRPr="00A2271A">
        <w:rPr>
          <w:rFonts w:cstheme="minorHAnsi"/>
          <w:i/>
          <w:iCs/>
          <w:color w:val="000000" w:themeColor="text1"/>
          <w:sz w:val="24"/>
          <w:szCs w:val="24"/>
          <w:shd w:val="clear" w:color="auto" w:fill="FFFFFF"/>
        </w:rPr>
        <w:t xml:space="preserve">The Genesis Apocryphon of Qumran Cave 1: A </w:t>
      </w:r>
    </w:p>
    <w:p w14:paraId="1198FF68" w14:textId="49B4E65F" w:rsidR="00A2271A" w:rsidRPr="00E90ABB" w:rsidRDefault="00A2271A" w:rsidP="00E90ABB">
      <w:pPr>
        <w:spacing w:line="360" w:lineRule="auto"/>
        <w:rPr>
          <w:rFonts w:cstheme="minorHAnsi"/>
          <w:sz w:val="24"/>
          <w:szCs w:val="24"/>
        </w:rPr>
      </w:pPr>
      <w:r w:rsidRPr="00A2271A">
        <w:rPr>
          <w:rFonts w:cstheme="minorHAnsi"/>
          <w:i/>
          <w:iCs/>
          <w:color w:val="000000" w:themeColor="text1"/>
          <w:sz w:val="24"/>
          <w:szCs w:val="24"/>
          <w:shd w:val="clear" w:color="auto" w:fill="FFFFFF"/>
        </w:rPr>
        <w:t>Commentary’ </w:t>
      </w:r>
      <w:r>
        <w:t xml:space="preserve">(1QapGen 19:14-20) </w:t>
      </w:r>
      <w:r w:rsidRPr="00A2271A">
        <w:rPr>
          <w:rFonts w:cstheme="minorHAnsi"/>
          <w:color w:val="000000" w:themeColor="text1"/>
          <w:sz w:val="24"/>
          <w:szCs w:val="24"/>
          <w:shd w:val="clear" w:color="auto" w:fill="FFFFFF"/>
        </w:rPr>
        <w:t>(Rome: Biblical Institute Press, 1966), 51, 53</w:t>
      </w:r>
    </w:p>
  </w:footnote>
  <w:footnote w:id="5">
    <w:p w14:paraId="13CCBFBF" w14:textId="50BC5544" w:rsidR="00A2271A" w:rsidRPr="00E90ABB" w:rsidRDefault="00A2271A" w:rsidP="00E90ABB">
      <w:pPr>
        <w:spacing w:line="360" w:lineRule="auto"/>
        <w:rPr>
          <w:rFonts w:cstheme="minorHAnsi"/>
          <w:sz w:val="24"/>
          <w:szCs w:val="24"/>
        </w:rPr>
      </w:pPr>
      <w:r>
        <w:rPr>
          <w:rStyle w:val="FootnoteReference"/>
        </w:rPr>
        <w:footnoteRef/>
      </w:r>
      <w:r>
        <w:t xml:space="preserve"> </w:t>
      </w:r>
      <w:r w:rsidRPr="00A2271A">
        <w:rPr>
          <w:rFonts w:cstheme="minorHAnsi"/>
          <w:color w:val="000000" w:themeColor="text1"/>
          <w:sz w:val="24"/>
          <w:szCs w:val="24"/>
          <w:shd w:val="clear" w:color="auto" w:fill="FFFFFF"/>
        </w:rPr>
        <w:t xml:space="preserve">Trans. Joseph A. </w:t>
      </w:r>
      <w:proofErr w:type="spellStart"/>
      <w:r w:rsidRPr="00A2271A">
        <w:rPr>
          <w:rFonts w:cstheme="minorHAnsi"/>
          <w:color w:val="000000" w:themeColor="text1"/>
          <w:sz w:val="24"/>
          <w:szCs w:val="24"/>
          <w:shd w:val="clear" w:color="auto" w:fill="FFFFFF"/>
        </w:rPr>
        <w:t>Fitzmyer</w:t>
      </w:r>
      <w:proofErr w:type="spellEnd"/>
      <w:r w:rsidRPr="00A2271A">
        <w:rPr>
          <w:rFonts w:cstheme="minorHAnsi"/>
          <w:color w:val="000000" w:themeColor="text1"/>
          <w:sz w:val="24"/>
          <w:szCs w:val="24"/>
          <w:shd w:val="clear" w:color="auto" w:fill="FFFFFF"/>
        </w:rPr>
        <w:t>., </w:t>
      </w:r>
      <w:r>
        <w:t xml:space="preserve">(1QapGen 19:21-2) </w:t>
      </w:r>
      <w:r w:rsidRPr="00A2271A">
        <w:rPr>
          <w:rFonts w:cstheme="minorHAnsi"/>
          <w:sz w:val="24"/>
          <w:szCs w:val="24"/>
        </w:rPr>
        <w:t xml:space="preserve"> </w:t>
      </w:r>
    </w:p>
  </w:footnote>
  <w:footnote w:id="6">
    <w:p w14:paraId="23CBAEDF" w14:textId="641FFB6D" w:rsidR="00A2271A" w:rsidRPr="00E90ABB" w:rsidRDefault="00A2271A" w:rsidP="00E90ABB">
      <w:pPr>
        <w:spacing w:line="360" w:lineRule="auto"/>
        <w:rPr>
          <w:rFonts w:cstheme="minorHAnsi"/>
          <w:sz w:val="24"/>
          <w:szCs w:val="24"/>
        </w:rPr>
      </w:pPr>
      <w:r>
        <w:rPr>
          <w:rStyle w:val="FootnoteReference"/>
        </w:rPr>
        <w:footnoteRef/>
      </w:r>
      <w:r>
        <w:t xml:space="preserve"> </w:t>
      </w:r>
      <w:r w:rsidRPr="00A2271A">
        <w:rPr>
          <w:rFonts w:cstheme="minorHAnsi"/>
          <w:color w:val="000000" w:themeColor="text1"/>
          <w:sz w:val="24"/>
          <w:szCs w:val="24"/>
          <w:shd w:val="clear" w:color="auto" w:fill="FFFFFF"/>
        </w:rPr>
        <w:t xml:space="preserve">Trans. Joseph A. </w:t>
      </w:r>
      <w:proofErr w:type="spellStart"/>
      <w:r w:rsidRPr="00A2271A">
        <w:rPr>
          <w:rFonts w:cstheme="minorHAnsi"/>
          <w:color w:val="000000" w:themeColor="text1"/>
          <w:sz w:val="24"/>
          <w:szCs w:val="24"/>
          <w:shd w:val="clear" w:color="auto" w:fill="FFFFFF"/>
        </w:rPr>
        <w:t>Fitzmyer</w:t>
      </w:r>
      <w:proofErr w:type="spellEnd"/>
      <w:r w:rsidRPr="00A2271A">
        <w:rPr>
          <w:rFonts w:cstheme="minorHAnsi"/>
          <w:color w:val="000000" w:themeColor="text1"/>
          <w:sz w:val="24"/>
          <w:szCs w:val="24"/>
          <w:shd w:val="clear" w:color="auto" w:fill="FFFFFF"/>
        </w:rPr>
        <w:t>., </w:t>
      </w:r>
      <w:r>
        <w:t>(1QapGen 20:2-3)</w:t>
      </w:r>
    </w:p>
  </w:footnote>
  <w:footnote w:id="7">
    <w:p w14:paraId="13886A8A" w14:textId="39FD69C0" w:rsidR="00A2271A" w:rsidRPr="00E90ABB" w:rsidRDefault="00A2271A" w:rsidP="00E90ABB">
      <w:pPr>
        <w:spacing w:line="360" w:lineRule="auto"/>
        <w:rPr>
          <w:rFonts w:cstheme="minorHAnsi"/>
          <w:sz w:val="24"/>
          <w:szCs w:val="24"/>
        </w:rPr>
      </w:pPr>
      <w:r>
        <w:rPr>
          <w:rStyle w:val="FootnoteReference"/>
        </w:rPr>
        <w:footnoteRef/>
      </w:r>
      <w:r>
        <w:t xml:space="preserve"> </w:t>
      </w:r>
      <w:r w:rsidRPr="00E90ABB">
        <w:rPr>
          <w:rFonts w:cstheme="minorHAnsi"/>
          <w:sz w:val="24"/>
          <w:szCs w:val="24"/>
        </w:rPr>
        <w:t xml:space="preserve">Daniel M. </w:t>
      </w:r>
      <w:proofErr w:type="spellStart"/>
      <w:r w:rsidRPr="00E90ABB">
        <w:rPr>
          <w:rFonts w:cstheme="minorHAnsi"/>
          <w:sz w:val="24"/>
          <w:szCs w:val="24"/>
        </w:rPr>
        <w:t>Picus</w:t>
      </w:r>
      <w:proofErr w:type="spellEnd"/>
      <w:proofErr w:type="gramStart"/>
      <w:r w:rsidRPr="00E90ABB">
        <w:rPr>
          <w:rFonts w:cstheme="minorHAnsi"/>
          <w:sz w:val="24"/>
          <w:szCs w:val="24"/>
        </w:rPr>
        <w:t>.,</w:t>
      </w:r>
      <w:r w:rsidRPr="00E90ABB">
        <w:rPr>
          <w:i/>
          <w:iCs/>
          <w:sz w:val="24"/>
          <w:szCs w:val="24"/>
        </w:rPr>
        <w:t>‘</w:t>
      </w:r>
      <w:proofErr w:type="gramEnd"/>
      <w:r w:rsidRPr="00E90ABB">
        <w:rPr>
          <w:i/>
          <w:iCs/>
          <w:sz w:val="24"/>
          <w:szCs w:val="24"/>
        </w:rPr>
        <w:t>Loveliness Far Above Them All: Women and Wives of the Genesis Apocryphon,’</w:t>
      </w:r>
      <w:r w:rsidRPr="00E90ABB">
        <w:rPr>
          <w:sz w:val="24"/>
          <w:szCs w:val="24"/>
        </w:rPr>
        <w:t xml:space="preserve"> Studies in Mediterranean Antiquity and Classics: Vol. 6: </w:t>
      </w:r>
      <w:proofErr w:type="spellStart"/>
      <w:r w:rsidRPr="00E90ABB">
        <w:rPr>
          <w:sz w:val="24"/>
          <w:szCs w:val="24"/>
        </w:rPr>
        <w:t>Iss</w:t>
      </w:r>
      <w:proofErr w:type="spellEnd"/>
      <w:r w:rsidRPr="00E90ABB">
        <w:rPr>
          <w:sz w:val="24"/>
          <w:szCs w:val="24"/>
        </w:rPr>
        <w:t>. 1, Article 3. (2002) p.9</w:t>
      </w:r>
    </w:p>
  </w:footnote>
  <w:footnote w:id="8">
    <w:p w14:paraId="24D9E6D9" w14:textId="126ED84B" w:rsidR="00E90ABB" w:rsidRPr="00E90ABB" w:rsidRDefault="00E90ABB" w:rsidP="00E90ABB">
      <w:pPr>
        <w:spacing w:line="360" w:lineRule="auto"/>
        <w:rPr>
          <w:rFonts w:cstheme="minorHAnsi"/>
          <w:sz w:val="24"/>
          <w:szCs w:val="24"/>
        </w:rPr>
      </w:pPr>
      <w:r>
        <w:rPr>
          <w:rStyle w:val="FootnoteReference"/>
        </w:rPr>
        <w:footnoteRef/>
      </w:r>
      <w:r>
        <w:t xml:space="preserve"> </w:t>
      </w:r>
      <w:r w:rsidRPr="00E90ABB">
        <w:rPr>
          <w:rFonts w:cstheme="minorHAnsi"/>
          <w:color w:val="000000" w:themeColor="text1"/>
          <w:sz w:val="24"/>
          <w:szCs w:val="24"/>
          <w:shd w:val="clear" w:color="auto" w:fill="FFFFFF"/>
        </w:rPr>
        <w:t xml:space="preserve">Trans. Joseph A. </w:t>
      </w:r>
      <w:proofErr w:type="spellStart"/>
      <w:r w:rsidRPr="00E90ABB">
        <w:rPr>
          <w:rFonts w:cstheme="minorHAnsi"/>
          <w:color w:val="000000" w:themeColor="text1"/>
          <w:sz w:val="24"/>
          <w:szCs w:val="24"/>
          <w:shd w:val="clear" w:color="auto" w:fill="FFFFFF"/>
        </w:rPr>
        <w:t>Fitzmyer</w:t>
      </w:r>
      <w:proofErr w:type="spellEnd"/>
      <w:r w:rsidRPr="00E90ABB">
        <w:rPr>
          <w:rFonts w:cstheme="minorHAnsi"/>
          <w:color w:val="000000" w:themeColor="text1"/>
          <w:sz w:val="24"/>
          <w:szCs w:val="24"/>
          <w:shd w:val="clear" w:color="auto" w:fill="FFFFFF"/>
        </w:rPr>
        <w:t>., </w:t>
      </w:r>
      <w:r w:rsidRPr="00E90ABB">
        <w:rPr>
          <w:sz w:val="24"/>
          <w:szCs w:val="24"/>
        </w:rPr>
        <w:t>(1QapGen 20:12)</w:t>
      </w:r>
    </w:p>
  </w:footnote>
  <w:footnote w:id="9">
    <w:p w14:paraId="25A7474A" w14:textId="6EA2E7E1" w:rsidR="00E90ABB" w:rsidRPr="00E90ABB" w:rsidRDefault="00E90ABB" w:rsidP="00E90ABB">
      <w:pPr>
        <w:spacing w:line="360" w:lineRule="auto"/>
        <w:rPr>
          <w:rFonts w:cstheme="minorHAnsi"/>
          <w:sz w:val="24"/>
          <w:szCs w:val="24"/>
        </w:rPr>
      </w:pPr>
      <w:r>
        <w:rPr>
          <w:rStyle w:val="FootnoteReference"/>
        </w:rPr>
        <w:footnoteRef/>
      </w:r>
      <w:r>
        <w:t xml:space="preserve"> </w:t>
      </w:r>
      <w:r w:rsidRPr="00E90ABB">
        <w:rPr>
          <w:rFonts w:cstheme="minorHAnsi"/>
          <w:color w:val="000000" w:themeColor="text1"/>
          <w:sz w:val="24"/>
          <w:szCs w:val="24"/>
          <w:shd w:val="clear" w:color="auto" w:fill="FFFFFF"/>
        </w:rPr>
        <w:t xml:space="preserve">Trans. Joseph A. </w:t>
      </w:r>
      <w:proofErr w:type="spellStart"/>
      <w:r w:rsidRPr="00E90ABB">
        <w:rPr>
          <w:rFonts w:cstheme="minorHAnsi"/>
          <w:color w:val="000000" w:themeColor="text1"/>
          <w:sz w:val="24"/>
          <w:szCs w:val="24"/>
          <w:shd w:val="clear" w:color="auto" w:fill="FFFFFF"/>
        </w:rPr>
        <w:t>Fitzmyer</w:t>
      </w:r>
      <w:proofErr w:type="spellEnd"/>
      <w:r w:rsidRPr="00E90ABB">
        <w:rPr>
          <w:rFonts w:cstheme="minorHAnsi"/>
          <w:color w:val="000000" w:themeColor="text1"/>
          <w:sz w:val="24"/>
          <w:szCs w:val="24"/>
          <w:shd w:val="clear" w:color="auto" w:fill="FFFFFF"/>
        </w:rPr>
        <w:t>., </w:t>
      </w:r>
      <w:r w:rsidRPr="00E90ABB">
        <w:rPr>
          <w:sz w:val="24"/>
          <w:szCs w:val="24"/>
        </w:rPr>
        <w:t>(1QapGen 20:2-7)</w:t>
      </w:r>
    </w:p>
    <w:p w14:paraId="11ED02A0" w14:textId="77777777" w:rsidR="00E90ABB" w:rsidRDefault="00E90ABB">
      <w:pPr>
        <w:pStyle w:val="FootnoteText"/>
      </w:pPr>
    </w:p>
  </w:footnote>
  <w:footnote w:id="10">
    <w:p w14:paraId="6D6C6454" w14:textId="77777777" w:rsidR="00E90ABB" w:rsidRPr="00E90ABB" w:rsidRDefault="00E90ABB" w:rsidP="00E90ABB">
      <w:pPr>
        <w:spacing w:line="360" w:lineRule="auto"/>
        <w:rPr>
          <w:rFonts w:cstheme="minorHAnsi"/>
          <w:sz w:val="24"/>
          <w:szCs w:val="24"/>
        </w:rPr>
      </w:pPr>
      <w:r>
        <w:rPr>
          <w:rStyle w:val="FootnoteReference"/>
        </w:rPr>
        <w:footnoteRef/>
      </w:r>
      <w:r>
        <w:t xml:space="preserve"> </w:t>
      </w:r>
      <w:proofErr w:type="spellStart"/>
      <w:r w:rsidRPr="00E90ABB">
        <w:rPr>
          <w:rFonts w:cstheme="minorHAnsi"/>
          <w:sz w:val="24"/>
          <w:szCs w:val="24"/>
        </w:rPr>
        <w:t>Picus</w:t>
      </w:r>
      <w:proofErr w:type="spellEnd"/>
      <w:r w:rsidRPr="00E90ABB">
        <w:rPr>
          <w:rFonts w:cstheme="minorHAnsi"/>
          <w:sz w:val="24"/>
          <w:szCs w:val="24"/>
        </w:rPr>
        <w:t xml:space="preserve">., </w:t>
      </w:r>
      <w:r w:rsidRPr="00E90ABB">
        <w:rPr>
          <w:i/>
          <w:iCs/>
          <w:sz w:val="24"/>
          <w:szCs w:val="24"/>
        </w:rPr>
        <w:t>‘Loveliness Far Above Them All: Women and Wives of the Genesis Apocryphon,’</w:t>
      </w:r>
      <w:r w:rsidRPr="00E90ABB">
        <w:rPr>
          <w:sz w:val="24"/>
          <w:szCs w:val="24"/>
        </w:rPr>
        <w:t xml:space="preserve"> p.3</w:t>
      </w:r>
    </w:p>
    <w:p w14:paraId="3E99F46C" w14:textId="7251D848" w:rsidR="00E90ABB" w:rsidRDefault="00E90ABB">
      <w:pPr>
        <w:pStyle w:val="FootnoteText"/>
      </w:pPr>
    </w:p>
  </w:footnote>
  <w:footnote w:id="11">
    <w:p w14:paraId="0A747F6D" w14:textId="014908F6" w:rsidR="00E90ABB" w:rsidRPr="00E90ABB" w:rsidRDefault="00E90ABB" w:rsidP="00E90ABB">
      <w:pPr>
        <w:spacing w:line="360" w:lineRule="auto"/>
        <w:rPr>
          <w:rFonts w:cstheme="minorHAnsi"/>
          <w:sz w:val="24"/>
          <w:szCs w:val="24"/>
        </w:rPr>
      </w:pPr>
      <w:r>
        <w:rPr>
          <w:rStyle w:val="FootnoteReference"/>
        </w:rPr>
        <w:footnoteRef/>
      </w:r>
      <w:r>
        <w:t xml:space="preserve"> </w:t>
      </w:r>
      <w:proofErr w:type="spellStart"/>
      <w:r w:rsidRPr="00E90ABB">
        <w:rPr>
          <w:rFonts w:cstheme="minorHAnsi"/>
          <w:sz w:val="24"/>
          <w:szCs w:val="24"/>
        </w:rPr>
        <w:t>Picus</w:t>
      </w:r>
      <w:proofErr w:type="spellEnd"/>
      <w:r w:rsidRPr="00E90ABB">
        <w:rPr>
          <w:rFonts w:cstheme="minorHAnsi"/>
          <w:sz w:val="24"/>
          <w:szCs w:val="24"/>
        </w:rPr>
        <w:t xml:space="preserve">., </w:t>
      </w:r>
      <w:r>
        <w:rPr>
          <w:sz w:val="24"/>
          <w:szCs w:val="24"/>
        </w:rPr>
        <w:t xml:space="preserve">Ibid. </w:t>
      </w:r>
      <w:r w:rsidRPr="00E90ABB">
        <w:rPr>
          <w:sz w:val="24"/>
          <w:szCs w:val="24"/>
        </w:rPr>
        <w:t>pgs. 2-3</w:t>
      </w:r>
    </w:p>
    <w:p w14:paraId="07AAB373" w14:textId="32493D29" w:rsidR="00E90ABB" w:rsidRDefault="00E90ABB">
      <w:pPr>
        <w:pStyle w:val="FootnoteText"/>
      </w:pPr>
    </w:p>
  </w:footnote>
  <w:footnote w:id="12">
    <w:p w14:paraId="48A31C64"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rFonts w:cstheme="minorHAnsi"/>
          <w:color w:val="000000" w:themeColor="text1"/>
          <w:sz w:val="24"/>
          <w:szCs w:val="24"/>
          <w:shd w:val="clear" w:color="auto" w:fill="FFFFFF"/>
        </w:rPr>
        <w:t xml:space="preserve">Trans. Joseph A. </w:t>
      </w:r>
      <w:proofErr w:type="spellStart"/>
      <w:r w:rsidRPr="007B6F38">
        <w:rPr>
          <w:rFonts w:cstheme="minorHAnsi"/>
          <w:color w:val="000000" w:themeColor="text1"/>
          <w:sz w:val="24"/>
          <w:szCs w:val="24"/>
          <w:shd w:val="clear" w:color="auto" w:fill="FFFFFF"/>
        </w:rPr>
        <w:t>Fitzmyer</w:t>
      </w:r>
      <w:proofErr w:type="spellEnd"/>
      <w:r w:rsidRPr="007B6F38">
        <w:rPr>
          <w:rFonts w:cstheme="minorHAnsi"/>
          <w:color w:val="000000" w:themeColor="text1"/>
          <w:sz w:val="24"/>
          <w:szCs w:val="24"/>
          <w:shd w:val="clear" w:color="auto" w:fill="FFFFFF"/>
        </w:rPr>
        <w:t>, </w:t>
      </w:r>
      <w:r>
        <w:t>(1QapGen 20:21-22)</w:t>
      </w:r>
    </w:p>
    <w:p w14:paraId="369DB916" w14:textId="34850A69" w:rsidR="007B6F38" w:rsidRDefault="007B6F38">
      <w:pPr>
        <w:pStyle w:val="FootnoteText"/>
      </w:pPr>
    </w:p>
  </w:footnote>
  <w:footnote w:id="13">
    <w:p w14:paraId="46222F24"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proofErr w:type="spellStart"/>
      <w:r w:rsidRPr="007B6F38">
        <w:rPr>
          <w:rFonts w:cstheme="minorHAnsi"/>
          <w:sz w:val="24"/>
          <w:szCs w:val="24"/>
        </w:rPr>
        <w:t>Picus</w:t>
      </w:r>
      <w:proofErr w:type="spellEnd"/>
      <w:r w:rsidRPr="007B6F38">
        <w:rPr>
          <w:rFonts w:cstheme="minorHAnsi"/>
          <w:sz w:val="24"/>
          <w:szCs w:val="24"/>
        </w:rPr>
        <w:t xml:space="preserve">., </w:t>
      </w:r>
      <w:r w:rsidRPr="007B6F38">
        <w:rPr>
          <w:i/>
          <w:iCs/>
          <w:sz w:val="24"/>
          <w:szCs w:val="24"/>
        </w:rPr>
        <w:t>‘Loveliness Far Above Them All: Women and Wives of the Genesis Apocryphon,’</w:t>
      </w:r>
      <w:r w:rsidRPr="007B6F38">
        <w:rPr>
          <w:sz w:val="24"/>
          <w:szCs w:val="24"/>
        </w:rPr>
        <w:t xml:space="preserve"> p.10</w:t>
      </w:r>
    </w:p>
    <w:p w14:paraId="5E96C2D5" w14:textId="287756A1" w:rsidR="007B6F38" w:rsidRDefault="007B6F38">
      <w:pPr>
        <w:pStyle w:val="FootnoteText"/>
      </w:pPr>
    </w:p>
  </w:footnote>
  <w:footnote w:id="14">
    <w:p w14:paraId="53404FE4"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rFonts w:cstheme="minorHAnsi"/>
          <w:sz w:val="24"/>
          <w:szCs w:val="24"/>
        </w:rPr>
        <w:t>Ibid. p.8</w:t>
      </w:r>
    </w:p>
    <w:p w14:paraId="343AF121" w14:textId="6545C1B5" w:rsidR="007B6F38" w:rsidRDefault="007B6F38">
      <w:pPr>
        <w:pStyle w:val="FootnoteText"/>
      </w:pPr>
    </w:p>
  </w:footnote>
  <w:footnote w:id="15">
    <w:p w14:paraId="09136AE1"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sz w:val="24"/>
          <w:szCs w:val="24"/>
        </w:rPr>
        <w:t xml:space="preserve">Daniel A. Machiela., </w:t>
      </w:r>
      <w:r w:rsidRPr="007B6F38">
        <w:rPr>
          <w:i/>
          <w:iCs/>
          <w:sz w:val="24"/>
          <w:szCs w:val="24"/>
        </w:rPr>
        <w:t xml:space="preserve">“The Genesis Apocryphon (1Q20): A </w:t>
      </w:r>
      <w:proofErr w:type="spellStart"/>
      <w:r w:rsidRPr="007B6F38">
        <w:rPr>
          <w:i/>
          <w:iCs/>
          <w:sz w:val="24"/>
          <w:szCs w:val="24"/>
        </w:rPr>
        <w:t>Reevaluation</w:t>
      </w:r>
      <w:proofErr w:type="spellEnd"/>
      <w:r w:rsidRPr="007B6F38">
        <w:rPr>
          <w:i/>
          <w:iCs/>
          <w:sz w:val="24"/>
          <w:szCs w:val="24"/>
        </w:rPr>
        <w:t xml:space="preserve"> of its Text, Interpretive Character, and Relationship to the Book of Jubilees.”</w:t>
      </w:r>
      <w:r w:rsidRPr="007B6F38">
        <w:rPr>
          <w:sz w:val="24"/>
          <w:szCs w:val="24"/>
        </w:rPr>
        <w:t xml:space="preserve"> PhD diss., University of Notre Dame, (2007) p. 289</w:t>
      </w:r>
    </w:p>
    <w:p w14:paraId="5E67372E" w14:textId="48F7E785" w:rsidR="007B6F38" w:rsidRDefault="007B6F38">
      <w:pPr>
        <w:pStyle w:val="FootnoteText"/>
      </w:pPr>
    </w:p>
  </w:footnote>
  <w:footnote w:id="16">
    <w:p w14:paraId="54AF9266" w14:textId="3F022351"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sz w:val="24"/>
          <w:szCs w:val="24"/>
        </w:rPr>
        <w:t xml:space="preserve">Beate Ego, “The Figure of Abraham in the Genesis Apocryphon's Re-narration of Gen 12:10-20” in Qumran Cave 1 Revisited, (Leiden: </w:t>
      </w:r>
      <w:proofErr w:type="spellStart"/>
      <w:r w:rsidRPr="007B6F38">
        <w:rPr>
          <w:sz w:val="24"/>
          <w:szCs w:val="24"/>
        </w:rPr>
        <w:t>Koninklijke</w:t>
      </w:r>
      <w:proofErr w:type="spellEnd"/>
      <w:r w:rsidRPr="007B6F38">
        <w:rPr>
          <w:sz w:val="24"/>
          <w:szCs w:val="24"/>
        </w:rPr>
        <w:t xml:space="preserve"> Brill NV, 2010), pg. 235</w:t>
      </w:r>
    </w:p>
    <w:p w14:paraId="7E0D4924" w14:textId="6E902865" w:rsidR="007B6F38" w:rsidRDefault="007B6F38">
      <w:pPr>
        <w:pStyle w:val="FootnoteText"/>
      </w:pPr>
    </w:p>
  </w:footnote>
  <w:footnote w:id="17">
    <w:p w14:paraId="78056B2A"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rFonts w:cstheme="minorHAnsi"/>
          <w:color w:val="000000" w:themeColor="text1"/>
          <w:sz w:val="24"/>
          <w:szCs w:val="24"/>
          <w:shd w:val="clear" w:color="auto" w:fill="FFFFFF"/>
        </w:rPr>
        <w:t>Trans. Joseph A. Fitzmyer.,</w:t>
      </w:r>
      <w:r w:rsidRPr="007B6F38">
        <w:rPr>
          <w:sz w:val="24"/>
          <w:szCs w:val="24"/>
        </w:rPr>
        <w:t>7 1QapGen 19.22</w:t>
      </w:r>
    </w:p>
    <w:p w14:paraId="2C745E91" w14:textId="02ED315C" w:rsidR="007B6F38" w:rsidRDefault="007B6F38">
      <w:pPr>
        <w:pStyle w:val="FootnoteText"/>
      </w:pPr>
    </w:p>
  </w:footnote>
  <w:footnote w:id="18">
    <w:p w14:paraId="677D296E"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sz w:val="24"/>
          <w:szCs w:val="24"/>
        </w:rPr>
        <w:t>Book of Jubilees 13:11</w:t>
      </w:r>
    </w:p>
    <w:p w14:paraId="74EEB148" w14:textId="47AB6090" w:rsidR="007B6F38" w:rsidRDefault="007B6F38">
      <w:pPr>
        <w:pStyle w:val="FootnoteText"/>
      </w:pPr>
    </w:p>
  </w:footnote>
  <w:footnote w:id="19">
    <w:p w14:paraId="11E7A0A3"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sz w:val="24"/>
          <w:szCs w:val="24"/>
        </w:rPr>
        <w:t>Ibid. 13:14</w:t>
      </w:r>
    </w:p>
    <w:p w14:paraId="34676C0C" w14:textId="7E0A5B23" w:rsidR="007B6F38" w:rsidRDefault="007B6F38">
      <w:pPr>
        <w:pStyle w:val="FootnoteText"/>
      </w:pPr>
    </w:p>
  </w:footnote>
  <w:footnote w:id="20">
    <w:p w14:paraId="07F86668" w14:textId="77777777" w:rsidR="007B6F38" w:rsidRPr="007B6F38" w:rsidRDefault="007B6F38" w:rsidP="007B6F38">
      <w:pPr>
        <w:spacing w:line="360" w:lineRule="auto"/>
        <w:rPr>
          <w:rStyle w:val="Hyperlink"/>
          <w:rFonts w:cstheme="minorHAnsi"/>
          <w:color w:val="auto"/>
          <w:sz w:val="24"/>
          <w:szCs w:val="24"/>
          <w:u w:val="none"/>
        </w:rPr>
      </w:pPr>
      <w:r w:rsidRPr="00917C7D">
        <w:rPr>
          <w:rStyle w:val="Hyperlink"/>
          <w:color w:val="000000" w:themeColor="text1"/>
          <w:u w:val="none"/>
          <w:vertAlign w:val="superscript"/>
        </w:rPr>
        <w:footnoteRef/>
      </w:r>
      <w:r>
        <w:t xml:space="preserve"> </w:t>
      </w:r>
      <w:r w:rsidRPr="007B6F38">
        <w:rPr>
          <w:sz w:val="24"/>
          <w:szCs w:val="24"/>
        </w:rPr>
        <w:t>P</w:t>
      </w:r>
      <w:r w:rsidRPr="007B6F38">
        <w:rPr>
          <w:rFonts w:cstheme="minorHAnsi"/>
          <w:sz w:val="24"/>
          <w:szCs w:val="24"/>
        </w:rPr>
        <w:t xml:space="preserve">rof. C. </w:t>
      </w:r>
      <w:proofErr w:type="gramStart"/>
      <w:r w:rsidRPr="007B6F38">
        <w:rPr>
          <w:rFonts w:cstheme="minorHAnsi"/>
          <w:sz w:val="24"/>
          <w:szCs w:val="24"/>
        </w:rPr>
        <w:t>Levin,.</w:t>
      </w:r>
      <w:proofErr w:type="gramEnd"/>
      <w:r w:rsidRPr="007B6F38">
        <w:rPr>
          <w:rFonts w:cstheme="minorHAnsi"/>
          <w:sz w:val="24"/>
          <w:szCs w:val="24"/>
        </w:rPr>
        <w:t xml:space="preserve"> </w:t>
      </w:r>
      <w:r w:rsidRPr="007B6F38">
        <w:rPr>
          <w:rFonts w:cstheme="minorHAnsi"/>
          <w:i/>
          <w:iCs/>
          <w:sz w:val="24"/>
          <w:szCs w:val="24"/>
        </w:rPr>
        <w:t>‘</w:t>
      </w:r>
      <w:r w:rsidRPr="007B6F38">
        <w:rPr>
          <w:rFonts w:eastAsia="Times New Roman" w:cstheme="minorHAnsi"/>
          <w:i/>
          <w:iCs/>
          <w:kern w:val="36"/>
          <w:sz w:val="24"/>
          <w:szCs w:val="24"/>
          <w:lang w:eastAsia="en-GB"/>
          <w14:ligatures w14:val="none"/>
        </w:rPr>
        <w:t>Abraham and Sarah in Egypt: A Story Composed to Prefigure the Exodus’,</w:t>
      </w:r>
      <w:r w:rsidRPr="007B6F38">
        <w:rPr>
          <w:rFonts w:eastAsia="Times New Roman" w:cstheme="minorHAnsi"/>
          <w:kern w:val="36"/>
          <w:sz w:val="24"/>
          <w:szCs w:val="24"/>
          <w:lang w:eastAsia="en-GB"/>
          <w14:ligatures w14:val="none"/>
        </w:rPr>
        <w:t xml:space="preserve"> </w:t>
      </w:r>
      <w:hyperlink r:id="rId1" w:history="1">
        <w:r w:rsidRPr="007B6F38">
          <w:rPr>
            <w:rStyle w:val="Hyperlink"/>
            <w:rFonts w:cstheme="minorHAnsi"/>
            <w:sz w:val="24"/>
            <w:szCs w:val="24"/>
          </w:rPr>
          <w:t>https://www.thetorah.com/article/abraham-and-sarah-in-egypt-a-story-composed-to-prefigure-the-exodus</w:t>
        </w:r>
      </w:hyperlink>
    </w:p>
    <w:p w14:paraId="7925A89B" w14:textId="5F7D5E73" w:rsidR="007B6F38" w:rsidRDefault="007B6F38">
      <w:pPr>
        <w:pStyle w:val="FootnoteText"/>
      </w:pPr>
    </w:p>
  </w:footnote>
  <w:footnote w:id="21">
    <w:p w14:paraId="1B9B014D"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rFonts w:cstheme="minorHAnsi"/>
          <w:sz w:val="24"/>
          <w:szCs w:val="24"/>
        </w:rPr>
        <w:t xml:space="preserve">Flavius Josephus., </w:t>
      </w:r>
      <w:r w:rsidRPr="007B6F38">
        <w:rPr>
          <w:rFonts w:cstheme="minorHAnsi"/>
          <w:i/>
          <w:iCs/>
          <w:sz w:val="24"/>
          <w:szCs w:val="24"/>
        </w:rPr>
        <w:t xml:space="preserve">Antiquities of the Jews’, </w:t>
      </w:r>
      <w:r w:rsidRPr="007B6F38">
        <w:rPr>
          <w:rFonts w:cstheme="minorHAnsi"/>
          <w:sz w:val="24"/>
          <w:szCs w:val="24"/>
        </w:rPr>
        <w:t>‘</w:t>
      </w:r>
      <w:r w:rsidRPr="007B6F38">
        <w:rPr>
          <w:rStyle w:val="HTMLCite"/>
          <w:rFonts w:cstheme="minorHAnsi"/>
          <w:sz w:val="24"/>
          <w:szCs w:val="24"/>
          <w:shd w:val="clear" w:color="auto" w:fill="FFFFFF"/>
        </w:rPr>
        <w:t>The Genuine Works of Flavius Josephus, the Jewish Historian’</w:t>
      </w:r>
      <w:r w:rsidRPr="007B6F38">
        <w:rPr>
          <w:rFonts w:cstheme="minorHAnsi"/>
          <w:sz w:val="24"/>
          <w:szCs w:val="24"/>
          <w:shd w:val="clear" w:color="auto" w:fill="FFFFFF"/>
        </w:rPr>
        <w:t> (trans. William Whiston, 1737) 1.164-165</w:t>
      </w:r>
    </w:p>
    <w:p w14:paraId="5738382E" w14:textId="248DA743" w:rsidR="007B6F38" w:rsidRDefault="007B6F38">
      <w:pPr>
        <w:pStyle w:val="FootnoteText"/>
      </w:pPr>
    </w:p>
  </w:footnote>
  <w:footnote w:id="22">
    <w:p w14:paraId="7CACA26F"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rFonts w:cstheme="minorHAnsi"/>
          <w:sz w:val="24"/>
          <w:szCs w:val="24"/>
        </w:rPr>
        <w:t xml:space="preserve">Flavius Josephus., </w:t>
      </w:r>
      <w:r w:rsidRPr="007B6F38">
        <w:rPr>
          <w:rFonts w:cstheme="minorHAnsi"/>
          <w:i/>
          <w:iCs/>
          <w:sz w:val="24"/>
          <w:szCs w:val="24"/>
        </w:rPr>
        <w:t>Antiquities of the Jews’</w:t>
      </w:r>
      <w:r w:rsidRPr="007B6F38">
        <w:rPr>
          <w:rFonts w:cstheme="minorHAnsi"/>
          <w:sz w:val="24"/>
          <w:szCs w:val="24"/>
          <w:shd w:val="clear" w:color="auto" w:fill="FFFFFF"/>
        </w:rPr>
        <w:t xml:space="preserve"> (trans. William Whiston, 1737) 1.161</w:t>
      </w:r>
    </w:p>
    <w:p w14:paraId="09001645" w14:textId="05E08945" w:rsidR="007B6F38" w:rsidRDefault="007B6F38">
      <w:pPr>
        <w:pStyle w:val="FootnoteText"/>
      </w:pPr>
    </w:p>
  </w:footnote>
  <w:footnote w:id="23">
    <w:p w14:paraId="2417D1CC" w14:textId="77777777" w:rsidR="007B6F38" w:rsidRPr="007B6F38" w:rsidRDefault="007B6F38" w:rsidP="007B6F38">
      <w:pPr>
        <w:spacing w:line="360" w:lineRule="auto"/>
        <w:rPr>
          <w:rFonts w:cstheme="minorHAnsi"/>
          <w:sz w:val="24"/>
          <w:szCs w:val="24"/>
        </w:rPr>
      </w:pPr>
      <w:r>
        <w:rPr>
          <w:rStyle w:val="FootnoteReference"/>
        </w:rPr>
        <w:footnoteRef/>
      </w:r>
      <w:r>
        <w:t xml:space="preserve"> </w:t>
      </w:r>
      <w:r w:rsidRPr="007B6F38">
        <w:rPr>
          <w:rFonts w:cstheme="minorHAnsi"/>
          <w:sz w:val="24"/>
          <w:szCs w:val="24"/>
        </w:rPr>
        <w:t xml:space="preserve">Sean A. Adams &amp; Zanne Domoney-Lyttle., ‘Abraham in Early Christian and Jewish Literature, </w:t>
      </w:r>
      <w:r w:rsidRPr="007B6F38">
        <w:rPr>
          <w:sz w:val="24"/>
          <w:szCs w:val="24"/>
        </w:rPr>
        <w:t>T&amp;T Cark, Bloomsbury Publishing, London (2019) p.98</w:t>
      </w:r>
    </w:p>
    <w:p w14:paraId="306613C5" w14:textId="40D84398" w:rsidR="007B6F38" w:rsidRDefault="007B6F38">
      <w:pPr>
        <w:pStyle w:val="FootnoteText"/>
      </w:pPr>
    </w:p>
  </w:footnote>
  <w:footnote w:id="24">
    <w:p w14:paraId="798B4BCD" w14:textId="77777777" w:rsidR="00917C7D" w:rsidRPr="00917C7D" w:rsidRDefault="00917C7D" w:rsidP="00917C7D">
      <w:pPr>
        <w:spacing w:line="360" w:lineRule="auto"/>
        <w:rPr>
          <w:rFonts w:cstheme="minorHAnsi"/>
          <w:sz w:val="24"/>
          <w:szCs w:val="24"/>
        </w:rPr>
      </w:pPr>
      <w:r>
        <w:rPr>
          <w:rStyle w:val="FootnoteReference"/>
        </w:rPr>
        <w:footnoteRef/>
      </w:r>
      <w:r>
        <w:t xml:space="preserve"> </w:t>
      </w:r>
      <w:r w:rsidRPr="00917C7D">
        <w:rPr>
          <w:rFonts w:cstheme="minorHAnsi"/>
          <w:sz w:val="24"/>
          <w:szCs w:val="24"/>
        </w:rPr>
        <w:t xml:space="preserve">Josephus., </w:t>
      </w:r>
      <w:r w:rsidRPr="00917C7D">
        <w:rPr>
          <w:rFonts w:cstheme="minorHAnsi"/>
          <w:i/>
          <w:iCs/>
          <w:sz w:val="24"/>
          <w:szCs w:val="24"/>
        </w:rPr>
        <w:t>Antiquities of the Jews’</w:t>
      </w:r>
      <w:r w:rsidRPr="00917C7D">
        <w:rPr>
          <w:rFonts w:cstheme="minorHAnsi"/>
          <w:sz w:val="24"/>
          <w:szCs w:val="24"/>
          <w:shd w:val="clear" w:color="auto" w:fill="FFFFFF"/>
        </w:rPr>
        <w:t xml:space="preserve"> 1.162</w:t>
      </w:r>
    </w:p>
    <w:p w14:paraId="7E6B8529" w14:textId="6FE7EE28" w:rsidR="00917C7D" w:rsidRDefault="00917C7D">
      <w:pPr>
        <w:pStyle w:val="FootnoteText"/>
      </w:pPr>
    </w:p>
  </w:footnote>
  <w:footnote w:id="25">
    <w:p w14:paraId="1EA8D9D7" w14:textId="77777777" w:rsidR="00917C7D" w:rsidRPr="00917C7D" w:rsidRDefault="00917C7D" w:rsidP="00917C7D">
      <w:pPr>
        <w:spacing w:line="360" w:lineRule="auto"/>
        <w:rPr>
          <w:rFonts w:cstheme="minorHAnsi"/>
          <w:sz w:val="24"/>
          <w:szCs w:val="24"/>
        </w:rPr>
      </w:pPr>
      <w:r>
        <w:rPr>
          <w:rStyle w:val="FootnoteReference"/>
        </w:rPr>
        <w:footnoteRef/>
      </w:r>
      <w:r>
        <w:t xml:space="preserve"> </w:t>
      </w:r>
      <w:r w:rsidRPr="00917C7D">
        <w:rPr>
          <w:rFonts w:cstheme="minorHAnsi"/>
          <w:sz w:val="24"/>
          <w:szCs w:val="24"/>
        </w:rPr>
        <w:t>Adams &amp; Domoney-Lyttle., ‘Abraham in Early Christian and Jewish Literature,</w:t>
      </w:r>
      <w:r w:rsidRPr="00917C7D">
        <w:rPr>
          <w:sz w:val="24"/>
          <w:szCs w:val="24"/>
        </w:rPr>
        <w:t xml:space="preserve"> p.99</w:t>
      </w:r>
    </w:p>
    <w:p w14:paraId="38F3F5F2" w14:textId="4EB9C3E1" w:rsidR="00917C7D" w:rsidRDefault="00917C7D">
      <w:pPr>
        <w:pStyle w:val="FootnoteText"/>
      </w:pPr>
    </w:p>
  </w:footnote>
  <w:footnote w:id="26">
    <w:p w14:paraId="06759661" w14:textId="77777777" w:rsidR="00917C7D" w:rsidRPr="00917C7D" w:rsidRDefault="00917C7D" w:rsidP="00917C7D">
      <w:pPr>
        <w:spacing w:line="360" w:lineRule="auto"/>
        <w:rPr>
          <w:rFonts w:cstheme="minorHAnsi"/>
          <w:sz w:val="24"/>
          <w:szCs w:val="24"/>
        </w:rPr>
      </w:pPr>
      <w:r>
        <w:rPr>
          <w:rStyle w:val="FootnoteReference"/>
        </w:rPr>
        <w:footnoteRef/>
      </w:r>
      <w:r>
        <w:t xml:space="preserve"> </w:t>
      </w:r>
      <w:r w:rsidRPr="00917C7D">
        <w:rPr>
          <w:rFonts w:cstheme="minorHAnsi"/>
          <w:sz w:val="24"/>
          <w:szCs w:val="24"/>
        </w:rPr>
        <w:t xml:space="preserve">Josephus., </w:t>
      </w:r>
      <w:r w:rsidRPr="00917C7D">
        <w:rPr>
          <w:rFonts w:cstheme="minorHAnsi"/>
          <w:i/>
          <w:iCs/>
          <w:sz w:val="24"/>
          <w:szCs w:val="24"/>
        </w:rPr>
        <w:t>Antiquities of the Jews’</w:t>
      </w:r>
      <w:r w:rsidRPr="00917C7D">
        <w:rPr>
          <w:rFonts w:cstheme="minorHAnsi"/>
          <w:sz w:val="24"/>
          <w:szCs w:val="24"/>
          <w:shd w:val="clear" w:color="auto" w:fill="FFFFFF"/>
        </w:rPr>
        <w:t xml:space="preserve"> 1.164</w:t>
      </w:r>
    </w:p>
    <w:p w14:paraId="663F0DE1" w14:textId="6816BD8F" w:rsidR="00917C7D" w:rsidRDefault="00917C7D">
      <w:pPr>
        <w:pStyle w:val="FootnoteText"/>
      </w:pPr>
    </w:p>
  </w:footnote>
  <w:footnote w:id="27">
    <w:p w14:paraId="3263C646" w14:textId="77777777" w:rsidR="00917C7D" w:rsidRPr="00917C7D" w:rsidRDefault="00917C7D" w:rsidP="00917C7D">
      <w:pPr>
        <w:spacing w:line="360" w:lineRule="auto"/>
        <w:rPr>
          <w:rFonts w:cstheme="minorHAnsi"/>
          <w:sz w:val="24"/>
          <w:szCs w:val="24"/>
        </w:rPr>
      </w:pPr>
      <w:r w:rsidRPr="00917C7D">
        <w:rPr>
          <w:rStyle w:val="Hyperlink"/>
          <w:color w:val="000000" w:themeColor="text1"/>
          <w:u w:val="none"/>
          <w:vertAlign w:val="superscript"/>
        </w:rPr>
        <w:footnoteRef/>
      </w:r>
      <w:r>
        <w:t xml:space="preserve"> </w:t>
      </w:r>
      <w:r w:rsidRPr="00917C7D">
        <w:rPr>
          <w:rFonts w:cstheme="minorHAnsi"/>
          <w:color w:val="000000"/>
          <w:sz w:val="24"/>
          <w:szCs w:val="24"/>
        </w:rPr>
        <w:t>D.A. </w:t>
      </w:r>
      <w:bookmarkStart w:id="4" w:name="b-9780567675545-IDX-395"/>
      <w:bookmarkEnd w:id="4"/>
      <w:r w:rsidRPr="00917C7D">
        <w:rPr>
          <w:rFonts w:cstheme="minorHAnsi"/>
          <w:color w:val="000000"/>
          <w:sz w:val="24"/>
          <w:szCs w:val="24"/>
        </w:rPr>
        <w:t>Machiela., </w:t>
      </w:r>
      <w:r w:rsidRPr="00917C7D">
        <w:rPr>
          <w:rStyle w:val="italic"/>
          <w:rFonts w:cstheme="minorHAnsi"/>
          <w:i/>
          <w:iCs/>
          <w:color w:val="000000"/>
          <w:sz w:val="24"/>
          <w:szCs w:val="24"/>
        </w:rPr>
        <w:t>The Dead Sea Genesis Apocryphon: A New Text and Translation with Introduction and Special Treatment of Columns 13–17</w:t>
      </w:r>
      <w:r w:rsidRPr="00917C7D">
        <w:rPr>
          <w:rFonts w:cstheme="minorHAnsi"/>
          <w:color w:val="000000"/>
          <w:sz w:val="24"/>
          <w:szCs w:val="24"/>
        </w:rPr>
        <w:t> (Leiden: Brill, </w:t>
      </w:r>
      <w:hyperlink r:id="rId2" w:anchor="b-9780567675545-ref296" w:tooltip="The Dead Sea Genesis Apocryphon:" w:history="1">
        <w:r w:rsidRPr="00917C7D">
          <w:rPr>
            <w:rStyle w:val="Hyperlink"/>
            <w:rFonts w:cstheme="minorHAnsi"/>
            <w:color w:val="000000" w:themeColor="text1"/>
            <w:sz w:val="24"/>
            <w:szCs w:val="24"/>
            <w:u w:val="none"/>
          </w:rPr>
          <w:t>2009</w:t>
        </w:r>
      </w:hyperlink>
      <w:r w:rsidRPr="00917C7D">
        <w:rPr>
          <w:rFonts w:cstheme="minorHAnsi"/>
          <w:color w:val="000000"/>
          <w:sz w:val="24"/>
          <w:szCs w:val="24"/>
        </w:rPr>
        <w:t>)</w:t>
      </w:r>
    </w:p>
    <w:p w14:paraId="7BAA6D8C" w14:textId="38BA3F46" w:rsidR="00917C7D" w:rsidRDefault="00917C7D">
      <w:pPr>
        <w:pStyle w:val="FootnoteText"/>
      </w:pPr>
    </w:p>
  </w:footnote>
  <w:footnote w:id="28">
    <w:p w14:paraId="19B2417E" w14:textId="77777777" w:rsidR="00917C7D" w:rsidRPr="00917C7D" w:rsidRDefault="00917C7D" w:rsidP="00917C7D">
      <w:pPr>
        <w:spacing w:line="360" w:lineRule="auto"/>
        <w:rPr>
          <w:rFonts w:cstheme="minorHAnsi"/>
          <w:sz w:val="24"/>
          <w:szCs w:val="24"/>
        </w:rPr>
      </w:pPr>
      <w:r>
        <w:rPr>
          <w:rStyle w:val="FootnoteReference"/>
        </w:rPr>
        <w:footnoteRef/>
      </w:r>
      <w:r>
        <w:t xml:space="preserve"> </w:t>
      </w:r>
      <w:r w:rsidRPr="00917C7D">
        <w:rPr>
          <w:rFonts w:cstheme="minorHAnsi"/>
          <w:sz w:val="24"/>
          <w:szCs w:val="24"/>
        </w:rPr>
        <w:t>Adams &amp; Domoney-Lyttle., ‘Abrham in Early Christian and Jewish Literature,</w:t>
      </w:r>
      <w:r w:rsidRPr="00917C7D">
        <w:rPr>
          <w:sz w:val="24"/>
          <w:szCs w:val="24"/>
        </w:rPr>
        <w:t xml:space="preserve"> p.99</w:t>
      </w:r>
    </w:p>
    <w:p w14:paraId="350273C8" w14:textId="668748BA" w:rsidR="00917C7D" w:rsidRDefault="00917C7D">
      <w:pPr>
        <w:pStyle w:val="FootnoteText"/>
      </w:pPr>
    </w:p>
  </w:footnote>
  <w:footnote w:id="29">
    <w:p w14:paraId="3C8A491B" w14:textId="0E6F280F" w:rsidR="00917C7D" w:rsidRDefault="00917C7D">
      <w:pPr>
        <w:pStyle w:val="FootnoteText"/>
        <w:rPr>
          <w:rFonts w:cstheme="minorHAnsi"/>
          <w:sz w:val="24"/>
          <w:szCs w:val="24"/>
        </w:rPr>
      </w:pPr>
      <w:r>
        <w:rPr>
          <w:rStyle w:val="FootnoteReference"/>
        </w:rPr>
        <w:footnoteRef/>
      </w:r>
      <w:r>
        <w:t xml:space="preserve"> </w:t>
      </w:r>
      <w:r>
        <w:rPr>
          <w:rFonts w:cstheme="minorHAnsi"/>
          <w:sz w:val="24"/>
          <w:szCs w:val="24"/>
        </w:rPr>
        <w:t xml:space="preserve">Philo., </w:t>
      </w:r>
      <w:r w:rsidRPr="00E96DEF">
        <w:rPr>
          <w:rFonts w:cstheme="minorHAnsi"/>
          <w:i/>
          <w:iCs/>
          <w:sz w:val="24"/>
          <w:szCs w:val="24"/>
        </w:rPr>
        <w:t>‘De Abrahamo’</w:t>
      </w:r>
      <w:r>
        <w:rPr>
          <w:rFonts w:cstheme="minorHAnsi"/>
          <w:sz w:val="24"/>
          <w:szCs w:val="24"/>
        </w:rPr>
        <w:t xml:space="preserve"> XIX 95,</w:t>
      </w:r>
      <w:r>
        <w:rPr>
          <w:rFonts w:cstheme="minorHAnsi"/>
          <w:sz w:val="24"/>
          <w:szCs w:val="24"/>
        </w:rPr>
        <w:t xml:space="preserve"> </w:t>
      </w:r>
      <w:hyperlink r:id="rId3" w:history="1">
        <w:r w:rsidRPr="007373DD">
          <w:rPr>
            <w:rStyle w:val="Hyperlink"/>
            <w:rFonts w:cstheme="minorHAnsi"/>
            <w:sz w:val="24"/>
            <w:szCs w:val="24"/>
          </w:rPr>
          <w:t>http://www.earlychristianwritings.com/yonge/book31.htm</w:t>
        </w:r>
      </w:hyperlink>
    </w:p>
    <w:p w14:paraId="1AD00E6D" w14:textId="77777777" w:rsidR="00917C7D" w:rsidRDefault="00917C7D">
      <w:pPr>
        <w:pStyle w:val="FootnoteText"/>
        <w:rPr>
          <w:rFonts w:cstheme="minorHAnsi"/>
          <w:sz w:val="24"/>
          <w:szCs w:val="24"/>
        </w:rPr>
      </w:pPr>
    </w:p>
    <w:p w14:paraId="18D1E31A" w14:textId="77777777" w:rsidR="00917C7D" w:rsidRDefault="00917C7D">
      <w:pPr>
        <w:pStyle w:val="FootnoteText"/>
      </w:pPr>
    </w:p>
  </w:footnote>
  <w:footnote w:id="30">
    <w:p w14:paraId="5A287E54" w14:textId="77777777" w:rsidR="00917C7D" w:rsidRPr="00917C7D" w:rsidRDefault="00917C7D" w:rsidP="00917C7D">
      <w:pPr>
        <w:spacing w:line="360" w:lineRule="auto"/>
        <w:rPr>
          <w:rFonts w:cstheme="minorHAnsi"/>
          <w:sz w:val="24"/>
          <w:szCs w:val="24"/>
        </w:rPr>
      </w:pPr>
      <w:r>
        <w:rPr>
          <w:rStyle w:val="FootnoteReference"/>
        </w:rPr>
        <w:footnoteRef/>
      </w:r>
      <w:r>
        <w:t xml:space="preserve"> </w:t>
      </w:r>
      <w:r w:rsidRPr="00917C7D">
        <w:rPr>
          <w:rFonts w:cstheme="minorHAnsi"/>
          <w:sz w:val="24"/>
          <w:szCs w:val="24"/>
        </w:rPr>
        <w:t>Ibid. 94-95</w:t>
      </w:r>
    </w:p>
    <w:p w14:paraId="72FD83AA" w14:textId="5E83421E" w:rsidR="00917C7D" w:rsidRDefault="00917C7D">
      <w:pPr>
        <w:pStyle w:val="FootnoteText"/>
      </w:pPr>
    </w:p>
  </w:footnote>
  <w:footnote w:id="31">
    <w:p w14:paraId="0C2C7C5C" w14:textId="77777777" w:rsidR="00917C7D" w:rsidRPr="00917C7D" w:rsidRDefault="00917C7D" w:rsidP="00917C7D">
      <w:pPr>
        <w:spacing w:line="360" w:lineRule="auto"/>
        <w:rPr>
          <w:rFonts w:cstheme="minorHAnsi"/>
          <w:sz w:val="24"/>
          <w:szCs w:val="24"/>
        </w:rPr>
      </w:pPr>
      <w:r>
        <w:rPr>
          <w:rStyle w:val="FootnoteReference"/>
        </w:rPr>
        <w:footnoteRef/>
      </w:r>
      <w:r>
        <w:t xml:space="preserve"> </w:t>
      </w:r>
      <w:r w:rsidRPr="00917C7D">
        <w:rPr>
          <w:rFonts w:cstheme="minorHAnsi"/>
          <w:sz w:val="24"/>
          <w:szCs w:val="24"/>
        </w:rPr>
        <w:t>Ibid. 98</w:t>
      </w:r>
    </w:p>
    <w:p w14:paraId="4733C4BA" w14:textId="21AB7CFC" w:rsidR="00917C7D" w:rsidRDefault="00917C7D">
      <w:pPr>
        <w:pStyle w:val="FootnoteText"/>
      </w:pPr>
    </w:p>
  </w:footnote>
  <w:footnote w:id="32">
    <w:p w14:paraId="38A88CE9"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sz w:val="24"/>
          <w:szCs w:val="24"/>
        </w:rPr>
        <w:t xml:space="preserve">A-C. </w:t>
      </w:r>
      <w:proofErr w:type="spellStart"/>
      <w:r w:rsidRPr="009E4F70">
        <w:rPr>
          <w:sz w:val="24"/>
          <w:szCs w:val="24"/>
        </w:rPr>
        <w:t>Geljon</w:t>
      </w:r>
      <w:proofErr w:type="spellEnd"/>
      <w:r w:rsidRPr="009E4F70">
        <w:rPr>
          <w:sz w:val="24"/>
          <w:szCs w:val="24"/>
        </w:rPr>
        <w:t xml:space="preserve">, </w:t>
      </w:r>
      <w:r w:rsidRPr="009E4F70">
        <w:rPr>
          <w:i/>
          <w:iCs/>
          <w:sz w:val="24"/>
          <w:szCs w:val="24"/>
        </w:rPr>
        <w:t>‘Abraham in Egypt: Philo’s Interpretation of Gen 12:10-20’</w:t>
      </w:r>
      <w:r w:rsidRPr="009E4F70">
        <w:rPr>
          <w:sz w:val="24"/>
          <w:szCs w:val="24"/>
        </w:rPr>
        <w:t xml:space="preserve">, </w:t>
      </w:r>
      <w:proofErr w:type="spellStart"/>
      <w:r w:rsidRPr="009E4F70">
        <w:rPr>
          <w:sz w:val="24"/>
          <w:szCs w:val="24"/>
        </w:rPr>
        <w:t>SPhA</w:t>
      </w:r>
      <w:proofErr w:type="spellEnd"/>
      <w:r w:rsidRPr="009E4F70">
        <w:rPr>
          <w:sz w:val="24"/>
          <w:szCs w:val="24"/>
        </w:rPr>
        <w:t xml:space="preserve"> 28 (2016): 297–319 (306–9)</w:t>
      </w:r>
    </w:p>
    <w:p w14:paraId="64879633" w14:textId="3532947F" w:rsidR="009E4F70" w:rsidRDefault="009E4F70">
      <w:pPr>
        <w:pStyle w:val="FootnoteText"/>
      </w:pPr>
    </w:p>
  </w:footnote>
  <w:footnote w:id="33">
    <w:p w14:paraId="0D317D3B"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rFonts w:cstheme="minorHAnsi"/>
          <w:sz w:val="24"/>
          <w:szCs w:val="24"/>
        </w:rPr>
        <w:t xml:space="preserve">Philo., </w:t>
      </w:r>
      <w:r w:rsidRPr="009E4F70">
        <w:rPr>
          <w:rFonts w:cstheme="minorHAnsi"/>
          <w:i/>
          <w:iCs/>
          <w:sz w:val="24"/>
          <w:szCs w:val="24"/>
        </w:rPr>
        <w:t>‘On Abraham’</w:t>
      </w:r>
      <w:r w:rsidRPr="009E4F70">
        <w:rPr>
          <w:rFonts w:cstheme="minorHAnsi"/>
          <w:sz w:val="24"/>
          <w:szCs w:val="24"/>
        </w:rPr>
        <w:t xml:space="preserve"> XLII 245-XLIII 247</w:t>
      </w:r>
    </w:p>
    <w:p w14:paraId="257AF0B6" w14:textId="3E9E0478" w:rsidR="009E4F70" w:rsidRDefault="009E4F70">
      <w:pPr>
        <w:pStyle w:val="FootnoteText"/>
      </w:pPr>
    </w:p>
  </w:footnote>
  <w:footnote w:id="34">
    <w:p w14:paraId="2D4E3B75"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rFonts w:cstheme="minorHAnsi"/>
          <w:sz w:val="24"/>
          <w:szCs w:val="24"/>
        </w:rPr>
        <w:t>Ibid., XLII 246</w:t>
      </w:r>
    </w:p>
    <w:p w14:paraId="2D9209C1" w14:textId="2D4BC8E1" w:rsidR="009E4F70" w:rsidRDefault="009E4F70">
      <w:pPr>
        <w:pStyle w:val="FootnoteText"/>
      </w:pPr>
    </w:p>
  </w:footnote>
  <w:footnote w:id="35">
    <w:p w14:paraId="08CA5052"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rFonts w:cstheme="minorHAnsi"/>
          <w:sz w:val="24"/>
          <w:szCs w:val="24"/>
        </w:rPr>
        <w:t>Lyle Eslinger</w:t>
      </w:r>
      <w:r w:rsidRPr="009E4F70">
        <w:rPr>
          <w:rFonts w:cstheme="minorHAnsi"/>
          <w:i/>
          <w:iCs/>
          <w:sz w:val="24"/>
          <w:szCs w:val="24"/>
        </w:rPr>
        <w:t>., ‘Prehistory in the Call to Abraham’</w:t>
      </w:r>
      <w:r w:rsidRPr="009E4F70">
        <w:rPr>
          <w:rFonts w:cstheme="minorHAnsi"/>
          <w:sz w:val="24"/>
          <w:szCs w:val="24"/>
        </w:rPr>
        <w:t xml:space="preserve">, University of Calgary, </w:t>
      </w:r>
      <w:proofErr w:type="spellStart"/>
      <w:r w:rsidRPr="009E4F70">
        <w:rPr>
          <w:rFonts w:cstheme="minorHAnsi"/>
          <w:sz w:val="24"/>
          <w:szCs w:val="24"/>
        </w:rPr>
        <w:t>Koninklijke</w:t>
      </w:r>
      <w:proofErr w:type="spellEnd"/>
      <w:r w:rsidRPr="009E4F70">
        <w:rPr>
          <w:rFonts w:cstheme="minorHAnsi"/>
          <w:sz w:val="24"/>
          <w:szCs w:val="24"/>
        </w:rPr>
        <w:t>, Brill NV, Leiden, 2006, p. 202</w:t>
      </w:r>
    </w:p>
    <w:p w14:paraId="694FFF9B" w14:textId="54781641" w:rsidR="009E4F70" w:rsidRDefault="009E4F70">
      <w:pPr>
        <w:pStyle w:val="FootnoteText"/>
      </w:pPr>
    </w:p>
  </w:footnote>
  <w:footnote w:id="36">
    <w:p w14:paraId="322375A8" w14:textId="77777777" w:rsidR="009E4F70" w:rsidRPr="009E4F70" w:rsidRDefault="009E4F70" w:rsidP="009E4F70">
      <w:pPr>
        <w:spacing w:line="360" w:lineRule="auto"/>
        <w:rPr>
          <w:rFonts w:cstheme="minorHAnsi"/>
          <w:sz w:val="24"/>
          <w:szCs w:val="24"/>
        </w:rPr>
      </w:pPr>
      <w:r w:rsidRPr="009E4F70">
        <w:rPr>
          <w:rStyle w:val="Hyperlink"/>
          <w:color w:val="000000" w:themeColor="text1"/>
          <w:u w:val="none"/>
          <w:vertAlign w:val="superscript"/>
        </w:rPr>
        <w:footnoteRef/>
      </w:r>
      <w:r w:rsidRPr="009E4F70">
        <w:rPr>
          <w:color w:val="000000" w:themeColor="text1"/>
          <w:vertAlign w:val="superscript"/>
        </w:rPr>
        <w:t xml:space="preserve"> </w:t>
      </w:r>
      <w:r w:rsidRPr="009E4F70">
        <w:rPr>
          <w:sz w:val="24"/>
          <w:szCs w:val="24"/>
        </w:rPr>
        <w:t xml:space="preserve">Philo., </w:t>
      </w:r>
      <w:r w:rsidRPr="009E4F70">
        <w:rPr>
          <w:i/>
          <w:iCs/>
          <w:sz w:val="24"/>
          <w:szCs w:val="24"/>
        </w:rPr>
        <w:t xml:space="preserve">‘De </w:t>
      </w:r>
      <w:proofErr w:type="spellStart"/>
      <w:r w:rsidRPr="009E4F70">
        <w:rPr>
          <w:i/>
          <w:iCs/>
          <w:sz w:val="24"/>
          <w:szCs w:val="24"/>
        </w:rPr>
        <w:t>Virtutibus</w:t>
      </w:r>
      <w:proofErr w:type="spellEnd"/>
      <w:r w:rsidRPr="009E4F70">
        <w:rPr>
          <w:i/>
          <w:iCs/>
          <w:sz w:val="24"/>
          <w:szCs w:val="24"/>
        </w:rPr>
        <w:t>’</w:t>
      </w:r>
      <w:r w:rsidRPr="009E4F70">
        <w:rPr>
          <w:sz w:val="24"/>
          <w:szCs w:val="24"/>
        </w:rPr>
        <w:t xml:space="preserve"> 212-17 </w:t>
      </w:r>
      <w:hyperlink r:id="rId4" w:history="1">
        <w:r w:rsidRPr="009E4F70">
          <w:rPr>
            <w:rStyle w:val="Hyperlink"/>
            <w:rFonts w:cstheme="minorHAnsi"/>
            <w:sz w:val="24"/>
            <w:szCs w:val="24"/>
          </w:rPr>
          <w:t>http://www.earlychristianwritings.com/yonge/book31.html</w:t>
        </w:r>
      </w:hyperlink>
    </w:p>
    <w:p w14:paraId="2714FCB3" w14:textId="156586C0" w:rsidR="009E4F70" w:rsidRDefault="009E4F70">
      <w:pPr>
        <w:pStyle w:val="FootnoteText"/>
      </w:pPr>
    </w:p>
  </w:footnote>
  <w:footnote w:id="37">
    <w:p w14:paraId="2E8498DC"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rFonts w:cstheme="minorHAnsi"/>
          <w:sz w:val="24"/>
          <w:szCs w:val="24"/>
        </w:rPr>
        <w:t xml:space="preserve">Josephus., </w:t>
      </w:r>
      <w:r w:rsidRPr="009E4F70">
        <w:rPr>
          <w:rFonts w:cstheme="minorHAnsi"/>
          <w:i/>
          <w:iCs/>
          <w:sz w:val="24"/>
          <w:szCs w:val="24"/>
        </w:rPr>
        <w:t>Antiquities of the Jews’</w:t>
      </w:r>
      <w:r w:rsidRPr="009E4F70">
        <w:rPr>
          <w:rFonts w:cstheme="minorHAnsi"/>
          <w:sz w:val="24"/>
          <w:szCs w:val="24"/>
          <w:shd w:val="clear" w:color="auto" w:fill="FFFFFF"/>
        </w:rPr>
        <w:t xml:space="preserve"> </w:t>
      </w:r>
      <w:r w:rsidRPr="009E4F70">
        <w:rPr>
          <w:sz w:val="24"/>
          <w:szCs w:val="24"/>
        </w:rPr>
        <w:t>1.7; 2.159-60</w:t>
      </w:r>
    </w:p>
    <w:p w14:paraId="3EA60BBF" w14:textId="2FE8F4C8" w:rsidR="009E4F70" w:rsidRDefault="009E4F70">
      <w:pPr>
        <w:pStyle w:val="FootnoteText"/>
      </w:pPr>
    </w:p>
  </w:footnote>
  <w:footnote w:id="38">
    <w:p w14:paraId="4584A343"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sz w:val="24"/>
          <w:szCs w:val="24"/>
        </w:rPr>
        <w:t xml:space="preserve">Pamela </w:t>
      </w:r>
      <w:proofErr w:type="spellStart"/>
      <w:r w:rsidRPr="009E4F70">
        <w:rPr>
          <w:sz w:val="24"/>
          <w:szCs w:val="24"/>
        </w:rPr>
        <w:t>Eisenbaum</w:t>
      </w:r>
      <w:proofErr w:type="spellEnd"/>
      <w:r w:rsidRPr="009E4F70">
        <w:rPr>
          <w:sz w:val="24"/>
          <w:szCs w:val="24"/>
        </w:rPr>
        <w:t xml:space="preserve">., </w:t>
      </w:r>
      <w:r w:rsidRPr="009E4F70">
        <w:rPr>
          <w:i/>
          <w:iCs/>
          <w:sz w:val="24"/>
          <w:szCs w:val="24"/>
        </w:rPr>
        <w:t>‘’Paul as the New Abraham.”</w:t>
      </w:r>
      <w:r w:rsidRPr="009E4F70">
        <w:rPr>
          <w:sz w:val="24"/>
          <w:szCs w:val="24"/>
        </w:rPr>
        <w:t xml:space="preserve"> In ‘Paul and Politics: </w:t>
      </w:r>
      <w:proofErr w:type="spellStart"/>
      <w:r w:rsidRPr="009E4F70">
        <w:rPr>
          <w:sz w:val="24"/>
          <w:szCs w:val="24"/>
        </w:rPr>
        <w:t>Ekklesia</w:t>
      </w:r>
      <w:proofErr w:type="spellEnd"/>
      <w:r w:rsidRPr="009E4F70">
        <w:rPr>
          <w:sz w:val="24"/>
          <w:szCs w:val="24"/>
        </w:rPr>
        <w:t>, Israel, Imperium, Interpretation’, edited by R. A. Horsley. Harrisburg, PA: Trinity Press International, 2000 p. 135-6</w:t>
      </w:r>
    </w:p>
    <w:p w14:paraId="101DA6F4" w14:textId="0C782CB7" w:rsidR="009E4F70" w:rsidRDefault="009E4F70">
      <w:pPr>
        <w:pStyle w:val="FootnoteText"/>
      </w:pPr>
    </w:p>
  </w:footnote>
  <w:footnote w:id="39">
    <w:p w14:paraId="6DAF0E8A"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rFonts w:cstheme="minorHAnsi"/>
          <w:sz w:val="24"/>
          <w:szCs w:val="24"/>
        </w:rPr>
        <w:t xml:space="preserve">Adams &amp; Domoney-Lyttle., ‘Abraham in Early Christian and Jewish Literature. </w:t>
      </w:r>
      <w:r w:rsidRPr="009E4F70">
        <w:rPr>
          <w:sz w:val="24"/>
          <w:szCs w:val="24"/>
        </w:rPr>
        <w:t>p.98</w:t>
      </w:r>
    </w:p>
    <w:p w14:paraId="449A4025" w14:textId="6FCDBCEA" w:rsidR="009E4F70" w:rsidRDefault="009E4F70">
      <w:pPr>
        <w:pStyle w:val="FootnoteText"/>
      </w:pPr>
    </w:p>
  </w:footnote>
  <w:footnote w:id="40">
    <w:p w14:paraId="594CC5E6"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sz w:val="24"/>
          <w:szCs w:val="24"/>
        </w:rPr>
        <w:t>Bukhari, ‘</w:t>
      </w:r>
      <w:r w:rsidRPr="009E4F70">
        <w:rPr>
          <w:rStyle w:val="Emphasis"/>
          <w:sz w:val="24"/>
          <w:szCs w:val="24"/>
          <w:bdr w:val="none" w:sz="0" w:space="0" w:color="auto" w:frame="1"/>
        </w:rPr>
        <w:t>The Hadith of Bukhari’</w:t>
      </w:r>
      <w:r w:rsidRPr="009E4F70">
        <w:rPr>
          <w:sz w:val="24"/>
          <w:szCs w:val="24"/>
        </w:rPr>
        <w:t>, vol. 3: book 34: Hadith 164</w:t>
      </w:r>
    </w:p>
    <w:p w14:paraId="000D27F5" w14:textId="7150F69F" w:rsidR="009E4F70" w:rsidRDefault="009E4F70">
      <w:pPr>
        <w:pStyle w:val="FootnoteText"/>
      </w:pPr>
    </w:p>
  </w:footnote>
  <w:footnote w:id="41">
    <w:p w14:paraId="308BF786" w14:textId="48C447EF"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sz w:val="24"/>
          <w:szCs w:val="24"/>
        </w:rPr>
        <w:t xml:space="preserve">Ibid. </w:t>
      </w:r>
    </w:p>
    <w:p w14:paraId="39E9D04F" w14:textId="04A3A999" w:rsidR="009E4F70" w:rsidRDefault="009E4F70">
      <w:pPr>
        <w:pStyle w:val="FootnoteText"/>
      </w:pPr>
    </w:p>
  </w:footnote>
  <w:footnote w:id="42">
    <w:p w14:paraId="2D086E2C"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bookmarkStart w:id="5" w:name="_Hlk141386001"/>
      <w:r w:rsidRPr="009E4F70">
        <w:rPr>
          <w:rFonts w:cstheme="minorHAnsi"/>
          <w:sz w:val="24"/>
          <w:szCs w:val="24"/>
        </w:rPr>
        <w:t xml:space="preserve">1 </w:t>
      </w:r>
      <w:proofErr w:type="spellStart"/>
      <w:r w:rsidRPr="009E4F70">
        <w:rPr>
          <w:rFonts w:cstheme="minorHAnsi"/>
          <w:sz w:val="24"/>
          <w:szCs w:val="24"/>
        </w:rPr>
        <w:t>Ikhwdnukumft</w:t>
      </w:r>
      <w:proofErr w:type="spellEnd"/>
      <w:r w:rsidRPr="009E4F70">
        <w:rPr>
          <w:rFonts w:cstheme="minorHAnsi"/>
          <w:sz w:val="24"/>
          <w:szCs w:val="24"/>
        </w:rPr>
        <w:t xml:space="preserve"> al-</w:t>
      </w:r>
      <w:proofErr w:type="spellStart"/>
      <w:r w:rsidRPr="009E4F70">
        <w:rPr>
          <w:rFonts w:cstheme="minorHAnsi"/>
          <w:sz w:val="24"/>
          <w:szCs w:val="24"/>
        </w:rPr>
        <w:t>dTn</w:t>
      </w:r>
      <w:proofErr w:type="spellEnd"/>
      <w:r w:rsidRPr="009E4F70">
        <w:rPr>
          <w:rFonts w:cstheme="minorHAnsi"/>
          <w:sz w:val="24"/>
          <w:szCs w:val="24"/>
        </w:rPr>
        <w:t xml:space="preserve"> (Qur'an 9:11)</w:t>
      </w:r>
    </w:p>
    <w:bookmarkEnd w:id="5"/>
    <w:p w14:paraId="797A089F" w14:textId="3777595D" w:rsidR="009E4F70" w:rsidRDefault="009E4F70">
      <w:pPr>
        <w:pStyle w:val="FootnoteText"/>
      </w:pPr>
    </w:p>
  </w:footnote>
  <w:footnote w:id="43">
    <w:p w14:paraId="2BC16639" w14:textId="77777777" w:rsidR="009E4F70" w:rsidRPr="009E4F70" w:rsidRDefault="009E4F70" w:rsidP="009E4F70">
      <w:pPr>
        <w:spacing w:line="360" w:lineRule="auto"/>
        <w:rPr>
          <w:rFonts w:cstheme="minorHAnsi"/>
          <w:sz w:val="24"/>
          <w:szCs w:val="24"/>
        </w:rPr>
      </w:pPr>
      <w:r>
        <w:rPr>
          <w:rStyle w:val="FootnoteReference"/>
        </w:rPr>
        <w:footnoteRef/>
      </w:r>
      <w:r>
        <w:t xml:space="preserve"> </w:t>
      </w:r>
      <w:r w:rsidRPr="009E4F70">
        <w:rPr>
          <w:sz w:val="24"/>
          <w:szCs w:val="24"/>
        </w:rPr>
        <w:t>Bukhari, ‘</w:t>
      </w:r>
      <w:r w:rsidRPr="009E4F70">
        <w:rPr>
          <w:rStyle w:val="Emphasis"/>
          <w:sz w:val="24"/>
          <w:szCs w:val="24"/>
          <w:bdr w:val="none" w:sz="0" w:space="0" w:color="auto" w:frame="1"/>
        </w:rPr>
        <w:t>The Hadith of Bukhari’</w:t>
      </w:r>
      <w:r w:rsidRPr="009E4F70">
        <w:rPr>
          <w:sz w:val="24"/>
          <w:szCs w:val="24"/>
        </w:rPr>
        <w:t>, vol. 3: book 34: Hadith 164</w:t>
      </w:r>
    </w:p>
    <w:p w14:paraId="2C031CA4" w14:textId="357B661C" w:rsidR="009E4F70" w:rsidRDefault="009E4F70">
      <w:pPr>
        <w:pStyle w:val="FootnoteText"/>
      </w:pPr>
    </w:p>
  </w:footnote>
  <w:footnote w:id="44">
    <w:p w14:paraId="23DD1490" w14:textId="1E141A0C" w:rsidR="009E4F70" w:rsidRDefault="009E4F70">
      <w:pPr>
        <w:pStyle w:val="FootnoteText"/>
      </w:pPr>
      <w:r>
        <w:rPr>
          <w:rStyle w:val="FootnoteReference"/>
        </w:rPr>
        <w:footnoteRef/>
      </w:r>
      <w:r>
        <w:t xml:space="preserve"> Ibid.</w:t>
      </w:r>
    </w:p>
    <w:p w14:paraId="15D8F511" w14:textId="77777777" w:rsidR="00297498" w:rsidRDefault="00297498">
      <w:pPr>
        <w:pStyle w:val="FootnoteText"/>
      </w:pPr>
    </w:p>
    <w:p w14:paraId="542042DF" w14:textId="77777777" w:rsidR="00297498" w:rsidRDefault="00297498">
      <w:pPr>
        <w:pStyle w:val="FootnoteText"/>
      </w:pPr>
    </w:p>
  </w:footnote>
  <w:footnote w:id="45">
    <w:p w14:paraId="2DD4D640" w14:textId="77777777" w:rsidR="00297498" w:rsidRPr="00297498" w:rsidRDefault="00297498" w:rsidP="00297498">
      <w:pPr>
        <w:spacing w:line="360" w:lineRule="auto"/>
        <w:rPr>
          <w:rFonts w:cstheme="minorHAnsi"/>
          <w:sz w:val="24"/>
          <w:szCs w:val="24"/>
        </w:rPr>
      </w:pPr>
      <w:r>
        <w:rPr>
          <w:rStyle w:val="FootnoteReference"/>
        </w:rPr>
        <w:footnoteRef/>
      </w:r>
      <w:r>
        <w:t xml:space="preserve"> </w:t>
      </w:r>
      <w:proofErr w:type="spellStart"/>
      <w:r w:rsidRPr="00297498">
        <w:rPr>
          <w:rFonts w:cstheme="minorHAnsi"/>
          <w:color w:val="202122"/>
          <w:sz w:val="24"/>
          <w:szCs w:val="24"/>
          <w:shd w:val="clear" w:color="auto" w:fill="F9F9FF"/>
        </w:rPr>
        <w:t>Ṭabāṭabāyī</w:t>
      </w:r>
      <w:proofErr w:type="spellEnd"/>
      <w:r w:rsidRPr="00297498">
        <w:rPr>
          <w:rFonts w:cstheme="minorHAnsi"/>
          <w:color w:val="202122"/>
          <w:sz w:val="24"/>
          <w:szCs w:val="24"/>
          <w:shd w:val="clear" w:color="auto" w:fill="F9F9FF"/>
        </w:rPr>
        <w:t>, ‘</w:t>
      </w:r>
      <w:r w:rsidRPr="00297498">
        <w:rPr>
          <w:rFonts w:cstheme="minorHAnsi"/>
          <w:i/>
          <w:iCs/>
          <w:color w:val="202122"/>
          <w:sz w:val="24"/>
          <w:szCs w:val="24"/>
          <w:shd w:val="clear" w:color="auto" w:fill="F9F9FF"/>
        </w:rPr>
        <w:t>Al-Kafi</w:t>
      </w:r>
      <w:r w:rsidRPr="00297498">
        <w:rPr>
          <w:rFonts w:cstheme="minorHAnsi"/>
          <w:color w:val="202122"/>
          <w:sz w:val="24"/>
          <w:szCs w:val="24"/>
          <w:shd w:val="clear" w:color="auto" w:fill="F9F9FF"/>
        </w:rPr>
        <w:t xml:space="preserve"> </w:t>
      </w:r>
      <w:r w:rsidRPr="00297498">
        <w:rPr>
          <w:rFonts w:cstheme="minorHAnsi"/>
          <w:i/>
          <w:iCs/>
          <w:color w:val="202122"/>
          <w:sz w:val="24"/>
          <w:szCs w:val="24"/>
          <w:shd w:val="clear" w:color="auto" w:fill="F9F9FF"/>
        </w:rPr>
        <w:t>al-</w:t>
      </w:r>
      <w:proofErr w:type="spellStart"/>
      <w:r w:rsidRPr="00297498">
        <w:rPr>
          <w:rFonts w:cstheme="minorHAnsi"/>
          <w:i/>
          <w:iCs/>
          <w:color w:val="202122"/>
          <w:sz w:val="24"/>
          <w:szCs w:val="24"/>
          <w:shd w:val="clear" w:color="auto" w:fill="F9F9FF"/>
        </w:rPr>
        <w:t>Mīzān</w:t>
      </w:r>
      <w:proofErr w:type="spellEnd"/>
      <w:r w:rsidRPr="00297498">
        <w:rPr>
          <w:rFonts w:cstheme="minorHAnsi"/>
          <w:i/>
          <w:iCs/>
          <w:color w:val="202122"/>
          <w:sz w:val="24"/>
          <w:szCs w:val="24"/>
          <w:shd w:val="clear" w:color="auto" w:fill="F9F9FF"/>
        </w:rPr>
        <w:t>’</w:t>
      </w:r>
      <w:r w:rsidRPr="00297498">
        <w:rPr>
          <w:rFonts w:cstheme="minorHAnsi"/>
          <w:color w:val="202122"/>
          <w:sz w:val="24"/>
          <w:szCs w:val="24"/>
          <w:shd w:val="clear" w:color="auto" w:fill="F9F9FF"/>
        </w:rPr>
        <w:t>, vol. 7, pp. 231-32</w:t>
      </w:r>
    </w:p>
    <w:p w14:paraId="2AD5EF71" w14:textId="592C2EB7" w:rsidR="00297498" w:rsidRDefault="00297498">
      <w:pPr>
        <w:pStyle w:val="FootnoteText"/>
      </w:pPr>
    </w:p>
  </w:footnote>
  <w:footnote w:id="46">
    <w:p w14:paraId="1734A957" w14:textId="77777777" w:rsidR="00297498" w:rsidRPr="00297498" w:rsidRDefault="00297498" w:rsidP="00297498">
      <w:pPr>
        <w:spacing w:after="0" w:line="360" w:lineRule="auto"/>
        <w:rPr>
          <w:rFonts w:eastAsia="Times New Roman" w:cstheme="minorHAnsi"/>
          <w:kern w:val="0"/>
          <w:sz w:val="24"/>
          <w:szCs w:val="24"/>
          <w:lang w:eastAsia="en-GB"/>
          <w14:ligatures w14:val="none"/>
        </w:rPr>
      </w:pPr>
      <w:r w:rsidRPr="00297498">
        <w:rPr>
          <w:rStyle w:val="Hyperlink"/>
          <w:color w:val="000000" w:themeColor="text1"/>
          <w:u w:val="none"/>
          <w:vertAlign w:val="superscript"/>
        </w:rPr>
        <w:footnoteRef/>
      </w:r>
      <w:r>
        <w:t xml:space="preserve"> </w:t>
      </w:r>
      <w:r w:rsidRPr="00297498">
        <w:rPr>
          <w:rFonts w:eastAsia="Times New Roman" w:cstheme="minorHAnsi"/>
          <w:kern w:val="0"/>
          <w:sz w:val="24"/>
          <w:szCs w:val="24"/>
          <w:lang w:eastAsia="en-GB"/>
          <w14:ligatures w14:val="none"/>
        </w:rPr>
        <w:t xml:space="preserve">John Parsons, ‘Ten Trials of Abrahm’ ‘Further Thoughts on the Parashat Lekha’, </w:t>
      </w:r>
      <w:hyperlink r:id="rId5" w:history="1">
        <w:r w:rsidRPr="00297498">
          <w:rPr>
            <w:rStyle w:val="Hyperlink"/>
            <w:rFonts w:eastAsia="Times New Roman" w:cstheme="minorHAnsi"/>
            <w:kern w:val="0"/>
            <w:sz w:val="24"/>
            <w:szCs w:val="24"/>
            <w:lang w:eastAsia="en-GB"/>
            <w14:ligatures w14:val="none"/>
          </w:rPr>
          <w:t>https://www.hebrew4christians.com/Scripture/Parashah/Summaries/Lekh_Lekha/Ten_Tests/ten_tests.html</w:t>
        </w:r>
      </w:hyperlink>
    </w:p>
    <w:p w14:paraId="73ADF141" w14:textId="5A512E25" w:rsidR="00297498" w:rsidRDefault="00297498">
      <w:pPr>
        <w:pStyle w:val="FootnoteText"/>
      </w:pPr>
    </w:p>
  </w:footnote>
  <w:footnote w:id="47">
    <w:p w14:paraId="4430FB55" w14:textId="77777777" w:rsidR="00297498" w:rsidRPr="00297498" w:rsidRDefault="00297498" w:rsidP="00297498">
      <w:pPr>
        <w:spacing w:after="0" w:line="360" w:lineRule="auto"/>
        <w:rPr>
          <w:rFonts w:eastAsia="Times New Roman" w:cstheme="minorHAnsi"/>
          <w:kern w:val="0"/>
          <w:sz w:val="24"/>
          <w:szCs w:val="24"/>
          <w:lang w:eastAsia="en-GB"/>
          <w14:ligatures w14:val="none"/>
        </w:rPr>
      </w:pPr>
      <w:r w:rsidRPr="00297498">
        <w:rPr>
          <w:rStyle w:val="Hyperlink"/>
          <w:color w:val="000000" w:themeColor="text1"/>
          <w:u w:val="none"/>
          <w:vertAlign w:val="superscript"/>
        </w:rPr>
        <w:footnoteRef/>
      </w:r>
      <w:r>
        <w:t xml:space="preserve"> </w:t>
      </w:r>
      <w:hyperlink r:id="rId6" w:history="1">
        <w:r w:rsidRPr="00297498">
          <w:rPr>
            <w:rStyle w:val="Hyperlink"/>
            <w:rFonts w:eastAsia="Times New Roman" w:cstheme="minorHAnsi"/>
            <w:kern w:val="0"/>
            <w:sz w:val="24"/>
            <w:szCs w:val="24"/>
            <w:lang w:eastAsia="en-GB"/>
            <w14:ligatures w14:val="none"/>
          </w:rPr>
          <w:t>https://www.chabad.org/library/article_cdo/aid/1324268/jewish/What-Were-Abrahams-10-Tests.htm</w:t>
        </w:r>
      </w:hyperlink>
    </w:p>
    <w:p w14:paraId="5CD429A2" w14:textId="2626CC8A" w:rsidR="00297498" w:rsidRDefault="00297498">
      <w:pPr>
        <w:pStyle w:val="FootnoteText"/>
      </w:pPr>
    </w:p>
  </w:footnote>
  <w:footnote w:id="48">
    <w:p w14:paraId="13674EDD" w14:textId="77777777" w:rsidR="00297498" w:rsidRPr="00297498" w:rsidRDefault="00297498" w:rsidP="00297498">
      <w:pPr>
        <w:spacing w:line="360" w:lineRule="auto"/>
        <w:rPr>
          <w:rFonts w:cstheme="minorHAnsi"/>
          <w:sz w:val="24"/>
          <w:szCs w:val="24"/>
        </w:rPr>
      </w:pPr>
      <w:r>
        <w:rPr>
          <w:rStyle w:val="FootnoteReference"/>
        </w:rPr>
        <w:footnoteRef/>
      </w:r>
      <w:r>
        <w:t xml:space="preserve"> </w:t>
      </w:r>
      <w:r w:rsidRPr="00297498">
        <w:rPr>
          <w:rFonts w:cstheme="minorHAnsi"/>
          <w:sz w:val="24"/>
          <w:szCs w:val="24"/>
        </w:rPr>
        <w:t xml:space="preserve">Friedlander, G. (trans., ed.), </w:t>
      </w:r>
      <w:proofErr w:type="spellStart"/>
      <w:r w:rsidRPr="00297498">
        <w:rPr>
          <w:rFonts w:cstheme="minorHAnsi"/>
          <w:sz w:val="24"/>
          <w:szCs w:val="24"/>
        </w:rPr>
        <w:t>Pirḳê</w:t>
      </w:r>
      <w:proofErr w:type="spellEnd"/>
      <w:r w:rsidRPr="00297498">
        <w:rPr>
          <w:rFonts w:cstheme="minorHAnsi"/>
          <w:sz w:val="24"/>
          <w:szCs w:val="24"/>
        </w:rPr>
        <w:t xml:space="preserve"> de Rabbi Eliezer (London: Kegan Paul, Trench, </w:t>
      </w:r>
      <w:proofErr w:type="spellStart"/>
      <w:r w:rsidRPr="00297498">
        <w:rPr>
          <w:rFonts w:cstheme="minorHAnsi"/>
          <w:sz w:val="24"/>
          <w:szCs w:val="24"/>
        </w:rPr>
        <w:t>Trübner</w:t>
      </w:r>
      <w:proofErr w:type="spellEnd"/>
      <w:r w:rsidRPr="00297498">
        <w:rPr>
          <w:rFonts w:cstheme="minorHAnsi"/>
          <w:sz w:val="24"/>
          <w:szCs w:val="24"/>
        </w:rPr>
        <w:t xml:space="preserve"> 1916), pgs. 189-90</w:t>
      </w:r>
    </w:p>
    <w:p w14:paraId="0CA7DC80" w14:textId="7D491D6B" w:rsidR="00297498" w:rsidRDefault="00297498">
      <w:pPr>
        <w:pStyle w:val="FootnoteText"/>
      </w:pPr>
    </w:p>
  </w:footnote>
  <w:footnote w:id="49">
    <w:p w14:paraId="5D325B40" w14:textId="77777777" w:rsidR="00297498" w:rsidRPr="00297498" w:rsidRDefault="00297498" w:rsidP="00297498">
      <w:pPr>
        <w:spacing w:after="0" w:line="360" w:lineRule="auto"/>
        <w:rPr>
          <w:rFonts w:eastAsia="Times New Roman" w:cstheme="minorHAnsi"/>
          <w:kern w:val="0"/>
          <w:sz w:val="24"/>
          <w:szCs w:val="24"/>
          <w:lang w:eastAsia="en-GB"/>
          <w14:ligatures w14:val="none"/>
        </w:rPr>
      </w:pPr>
      <w:r>
        <w:rPr>
          <w:rStyle w:val="FootnoteReference"/>
        </w:rPr>
        <w:footnoteRef/>
      </w:r>
      <w:r>
        <w:t xml:space="preserve"> </w:t>
      </w:r>
      <w:r w:rsidRPr="00297498">
        <w:rPr>
          <w:rFonts w:eastAsia="Times New Roman" w:cstheme="minorHAnsi"/>
          <w:kern w:val="0"/>
          <w:sz w:val="24"/>
          <w:szCs w:val="24"/>
          <w:lang w:eastAsia="en-GB"/>
          <w14:ligatures w14:val="none"/>
        </w:rPr>
        <w:t xml:space="preserve">Sefer </w:t>
      </w:r>
      <w:proofErr w:type="spellStart"/>
      <w:r w:rsidRPr="00297498">
        <w:rPr>
          <w:rFonts w:eastAsia="Times New Roman" w:cstheme="minorHAnsi"/>
          <w:kern w:val="0"/>
          <w:sz w:val="24"/>
          <w:szCs w:val="24"/>
          <w:lang w:eastAsia="en-GB"/>
          <w14:ligatures w14:val="none"/>
        </w:rPr>
        <w:t>HaYashar</w:t>
      </w:r>
      <w:proofErr w:type="spellEnd"/>
      <w:r w:rsidRPr="00297498">
        <w:rPr>
          <w:rFonts w:eastAsia="Times New Roman" w:cstheme="minorHAnsi"/>
          <w:kern w:val="0"/>
          <w:sz w:val="24"/>
          <w:szCs w:val="24"/>
          <w:lang w:eastAsia="en-GB"/>
          <w14:ligatures w14:val="none"/>
        </w:rPr>
        <w:t xml:space="preserve"> (midrash), Book of Genesis, Lech Lecha 5</w:t>
      </w:r>
    </w:p>
    <w:p w14:paraId="6C5589D0" w14:textId="6FE38E2C" w:rsidR="00297498" w:rsidRDefault="00297498">
      <w:pPr>
        <w:pStyle w:val="FootnoteText"/>
      </w:pPr>
    </w:p>
  </w:footnote>
  <w:footnote w:id="50">
    <w:p w14:paraId="1DCC2975" w14:textId="77777777" w:rsidR="00297498" w:rsidRPr="00297498" w:rsidRDefault="00297498" w:rsidP="00297498">
      <w:pPr>
        <w:spacing w:after="0" w:line="360" w:lineRule="auto"/>
        <w:rPr>
          <w:rFonts w:eastAsia="Times New Roman" w:cstheme="minorHAnsi"/>
          <w:color w:val="000000" w:themeColor="text1"/>
          <w:kern w:val="0"/>
          <w:sz w:val="24"/>
          <w:szCs w:val="24"/>
          <w:lang w:eastAsia="en-GB"/>
          <w14:ligatures w14:val="none"/>
        </w:rPr>
      </w:pPr>
      <w:r>
        <w:rPr>
          <w:rStyle w:val="FootnoteReference"/>
        </w:rPr>
        <w:footnoteRef/>
      </w:r>
      <w:r>
        <w:t xml:space="preserve"> </w:t>
      </w:r>
      <w:proofErr w:type="spellStart"/>
      <w:r w:rsidRPr="00297498">
        <w:rPr>
          <w:rFonts w:cstheme="minorHAnsi"/>
          <w:color w:val="000000" w:themeColor="text1"/>
          <w:sz w:val="24"/>
          <w:szCs w:val="24"/>
        </w:rPr>
        <w:t>Ramban</w:t>
      </w:r>
      <w:proofErr w:type="spellEnd"/>
      <w:r w:rsidRPr="00297498">
        <w:rPr>
          <w:rFonts w:cstheme="minorHAnsi"/>
          <w:color w:val="000000" w:themeColor="text1"/>
          <w:sz w:val="24"/>
          <w:szCs w:val="24"/>
        </w:rPr>
        <w:t xml:space="preserve">, Commentary to Genesis 12: 10, based on Zohar, </w:t>
      </w:r>
      <w:proofErr w:type="spellStart"/>
      <w:r w:rsidRPr="00297498">
        <w:rPr>
          <w:rFonts w:cstheme="minorHAnsi"/>
          <w:color w:val="000000" w:themeColor="text1"/>
          <w:sz w:val="24"/>
          <w:szCs w:val="24"/>
        </w:rPr>
        <w:t>Tazria</w:t>
      </w:r>
      <w:proofErr w:type="spellEnd"/>
      <w:r w:rsidRPr="00297498">
        <w:rPr>
          <w:rFonts w:cstheme="minorHAnsi"/>
          <w:color w:val="000000" w:themeColor="text1"/>
          <w:sz w:val="24"/>
          <w:szCs w:val="24"/>
        </w:rPr>
        <w:t xml:space="preserve">, 52a </w:t>
      </w:r>
    </w:p>
    <w:p w14:paraId="26A03691" w14:textId="3C5F1CB6" w:rsidR="00297498" w:rsidRDefault="00297498">
      <w:pPr>
        <w:pStyle w:val="FootnoteText"/>
      </w:pPr>
    </w:p>
  </w:footnote>
  <w:footnote w:id="51">
    <w:p w14:paraId="60746E82" w14:textId="75EC86AF" w:rsidR="00297498" w:rsidRDefault="00297498">
      <w:pPr>
        <w:pStyle w:val="FootnoteText"/>
      </w:pPr>
      <w:r>
        <w:rPr>
          <w:rStyle w:val="FootnoteReference"/>
        </w:rPr>
        <w:footnoteRef/>
      </w:r>
      <w:r>
        <w:t xml:space="preserve"> </w:t>
      </w:r>
      <w:r w:rsidRPr="00297498">
        <w:rPr>
          <w:sz w:val="24"/>
          <w:szCs w:val="24"/>
        </w:rPr>
        <w:t>Ibid.</w:t>
      </w:r>
    </w:p>
  </w:footnote>
  <w:footnote w:id="52">
    <w:p w14:paraId="0CCCD7FA" w14:textId="77777777" w:rsidR="00297498" w:rsidRPr="00297498" w:rsidRDefault="00297498" w:rsidP="00297498">
      <w:pPr>
        <w:spacing w:after="0" w:line="360" w:lineRule="auto"/>
        <w:rPr>
          <w:rStyle w:val="Hyperlink"/>
          <w:rFonts w:eastAsia="Times New Roman" w:cstheme="minorHAnsi"/>
          <w:color w:val="000000" w:themeColor="text1"/>
          <w:kern w:val="0"/>
          <w:sz w:val="24"/>
          <w:szCs w:val="24"/>
          <w:u w:val="none"/>
          <w:lang w:eastAsia="en-GB"/>
          <w14:ligatures w14:val="none"/>
        </w:rPr>
      </w:pPr>
      <w:r w:rsidRPr="00297498">
        <w:rPr>
          <w:rStyle w:val="Hyperlink"/>
          <w:color w:val="000000" w:themeColor="text1"/>
          <w:u w:val="none"/>
          <w:vertAlign w:val="superscript"/>
        </w:rPr>
        <w:footnoteRef/>
      </w:r>
      <w:r>
        <w:t xml:space="preserve"> </w:t>
      </w:r>
      <w:hyperlink r:id="rId7" w:history="1">
        <w:r w:rsidRPr="00297498">
          <w:rPr>
            <w:rStyle w:val="Hyperlink"/>
            <w:rFonts w:eastAsia="Times New Roman" w:cstheme="minorHAnsi"/>
            <w:kern w:val="0"/>
            <w:sz w:val="24"/>
            <w:szCs w:val="24"/>
            <w:lang w:eastAsia="en-GB"/>
            <w14:ligatures w14:val="none"/>
          </w:rPr>
          <w:t>https://www.rabbisacks.org/covenant-conversation/lech-lecha/how-perfect-were-the-matriarchs-and-patriarchs/</w:t>
        </w:r>
      </w:hyperlink>
    </w:p>
    <w:p w14:paraId="54C4B4D1" w14:textId="29864B4B" w:rsidR="00297498" w:rsidRDefault="00297498">
      <w:pPr>
        <w:pStyle w:val="FootnoteText"/>
      </w:pPr>
    </w:p>
  </w:footnote>
  <w:footnote w:id="53">
    <w:p w14:paraId="57C5042E" w14:textId="77777777" w:rsidR="00297498" w:rsidRPr="00297498" w:rsidRDefault="00297498" w:rsidP="00297498">
      <w:pPr>
        <w:spacing w:after="0" w:line="360" w:lineRule="auto"/>
        <w:rPr>
          <w:rFonts w:eastAsia="Times New Roman" w:cstheme="minorHAnsi"/>
          <w:color w:val="000000" w:themeColor="text1"/>
          <w:kern w:val="0"/>
          <w:sz w:val="24"/>
          <w:szCs w:val="24"/>
          <w:lang w:eastAsia="en-GB"/>
          <w14:ligatures w14:val="none"/>
        </w:rPr>
      </w:pPr>
      <w:r>
        <w:rPr>
          <w:rStyle w:val="FootnoteReference"/>
        </w:rPr>
        <w:footnoteRef/>
      </w:r>
      <w:r>
        <w:t xml:space="preserve"> </w:t>
      </w:r>
      <w:r w:rsidRPr="00297498">
        <w:rPr>
          <w:sz w:val="24"/>
          <w:szCs w:val="24"/>
        </w:rPr>
        <w:t>Bruce K. Waltke and Cathi J. Fredricks, Genesis: A Commentary, First ed. (Zondervan, 2001), pg. 216</w:t>
      </w:r>
    </w:p>
    <w:p w14:paraId="02017C98" w14:textId="3C3E45CF" w:rsidR="00297498" w:rsidRDefault="00297498">
      <w:pPr>
        <w:pStyle w:val="FootnoteText"/>
      </w:pPr>
    </w:p>
  </w:footnote>
  <w:footnote w:id="54">
    <w:p w14:paraId="2E3F5F92" w14:textId="77777777" w:rsidR="00297498" w:rsidRPr="00297498" w:rsidRDefault="00297498" w:rsidP="00297498">
      <w:pPr>
        <w:spacing w:line="360" w:lineRule="auto"/>
        <w:rPr>
          <w:rStyle w:val="Hyperlink"/>
          <w:rFonts w:cstheme="minorHAnsi"/>
          <w:color w:val="auto"/>
          <w:sz w:val="24"/>
          <w:szCs w:val="24"/>
          <w:u w:val="none"/>
        </w:rPr>
      </w:pPr>
      <w:r w:rsidRPr="00297498">
        <w:rPr>
          <w:rStyle w:val="Hyperlink"/>
          <w:color w:val="000000" w:themeColor="text1"/>
          <w:u w:val="none"/>
          <w:vertAlign w:val="superscript"/>
        </w:rPr>
        <w:footnoteRef/>
      </w:r>
      <w:r w:rsidRPr="00297498">
        <w:rPr>
          <w:color w:val="000000" w:themeColor="text1"/>
          <w:vertAlign w:val="superscript"/>
        </w:rPr>
        <w:t xml:space="preserve"> </w:t>
      </w:r>
      <w:r w:rsidRPr="00297498">
        <w:rPr>
          <w:sz w:val="24"/>
          <w:szCs w:val="24"/>
        </w:rPr>
        <w:t xml:space="preserve">Bob Stallman., Theology of Work Project and Stallman, Bob, "Genesis 12-50 and Work" (2013). Theology of Work Project. 17 </w:t>
      </w:r>
      <w:hyperlink r:id="rId8" w:history="1">
        <w:r w:rsidRPr="00297498">
          <w:rPr>
            <w:rStyle w:val="Hyperlink"/>
            <w:sz w:val="24"/>
            <w:szCs w:val="24"/>
          </w:rPr>
          <w:t>https://digitalcommons.spu.edu/tow_project/17</w:t>
        </w:r>
      </w:hyperlink>
    </w:p>
    <w:p w14:paraId="0668DD6C" w14:textId="50421F92" w:rsidR="00297498" w:rsidRDefault="00297498">
      <w:pPr>
        <w:pStyle w:val="FootnoteText"/>
      </w:pPr>
    </w:p>
  </w:footnote>
  <w:footnote w:id="55">
    <w:p w14:paraId="71389EFC" w14:textId="77777777" w:rsidR="00297498" w:rsidRPr="00297498" w:rsidRDefault="00297498" w:rsidP="00297498">
      <w:pPr>
        <w:spacing w:line="360" w:lineRule="auto"/>
        <w:rPr>
          <w:rFonts w:cstheme="minorHAnsi"/>
          <w:sz w:val="24"/>
          <w:szCs w:val="24"/>
        </w:rPr>
      </w:pPr>
      <w:r>
        <w:rPr>
          <w:rStyle w:val="FootnoteReference"/>
        </w:rPr>
        <w:footnoteRef/>
      </w:r>
      <w:r>
        <w:t xml:space="preserve"> </w:t>
      </w:r>
      <w:r w:rsidRPr="00297498">
        <w:rPr>
          <w:rFonts w:cstheme="minorHAnsi"/>
          <w:sz w:val="24"/>
          <w:szCs w:val="24"/>
        </w:rPr>
        <w:t xml:space="preserve">Robert Alter., ‘The Art of Biblical Narrative’, </w:t>
      </w:r>
      <w:r w:rsidRPr="00297498">
        <w:rPr>
          <w:rStyle w:val="a-text-bold"/>
          <w:rFonts w:cstheme="minorHAnsi"/>
          <w:b/>
          <w:bCs/>
          <w:color w:val="0F1111"/>
          <w:sz w:val="24"/>
          <w:szCs w:val="24"/>
          <w:shd w:val="clear" w:color="auto" w:fill="FFFFFF"/>
        </w:rPr>
        <w:t>‎ </w:t>
      </w:r>
      <w:r w:rsidRPr="00297498">
        <w:rPr>
          <w:rFonts w:cstheme="minorHAnsi"/>
          <w:color w:val="0F1111"/>
          <w:sz w:val="24"/>
          <w:szCs w:val="24"/>
          <w:shd w:val="clear" w:color="auto" w:fill="FFFFFF"/>
        </w:rPr>
        <w:t>Basic Books; 2nd edition (26 April 2011) pgs. 57-58</w:t>
      </w:r>
    </w:p>
    <w:p w14:paraId="7E04A001" w14:textId="24381C44" w:rsidR="00297498" w:rsidRDefault="00297498">
      <w:pPr>
        <w:pStyle w:val="FootnoteText"/>
      </w:pPr>
    </w:p>
  </w:footnote>
  <w:footnote w:id="56">
    <w:p w14:paraId="3C455929" w14:textId="78085947" w:rsidR="00297498" w:rsidRDefault="00297498">
      <w:pPr>
        <w:pStyle w:val="FootnoteText"/>
      </w:pPr>
      <w:r>
        <w:rPr>
          <w:rStyle w:val="FootnoteReference"/>
        </w:rPr>
        <w:footnoteRef/>
      </w:r>
      <w:r>
        <w:t xml:space="preserve"> </w:t>
      </w:r>
      <w:r>
        <w:rPr>
          <w:rFonts w:cstheme="minorHAnsi"/>
          <w:color w:val="0F1111"/>
          <w:sz w:val="24"/>
          <w:szCs w:val="24"/>
          <w:shd w:val="clear" w:color="auto" w:fill="FFFFFF"/>
        </w:rPr>
        <w:t xml:space="preserve">Homer, </w:t>
      </w:r>
      <w:r w:rsidRPr="008817BB">
        <w:rPr>
          <w:rFonts w:cstheme="minorHAnsi"/>
          <w:i/>
          <w:iCs/>
          <w:color w:val="0F1111"/>
          <w:sz w:val="24"/>
          <w:szCs w:val="24"/>
          <w:shd w:val="clear" w:color="auto" w:fill="FFFFFF"/>
        </w:rPr>
        <w:t>‘Iliad’,</w:t>
      </w:r>
      <w:r>
        <w:rPr>
          <w:rFonts w:cstheme="minorHAnsi"/>
          <w:color w:val="0F1111"/>
          <w:sz w:val="24"/>
          <w:szCs w:val="24"/>
          <w:shd w:val="clear" w:color="auto" w:fill="FFFFFF"/>
        </w:rPr>
        <w:t xml:space="preserve"> Books 3, 11, 16 &amp; 22</w:t>
      </w:r>
    </w:p>
  </w:footnote>
  <w:footnote w:id="57">
    <w:p w14:paraId="57C2B858" w14:textId="77777777" w:rsidR="00297498" w:rsidRPr="00297498" w:rsidRDefault="00297498" w:rsidP="00297498">
      <w:pPr>
        <w:spacing w:line="360" w:lineRule="auto"/>
        <w:rPr>
          <w:sz w:val="24"/>
          <w:szCs w:val="24"/>
        </w:rPr>
      </w:pPr>
      <w:r>
        <w:rPr>
          <w:rStyle w:val="FootnoteReference"/>
        </w:rPr>
        <w:footnoteRef/>
      </w:r>
      <w:r>
        <w:t xml:space="preserve"> </w:t>
      </w:r>
      <w:r w:rsidRPr="00297498">
        <w:rPr>
          <w:sz w:val="24"/>
          <w:szCs w:val="24"/>
        </w:rPr>
        <w:t xml:space="preserve">Barry L. Eichler, “On Reading Genesis 12:10–20,” in Tehillah le-Moshe, ed. Mordechai Cogan et al. (Winona Lake, Ind.: </w:t>
      </w:r>
      <w:proofErr w:type="spellStart"/>
      <w:r w:rsidRPr="00297498">
        <w:rPr>
          <w:sz w:val="24"/>
          <w:szCs w:val="24"/>
        </w:rPr>
        <w:t>Eisenbrauns</w:t>
      </w:r>
      <w:proofErr w:type="spellEnd"/>
      <w:r w:rsidRPr="00297498">
        <w:rPr>
          <w:sz w:val="24"/>
          <w:szCs w:val="24"/>
        </w:rPr>
        <w:t>, 1997), 33, 37–38.</w:t>
      </w:r>
    </w:p>
    <w:p w14:paraId="177012C6" w14:textId="6426FBF5" w:rsidR="00297498" w:rsidRDefault="00297498">
      <w:pPr>
        <w:pStyle w:val="FootnoteText"/>
      </w:pPr>
    </w:p>
  </w:footnote>
  <w:footnote w:id="58">
    <w:p w14:paraId="08C1952B" w14:textId="77777777" w:rsidR="007E71DA" w:rsidRPr="007E71DA" w:rsidRDefault="00297498" w:rsidP="007E71DA">
      <w:pPr>
        <w:spacing w:line="360" w:lineRule="auto"/>
        <w:rPr>
          <w:sz w:val="24"/>
          <w:szCs w:val="24"/>
        </w:rPr>
      </w:pPr>
      <w:r>
        <w:rPr>
          <w:rStyle w:val="FootnoteReference"/>
        </w:rPr>
        <w:footnoteRef/>
      </w:r>
      <w:r>
        <w:t xml:space="preserve"> </w:t>
      </w:r>
      <w:r w:rsidR="007E71DA" w:rsidRPr="007E71DA">
        <w:rPr>
          <w:sz w:val="24"/>
          <w:szCs w:val="24"/>
        </w:rPr>
        <w:t>Ibid.</w:t>
      </w:r>
    </w:p>
    <w:p w14:paraId="300B6C6C" w14:textId="05844FEB" w:rsidR="00297498" w:rsidRDefault="00297498">
      <w:pPr>
        <w:pStyle w:val="FootnoteText"/>
      </w:pPr>
    </w:p>
  </w:footnote>
  <w:footnote w:id="59">
    <w:p w14:paraId="7F57531F" w14:textId="3A50EB54" w:rsidR="007E71DA" w:rsidRPr="007F3CEF" w:rsidRDefault="007E71DA" w:rsidP="007E71DA">
      <w:pPr>
        <w:spacing w:line="360" w:lineRule="auto"/>
        <w:rPr>
          <w:sz w:val="24"/>
          <w:szCs w:val="24"/>
        </w:rPr>
      </w:pPr>
      <w:r>
        <w:rPr>
          <w:rStyle w:val="FootnoteReference"/>
        </w:rPr>
        <w:footnoteRef/>
      </w:r>
      <w:r>
        <w:t xml:space="preserve"> </w:t>
      </w:r>
      <w:r>
        <w:rPr>
          <w:rFonts w:cstheme="minorHAnsi"/>
          <w:sz w:val="24"/>
          <w:szCs w:val="24"/>
        </w:rPr>
        <w:t>Joseph</w:t>
      </w:r>
      <w:r>
        <w:rPr>
          <w:rFonts w:cstheme="minorHAnsi"/>
          <w:sz w:val="24"/>
          <w:szCs w:val="24"/>
        </w:rPr>
        <w:t xml:space="preserve"> Adams</w:t>
      </w:r>
      <w:r>
        <w:rPr>
          <w:rFonts w:cstheme="minorHAnsi"/>
          <w:sz w:val="24"/>
          <w:szCs w:val="24"/>
        </w:rPr>
        <w:t xml:space="preserve">., trans. </w:t>
      </w:r>
      <w:r w:rsidRPr="007F3CEF">
        <w:rPr>
          <w:rFonts w:cstheme="minorHAnsi"/>
          <w:i/>
          <w:iCs/>
          <w:sz w:val="24"/>
          <w:szCs w:val="24"/>
        </w:rPr>
        <w:t>‘</w:t>
      </w:r>
      <w:r w:rsidRPr="007F3CEF">
        <w:rPr>
          <w:i/>
          <w:iCs/>
          <w:sz w:val="24"/>
          <w:szCs w:val="24"/>
        </w:rPr>
        <w:t>Pearl of Great Price’,</w:t>
      </w:r>
      <w:r w:rsidRPr="00476130">
        <w:rPr>
          <w:sz w:val="24"/>
          <w:szCs w:val="24"/>
        </w:rPr>
        <w:t xml:space="preserve"> </w:t>
      </w:r>
      <w:hyperlink r:id="rId9" w:history="1">
        <w:r w:rsidRPr="007F3CEF">
          <w:rPr>
            <w:rFonts w:cstheme="minorHAnsi"/>
            <w:sz w:val="24"/>
            <w:szCs w:val="24"/>
          </w:rPr>
          <w:t>Choice Selection from the Revelations</w:t>
        </w:r>
        <w:r>
          <w:rPr>
            <w:rFonts w:cstheme="minorHAnsi"/>
            <w:sz w:val="24"/>
            <w:szCs w:val="24"/>
          </w:rPr>
          <w:t>’</w:t>
        </w:r>
        <w:r w:rsidRPr="007F3CEF">
          <w:rPr>
            <w:rFonts w:cstheme="minorHAnsi"/>
            <w:sz w:val="24"/>
            <w:szCs w:val="24"/>
          </w:rPr>
          <w:t>,</w:t>
        </w:r>
        <w:r>
          <w:rPr>
            <w:rFonts w:cstheme="minorHAnsi"/>
            <w:sz w:val="24"/>
            <w:szCs w:val="24"/>
          </w:rPr>
          <w:t xml:space="preserve"> Abraham 2:24,</w:t>
        </w:r>
        <w:r w:rsidRPr="007F3CEF">
          <w:rPr>
            <w:rFonts w:cstheme="minorHAnsi"/>
            <w:sz w:val="24"/>
            <w:szCs w:val="24"/>
          </w:rPr>
          <w:t xml:space="preserve"> Translations, and Narrations of Joseph Smith, First Prophet, Seer, and </w:t>
        </w:r>
        <w:proofErr w:type="spellStart"/>
        <w:r w:rsidRPr="007F3CEF">
          <w:rPr>
            <w:rFonts w:cstheme="minorHAnsi"/>
            <w:sz w:val="24"/>
            <w:szCs w:val="24"/>
          </w:rPr>
          <w:t>Revelator</w:t>
        </w:r>
        <w:proofErr w:type="spellEnd"/>
        <w:r w:rsidRPr="007F3CEF">
          <w:rPr>
            <w:rFonts w:cstheme="minorHAnsi"/>
            <w:sz w:val="24"/>
            <w:szCs w:val="24"/>
          </w:rPr>
          <w:t xml:space="preserve"> to the Church of Jesus Christ of Latter-day Saints</w:t>
        </w:r>
      </w:hyperlink>
      <w:r>
        <w:rPr>
          <w:rFonts w:cstheme="minorHAnsi"/>
          <w:sz w:val="24"/>
          <w:szCs w:val="24"/>
        </w:rPr>
        <w:t>, Salt Lake City, LDS Church (1878)</w:t>
      </w:r>
    </w:p>
    <w:p w14:paraId="06D82B76" w14:textId="541CB59C" w:rsidR="007E71DA" w:rsidRDefault="007E71DA">
      <w:pPr>
        <w:pStyle w:val="FootnoteText"/>
      </w:pPr>
    </w:p>
  </w:footnote>
  <w:footnote w:id="60">
    <w:p w14:paraId="0A29EEC9" w14:textId="77777777" w:rsidR="007E71DA" w:rsidRPr="007E71DA" w:rsidRDefault="007E71DA" w:rsidP="007E71DA">
      <w:pPr>
        <w:spacing w:line="360" w:lineRule="auto"/>
        <w:rPr>
          <w:sz w:val="24"/>
          <w:szCs w:val="24"/>
        </w:rPr>
      </w:pPr>
      <w:r w:rsidRPr="007E71DA">
        <w:rPr>
          <w:rStyle w:val="Hyperlink"/>
          <w:color w:val="000000" w:themeColor="text1"/>
          <w:u w:val="none"/>
          <w:vertAlign w:val="superscript"/>
        </w:rPr>
        <w:footnoteRef/>
      </w:r>
      <w:r w:rsidRPr="007E71DA">
        <w:t xml:space="preserve"> </w:t>
      </w:r>
      <w:hyperlink r:id="rId10" w:tooltip="Shoghi Effendi" w:history="1">
        <w:r w:rsidRPr="007E71DA">
          <w:rPr>
            <w:rStyle w:val="Hyperlink"/>
            <w:rFonts w:cstheme="minorHAnsi"/>
            <w:color w:val="000000" w:themeColor="text1"/>
            <w:sz w:val="24"/>
            <w:szCs w:val="24"/>
            <w:u w:val="none"/>
            <w:bdr w:val="none" w:sz="0" w:space="0" w:color="auto" w:frame="1"/>
          </w:rPr>
          <w:t>Shoghi Effendi</w:t>
        </w:r>
      </w:hyperlink>
      <w:r w:rsidRPr="007E71DA">
        <w:rPr>
          <w:rFonts w:cstheme="minorHAnsi"/>
          <w:color w:val="000000" w:themeColor="text1"/>
          <w:sz w:val="24"/>
          <w:szCs w:val="24"/>
        </w:rPr>
        <w:t>, </w:t>
      </w:r>
      <w:r w:rsidRPr="007E71DA">
        <w:rPr>
          <w:rStyle w:val="Emphasis"/>
          <w:rFonts w:cstheme="minorHAnsi"/>
          <w:color w:val="000000" w:themeColor="text1"/>
          <w:sz w:val="24"/>
          <w:szCs w:val="24"/>
          <w:bdr w:val="none" w:sz="0" w:space="0" w:color="auto" w:frame="1"/>
        </w:rPr>
        <w:t>Dawn of a New Day</w:t>
      </w:r>
      <w:r w:rsidRPr="007E71DA">
        <w:rPr>
          <w:rFonts w:cstheme="minorHAnsi"/>
          <w:color w:val="000000" w:themeColor="text1"/>
          <w:sz w:val="24"/>
          <w:szCs w:val="24"/>
        </w:rPr>
        <w:t xml:space="preserve">, p. 197-98 </w:t>
      </w:r>
      <w:hyperlink r:id="rId11" w:history="1">
        <w:r w:rsidRPr="007E71DA">
          <w:rPr>
            <w:rStyle w:val="Hyperlink"/>
            <w:rFonts w:cstheme="minorHAnsi"/>
            <w:sz w:val="24"/>
            <w:szCs w:val="24"/>
          </w:rPr>
          <w:t>https://bahai-library.com/shoghi-effendi_dawn_new_day</w:t>
        </w:r>
      </w:hyperlink>
    </w:p>
    <w:p w14:paraId="30F01814" w14:textId="05BA3CE3" w:rsidR="007E71DA" w:rsidRDefault="007E71DA">
      <w:pPr>
        <w:pStyle w:val="FootnoteText"/>
      </w:pPr>
    </w:p>
  </w:footnote>
  <w:footnote w:id="61">
    <w:p w14:paraId="035F39F1" w14:textId="77777777" w:rsidR="007E71DA" w:rsidRPr="007E71DA" w:rsidRDefault="007E71DA" w:rsidP="007E71DA">
      <w:pPr>
        <w:spacing w:line="360" w:lineRule="auto"/>
        <w:rPr>
          <w:sz w:val="24"/>
          <w:szCs w:val="24"/>
        </w:rPr>
      </w:pPr>
      <w:r w:rsidRPr="007E71DA">
        <w:rPr>
          <w:rStyle w:val="Hyperlink"/>
          <w:color w:val="000000" w:themeColor="text1"/>
          <w:u w:val="none"/>
          <w:vertAlign w:val="superscript"/>
        </w:rPr>
        <w:footnoteRef/>
      </w:r>
      <w:r>
        <w:t xml:space="preserve"> </w:t>
      </w:r>
      <w:hyperlink r:id="rId12" w:history="1">
        <w:r w:rsidRPr="007E71DA">
          <w:rPr>
            <w:rStyle w:val="Hyperlink"/>
            <w:sz w:val="24"/>
            <w:szCs w:val="24"/>
          </w:rPr>
          <w:t>https://www.zohar.com/zohar/Lech%20Lecha/chapters/10</w:t>
        </w:r>
      </w:hyperlink>
    </w:p>
    <w:p w14:paraId="619ADA47" w14:textId="773E770A" w:rsidR="007E71DA" w:rsidRDefault="007E71DA">
      <w:pPr>
        <w:pStyle w:val="FootnoteText"/>
      </w:pPr>
    </w:p>
  </w:footnote>
  <w:footnote w:id="62">
    <w:p w14:paraId="6EB94D0B" w14:textId="77777777" w:rsidR="007E71DA" w:rsidRPr="007E71DA" w:rsidRDefault="007E71DA" w:rsidP="007E71DA">
      <w:pPr>
        <w:pStyle w:val="Heading1"/>
        <w:shd w:val="clear" w:color="auto" w:fill="FFFFFF"/>
        <w:spacing w:before="0" w:after="75"/>
        <w:rPr>
          <w:rFonts w:asciiTheme="minorHAnsi" w:hAnsiTheme="minorHAnsi" w:cstheme="minorHAnsi"/>
          <w:color w:val="000000"/>
          <w:sz w:val="24"/>
          <w:szCs w:val="24"/>
          <w:shd w:val="clear" w:color="auto" w:fill="FFFFFF"/>
        </w:rPr>
      </w:pPr>
      <w:r w:rsidRPr="007E71DA">
        <w:rPr>
          <w:rStyle w:val="FootnoteReference"/>
          <w:rFonts w:asciiTheme="minorHAnsi" w:hAnsiTheme="minorHAnsi" w:cstheme="minorHAnsi"/>
          <w:color w:val="000000" w:themeColor="text1"/>
          <w:sz w:val="24"/>
          <w:szCs w:val="24"/>
        </w:rPr>
        <w:footnoteRef/>
      </w:r>
      <w:r w:rsidRPr="007E71DA">
        <w:rPr>
          <w:rFonts w:asciiTheme="minorHAnsi" w:hAnsiTheme="minorHAnsi" w:cstheme="minorHAnsi"/>
          <w:color w:val="000000" w:themeColor="text1"/>
          <w:sz w:val="24"/>
          <w:szCs w:val="24"/>
          <w:vertAlign w:val="superscript"/>
        </w:rPr>
        <w:t xml:space="preserve"> </w:t>
      </w:r>
      <w:r w:rsidRPr="007E71DA">
        <w:rPr>
          <w:rFonts w:asciiTheme="minorHAnsi" w:hAnsiTheme="minorHAnsi" w:cstheme="minorHAnsi"/>
          <w:color w:val="000000" w:themeColor="text1"/>
          <w:sz w:val="24"/>
          <w:szCs w:val="24"/>
        </w:rPr>
        <w:t xml:space="preserve">Rochel </w:t>
      </w:r>
      <w:proofErr w:type="spellStart"/>
      <w:r w:rsidRPr="007E71DA">
        <w:rPr>
          <w:rFonts w:asciiTheme="minorHAnsi" w:hAnsiTheme="minorHAnsi" w:cstheme="minorHAnsi"/>
          <w:color w:val="000000" w:themeColor="text1"/>
          <w:sz w:val="24"/>
          <w:szCs w:val="24"/>
        </w:rPr>
        <w:t>Holzkenner</w:t>
      </w:r>
      <w:proofErr w:type="spellEnd"/>
      <w:r w:rsidRPr="007E71DA">
        <w:rPr>
          <w:rFonts w:asciiTheme="minorHAnsi" w:hAnsiTheme="minorHAnsi" w:cstheme="minorHAnsi"/>
          <w:color w:val="000000" w:themeColor="text1"/>
          <w:sz w:val="24"/>
          <w:szCs w:val="24"/>
        </w:rPr>
        <w:t xml:space="preserve">., </w:t>
      </w:r>
      <w:r w:rsidRPr="007E71DA">
        <w:rPr>
          <w:rFonts w:asciiTheme="minorHAnsi" w:hAnsiTheme="minorHAnsi" w:cstheme="minorHAnsi"/>
          <w:i/>
          <w:iCs/>
          <w:color w:val="000000" w:themeColor="text1"/>
          <w:sz w:val="24"/>
          <w:szCs w:val="24"/>
        </w:rPr>
        <w:t>‘How Could Abraham Let Sarah Be Abducted? And what we can learn from them today’</w:t>
      </w:r>
      <w:r w:rsidRPr="007E71DA">
        <w:rPr>
          <w:rFonts w:asciiTheme="minorHAnsi" w:hAnsiTheme="minorHAnsi" w:cstheme="minorHAnsi"/>
          <w:color w:val="000000" w:themeColor="text1"/>
          <w:sz w:val="24"/>
          <w:szCs w:val="24"/>
        </w:rPr>
        <w:t xml:space="preserve">, </w:t>
      </w:r>
      <w:r w:rsidRPr="007E71DA">
        <w:rPr>
          <w:rFonts w:asciiTheme="minorHAnsi" w:hAnsiTheme="minorHAnsi" w:cstheme="minorHAnsi"/>
          <w:color w:val="000000"/>
          <w:sz w:val="24"/>
          <w:szCs w:val="24"/>
          <w:shd w:val="clear" w:color="auto" w:fill="FFFFFF"/>
        </w:rPr>
        <w:t>Based on a talk of the Lubavitcher Rebbe (</w:t>
      </w:r>
      <w:proofErr w:type="spellStart"/>
      <w:r w:rsidRPr="007E71DA">
        <w:rPr>
          <w:rFonts w:asciiTheme="minorHAnsi" w:hAnsiTheme="minorHAnsi" w:cstheme="minorHAnsi"/>
          <w:color w:val="000000"/>
          <w:sz w:val="24"/>
          <w:szCs w:val="24"/>
          <w:shd w:val="clear" w:color="auto" w:fill="FFFFFF"/>
        </w:rPr>
        <w:t>Likkutei</w:t>
      </w:r>
      <w:proofErr w:type="spellEnd"/>
      <w:r w:rsidRPr="007E71DA">
        <w:rPr>
          <w:rFonts w:asciiTheme="minorHAnsi" w:hAnsiTheme="minorHAnsi" w:cstheme="minorHAnsi"/>
          <w:color w:val="000000"/>
          <w:sz w:val="24"/>
          <w:szCs w:val="24"/>
          <w:shd w:val="clear" w:color="auto" w:fill="FFFFFF"/>
        </w:rPr>
        <w:t xml:space="preserve"> </w:t>
      </w:r>
      <w:proofErr w:type="spellStart"/>
      <w:r w:rsidRPr="007E71DA">
        <w:rPr>
          <w:rFonts w:asciiTheme="minorHAnsi" w:hAnsiTheme="minorHAnsi" w:cstheme="minorHAnsi"/>
          <w:color w:val="000000"/>
          <w:sz w:val="24"/>
          <w:szCs w:val="24"/>
          <w:shd w:val="clear" w:color="auto" w:fill="FFFFFF"/>
        </w:rPr>
        <w:t>Sichot</w:t>
      </w:r>
      <w:proofErr w:type="spellEnd"/>
      <w:r w:rsidRPr="007E71DA">
        <w:rPr>
          <w:rFonts w:asciiTheme="minorHAnsi" w:hAnsiTheme="minorHAnsi" w:cstheme="minorHAnsi"/>
          <w:color w:val="000000"/>
          <w:sz w:val="24"/>
          <w:szCs w:val="24"/>
          <w:shd w:val="clear" w:color="auto" w:fill="FFFFFF"/>
        </w:rPr>
        <w:t xml:space="preserve">, volume 20). </w:t>
      </w:r>
      <w:hyperlink r:id="rId13" w:history="1">
        <w:r w:rsidRPr="007E71DA">
          <w:rPr>
            <w:rFonts w:asciiTheme="minorHAnsi" w:hAnsiTheme="minorHAnsi" w:cstheme="minorHAnsi"/>
            <w:color w:val="0000FF"/>
            <w:sz w:val="24"/>
            <w:szCs w:val="24"/>
            <w:u w:val="single"/>
            <w:shd w:val="clear" w:color="auto" w:fill="FFFFFF"/>
          </w:rPr>
          <w:t>https://www.chabad.org/theJewishWoman/article_cdo/aid/1008032/jewish/How-Could-Abraham-Let-Sarah-Be-Abducted.htm</w:t>
        </w:r>
      </w:hyperlink>
    </w:p>
    <w:p w14:paraId="0CFBCED0" w14:textId="55CD983B" w:rsidR="007E71DA" w:rsidRDefault="007E71DA">
      <w:pPr>
        <w:pStyle w:val="FootnoteText"/>
      </w:pPr>
    </w:p>
  </w:footnote>
  <w:footnote w:id="63">
    <w:p w14:paraId="0DB26612" w14:textId="7F05D70E" w:rsidR="007E71DA" w:rsidRDefault="007E71DA">
      <w:pPr>
        <w:pStyle w:val="FootnoteText"/>
      </w:pPr>
      <w:r>
        <w:rPr>
          <w:rStyle w:val="FootnoteReference"/>
        </w:rPr>
        <w:footnoteRef/>
      </w:r>
      <w:r>
        <w:t xml:space="preserve"> </w:t>
      </w:r>
      <w:r w:rsidRPr="007E71DA">
        <w:rPr>
          <w:sz w:val="24"/>
          <w:szCs w:val="24"/>
        </w:rPr>
        <w:t>Ibid.</w:t>
      </w:r>
      <w:r>
        <w:t xml:space="preserve"> </w:t>
      </w:r>
    </w:p>
    <w:p w14:paraId="58BCB174" w14:textId="77777777" w:rsidR="007E71DA" w:rsidRDefault="007E71DA">
      <w:pPr>
        <w:pStyle w:val="FootnoteText"/>
      </w:pPr>
    </w:p>
  </w:footnote>
  <w:footnote w:id="64">
    <w:p w14:paraId="7C3B42FF" w14:textId="77777777" w:rsidR="00EC01A2" w:rsidRPr="00EC01A2" w:rsidRDefault="00EC01A2" w:rsidP="00EC01A2">
      <w:pPr>
        <w:spacing w:line="360" w:lineRule="auto"/>
        <w:rPr>
          <w:color w:val="000000" w:themeColor="text1"/>
          <w:sz w:val="24"/>
          <w:szCs w:val="24"/>
        </w:rPr>
      </w:pPr>
      <w:r w:rsidRPr="00EC01A2">
        <w:rPr>
          <w:rStyle w:val="Hyperlink"/>
          <w:color w:val="000000" w:themeColor="text1"/>
          <w:u w:val="none"/>
          <w:vertAlign w:val="superscript"/>
        </w:rPr>
        <w:footnoteRef/>
      </w:r>
      <w:r>
        <w:t xml:space="preserve"> </w:t>
      </w:r>
      <w:bookmarkStart w:id="6" w:name="_Hlk141387449"/>
      <w:r w:rsidRPr="00EC01A2">
        <w:rPr>
          <w:color w:val="000000" w:themeColor="text1"/>
          <w:sz w:val="24"/>
          <w:szCs w:val="24"/>
        </w:rPr>
        <w:t xml:space="preserve">Fig. 1 </w:t>
      </w:r>
      <w:hyperlink r:id="rId14" w:history="1">
        <w:r w:rsidRPr="00EC01A2">
          <w:rPr>
            <w:rStyle w:val="Hyperlink"/>
            <w:sz w:val="24"/>
            <w:szCs w:val="24"/>
          </w:rPr>
          <w:t>https://thejewishmuseum.org/collection/26685-abram-s-counsel-to-sarai</w:t>
        </w:r>
      </w:hyperlink>
    </w:p>
    <w:bookmarkEnd w:id="6"/>
    <w:p w14:paraId="0E254956" w14:textId="08863903" w:rsidR="00EC01A2" w:rsidRDefault="00EC01A2">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AE5A0C"/>
    <w:multiLevelType w:val="hybridMultilevel"/>
    <w:tmpl w:val="955443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0794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71A"/>
    <w:rsid w:val="00073942"/>
    <w:rsid w:val="00297498"/>
    <w:rsid w:val="007B6F38"/>
    <w:rsid w:val="007E71DA"/>
    <w:rsid w:val="00917C7D"/>
    <w:rsid w:val="009E4F70"/>
    <w:rsid w:val="00A2271A"/>
    <w:rsid w:val="00C43195"/>
    <w:rsid w:val="00E90ABB"/>
    <w:rsid w:val="00EC0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0A0BD"/>
  <w15:chartTrackingRefBased/>
  <w15:docId w15:val="{C8A52EF7-5AE3-4E66-9DB3-C7A1C5B45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71A"/>
  </w:style>
  <w:style w:type="paragraph" w:styleId="Heading1">
    <w:name w:val="heading 1"/>
    <w:basedOn w:val="Normal"/>
    <w:next w:val="Normal"/>
    <w:link w:val="Heading1Char"/>
    <w:uiPriority w:val="9"/>
    <w:qFormat/>
    <w:rsid w:val="007E71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2271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A227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2271A"/>
    <w:rPr>
      <w:sz w:val="20"/>
      <w:szCs w:val="20"/>
    </w:rPr>
  </w:style>
  <w:style w:type="character" w:styleId="FootnoteReference">
    <w:name w:val="footnote reference"/>
    <w:basedOn w:val="DefaultParagraphFont"/>
    <w:uiPriority w:val="99"/>
    <w:semiHidden/>
    <w:unhideWhenUsed/>
    <w:rsid w:val="00A2271A"/>
    <w:rPr>
      <w:vertAlign w:val="superscript"/>
    </w:rPr>
  </w:style>
  <w:style w:type="paragraph" w:styleId="ListParagraph">
    <w:name w:val="List Paragraph"/>
    <w:basedOn w:val="Normal"/>
    <w:uiPriority w:val="34"/>
    <w:qFormat/>
    <w:rsid w:val="00A2271A"/>
    <w:pPr>
      <w:ind w:left="720"/>
      <w:contextualSpacing/>
    </w:pPr>
  </w:style>
  <w:style w:type="character" w:styleId="Hyperlink">
    <w:name w:val="Hyperlink"/>
    <w:basedOn w:val="DefaultParagraphFont"/>
    <w:uiPriority w:val="99"/>
    <w:unhideWhenUsed/>
    <w:rsid w:val="007B6F38"/>
    <w:rPr>
      <w:color w:val="0000FF"/>
      <w:u w:val="single"/>
    </w:rPr>
  </w:style>
  <w:style w:type="character" w:styleId="HTMLCite">
    <w:name w:val="HTML Cite"/>
    <w:basedOn w:val="DefaultParagraphFont"/>
    <w:uiPriority w:val="99"/>
    <w:semiHidden/>
    <w:unhideWhenUsed/>
    <w:rsid w:val="007B6F38"/>
    <w:rPr>
      <w:i/>
      <w:iCs/>
    </w:rPr>
  </w:style>
  <w:style w:type="character" w:customStyle="1" w:styleId="italic">
    <w:name w:val="italic"/>
    <w:basedOn w:val="DefaultParagraphFont"/>
    <w:rsid w:val="00917C7D"/>
  </w:style>
  <w:style w:type="character" w:styleId="UnresolvedMention">
    <w:name w:val="Unresolved Mention"/>
    <w:basedOn w:val="DefaultParagraphFont"/>
    <w:uiPriority w:val="99"/>
    <w:semiHidden/>
    <w:unhideWhenUsed/>
    <w:rsid w:val="00917C7D"/>
    <w:rPr>
      <w:color w:val="605E5C"/>
      <w:shd w:val="clear" w:color="auto" w:fill="E1DFDD"/>
    </w:rPr>
  </w:style>
  <w:style w:type="character" w:customStyle="1" w:styleId="text">
    <w:name w:val="text"/>
    <w:basedOn w:val="DefaultParagraphFont"/>
    <w:rsid w:val="009E4F70"/>
  </w:style>
  <w:style w:type="paragraph" w:customStyle="1" w:styleId="chapter-1">
    <w:name w:val="chapter-1"/>
    <w:basedOn w:val="Normal"/>
    <w:rsid w:val="009E4F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E4F70"/>
    <w:rPr>
      <w:i/>
      <w:iCs/>
    </w:rPr>
  </w:style>
  <w:style w:type="character" w:customStyle="1" w:styleId="a-text-bold">
    <w:name w:val="a-text-bold"/>
    <w:basedOn w:val="DefaultParagraphFont"/>
    <w:rsid w:val="00297498"/>
  </w:style>
  <w:style w:type="character" w:customStyle="1" w:styleId="Heading1Char">
    <w:name w:val="Heading 1 Char"/>
    <w:basedOn w:val="DefaultParagraphFont"/>
    <w:link w:val="Heading1"/>
    <w:uiPriority w:val="9"/>
    <w:rsid w:val="007E71DA"/>
    <w:rPr>
      <w:rFonts w:asciiTheme="majorHAnsi" w:eastAsiaTheme="majorEastAsia" w:hAnsiTheme="majorHAnsi" w:cstheme="majorBidi"/>
      <w:color w:val="2F5496" w:themeColor="accent1" w:themeShade="BF"/>
      <w:sz w:val="32"/>
      <w:szCs w:val="32"/>
    </w:rPr>
  </w:style>
  <w:style w:type="character" w:customStyle="1" w:styleId="glossaryitem">
    <w:name w:val="glossary_item"/>
    <w:basedOn w:val="DefaultParagraphFont"/>
    <w:rsid w:val="000739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shia.net/view/Dua" TargetMode="External"/><Relationship Id="rId13" Type="http://schemas.openxmlformats.org/officeDocument/2006/relationships/hyperlink" Target="https://www.bloomsburycollections.com/book/abraham-in-jewish-and-early-christian-literature/bibliography" TargetMode="External"/><Relationship Id="rId18" Type="http://schemas.openxmlformats.org/officeDocument/2006/relationships/hyperlink" Target="https://bahaiteachings.org/shoghi-effendi"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habad.org/theJewishWoman/article_cdo/aid/1008032/jewish/How-Could-Abraham-Let-Sarah-Be-Abducted.htm" TargetMode="External"/><Relationship Id="rId17" Type="http://schemas.openxmlformats.org/officeDocument/2006/relationships/hyperlink" Target="https://www.rabbisacks.org/covenant-conversation/lech-lecha/how-perfect-were-the-matriarchs-and-patriarchs/" TargetMode="External"/><Relationship Id="rId2" Type="http://schemas.openxmlformats.org/officeDocument/2006/relationships/numbering" Target="numbering.xml"/><Relationship Id="rId16" Type="http://schemas.openxmlformats.org/officeDocument/2006/relationships/hyperlink" Target="http://www.earlychristianwritings.com/yonge/book31.html" TargetMode="External"/><Relationship Id="rId20" Type="http://schemas.openxmlformats.org/officeDocument/2006/relationships/hyperlink" Target="https://www.zohar.com/zohar/Lech%20Lech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abad.org/library/article_cdo/aid/1324268/jewish/What-Were-Abrahams-10-Tests.htm" TargetMode="External"/><Relationship Id="rId5" Type="http://schemas.openxmlformats.org/officeDocument/2006/relationships/webSettings" Target="webSettings.xml"/><Relationship Id="rId15" Type="http://schemas.openxmlformats.org/officeDocument/2006/relationships/hyperlink" Target="http://www.earlychristianwritings.com/yonge/book31.html" TargetMode="External"/><Relationship Id="rId10" Type="http://schemas.openxmlformats.org/officeDocument/2006/relationships/hyperlink" Target="https://books.google.com/books?id=LGkTGPfxit4C" TargetMode="External"/><Relationship Id="rId19" Type="http://schemas.openxmlformats.org/officeDocument/2006/relationships/hyperlink" Target="https://bahai-library.com/shoghi-effendi_dawn_new_day"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hebrew4christians.com/Scripture/Parashah/Summaries/Lekh_Lekha/Ten_Tests/ten_tests.html"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digitalcommons.spu.edu/tow_project/17" TargetMode="External"/><Relationship Id="rId13" Type="http://schemas.openxmlformats.org/officeDocument/2006/relationships/hyperlink" Target="https://www.chabad.org/theJewishWoman/article_cdo/aid/1008032/jewish/How-Could-Abraham-Let-Sarah-Be-Abducted.htm" TargetMode="External"/><Relationship Id="rId3" Type="http://schemas.openxmlformats.org/officeDocument/2006/relationships/hyperlink" Target="http://www.earlychristianwritings.com/yonge/book31.htm" TargetMode="External"/><Relationship Id="rId7" Type="http://schemas.openxmlformats.org/officeDocument/2006/relationships/hyperlink" Target="https://www.rabbisacks.org/covenant-conversation/lech-lecha/how-perfect-were-the-matriarchs-and-patriarchs/" TargetMode="External"/><Relationship Id="rId12" Type="http://schemas.openxmlformats.org/officeDocument/2006/relationships/hyperlink" Target="https://www.zohar.com/zohar/Lech%20Lecha/chapters/10" TargetMode="External"/><Relationship Id="rId2" Type="http://schemas.openxmlformats.org/officeDocument/2006/relationships/hyperlink" Target="https://www.bloomsburycollections.com/book/abraham-in-jewish-and-early-christian-literature/bibliography" TargetMode="External"/><Relationship Id="rId1" Type="http://schemas.openxmlformats.org/officeDocument/2006/relationships/hyperlink" Target="https://www.thetorah.com/article/abraham-and-sarah-in-egypt-a-story-composed-to-prefigure-the-exodus" TargetMode="External"/><Relationship Id="rId6" Type="http://schemas.openxmlformats.org/officeDocument/2006/relationships/hyperlink" Target="https://www.chabad.org/library/article_cdo/aid/1324268/jewish/What-Were-Abrahams-10-Tests.htm" TargetMode="External"/><Relationship Id="rId11" Type="http://schemas.openxmlformats.org/officeDocument/2006/relationships/hyperlink" Target="https://bahai-library.com/shoghi-effendi_dawn_new_day" TargetMode="External"/><Relationship Id="rId5" Type="http://schemas.openxmlformats.org/officeDocument/2006/relationships/hyperlink" Target="https://www.hebrew4christians.com/Scripture/Parashah/Summaries/Lekh_Lekha/Ten_Tests/ten_tests.html" TargetMode="External"/><Relationship Id="rId10" Type="http://schemas.openxmlformats.org/officeDocument/2006/relationships/hyperlink" Target="https://bahaiteachings.org/shoghi-effendi" TargetMode="External"/><Relationship Id="rId4" Type="http://schemas.openxmlformats.org/officeDocument/2006/relationships/hyperlink" Target="http://www.earlychristianwritings.com/yonge/book31.html" TargetMode="External"/><Relationship Id="rId9" Type="http://schemas.openxmlformats.org/officeDocument/2006/relationships/hyperlink" Target="https://books.google.com/books?id=LGkTGPfxit4C" TargetMode="External"/><Relationship Id="rId14" Type="http://schemas.openxmlformats.org/officeDocument/2006/relationships/hyperlink" Target="https://thejewishmuseum.org/collection/26685-abram-s-counsel-to-sara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75A17F-0A78-4C8B-A0D2-907BC4B92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Pages>
  <Words>3925</Words>
  <Characters>21195</Characters>
  <Application>Microsoft Office Word</Application>
  <DocSecurity>0</DocSecurity>
  <Lines>359</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Goody</dc:creator>
  <cp:keywords/>
  <dc:description/>
  <cp:lastModifiedBy>Paul Goody</cp:lastModifiedBy>
  <cp:revision>3</cp:revision>
  <dcterms:created xsi:type="dcterms:W3CDTF">2023-07-27T19:40:00Z</dcterms:created>
  <dcterms:modified xsi:type="dcterms:W3CDTF">2023-07-27T21:05:00Z</dcterms:modified>
</cp:coreProperties>
</file>