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DE86B8" w14:textId="15659F18" w:rsidR="00A929BF" w:rsidRPr="000D4FC3" w:rsidRDefault="00EB2601" w:rsidP="000D4FC3">
      <w:pPr>
        <w:rPr>
          <w:rFonts w:ascii="Times New Roman" w:hAnsi="Times New Roman" w:cs="Times New Roman"/>
        </w:rPr>
      </w:pPr>
      <w:r w:rsidRPr="000D4FC3">
        <w:rPr>
          <w:rFonts w:ascii="Times New Roman" w:hAnsi="Times New Roman" w:cs="Times New Roman"/>
        </w:rPr>
        <w:t xml:space="preserve">NUME STUDENT: CARMEN CARAMAN </w:t>
      </w:r>
    </w:p>
    <w:p w14:paraId="63847901" w14:textId="1C4B79EA" w:rsidR="00EB2601" w:rsidRPr="000D4FC3" w:rsidRDefault="00EB2601" w:rsidP="000D4FC3">
      <w:pPr>
        <w:rPr>
          <w:rFonts w:ascii="Times New Roman" w:hAnsi="Times New Roman" w:cs="Times New Roman"/>
        </w:rPr>
      </w:pPr>
      <w:r w:rsidRPr="000D4FC3">
        <w:rPr>
          <w:rFonts w:ascii="Times New Roman" w:hAnsi="Times New Roman" w:cs="Times New Roman"/>
        </w:rPr>
        <w:t>STUDENT ID: 2213756</w:t>
      </w:r>
    </w:p>
    <w:p w14:paraId="7494ABB3" w14:textId="516FD498" w:rsidR="00EB2601" w:rsidRPr="000D4FC3" w:rsidRDefault="00EB2601" w:rsidP="000D4FC3">
      <w:pPr>
        <w:rPr>
          <w:rFonts w:ascii="Times New Roman" w:hAnsi="Times New Roman" w:cs="Times New Roman"/>
        </w:rPr>
      </w:pPr>
      <w:r w:rsidRPr="000D4FC3">
        <w:rPr>
          <w:rFonts w:ascii="Times New Roman" w:hAnsi="Times New Roman" w:cs="Times New Roman"/>
        </w:rPr>
        <w:t xml:space="preserve">MODULE CODE: LCBB5012 </w:t>
      </w:r>
    </w:p>
    <w:p w14:paraId="638065DA" w14:textId="7E00C8F5" w:rsidR="00EB2601" w:rsidRPr="000D4FC3" w:rsidRDefault="00EB2601" w:rsidP="000D4FC3">
      <w:pPr>
        <w:rPr>
          <w:rFonts w:ascii="Times New Roman" w:hAnsi="Times New Roman" w:cs="Times New Roman"/>
        </w:rPr>
      </w:pPr>
      <w:r w:rsidRPr="000D4FC3">
        <w:rPr>
          <w:rFonts w:ascii="Times New Roman" w:hAnsi="Times New Roman" w:cs="Times New Roman"/>
        </w:rPr>
        <w:t xml:space="preserve">LECTURE NAME: LIYANAGE RODRIGO </w:t>
      </w:r>
    </w:p>
    <w:p w14:paraId="1C4EA0B5" w14:textId="4F86020F" w:rsidR="00EB2601" w:rsidRPr="000D4FC3" w:rsidRDefault="00EB2601" w:rsidP="000D4FC3">
      <w:pPr>
        <w:rPr>
          <w:rFonts w:ascii="Times New Roman" w:hAnsi="Times New Roman" w:cs="Times New Roman"/>
        </w:rPr>
      </w:pPr>
      <w:r w:rsidRPr="000D4FC3">
        <w:rPr>
          <w:rFonts w:ascii="Times New Roman" w:hAnsi="Times New Roman" w:cs="Times New Roman"/>
        </w:rPr>
        <w:t>COMPONENT 2 (2000 WORDS)</w:t>
      </w:r>
    </w:p>
    <w:p w14:paraId="58C737AD" w14:textId="40CAD2F8" w:rsidR="00EB2601" w:rsidRDefault="00EB2601" w:rsidP="000D4FC3">
      <w:r w:rsidRPr="000D4FC3">
        <w:rPr>
          <w:rFonts w:ascii="Times New Roman" w:hAnsi="Times New Roman" w:cs="Times New Roman"/>
        </w:rPr>
        <w:t>UNILEVER ORGANISATION</w:t>
      </w:r>
      <w:r>
        <w:t xml:space="preserve"> </w:t>
      </w:r>
    </w:p>
    <w:p w14:paraId="0CF578CC" w14:textId="77777777" w:rsidR="00EB2601" w:rsidRDefault="00EB2601"/>
    <w:p w14:paraId="54E54FBB" w14:textId="77777777" w:rsidR="00EB2601" w:rsidRDefault="00EB2601"/>
    <w:p w14:paraId="7138E80B" w14:textId="77777777" w:rsidR="00EB2601" w:rsidRDefault="00EB2601"/>
    <w:p w14:paraId="1BBEFAC3" w14:textId="77777777" w:rsidR="00EB2601" w:rsidRDefault="00EB2601"/>
    <w:p w14:paraId="01080DC8" w14:textId="77777777" w:rsidR="00EB2601" w:rsidRDefault="00EB2601"/>
    <w:p w14:paraId="42958012" w14:textId="77777777" w:rsidR="00EB2601" w:rsidRDefault="00EB2601"/>
    <w:p w14:paraId="6269C977" w14:textId="77777777" w:rsidR="00EB2601" w:rsidRDefault="00EB2601"/>
    <w:p w14:paraId="5C463E4F" w14:textId="77777777" w:rsidR="00EB2601" w:rsidRDefault="00EB2601"/>
    <w:p w14:paraId="2F3451A6" w14:textId="77777777" w:rsidR="00EB2601" w:rsidRDefault="00EB2601"/>
    <w:p w14:paraId="2FA28F5B" w14:textId="77777777" w:rsidR="00EB2601" w:rsidRDefault="00EB2601"/>
    <w:p w14:paraId="7D715BF7" w14:textId="77777777" w:rsidR="00EB2601" w:rsidRDefault="00EB2601"/>
    <w:p w14:paraId="7AAFBB92" w14:textId="77777777" w:rsidR="00EB2601" w:rsidRDefault="00EB2601"/>
    <w:p w14:paraId="3811702D" w14:textId="77777777" w:rsidR="00EB2601" w:rsidRDefault="00EB2601"/>
    <w:p w14:paraId="50A739A6" w14:textId="77777777" w:rsidR="00EB2601" w:rsidRDefault="00EB2601"/>
    <w:p w14:paraId="638F6FE9" w14:textId="77777777" w:rsidR="00EB2601" w:rsidRDefault="00EB2601"/>
    <w:p w14:paraId="758451CF" w14:textId="77777777" w:rsidR="00EB2601" w:rsidRDefault="00EB2601"/>
    <w:p w14:paraId="653E19F6" w14:textId="77777777" w:rsidR="00EB2601" w:rsidRDefault="00EB2601"/>
    <w:p w14:paraId="5C7EC82A" w14:textId="77777777" w:rsidR="00EB2601" w:rsidRDefault="00EB2601"/>
    <w:p w14:paraId="3A2EC453" w14:textId="77777777" w:rsidR="00EB2601" w:rsidRDefault="00EB2601"/>
    <w:p w14:paraId="22A1ED9B" w14:textId="77777777" w:rsidR="00EB2601" w:rsidRDefault="00EB2601"/>
    <w:p w14:paraId="60FA2B38" w14:textId="77777777" w:rsidR="00EB2601" w:rsidRDefault="00EB2601"/>
    <w:p w14:paraId="0583163B" w14:textId="77777777" w:rsidR="00EB2601" w:rsidRDefault="00EB2601"/>
    <w:sdt>
      <w:sdtPr>
        <w:rPr>
          <w:rFonts w:asciiTheme="minorHAnsi" w:eastAsiaTheme="minorHAnsi" w:hAnsiTheme="minorHAnsi" w:cstheme="minorBidi"/>
          <w:color w:val="auto"/>
          <w:kern w:val="2"/>
          <w:sz w:val="24"/>
          <w:szCs w:val="24"/>
          <w:lang w:eastAsia="en-US"/>
          <w14:ligatures w14:val="standardContextual"/>
        </w:rPr>
        <w:id w:val="-1145422952"/>
        <w:docPartObj>
          <w:docPartGallery w:val="Table of Contents"/>
          <w:docPartUnique/>
        </w:docPartObj>
      </w:sdtPr>
      <w:sdtEndPr>
        <w:rPr>
          <w:b/>
          <w:bCs/>
        </w:rPr>
      </w:sdtEndPr>
      <w:sdtContent>
        <w:p w14:paraId="71C01852" w14:textId="0819B913" w:rsidR="000D4FC3" w:rsidRDefault="000D4FC3">
          <w:pPr>
            <w:pStyle w:val="TOCHeading"/>
          </w:pPr>
          <w:r>
            <w:t>Table of Contents</w:t>
          </w:r>
        </w:p>
        <w:p w14:paraId="424CAC24" w14:textId="3321E4C0" w:rsidR="000D4FC3" w:rsidRDefault="000D4FC3">
          <w:pPr>
            <w:pStyle w:val="TOC1"/>
            <w:tabs>
              <w:tab w:val="right" w:leader="dot" w:pos="9016"/>
            </w:tabs>
            <w:rPr>
              <w:noProof/>
            </w:rPr>
          </w:pPr>
          <w:r>
            <w:fldChar w:fldCharType="begin"/>
          </w:r>
          <w:r>
            <w:instrText xml:space="preserve"> TOC \o "1-3" \h \z \u </w:instrText>
          </w:r>
          <w:r>
            <w:fldChar w:fldCharType="separate"/>
          </w:r>
          <w:hyperlink w:anchor="_Toc212926804" w:history="1">
            <w:r w:rsidRPr="00A464FA">
              <w:rPr>
                <w:rStyle w:val="Hyperlink"/>
                <w:noProof/>
              </w:rPr>
              <w:t>Introduction</w:t>
            </w:r>
            <w:r>
              <w:rPr>
                <w:noProof/>
                <w:webHidden/>
              </w:rPr>
              <w:tab/>
            </w:r>
            <w:r>
              <w:rPr>
                <w:noProof/>
                <w:webHidden/>
              </w:rPr>
              <w:fldChar w:fldCharType="begin"/>
            </w:r>
            <w:r>
              <w:rPr>
                <w:noProof/>
                <w:webHidden/>
              </w:rPr>
              <w:instrText xml:space="preserve"> PAGEREF _Toc212926804 \h </w:instrText>
            </w:r>
            <w:r>
              <w:rPr>
                <w:noProof/>
                <w:webHidden/>
              </w:rPr>
            </w:r>
            <w:r>
              <w:rPr>
                <w:noProof/>
                <w:webHidden/>
              </w:rPr>
              <w:fldChar w:fldCharType="separate"/>
            </w:r>
            <w:r>
              <w:rPr>
                <w:noProof/>
                <w:webHidden/>
              </w:rPr>
              <w:t>3</w:t>
            </w:r>
            <w:r>
              <w:rPr>
                <w:noProof/>
                <w:webHidden/>
              </w:rPr>
              <w:fldChar w:fldCharType="end"/>
            </w:r>
          </w:hyperlink>
        </w:p>
        <w:p w14:paraId="1274C8EF" w14:textId="1C4A7F20" w:rsidR="000D4FC3" w:rsidRDefault="000D4FC3" w:rsidP="000D4FC3">
          <w:pPr>
            <w:pStyle w:val="TOC2"/>
            <w:tabs>
              <w:tab w:val="right" w:leader="dot" w:pos="9016"/>
            </w:tabs>
            <w:ind w:left="0"/>
            <w:rPr>
              <w:noProof/>
            </w:rPr>
          </w:pPr>
          <w:hyperlink w:anchor="_Toc212926805" w:history="1">
            <w:r w:rsidRPr="00A464FA">
              <w:rPr>
                <w:rStyle w:val="Hyperlink"/>
                <w:noProof/>
              </w:rPr>
              <w:t>Impact of Internal and External Forces on Learning and Development (L&amp;D) Design</w:t>
            </w:r>
            <w:r>
              <w:rPr>
                <w:rStyle w:val="Hyperlink"/>
                <w:noProof/>
              </w:rPr>
              <w:t xml:space="preserve"> </w:t>
            </w:r>
            <w:r w:rsidRPr="00A464FA">
              <w:rPr>
                <w:rStyle w:val="Hyperlink"/>
                <w:noProof/>
              </w:rPr>
              <w:t>and Implementation</w:t>
            </w:r>
            <w:r>
              <w:rPr>
                <w:noProof/>
                <w:webHidden/>
              </w:rPr>
              <w:tab/>
            </w:r>
            <w:r>
              <w:rPr>
                <w:noProof/>
                <w:webHidden/>
              </w:rPr>
              <w:fldChar w:fldCharType="begin"/>
            </w:r>
            <w:r>
              <w:rPr>
                <w:noProof/>
                <w:webHidden/>
              </w:rPr>
              <w:instrText xml:space="preserve"> PAGEREF _Toc212926805 \h </w:instrText>
            </w:r>
            <w:r>
              <w:rPr>
                <w:noProof/>
                <w:webHidden/>
              </w:rPr>
            </w:r>
            <w:r>
              <w:rPr>
                <w:noProof/>
                <w:webHidden/>
              </w:rPr>
              <w:fldChar w:fldCharType="separate"/>
            </w:r>
            <w:r>
              <w:rPr>
                <w:noProof/>
                <w:webHidden/>
              </w:rPr>
              <w:t>4</w:t>
            </w:r>
            <w:r>
              <w:rPr>
                <w:noProof/>
                <w:webHidden/>
              </w:rPr>
              <w:fldChar w:fldCharType="end"/>
            </w:r>
          </w:hyperlink>
        </w:p>
        <w:p w14:paraId="254D22DC" w14:textId="516055DD" w:rsidR="000D4FC3" w:rsidRDefault="000D4FC3" w:rsidP="000D4FC3">
          <w:pPr>
            <w:pStyle w:val="TOC3"/>
            <w:tabs>
              <w:tab w:val="right" w:leader="dot" w:pos="9016"/>
            </w:tabs>
            <w:ind w:left="0"/>
            <w:rPr>
              <w:noProof/>
            </w:rPr>
          </w:pPr>
          <w:hyperlink w:anchor="_Toc212926806" w:history="1">
            <w:r w:rsidRPr="00A464FA">
              <w:rPr>
                <w:rStyle w:val="Hyperlink"/>
                <w:noProof/>
              </w:rPr>
              <w:t>Internal Forces</w:t>
            </w:r>
            <w:r>
              <w:rPr>
                <w:noProof/>
                <w:webHidden/>
              </w:rPr>
              <w:tab/>
            </w:r>
            <w:r>
              <w:rPr>
                <w:noProof/>
                <w:webHidden/>
              </w:rPr>
              <w:fldChar w:fldCharType="begin"/>
            </w:r>
            <w:r>
              <w:rPr>
                <w:noProof/>
                <w:webHidden/>
              </w:rPr>
              <w:instrText xml:space="preserve"> PAGEREF _Toc212926806 \h </w:instrText>
            </w:r>
            <w:r>
              <w:rPr>
                <w:noProof/>
                <w:webHidden/>
              </w:rPr>
            </w:r>
            <w:r>
              <w:rPr>
                <w:noProof/>
                <w:webHidden/>
              </w:rPr>
              <w:fldChar w:fldCharType="separate"/>
            </w:r>
            <w:r>
              <w:rPr>
                <w:noProof/>
                <w:webHidden/>
              </w:rPr>
              <w:t>4</w:t>
            </w:r>
            <w:r>
              <w:rPr>
                <w:noProof/>
                <w:webHidden/>
              </w:rPr>
              <w:fldChar w:fldCharType="end"/>
            </w:r>
          </w:hyperlink>
        </w:p>
        <w:p w14:paraId="1B3F27F1" w14:textId="3A4C2591" w:rsidR="000D4FC3" w:rsidRDefault="000D4FC3" w:rsidP="000D4FC3">
          <w:pPr>
            <w:pStyle w:val="TOC3"/>
            <w:tabs>
              <w:tab w:val="right" w:leader="dot" w:pos="9016"/>
            </w:tabs>
            <w:ind w:left="0"/>
            <w:rPr>
              <w:noProof/>
            </w:rPr>
          </w:pPr>
          <w:hyperlink w:anchor="_Toc212926807" w:history="1">
            <w:r w:rsidRPr="00A464FA">
              <w:rPr>
                <w:rStyle w:val="Hyperlink"/>
                <w:noProof/>
              </w:rPr>
              <w:t>External Forces: PESTEL Analysis and HR/L&amp;D Impact</w:t>
            </w:r>
            <w:r>
              <w:rPr>
                <w:noProof/>
                <w:webHidden/>
              </w:rPr>
              <w:tab/>
            </w:r>
            <w:r>
              <w:rPr>
                <w:noProof/>
                <w:webHidden/>
              </w:rPr>
              <w:fldChar w:fldCharType="begin"/>
            </w:r>
            <w:r>
              <w:rPr>
                <w:noProof/>
                <w:webHidden/>
              </w:rPr>
              <w:instrText xml:space="preserve"> PAGEREF _Toc212926807 \h </w:instrText>
            </w:r>
            <w:r>
              <w:rPr>
                <w:noProof/>
                <w:webHidden/>
              </w:rPr>
            </w:r>
            <w:r>
              <w:rPr>
                <w:noProof/>
                <w:webHidden/>
              </w:rPr>
              <w:fldChar w:fldCharType="separate"/>
            </w:r>
            <w:r>
              <w:rPr>
                <w:noProof/>
                <w:webHidden/>
              </w:rPr>
              <w:t>5</w:t>
            </w:r>
            <w:r>
              <w:rPr>
                <w:noProof/>
                <w:webHidden/>
              </w:rPr>
              <w:fldChar w:fldCharType="end"/>
            </w:r>
          </w:hyperlink>
        </w:p>
        <w:p w14:paraId="60EC101B" w14:textId="30BCAAE3" w:rsidR="000D4FC3" w:rsidRDefault="000D4FC3" w:rsidP="000D4FC3">
          <w:pPr>
            <w:pStyle w:val="TOC2"/>
            <w:tabs>
              <w:tab w:val="right" w:leader="dot" w:pos="9016"/>
            </w:tabs>
            <w:ind w:left="0"/>
            <w:rPr>
              <w:noProof/>
            </w:rPr>
          </w:pPr>
          <w:hyperlink w:anchor="_Toc212926808" w:history="1">
            <w:r w:rsidRPr="00A464FA">
              <w:rPr>
                <w:rStyle w:val="Hyperlink"/>
                <w:noProof/>
              </w:rPr>
              <w:t>HR Impact and Strategic Implications</w:t>
            </w:r>
            <w:r>
              <w:rPr>
                <w:noProof/>
                <w:webHidden/>
              </w:rPr>
              <w:tab/>
            </w:r>
            <w:r>
              <w:rPr>
                <w:noProof/>
                <w:webHidden/>
              </w:rPr>
              <w:fldChar w:fldCharType="begin"/>
            </w:r>
            <w:r>
              <w:rPr>
                <w:noProof/>
                <w:webHidden/>
              </w:rPr>
              <w:instrText xml:space="preserve"> PAGEREF _Toc212926808 \h </w:instrText>
            </w:r>
            <w:r>
              <w:rPr>
                <w:noProof/>
                <w:webHidden/>
              </w:rPr>
            </w:r>
            <w:r>
              <w:rPr>
                <w:noProof/>
                <w:webHidden/>
              </w:rPr>
              <w:fldChar w:fldCharType="separate"/>
            </w:r>
            <w:r>
              <w:rPr>
                <w:noProof/>
                <w:webHidden/>
              </w:rPr>
              <w:t>6</w:t>
            </w:r>
            <w:r>
              <w:rPr>
                <w:noProof/>
                <w:webHidden/>
              </w:rPr>
              <w:fldChar w:fldCharType="end"/>
            </w:r>
          </w:hyperlink>
        </w:p>
        <w:p w14:paraId="5B32C78E" w14:textId="4F21D6C6" w:rsidR="000D4FC3" w:rsidRDefault="000D4FC3" w:rsidP="000D4FC3">
          <w:pPr>
            <w:pStyle w:val="TOC3"/>
            <w:tabs>
              <w:tab w:val="right" w:leader="dot" w:pos="9016"/>
            </w:tabs>
            <w:ind w:left="0"/>
            <w:rPr>
              <w:noProof/>
            </w:rPr>
          </w:pPr>
          <w:hyperlink w:anchor="_Toc212926809" w:history="1">
            <w:r w:rsidRPr="00A464FA">
              <w:rPr>
                <w:rStyle w:val="Hyperlink"/>
                <w:noProof/>
              </w:rPr>
              <w:t>Supporting Employees from Diverse Backgrounds</w:t>
            </w:r>
            <w:r>
              <w:rPr>
                <w:noProof/>
                <w:webHidden/>
              </w:rPr>
              <w:tab/>
            </w:r>
            <w:r>
              <w:rPr>
                <w:noProof/>
                <w:webHidden/>
              </w:rPr>
              <w:fldChar w:fldCharType="begin"/>
            </w:r>
            <w:r>
              <w:rPr>
                <w:noProof/>
                <w:webHidden/>
              </w:rPr>
              <w:instrText xml:space="preserve"> PAGEREF _Toc212926809 \h </w:instrText>
            </w:r>
            <w:r>
              <w:rPr>
                <w:noProof/>
                <w:webHidden/>
              </w:rPr>
            </w:r>
            <w:r>
              <w:rPr>
                <w:noProof/>
                <w:webHidden/>
              </w:rPr>
              <w:fldChar w:fldCharType="separate"/>
            </w:r>
            <w:r>
              <w:rPr>
                <w:noProof/>
                <w:webHidden/>
              </w:rPr>
              <w:t>8</w:t>
            </w:r>
            <w:r>
              <w:rPr>
                <w:noProof/>
                <w:webHidden/>
              </w:rPr>
              <w:fldChar w:fldCharType="end"/>
            </w:r>
          </w:hyperlink>
        </w:p>
        <w:p w14:paraId="461E7411" w14:textId="0EDB7A66" w:rsidR="000D4FC3" w:rsidRDefault="000D4FC3" w:rsidP="000D4FC3">
          <w:pPr>
            <w:pStyle w:val="TOC3"/>
            <w:tabs>
              <w:tab w:val="right" w:leader="dot" w:pos="9016"/>
            </w:tabs>
            <w:ind w:left="0"/>
            <w:rPr>
              <w:noProof/>
            </w:rPr>
          </w:pPr>
          <w:hyperlink w:anchor="_Toc212926810" w:history="1">
            <w:r w:rsidRPr="00A464FA">
              <w:rPr>
                <w:rStyle w:val="Hyperlink"/>
                <w:noProof/>
              </w:rPr>
              <w:t>Application of a Relevant L&amp;D Model</w:t>
            </w:r>
            <w:r>
              <w:rPr>
                <w:noProof/>
                <w:webHidden/>
              </w:rPr>
              <w:tab/>
            </w:r>
            <w:r>
              <w:rPr>
                <w:noProof/>
                <w:webHidden/>
              </w:rPr>
              <w:fldChar w:fldCharType="begin"/>
            </w:r>
            <w:r>
              <w:rPr>
                <w:noProof/>
                <w:webHidden/>
              </w:rPr>
              <w:instrText xml:space="preserve"> PAGEREF _Toc212926810 \h </w:instrText>
            </w:r>
            <w:r>
              <w:rPr>
                <w:noProof/>
                <w:webHidden/>
              </w:rPr>
            </w:r>
            <w:r>
              <w:rPr>
                <w:noProof/>
                <w:webHidden/>
              </w:rPr>
              <w:fldChar w:fldCharType="separate"/>
            </w:r>
            <w:r>
              <w:rPr>
                <w:noProof/>
                <w:webHidden/>
              </w:rPr>
              <w:t>9</w:t>
            </w:r>
            <w:r>
              <w:rPr>
                <w:noProof/>
                <w:webHidden/>
              </w:rPr>
              <w:fldChar w:fldCharType="end"/>
            </w:r>
          </w:hyperlink>
        </w:p>
        <w:p w14:paraId="19579615" w14:textId="55970363" w:rsidR="000D4FC3" w:rsidRDefault="000D4FC3" w:rsidP="000D4FC3">
          <w:pPr>
            <w:pStyle w:val="TOC3"/>
            <w:tabs>
              <w:tab w:val="right" w:leader="dot" w:pos="9016"/>
            </w:tabs>
            <w:ind w:left="0"/>
            <w:rPr>
              <w:noProof/>
            </w:rPr>
          </w:pPr>
          <w:hyperlink w:anchor="_Toc212926811" w:history="1">
            <w:r w:rsidRPr="00A464FA">
              <w:rPr>
                <w:rStyle w:val="Hyperlink"/>
                <w:noProof/>
              </w:rPr>
              <w:t>Challenges and Recommendations</w:t>
            </w:r>
            <w:r>
              <w:rPr>
                <w:noProof/>
                <w:webHidden/>
              </w:rPr>
              <w:tab/>
            </w:r>
            <w:r>
              <w:rPr>
                <w:noProof/>
                <w:webHidden/>
              </w:rPr>
              <w:fldChar w:fldCharType="begin"/>
            </w:r>
            <w:r>
              <w:rPr>
                <w:noProof/>
                <w:webHidden/>
              </w:rPr>
              <w:instrText xml:space="preserve"> PAGEREF _Toc212926811 \h </w:instrText>
            </w:r>
            <w:r>
              <w:rPr>
                <w:noProof/>
                <w:webHidden/>
              </w:rPr>
            </w:r>
            <w:r>
              <w:rPr>
                <w:noProof/>
                <w:webHidden/>
              </w:rPr>
              <w:fldChar w:fldCharType="separate"/>
            </w:r>
            <w:r>
              <w:rPr>
                <w:noProof/>
                <w:webHidden/>
              </w:rPr>
              <w:t>9</w:t>
            </w:r>
            <w:r>
              <w:rPr>
                <w:noProof/>
                <w:webHidden/>
              </w:rPr>
              <w:fldChar w:fldCharType="end"/>
            </w:r>
          </w:hyperlink>
        </w:p>
        <w:p w14:paraId="5025584E" w14:textId="7F7DCD2D" w:rsidR="000D4FC3" w:rsidRDefault="000D4FC3" w:rsidP="000D4FC3">
          <w:pPr>
            <w:pStyle w:val="TOC2"/>
            <w:tabs>
              <w:tab w:val="right" w:leader="dot" w:pos="9016"/>
            </w:tabs>
            <w:ind w:left="0"/>
            <w:rPr>
              <w:noProof/>
            </w:rPr>
          </w:pPr>
          <w:hyperlink w:anchor="_Toc212926812" w:history="1">
            <w:r w:rsidRPr="00A464FA">
              <w:rPr>
                <w:rStyle w:val="Hyperlink"/>
                <w:noProof/>
              </w:rPr>
              <w:t>Conclusion</w:t>
            </w:r>
            <w:r>
              <w:rPr>
                <w:noProof/>
                <w:webHidden/>
              </w:rPr>
              <w:tab/>
            </w:r>
            <w:r>
              <w:rPr>
                <w:noProof/>
                <w:webHidden/>
              </w:rPr>
              <w:fldChar w:fldCharType="begin"/>
            </w:r>
            <w:r>
              <w:rPr>
                <w:noProof/>
                <w:webHidden/>
              </w:rPr>
              <w:instrText xml:space="preserve"> PAGEREF _Toc212926812 \h </w:instrText>
            </w:r>
            <w:r>
              <w:rPr>
                <w:noProof/>
                <w:webHidden/>
              </w:rPr>
            </w:r>
            <w:r>
              <w:rPr>
                <w:noProof/>
                <w:webHidden/>
              </w:rPr>
              <w:fldChar w:fldCharType="separate"/>
            </w:r>
            <w:r>
              <w:rPr>
                <w:noProof/>
                <w:webHidden/>
              </w:rPr>
              <w:t>10</w:t>
            </w:r>
            <w:r>
              <w:rPr>
                <w:noProof/>
                <w:webHidden/>
              </w:rPr>
              <w:fldChar w:fldCharType="end"/>
            </w:r>
          </w:hyperlink>
        </w:p>
        <w:p w14:paraId="43B97669" w14:textId="4A4B08DE" w:rsidR="000D4FC3" w:rsidRDefault="000D4FC3" w:rsidP="000D4FC3">
          <w:pPr>
            <w:pStyle w:val="TOC3"/>
            <w:tabs>
              <w:tab w:val="right" w:leader="dot" w:pos="9016"/>
            </w:tabs>
            <w:ind w:left="0"/>
            <w:rPr>
              <w:noProof/>
            </w:rPr>
          </w:pPr>
          <w:hyperlink w:anchor="_Toc212926813" w:history="1">
            <w:r w:rsidRPr="00A464FA">
              <w:rPr>
                <w:rStyle w:val="Hyperlink"/>
                <w:noProof/>
              </w:rPr>
              <w:t>REFRENCES:</w:t>
            </w:r>
            <w:r>
              <w:rPr>
                <w:noProof/>
                <w:webHidden/>
              </w:rPr>
              <w:tab/>
            </w:r>
            <w:r>
              <w:rPr>
                <w:noProof/>
                <w:webHidden/>
              </w:rPr>
              <w:fldChar w:fldCharType="begin"/>
            </w:r>
            <w:r>
              <w:rPr>
                <w:noProof/>
                <w:webHidden/>
              </w:rPr>
              <w:instrText xml:space="preserve"> PAGEREF _Toc212926813 \h </w:instrText>
            </w:r>
            <w:r>
              <w:rPr>
                <w:noProof/>
                <w:webHidden/>
              </w:rPr>
            </w:r>
            <w:r>
              <w:rPr>
                <w:noProof/>
                <w:webHidden/>
              </w:rPr>
              <w:fldChar w:fldCharType="separate"/>
            </w:r>
            <w:r>
              <w:rPr>
                <w:noProof/>
                <w:webHidden/>
              </w:rPr>
              <w:t>11</w:t>
            </w:r>
            <w:r>
              <w:rPr>
                <w:noProof/>
                <w:webHidden/>
              </w:rPr>
              <w:fldChar w:fldCharType="end"/>
            </w:r>
          </w:hyperlink>
        </w:p>
        <w:p w14:paraId="7172000A" w14:textId="3BA01A32" w:rsidR="000D4FC3" w:rsidRDefault="000D4FC3">
          <w:r>
            <w:rPr>
              <w:b/>
              <w:bCs/>
            </w:rPr>
            <w:fldChar w:fldCharType="end"/>
          </w:r>
        </w:p>
      </w:sdtContent>
    </w:sdt>
    <w:p w14:paraId="2A3E9D98" w14:textId="77777777" w:rsidR="00EB2601" w:rsidRDefault="00EB2601"/>
    <w:p w14:paraId="45893AB2" w14:textId="77777777" w:rsidR="00EB2601" w:rsidRDefault="00EB2601"/>
    <w:p w14:paraId="042167DA" w14:textId="77777777" w:rsidR="00EB2601" w:rsidRDefault="00EB2601"/>
    <w:p w14:paraId="75426F84" w14:textId="77777777" w:rsidR="00EB2601" w:rsidRDefault="00EB2601"/>
    <w:p w14:paraId="432C0F3E" w14:textId="77777777" w:rsidR="00EB2601" w:rsidRDefault="00EB2601"/>
    <w:p w14:paraId="304B466B" w14:textId="77777777" w:rsidR="00EB2601" w:rsidRDefault="00EB2601"/>
    <w:p w14:paraId="71B8B8CD" w14:textId="77777777" w:rsidR="00EB2601" w:rsidRDefault="00EB2601"/>
    <w:p w14:paraId="67814274" w14:textId="77777777" w:rsidR="00EB2601" w:rsidRDefault="00EB2601"/>
    <w:p w14:paraId="66AD1BBC" w14:textId="77777777" w:rsidR="00EB2601" w:rsidRDefault="00EB2601"/>
    <w:p w14:paraId="23B8A338" w14:textId="77777777" w:rsidR="00EB2601" w:rsidRDefault="00EB2601"/>
    <w:p w14:paraId="103A95AD" w14:textId="77777777" w:rsidR="00EB2601" w:rsidRDefault="00EB2601"/>
    <w:p w14:paraId="5C1827E0" w14:textId="77777777" w:rsidR="00EB2601" w:rsidRDefault="00EB2601"/>
    <w:p w14:paraId="7EBEDAAE" w14:textId="77777777" w:rsidR="00EB2601" w:rsidRDefault="00EB2601"/>
    <w:p w14:paraId="557E8A2B" w14:textId="77777777" w:rsidR="00EB2601" w:rsidRDefault="00EB2601"/>
    <w:p w14:paraId="51F4C8BA" w14:textId="25EF64A0" w:rsidR="00EB2601" w:rsidRDefault="00EB2601">
      <w:r>
        <w:rPr>
          <w:noProof/>
        </w:rPr>
        <w:lastRenderedPageBreak/>
        <w:drawing>
          <wp:inline distT="0" distB="0" distL="0" distR="0" wp14:anchorId="1A5FE9D2" wp14:editId="6A3B6E2B">
            <wp:extent cx="3672840" cy="3672840"/>
            <wp:effectExtent l="0" t="0" r="3810" b="3810"/>
            <wp:docPr id="1649005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72840" cy="3672840"/>
                    </a:xfrm>
                    <a:prstGeom prst="rect">
                      <a:avLst/>
                    </a:prstGeom>
                    <a:noFill/>
                    <a:ln>
                      <a:noFill/>
                    </a:ln>
                  </pic:spPr>
                </pic:pic>
              </a:graphicData>
            </a:graphic>
          </wp:inline>
        </w:drawing>
      </w:r>
    </w:p>
    <w:p w14:paraId="1F4DFF25" w14:textId="77777777" w:rsidR="00EB2601" w:rsidRPr="000D4FC3" w:rsidRDefault="00EB2601" w:rsidP="000D4FC3">
      <w:pPr>
        <w:pStyle w:val="Heading1"/>
      </w:pPr>
      <w:bookmarkStart w:id="0" w:name="_Toc212926804"/>
      <w:r w:rsidRPr="000D4FC3">
        <w:t>Introduction</w:t>
      </w:r>
      <w:bookmarkEnd w:id="0"/>
    </w:p>
    <w:p w14:paraId="0E41F21B" w14:textId="342F0460" w:rsidR="00EB2601" w:rsidRPr="000D4FC3" w:rsidRDefault="00414DBC" w:rsidP="000D4FC3">
      <w:pPr>
        <w:spacing w:line="360" w:lineRule="auto"/>
        <w:jc w:val="both"/>
        <w:rPr>
          <w:rFonts w:ascii="Times New Roman" w:hAnsi="Times New Roman" w:cs="Times New Roman"/>
        </w:rPr>
      </w:pPr>
      <w:r w:rsidRPr="000D4FC3">
        <w:rPr>
          <w:rFonts w:ascii="Times New Roman" w:hAnsi="Times New Roman" w:cs="Times New Roman"/>
        </w:rPr>
        <w:t>Learning and Development, or “L&amp;D,” is a core part of Human Resource Management activity aimed to enhance employees’ knowledge, skills, and abilities to improve both individual and organizational performance. L&amp;D includes a range of structured activities such as training, coaching, mentoring, and career development that enable employees to meet organizational demands in the present and future. Indeed, competent and flexible employees are the primary drivers of a company’s competitive advantage in the increasingly unpredictable and volatile global business environment. Nowadays, due to rapid technological development, globalization, and changing demographics of the working population, creating an L&amp;D program has become a necessity rather than a choice for organizations to survive and thrive. The learning organization theory asserts that by stimulating continuous learning, an organization can respond to environmental changes, promote innovation, and enhance competitiveness. Additionally, learning and development lead to opportunities for diversity and inclusion and may reduce bias.</w:t>
      </w:r>
    </w:p>
    <w:p w14:paraId="1B023BA6" w14:textId="53C3E506" w:rsidR="00414DBC" w:rsidRPr="00414DBC" w:rsidRDefault="00414DBC" w:rsidP="000D4FC3">
      <w:pPr>
        <w:spacing w:line="360" w:lineRule="auto"/>
        <w:jc w:val="both"/>
        <w:rPr>
          <w:rFonts w:ascii="Times New Roman" w:hAnsi="Times New Roman" w:cs="Times New Roman"/>
        </w:rPr>
      </w:pPr>
      <w:r w:rsidRPr="00414DBC">
        <w:rPr>
          <w:rFonts w:ascii="Times New Roman" w:hAnsi="Times New Roman" w:cs="Times New Roman"/>
        </w:rPr>
        <w:t xml:space="preserve">One of the most widely recognized L&amp;D frameworks is Kolb’s Experiential Learning </w:t>
      </w:r>
      <w:r w:rsidRPr="000D4FC3">
        <w:rPr>
          <w:rFonts w:ascii="Times New Roman" w:hAnsi="Times New Roman" w:cs="Times New Roman"/>
        </w:rPr>
        <w:t>Model.</w:t>
      </w:r>
      <w:r w:rsidRPr="00414DBC">
        <w:rPr>
          <w:rFonts w:ascii="Times New Roman" w:hAnsi="Times New Roman" w:cs="Times New Roman"/>
        </w:rPr>
        <w:t xml:space="preserve"> The model defines learning as a cyclical process with four critical stages: Concrete Experience, Reflective Observation, Abstract Conceptualization, and Active Experimentation. Kolb posits that learning is most effective when individuals create conceptual models through reflection </w:t>
      </w:r>
      <w:r w:rsidRPr="00414DBC">
        <w:rPr>
          <w:rFonts w:ascii="Times New Roman" w:hAnsi="Times New Roman" w:cs="Times New Roman"/>
        </w:rPr>
        <w:lastRenderedPageBreak/>
        <w:t xml:space="preserve">and actively test them in practice. This framework is among the most frequently used in organizational training and leadership development due to its focus on reflection and experiential learning. An example of a global organization that uses L&amp;D lens to drive its strategic HRM practices is Unilever. As a company with a robust presence in over 190 countries, Unilever incorporates employee development as one of its main values and strategic priorities. Unilever Future Leaders Programme and </w:t>
      </w:r>
      <w:r w:rsidRPr="000D4FC3">
        <w:rPr>
          <w:rFonts w:ascii="Times New Roman" w:hAnsi="Times New Roman" w:cs="Times New Roman"/>
        </w:rPr>
        <w:t>several</w:t>
      </w:r>
      <w:r w:rsidRPr="00414DBC">
        <w:rPr>
          <w:rFonts w:ascii="Times New Roman" w:hAnsi="Times New Roman" w:cs="Times New Roman"/>
        </w:rPr>
        <w:t xml:space="preserve"> online learning platforms and leadership development Academies were launched </w:t>
      </w:r>
      <w:r w:rsidRPr="000D4FC3">
        <w:rPr>
          <w:rFonts w:ascii="Times New Roman" w:hAnsi="Times New Roman" w:cs="Times New Roman"/>
        </w:rPr>
        <w:t>to</w:t>
      </w:r>
      <w:r w:rsidRPr="00414DBC">
        <w:rPr>
          <w:rFonts w:ascii="Times New Roman" w:hAnsi="Times New Roman" w:cs="Times New Roman"/>
        </w:rPr>
        <w:t xml:space="preserve"> prepare the future with the skills that Unilever needs and develop inclusive </w:t>
      </w:r>
      <w:r w:rsidRPr="000D4FC3">
        <w:rPr>
          <w:rFonts w:ascii="Times New Roman" w:hAnsi="Times New Roman" w:cs="Times New Roman"/>
        </w:rPr>
        <w:t>leadership.</w:t>
      </w:r>
      <w:r w:rsidRPr="00414DBC">
        <w:rPr>
          <w:rFonts w:ascii="Times New Roman" w:hAnsi="Times New Roman" w:cs="Times New Roman"/>
        </w:rPr>
        <w:t xml:space="preserve"> Thus, Unilever’s focus on Continuous learning, diversification, and inclusivity, as well as the ability to adapt, remain competitive in rapidly changing markets.</w:t>
      </w:r>
    </w:p>
    <w:p w14:paraId="196B440B" w14:textId="6E9855C2" w:rsidR="00414DBC" w:rsidRPr="000D4FC3" w:rsidRDefault="00414DBC" w:rsidP="000D4FC3">
      <w:pPr>
        <w:spacing w:line="360" w:lineRule="auto"/>
        <w:jc w:val="both"/>
        <w:rPr>
          <w:rFonts w:ascii="Times New Roman" w:hAnsi="Times New Roman" w:cs="Times New Roman"/>
        </w:rPr>
      </w:pPr>
    </w:p>
    <w:p w14:paraId="43057BA9" w14:textId="77777777" w:rsidR="00EB2601" w:rsidRPr="000D4FC3" w:rsidRDefault="00EB2601" w:rsidP="000D4FC3">
      <w:pPr>
        <w:pStyle w:val="Heading2"/>
      </w:pPr>
      <w:bookmarkStart w:id="1" w:name="_Toc212926805"/>
      <w:r w:rsidRPr="000D4FC3">
        <w:t>Impact of Internal and External Forces on Learning and Development (L&amp;D) Design and Implementation</w:t>
      </w:r>
      <w:bookmarkEnd w:id="1"/>
    </w:p>
    <w:p w14:paraId="4465CE4C" w14:textId="77777777" w:rsidR="00EB2601" w:rsidRPr="000D4FC3" w:rsidRDefault="00EB2601" w:rsidP="000D4FC3">
      <w:pPr>
        <w:pStyle w:val="Heading2"/>
      </w:pPr>
    </w:p>
    <w:p w14:paraId="4FE04BF4" w14:textId="77777777" w:rsidR="00EB2601" w:rsidRPr="000D4FC3" w:rsidRDefault="00EB2601" w:rsidP="000D4FC3">
      <w:pPr>
        <w:pStyle w:val="Heading3"/>
      </w:pPr>
      <w:bookmarkStart w:id="2" w:name="_Toc212926806"/>
      <w:r w:rsidRPr="000D4FC3">
        <w:t>Internal Forces</w:t>
      </w:r>
      <w:bookmarkEnd w:id="2"/>
    </w:p>
    <w:p w14:paraId="0D3E1598" w14:textId="67CE3DFA" w:rsidR="00414DBC" w:rsidRPr="000D4FC3" w:rsidRDefault="00414DBC" w:rsidP="000D4FC3">
      <w:pPr>
        <w:spacing w:line="360" w:lineRule="auto"/>
        <w:jc w:val="both"/>
        <w:rPr>
          <w:rFonts w:ascii="Times New Roman" w:hAnsi="Times New Roman" w:cs="Times New Roman"/>
        </w:rPr>
      </w:pPr>
      <w:r w:rsidRPr="000D4FC3">
        <w:rPr>
          <w:rFonts w:ascii="Times New Roman" w:hAnsi="Times New Roman" w:cs="Times New Roman"/>
        </w:rPr>
        <w:t>A motivation to learn: The company’s strong purpose-driven culture strengthened by its mission of “making sustainable living commonplace” promotes learning, ethical leadership, and innovation. Companies with strong values and missions ensure that their L&amp;D budgets contribute to sustainable performance and social responsibilities. For example, Unilever’s Sustainability Academy equips employees with insights into environmental and social sustainability, making itself a part of the L&amp;D strategy.</w:t>
      </w:r>
    </w:p>
    <w:p w14:paraId="21CF2643" w14:textId="77777777" w:rsidR="00414DBC" w:rsidRPr="000D4FC3" w:rsidRDefault="00414DBC" w:rsidP="000D4FC3">
      <w:pPr>
        <w:spacing w:line="360" w:lineRule="auto"/>
        <w:jc w:val="both"/>
        <w:rPr>
          <w:rFonts w:ascii="Times New Roman" w:hAnsi="Times New Roman" w:cs="Times New Roman"/>
        </w:rPr>
      </w:pPr>
      <w:r w:rsidRPr="000D4FC3">
        <w:rPr>
          <w:rFonts w:ascii="Times New Roman" w:hAnsi="Times New Roman" w:cs="Times New Roman"/>
        </w:rPr>
        <w:t>Leadership commitment: While the research indicates that leadership commitment is a powerful factor in determining L&amp;D outcomes, it does not suggest how it is related to the implementation. Unilever’s top management team sponsors the Unilever Future Leaders Programme and Leadership Growth Profile to develop global leadership and professional management capability. As emphasized by Armstrong and Taylor, such support demonstrates that L&amp;D is not an operational hindrance but a strategic investment.</w:t>
      </w:r>
    </w:p>
    <w:p w14:paraId="22FB9B1A" w14:textId="77777777" w:rsidR="00414DBC" w:rsidRPr="000D4FC3" w:rsidRDefault="00414DBC" w:rsidP="000D4FC3">
      <w:pPr>
        <w:spacing w:line="360" w:lineRule="auto"/>
        <w:jc w:val="both"/>
        <w:rPr>
          <w:rFonts w:ascii="Times New Roman" w:hAnsi="Times New Roman" w:cs="Times New Roman"/>
        </w:rPr>
      </w:pPr>
      <w:r w:rsidRPr="000D4FC3">
        <w:rPr>
          <w:rFonts w:ascii="Times New Roman" w:hAnsi="Times New Roman" w:cs="Times New Roman"/>
        </w:rPr>
        <w:t xml:space="preserve">Employee skill gaps and digital opportunities: As Unilever continually monitors internal gaps based on performance analytics and capability framework, recent digitization projects have showed a shortage of data literacy and digital marketing skills. The company then launches a </w:t>
      </w:r>
      <w:r w:rsidRPr="000D4FC3">
        <w:rPr>
          <w:rFonts w:ascii="Times New Roman" w:hAnsi="Times New Roman" w:cs="Times New Roman"/>
        </w:rPr>
        <w:lastRenderedPageBreak/>
        <w:t>Digital learning programme to address the gaps, which provides personalized and on-demand access to learning through digital platforms such as Degreed or Coursera.</w:t>
      </w:r>
    </w:p>
    <w:p w14:paraId="67CC4718" w14:textId="77777777" w:rsidR="00414DBC" w:rsidRPr="000D4FC3" w:rsidRDefault="00414DBC" w:rsidP="000D4FC3">
      <w:pPr>
        <w:spacing w:line="360" w:lineRule="auto"/>
        <w:jc w:val="both"/>
        <w:rPr>
          <w:rFonts w:ascii="Times New Roman" w:hAnsi="Times New Roman" w:cs="Times New Roman"/>
        </w:rPr>
      </w:pPr>
    </w:p>
    <w:p w14:paraId="78CD982F" w14:textId="77777777" w:rsidR="00EB2601" w:rsidRPr="000D4FC3" w:rsidRDefault="00EB2601" w:rsidP="000D4FC3">
      <w:pPr>
        <w:pStyle w:val="Heading3"/>
      </w:pPr>
      <w:bookmarkStart w:id="3" w:name="_Toc212926807"/>
      <w:r w:rsidRPr="000D4FC3">
        <w:t>External Forces: PESTEL Analysis and HR/L&amp;D Impact</w:t>
      </w:r>
      <w:bookmarkEnd w:id="3"/>
    </w:p>
    <w:p w14:paraId="368092FA" w14:textId="130EE01D" w:rsidR="000D4FC3" w:rsidRPr="000D4FC3" w:rsidRDefault="000D4FC3" w:rsidP="000D4FC3">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00785712" wp14:editId="27EB9063">
            <wp:extent cx="2503170" cy="2930174"/>
            <wp:effectExtent l="0" t="0" r="0" b="0"/>
            <wp:docPr id="2182042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204236" name="Picture 2"/>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503170" cy="2930174"/>
                    </a:xfrm>
                    <a:prstGeom prst="rect">
                      <a:avLst/>
                    </a:prstGeom>
                  </pic:spPr>
                </pic:pic>
              </a:graphicData>
            </a:graphic>
          </wp:inline>
        </w:drawing>
      </w:r>
    </w:p>
    <w:p w14:paraId="647FAD65" w14:textId="77777777" w:rsidR="00EB2601" w:rsidRPr="000D4FC3" w:rsidRDefault="00EB2601" w:rsidP="000D4FC3">
      <w:pPr>
        <w:spacing w:line="360" w:lineRule="auto"/>
        <w:jc w:val="both"/>
        <w:rPr>
          <w:rFonts w:ascii="Times New Roman" w:hAnsi="Times New Roman" w:cs="Times New Roman"/>
        </w:rPr>
      </w:pPr>
      <w:r w:rsidRPr="000D4FC3">
        <w:rPr>
          <w:rStyle w:val="Strong"/>
        </w:rPr>
        <w:t>Political</w:t>
      </w:r>
      <w:r w:rsidRPr="000D4FC3">
        <w:rPr>
          <w:rFonts w:ascii="Times New Roman" w:hAnsi="Times New Roman" w:cs="Times New Roman"/>
        </w:rPr>
        <w:t xml:space="preserve"> factors play a crucial role in shaping Unilever’s L&amp;D approach due to its operations across more than 190 countries, each with distinct governmental regulations and labour laws. Political stability and trade policies influence Unilever’s ability to deliver consistent training programs across regions. For instance, compliance with the European Union’s sustainability and corporate social responsibility directives requires Unilever to train employees on ethical sourcing, fair trade, and anti-bribery practices (OECD, 2022). These initiatives ensure that L&amp;D programs support global compliance and uphold the organisation’s ethical and governance standards.</w:t>
      </w:r>
    </w:p>
    <w:p w14:paraId="112BF202" w14:textId="77777777" w:rsidR="00EB2601" w:rsidRPr="000D4FC3" w:rsidRDefault="00EB2601" w:rsidP="000D4FC3">
      <w:pPr>
        <w:spacing w:line="360" w:lineRule="auto"/>
        <w:jc w:val="both"/>
        <w:rPr>
          <w:rFonts w:ascii="Times New Roman" w:hAnsi="Times New Roman" w:cs="Times New Roman"/>
        </w:rPr>
      </w:pPr>
    </w:p>
    <w:p w14:paraId="5DEFE2EF" w14:textId="77777777" w:rsidR="00EB2601" w:rsidRPr="000D4FC3" w:rsidRDefault="00EB2601" w:rsidP="000D4FC3">
      <w:pPr>
        <w:spacing w:line="360" w:lineRule="auto"/>
        <w:jc w:val="both"/>
        <w:rPr>
          <w:rFonts w:ascii="Times New Roman" w:hAnsi="Times New Roman" w:cs="Times New Roman"/>
        </w:rPr>
      </w:pPr>
      <w:r w:rsidRPr="000D4FC3">
        <w:rPr>
          <w:rStyle w:val="Strong"/>
        </w:rPr>
        <w:t xml:space="preserve">Economic </w:t>
      </w:r>
      <w:r w:rsidRPr="000D4FC3">
        <w:rPr>
          <w:rFonts w:ascii="Times New Roman" w:hAnsi="Times New Roman" w:cs="Times New Roman"/>
        </w:rPr>
        <w:t xml:space="preserve">factors such as inflation, currency fluctuations, and economic downturns also affect the availability of resources for L&amp;D. During periods of financial constraint, such as the COVID-19 pandemic, Unilever shifted from traditional face-to-face training to more cost-effective digital learning models to maintain workforce development (Birdi et al., 2020). Despite economic pressures, Unilever continues to invest in employee learning through scalable e-learning platforms that allow continuous skill enhancement at reduced operational </w:t>
      </w:r>
      <w:r w:rsidRPr="000D4FC3">
        <w:rPr>
          <w:rFonts w:ascii="Times New Roman" w:hAnsi="Times New Roman" w:cs="Times New Roman"/>
        </w:rPr>
        <w:lastRenderedPageBreak/>
        <w:t>costs. This approach highlights how L&amp;D strategies must remain flexible and cost-efficient to ensure long-term capability building.</w:t>
      </w:r>
    </w:p>
    <w:p w14:paraId="56E1CB1B" w14:textId="77777777" w:rsidR="00EB2601" w:rsidRPr="000D4FC3" w:rsidRDefault="00EB2601" w:rsidP="000D4FC3">
      <w:pPr>
        <w:spacing w:line="360" w:lineRule="auto"/>
        <w:jc w:val="both"/>
        <w:rPr>
          <w:rFonts w:ascii="Times New Roman" w:hAnsi="Times New Roman" w:cs="Times New Roman"/>
        </w:rPr>
      </w:pPr>
    </w:p>
    <w:p w14:paraId="2F39B44F" w14:textId="77777777" w:rsidR="00EB2601" w:rsidRPr="000D4FC3" w:rsidRDefault="00EB2601" w:rsidP="000D4FC3">
      <w:pPr>
        <w:spacing w:line="360" w:lineRule="auto"/>
        <w:jc w:val="both"/>
        <w:rPr>
          <w:rFonts w:ascii="Times New Roman" w:hAnsi="Times New Roman" w:cs="Times New Roman"/>
        </w:rPr>
      </w:pPr>
      <w:r w:rsidRPr="000D4FC3">
        <w:rPr>
          <w:rStyle w:val="Strong"/>
        </w:rPr>
        <w:t xml:space="preserve">Social </w:t>
      </w:r>
      <w:r w:rsidRPr="000D4FC3">
        <w:rPr>
          <w:rFonts w:ascii="Times New Roman" w:hAnsi="Times New Roman" w:cs="Times New Roman"/>
        </w:rPr>
        <w:t>factors are increasingly important in shaping L&amp;D policies, especially given Unilever’s global and diverse workforce. Changing demographics, employee expectations, and the growing emphasis on diversity, equity, and inclusion (DEI) have prompted Unilever to adopt inclusive training programs. Initiatives such as unconscious bias training and cross-cultural leadership workshops have been introduced to enhance collaboration and promote inclusive work environments (Garavan et al., 2021). These programs reflect the company’s commitment to building social awareness and ensuring equitable access to learning opportunities.</w:t>
      </w:r>
    </w:p>
    <w:p w14:paraId="53C70AF2" w14:textId="77777777" w:rsidR="00EB2601" w:rsidRPr="000D4FC3" w:rsidRDefault="00EB2601" w:rsidP="000D4FC3">
      <w:pPr>
        <w:spacing w:line="360" w:lineRule="auto"/>
        <w:jc w:val="both"/>
        <w:rPr>
          <w:rFonts w:ascii="Times New Roman" w:hAnsi="Times New Roman" w:cs="Times New Roman"/>
        </w:rPr>
      </w:pPr>
    </w:p>
    <w:p w14:paraId="15FBD45C" w14:textId="77777777" w:rsidR="00EB2601" w:rsidRPr="000D4FC3" w:rsidRDefault="00EB2601" w:rsidP="000D4FC3">
      <w:pPr>
        <w:spacing w:line="360" w:lineRule="auto"/>
        <w:jc w:val="both"/>
        <w:rPr>
          <w:rFonts w:ascii="Times New Roman" w:hAnsi="Times New Roman" w:cs="Times New Roman"/>
        </w:rPr>
      </w:pPr>
      <w:r w:rsidRPr="000D4FC3">
        <w:rPr>
          <w:rStyle w:val="Strong"/>
        </w:rPr>
        <w:t>Technological</w:t>
      </w:r>
      <w:r w:rsidRPr="000D4FC3">
        <w:rPr>
          <w:rFonts w:ascii="Times New Roman" w:hAnsi="Times New Roman" w:cs="Times New Roman"/>
        </w:rPr>
        <w:t xml:space="preserve"> factors have been transformative for Unilever’s HR and L&amp;D practices. The rise of digital technologies, artificial intelligence (AI), and data analytics has reshaped how learning is delivered and assessed. Unilever has implemented AI-powered learning platforms such as Degreed and Coursera, which personalise training based on individual career paths and performance data (Noe et al., 2021). This technological integration allows HR to identify skills gaps more efficiently and deliver adaptive, self-paced learning experiences that enhance employee engagement and performance.</w:t>
      </w:r>
    </w:p>
    <w:p w14:paraId="790E9D38" w14:textId="77777777" w:rsidR="00EB2601" w:rsidRPr="000D4FC3" w:rsidRDefault="00EB2601" w:rsidP="000D4FC3">
      <w:pPr>
        <w:spacing w:line="360" w:lineRule="auto"/>
        <w:jc w:val="both"/>
        <w:rPr>
          <w:rFonts w:ascii="Times New Roman" w:hAnsi="Times New Roman" w:cs="Times New Roman"/>
        </w:rPr>
      </w:pPr>
    </w:p>
    <w:p w14:paraId="40B25857" w14:textId="77777777" w:rsidR="00EB2601" w:rsidRPr="000D4FC3" w:rsidRDefault="00EB2601" w:rsidP="000D4FC3">
      <w:pPr>
        <w:spacing w:line="360" w:lineRule="auto"/>
        <w:jc w:val="both"/>
        <w:rPr>
          <w:rFonts w:ascii="Times New Roman" w:hAnsi="Times New Roman" w:cs="Times New Roman"/>
        </w:rPr>
      </w:pPr>
      <w:r w:rsidRPr="000D4FC3">
        <w:rPr>
          <w:rStyle w:val="Strong"/>
        </w:rPr>
        <w:t>Environmental</w:t>
      </w:r>
      <w:r w:rsidRPr="000D4FC3">
        <w:rPr>
          <w:rFonts w:ascii="Times New Roman" w:hAnsi="Times New Roman" w:cs="Times New Roman"/>
        </w:rPr>
        <w:t xml:space="preserve"> factors are deeply embedded in Unilever’s corporate strategy and have a direct impact on its L&amp;D design. As a company committed to sustainability, Unilever integrates environmental awareness and responsibility into employee development. Through initiatives like the Sustainability Academy, employees receive training on sustainable sourcing, waste reduction, and carbon footprint management (Unilever, 2023). These programs align with Unilever’s broader goal of achieving net-zero emissions and ensuring that all employees contribute to its sustainability agenda.</w:t>
      </w:r>
    </w:p>
    <w:p w14:paraId="14F3EA22" w14:textId="77777777" w:rsidR="00EB2601" w:rsidRPr="000D4FC3" w:rsidRDefault="00EB2601" w:rsidP="000D4FC3">
      <w:pPr>
        <w:spacing w:line="360" w:lineRule="auto"/>
        <w:jc w:val="both"/>
        <w:rPr>
          <w:rFonts w:ascii="Times New Roman" w:hAnsi="Times New Roman" w:cs="Times New Roman"/>
        </w:rPr>
      </w:pPr>
    </w:p>
    <w:p w14:paraId="40756F76" w14:textId="77777777" w:rsidR="00EB2601" w:rsidRPr="000D4FC3" w:rsidRDefault="00EB2601" w:rsidP="000D4FC3">
      <w:pPr>
        <w:pStyle w:val="Heading2"/>
      </w:pPr>
      <w:bookmarkStart w:id="4" w:name="_Toc212926808"/>
      <w:r w:rsidRPr="000D4FC3">
        <w:t>HR Impact and Strategic Implications</w:t>
      </w:r>
      <w:bookmarkEnd w:id="4"/>
    </w:p>
    <w:p w14:paraId="5BB7CC6A" w14:textId="77777777" w:rsidR="009855E2" w:rsidRPr="000D4FC3" w:rsidRDefault="009855E2" w:rsidP="000D4FC3">
      <w:pPr>
        <w:spacing w:line="360" w:lineRule="auto"/>
        <w:jc w:val="both"/>
        <w:rPr>
          <w:rFonts w:ascii="Times New Roman" w:hAnsi="Times New Roman" w:cs="Times New Roman"/>
        </w:rPr>
      </w:pPr>
      <w:r w:rsidRPr="009855E2">
        <w:rPr>
          <w:rFonts w:ascii="Times New Roman" w:hAnsi="Times New Roman" w:cs="Times New Roman"/>
        </w:rPr>
        <w:t xml:space="preserve">As a result, the intertwined effect of internal and external forces means that Unilever’s HR function must implement flexible, diverse, and globally compatible L&amp;D strategies. </w:t>
      </w:r>
      <w:r w:rsidRPr="009855E2">
        <w:rPr>
          <w:rFonts w:ascii="Times New Roman" w:hAnsi="Times New Roman" w:cs="Times New Roman"/>
        </w:rPr>
        <w:lastRenderedPageBreak/>
        <w:t xml:space="preserve">Consequently, the HR leaders have embraced workforce analytics to spot new skills, introduced digital learning technologies to make learning possible and implemented development programmes that correlate with such critical strategic dimensions as sustainability, innovation and diversity. Moreover, the above PESTEL considerations guarantee that Unilever’s learning would remain active and versatile in reaction to external adversity. </w:t>
      </w:r>
    </w:p>
    <w:p w14:paraId="7441E299" w14:textId="38457575" w:rsidR="00EB2601" w:rsidRPr="000D4FC3" w:rsidRDefault="009855E2" w:rsidP="000D4FC3">
      <w:pPr>
        <w:spacing w:line="360" w:lineRule="auto"/>
        <w:jc w:val="both"/>
        <w:rPr>
          <w:rFonts w:ascii="Times New Roman" w:hAnsi="Times New Roman" w:cs="Times New Roman"/>
        </w:rPr>
      </w:pPr>
      <w:r w:rsidRPr="009855E2">
        <w:rPr>
          <w:rFonts w:ascii="Times New Roman" w:hAnsi="Times New Roman" w:cs="Times New Roman"/>
        </w:rPr>
        <w:t xml:space="preserve">The above combo of L&amp;D design and these internal and external effects </w:t>
      </w:r>
      <w:r w:rsidRPr="000D4FC3">
        <w:rPr>
          <w:rFonts w:ascii="Times New Roman" w:hAnsi="Times New Roman" w:cs="Times New Roman"/>
        </w:rPr>
        <w:t>permit</w:t>
      </w:r>
      <w:r w:rsidRPr="009855E2">
        <w:rPr>
          <w:rFonts w:ascii="Times New Roman" w:hAnsi="Times New Roman" w:cs="Times New Roman"/>
        </w:rPr>
        <w:t xml:space="preserve"> Unilever to maintain a competitive edge by pioneering a self-reliant, future-focused and purpose-oriented employee demographic. This is reminiscent of the mantle of individual purpose and fulfilment that decentralised control and monopoly authority in 20th holds. Learning and Development Facilitating Adaptation to the Environment. Learning and Development play a vital role in helping an organisation respond to changes in its environment, such as digitalisation, remote operations and changing workforce expectations. For a transcontinental corporation like Unilever, the L&amp;D has expanded as a strategic tool for resiliency and versatility by ensuring that its employees have the desired talents and attitudes to succeed in the customer-driven and transforming nature of the case. </w:t>
      </w:r>
    </w:p>
    <w:p w14:paraId="01C4DFFD" w14:textId="77777777" w:rsidR="00EB2601" w:rsidRPr="000D4FC3" w:rsidRDefault="00EB2601" w:rsidP="000D4FC3">
      <w:pPr>
        <w:spacing w:line="360" w:lineRule="auto"/>
        <w:jc w:val="both"/>
        <w:rPr>
          <w:rFonts w:ascii="Times New Roman" w:hAnsi="Times New Roman" w:cs="Times New Roman"/>
        </w:rPr>
      </w:pPr>
    </w:p>
    <w:p w14:paraId="78D1961E" w14:textId="3529E037" w:rsidR="00EB2601" w:rsidRPr="000D4FC3" w:rsidRDefault="00EB2601" w:rsidP="000D4FC3">
      <w:pPr>
        <w:spacing w:line="360" w:lineRule="auto"/>
        <w:jc w:val="both"/>
        <w:rPr>
          <w:rFonts w:ascii="Times New Roman" w:hAnsi="Times New Roman" w:cs="Times New Roman"/>
        </w:rPr>
      </w:pPr>
      <w:r w:rsidRPr="000D4FC3">
        <w:rPr>
          <w:rFonts w:ascii="Times New Roman" w:hAnsi="Times New Roman" w:cs="Times New Roman"/>
        </w:rPr>
        <w:t xml:space="preserve">Another key environmental change influencing Unilever’s L&amp;D strategy is the rise of remote and hybrid working models. The COVID-19 pandemic accelerated the need for flexible learning delivery methods, prompting Unilever to shift from traditional classroom-based training to virtual learning environments (Birdi et al., 2020). </w:t>
      </w:r>
    </w:p>
    <w:p w14:paraId="1B78F95C" w14:textId="77777777" w:rsidR="00EB2601" w:rsidRPr="000D4FC3" w:rsidRDefault="00EB2601" w:rsidP="000D4FC3">
      <w:pPr>
        <w:spacing w:line="360" w:lineRule="auto"/>
        <w:jc w:val="both"/>
        <w:rPr>
          <w:rFonts w:ascii="Times New Roman" w:hAnsi="Times New Roman" w:cs="Times New Roman"/>
        </w:rPr>
      </w:pPr>
    </w:p>
    <w:p w14:paraId="23BA2AA2" w14:textId="2C8D9D8A" w:rsidR="009855E2" w:rsidRPr="000D4FC3" w:rsidRDefault="00EB2601" w:rsidP="000D4FC3">
      <w:pPr>
        <w:spacing w:line="360" w:lineRule="auto"/>
        <w:jc w:val="both"/>
        <w:rPr>
          <w:rFonts w:ascii="Times New Roman" w:hAnsi="Times New Roman" w:cs="Times New Roman"/>
        </w:rPr>
      </w:pPr>
      <w:r w:rsidRPr="000D4FC3">
        <w:rPr>
          <w:rFonts w:ascii="Times New Roman" w:hAnsi="Times New Roman" w:cs="Times New Roman"/>
        </w:rPr>
        <w:t>Unilever’s L&amp;D function also supports adaptation to social and sustainability trends, reflecting the organisation’s strong commitment to responsible business practices. As part of its Unilever Compass Strategy, employees are trained to embed sustainability into decision-making and operational processes (Unilever, 2023</w:t>
      </w:r>
      <w:r w:rsidR="009855E2" w:rsidRPr="000D4FC3">
        <w:rPr>
          <w:rFonts w:ascii="Times New Roman" w:hAnsi="Times New Roman" w:cs="Times New Roman"/>
        </w:rPr>
        <w:t>).</w:t>
      </w:r>
      <w:r w:rsidR="009855E2" w:rsidRPr="000D4FC3">
        <w:rPr>
          <w:rFonts w:ascii="Times New Roman" w:eastAsia="Times New Roman" w:hAnsi="Times New Roman" w:cs="Times New Roman"/>
          <w:spacing w:val="8"/>
          <w:kern w:val="0"/>
          <w:lang w:eastAsia="en-GB"/>
          <w14:ligatures w14:val="none"/>
        </w:rPr>
        <w:t xml:space="preserve"> </w:t>
      </w:r>
      <w:r w:rsidR="009855E2" w:rsidRPr="000D4FC3">
        <w:rPr>
          <w:rFonts w:ascii="Times New Roman" w:hAnsi="Times New Roman" w:cs="Times New Roman"/>
        </w:rPr>
        <w:t xml:space="preserve">Employee capacity-building: Unilever offers a wide range of learning programmes through its Sustainability Academy. The courses include topics such as ethical sourcing, circular economy principles, and environmental stewardship. The initiative ensures that its workforce is not only well-versed with Unilever sustainability targets but also compliant with relevant environmental law modifications, now and in the future. Additionally, Unilever embraces a “lifelong employability” culture where its employees are encouraged to learn continuously. The flow of work methodology where employees learn through experiences such as trial and error, reflective observation, and sharing and discussing </w:t>
      </w:r>
      <w:r w:rsidR="009855E2" w:rsidRPr="000D4FC3">
        <w:rPr>
          <w:rFonts w:ascii="Times New Roman" w:hAnsi="Times New Roman" w:cs="Times New Roman"/>
        </w:rPr>
        <w:lastRenderedPageBreak/>
        <w:t>beliefs is based on Experiential Learning Model. This culture allows the company’s staff to rapidly grasp, absorb, and manage fast-emerging trends in the job sector such as automation, environmental policy requirements, and customer behavioural shifts to name a few.</w:t>
      </w:r>
    </w:p>
    <w:p w14:paraId="310BF35F" w14:textId="380248D7" w:rsidR="00EB2601" w:rsidRPr="000D4FC3" w:rsidRDefault="00EB2601" w:rsidP="000D4FC3">
      <w:pPr>
        <w:spacing w:line="360" w:lineRule="auto"/>
        <w:jc w:val="both"/>
        <w:rPr>
          <w:rFonts w:ascii="Times New Roman" w:hAnsi="Times New Roman" w:cs="Times New Roman"/>
        </w:rPr>
      </w:pPr>
    </w:p>
    <w:p w14:paraId="043FB1EF" w14:textId="77777777" w:rsidR="00EB2601" w:rsidRPr="000D4FC3" w:rsidRDefault="00EB2601" w:rsidP="000D4FC3">
      <w:pPr>
        <w:pStyle w:val="Heading4"/>
      </w:pPr>
      <w:r w:rsidRPr="000D4FC3">
        <w:t>Learning and Development as a Tool for Maintaining Competitive Advantage</w:t>
      </w:r>
    </w:p>
    <w:p w14:paraId="6EF39E68" w14:textId="77777777" w:rsidR="009855E2" w:rsidRPr="000D4FC3" w:rsidRDefault="009855E2" w:rsidP="000D4FC3">
      <w:pPr>
        <w:spacing w:line="360" w:lineRule="auto"/>
        <w:jc w:val="both"/>
        <w:rPr>
          <w:rFonts w:ascii="Times New Roman" w:hAnsi="Times New Roman" w:cs="Times New Roman"/>
        </w:rPr>
      </w:pPr>
      <w:r w:rsidRPr="000D4FC3">
        <w:rPr>
          <w:rFonts w:ascii="Times New Roman" w:hAnsi="Times New Roman" w:cs="Times New Roman"/>
        </w:rPr>
        <w:t xml:space="preserve">Learning and Development is one of the crucial strategies that enables organizations to create sustainable sources of competitive advantage by increasing the level of employee engagement, retention, and productivity. In the case of Unilever, L&amp;D is deeply integrated with the overall talent management strategy aimed at keeping the workforce engaged, motivated, and aligned with the company’s long-term vision. One of the key drivers of competitive advantage is employee engagement and retention. Unilever invests heavily in various learning platforms, such as My Learning and Degreed, to personalize training and empower employees to take control over their development. </w:t>
      </w:r>
    </w:p>
    <w:p w14:paraId="1A99D02E" w14:textId="6CF78699" w:rsidR="00EB2601" w:rsidRPr="000D4FC3" w:rsidRDefault="009855E2" w:rsidP="000D4FC3">
      <w:pPr>
        <w:spacing w:line="360" w:lineRule="auto"/>
        <w:jc w:val="both"/>
        <w:rPr>
          <w:rFonts w:ascii="Times New Roman" w:hAnsi="Times New Roman" w:cs="Times New Roman"/>
        </w:rPr>
      </w:pPr>
      <w:r w:rsidRPr="000D4FC3">
        <w:rPr>
          <w:rFonts w:ascii="Times New Roman" w:hAnsi="Times New Roman" w:cs="Times New Roman"/>
        </w:rPr>
        <w:t>My Learning and Degreed offer a range of courses aligned with employees’ job positions and career paths, providing them with dedicated learning experiences. As Armstrong and Taylor argue, organizations that implement a culture of continuous learning average a lower level of turnover as employees feel they have more opportunities for advancement and support. L&amp;D is also directly contributing to the level of productivity and innovation. Unilever technology offers regular training programs, such as the Digital Upskilling Programme to provide employees with the necessary tech skills to drive innovation in product, marketing, and sustainability. The company can promptly respond to trends and adjust the production process, increasing the level of operational efficiency and customer satisfaction.</w:t>
      </w:r>
    </w:p>
    <w:p w14:paraId="429812EF" w14:textId="77777777" w:rsidR="00E96C73" w:rsidRPr="000D4FC3" w:rsidRDefault="00E96C73" w:rsidP="000D4FC3">
      <w:pPr>
        <w:pStyle w:val="Heading3"/>
      </w:pPr>
      <w:bookmarkStart w:id="5" w:name="_Toc212926809"/>
      <w:r w:rsidRPr="000D4FC3">
        <w:t>Supporting Employees from Diverse Backgrounds</w:t>
      </w:r>
      <w:bookmarkEnd w:id="5"/>
    </w:p>
    <w:p w14:paraId="5F1B23E1" w14:textId="77777777" w:rsidR="00E96C73" w:rsidRPr="000D4FC3" w:rsidRDefault="00E96C73" w:rsidP="000D4FC3">
      <w:pPr>
        <w:spacing w:line="360" w:lineRule="auto"/>
        <w:jc w:val="both"/>
        <w:rPr>
          <w:rFonts w:ascii="Times New Roman" w:hAnsi="Times New Roman" w:cs="Times New Roman"/>
        </w:rPr>
      </w:pPr>
    </w:p>
    <w:p w14:paraId="2F3C4C66" w14:textId="77777777" w:rsidR="00E96C73" w:rsidRPr="000D4FC3" w:rsidRDefault="00E96C73" w:rsidP="000D4FC3">
      <w:pPr>
        <w:spacing w:line="360" w:lineRule="auto"/>
        <w:jc w:val="both"/>
        <w:rPr>
          <w:rFonts w:ascii="Times New Roman" w:hAnsi="Times New Roman" w:cs="Times New Roman"/>
        </w:rPr>
      </w:pPr>
      <w:r w:rsidRPr="000D4FC3">
        <w:rPr>
          <w:rFonts w:ascii="Times New Roman" w:hAnsi="Times New Roman" w:cs="Times New Roman"/>
        </w:rPr>
        <w:t>In a globalised business environment, organisations increasingly recognise the importance of inclusive Learning and Development (L&amp;D) programmes in supporting employees from diverse backgrounds. For Unilever, diversity, equity, and inclusion (DEI) are core values embedded in its human resource strategy, ensuring that all employees, regardless of gender, ethnicity, culture, or ability, have equal opportunities for learning and career advancement.</w:t>
      </w:r>
    </w:p>
    <w:p w14:paraId="374BC0D8" w14:textId="77777777" w:rsidR="00E96C73" w:rsidRPr="000D4FC3" w:rsidRDefault="00E96C73" w:rsidP="000D4FC3">
      <w:pPr>
        <w:spacing w:line="360" w:lineRule="auto"/>
        <w:jc w:val="both"/>
        <w:rPr>
          <w:rFonts w:ascii="Times New Roman" w:hAnsi="Times New Roman" w:cs="Times New Roman"/>
        </w:rPr>
      </w:pPr>
    </w:p>
    <w:p w14:paraId="7031E580" w14:textId="3AC833B1" w:rsidR="00E96C73" w:rsidRPr="000D4FC3" w:rsidRDefault="00E96C73" w:rsidP="000D4FC3">
      <w:pPr>
        <w:spacing w:line="360" w:lineRule="auto"/>
        <w:jc w:val="both"/>
        <w:rPr>
          <w:rFonts w:ascii="Times New Roman" w:hAnsi="Times New Roman" w:cs="Times New Roman"/>
        </w:rPr>
      </w:pPr>
      <w:r w:rsidRPr="000D4FC3">
        <w:rPr>
          <w:rFonts w:ascii="Times New Roman" w:hAnsi="Times New Roman" w:cs="Times New Roman"/>
        </w:rPr>
        <w:lastRenderedPageBreak/>
        <w:t>Inclusive L&amp;D initiatives enable employees from different cultural and social backgrounds to thrive by creating learning environments that acknowledge and respect diversity. Unilever has implemented cultural sensitivity and inclusive leadership training to help managers understand unconscious bias and build inclusive team cultures (Unilever, 2023).</w:t>
      </w:r>
    </w:p>
    <w:p w14:paraId="75C3142D" w14:textId="77777777" w:rsidR="00E96C73" w:rsidRPr="000D4FC3" w:rsidRDefault="00E96C73" w:rsidP="000D4FC3">
      <w:pPr>
        <w:pStyle w:val="Heading3"/>
      </w:pPr>
      <w:bookmarkStart w:id="6" w:name="_Toc212926810"/>
      <w:r w:rsidRPr="000D4FC3">
        <w:t>Application of a Relevant L&amp;D Model</w:t>
      </w:r>
      <w:bookmarkEnd w:id="6"/>
    </w:p>
    <w:p w14:paraId="57EA0B2A" w14:textId="77777777" w:rsidR="00E96C73" w:rsidRPr="000D4FC3" w:rsidRDefault="00E96C73" w:rsidP="000D4FC3">
      <w:pPr>
        <w:spacing w:line="360" w:lineRule="auto"/>
        <w:jc w:val="both"/>
        <w:rPr>
          <w:rFonts w:ascii="Times New Roman" w:hAnsi="Times New Roman" w:cs="Times New Roman"/>
        </w:rPr>
      </w:pPr>
    </w:p>
    <w:p w14:paraId="48BB3E2C" w14:textId="11899098" w:rsidR="00E96C73" w:rsidRPr="000D4FC3" w:rsidRDefault="009F104F" w:rsidP="000D4FC3">
      <w:pPr>
        <w:spacing w:line="360" w:lineRule="auto"/>
        <w:jc w:val="both"/>
        <w:rPr>
          <w:rFonts w:ascii="Times New Roman" w:hAnsi="Times New Roman" w:cs="Times New Roman"/>
        </w:rPr>
      </w:pPr>
      <w:r w:rsidRPr="000D4FC3">
        <w:rPr>
          <w:rFonts w:ascii="Times New Roman" w:hAnsi="Times New Roman" w:cs="Times New Roman"/>
        </w:rPr>
        <w:t>One of the most renowned frameworks in Learning and Development is Kolb’s Experiential Learning model that views learning as an ongoing function of experience. According to the model, learning can occur only when the learner engages in its four stages of the cycle: Concrete Experience, Reflective Observation, Abstract Conceptualisation and Active Experimentation. Since learners perform these stages in a cycle and not in action, Kolb highlights the significance of lifelong, experiential, and self-directed learning that allows an individual to turn experience into the knowledge of the experience (</w:t>
      </w:r>
      <w:r w:rsidR="00E96C73" w:rsidRPr="000D4FC3">
        <w:rPr>
          <w:rFonts w:ascii="Times New Roman" w:hAnsi="Times New Roman" w:cs="Times New Roman"/>
        </w:rPr>
        <w:t>Kolb, 1984).</w:t>
      </w:r>
    </w:p>
    <w:p w14:paraId="524CF7BF" w14:textId="77777777" w:rsidR="00E96C73" w:rsidRPr="000D4FC3" w:rsidRDefault="00E96C73" w:rsidP="000D4FC3">
      <w:pPr>
        <w:spacing w:line="360" w:lineRule="auto"/>
        <w:jc w:val="both"/>
        <w:rPr>
          <w:rFonts w:ascii="Times New Roman" w:hAnsi="Times New Roman" w:cs="Times New Roman"/>
        </w:rPr>
      </w:pPr>
    </w:p>
    <w:p w14:paraId="5E607EA6" w14:textId="442DD1A9" w:rsidR="00E96C73" w:rsidRPr="000D4FC3" w:rsidRDefault="00E96C73" w:rsidP="000D4FC3">
      <w:pPr>
        <w:spacing w:line="360" w:lineRule="auto"/>
        <w:jc w:val="both"/>
        <w:rPr>
          <w:rFonts w:ascii="Times New Roman" w:hAnsi="Times New Roman" w:cs="Times New Roman"/>
        </w:rPr>
      </w:pPr>
      <w:r w:rsidRPr="000D4FC3">
        <w:rPr>
          <w:rFonts w:ascii="Times New Roman" w:hAnsi="Times New Roman" w:cs="Times New Roman"/>
        </w:rPr>
        <w:t xml:space="preserve">Unilever effectively applies Kolb’s model across its L&amp;D initiatives to enhance learning effectiveness and employee engagement. For instance, in the Unilever Future Leaders Programme (UFLP), participants undertake international assignments that provide Concrete Experience through real-world business challenges. </w:t>
      </w:r>
    </w:p>
    <w:p w14:paraId="36E79A85" w14:textId="7772C0B2" w:rsidR="00E96C73" w:rsidRPr="000D4FC3" w:rsidRDefault="00E96C73" w:rsidP="000D4FC3">
      <w:pPr>
        <w:spacing w:line="360" w:lineRule="auto"/>
        <w:jc w:val="both"/>
        <w:rPr>
          <w:rFonts w:ascii="Times New Roman" w:hAnsi="Times New Roman" w:cs="Times New Roman"/>
        </w:rPr>
      </w:pPr>
      <w:r w:rsidRPr="000D4FC3">
        <w:rPr>
          <w:rFonts w:ascii="Times New Roman" w:hAnsi="Times New Roman" w:cs="Times New Roman"/>
        </w:rPr>
        <w:t>The strengths of Kolb’s model lie in its flexibility and learner-centred approach. It supports diverse learning preferences visual, auditory, and kinesthetics</w:t>
      </w:r>
      <w:r w:rsidR="009F104F" w:rsidRPr="000D4FC3">
        <w:rPr>
          <w:rFonts w:ascii="Times New Roman" w:hAnsi="Times New Roman" w:cs="Times New Roman"/>
        </w:rPr>
        <w:t xml:space="preserve"> </w:t>
      </w:r>
      <w:r w:rsidRPr="000D4FC3">
        <w:rPr>
          <w:rFonts w:ascii="Times New Roman" w:hAnsi="Times New Roman" w:cs="Times New Roman"/>
        </w:rPr>
        <w:t>making it well-suited for Unilever’s global and multicultural workforce (Garavan et al., 2021). The model’s emphasis on reflection and experimentation fosters critical thinking, adaptability, and innovation competencies essential in a dynamic business environment (Noe et al., 2021).</w:t>
      </w:r>
    </w:p>
    <w:p w14:paraId="645103C5" w14:textId="77777777" w:rsidR="00E96C73" w:rsidRPr="000D4FC3" w:rsidRDefault="00E96C73" w:rsidP="000D4FC3">
      <w:pPr>
        <w:pStyle w:val="Heading3"/>
      </w:pPr>
      <w:bookmarkStart w:id="7" w:name="_Toc212926811"/>
      <w:r w:rsidRPr="000D4FC3">
        <w:t>Challenges and Recommendations</w:t>
      </w:r>
      <w:bookmarkEnd w:id="7"/>
    </w:p>
    <w:p w14:paraId="130A8E76" w14:textId="77777777" w:rsidR="00E96C73" w:rsidRPr="000D4FC3" w:rsidRDefault="00E96C73" w:rsidP="000D4FC3">
      <w:pPr>
        <w:spacing w:line="360" w:lineRule="auto"/>
        <w:jc w:val="both"/>
        <w:rPr>
          <w:rFonts w:ascii="Times New Roman" w:hAnsi="Times New Roman" w:cs="Times New Roman"/>
        </w:rPr>
      </w:pPr>
    </w:p>
    <w:p w14:paraId="7C4B5CB7" w14:textId="0AC3D504" w:rsidR="00E96C73" w:rsidRPr="000D4FC3" w:rsidRDefault="009F104F" w:rsidP="000D4FC3">
      <w:pPr>
        <w:spacing w:line="360" w:lineRule="auto"/>
        <w:jc w:val="both"/>
        <w:rPr>
          <w:rFonts w:ascii="Times New Roman" w:hAnsi="Times New Roman" w:cs="Times New Roman"/>
        </w:rPr>
      </w:pPr>
      <w:r w:rsidRPr="000D4FC3">
        <w:rPr>
          <w:rFonts w:ascii="Times New Roman" w:hAnsi="Times New Roman" w:cs="Times New Roman"/>
        </w:rPr>
        <w:t xml:space="preserve">Although Unilever shows a remarkable commitment to L&amp;D, its global learning strategy faces several obstacles that can undermine efforts of being put into practice. First and foremost, there is resistance to change among those familiar with classroom education styles. Failure to see the benefits of a digital and self-directed learning platform, such as Degreed, led to its various adoption rates around the regions in the beginning. According to Noe et al., (2021), workers do not have the chance to catch the opportunity, which makes it difficult to carry out results. The </w:t>
      </w:r>
      <w:r w:rsidRPr="000D4FC3">
        <w:rPr>
          <w:rFonts w:ascii="Times New Roman" w:hAnsi="Times New Roman" w:cs="Times New Roman"/>
        </w:rPr>
        <w:lastRenderedPageBreak/>
        <w:t xml:space="preserve">former often comes from digital skill gaps and a lack of knowledge about whether the new technology helps drive employee interaction. Budgetary constraints and resource distribution continue to be a significant problem as well. Even though Unilever makes heavy investments in the programs for leadership and digital upskilling, it is challenging to keep a consistent fund for 190 countries in these countries. It has been particularly difficult during economic slumps. </w:t>
      </w:r>
      <w:r w:rsidR="00E96C73" w:rsidRPr="000D4FC3">
        <w:rPr>
          <w:rFonts w:ascii="Times New Roman" w:hAnsi="Times New Roman" w:cs="Times New Roman"/>
        </w:rPr>
        <w:t xml:space="preserve">(Birdi et al., 2020). </w:t>
      </w:r>
    </w:p>
    <w:p w14:paraId="7230DF0D" w14:textId="77777777" w:rsidR="00E96C73" w:rsidRPr="000D4FC3" w:rsidRDefault="00E96C73" w:rsidP="000D4FC3">
      <w:pPr>
        <w:spacing w:line="360" w:lineRule="auto"/>
        <w:jc w:val="both"/>
        <w:rPr>
          <w:rFonts w:ascii="Times New Roman" w:hAnsi="Times New Roman" w:cs="Times New Roman"/>
        </w:rPr>
      </w:pPr>
    </w:p>
    <w:p w14:paraId="14A394DB" w14:textId="6D755B32" w:rsidR="00E96C73" w:rsidRPr="000D4FC3" w:rsidRDefault="00E96C73" w:rsidP="000D4FC3">
      <w:pPr>
        <w:spacing w:line="360" w:lineRule="auto"/>
        <w:jc w:val="both"/>
        <w:rPr>
          <w:rFonts w:ascii="Times New Roman" w:hAnsi="Times New Roman" w:cs="Times New Roman"/>
        </w:rPr>
      </w:pPr>
      <w:r w:rsidRPr="000D4FC3">
        <w:rPr>
          <w:rFonts w:ascii="Times New Roman" w:hAnsi="Times New Roman" w:cs="Times New Roman"/>
        </w:rPr>
        <w:t>To address these challenges, several recommendations can enhance Unilever’s L&amp;D effectiveness. First, the organisation should leverage artificial intelligence (AI) and data analytics to personalise learning pathways and predict future skill needs, ensuring that training investments are targeted and cost-effective (Armstrong &amp; Taylor, 2020).</w:t>
      </w:r>
    </w:p>
    <w:p w14:paraId="3C16D077" w14:textId="77777777" w:rsidR="00E96C73" w:rsidRPr="000D4FC3" w:rsidRDefault="00E96C73" w:rsidP="000D4FC3">
      <w:pPr>
        <w:pStyle w:val="Heading2"/>
      </w:pPr>
      <w:bookmarkStart w:id="8" w:name="_Toc212926812"/>
      <w:r w:rsidRPr="000D4FC3">
        <w:t>Conclusion</w:t>
      </w:r>
      <w:bookmarkEnd w:id="8"/>
    </w:p>
    <w:p w14:paraId="52483494" w14:textId="77777777" w:rsidR="00E96C73" w:rsidRPr="000D4FC3" w:rsidRDefault="00E96C73" w:rsidP="000D4FC3">
      <w:pPr>
        <w:spacing w:line="360" w:lineRule="auto"/>
        <w:jc w:val="both"/>
        <w:rPr>
          <w:rFonts w:ascii="Times New Roman" w:hAnsi="Times New Roman" w:cs="Times New Roman"/>
        </w:rPr>
      </w:pPr>
    </w:p>
    <w:p w14:paraId="3715F951" w14:textId="77777777" w:rsidR="00E96C73" w:rsidRPr="000D4FC3" w:rsidRDefault="00E96C73" w:rsidP="000D4FC3">
      <w:pPr>
        <w:spacing w:line="360" w:lineRule="auto"/>
        <w:jc w:val="both"/>
        <w:rPr>
          <w:rFonts w:ascii="Times New Roman" w:hAnsi="Times New Roman" w:cs="Times New Roman"/>
        </w:rPr>
      </w:pPr>
      <w:r w:rsidRPr="000D4FC3">
        <w:rPr>
          <w:rFonts w:ascii="Times New Roman" w:hAnsi="Times New Roman" w:cs="Times New Roman"/>
        </w:rPr>
        <w:t>In conclusion, Learning and Development (L&amp;D) serves as a strategic driver of organisational success and sustainability at Unilever. As demonstrated throughout this report, L&amp;D is integral to enhancing employee capability, engagement, and innovation while aligning individual growth with corporate objectives. Through initiatives such as the Unilever Future Leaders Programme (UFLP) and Digital Upskilling Programme, the company effectively embeds learning into its global operations, ensuring a workforce that is both agile and future-ready (Unilever, 2023).</w:t>
      </w:r>
    </w:p>
    <w:p w14:paraId="610A7350" w14:textId="77777777" w:rsidR="00E96C73" w:rsidRPr="000D4FC3" w:rsidRDefault="00E96C73" w:rsidP="000D4FC3">
      <w:pPr>
        <w:spacing w:line="360" w:lineRule="auto"/>
        <w:jc w:val="both"/>
        <w:rPr>
          <w:rFonts w:ascii="Times New Roman" w:hAnsi="Times New Roman" w:cs="Times New Roman"/>
        </w:rPr>
      </w:pPr>
    </w:p>
    <w:p w14:paraId="68F6AA90" w14:textId="3570539D" w:rsidR="00E96C73" w:rsidRPr="000D4FC3" w:rsidRDefault="000D4FC3" w:rsidP="000D4FC3">
      <w:pPr>
        <w:spacing w:line="360" w:lineRule="auto"/>
        <w:jc w:val="both"/>
        <w:rPr>
          <w:rFonts w:ascii="Times New Roman" w:hAnsi="Times New Roman" w:cs="Times New Roman"/>
        </w:rPr>
      </w:pPr>
      <w:r w:rsidRPr="000D4FC3">
        <w:rPr>
          <w:rFonts w:ascii="Times New Roman" w:hAnsi="Times New Roman" w:cs="Times New Roman"/>
        </w:rPr>
        <w:t>Summarizing the analysis, it has been noted that internal and external drivers such as technological innovation, globalisation, and organizational culture underlie Unilever’s L&amp;D practices. By operationalising Kolb’s ELM, Unilever underpins the values of experiential, reflective, and continuous learning, enabling employees to acquire relevant knowledge, transform it into practice, and be able to effectively deal with increased professional complexity. Additionally, Unilever’s L&amp;D embraces inclusiveness ensuring that representatives of diverse sociocultural backgrounds have equal opportunities for favourable employer programs, which supports equity, cultural appropriateness, and cooperation throughout the company’s global employee segment</w:t>
      </w:r>
      <w:r w:rsidR="00E96C73" w:rsidRPr="000D4FC3">
        <w:rPr>
          <w:rFonts w:ascii="Times New Roman" w:hAnsi="Times New Roman" w:cs="Times New Roman"/>
        </w:rPr>
        <w:t xml:space="preserve"> (Garavan et al., 2021).</w:t>
      </w:r>
    </w:p>
    <w:p w14:paraId="574921F4" w14:textId="77777777" w:rsidR="00E96C73" w:rsidRPr="000D4FC3" w:rsidRDefault="00E96C73" w:rsidP="000D4FC3">
      <w:pPr>
        <w:spacing w:line="360" w:lineRule="auto"/>
        <w:jc w:val="both"/>
        <w:rPr>
          <w:rFonts w:ascii="Times New Roman" w:hAnsi="Times New Roman" w:cs="Times New Roman"/>
        </w:rPr>
      </w:pPr>
    </w:p>
    <w:p w14:paraId="7651AE75" w14:textId="77777777" w:rsidR="00E96C73" w:rsidRPr="000D4FC3" w:rsidRDefault="00E96C73" w:rsidP="000D4FC3">
      <w:pPr>
        <w:spacing w:line="360" w:lineRule="auto"/>
        <w:jc w:val="both"/>
        <w:rPr>
          <w:rFonts w:ascii="Times New Roman" w:hAnsi="Times New Roman" w:cs="Times New Roman"/>
        </w:rPr>
      </w:pPr>
    </w:p>
    <w:p w14:paraId="298C3A04" w14:textId="77777777" w:rsidR="00E96C73" w:rsidRPr="000D4FC3" w:rsidRDefault="00E96C73" w:rsidP="000D4FC3">
      <w:pPr>
        <w:pStyle w:val="Heading3"/>
      </w:pPr>
    </w:p>
    <w:p w14:paraId="59FA42BC" w14:textId="3AC6F836" w:rsidR="00E96C73" w:rsidRPr="000D4FC3" w:rsidRDefault="00E96C73" w:rsidP="000D4FC3">
      <w:pPr>
        <w:pStyle w:val="Heading3"/>
      </w:pPr>
      <w:bookmarkStart w:id="9" w:name="_Toc212926813"/>
      <w:r w:rsidRPr="000D4FC3">
        <w:t>REFRENCES:</w:t>
      </w:r>
      <w:bookmarkEnd w:id="9"/>
    </w:p>
    <w:p w14:paraId="1E7C522D" w14:textId="77777777" w:rsidR="00E96C73" w:rsidRPr="000D4FC3" w:rsidRDefault="00E96C73" w:rsidP="000D4FC3">
      <w:pPr>
        <w:spacing w:line="360" w:lineRule="auto"/>
        <w:jc w:val="both"/>
        <w:rPr>
          <w:rFonts w:ascii="Times New Roman" w:hAnsi="Times New Roman" w:cs="Times New Roman"/>
        </w:rPr>
      </w:pPr>
    </w:p>
    <w:p w14:paraId="2BC6A979" w14:textId="31446B2E" w:rsidR="00E96C73" w:rsidRPr="000D4FC3" w:rsidRDefault="00E96C73" w:rsidP="000D4FC3">
      <w:pPr>
        <w:pStyle w:val="ListParagraph"/>
        <w:numPr>
          <w:ilvl w:val="0"/>
          <w:numId w:val="1"/>
        </w:numPr>
        <w:spacing w:line="360" w:lineRule="auto"/>
        <w:jc w:val="both"/>
        <w:rPr>
          <w:rFonts w:ascii="Times New Roman" w:hAnsi="Times New Roman" w:cs="Times New Roman"/>
        </w:rPr>
      </w:pPr>
      <w:r w:rsidRPr="000D4FC3">
        <w:rPr>
          <w:rFonts w:ascii="Times New Roman" w:hAnsi="Times New Roman" w:cs="Times New Roman"/>
        </w:rPr>
        <w:t>Birdi, K., Clegg, C. &amp; Patterson, M. (2020) ‘Human Resource Management Journal, 30(2), pp. 246–261.</w:t>
      </w:r>
    </w:p>
    <w:p w14:paraId="2B80310C" w14:textId="20C8905F" w:rsidR="00E96C73" w:rsidRPr="000D4FC3" w:rsidRDefault="00E96C73" w:rsidP="000D4FC3">
      <w:pPr>
        <w:pStyle w:val="ListParagraph"/>
        <w:numPr>
          <w:ilvl w:val="0"/>
          <w:numId w:val="1"/>
        </w:numPr>
        <w:spacing w:line="360" w:lineRule="auto"/>
        <w:jc w:val="both"/>
        <w:rPr>
          <w:rFonts w:ascii="Times New Roman" w:hAnsi="Times New Roman" w:cs="Times New Roman"/>
        </w:rPr>
      </w:pPr>
      <w:r w:rsidRPr="000D4FC3">
        <w:rPr>
          <w:rFonts w:ascii="Times New Roman" w:hAnsi="Times New Roman" w:cs="Times New Roman"/>
        </w:rPr>
        <w:t>Bratton, J. &amp; Gold, J. (2017) Human Resource Management: Theory and Practice. 6th ed. London: Palgrave Macmillan.</w:t>
      </w:r>
    </w:p>
    <w:p w14:paraId="747CD89D" w14:textId="380EC537" w:rsidR="00E96C73" w:rsidRPr="000D4FC3" w:rsidRDefault="00E96C73" w:rsidP="000D4FC3">
      <w:pPr>
        <w:pStyle w:val="ListParagraph"/>
        <w:numPr>
          <w:ilvl w:val="0"/>
          <w:numId w:val="1"/>
        </w:numPr>
        <w:spacing w:line="360" w:lineRule="auto"/>
        <w:jc w:val="both"/>
        <w:rPr>
          <w:rFonts w:ascii="Times New Roman" w:hAnsi="Times New Roman" w:cs="Times New Roman"/>
        </w:rPr>
      </w:pPr>
      <w:r w:rsidRPr="000D4FC3">
        <w:rPr>
          <w:rFonts w:ascii="Times New Roman" w:hAnsi="Times New Roman" w:cs="Times New Roman"/>
        </w:rPr>
        <w:t>Cascio, W.F. &amp; Boudreau, J.W. (2016) The Search for Global Competence: From International HR to Talent Management. Journal of World Business, 51(1), pp. 103–114.</w:t>
      </w:r>
    </w:p>
    <w:p w14:paraId="2B89A86D" w14:textId="709A9F74" w:rsidR="00E96C73" w:rsidRPr="000D4FC3" w:rsidRDefault="00E96C73" w:rsidP="000D4FC3">
      <w:pPr>
        <w:pStyle w:val="ListParagraph"/>
        <w:numPr>
          <w:ilvl w:val="0"/>
          <w:numId w:val="1"/>
        </w:numPr>
        <w:spacing w:line="360" w:lineRule="auto"/>
        <w:jc w:val="both"/>
        <w:rPr>
          <w:rFonts w:ascii="Times New Roman" w:hAnsi="Times New Roman" w:cs="Times New Roman"/>
        </w:rPr>
      </w:pPr>
      <w:r w:rsidRPr="000D4FC3">
        <w:rPr>
          <w:rFonts w:ascii="Times New Roman" w:hAnsi="Times New Roman" w:cs="Times New Roman"/>
        </w:rPr>
        <w:t>Garavan, T., McCarthy, A. &amp; Carbery, R. (2021) Strategic Human Resource Development: Concepts, Practices and Challenges. 3rd ed. London: Routledge.</w:t>
      </w:r>
    </w:p>
    <w:p w14:paraId="722A9138" w14:textId="1D9BABD2" w:rsidR="00E96C73" w:rsidRPr="000D4FC3" w:rsidRDefault="00E96C73" w:rsidP="000D4FC3">
      <w:pPr>
        <w:pStyle w:val="ListParagraph"/>
        <w:numPr>
          <w:ilvl w:val="0"/>
          <w:numId w:val="1"/>
        </w:numPr>
        <w:spacing w:line="360" w:lineRule="auto"/>
        <w:jc w:val="both"/>
        <w:rPr>
          <w:rFonts w:ascii="Times New Roman" w:hAnsi="Times New Roman" w:cs="Times New Roman"/>
        </w:rPr>
      </w:pPr>
      <w:r w:rsidRPr="000D4FC3">
        <w:rPr>
          <w:rFonts w:ascii="Times New Roman" w:hAnsi="Times New Roman" w:cs="Times New Roman"/>
        </w:rPr>
        <w:t>Kolb, D.A. (1984) Experiential Learning: Experience as the Source of Learning and Development. Englewood Cliffs, NJ: Prentice Hall.</w:t>
      </w:r>
    </w:p>
    <w:p w14:paraId="5BA2D75A" w14:textId="1C148EC2" w:rsidR="00E96C73" w:rsidRPr="000D4FC3" w:rsidRDefault="00E96C73" w:rsidP="000D4FC3">
      <w:pPr>
        <w:pStyle w:val="ListParagraph"/>
        <w:numPr>
          <w:ilvl w:val="0"/>
          <w:numId w:val="1"/>
        </w:numPr>
        <w:spacing w:line="360" w:lineRule="auto"/>
        <w:jc w:val="both"/>
        <w:rPr>
          <w:rFonts w:ascii="Times New Roman" w:hAnsi="Times New Roman" w:cs="Times New Roman"/>
        </w:rPr>
      </w:pPr>
      <w:r w:rsidRPr="000D4FC3">
        <w:rPr>
          <w:rFonts w:ascii="Times New Roman" w:hAnsi="Times New Roman" w:cs="Times New Roman"/>
        </w:rPr>
        <w:t>Noe, R.A., Hollenbeck, J.R., Gerhart, B. &amp; Wright, P.M. (2021) Fundamentals of Human Resource Management. 9th ed. New York: McGraw-Hill Education.</w:t>
      </w:r>
    </w:p>
    <w:p w14:paraId="70574E96" w14:textId="4DEA1C04" w:rsidR="00E96C73" w:rsidRPr="000D4FC3" w:rsidRDefault="00E96C73" w:rsidP="000D4FC3">
      <w:pPr>
        <w:pStyle w:val="ListParagraph"/>
        <w:numPr>
          <w:ilvl w:val="0"/>
          <w:numId w:val="1"/>
        </w:numPr>
        <w:spacing w:line="360" w:lineRule="auto"/>
        <w:jc w:val="both"/>
        <w:rPr>
          <w:rFonts w:ascii="Times New Roman" w:hAnsi="Times New Roman" w:cs="Times New Roman"/>
        </w:rPr>
      </w:pPr>
      <w:r w:rsidRPr="000D4FC3">
        <w:rPr>
          <w:rFonts w:ascii="Times New Roman" w:hAnsi="Times New Roman" w:cs="Times New Roman"/>
        </w:rPr>
        <w:t>OECD (2022) Global Employment Outlook: Skills, Labour and Regulation. Paris: OECD Publishing.</w:t>
      </w:r>
    </w:p>
    <w:p w14:paraId="14E1BEA8" w14:textId="219812E9" w:rsidR="00E96C73" w:rsidRPr="000D4FC3" w:rsidRDefault="00E96C73" w:rsidP="000D4FC3">
      <w:pPr>
        <w:pStyle w:val="ListParagraph"/>
        <w:numPr>
          <w:ilvl w:val="0"/>
          <w:numId w:val="1"/>
        </w:numPr>
        <w:spacing w:line="360" w:lineRule="auto"/>
        <w:jc w:val="both"/>
        <w:rPr>
          <w:rFonts w:ascii="Times New Roman" w:hAnsi="Times New Roman" w:cs="Times New Roman"/>
        </w:rPr>
      </w:pPr>
      <w:r w:rsidRPr="000D4FC3">
        <w:rPr>
          <w:rFonts w:ascii="Times New Roman" w:hAnsi="Times New Roman" w:cs="Times New Roman"/>
        </w:rPr>
        <w:t xml:space="preserve">Unilever (2023) Learning and Development at Unilever. </w:t>
      </w:r>
    </w:p>
    <w:p w14:paraId="66620983" w14:textId="6E88EFB5" w:rsidR="00E96C73" w:rsidRPr="000D4FC3" w:rsidRDefault="00E96C73" w:rsidP="000D4FC3">
      <w:pPr>
        <w:pStyle w:val="ListParagraph"/>
        <w:numPr>
          <w:ilvl w:val="0"/>
          <w:numId w:val="1"/>
        </w:numPr>
        <w:spacing w:line="360" w:lineRule="auto"/>
        <w:jc w:val="both"/>
        <w:rPr>
          <w:rFonts w:ascii="Times New Roman" w:hAnsi="Times New Roman" w:cs="Times New Roman"/>
        </w:rPr>
      </w:pPr>
      <w:r w:rsidRPr="000D4FC3">
        <w:rPr>
          <w:rFonts w:ascii="Times New Roman" w:hAnsi="Times New Roman" w:cs="Times New Roman"/>
        </w:rPr>
        <w:t>Unilever (2023b) Equity, Diversity and Inclusion at Unilever.</w:t>
      </w:r>
    </w:p>
    <w:p w14:paraId="4384E53A" w14:textId="610DE4DC" w:rsidR="00E96C73" w:rsidRPr="000D4FC3" w:rsidRDefault="00E96C73" w:rsidP="000D4FC3">
      <w:pPr>
        <w:pStyle w:val="ListParagraph"/>
        <w:numPr>
          <w:ilvl w:val="0"/>
          <w:numId w:val="1"/>
        </w:numPr>
        <w:spacing w:line="360" w:lineRule="auto"/>
        <w:jc w:val="both"/>
        <w:rPr>
          <w:rFonts w:ascii="Times New Roman" w:hAnsi="Times New Roman" w:cs="Times New Roman"/>
        </w:rPr>
      </w:pPr>
      <w:r w:rsidRPr="000D4FC3">
        <w:rPr>
          <w:rFonts w:ascii="Times New Roman" w:hAnsi="Times New Roman" w:cs="Times New Roman"/>
        </w:rPr>
        <w:t>Werner, J.M. &amp; DeSimone, R.L. (2012) Human Resource Development. 6th ed. Mason, OH: South-Western Cengage Learning.</w:t>
      </w:r>
    </w:p>
    <w:p w14:paraId="0AEFCFBC" w14:textId="33036D6C" w:rsidR="00E96C73" w:rsidRPr="000D4FC3" w:rsidRDefault="00E96C73" w:rsidP="000D4FC3">
      <w:pPr>
        <w:pStyle w:val="ListParagraph"/>
        <w:numPr>
          <w:ilvl w:val="0"/>
          <w:numId w:val="1"/>
        </w:numPr>
        <w:spacing w:line="360" w:lineRule="auto"/>
        <w:jc w:val="both"/>
        <w:rPr>
          <w:rFonts w:ascii="Times New Roman" w:hAnsi="Times New Roman" w:cs="Times New Roman"/>
        </w:rPr>
      </w:pPr>
      <w:r w:rsidRPr="000D4FC3">
        <w:rPr>
          <w:rFonts w:ascii="Times New Roman" w:hAnsi="Times New Roman" w:cs="Times New Roman"/>
        </w:rPr>
        <w:t>Yeo, R.K. (2008) ‘How does learning (not) take place in problem-based learning activities in workplace contexts?’, Human Resource Development International, 11(3), pp. 317–330.</w:t>
      </w:r>
    </w:p>
    <w:sectPr w:rsidR="00E96C73" w:rsidRPr="000D4FC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86542F" w14:textId="77777777" w:rsidR="009E7AB1" w:rsidRDefault="009E7AB1" w:rsidP="00EB2601">
      <w:pPr>
        <w:spacing w:after="0" w:line="240" w:lineRule="auto"/>
      </w:pPr>
      <w:r>
        <w:separator/>
      </w:r>
    </w:p>
  </w:endnote>
  <w:endnote w:type="continuationSeparator" w:id="0">
    <w:p w14:paraId="417471FC" w14:textId="77777777" w:rsidR="009E7AB1" w:rsidRDefault="009E7AB1" w:rsidP="00EB26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5389820"/>
      <w:docPartObj>
        <w:docPartGallery w:val="Page Numbers (Bottom of Page)"/>
        <w:docPartUnique/>
      </w:docPartObj>
    </w:sdtPr>
    <w:sdtContent>
      <w:p w14:paraId="06903705" w14:textId="19A904FA" w:rsidR="00EB2601" w:rsidRDefault="00EB2601">
        <w:pPr>
          <w:pStyle w:val="Footer"/>
          <w:jc w:val="right"/>
        </w:pPr>
        <w:r>
          <w:fldChar w:fldCharType="begin"/>
        </w:r>
        <w:r>
          <w:instrText>PAGE   \* MERGEFORMAT</w:instrText>
        </w:r>
        <w:r>
          <w:fldChar w:fldCharType="separate"/>
        </w:r>
        <w:r>
          <w:t>2</w:t>
        </w:r>
        <w:r>
          <w:fldChar w:fldCharType="end"/>
        </w:r>
      </w:p>
    </w:sdtContent>
  </w:sdt>
  <w:p w14:paraId="40D0F1CB" w14:textId="77777777" w:rsidR="00EB2601" w:rsidRDefault="00EB26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C7B335" w14:textId="77777777" w:rsidR="009E7AB1" w:rsidRDefault="009E7AB1" w:rsidP="00EB2601">
      <w:pPr>
        <w:spacing w:after="0" w:line="240" w:lineRule="auto"/>
      </w:pPr>
      <w:r>
        <w:separator/>
      </w:r>
    </w:p>
  </w:footnote>
  <w:footnote w:type="continuationSeparator" w:id="0">
    <w:p w14:paraId="700F5E4A" w14:textId="77777777" w:rsidR="009E7AB1" w:rsidRDefault="009E7AB1" w:rsidP="00EB26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07A3A"/>
    <w:multiLevelType w:val="multilevel"/>
    <w:tmpl w:val="8BE68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1647B0"/>
    <w:multiLevelType w:val="multilevel"/>
    <w:tmpl w:val="BE0C4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B67B94"/>
    <w:multiLevelType w:val="hybridMultilevel"/>
    <w:tmpl w:val="E7403E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1046219">
    <w:abstractNumId w:val="2"/>
  </w:num>
  <w:num w:numId="2" w16cid:durableId="1541673596">
    <w:abstractNumId w:val="1"/>
  </w:num>
  <w:num w:numId="3" w16cid:durableId="5903559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601"/>
    <w:rsid w:val="000D4FC3"/>
    <w:rsid w:val="002403A4"/>
    <w:rsid w:val="00414DBC"/>
    <w:rsid w:val="00456834"/>
    <w:rsid w:val="008A54E8"/>
    <w:rsid w:val="00951857"/>
    <w:rsid w:val="009855E2"/>
    <w:rsid w:val="009E7AB1"/>
    <w:rsid w:val="009F104F"/>
    <w:rsid w:val="00A929BF"/>
    <w:rsid w:val="00CC47DF"/>
    <w:rsid w:val="00E96C73"/>
    <w:rsid w:val="00EB26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6F6E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EB26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601"/>
  </w:style>
  <w:style w:type="paragraph" w:styleId="Footer">
    <w:name w:val="footer"/>
    <w:basedOn w:val="Normal"/>
    <w:link w:val="FooterChar"/>
    <w:uiPriority w:val="99"/>
    <w:unhideWhenUsed/>
    <w:rsid w:val="00EB26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601"/>
  </w:style>
  <w:style w:type="character" w:styleId="Hyperlink">
    <w:name w:val="Hyperlink"/>
    <w:basedOn w:val="DefaultParagraphFont"/>
    <w:uiPriority w:val="99"/>
    <w:unhideWhenUsed/>
    <w:rsid w:val="000D4FC3"/>
    <w:rPr>
      <w:color w:val="467886" w:themeColor="hyperlink"/>
      <w:u w:val="single"/>
    </w:rPr>
  </w:style>
  <w:style w:type="character" w:styleId="UnresolvedMention">
    <w:name w:val="Unresolved Mention"/>
    <w:basedOn w:val="DefaultParagraphFont"/>
    <w:uiPriority w:val="99"/>
    <w:semiHidden/>
    <w:unhideWhenUsed/>
    <w:rsid w:val="000D4FC3"/>
    <w:rPr>
      <w:color w:val="605E5C"/>
      <w:shd w:val="clear" w:color="auto" w:fill="E1DFDD"/>
    </w:rPr>
  </w:style>
  <w:style w:type="character" w:styleId="Strong">
    <w:name w:val="Strong"/>
    <w:basedOn w:val="DefaultParagraphFont"/>
    <w:uiPriority w:val="22"/>
    <w:qFormat/>
    <w:rsid w:val="000D4FC3"/>
    <w:rPr>
      <w:b/>
      <w:bCs/>
    </w:rPr>
  </w:style>
  <w:style w:type="paragraph" w:styleId="TOCHeading">
    <w:name w:val="TOC Heading"/>
    <w:basedOn w:val="Heading1"/>
    <w:next w:val="Normal"/>
    <w:uiPriority w:val="39"/>
    <w:unhideWhenUsed/>
    <w:qFormat/>
    <w:rsid w:val="000D4FC3"/>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D4FC3"/>
    <w:pPr>
      <w:spacing w:after="100"/>
    </w:pPr>
  </w:style>
  <w:style w:type="paragraph" w:styleId="TOC2">
    <w:name w:val="toc 2"/>
    <w:basedOn w:val="Normal"/>
    <w:next w:val="Normal"/>
    <w:autoRedefine/>
    <w:uiPriority w:val="39"/>
    <w:unhideWhenUsed/>
    <w:rsid w:val="000D4FC3"/>
    <w:pPr>
      <w:spacing w:after="100"/>
      <w:ind w:left="240"/>
    </w:pPr>
  </w:style>
  <w:style w:type="paragraph" w:styleId="TOC3">
    <w:name w:val="toc 3"/>
    <w:basedOn w:val="Normal"/>
    <w:next w:val="Normal"/>
    <w:autoRedefine/>
    <w:uiPriority w:val="39"/>
    <w:unhideWhenUsed/>
    <w:rsid w:val="000D4FC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courses.lumenlearning.com/suny-principlesmanagement/chapter/common-frameworks-for-evaluating-the-business-environment/"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840264-766D-46AE-8745-753B3FF636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2886</Words>
  <Characters>16456</Characters>
  <Application>Microsoft Office Word</Application>
  <DocSecurity>0</DocSecurity>
  <Lines>137</Lines>
  <Paragraphs>38</Paragraphs>
  <ScaleCrop>false</ScaleCrop>
  <Company/>
  <LinksUpToDate>false</LinksUpToDate>
  <CharactersWithSpaces>19304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2025-11-01T22:01:00Z</dcterms:created>
  <dcterms:modified xsi:type="dcterms:W3CDTF">2025-11-01T22:02:00Z</dcterms:modified>
</cp:coreProperties>
</file>