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9081B" w14:textId="77777777" w:rsidR="000333A7" w:rsidRDefault="000333A7" w:rsidP="00361317">
      <w:pPr>
        <w:ind w:firstLine="720"/>
        <w:jc w:val="center"/>
        <w:rPr>
          <w:rFonts w:ascii="Arial Black" w:hAnsi="Arial Black" w:cs="Times New Roman"/>
          <w:b/>
          <w:bCs/>
          <w:sz w:val="36"/>
          <w:szCs w:val="36"/>
        </w:rPr>
      </w:pPr>
      <w:r w:rsidRPr="001A55BE">
        <w:rPr>
          <w:rFonts w:ascii="Arial Black" w:hAnsi="Arial Black" w:cs="Times New Roman"/>
          <w:b/>
          <w:bCs/>
          <w:sz w:val="36"/>
          <w:szCs w:val="36"/>
        </w:rPr>
        <w:t>Student Name:  Aktar Ali (2007457)</w:t>
      </w:r>
    </w:p>
    <w:p w14:paraId="47D8D24B" w14:textId="77777777" w:rsidR="000333A7" w:rsidRDefault="000333A7" w:rsidP="00361317">
      <w:pPr>
        <w:jc w:val="center"/>
        <w:rPr>
          <w:rFonts w:ascii="Arial Black" w:hAnsi="Arial Black" w:cs="Times New Roman"/>
          <w:b/>
          <w:bCs/>
          <w:sz w:val="36"/>
          <w:szCs w:val="36"/>
        </w:rPr>
      </w:pPr>
    </w:p>
    <w:p w14:paraId="640862F5" w14:textId="77777777" w:rsidR="000333A7" w:rsidRPr="001A55BE" w:rsidRDefault="000333A7" w:rsidP="00361317">
      <w:pPr>
        <w:jc w:val="center"/>
        <w:rPr>
          <w:rFonts w:ascii="Arial Black" w:hAnsi="Arial Black" w:cs="Times New Roman"/>
          <w:b/>
          <w:bCs/>
          <w:sz w:val="36"/>
          <w:szCs w:val="36"/>
        </w:rPr>
      </w:pPr>
    </w:p>
    <w:p w14:paraId="30C9376F" w14:textId="02694245" w:rsidR="000333A7" w:rsidRDefault="000333A7" w:rsidP="00361317">
      <w:pPr>
        <w:jc w:val="center"/>
        <w:rPr>
          <w:rFonts w:ascii="Arial Black" w:hAnsi="Arial Black" w:cs="Times New Roman"/>
          <w:b/>
          <w:bCs/>
          <w:sz w:val="36"/>
          <w:szCs w:val="36"/>
        </w:rPr>
      </w:pPr>
      <w:r w:rsidRPr="001A55BE">
        <w:rPr>
          <w:rFonts w:ascii="Arial Black" w:hAnsi="Arial Black" w:cs="Times New Roman"/>
          <w:b/>
          <w:bCs/>
          <w:sz w:val="36"/>
          <w:szCs w:val="36"/>
        </w:rPr>
        <w:t>Module Code:  BMHP</w:t>
      </w:r>
      <w:r>
        <w:rPr>
          <w:rFonts w:ascii="Arial Black" w:hAnsi="Arial Black" w:cs="Times New Roman"/>
          <w:b/>
          <w:bCs/>
          <w:sz w:val="36"/>
          <w:szCs w:val="36"/>
        </w:rPr>
        <w:t>600</w:t>
      </w:r>
      <w:r w:rsidR="00835861">
        <w:rPr>
          <w:rFonts w:ascii="Arial Black" w:hAnsi="Arial Black" w:cs="Times New Roman"/>
          <w:b/>
          <w:bCs/>
          <w:sz w:val="36"/>
          <w:szCs w:val="36"/>
        </w:rPr>
        <w:t>6</w:t>
      </w:r>
    </w:p>
    <w:p w14:paraId="32605C6A" w14:textId="4DADD3FC" w:rsidR="000333A7" w:rsidRDefault="000333A7" w:rsidP="00361317">
      <w:pPr>
        <w:jc w:val="center"/>
        <w:rPr>
          <w:rFonts w:ascii="Arial Black" w:hAnsi="Arial Black" w:cs="Times New Roman"/>
          <w:b/>
          <w:bCs/>
          <w:sz w:val="36"/>
          <w:szCs w:val="36"/>
        </w:rPr>
      </w:pPr>
      <w:r w:rsidRPr="001A55BE">
        <w:rPr>
          <w:rFonts w:ascii="Arial Black" w:hAnsi="Arial Black" w:cs="Times New Roman"/>
          <w:b/>
          <w:bCs/>
          <w:sz w:val="36"/>
          <w:szCs w:val="36"/>
        </w:rPr>
        <w:br/>
        <w:t> </w:t>
      </w:r>
      <w:r w:rsidRPr="001A55BE">
        <w:rPr>
          <w:rFonts w:ascii="Arial Black" w:hAnsi="Arial Black" w:cs="Times New Roman"/>
          <w:b/>
          <w:bCs/>
          <w:sz w:val="36"/>
          <w:szCs w:val="36"/>
        </w:rPr>
        <w:br/>
        <w:t xml:space="preserve">Module Title:  </w:t>
      </w:r>
      <w:r w:rsidR="00835861">
        <w:rPr>
          <w:rFonts w:ascii="Arial Black" w:hAnsi="Arial Black" w:cs="Times New Roman"/>
          <w:b/>
          <w:bCs/>
          <w:sz w:val="36"/>
          <w:szCs w:val="36"/>
        </w:rPr>
        <w:t>Mental Disorders and Psychopathology</w:t>
      </w:r>
    </w:p>
    <w:p w14:paraId="35C6261A" w14:textId="6B91D2B1" w:rsidR="000333A7" w:rsidRDefault="000333A7" w:rsidP="00361317">
      <w:pPr>
        <w:jc w:val="center"/>
        <w:rPr>
          <w:rFonts w:ascii="Arial Black" w:hAnsi="Arial Black" w:cs="Times New Roman"/>
          <w:b/>
          <w:bCs/>
          <w:sz w:val="36"/>
          <w:szCs w:val="36"/>
        </w:rPr>
      </w:pPr>
      <w:r w:rsidRPr="001A55BE">
        <w:rPr>
          <w:rFonts w:ascii="Arial Black" w:hAnsi="Arial Black" w:cs="Times New Roman"/>
          <w:b/>
          <w:bCs/>
          <w:sz w:val="36"/>
          <w:szCs w:val="36"/>
        </w:rPr>
        <w:br/>
        <w:t> </w:t>
      </w:r>
      <w:r w:rsidRPr="001A55BE">
        <w:rPr>
          <w:rFonts w:ascii="Arial Black" w:hAnsi="Arial Black" w:cs="Times New Roman"/>
          <w:b/>
          <w:bCs/>
          <w:sz w:val="36"/>
          <w:szCs w:val="36"/>
        </w:rPr>
        <w:br/>
        <w:t xml:space="preserve">Lecturer’s Name:  </w:t>
      </w:r>
      <w:r w:rsidR="00835861">
        <w:rPr>
          <w:rFonts w:ascii="Arial Black" w:hAnsi="Arial Black" w:cs="Times New Roman"/>
          <w:b/>
          <w:bCs/>
          <w:sz w:val="36"/>
          <w:szCs w:val="36"/>
        </w:rPr>
        <w:t>Chloe Harries</w:t>
      </w:r>
    </w:p>
    <w:p w14:paraId="0DB073E3" w14:textId="0C1B04E3" w:rsidR="000333A7" w:rsidRDefault="000333A7" w:rsidP="00361317">
      <w:pPr>
        <w:jc w:val="center"/>
        <w:rPr>
          <w:rFonts w:ascii="Arial Black" w:hAnsi="Arial Black" w:cs="Times New Roman"/>
          <w:b/>
          <w:bCs/>
          <w:sz w:val="36"/>
          <w:szCs w:val="36"/>
        </w:rPr>
      </w:pPr>
      <w:r w:rsidRPr="001A55BE">
        <w:rPr>
          <w:rFonts w:ascii="Arial Black" w:hAnsi="Arial Black" w:cs="Times New Roman"/>
          <w:b/>
          <w:bCs/>
          <w:sz w:val="36"/>
          <w:szCs w:val="36"/>
        </w:rPr>
        <w:br/>
        <w:t> </w:t>
      </w:r>
      <w:r w:rsidRPr="001A55BE">
        <w:rPr>
          <w:rFonts w:ascii="Arial Black" w:hAnsi="Arial Black" w:cs="Times New Roman"/>
          <w:b/>
          <w:bCs/>
          <w:sz w:val="36"/>
          <w:szCs w:val="36"/>
        </w:rPr>
        <w:br/>
        <w:t xml:space="preserve">Assignment Title: </w:t>
      </w:r>
      <w:r>
        <w:rPr>
          <w:rFonts w:ascii="Arial Black" w:hAnsi="Arial Black" w:cs="Times New Roman"/>
          <w:b/>
          <w:bCs/>
          <w:sz w:val="36"/>
          <w:szCs w:val="36"/>
        </w:rPr>
        <w:t xml:space="preserve">Component 2 – Written </w:t>
      </w:r>
      <w:r w:rsidR="00835861">
        <w:rPr>
          <w:rFonts w:ascii="Arial Black" w:hAnsi="Arial Black" w:cs="Times New Roman"/>
          <w:b/>
          <w:bCs/>
          <w:sz w:val="36"/>
          <w:szCs w:val="36"/>
        </w:rPr>
        <w:t>Report</w:t>
      </w:r>
    </w:p>
    <w:p w14:paraId="455A8708" w14:textId="77777777" w:rsidR="000333A7" w:rsidRPr="001A55BE" w:rsidRDefault="000333A7" w:rsidP="00361317">
      <w:pPr>
        <w:jc w:val="center"/>
        <w:rPr>
          <w:rFonts w:ascii="Arial Black" w:hAnsi="Arial Black" w:cs="Times New Roman"/>
          <w:b/>
          <w:bCs/>
          <w:sz w:val="36"/>
          <w:szCs w:val="36"/>
        </w:rPr>
      </w:pPr>
    </w:p>
    <w:p w14:paraId="3CFB2742" w14:textId="77777777" w:rsidR="000333A7" w:rsidRPr="001A55BE" w:rsidRDefault="000333A7" w:rsidP="00361317">
      <w:pPr>
        <w:jc w:val="center"/>
        <w:rPr>
          <w:rFonts w:ascii="Arial Black" w:hAnsi="Arial Black" w:cs="Times New Roman"/>
          <w:b/>
          <w:bCs/>
          <w:sz w:val="36"/>
          <w:szCs w:val="36"/>
        </w:rPr>
      </w:pPr>
    </w:p>
    <w:p w14:paraId="0A1DD14B" w14:textId="77777777" w:rsidR="000333A7" w:rsidRPr="001A55BE" w:rsidRDefault="000333A7" w:rsidP="00361317">
      <w:pPr>
        <w:jc w:val="center"/>
        <w:rPr>
          <w:rFonts w:ascii="Arial Black" w:hAnsi="Arial Black" w:cs="Times New Roman"/>
          <w:sz w:val="36"/>
          <w:szCs w:val="36"/>
        </w:rPr>
      </w:pPr>
      <w:r w:rsidRPr="001A55BE">
        <w:rPr>
          <w:rFonts w:ascii="Arial Black" w:hAnsi="Arial Black" w:cs="Times New Roman"/>
          <w:b/>
          <w:bCs/>
          <w:sz w:val="36"/>
          <w:szCs w:val="36"/>
        </w:rPr>
        <w:t xml:space="preserve">Date: </w:t>
      </w:r>
      <w:r>
        <w:rPr>
          <w:rFonts w:ascii="Arial Black" w:hAnsi="Arial Black" w:cs="Times New Roman"/>
          <w:b/>
          <w:bCs/>
          <w:sz w:val="36"/>
          <w:szCs w:val="36"/>
        </w:rPr>
        <w:t>November 2022</w:t>
      </w:r>
    </w:p>
    <w:p w14:paraId="00000010" w14:textId="77777777" w:rsidR="0050289E" w:rsidRDefault="0050289E">
      <w:pPr>
        <w:spacing w:line="360" w:lineRule="auto"/>
        <w:jc w:val="center"/>
        <w:rPr>
          <w:rFonts w:ascii="Arial" w:eastAsia="Arial" w:hAnsi="Arial" w:cs="Arial"/>
        </w:rPr>
      </w:pPr>
    </w:p>
    <w:p w14:paraId="4A35A7C1" w14:textId="77777777" w:rsidR="000333A7" w:rsidRDefault="000333A7" w:rsidP="000333A7">
      <w:pPr>
        <w:spacing w:line="360" w:lineRule="auto"/>
        <w:rPr>
          <w:rFonts w:ascii="Arial" w:eastAsia="Arial" w:hAnsi="Arial" w:cs="Arial"/>
        </w:rPr>
      </w:pPr>
      <w:r>
        <w:rPr>
          <w:rFonts w:ascii="Arial" w:eastAsia="Arial" w:hAnsi="Arial" w:cs="Arial"/>
        </w:rPr>
        <w:br w:type="page"/>
      </w:r>
    </w:p>
    <w:sdt>
      <w:sdtPr>
        <w:id w:val="-1951465757"/>
        <w:docPartObj>
          <w:docPartGallery w:val="Table of Contents"/>
          <w:docPartUnique/>
        </w:docPartObj>
      </w:sdtPr>
      <w:sdtEndPr>
        <w:rPr>
          <w:rFonts w:ascii="Calibri" w:eastAsia="Calibri" w:hAnsi="Calibri" w:cs="Calibri"/>
          <w:b/>
          <w:bCs/>
          <w:noProof/>
          <w:color w:val="auto"/>
          <w:sz w:val="22"/>
          <w:szCs w:val="22"/>
          <w:lang w:val="en-GB" w:eastAsia="en-GB"/>
        </w:rPr>
      </w:sdtEndPr>
      <w:sdtContent>
        <w:p w14:paraId="6BCDBB87" w14:textId="2E1D049C" w:rsidR="00841EE2" w:rsidRDefault="00841EE2">
          <w:pPr>
            <w:pStyle w:val="TOCHeading"/>
          </w:pPr>
          <w:r>
            <w:t>Contents</w:t>
          </w:r>
        </w:p>
        <w:p w14:paraId="224135CC" w14:textId="77777777" w:rsidR="00841EE2" w:rsidRPr="00841EE2" w:rsidRDefault="00841EE2" w:rsidP="00841EE2">
          <w:pPr>
            <w:rPr>
              <w:lang w:val="en-US" w:eastAsia="en-US"/>
            </w:rPr>
          </w:pPr>
        </w:p>
        <w:p w14:paraId="61980A98" w14:textId="7E1C3EEA" w:rsidR="00841EE2" w:rsidRDefault="00841EE2">
          <w:pPr>
            <w:pStyle w:val="TOC1"/>
            <w:tabs>
              <w:tab w:val="right" w:leader="dot" w:pos="9350"/>
            </w:tabs>
            <w:rPr>
              <w:noProof/>
            </w:rPr>
          </w:pPr>
          <w:r>
            <w:fldChar w:fldCharType="begin"/>
          </w:r>
          <w:r>
            <w:instrText xml:space="preserve"> TOC \o "1-3" \h \z \u </w:instrText>
          </w:r>
          <w:r>
            <w:fldChar w:fldCharType="separate"/>
          </w:r>
          <w:hyperlink w:anchor="_Toc120880897" w:history="1">
            <w:r w:rsidRPr="005B758E">
              <w:rPr>
                <w:rStyle w:val="Hyperlink"/>
                <w:noProof/>
              </w:rPr>
              <w:t>Introduction</w:t>
            </w:r>
            <w:r>
              <w:rPr>
                <w:noProof/>
                <w:webHidden/>
              </w:rPr>
              <w:tab/>
            </w:r>
            <w:r>
              <w:rPr>
                <w:noProof/>
                <w:webHidden/>
              </w:rPr>
              <w:fldChar w:fldCharType="begin"/>
            </w:r>
            <w:r>
              <w:rPr>
                <w:noProof/>
                <w:webHidden/>
              </w:rPr>
              <w:instrText xml:space="preserve"> PAGEREF _Toc120880897 \h </w:instrText>
            </w:r>
            <w:r>
              <w:rPr>
                <w:noProof/>
                <w:webHidden/>
              </w:rPr>
            </w:r>
            <w:r>
              <w:rPr>
                <w:noProof/>
                <w:webHidden/>
              </w:rPr>
              <w:fldChar w:fldCharType="separate"/>
            </w:r>
            <w:r>
              <w:rPr>
                <w:noProof/>
                <w:webHidden/>
              </w:rPr>
              <w:t>2</w:t>
            </w:r>
            <w:r>
              <w:rPr>
                <w:noProof/>
                <w:webHidden/>
              </w:rPr>
              <w:fldChar w:fldCharType="end"/>
            </w:r>
          </w:hyperlink>
        </w:p>
        <w:p w14:paraId="20DB6321" w14:textId="355ECC46" w:rsidR="00841EE2" w:rsidRDefault="00841EE2">
          <w:pPr>
            <w:pStyle w:val="TOC1"/>
            <w:tabs>
              <w:tab w:val="right" w:leader="dot" w:pos="9350"/>
            </w:tabs>
            <w:rPr>
              <w:noProof/>
            </w:rPr>
          </w:pPr>
          <w:hyperlink w:anchor="_Toc120880898" w:history="1">
            <w:r w:rsidRPr="005B758E">
              <w:rPr>
                <w:rStyle w:val="Hyperlink"/>
                <w:noProof/>
              </w:rPr>
              <w:t>Classification</w:t>
            </w:r>
            <w:r>
              <w:rPr>
                <w:noProof/>
                <w:webHidden/>
              </w:rPr>
              <w:tab/>
            </w:r>
            <w:r>
              <w:rPr>
                <w:noProof/>
                <w:webHidden/>
              </w:rPr>
              <w:fldChar w:fldCharType="begin"/>
            </w:r>
            <w:r>
              <w:rPr>
                <w:noProof/>
                <w:webHidden/>
              </w:rPr>
              <w:instrText xml:space="preserve"> PAGEREF _Toc120880898 \h </w:instrText>
            </w:r>
            <w:r>
              <w:rPr>
                <w:noProof/>
                <w:webHidden/>
              </w:rPr>
            </w:r>
            <w:r>
              <w:rPr>
                <w:noProof/>
                <w:webHidden/>
              </w:rPr>
              <w:fldChar w:fldCharType="separate"/>
            </w:r>
            <w:r>
              <w:rPr>
                <w:noProof/>
                <w:webHidden/>
              </w:rPr>
              <w:t>3</w:t>
            </w:r>
            <w:r>
              <w:rPr>
                <w:noProof/>
                <w:webHidden/>
              </w:rPr>
              <w:fldChar w:fldCharType="end"/>
            </w:r>
          </w:hyperlink>
        </w:p>
        <w:p w14:paraId="1B76B0C6" w14:textId="1AB942A2" w:rsidR="00841EE2" w:rsidRDefault="00841EE2">
          <w:pPr>
            <w:pStyle w:val="TOC1"/>
            <w:tabs>
              <w:tab w:val="right" w:leader="dot" w:pos="9350"/>
            </w:tabs>
            <w:rPr>
              <w:noProof/>
            </w:rPr>
          </w:pPr>
          <w:hyperlink w:anchor="_Toc120880899" w:history="1">
            <w:r w:rsidRPr="005B758E">
              <w:rPr>
                <w:rStyle w:val="Hyperlink"/>
                <w:noProof/>
              </w:rPr>
              <w:t>Diagnosis</w:t>
            </w:r>
            <w:r>
              <w:rPr>
                <w:noProof/>
                <w:webHidden/>
              </w:rPr>
              <w:tab/>
            </w:r>
            <w:r>
              <w:rPr>
                <w:noProof/>
                <w:webHidden/>
              </w:rPr>
              <w:fldChar w:fldCharType="begin"/>
            </w:r>
            <w:r>
              <w:rPr>
                <w:noProof/>
                <w:webHidden/>
              </w:rPr>
              <w:instrText xml:space="preserve"> PAGEREF _Toc120880899 \h </w:instrText>
            </w:r>
            <w:r>
              <w:rPr>
                <w:noProof/>
                <w:webHidden/>
              </w:rPr>
            </w:r>
            <w:r>
              <w:rPr>
                <w:noProof/>
                <w:webHidden/>
              </w:rPr>
              <w:fldChar w:fldCharType="separate"/>
            </w:r>
            <w:r>
              <w:rPr>
                <w:noProof/>
                <w:webHidden/>
              </w:rPr>
              <w:t>3</w:t>
            </w:r>
            <w:r>
              <w:rPr>
                <w:noProof/>
                <w:webHidden/>
              </w:rPr>
              <w:fldChar w:fldCharType="end"/>
            </w:r>
          </w:hyperlink>
        </w:p>
        <w:p w14:paraId="33684FDB" w14:textId="31A225A5" w:rsidR="00841EE2" w:rsidRDefault="00841EE2">
          <w:pPr>
            <w:pStyle w:val="TOC1"/>
            <w:tabs>
              <w:tab w:val="right" w:leader="dot" w:pos="9350"/>
            </w:tabs>
            <w:rPr>
              <w:noProof/>
            </w:rPr>
          </w:pPr>
          <w:hyperlink w:anchor="_Toc120880900" w:history="1">
            <w:r w:rsidRPr="005B758E">
              <w:rPr>
                <w:rStyle w:val="Hyperlink"/>
                <w:noProof/>
              </w:rPr>
              <w:t>Treatment and Measurements of Rehabilitation</w:t>
            </w:r>
            <w:r>
              <w:rPr>
                <w:noProof/>
                <w:webHidden/>
              </w:rPr>
              <w:tab/>
            </w:r>
            <w:r>
              <w:rPr>
                <w:noProof/>
                <w:webHidden/>
              </w:rPr>
              <w:fldChar w:fldCharType="begin"/>
            </w:r>
            <w:r>
              <w:rPr>
                <w:noProof/>
                <w:webHidden/>
              </w:rPr>
              <w:instrText xml:space="preserve"> PAGEREF _Toc120880900 \h </w:instrText>
            </w:r>
            <w:r>
              <w:rPr>
                <w:noProof/>
                <w:webHidden/>
              </w:rPr>
            </w:r>
            <w:r>
              <w:rPr>
                <w:noProof/>
                <w:webHidden/>
              </w:rPr>
              <w:fldChar w:fldCharType="separate"/>
            </w:r>
            <w:r>
              <w:rPr>
                <w:noProof/>
                <w:webHidden/>
              </w:rPr>
              <w:t>4</w:t>
            </w:r>
            <w:r>
              <w:rPr>
                <w:noProof/>
                <w:webHidden/>
              </w:rPr>
              <w:fldChar w:fldCharType="end"/>
            </w:r>
          </w:hyperlink>
        </w:p>
        <w:p w14:paraId="43CC59AD" w14:textId="3B1134CD" w:rsidR="00841EE2" w:rsidRDefault="00841EE2">
          <w:pPr>
            <w:pStyle w:val="TOC2"/>
            <w:tabs>
              <w:tab w:val="right" w:leader="dot" w:pos="9350"/>
            </w:tabs>
            <w:rPr>
              <w:noProof/>
            </w:rPr>
          </w:pPr>
          <w:hyperlink w:anchor="_Toc120880901" w:history="1">
            <w:r w:rsidRPr="005B758E">
              <w:rPr>
                <w:rStyle w:val="Hyperlink"/>
                <w:noProof/>
              </w:rPr>
              <w:t>Treatment</w:t>
            </w:r>
            <w:r>
              <w:rPr>
                <w:noProof/>
                <w:webHidden/>
              </w:rPr>
              <w:tab/>
            </w:r>
            <w:r>
              <w:rPr>
                <w:noProof/>
                <w:webHidden/>
              </w:rPr>
              <w:fldChar w:fldCharType="begin"/>
            </w:r>
            <w:r>
              <w:rPr>
                <w:noProof/>
                <w:webHidden/>
              </w:rPr>
              <w:instrText xml:space="preserve"> PAGEREF _Toc120880901 \h </w:instrText>
            </w:r>
            <w:r>
              <w:rPr>
                <w:noProof/>
                <w:webHidden/>
              </w:rPr>
            </w:r>
            <w:r>
              <w:rPr>
                <w:noProof/>
                <w:webHidden/>
              </w:rPr>
              <w:fldChar w:fldCharType="separate"/>
            </w:r>
            <w:r>
              <w:rPr>
                <w:noProof/>
                <w:webHidden/>
              </w:rPr>
              <w:t>4</w:t>
            </w:r>
            <w:r>
              <w:rPr>
                <w:noProof/>
                <w:webHidden/>
              </w:rPr>
              <w:fldChar w:fldCharType="end"/>
            </w:r>
          </w:hyperlink>
        </w:p>
        <w:p w14:paraId="119928E1" w14:textId="0F3DF72E" w:rsidR="00841EE2" w:rsidRDefault="00841EE2">
          <w:pPr>
            <w:pStyle w:val="TOC2"/>
            <w:tabs>
              <w:tab w:val="right" w:leader="dot" w:pos="9350"/>
            </w:tabs>
            <w:rPr>
              <w:noProof/>
            </w:rPr>
          </w:pPr>
          <w:hyperlink w:anchor="_Toc120880902" w:history="1">
            <w:r w:rsidRPr="005B758E">
              <w:rPr>
                <w:rStyle w:val="Hyperlink"/>
                <w:noProof/>
              </w:rPr>
              <w:t>First-Line Treatment</w:t>
            </w:r>
            <w:r>
              <w:rPr>
                <w:noProof/>
                <w:webHidden/>
              </w:rPr>
              <w:tab/>
            </w:r>
            <w:r>
              <w:rPr>
                <w:noProof/>
                <w:webHidden/>
              </w:rPr>
              <w:fldChar w:fldCharType="begin"/>
            </w:r>
            <w:r>
              <w:rPr>
                <w:noProof/>
                <w:webHidden/>
              </w:rPr>
              <w:instrText xml:space="preserve"> PAGEREF _Toc120880902 \h </w:instrText>
            </w:r>
            <w:r>
              <w:rPr>
                <w:noProof/>
                <w:webHidden/>
              </w:rPr>
            </w:r>
            <w:r>
              <w:rPr>
                <w:noProof/>
                <w:webHidden/>
              </w:rPr>
              <w:fldChar w:fldCharType="separate"/>
            </w:r>
            <w:r>
              <w:rPr>
                <w:noProof/>
                <w:webHidden/>
              </w:rPr>
              <w:t>5</w:t>
            </w:r>
            <w:r>
              <w:rPr>
                <w:noProof/>
                <w:webHidden/>
              </w:rPr>
              <w:fldChar w:fldCharType="end"/>
            </w:r>
          </w:hyperlink>
        </w:p>
        <w:p w14:paraId="3BC1E9D9" w14:textId="3DC4B3F1" w:rsidR="00841EE2" w:rsidRDefault="00841EE2">
          <w:pPr>
            <w:pStyle w:val="TOC2"/>
            <w:tabs>
              <w:tab w:val="right" w:leader="dot" w:pos="9350"/>
            </w:tabs>
            <w:rPr>
              <w:noProof/>
            </w:rPr>
          </w:pPr>
          <w:hyperlink w:anchor="_Toc120880903" w:history="1">
            <w:r w:rsidRPr="005B758E">
              <w:rPr>
                <w:rStyle w:val="Hyperlink"/>
                <w:noProof/>
              </w:rPr>
              <w:t>Treatment Resistance</w:t>
            </w:r>
            <w:r>
              <w:rPr>
                <w:noProof/>
                <w:webHidden/>
              </w:rPr>
              <w:tab/>
            </w:r>
            <w:r>
              <w:rPr>
                <w:noProof/>
                <w:webHidden/>
              </w:rPr>
              <w:fldChar w:fldCharType="begin"/>
            </w:r>
            <w:r>
              <w:rPr>
                <w:noProof/>
                <w:webHidden/>
              </w:rPr>
              <w:instrText xml:space="preserve"> PAGEREF _Toc120880903 \h </w:instrText>
            </w:r>
            <w:r>
              <w:rPr>
                <w:noProof/>
                <w:webHidden/>
              </w:rPr>
            </w:r>
            <w:r>
              <w:rPr>
                <w:noProof/>
                <w:webHidden/>
              </w:rPr>
              <w:fldChar w:fldCharType="separate"/>
            </w:r>
            <w:r>
              <w:rPr>
                <w:noProof/>
                <w:webHidden/>
              </w:rPr>
              <w:t>6</w:t>
            </w:r>
            <w:r>
              <w:rPr>
                <w:noProof/>
                <w:webHidden/>
              </w:rPr>
              <w:fldChar w:fldCharType="end"/>
            </w:r>
          </w:hyperlink>
        </w:p>
        <w:p w14:paraId="193506D2" w14:textId="7EC73835" w:rsidR="00841EE2" w:rsidRDefault="00841EE2">
          <w:pPr>
            <w:pStyle w:val="TOC2"/>
            <w:tabs>
              <w:tab w:val="right" w:leader="dot" w:pos="9350"/>
            </w:tabs>
            <w:rPr>
              <w:noProof/>
            </w:rPr>
          </w:pPr>
          <w:hyperlink w:anchor="_Toc120880904" w:history="1">
            <w:r w:rsidRPr="005B758E">
              <w:rPr>
                <w:rStyle w:val="Hyperlink"/>
                <w:noProof/>
              </w:rPr>
              <w:t>The Maintenance Phase</w:t>
            </w:r>
            <w:r>
              <w:rPr>
                <w:noProof/>
                <w:webHidden/>
              </w:rPr>
              <w:tab/>
            </w:r>
            <w:r>
              <w:rPr>
                <w:noProof/>
                <w:webHidden/>
              </w:rPr>
              <w:fldChar w:fldCharType="begin"/>
            </w:r>
            <w:r>
              <w:rPr>
                <w:noProof/>
                <w:webHidden/>
              </w:rPr>
              <w:instrText xml:space="preserve"> PAGEREF _Toc120880904 \h </w:instrText>
            </w:r>
            <w:r>
              <w:rPr>
                <w:noProof/>
                <w:webHidden/>
              </w:rPr>
            </w:r>
            <w:r>
              <w:rPr>
                <w:noProof/>
                <w:webHidden/>
              </w:rPr>
              <w:fldChar w:fldCharType="separate"/>
            </w:r>
            <w:r>
              <w:rPr>
                <w:noProof/>
                <w:webHidden/>
              </w:rPr>
              <w:t>6</w:t>
            </w:r>
            <w:r>
              <w:rPr>
                <w:noProof/>
                <w:webHidden/>
              </w:rPr>
              <w:fldChar w:fldCharType="end"/>
            </w:r>
          </w:hyperlink>
        </w:p>
        <w:p w14:paraId="225369BA" w14:textId="32C10C1E" w:rsidR="00841EE2" w:rsidRDefault="00841EE2">
          <w:pPr>
            <w:pStyle w:val="TOC2"/>
            <w:tabs>
              <w:tab w:val="right" w:leader="dot" w:pos="9350"/>
            </w:tabs>
            <w:rPr>
              <w:noProof/>
            </w:rPr>
          </w:pPr>
          <w:hyperlink w:anchor="_Toc120880905" w:history="1">
            <w:r w:rsidRPr="005B758E">
              <w:rPr>
                <w:rStyle w:val="Hyperlink"/>
                <w:noProof/>
              </w:rPr>
              <w:t>Antipsychotics Adverse Effects</w:t>
            </w:r>
            <w:r>
              <w:rPr>
                <w:noProof/>
                <w:webHidden/>
              </w:rPr>
              <w:tab/>
            </w:r>
            <w:r>
              <w:rPr>
                <w:noProof/>
                <w:webHidden/>
              </w:rPr>
              <w:fldChar w:fldCharType="begin"/>
            </w:r>
            <w:r>
              <w:rPr>
                <w:noProof/>
                <w:webHidden/>
              </w:rPr>
              <w:instrText xml:space="preserve"> PAGEREF _Toc120880905 \h </w:instrText>
            </w:r>
            <w:r>
              <w:rPr>
                <w:noProof/>
                <w:webHidden/>
              </w:rPr>
            </w:r>
            <w:r>
              <w:rPr>
                <w:noProof/>
                <w:webHidden/>
              </w:rPr>
              <w:fldChar w:fldCharType="separate"/>
            </w:r>
            <w:r>
              <w:rPr>
                <w:noProof/>
                <w:webHidden/>
              </w:rPr>
              <w:t>7</w:t>
            </w:r>
            <w:r>
              <w:rPr>
                <w:noProof/>
                <w:webHidden/>
              </w:rPr>
              <w:fldChar w:fldCharType="end"/>
            </w:r>
          </w:hyperlink>
        </w:p>
        <w:p w14:paraId="750BCA53" w14:textId="0FB97746" w:rsidR="00841EE2" w:rsidRDefault="00841EE2">
          <w:pPr>
            <w:pStyle w:val="TOC1"/>
            <w:tabs>
              <w:tab w:val="right" w:leader="dot" w:pos="9350"/>
            </w:tabs>
            <w:rPr>
              <w:noProof/>
            </w:rPr>
          </w:pPr>
          <w:hyperlink w:anchor="_Toc120880906" w:history="1">
            <w:r w:rsidRPr="005B758E">
              <w:rPr>
                <w:rStyle w:val="Hyperlink"/>
                <w:noProof/>
              </w:rPr>
              <w:t>Measurements of Rehabilitation</w:t>
            </w:r>
            <w:r>
              <w:rPr>
                <w:noProof/>
                <w:webHidden/>
              </w:rPr>
              <w:tab/>
            </w:r>
            <w:r>
              <w:rPr>
                <w:noProof/>
                <w:webHidden/>
              </w:rPr>
              <w:fldChar w:fldCharType="begin"/>
            </w:r>
            <w:r>
              <w:rPr>
                <w:noProof/>
                <w:webHidden/>
              </w:rPr>
              <w:instrText xml:space="preserve"> PAGEREF _Toc120880906 \h </w:instrText>
            </w:r>
            <w:r>
              <w:rPr>
                <w:noProof/>
                <w:webHidden/>
              </w:rPr>
            </w:r>
            <w:r>
              <w:rPr>
                <w:noProof/>
                <w:webHidden/>
              </w:rPr>
              <w:fldChar w:fldCharType="separate"/>
            </w:r>
            <w:r>
              <w:rPr>
                <w:noProof/>
                <w:webHidden/>
              </w:rPr>
              <w:t>8</w:t>
            </w:r>
            <w:r>
              <w:rPr>
                <w:noProof/>
                <w:webHidden/>
              </w:rPr>
              <w:fldChar w:fldCharType="end"/>
            </w:r>
          </w:hyperlink>
        </w:p>
        <w:p w14:paraId="605DD679" w14:textId="1B36CDFE" w:rsidR="00841EE2" w:rsidRDefault="00841EE2">
          <w:pPr>
            <w:pStyle w:val="TOC2"/>
            <w:tabs>
              <w:tab w:val="right" w:leader="dot" w:pos="9350"/>
            </w:tabs>
            <w:rPr>
              <w:noProof/>
            </w:rPr>
          </w:pPr>
          <w:hyperlink w:anchor="_Toc120880907" w:history="1">
            <w:r w:rsidRPr="005B758E">
              <w:rPr>
                <w:rStyle w:val="Hyperlink"/>
                <w:noProof/>
              </w:rPr>
              <w:t>Psychoeducation</w:t>
            </w:r>
            <w:r>
              <w:rPr>
                <w:noProof/>
                <w:webHidden/>
              </w:rPr>
              <w:tab/>
            </w:r>
            <w:r>
              <w:rPr>
                <w:noProof/>
                <w:webHidden/>
              </w:rPr>
              <w:fldChar w:fldCharType="begin"/>
            </w:r>
            <w:r>
              <w:rPr>
                <w:noProof/>
                <w:webHidden/>
              </w:rPr>
              <w:instrText xml:space="preserve"> PAGEREF _Toc120880907 \h </w:instrText>
            </w:r>
            <w:r>
              <w:rPr>
                <w:noProof/>
                <w:webHidden/>
              </w:rPr>
            </w:r>
            <w:r>
              <w:rPr>
                <w:noProof/>
                <w:webHidden/>
              </w:rPr>
              <w:fldChar w:fldCharType="separate"/>
            </w:r>
            <w:r>
              <w:rPr>
                <w:noProof/>
                <w:webHidden/>
              </w:rPr>
              <w:t>8</w:t>
            </w:r>
            <w:r>
              <w:rPr>
                <w:noProof/>
                <w:webHidden/>
              </w:rPr>
              <w:fldChar w:fldCharType="end"/>
            </w:r>
          </w:hyperlink>
        </w:p>
        <w:p w14:paraId="0AF9D7C5" w14:textId="32B12E22" w:rsidR="00841EE2" w:rsidRDefault="00841EE2">
          <w:pPr>
            <w:pStyle w:val="TOC2"/>
            <w:tabs>
              <w:tab w:val="right" w:leader="dot" w:pos="9350"/>
            </w:tabs>
            <w:rPr>
              <w:noProof/>
            </w:rPr>
          </w:pPr>
          <w:hyperlink w:anchor="_Toc120880908" w:history="1">
            <w:r w:rsidRPr="005B758E">
              <w:rPr>
                <w:rStyle w:val="Hyperlink"/>
                <w:noProof/>
              </w:rPr>
              <w:t>Cognitive-behavioral therapy</w:t>
            </w:r>
            <w:r>
              <w:rPr>
                <w:noProof/>
                <w:webHidden/>
              </w:rPr>
              <w:tab/>
            </w:r>
            <w:r>
              <w:rPr>
                <w:noProof/>
                <w:webHidden/>
              </w:rPr>
              <w:fldChar w:fldCharType="begin"/>
            </w:r>
            <w:r>
              <w:rPr>
                <w:noProof/>
                <w:webHidden/>
              </w:rPr>
              <w:instrText xml:space="preserve"> PAGEREF _Toc120880908 \h </w:instrText>
            </w:r>
            <w:r>
              <w:rPr>
                <w:noProof/>
                <w:webHidden/>
              </w:rPr>
            </w:r>
            <w:r>
              <w:rPr>
                <w:noProof/>
                <w:webHidden/>
              </w:rPr>
              <w:fldChar w:fldCharType="separate"/>
            </w:r>
            <w:r>
              <w:rPr>
                <w:noProof/>
                <w:webHidden/>
              </w:rPr>
              <w:t>9</w:t>
            </w:r>
            <w:r>
              <w:rPr>
                <w:noProof/>
                <w:webHidden/>
              </w:rPr>
              <w:fldChar w:fldCharType="end"/>
            </w:r>
          </w:hyperlink>
        </w:p>
        <w:p w14:paraId="2DD7650D" w14:textId="0F7003CA" w:rsidR="00841EE2" w:rsidRDefault="00841EE2">
          <w:pPr>
            <w:pStyle w:val="TOC2"/>
            <w:tabs>
              <w:tab w:val="right" w:leader="dot" w:pos="9350"/>
            </w:tabs>
            <w:rPr>
              <w:noProof/>
            </w:rPr>
          </w:pPr>
          <w:hyperlink w:anchor="_Toc120880909" w:history="1">
            <w:r w:rsidRPr="005B758E">
              <w:rPr>
                <w:rStyle w:val="Hyperlink"/>
                <w:noProof/>
              </w:rPr>
              <w:t>Social skills training</w:t>
            </w:r>
            <w:r>
              <w:rPr>
                <w:noProof/>
                <w:webHidden/>
              </w:rPr>
              <w:tab/>
            </w:r>
            <w:r>
              <w:rPr>
                <w:noProof/>
                <w:webHidden/>
              </w:rPr>
              <w:fldChar w:fldCharType="begin"/>
            </w:r>
            <w:r>
              <w:rPr>
                <w:noProof/>
                <w:webHidden/>
              </w:rPr>
              <w:instrText xml:space="preserve"> PAGEREF _Toc120880909 \h </w:instrText>
            </w:r>
            <w:r>
              <w:rPr>
                <w:noProof/>
                <w:webHidden/>
              </w:rPr>
            </w:r>
            <w:r>
              <w:rPr>
                <w:noProof/>
                <w:webHidden/>
              </w:rPr>
              <w:fldChar w:fldCharType="separate"/>
            </w:r>
            <w:r>
              <w:rPr>
                <w:noProof/>
                <w:webHidden/>
              </w:rPr>
              <w:t>9</w:t>
            </w:r>
            <w:r>
              <w:rPr>
                <w:noProof/>
                <w:webHidden/>
              </w:rPr>
              <w:fldChar w:fldCharType="end"/>
            </w:r>
          </w:hyperlink>
        </w:p>
        <w:p w14:paraId="3B4C7E50" w14:textId="486B98D4" w:rsidR="00841EE2" w:rsidRDefault="00841EE2">
          <w:pPr>
            <w:pStyle w:val="TOC1"/>
            <w:tabs>
              <w:tab w:val="right" w:leader="dot" w:pos="9350"/>
            </w:tabs>
            <w:rPr>
              <w:noProof/>
            </w:rPr>
          </w:pPr>
          <w:hyperlink w:anchor="_Toc120880910" w:history="1">
            <w:r w:rsidRPr="005B758E">
              <w:rPr>
                <w:rStyle w:val="Hyperlink"/>
                <w:noProof/>
              </w:rPr>
              <w:t>Conclusion</w:t>
            </w:r>
            <w:r>
              <w:rPr>
                <w:noProof/>
                <w:webHidden/>
              </w:rPr>
              <w:tab/>
            </w:r>
            <w:r>
              <w:rPr>
                <w:noProof/>
                <w:webHidden/>
              </w:rPr>
              <w:fldChar w:fldCharType="begin"/>
            </w:r>
            <w:r>
              <w:rPr>
                <w:noProof/>
                <w:webHidden/>
              </w:rPr>
              <w:instrText xml:space="preserve"> PAGEREF _Toc120880910 \h </w:instrText>
            </w:r>
            <w:r>
              <w:rPr>
                <w:noProof/>
                <w:webHidden/>
              </w:rPr>
            </w:r>
            <w:r>
              <w:rPr>
                <w:noProof/>
                <w:webHidden/>
              </w:rPr>
              <w:fldChar w:fldCharType="separate"/>
            </w:r>
            <w:r>
              <w:rPr>
                <w:noProof/>
                <w:webHidden/>
              </w:rPr>
              <w:t>10</w:t>
            </w:r>
            <w:r>
              <w:rPr>
                <w:noProof/>
                <w:webHidden/>
              </w:rPr>
              <w:fldChar w:fldCharType="end"/>
            </w:r>
          </w:hyperlink>
        </w:p>
        <w:p w14:paraId="00968DB2" w14:textId="1701ADDE" w:rsidR="00841EE2" w:rsidRDefault="00841EE2">
          <w:pPr>
            <w:pStyle w:val="TOC1"/>
            <w:tabs>
              <w:tab w:val="right" w:leader="dot" w:pos="9350"/>
            </w:tabs>
            <w:rPr>
              <w:noProof/>
            </w:rPr>
          </w:pPr>
          <w:hyperlink w:anchor="_Toc120880911" w:history="1">
            <w:r w:rsidRPr="005B758E">
              <w:rPr>
                <w:rStyle w:val="Hyperlink"/>
                <w:noProof/>
              </w:rPr>
              <w:t>References</w:t>
            </w:r>
            <w:r>
              <w:rPr>
                <w:noProof/>
                <w:webHidden/>
              </w:rPr>
              <w:tab/>
            </w:r>
            <w:r>
              <w:rPr>
                <w:noProof/>
                <w:webHidden/>
              </w:rPr>
              <w:fldChar w:fldCharType="begin"/>
            </w:r>
            <w:r>
              <w:rPr>
                <w:noProof/>
                <w:webHidden/>
              </w:rPr>
              <w:instrText xml:space="preserve"> PAGEREF _Toc120880911 \h </w:instrText>
            </w:r>
            <w:r>
              <w:rPr>
                <w:noProof/>
                <w:webHidden/>
              </w:rPr>
            </w:r>
            <w:r>
              <w:rPr>
                <w:noProof/>
                <w:webHidden/>
              </w:rPr>
              <w:fldChar w:fldCharType="separate"/>
            </w:r>
            <w:r>
              <w:rPr>
                <w:noProof/>
                <w:webHidden/>
              </w:rPr>
              <w:t>11</w:t>
            </w:r>
            <w:r>
              <w:rPr>
                <w:noProof/>
                <w:webHidden/>
              </w:rPr>
              <w:fldChar w:fldCharType="end"/>
            </w:r>
          </w:hyperlink>
        </w:p>
        <w:p w14:paraId="4EA01364" w14:textId="3677D46C" w:rsidR="00841EE2" w:rsidRDefault="00841EE2">
          <w:r>
            <w:rPr>
              <w:b/>
              <w:bCs/>
              <w:noProof/>
            </w:rPr>
            <w:fldChar w:fldCharType="end"/>
          </w:r>
        </w:p>
      </w:sdtContent>
    </w:sdt>
    <w:p w14:paraId="133D6467" w14:textId="77777777" w:rsidR="002B6058" w:rsidRDefault="002B6058" w:rsidP="00835861">
      <w:pPr>
        <w:pStyle w:val="Heading1"/>
        <w:jc w:val="center"/>
      </w:pPr>
    </w:p>
    <w:p w14:paraId="0EE840DC" w14:textId="77777777" w:rsidR="00841EE2" w:rsidRDefault="00841EE2">
      <w:pPr>
        <w:rPr>
          <w:color w:val="2F5496"/>
          <w:sz w:val="32"/>
          <w:szCs w:val="32"/>
        </w:rPr>
      </w:pPr>
      <w:bookmarkStart w:id="0" w:name="_Toc120880897"/>
      <w:r>
        <w:br w:type="page"/>
      </w:r>
    </w:p>
    <w:p w14:paraId="7582B2D5" w14:textId="35EE3807" w:rsidR="00835861" w:rsidRDefault="00835861" w:rsidP="00835861">
      <w:pPr>
        <w:pStyle w:val="Heading1"/>
        <w:jc w:val="center"/>
      </w:pPr>
      <w:r>
        <w:lastRenderedPageBreak/>
        <w:t>Introduction</w:t>
      </w:r>
      <w:bookmarkEnd w:id="0"/>
    </w:p>
    <w:p w14:paraId="2A20982A" w14:textId="77777777" w:rsidR="00835861" w:rsidRPr="00835861" w:rsidRDefault="00835861" w:rsidP="00835861"/>
    <w:p w14:paraId="00000019" w14:textId="4962FCA2" w:rsidR="0050289E" w:rsidRDefault="00835861" w:rsidP="000333A7">
      <w:pPr>
        <w:spacing w:line="360" w:lineRule="auto"/>
        <w:ind w:firstLine="720"/>
        <w:rPr>
          <w:rFonts w:ascii="Arial" w:eastAsia="Arial" w:hAnsi="Arial" w:cs="Arial"/>
        </w:rPr>
      </w:pPr>
      <w:r>
        <w:rPr>
          <w:rFonts w:ascii="Arial" w:eastAsia="Arial" w:hAnsi="Arial" w:cs="Arial"/>
        </w:rPr>
        <w:t>Schizophrenia (ICD-10-CM Diagnosis Code F20.9) from the Greek '</w:t>
      </w:r>
      <w:proofErr w:type="spellStart"/>
      <w:r>
        <w:rPr>
          <w:rFonts w:ascii="Arial" w:eastAsia="Arial" w:hAnsi="Arial" w:cs="Arial"/>
        </w:rPr>
        <w:t>schizo</w:t>
      </w:r>
      <w:proofErr w:type="spellEnd"/>
      <w:r>
        <w:rPr>
          <w:rFonts w:ascii="Arial" w:eastAsia="Arial" w:hAnsi="Arial" w:cs="Arial"/>
        </w:rPr>
        <w:t>' (splitting) and '</w:t>
      </w:r>
      <w:proofErr w:type="spellStart"/>
      <w:r>
        <w:rPr>
          <w:rFonts w:ascii="Arial" w:eastAsia="Arial" w:hAnsi="Arial" w:cs="Arial"/>
        </w:rPr>
        <w:t>phren</w:t>
      </w:r>
      <w:proofErr w:type="spellEnd"/>
      <w:r>
        <w:rPr>
          <w:rFonts w:ascii="Arial" w:eastAsia="Arial" w:hAnsi="Arial" w:cs="Arial"/>
        </w:rPr>
        <w:t xml:space="preserve">' (mind) is a psychiatric illness that significantly alters a person's perception, thoughts, mood, and </w:t>
      </w:r>
      <w:proofErr w:type="spellStart"/>
      <w:r>
        <w:rPr>
          <w:rFonts w:ascii="Arial" w:eastAsia="Arial" w:hAnsi="Arial" w:cs="Arial"/>
        </w:rPr>
        <w:t>behavior</w:t>
      </w:r>
      <w:proofErr w:type="spellEnd"/>
      <w:r>
        <w:rPr>
          <w:rFonts w:ascii="Arial" w:eastAsia="Arial" w:hAnsi="Arial" w:cs="Arial"/>
        </w:rPr>
        <w:t xml:space="preserve"> (ICD-10, 2022). The mental condition is typified by such "positive symptoms" as auditory hallucinations, strange delusional beliefs, and hindered speech, such "negative symptoms" as social withdrawal, loss of motivation, self-neglect, and flat affect, and such cognitive impairments as deficits in attention, memory, and executive functions (Lin &amp; Lane, 2019). Approximate schizophrenia synonyms include chronic schizophrenia, </w:t>
      </w:r>
      <w:proofErr w:type="spellStart"/>
      <w:r>
        <w:rPr>
          <w:rFonts w:ascii="Arial" w:eastAsia="Arial" w:hAnsi="Arial" w:cs="Arial"/>
        </w:rPr>
        <w:t>subchronic</w:t>
      </w:r>
      <w:proofErr w:type="spellEnd"/>
      <w:r>
        <w:rPr>
          <w:rFonts w:ascii="Arial" w:eastAsia="Arial" w:hAnsi="Arial" w:cs="Arial"/>
        </w:rPr>
        <w:t xml:space="preserve"> schizophrenia, schizophrenia in remission, </w:t>
      </w:r>
      <w:proofErr w:type="spellStart"/>
      <w:r>
        <w:rPr>
          <w:rFonts w:ascii="Arial" w:eastAsia="Arial" w:hAnsi="Arial" w:cs="Arial"/>
        </w:rPr>
        <w:t>subchronic</w:t>
      </w:r>
      <w:proofErr w:type="spellEnd"/>
      <w:r>
        <w:rPr>
          <w:rFonts w:ascii="Arial" w:eastAsia="Arial" w:hAnsi="Arial" w:cs="Arial"/>
        </w:rPr>
        <w:t xml:space="preserve"> schizophrenia with acute episodes, and </w:t>
      </w:r>
      <w:proofErr w:type="spellStart"/>
      <w:r>
        <w:rPr>
          <w:rFonts w:ascii="Arial" w:eastAsia="Arial" w:hAnsi="Arial" w:cs="Arial"/>
        </w:rPr>
        <w:t>subchronic</w:t>
      </w:r>
      <w:proofErr w:type="spellEnd"/>
      <w:r>
        <w:rPr>
          <w:rFonts w:ascii="Arial" w:eastAsia="Arial" w:hAnsi="Arial" w:cs="Arial"/>
        </w:rPr>
        <w:t xml:space="preserve"> schizophrenia with acute exacerbations (ICD-10, 2022). One of the most hazardous effects is a predisposition toward suicide with approximately 5% of people with schizophrenia attempting suicide in their lifetime. The risk is greatest when the sickness first appears. Specific diagnostic criteria are based on symptom duration and/or the presence of </w:t>
      </w:r>
      <w:proofErr w:type="gramStart"/>
      <w:r>
        <w:rPr>
          <w:rFonts w:ascii="Arial" w:eastAsia="Arial" w:hAnsi="Arial" w:cs="Arial"/>
        </w:rPr>
        <w:t>particular combinations</w:t>
      </w:r>
      <w:proofErr w:type="gramEnd"/>
      <w:r>
        <w:rPr>
          <w:rFonts w:ascii="Arial" w:eastAsia="Arial" w:hAnsi="Arial" w:cs="Arial"/>
        </w:rPr>
        <w:t xml:space="preserve"> of positive and negative symptoms. The development of schizophrenia typically occurs in early adulthood and could be preceded by a prodromal stage ("at-risk mental state") during which one could experience changes in thoughts, mood, and </w:t>
      </w:r>
      <w:proofErr w:type="spellStart"/>
      <w:r>
        <w:rPr>
          <w:rFonts w:ascii="Arial" w:eastAsia="Arial" w:hAnsi="Arial" w:cs="Arial"/>
        </w:rPr>
        <w:t>behavior</w:t>
      </w:r>
      <w:proofErr w:type="spellEnd"/>
      <w:r>
        <w:rPr>
          <w:rFonts w:ascii="Arial" w:eastAsia="Arial" w:hAnsi="Arial" w:cs="Arial"/>
        </w:rPr>
        <w:t xml:space="preserve"> before the onset of psychotic symptoms. Initially, family members recommend that a patient sees a physician. However, patients frequently self-refer or are brought in by a case manager or law enforcement when the condition worsens. Most patients benefit from antipsychotic therapy and psychosocial interventions, though to varying degrees. </w:t>
      </w:r>
    </w:p>
    <w:p w14:paraId="0000001A" w14:textId="77777777" w:rsidR="0050289E" w:rsidRDefault="00835861" w:rsidP="00835861">
      <w:pPr>
        <w:pStyle w:val="Heading1"/>
        <w:jc w:val="center"/>
      </w:pPr>
      <w:bookmarkStart w:id="1" w:name="_Toc120880898"/>
      <w:r>
        <w:t>Classification</w:t>
      </w:r>
      <w:bookmarkEnd w:id="1"/>
    </w:p>
    <w:p w14:paraId="0CC4F68B" w14:textId="77777777" w:rsidR="00835861" w:rsidRDefault="00835861">
      <w:pPr>
        <w:spacing w:after="0" w:line="360" w:lineRule="auto"/>
        <w:ind w:firstLine="720"/>
        <w:rPr>
          <w:rFonts w:ascii="Arial" w:eastAsia="Arial" w:hAnsi="Arial" w:cs="Arial"/>
        </w:rPr>
      </w:pPr>
    </w:p>
    <w:p w14:paraId="0000001B" w14:textId="1CFF64A6" w:rsidR="0050289E" w:rsidRDefault="00835861">
      <w:pPr>
        <w:spacing w:after="0" w:line="360" w:lineRule="auto"/>
        <w:ind w:firstLine="720"/>
        <w:rPr>
          <w:rFonts w:ascii="Arial" w:eastAsia="Arial" w:hAnsi="Arial" w:cs="Arial"/>
        </w:rPr>
      </w:pPr>
      <w:r>
        <w:rPr>
          <w:rFonts w:ascii="Arial" w:eastAsia="Arial" w:hAnsi="Arial" w:cs="Arial"/>
        </w:rPr>
        <w:t xml:space="preserve">The ICD-10 classifies schizophrenia among mental, </w:t>
      </w:r>
      <w:proofErr w:type="spellStart"/>
      <w:r>
        <w:rPr>
          <w:rFonts w:ascii="Arial" w:eastAsia="Arial" w:hAnsi="Arial" w:cs="Arial"/>
        </w:rPr>
        <w:t>behavioral</w:t>
      </w:r>
      <w:proofErr w:type="spellEnd"/>
      <w:r>
        <w:rPr>
          <w:rFonts w:ascii="Arial" w:eastAsia="Arial" w:hAnsi="Arial" w:cs="Arial"/>
        </w:rPr>
        <w:t>, and neurodevelopmental disorders (ICD-10, 2022). Depending on the primary presenting symptoms, ICD-10 further subcategorizes schizophrenia into the following subtypes: undifferentiated schizophrenia, catatonic schizophrenia, residual schizophrenia, simple schizophrenia, post-schizophrenic depression, and paranoid schizophrenia.</w:t>
      </w:r>
    </w:p>
    <w:p w14:paraId="0000001C" w14:textId="77777777" w:rsidR="0050289E" w:rsidRDefault="00835861">
      <w:pPr>
        <w:spacing w:after="0" w:line="360" w:lineRule="auto"/>
        <w:ind w:firstLine="720"/>
        <w:rPr>
          <w:rFonts w:ascii="Arial" w:eastAsia="Arial" w:hAnsi="Arial" w:cs="Arial"/>
        </w:rPr>
      </w:pPr>
      <w:r>
        <w:rPr>
          <w:rFonts w:ascii="Arial" w:eastAsia="Arial" w:hAnsi="Arial" w:cs="Arial"/>
        </w:rPr>
        <w:t>Similar disorders should be categorized under F06.2 if they arise in conjunction with epilepsy or another brain ailment, and those brought on by psychoactive substances should be categorized under F10-F19 with a similar fourth character.</w:t>
      </w:r>
    </w:p>
    <w:p w14:paraId="6DF4AD5D" w14:textId="77777777" w:rsidR="00835861" w:rsidRDefault="00835861">
      <w:pPr>
        <w:spacing w:line="360" w:lineRule="auto"/>
        <w:jc w:val="center"/>
        <w:rPr>
          <w:rFonts w:ascii="Arial" w:eastAsia="Arial" w:hAnsi="Arial" w:cs="Arial"/>
          <w:b/>
        </w:rPr>
      </w:pPr>
    </w:p>
    <w:p w14:paraId="0000001D" w14:textId="459146C0" w:rsidR="0050289E" w:rsidRDefault="00835861" w:rsidP="00835861">
      <w:pPr>
        <w:pStyle w:val="Heading1"/>
        <w:jc w:val="center"/>
      </w:pPr>
      <w:bookmarkStart w:id="2" w:name="_Toc120880899"/>
      <w:r w:rsidRPr="00835861">
        <w:lastRenderedPageBreak/>
        <w:t>Diagnosis</w:t>
      </w:r>
      <w:bookmarkEnd w:id="2"/>
    </w:p>
    <w:p w14:paraId="7154159B" w14:textId="77777777" w:rsidR="00835861" w:rsidRPr="00835861" w:rsidRDefault="00835861" w:rsidP="00835861"/>
    <w:p w14:paraId="0000001E" w14:textId="77777777" w:rsidR="0050289E" w:rsidRDefault="00835861">
      <w:pPr>
        <w:spacing w:after="0" w:line="360" w:lineRule="auto"/>
        <w:ind w:firstLine="720"/>
        <w:rPr>
          <w:rFonts w:ascii="Arial" w:eastAsia="Arial" w:hAnsi="Arial" w:cs="Arial"/>
        </w:rPr>
      </w:pPr>
      <w:r>
        <w:rPr>
          <w:rFonts w:ascii="Arial" w:eastAsia="Arial" w:hAnsi="Arial" w:cs="Arial"/>
        </w:rPr>
        <w:t xml:space="preserve">For a better prognosis, early detection and treatments are essential. Currently, the diagnosis of schizophrenia relies on observing clinical symptoms (Lin &amp; Lane, 2019). While psychotic symptoms do not manifest vividly, cognitive function deficits are considered primary symptoms of schizophrenia from the prodromal stage onward. Schizophrenia patients experience cognitive decline at a younger age. Declining cognitive capacity will impair self-care, social, and occupational functioning in schizophrenia patients. The ICD-10 diagnostic criteria provide that for a patient to be considered for a possible schizophrenia diagnosis, the patient should have </w:t>
      </w:r>
      <w:proofErr w:type="gramStart"/>
      <w:r>
        <w:rPr>
          <w:rFonts w:ascii="Arial" w:eastAsia="Arial" w:hAnsi="Arial" w:cs="Arial"/>
        </w:rPr>
        <w:t>exhibited  for</w:t>
      </w:r>
      <w:proofErr w:type="gramEnd"/>
      <w:r>
        <w:rPr>
          <w:rFonts w:ascii="Arial" w:eastAsia="Arial" w:hAnsi="Arial" w:cs="Arial"/>
        </w:rPr>
        <w:t xml:space="preserve"> at least a month, at least one of the following (ICD-10, 2022):</w:t>
      </w:r>
    </w:p>
    <w:p w14:paraId="0000001F" w14:textId="77777777" w:rsidR="0050289E" w:rsidRDefault="00835861">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Insertion, recurrence, dissemination, or withdrawal of thought</w:t>
      </w:r>
    </w:p>
    <w:p w14:paraId="00000020" w14:textId="77777777" w:rsidR="0050289E" w:rsidRDefault="00835861">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Delusions of power, influence, or indifference</w:t>
      </w:r>
    </w:p>
    <w:p w14:paraId="00000021" w14:textId="77777777" w:rsidR="0050289E" w:rsidRDefault="00835861">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voices in the patient's head delivering a running commentary</w:t>
      </w:r>
    </w:p>
    <w:p w14:paraId="00000022" w14:textId="77777777" w:rsidR="0050289E" w:rsidRDefault="00835861">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persistent culturally inappropriate or absurd delusions</w:t>
      </w:r>
    </w:p>
    <w:p w14:paraId="00000023" w14:textId="77777777" w:rsidR="0050289E" w:rsidRDefault="0050289E">
      <w:pPr>
        <w:spacing w:after="0" w:line="360" w:lineRule="auto"/>
        <w:ind w:firstLine="720"/>
        <w:rPr>
          <w:rFonts w:ascii="Arial" w:eastAsia="Arial" w:hAnsi="Arial" w:cs="Arial"/>
        </w:rPr>
      </w:pPr>
    </w:p>
    <w:p w14:paraId="00000024" w14:textId="77777777" w:rsidR="0050289E" w:rsidRDefault="00835861">
      <w:pPr>
        <w:spacing w:after="0" w:line="360" w:lineRule="auto"/>
        <w:ind w:firstLine="720"/>
        <w:rPr>
          <w:rFonts w:ascii="Arial" w:eastAsia="Arial" w:hAnsi="Arial" w:cs="Arial"/>
        </w:rPr>
      </w:pPr>
      <w:r>
        <w:rPr>
          <w:rFonts w:ascii="Arial" w:eastAsia="Arial" w:hAnsi="Arial" w:cs="Arial"/>
        </w:rPr>
        <w:t>An example of a delusional thought from a relationship perspective is one of the spouses being delusional about receiving a report about an unfaithful spouse. A patient may appear to listen to something and present a delusional and paranoid thought process with impaired insight and judgment. The PANSS score could reveal a -40, -20, and -60 for the positive symptom scale, the negative symptom scale, and the general psychopathology scale, respectively.</w:t>
      </w:r>
    </w:p>
    <w:p w14:paraId="00000025" w14:textId="77777777" w:rsidR="0050289E" w:rsidRDefault="00835861">
      <w:pPr>
        <w:spacing w:after="0" w:line="360" w:lineRule="auto"/>
        <w:ind w:firstLine="720"/>
        <w:rPr>
          <w:rFonts w:ascii="Arial" w:eastAsia="Arial" w:hAnsi="Arial" w:cs="Arial"/>
        </w:rPr>
      </w:pPr>
      <w:r>
        <w:rPr>
          <w:rFonts w:ascii="Arial" w:eastAsia="Arial" w:hAnsi="Arial" w:cs="Arial"/>
        </w:rPr>
        <w:t>If the patient does not present with at least one of the preceding symptoms for at least a month, the patient must present with at least two of the following symptoms for at least a month:</w:t>
      </w:r>
    </w:p>
    <w:p w14:paraId="00000026" w14:textId="77777777" w:rsidR="0050289E" w:rsidRDefault="00835861">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Any form of persistent hallucination accompanied by momentary delusions</w:t>
      </w:r>
    </w:p>
    <w:p w14:paraId="00000027" w14:textId="77777777" w:rsidR="0050289E" w:rsidRDefault="00835861">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Interruptions in thinking that cause neologisms or incoherence</w:t>
      </w:r>
    </w:p>
    <w:p w14:paraId="00000028" w14:textId="77777777" w:rsidR="0050289E" w:rsidRDefault="00835861">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Catatonic conduct</w:t>
      </w:r>
    </w:p>
    <w:p w14:paraId="00000029" w14:textId="77777777" w:rsidR="0050289E" w:rsidRDefault="00835861">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Negative signs</w:t>
      </w:r>
    </w:p>
    <w:p w14:paraId="0000002A" w14:textId="77777777" w:rsidR="0050289E" w:rsidRDefault="00835861">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Substantial and consistent changes in </w:t>
      </w:r>
      <w:proofErr w:type="spellStart"/>
      <w:r>
        <w:rPr>
          <w:rFonts w:ascii="Arial" w:eastAsia="Arial" w:hAnsi="Arial" w:cs="Arial"/>
          <w:color w:val="000000"/>
        </w:rPr>
        <w:t>behavior</w:t>
      </w:r>
      <w:proofErr w:type="spellEnd"/>
      <w:r>
        <w:rPr>
          <w:rFonts w:ascii="Arial" w:eastAsia="Arial" w:hAnsi="Arial" w:cs="Arial"/>
          <w:color w:val="000000"/>
        </w:rPr>
        <w:t xml:space="preserve"> quality present as anhedonia and social retreat. </w:t>
      </w:r>
    </w:p>
    <w:p w14:paraId="0000002B" w14:textId="77777777" w:rsidR="0050289E" w:rsidRDefault="00835861">
      <w:pPr>
        <w:spacing w:after="0" w:line="360" w:lineRule="auto"/>
        <w:ind w:firstLine="720"/>
        <w:rPr>
          <w:rFonts w:ascii="Arial" w:eastAsia="Arial" w:hAnsi="Arial" w:cs="Arial"/>
        </w:rPr>
      </w:pPr>
      <w:r>
        <w:rPr>
          <w:rFonts w:ascii="Arial" w:eastAsia="Arial" w:hAnsi="Arial" w:cs="Arial"/>
        </w:rPr>
        <w:t xml:space="preserve">Also, the ICD-10 recommends eliciting past medical and family history, alcohol and recreational drug use, and other pertinent aspects of social history, as well as any form of recent neurological issues such as head injuries, memory problems, altered consciousness, seizures, stroke, fainting, visual impairment, dizzy spells, muscle stiffness, and marked tremor. Psychotic symptoms can sometimes appear in conjunction with other medical and psychiatric conditions (Abdullah et al., 2020). Patients should initially be assessed for any intrinsic causes of </w:t>
      </w:r>
      <w:r>
        <w:rPr>
          <w:rFonts w:ascii="Arial" w:eastAsia="Arial" w:hAnsi="Arial" w:cs="Arial"/>
        </w:rPr>
        <w:lastRenderedPageBreak/>
        <w:t>psychosis (e.g., delirium, mood disorder with psychosis, Cushing syndrome, drug use [illicit and prescribed]). In an ideal situation, patients would undergo prolonged controlled observation. This makes it possible to distinguish between various psychiatric diseases, but it is not always practical. Often, clinicians rely on a family member's past. Determining the organic reasons for psychosis requires gleaning from the physical examination.</w:t>
      </w:r>
    </w:p>
    <w:p w14:paraId="0000002C" w14:textId="77777777" w:rsidR="0050289E" w:rsidRDefault="00835861">
      <w:pPr>
        <w:spacing w:after="0" w:line="360" w:lineRule="auto"/>
        <w:ind w:firstLine="720"/>
        <w:rPr>
          <w:rFonts w:ascii="Arial" w:eastAsia="Arial" w:hAnsi="Arial" w:cs="Arial"/>
        </w:rPr>
      </w:pPr>
      <w:r>
        <w:rPr>
          <w:rFonts w:ascii="Arial" w:eastAsia="Arial" w:hAnsi="Arial" w:cs="Arial"/>
        </w:rPr>
        <w:t xml:space="preserve">Schizophrenia can advance continuously, episodically (with either a progressive or stable deficit), or throughout one or more episodes with either a full or partial remission. Unless it is obvious that schizophrenic symptoms predate affective disturbance, the diagnosis of schizophrenia should not be made in the context of severe manic or depressive symptoms. Diagnoses of schizophrenia should not be made while a person is using or coming </w:t>
      </w:r>
      <w:proofErr w:type="gramStart"/>
      <w:r>
        <w:rPr>
          <w:rFonts w:ascii="Arial" w:eastAsia="Arial" w:hAnsi="Arial" w:cs="Arial"/>
        </w:rPr>
        <w:t>off of</w:t>
      </w:r>
      <w:proofErr w:type="gramEnd"/>
      <w:r>
        <w:rPr>
          <w:rFonts w:ascii="Arial" w:eastAsia="Arial" w:hAnsi="Arial" w:cs="Arial"/>
        </w:rPr>
        <w:t xml:space="preserve"> drugs or when there is an obvious brain disorder present. </w:t>
      </w:r>
    </w:p>
    <w:p w14:paraId="0000002D" w14:textId="77777777" w:rsidR="0050289E" w:rsidRDefault="00835861">
      <w:pPr>
        <w:spacing w:after="0" w:line="360" w:lineRule="auto"/>
        <w:ind w:firstLine="720"/>
        <w:rPr>
          <w:rFonts w:ascii="Arial" w:eastAsia="Arial" w:hAnsi="Arial" w:cs="Arial"/>
        </w:rPr>
      </w:pPr>
      <w:r>
        <w:rPr>
          <w:rFonts w:ascii="Arial" w:eastAsia="Arial" w:hAnsi="Arial" w:cs="Arial"/>
        </w:rPr>
        <w:t xml:space="preserve">A complete risk assessment can be conducted to evaluate the possibility of self-harm and harming others. Typically, the onset of the first episode of schizophrenia occurs in late adolescence or early adulthood. At the onset of the first schizophrenic episode, people frequently lack understanding, and as a result, few will proactively seek treatment for their psychotic symptoms. A family member noticing social withdrawal, uncharacteristic </w:t>
      </w:r>
      <w:proofErr w:type="spellStart"/>
      <w:r>
        <w:rPr>
          <w:rFonts w:ascii="Arial" w:eastAsia="Arial" w:hAnsi="Arial" w:cs="Arial"/>
        </w:rPr>
        <w:t>behavior</w:t>
      </w:r>
      <w:proofErr w:type="spellEnd"/>
      <w:r>
        <w:rPr>
          <w:rFonts w:ascii="Arial" w:eastAsia="Arial" w:hAnsi="Arial" w:cs="Arial"/>
        </w:rPr>
        <w:t xml:space="preserve"> or change in personality, intentional self-</w:t>
      </w:r>
      <w:proofErr w:type="gramStart"/>
      <w:r>
        <w:rPr>
          <w:rFonts w:ascii="Arial" w:eastAsia="Arial" w:hAnsi="Arial" w:cs="Arial"/>
        </w:rPr>
        <w:t>harm</w:t>
      </w:r>
      <w:proofErr w:type="gramEnd"/>
      <w:r>
        <w:rPr>
          <w:rFonts w:ascii="Arial" w:eastAsia="Arial" w:hAnsi="Arial" w:cs="Arial"/>
        </w:rPr>
        <w:t xml:space="preserve"> or attempted suicide, phoning the police to report their delusions, or criminal justice system referral are examples of common presentations.</w:t>
      </w:r>
    </w:p>
    <w:p w14:paraId="0000002E" w14:textId="77777777" w:rsidR="0050289E" w:rsidRDefault="00835861">
      <w:pPr>
        <w:spacing w:after="0" w:line="360" w:lineRule="auto"/>
        <w:ind w:firstLine="720"/>
        <w:rPr>
          <w:rFonts w:ascii="Arial" w:eastAsia="Arial" w:hAnsi="Arial" w:cs="Arial"/>
        </w:rPr>
      </w:pPr>
      <w:proofErr w:type="gramStart"/>
      <w:r>
        <w:rPr>
          <w:rFonts w:ascii="Arial" w:eastAsia="Arial" w:hAnsi="Arial" w:cs="Arial"/>
        </w:rPr>
        <w:t>A robust systems</w:t>
      </w:r>
      <w:proofErr w:type="gramEnd"/>
      <w:r>
        <w:rPr>
          <w:rFonts w:ascii="Arial" w:eastAsia="Arial" w:hAnsi="Arial" w:cs="Arial"/>
        </w:rPr>
        <w:t xml:space="preserve"> review and a mental state examination should follow a complete psychiatric history to assess the patient's appearance, </w:t>
      </w:r>
      <w:proofErr w:type="spellStart"/>
      <w:r>
        <w:rPr>
          <w:rFonts w:ascii="Arial" w:eastAsia="Arial" w:hAnsi="Arial" w:cs="Arial"/>
        </w:rPr>
        <w:t>behavior</w:t>
      </w:r>
      <w:proofErr w:type="spellEnd"/>
      <w:r>
        <w:rPr>
          <w:rFonts w:ascii="Arial" w:eastAsia="Arial" w:hAnsi="Arial" w:cs="Arial"/>
        </w:rPr>
        <w:t xml:space="preserve">, mood, speech, cognition, and insight as well as to look for signs of perceptual delusions or formal thought disorders. Even though the diagnosis of schizophrenia is essentially clinical, </w:t>
      </w:r>
      <w:proofErr w:type="gramStart"/>
      <w:r>
        <w:rPr>
          <w:rFonts w:ascii="Arial" w:eastAsia="Arial" w:hAnsi="Arial" w:cs="Arial"/>
        </w:rPr>
        <w:t>particular laboratory</w:t>
      </w:r>
      <w:proofErr w:type="gramEnd"/>
      <w:r>
        <w:rPr>
          <w:rFonts w:ascii="Arial" w:eastAsia="Arial" w:hAnsi="Arial" w:cs="Arial"/>
        </w:rPr>
        <w:t xml:space="preserve"> and radiographic tests are helpful to rule out other likely causes.</w:t>
      </w:r>
    </w:p>
    <w:p w14:paraId="0000002F" w14:textId="77777777" w:rsidR="0050289E" w:rsidRDefault="0050289E">
      <w:pPr>
        <w:spacing w:after="0" w:line="360" w:lineRule="auto"/>
        <w:ind w:firstLine="720"/>
        <w:rPr>
          <w:rFonts w:ascii="Arial" w:eastAsia="Arial" w:hAnsi="Arial" w:cs="Arial"/>
        </w:rPr>
      </w:pPr>
    </w:p>
    <w:p w14:paraId="00000030" w14:textId="08E1C8E7" w:rsidR="0050289E" w:rsidRDefault="00835861" w:rsidP="00835861">
      <w:pPr>
        <w:pStyle w:val="Heading1"/>
        <w:jc w:val="center"/>
      </w:pPr>
      <w:bookmarkStart w:id="3" w:name="_Toc120880900"/>
      <w:r>
        <w:t>Treatment and Measurements of Rehabilitation</w:t>
      </w:r>
      <w:bookmarkEnd w:id="3"/>
    </w:p>
    <w:p w14:paraId="58E4F8CB" w14:textId="77777777" w:rsidR="00835861" w:rsidRPr="00835861" w:rsidRDefault="00835861" w:rsidP="00835861"/>
    <w:p w14:paraId="00000031" w14:textId="6962F454" w:rsidR="0050289E" w:rsidRDefault="00835861" w:rsidP="00835861">
      <w:pPr>
        <w:pStyle w:val="Heading2"/>
        <w:jc w:val="center"/>
      </w:pPr>
      <w:bookmarkStart w:id="4" w:name="_Toc120880901"/>
      <w:r>
        <w:t>Treatment</w:t>
      </w:r>
      <w:bookmarkEnd w:id="4"/>
    </w:p>
    <w:p w14:paraId="144427D7" w14:textId="77777777" w:rsidR="00835861" w:rsidRPr="00835861" w:rsidRDefault="00835861" w:rsidP="00835861"/>
    <w:p w14:paraId="00000032" w14:textId="77777777" w:rsidR="0050289E" w:rsidRDefault="00835861">
      <w:pPr>
        <w:spacing w:line="360" w:lineRule="auto"/>
        <w:ind w:firstLine="720"/>
        <w:rPr>
          <w:rFonts w:ascii="Arial" w:eastAsia="Arial" w:hAnsi="Arial" w:cs="Arial"/>
        </w:rPr>
      </w:pPr>
      <w:r>
        <w:rPr>
          <w:rFonts w:ascii="Arial" w:eastAsia="Arial" w:hAnsi="Arial" w:cs="Arial"/>
        </w:rPr>
        <w:t xml:space="preserve">After a schizophrenia diagnosis is confirmed, the patient should be referred for psychiatric examination (Rocha et al., 2019). Although hospitalization is not always necessary for people with severe psychosis, it should be taken into consideration for those who might be dangerous to themselves or others. A multimodal strategy combining medicine, psychological therapy, and social support is the most successful treatment for schizophrenia  With the therapy </w:t>
      </w:r>
      <w:r>
        <w:rPr>
          <w:rFonts w:ascii="Arial" w:eastAsia="Arial" w:hAnsi="Arial" w:cs="Arial"/>
        </w:rPr>
        <w:lastRenderedPageBreak/>
        <w:t>aiming for remission (</w:t>
      </w:r>
      <w:proofErr w:type="spellStart"/>
      <w:r>
        <w:rPr>
          <w:rFonts w:ascii="Arial" w:eastAsia="Arial" w:hAnsi="Arial" w:cs="Arial"/>
        </w:rPr>
        <w:t>Stępnicki</w:t>
      </w:r>
      <w:proofErr w:type="spellEnd"/>
      <w:r>
        <w:rPr>
          <w:rFonts w:ascii="Arial" w:eastAsia="Arial" w:hAnsi="Arial" w:cs="Arial"/>
        </w:rPr>
        <w:t xml:space="preserve"> et al., 2018). Remission is the intended outcome of treatment, which is defined as six months of no symptoms or minor symptoms that do not impair </w:t>
      </w:r>
      <w:proofErr w:type="spellStart"/>
      <w:r>
        <w:rPr>
          <w:rFonts w:ascii="Arial" w:eastAsia="Arial" w:hAnsi="Arial" w:cs="Arial"/>
        </w:rPr>
        <w:t>behavior</w:t>
      </w:r>
      <w:proofErr w:type="spellEnd"/>
      <w:r>
        <w:rPr>
          <w:rFonts w:ascii="Arial" w:eastAsia="Arial" w:hAnsi="Arial" w:cs="Arial"/>
        </w:rPr>
        <w:t xml:space="preserve">. Antipsychotic agents (first- and second-generation) are the first-line treatment for patients with schizophrenia (Morris &amp; </w:t>
      </w:r>
      <w:proofErr w:type="spellStart"/>
      <w:r>
        <w:rPr>
          <w:rFonts w:ascii="Arial" w:eastAsia="Arial" w:hAnsi="Arial" w:cs="Arial"/>
        </w:rPr>
        <w:t>Tarpada</w:t>
      </w:r>
      <w:proofErr w:type="spellEnd"/>
      <w:r>
        <w:rPr>
          <w:rFonts w:ascii="Arial" w:eastAsia="Arial" w:hAnsi="Arial" w:cs="Arial"/>
        </w:rPr>
        <w:t>, 2017). Numerous guidelines encourage initiating antipsychotic therapy as soon as feasible following the identification of psychotic symptoms and/or the patient's schizophrenia diagnosis. When a patient exhibits psychotic symptoms, a referral to a psychiatric health expert is advisable. Furthermore, primary care physicians should initiate antipsychotic drugs after consulting a psychiatrist. Patient preferences, dose schedules, adverse effect profiles, and economic concerns should all be considered during the initial antipsychotic selection process. </w:t>
      </w:r>
    </w:p>
    <w:p w14:paraId="00000033" w14:textId="77777777" w:rsidR="0050289E" w:rsidRDefault="00835861">
      <w:pPr>
        <w:spacing w:line="360" w:lineRule="auto"/>
        <w:ind w:firstLine="720"/>
        <w:rPr>
          <w:rFonts w:ascii="Arial" w:eastAsia="Arial" w:hAnsi="Arial" w:cs="Arial"/>
        </w:rPr>
      </w:pPr>
      <w:r>
        <w:rPr>
          <w:rFonts w:ascii="Arial" w:eastAsia="Arial" w:hAnsi="Arial" w:cs="Arial"/>
        </w:rPr>
        <w:t>Multiple flare-ups, partial symptom remission, persistent cognitive difficulties, and occupational and social functional decline distinguish the course of schizophrenia (Emsley &amp; Kilian, 2018). Due to the unsatisfactory effectiveness associated with antipsychotics and safety, there is no approved treatment for prodromal schizophrenia (Lin &amp; Lane, 2019). Besides the critical need to establish an efficient early diagnostic strategy for schizophrenia, an equally efficacious therapeutic intervention is necessary, particularly in its prodromal stage. Failure to comply with antipsychotics plays a significant role in this poor outcome. To address non-compliance, long-acting injectable antipsychotics were approved as possible remedies and are more frequently thought of as an early treatment option to reduce morbidity (Emsley &amp; Kilian, 2018). Examples of second-generation antipsychotic medications with long-acting formulations include risperidone, olanzapine, paliperidone, and aripiprazole (Biagi et al., 2017). In schizophrenia, which is characterised by poor antipsychotic drug adherence that results in multiple readmissions and a significant burden of care, long-acting formulations target preventing relapse.</w:t>
      </w:r>
    </w:p>
    <w:p w14:paraId="0C5445EF" w14:textId="2E21CA77" w:rsidR="00835861" w:rsidRDefault="00835861" w:rsidP="00835861">
      <w:pPr>
        <w:pStyle w:val="Heading2"/>
        <w:jc w:val="center"/>
      </w:pPr>
      <w:bookmarkStart w:id="5" w:name="_Toc120880902"/>
      <w:r>
        <w:t>First-Line Treatment</w:t>
      </w:r>
      <w:bookmarkEnd w:id="5"/>
    </w:p>
    <w:p w14:paraId="6160F7AB" w14:textId="77777777" w:rsidR="00835861" w:rsidRPr="00835861" w:rsidRDefault="00835861" w:rsidP="00835861"/>
    <w:p w14:paraId="00000034" w14:textId="4FEB2E19" w:rsidR="0050289E" w:rsidRDefault="00835861">
      <w:pPr>
        <w:spacing w:line="360" w:lineRule="auto"/>
        <w:ind w:firstLine="720"/>
        <w:rPr>
          <w:rFonts w:ascii="Arial" w:eastAsia="Arial" w:hAnsi="Arial" w:cs="Arial"/>
        </w:rPr>
      </w:pPr>
      <w:r>
        <w:rPr>
          <w:rFonts w:ascii="Arial" w:eastAsia="Arial" w:hAnsi="Arial" w:cs="Arial"/>
        </w:rPr>
        <w:t xml:space="preserve">It is recommended that the clinician administers second-generation oral antipsychotics when first treating acute psychosis. Such antipsychotics include ziprasidone, aripiprazole, </w:t>
      </w:r>
      <w:proofErr w:type="spellStart"/>
      <w:r>
        <w:rPr>
          <w:rFonts w:ascii="Arial" w:eastAsia="Arial" w:hAnsi="Arial" w:cs="Arial"/>
        </w:rPr>
        <w:t>asenapine</w:t>
      </w:r>
      <w:proofErr w:type="spellEnd"/>
      <w:r>
        <w:rPr>
          <w:rFonts w:ascii="Arial" w:eastAsia="Arial" w:hAnsi="Arial" w:cs="Arial"/>
        </w:rPr>
        <w:t xml:space="preserve">, olanzapine, risperidone, molindone, </w:t>
      </w:r>
      <w:proofErr w:type="spellStart"/>
      <w:r>
        <w:rPr>
          <w:rFonts w:ascii="Arial" w:eastAsia="Arial" w:hAnsi="Arial" w:cs="Arial"/>
        </w:rPr>
        <w:t>sertindole</w:t>
      </w:r>
      <w:proofErr w:type="spellEnd"/>
      <w:r>
        <w:rPr>
          <w:rFonts w:ascii="Arial" w:eastAsia="Arial" w:hAnsi="Arial" w:cs="Arial"/>
        </w:rPr>
        <w:t xml:space="preserve">, and iloperidone. The patient's clinical presentation, accompanied by non-acute anxiety and </w:t>
      </w:r>
      <w:proofErr w:type="spellStart"/>
      <w:r>
        <w:rPr>
          <w:rFonts w:ascii="Arial" w:eastAsia="Arial" w:hAnsi="Arial" w:cs="Arial"/>
        </w:rPr>
        <w:t>behavioral</w:t>
      </w:r>
      <w:proofErr w:type="spellEnd"/>
      <w:r>
        <w:rPr>
          <w:rFonts w:ascii="Arial" w:eastAsia="Arial" w:hAnsi="Arial" w:cs="Arial"/>
        </w:rPr>
        <w:t xml:space="preserve"> disturbances, could sometimes warrant administering second-generation antipsychotics alongside benzodiazepines like clonazepam, diazepam, or lorazepam. Although not frequently used as a first-line intervention </w:t>
      </w:r>
      <w:r>
        <w:rPr>
          <w:rFonts w:ascii="Arial" w:eastAsia="Arial" w:hAnsi="Arial" w:cs="Arial"/>
        </w:rPr>
        <w:lastRenderedPageBreak/>
        <w:t xml:space="preserve">for acute psychosis, first-generation antipsychotics like haloperidol, pimozide, </w:t>
      </w:r>
      <w:proofErr w:type="spellStart"/>
      <w:r>
        <w:rPr>
          <w:rFonts w:ascii="Arial" w:eastAsia="Arial" w:hAnsi="Arial" w:cs="Arial"/>
        </w:rPr>
        <w:t>sulpiride</w:t>
      </w:r>
      <w:proofErr w:type="spellEnd"/>
      <w:r>
        <w:rPr>
          <w:rFonts w:ascii="Arial" w:eastAsia="Arial" w:hAnsi="Arial" w:cs="Arial"/>
        </w:rPr>
        <w:t>, trifluoperazine, fluphenazine, and chlorpromazine can be administered.</w:t>
      </w:r>
    </w:p>
    <w:p w14:paraId="00000035" w14:textId="77777777" w:rsidR="0050289E" w:rsidRDefault="00835861">
      <w:pPr>
        <w:spacing w:line="360" w:lineRule="auto"/>
        <w:ind w:firstLine="720"/>
        <w:rPr>
          <w:rFonts w:ascii="Arial" w:eastAsia="Arial" w:hAnsi="Arial" w:cs="Arial"/>
        </w:rPr>
      </w:pPr>
      <w:r>
        <w:rPr>
          <w:rFonts w:ascii="Arial" w:eastAsia="Arial" w:hAnsi="Arial" w:cs="Arial"/>
        </w:rPr>
        <w:t xml:space="preserve">For instance, Invega </w:t>
      </w:r>
      <w:proofErr w:type="spellStart"/>
      <w:r>
        <w:rPr>
          <w:rFonts w:ascii="Arial" w:eastAsia="Arial" w:hAnsi="Arial" w:cs="Arial"/>
        </w:rPr>
        <w:t>sustenna</w:t>
      </w:r>
      <w:proofErr w:type="spellEnd"/>
      <w:r>
        <w:rPr>
          <w:rFonts w:ascii="Arial" w:eastAsia="Arial" w:hAnsi="Arial" w:cs="Arial"/>
        </w:rPr>
        <w:t xml:space="preserve"> is recommended for patients who have previously taken oral or injectable risperidone and who have demonstrated oral risperidone tolerance (Biagi et al., 2017). Invega </w:t>
      </w:r>
      <w:proofErr w:type="spellStart"/>
      <w:r>
        <w:rPr>
          <w:rFonts w:ascii="Arial" w:eastAsia="Arial" w:hAnsi="Arial" w:cs="Arial"/>
        </w:rPr>
        <w:t>sustenna</w:t>
      </w:r>
      <w:proofErr w:type="spellEnd"/>
      <w:r>
        <w:rPr>
          <w:rFonts w:ascii="Arial" w:eastAsia="Arial" w:hAnsi="Arial" w:cs="Arial"/>
        </w:rPr>
        <w:t xml:space="preserve"> is a second-generation or atypical antipsychotic that treats schizophrenia and schizoaffective disorder by acting in the brain. Invega </w:t>
      </w:r>
      <w:proofErr w:type="spellStart"/>
      <w:r>
        <w:rPr>
          <w:rFonts w:ascii="Arial" w:eastAsia="Arial" w:hAnsi="Arial" w:cs="Arial"/>
        </w:rPr>
        <w:t>sustenna</w:t>
      </w:r>
      <w:proofErr w:type="spellEnd"/>
      <w:r>
        <w:rPr>
          <w:rFonts w:ascii="Arial" w:eastAsia="Arial" w:hAnsi="Arial" w:cs="Arial"/>
        </w:rPr>
        <w:t xml:space="preserve"> restores the equilibrium between serotonin and dopamine to enhance cognition, mood, and </w:t>
      </w:r>
      <w:proofErr w:type="spellStart"/>
      <w:r>
        <w:rPr>
          <w:rFonts w:ascii="Arial" w:eastAsia="Arial" w:hAnsi="Arial" w:cs="Arial"/>
        </w:rPr>
        <w:t>behavior</w:t>
      </w:r>
      <w:proofErr w:type="spellEnd"/>
      <w:r>
        <w:rPr>
          <w:rFonts w:ascii="Arial" w:eastAsia="Arial" w:hAnsi="Arial" w:cs="Arial"/>
        </w:rPr>
        <w:t xml:space="preserve">. The suggested starting dose of Invega </w:t>
      </w:r>
      <w:proofErr w:type="spellStart"/>
      <w:r>
        <w:rPr>
          <w:rFonts w:ascii="Arial" w:eastAsia="Arial" w:hAnsi="Arial" w:cs="Arial"/>
        </w:rPr>
        <w:t>sustenna</w:t>
      </w:r>
      <w:proofErr w:type="spellEnd"/>
      <w:r>
        <w:rPr>
          <w:rFonts w:ascii="Arial" w:eastAsia="Arial" w:hAnsi="Arial" w:cs="Arial"/>
        </w:rPr>
        <w:t xml:space="preserve"> is 234 mg on the first day of treatment, followed by 156 mg per week in the deltoid muscle. Invega </w:t>
      </w:r>
      <w:proofErr w:type="spellStart"/>
      <w:r>
        <w:rPr>
          <w:rFonts w:ascii="Arial" w:eastAsia="Arial" w:hAnsi="Arial" w:cs="Arial"/>
        </w:rPr>
        <w:t>Sustainer</w:t>
      </w:r>
      <w:proofErr w:type="spellEnd"/>
      <w:r>
        <w:rPr>
          <w:rFonts w:ascii="Arial" w:eastAsia="Arial" w:hAnsi="Arial" w:cs="Arial"/>
        </w:rPr>
        <w:t xml:space="preserve"> is meant for intramuscular administration only and should not be administered by any other route. The clinician can avoid accidental injection into blood vessels when a single dose is provided as opposed to separate injections. Atypical antipsychotics Zyprexa and Abilify may not be used because they are orally administered and may not be indicated if the patient has reservations about taking orally administered drugs (Kim and De Jesus, 2021). Because of a patient's altered mental status, oral pharmaceuticals may be limited and also help increase medication adherence.</w:t>
      </w:r>
    </w:p>
    <w:p w14:paraId="1E306C37" w14:textId="347DA539" w:rsidR="00835861" w:rsidRDefault="00835861" w:rsidP="00835861">
      <w:pPr>
        <w:pStyle w:val="Heading2"/>
        <w:jc w:val="center"/>
      </w:pPr>
      <w:bookmarkStart w:id="6" w:name="_Toc120880903"/>
      <w:r>
        <w:t>Treatment Resistance</w:t>
      </w:r>
      <w:bookmarkEnd w:id="6"/>
    </w:p>
    <w:p w14:paraId="53385A1E" w14:textId="77777777" w:rsidR="00835861" w:rsidRPr="00835861" w:rsidRDefault="00835861" w:rsidP="00835861"/>
    <w:p w14:paraId="00000036" w14:textId="42B44A4E" w:rsidR="0050289E" w:rsidRDefault="00835861">
      <w:pPr>
        <w:spacing w:line="360" w:lineRule="auto"/>
        <w:ind w:firstLine="720"/>
        <w:rPr>
          <w:rFonts w:ascii="Arial" w:eastAsia="Arial" w:hAnsi="Arial" w:cs="Arial"/>
        </w:rPr>
      </w:pPr>
      <w:r>
        <w:rPr>
          <w:rFonts w:ascii="Arial" w:eastAsia="Arial" w:hAnsi="Arial" w:cs="Arial"/>
        </w:rPr>
        <w:t xml:space="preserve">If symptoms do not improve with treatment, clozapine may be prescribed. Clozapine is administered as an alternative after treatment resistance is observed after the patient has been prescribed at least two different antipsychotics with observed treatment adherence (Flanagan et al., 2020). Besides clozapine, a clinician could combine antipsychotics and supplement the combination with such options as </w:t>
      </w:r>
      <w:proofErr w:type="spellStart"/>
      <w:r>
        <w:rPr>
          <w:rFonts w:ascii="Arial" w:eastAsia="Arial" w:hAnsi="Arial" w:cs="Arial"/>
        </w:rPr>
        <w:t>estradiol</w:t>
      </w:r>
      <w:proofErr w:type="spellEnd"/>
      <w:r>
        <w:rPr>
          <w:rFonts w:ascii="Arial" w:eastAsia="Arial" w:hAnsi="Arial" w:cs="Arial"/>
        </w:rPr>
        <w:t>, memantine, or allopurinol. Along with agranulocytosis, there is a need for improved management of significant clozapine-related side effects. Clozapine therapy lowers overall mortality in schizophrenia, partially by lowering suicidality.</w:t>
      </w:r>
    </w:p>
    <w:p w14:paraId="54AF63B4" w14:textId="6FC9231A" w:rsidR="00835861" w:rsidRDefault="00835861" w:rsidP="00835861">
      <w:pPr>
        <w:pStyle w:val="Heading2"/>
        <w:jc w:val="center"/>
      </w:pPr>
      <w:bookmarkStart w:id="7" w:name="_Toc120880904"/>
      <w:r>
        <w:t>The Maintenance Phase</w:t>
      </w:r>
      <w:bookmarkEnd w:id="7"/>
    </w:p>
    <w:p w14:paraId="12549A8E" w14:textId="77777777" w:rsidR="00835861" w:rsidRPr="00835861" w:rsidRDefault="00835861" w:rsidP="00835861"/>
    <w:p w14:paraId="00000037" w14:textId="1A734F21" w:rsidR="0050289E" w:rsidRDefault="00835861">
      <w:pPr>
        <w:spacing w:line="360" w:lineRule="auto"/>
        <w:ind w:firstLine="720"/>
        <w:rPr>
          <w:rFonts w:ascii="Arial" w:eastAsia="Arial" w:hAnsi="Arial" w:cs="Arial"/>
        </w:rPr>
      </w:pPr>
      <w:r>
        <w:rPr>
          <w:rFonts w:ascii="Arial" w:eastAsia="Arial" w:hAnsi="Arial" w:cs="Arial"/>
        </w:rPr>
        <w:t xml:space="preserve"> Prophylaxis and reintegration back into society are crucial post-maintenance phase goals (Shimomura et al., 2020). During the maintenance phase, the minimal effective dose of antipsychotics should be determined. Up to 1/3 of patients with post-schizophrenic depression should consider decreasing their antipsychotic dosage, getting help from antidepressants or anxiolytics, or switching to a second-generation antipsychotic if a dysphoric mood is present. Clinicians should address possible drug abuse using pharmaceutical and psychosocial methods </w:t>
      </w:r>
      <w:r>
        <w:rPr>
          <w:rFonts w:ascii="Arial" w:eastAsia="Arial" w:hAnsi="Arial" w:cs="Arial"/>
        </w:rPr>
        <w:lastRenderedPageBreak/>
        <w:t>among patients with schizophrenia. Otherwise, concomitant drug abuse could delay the remission of positive and negative symptoms. Patients with significant, ongoing substance abuse may receive clozapine.</w:t>
      </w:r>
    </w:p>
    <w:p w14:paraId="63E3BE17" w14:textId="11A6C557" w:rsidR="00835861" w:rsidRDefault="00835861" w:rsidP="00835861">
      <w:pPr>
        <w:pStyle w:val="Heading2"/>
        <w:jc w:val="center"/>
      </w:pPr>
      <w:bookmarkStart w:id="8" w:name="_Toc120880905"/>
      <w:r>
        <w:t>Antipsychotics Adverse Effects</w:t>
      </w:r>
      <w:bookmarkEnd w:id="8"/>
    </w:p>
    <w:p w14:paraId="45ED5580" w14:textId="77777777" w:rsidR="00835861" w:rsidRPr="00835861" w:rsidRDefault="00835861" w:rsidP="00835861"/>
    <w:p w14:paraId="00000038" w14:textId="42F59F0E" w:rsidR="0050289E" w:rsidRDefault="00835861">
      <w:pPr>
        <w:spacing w:line="360" w:lineRule="auto"/>
        <w:ind w:firstLine="720"/>
        <w:rPr>
          <w:rFonts w:ascii="Arial" w:eastAsia="Arial" w:hAnsi="Arial" w:cs="Arial"/>
        </w:rPr>
      </w:pPr>
      <w:r>
        <w:rPr>
          <w:rFonts w:ascii="Arial" w:eastAsia="Arial" w:hAnsi="Arial" w:cs="Arial"/>
        </w:rPr>
        <w:t>The efficacy of first- and second-generation antipsychotics are identical (Oh et al., 2020). At one year, the quality of life for patients treated with either pharmacological class is similar.  The fundamental distinction between these drugs is their negative affect characteristics; extrapyramidal symptoms are the most frequent side effects of first-generation antipsychotics while gaining weight and metabolic derangements are the most frequent side effects of second-generation antipsychotics. When choosing which class of drug to start, one should consider adverse reactions and past responses to antipsychotic medications.</w:t>
      </w:r>
    </w:p>
    <w:p w14:paraId="00000039" w14:textId="77777777" w:rsidR="0050289E" w:rsidRDefault="00835861">
      <w:pPr>
        <w:spacing w:line="360" w:lineRule="auto"/>
        <w:ind w:firstLine="720"/>
        <w:rPr>
          <w:rFonts w:ascii="Arial" w:eastAsia="Arial" w:hAnsi="Arial" w:cs="Arial"/>
        </w:rPr>
      </w:pPr>
      <w:r>
        <w:rPr>
          <w:rFonts w:ascii="Arial" w:eastAsia="Arial" w:hAnsi="Arial" w:cs="Arial"/>
        </w:rPr>
        <w:t>Some of the possible adverse effects associated with antipsychotics include dyskinesia, hyperprolactinemia, neuroleptic malignant syndrome, QT prolongation, leukopenia, seizures, cognitive impairment, and weight gain (</w:t>
      </w:r>
      <w:proofErr w:type="spellStart"/>
      <w:r>
        <w:rPr>
          <w:rFonts w:ascii="Arial" w:eastAsia="Arial" w:hAnsi="Arial" w:cs="Arial"/>
        </w:rPr>
        <w:t>Minwalla</w:t>
      </w:r>
      <w:proofErr w:type="spellEnd"/>
      <w:r>
        <w:rPr>
          <w:rFonts w:ascii="Arial" w:eastAsia="Arial" w:hAnsi="Arial" w:cs="Arial"/>
        </w:rPr>
        <w:t xml:space="preserve"> et al., 2021). Most antipsychotics cause weight gain, however, Invega </w:t>
      </w:r>
      <w:proofErr w:type="spellStart"/>
      <w:r>
        <w:rPr>
          <w:rFonts w:ascii="Arial" w:eastAsia="Arial" w:hAnsi="Arial" w:cs="Arial"/>
        </w:rPr>
        <w:t>sustenna</w:t>
      </w:r>
      <w:proofErr w:type="spellEnd"/>
      <w:r>
        <w:rPr>
          <w:rFonts w:ascii="Arial" w:eastAsia="Arial" w:hAnsi="Arial" w:cs="Arial"/>
        </w:rPr>
        <w:t xml:space="preserve"> has the lowest risk. The patient may appear with fast weight gain during the early phase of antipsychotic therapy and may continue to gain weight in the long term, but most cases have a steady fall in weight growth that flattens over several months. An alternate therapeutic agent with a lower tendency to cause a weight gain is an option that increases the chance of illness relapse. Dietary </w:t>
      </w:r>
      <w:proofErr w:type="spellStart"/>
      <w:r>
        <w:rPr>
          <w:rFonts w:ascii="Arial" w:eastAsia="Arial" w:hAnsi="Arial" w:cs="Arial"/>
        </w:rPr>
        <w:t>counseling</w:t>
      </w:r>
      <w:proofErr w:type="spellEnd"/>
      <w:r>
        <w:rPr>
          <w:rFonts w:ascii="Arial" w:eastAsia="Arial" w:hAnsi="Arial" w:cs="Arial"/>
        </w:rPr>
        <w:t xml:space="preserve">, as a non-pharmacologic intervention, as well as exercise programs and </w:t>
      </w:r>
      <w:proofErr w:type="spellStart"/>
      <w:r>
        <w:rPr>
          <w:rFonts w:ascii="Arial" w:eastAsia="Arial" w:hAnsi="Arial" w:cs="Arial"/>
        </w:rPr>
        <w:t>behavioral</w:t>
      </w:r>
      <w:proofErr w:type="spellEnd"/>
      <w:r>
        <w:rPr>
          <w:rFonts w:ascii="Arial" w:eastAsia="Arial" w:hAnsi="Arial" w:cs="Arial"/>
        </w:rPr>
        <w:t xml:space="preserve"> and cognitive methods, can be effective in handling other side effects of antipsychotics. Non-pharmacologic intervention and prevention techniques have a marginal impact on weight and are appropriate for addressing slight weight increases. Ethical considerations would include informing the patient about any potential antipsychotic adverse effects. In the event of undesirable consequences, the patient would have to be involved in the referral process, and considerations such as affordability and a patient's willingness to participate were confirmed.</w:t>
      </w:r>
    </w:p>
    <w:p w14:paraId="0000003A" w14:textId="77777777" w:rsidR="0050289E" w:rsidRDefault="00835861">
      <w:pPr>
        <w:spacing w:line="360" w:lineRule="auto"/>
        <w:ind w:firstLine="720"/>
        <w:rPr>
          <w:rFonts w:ascii="Arial" w:eastAsia="Arial" w:hAnsi="Arial" w:cs="Arial"/>
        </w:rPr>
      </w:pPr>
      <w:r>
        <w:rPr>
          <w:rFonts w:ascii="Arial" w:eastAsia="Arial" w:hAnsi="Arial" w:cs="Arial"/>
        </w:rPr>
        <w:t>It is debatable how to handle those who have been diagnosed as being at risk of schizophrenia. Although there is no long-term evidence regarding individual CBT's effectiveness in preventing a psychotic episode or lessening its severity, treatment of co-existing disorders as well as individual CBT and family intervention are encouraged.</w:t>
      </w:r>
    </w:p>
    <w:p w14:paraId="0000003B" w14:textId="74FA8DCB" w:rsidR="0050289E" w:rsidRDefault="00835861" w:rsidP="00835861">
      <w:pPr>
        <w:pStyle w:val="Heading1"/>
        <w:jc w:val="center"/>
      </w:pPr>
      <w:bookmarkStart w:id="9" w:name="_Toc120880906"/>
      <w:r>
        <w:lastRenderedPageBreak/>
        <w:t>Measurements of Rehabilitation</w:t>
      </w:r>
      <w:bookmarkEnd w:id="9"/>
    </w:p>
    <w:p w14:paraId="4B1E967D" w14:textId="77777777" w:rsidR="00835861" w:rsidRPr="00835861" w:rsidRDefault="00835861" w:rsidP="00835861"/>
    <w:p w14:paraId="0000003C" w14:textId="77777777" w:rsidR="0050289E" w:rsidRDefault="00835861">
      <w:pPr>
        <w:spacing w:line="360" w:lineRule="auto"/>
        <w:ind w:firstLine="720"/>
        <w:rPr>
          <w:rFonts w:ascii="Arial" w:eastAsia="Arial" w:hAnsi="Arial" w:cs="Arial"/>
        </w:rPr>
      </w:pPr>
      <w:r>
        <w:rPr>
          <w:rFonts w:ascii="Arial" w:eastAsia="Arial" w:hAnsi="Arial" w:cs="Arial"/>
        </w:rPr>
        <w:t xml:space="preserve">Despite receiving psychiatric care, approximately 14% of the patients make a full recovery following a first psychotic episode. Interventions in rehabilitation have been created to enhance functional outcomes and support healing. Even after clinical improvement, however, patients with schizophrenia continue to have cognitive deficits. The goals of rehabilitation programs are to improve the patient's quality of life and level of functioning. </w:t>
      </w:r>
    </w:p>
    <w:p w14:paraId="0000003D" w14:textId="77777777" w:rsidR="0050289E" w:rsidRDefault="00835861">
      <w:pPr>
        <w:spacing w:line="360" w:lineRule="auto"/>
        <w:ind w:firstLine="720"/>
        <w:rPr>
          <w:rFonts w:ascii="Arial" w:eastAsia="Arial" w:hAnsi="Arial" w:cs="Arial"/>
        </w:rPr>
      </w:pPr>
      <w:r>
        <w:rPr>
          <w:rFonts w:ascii="Arial" w:eastAsia="Arial" w:hAnsi="Arial" w:cs="Arial"/>
        </w:rPr>
        <w:t>Approximately 80% of schizophrenic patients present with cognitive impairment (</w:t>
      </w:r>
      <w:proofErr w:type="spellStart"/>
      <w:r>
        <w:rPr>
          <w:rFonts w:ascii="Arial" w:eastAsia="Arial" w:hAnsi="Arial" w:cs="Arial"/>
        </w:rPr>
        <w:t>Moummourtty</w:t>
      </w:r>
      <w:proofErr w:type="spellEnd"/>
      <w:r>
        <w:rPr>
          <w:rFonts w:ascii="Arial" w:eastAsia="Arial" w:hAnsi="Arial" w:cs="Arial"/>
        </w:rPr>
        <w:t xml:space="preserve"> et al., 2017). Creating a patient's cognitive profile can help determine the strengths and weaknesses of the patient's cognition as well as the functional effects of a cognitive deficit. </w:t>
      </w:r>
      <w:proofErr w:type="gramStart"/>
      <w:r>
        <w:rPr>
          <w:rFonts w:ascii="Arial" w:eastAsia="Arial" w:hAnsi="Arial" w:cs="Arial"/>
        </w:rPr>
        <w:t>The majority of</w:t>
      </w:r>
      <w:proofErr w:type="gramEnd"/>
      <w:r>
        <w:rPr>
          <w:rFonts w:ascii="Arial" w:eastAsia="Arial" w:hAnsi="Arial" w:cs="Arial"/>
        </w:rPr>
        <w:t xml:space="preserve"> the patients may need help in such rehabilitation areas as vocational training, employment, leisure activities, accommodation, psychosocial modification, and skill training. Hence, a broad range of rehabilitation tools is critical to improving the standard of care delivered. With </w:t>
      </w:r>
      <w:proofErr w:type="gramStart"/>
      <w:r>
        <w:rPr>
          <w:rFonts w:ascii="Arial" w:eastAsia="Arial" w:hAnsi="Arial" w:cs="Arial"/>
        </w:rPr>
        <w:t>the majority of</w:t>
      </w:r>
      <w:proofErr w:type="gramEnd"/>
      <w:r>
        <w:rPr>
          <w:rFonts w:ascii="Arial" w:eastAsia="Arial" w:hAnsi="Arial" w:cs="Arial"/>
        </w:rPr>
        <w:t xml:space="preserve"> schizophrenia patients experiencing the first symptoms of the illness before age 30 and being assessed in the age bracket of 35 to 45, a standard scale can help evaluate the rehabilitation needs of the adult population (</w:t>
      </w:r>
      <w:proofErr w:type="spellStart"/>
      <w:r>
        <w:rPr>
          <w:rFonts w:ascii="Arial" w:eastAsia="Arial" w:hAnsi="Arial" w:cs="Arial"/>
        </w:rPr>
        <w:t>Moummourtty</w:t>
      </w:r>
      <w:proofErr w:type="spellEnd"/>
      <w:r>
        <w:rPr>
          <w:rFonts w:ascii="Arial" w:eastAsia="Arial" w:hAnsi="Arial" w:cs="Arial"/>
        </w:rPr>
        <w:t xml:space="preserve"> et al., 2017). For example, the </w:t>
      </w:r>
      <w:proofErr w:type="gramStart"/>
      <w:r>
        <w:rPr>
          <w:rFonts w:ascii="Arial" w:eastAsia="Arial" w:hAnsi="Arial" w:cs="Arial"/>
        </w:rPr>
        <w:t>aforementioned age</w:t>
      </w:r>
      <w:proofErr w:type="gramEnd"/>
      <w:r>
        <w:rPr>
          <w:rFonts w:ascii="Arial" w:eastAsia="Arial" w:hAnsi="Arial" w:cs="Arial"/>
        </w:rPr>
        <w:t xml:space="preserve"> bracket is synonymous with entry into marriage and the corresponding employment needs due to expectations of contributing to family upbringing. Most patients have a great need for skills training to help improve their social function and social skill competence for independent living and cognition, particularly if they lost their skills gradually or failed to acquire them due to the social consequences and chronicity of the illness.</w:t>
      </w:r>
    </w:p>
    <w:p w14:paraId="0000003E" w14:textId="77777777" w:rsidR="0050289E" w:rsidRDefault="00835861">
      <w:pPr>
        <w:spacing w:line="360" w:lineRule="auto"/>
        <w:ind w:firstLine="720"/>
        <w:rPr>
          <w:rFonts w:ascii="Arial" w:eastAsia="Arial" w:hAnsi="Arial" w:cs="Arial"/>
        </w:rPr>
      </w:pPr>
      <w:r>
        <w:rPr>
          <w:rFonts w:ascii="Arial" w:eastAsia="Arial" w:hAnsi="Arial" w:cs="Arial"/>
        </w:rPr>
        <w:t xml:space="preserve">Literature indicates that among the many tools of rehabilitation (including cognitive remediation, supported employment, cognitive </w:t>
      </w:r>
      <w:proofErr w:type="spellStart"/>
      <w:r>
        <w:rPr>
          <w:rFonts w:ascii="Arial" w:eastAsia="Arial" w:hAnsi="Arial" w:cs="Arial"/>
        </w:rPr>
        <w:t>behavioral</w:t>
      </w:r>
      <w:proofErr w:type="spellEnd"/>
      <w:r>
        <w:rPr>
          <w:rFonts w:ascii="Arial" w:eastAsia="Arial" w:hAnsi="Arial" w:cs="Arial"/>
        </w:rPr>
        <w:t xml:space="preserve"> therapy, and psychoeducation), cognitive remediation reduces the effects of cognitive deficiencies, social skills teach a variety of skills and, to a lesser extent, reduce negative symptoms, psychoeducation improves compliance and decreases relapses, and cognitive therapy lessens the severity of or distress associated with positive symptoms (Morin &amp; Franck, 2017). Given the role of cognitive impairment in functional ability, cognitive remediation seeks to reverse the impact of cognitive deficits on a patient's everyday functioning.</w:t>
      </w:r>
    </w:p>
    <w:p w14:paraId="0EBD2FB3" w14:textId="78016419" w:rsidR="00835861" w:rsidRDefault="00835861" w:rsidP="00835861">
      <w:pPr>
        <w:pStyle w:val="Heading2"/>
        <w:jc w:val="center"/>
      </w:pPr>
      <w:bookmarkStart w:id="10" w:name="_Toc120880907"/>
      <w:r>
        <w:t>Psychoeducation</w:t>
      </w:r>
      <w:bookmarkEnd w:id="10"/>
    </w:p>
    <w:p w14:paraId="686A001A" w14:textId="77777777" w:rsidR="00835861" w:rsidRPr="00835861" w:rsidRDefault="00835861" w:rsidP="00835861"/>
    <w:p w14:paraId="0000003F" w14:textId="2FF2C004" w:rsidR="0050289E" w:rsidRDefault="00835861">
      <w:pPr>
        <w:spacing w:line="360" w:lineRule="auto"/>
        <w:ind w:firstLine="720"/>
        <w:rPr>
          <w:rFonts w:ascii="Arial" w:eastAsia="Arial" w:hAnsi="Arial" w:cs="Arial"/>
        </w:rPr>
      </w:pPr>
      <w:r>
        <w:rPr>
          <w:rFonts w:ascii="Arial" w:eastAsia="Arial" w:hAnsi="Arial" w:cs="Arial"/>
        </w:rPr>
        <w:lastRenderedPageBreak/>
        <w:t xml:space="preserve"> Psychoeducation describes the systematic, structured provision of information regarding the illness and its treatment, laced with empathetic emotional content to help with </w:t>
      </w:r>
      <w:proofErr w:type="gramStart"/>
      <w:r>
        <w:rPr>
          <w:rFonts w:ascii="Arial" w:eastAsia="Arial" w:hAnsi="Arial" w:cs="Arial"/>
        </w:rPr>
        <w:t>coping(</w:t>
      </w:r>
      <w:proofErr w:type="gramEnd"/>
      <w:r>
        <w:rPr>
          <w:rFonts w:ascii="Arial" w:eastAsia="Arial" w:hAnsi="Arial" w:cs="Arial"/>
        </w:rPr>
        <w:t>Morin &amp; Franck, 2017). Since each program is designed and managed by health professionals, the structural foundation facilitates a collaborative relationship between the healthcare professionals and the patients or their family members. This collaboration facilitates burden-sharing and coordinated efforts toward the patient's soonest recovery. Also, healthcare professionals can help patients find meaning while undergoing treatment. Psycho-educational programs primarily carry information on the warning signs and symptoms of schizophrenia, relapse prevention, and psychosis treatment.</w:t>
      </w:r>
    </w:p>
    <w:p w14:paraId="54C55E09" w14:textId="37BB47C3" w:rsidR="00835861" w:rsidRDefault="00835861" w:rsidP="00835861">
      <w:pPr>
        <w:pStyle w:val="Heading2"/>
        <w:jc w:val="center"/>
      </w:pPr>
      <w:bookmarkStart w:id="11" w:name="_Toc120880908"/>
      <w:r>
        <w:t>Cognitive-</w:t>
      </w:r>
      <w:proofErr w:type="spellStart"/>
      <w:r>
        <w:t>behavioral</w:t>
      </w:r>
      <w:proofErr w:type="spellEnd"/>
      <w:r>
        <w:t xml:space="preserve"> therapy</w:t>
      </w:r>
      <w:bookmarkEnd w:id="11"/>
    </w:p>
    <w:p w14:paraId="26BCD0B8" w14:textId="77777777" w:rsidR="00835861" w:rsidRPr="00835861" w:rsidRDefault="00835861" w:rsidP="00835861"/>
    <w:p w14:paraId="00000040" w14:textId="3271DA02" w:rsidR="0050289E" w:rsidRDefault="00835861">
      <w:pPr>
        <w:spacing w:line="360" w:lineRule="auto"/>
        <w:ind w:firstLine="720"/>
        <w:rPr>
          <w:rFonts w:ascii="Arial" w:eastAsia="Arial" w:hAnsi="Arial" w:cs="Arial"/>
        </w:rPr>
      </w:pPr>
      <w:r>
        <w:rPr>
          <w:rFonts w:ascii="Arial" w:eastAsia="Arial" w:hAnsi="Arial" w:cs="Arial"/>
        </w:rPr>
        <w:t>Cognitive-</w:t>
      </w:r>
      <w:proofErr w:type="spellStart"/>
      <w:r>
        <w:rPr>
          <w:rFonts w:ascii="Arial" w:eastAsia="Arial" w:hAnsi="Arial" w:cs="Arial"/>
        </w:rPr>
        <w:t>behavioral</w:t>
      </w:r>
      <w:proofErr w:type="spellEnd"/>
      <w:r>
        <w:rPr>
          <w:rFonts w:ascii="Arial" w:eastAsia="Arial" w:hAnsi="Arial" w:cs="Arial"/>
        </w:rPr>
        <w:t xml:space="preserve"> therapy is a critical aspect of non-pharmacological therapy. The intervention comprises a heterogeneous team of therapies with similar features, including cognitive therapy and social skills </w:t>
      </w:r>
      <w:proofErr w:type="gramStart"/>
      <w:r>
        <w:rPr>
          <w:rFonts w:ascii="Arial" w:eastAsia="Arial" w:hAnsi="Arial" w:cs="Arial"/>
        </w:rPr>
        <w:t>training(</w:t>
      </w:r>
      <w:proofErr w:type="gramEnd"/>
      <w:r>
        <w:rPr>
          <w:rFonts w:ascii="Arial" w:eastAsia="Arial" w:hAnsi="Arial" w:cs="Arial"/>
        </w:rPr>
        <w:t xml:space="preserve">Morin &amp; Franck, 2017). CBT encourages the active participation of a patient, the prioritization of the needs, experiences, and demands of the patient, the definition of therapy objectives before treatment commences, a therapeutic alliance, and a defined short duration for achieving the treatment outcomes. In the long run, CBT aims to modify </w:t>
      </w:r>
      <w:proofErr w:type="spellStart"/>
      <w:r>
        <w:rPr>
          <w:rFonts w:ascii="Arial" w:eastAsia="Arial" w:hAnsi="Arial" w:cs="Arial"/>
        </w:rPr>
        <w:t>behavior</w:t>
      </w:r>
      <w:proofErr w:type="spellEnd"/>
      <w:r>
        <w:rPr>
          <w:rFonts w:ascii="Arial" w:eastAsia="Arial" w:hAnsi="Arial" w:cs="Arial"/>
        </w:rPr>
        <w:t xml:space="preserve"> and the pattern of dysfunctional thoughts. </w:t>
      </w:r>
    </w:p>
    <w:p w14:paraId="1FC4C0FE" w14:textId="1CF959EB" w:rsidR="00835861" w:rsidRDefault="00835861" w:rsidP="00835861">
      <w:pPr>
        <w:pStyle w:val="Heading2"/>
        <w:jc w:val="center"/>
      </w:pPr>
      <w:bookmarkStart w:id="12" w:name="_Toc120880909"/>
      <w:r>
        <w:t>Social skills training</w:t>
      </w:r>
      <w:bookmarkEnd w:id="12"/>
    </w:p>
    <w:p w14:paraId="24FB4159" w14:textId="77777777" w:rsidR="00835861" w:rsidRPr="00835861" w:rsidRDefault="00835861" w:rsidP="00835861"/>
    <w:p w14:paraId="00000041" w14:textId="48E54CEB" w:rsidR="0050289E" w:rsidRDefault="00835861">
      <w:pPr>
        <w:spacing w:line="360" w:lineRule="auto"/>
        <w:ind w:firstLine="720"/>
        <w:rPr>
          <w:rFonts w:ascii="Arial" w:eastAsia="Arial" w:hAnsi="Arial" w:cs="Arial"/>
        </w:rPr>
      </w:pPr>
      <w:r>
        <w:rPr>
          <w:rFonts w:ascii="Arial" w:eastAsia="Arial" w:hAnsi="Arial" w:cs="Arial"/>
        </w:rPr>
        <w:t xml:space="preserve">Social skills training aims to facilitate social cognition, social perception, and </w:t>
      </w:r>
      <w:proofErr w:type="spellStart"/>
      <w:r>
        <w:rPr>
          <w:rFonts w:ascii="Arial" w:eastAsia="Arial" w:hAnsi="Arial" w:cs="Arial"/>
        </w:rPr>
        <w:t>behavioral</w:t>
      </w:r>
      <w:proofErr w:type="spellEnd"/>
      <w:r>
        <w:rPr>
          <w:rFonts w:ascii="Arial" w:eastAsia="Arial" w:hAnsi="Arial" w:cs="Arial"/>
        </w:rPr>
        <w:t xml:space="preserve"> expression in responding. One of the primary impairments in people with schizophrenia is a lack of social </w:t>
      </w:r>
      <w:proofErr w:type="gramStart"/>
      <w:r>
        <w:rPr>
          <w:rFonts w:ascii="Arial" w:eastAsia="Arial" w:hAnsi="Arial" w:cs="Arial"/>
        </w:rPr>
        <w:t>skills(</w:t>
      </w:r>
      <w:proofErr w:type="gramEnd"/>
      <w:r>
        <w:rPr>
          <w:rFonts w:ascii="Arial" w:eastAsia="Arial" w:hAnsi="Arial" w:cs="Arial"/>
        </w:rPr>
        <w:t xml:space="preserve">Morin &amp; Franck, 2017). Improving a patient's social skills can restore the patient's autonomy and lead to improvements in symptoms like social withdrawal or isolation. Most social skills training practices adopt a similar method of teaching skills, including </w:t>
      </w:r>
      <w:proofErr w:type="gramStart"/>
      <w:r>
        <w:rPr>
          <w:rFonts w:ascii="Arial" w:eastAsia="Arial" w:hAnsi="Arial" w:cs="Arial"/>
        </w:rPr>
        <w:t>goal-setting</w:t>
      </w:r>
      <w:proofErr w:type="gramEnd"/>
      <w:r>
        <w:rPr>
          <w:rFonts w:ascii="Arial" w:eastAsia="Arial" w:hAnsi="Arial" w:cs="Arial"/>
        </w:rPr>
        <w:t>, role-</w:t>
      </w:r>
      <w:proofErr w:type="spellStart"/>
      <w:r>
        <w:rPr>
          <w:rFonts w:ascii="Arial" w:eastAsia="Arial" w:hAnsi="Arial" w:cs="Arial"/>
        </w:rPr>
        <w:t>modeling</w:t>
      </w:r>
      <w:proofErr w:type="spellEnd"/>
      <w:r>
        <w:rPr>
          <w:rFonts w:ascii="Arial" w:eastAsia="Arial" w:hAnsi="Arial" w:cs="Arial"/>
        </w:rPr>
        <w:t xml:space="preserve">, </w:t>
      </w:r>
      <w:proofErr w:type="spellStart"/>
      <w:r>
        <w:rPr>
          <w:rFonts w:ascii="Arial" w:eastAsia="Arial" w:hAnsi="Arial" w:cs="Arial"/>
        </w:rPr>
        <w:t>behavioral</w:t>
      </w:r>
      <w:proofErr w:type="spellEnd"/>
      <w:r>
        <w:rPr>
          <w:rFonts w:ascii="Arial" w:eastAsia="Arial" w:hAnsi="Arial" w:cs="Arial"/>
        </w:rPr>
        <w:t xml:space="preserve"> guided practice, verbal praise, constructive feedback, problem-solving methods, and home tasks to practice skills and encourage generalization, despite differences in the application environment, timeframe, and substance.</w:t>
      </w:r>
    </w:p>
    <w:p w14:paraId="00000042" w14:textId="77777777" w:rsidR="0050289E" w:rsidRDefault="00835861">
      <w:pPr>
        <w:spacing w:line="360" w:lineRule="auto"/>
        <w:ind w:firstLine="720"/>
        <w:rPr>
          <w:rFonts w:ascii="Arial" w:eastAsia="Arial" w:hAnsi="Arial" w:cs="Arial"/>
        </w:rPr>
      </w:pPr>
      <w:r>
        <w:rPr>
          <w:rFonts w:ascii="Arial" w:eastAsia="Arial" w:hAnsi="Arial" w:cs="Arial"/>
        </w:rPr>
        <w:t>To address possible conflicts arising from a schizophrenic person</w:t>
      </w:r>
      <w:r>
        <w:rPr>
          <w:rFonts w:ascii="Arial" w:eastAsia="Arial" w:hAnsi="Arial" w:cs="Arial"/>
          <w:color w:val="000000"/>
          <w:highlight w:val="white"/>
        </w:rPr>
        <w:t xml:space="preserve"> </w:t>
      </w:r>
      <w:r>
        <w:rPr>
          <w:rFonts w:ascii="Arial" w:eastAsia="Arial" w:hAnsi="Arial" w:cs="Arial"/>
        </w:rPr>
        <w:t>enrolled in a rehabilitation program, clinicians can organize regular group meetings with the patients and their care providers to resolve disagreements, besides incorporating stress reduction and relaxation techniques. Otherwise, patients may lose interest in and motivation for the rehabilitation programs.</w:t>
      </w:r>
    </w:p>
    <w:p w14:paraId="00000043" w14:textId="54025CF3" w:rsidR="0050289E" w:rsidRDefault="00835861" w:rsidP="00835861">
      <w:pPr>
        <w:pStyle w:val="Heading1"/>
        <w:jc w:val="center"/>
      </w:pPr>
      <w:bookmarkStart w:id="13" w:name="_Toc120880910"/>
      <w:r>
        <w:lastRenderedPageBreak/>
        <w:t>Conclusion</w:t>
      </w:r>
      <w:bookmarkEnd w:id="13"/>
    </w:p>
    <w:p w14:paraId="79B4B7AE" w14:textId="77777777" w:rsidR="00835861" w:rsidRPr="00835861" w:rsidRDefault="00835861" w:rsidP="00835861"/>
    <w:p w14:paraId="00000044" w14:textId="77777777" w:rsidR="0050289E" w:rsidRDefault="00835861">
      <w:pPr>
        <w:spacing w:line="360" w:lineRule="auto"/>
        <w:ind w:firstLine="720"/>
        <w:rPr>
          <w:rFonts w:ascii="Arial" w:eastAsia="Arial" w:hAnsi="Arial" w:cs="Arial"/>
        </w:rPr>
      </w:pPr>
      <w:r>
        <w:rPr>
          <w:rFonts w:ascii="Arial" w:eastAsia="Arial" w:hAnsi="Arial" w:cs="Arial"/>
        </w:rPr>
        <w:t>Therapy-resistant schizophrenia drives up medical expenses while lowering A patient's quality of life. A comprehensive assessment of the projected symptom reduction, the influence of pharmaceutical side effects, and patient preference should be used to help determine the best antipsychotic medication to control schizophrenia. Antipsychotic drugs are the most effective first-line treatment for easing general schizophrenia symptoms and averting recurrence. Antipsychotic drug-treated schizophrenia patients report enhanced quality of life despite shortcomings like weight gain, drowsiness, and mobility difficulties. As a result, all patients presenting with symptom improvement following medication adherence should receive antipsychotic maintenance therapy. Although realizing a substantial impact may take several months, a patient's response to treatment during the first two to four weeks is highly indicative of their long-term response. Before stopping the pharmacologic treatment or switching to a different prescription, patients should get a sufficient trial of therapy (at least four weeks at a therapeutic dose).</w:t>
      </w:r>
    </w:p>
    <w:p w14:paraId="3E24A089" w14:textId="77777777" w:rsidR="00835861" w:rsidRDefault="00835861">
      <w:pPr>
        <w:spacing w:after="0" w:line="360" w:lineRule="auto"/>
        <w:jc w:val="center"/>
        <w:rPr>
          <w:rFonts w:ascii="Arial" w:eastAsia="Arial" w:hAnsi="Arial" w:cs="Arial"/>
        </w:rPr>
      </w:pPr>
      <w:bookmarkStart w:id="14" w:name="_gjdgxs" w:colFirst="0" w:colLast="0"/>
      <w:bookmarkEnd w:id="14"/>
      <w:r>
        <w:rPr>
          <w:rFonts w:ascii="Arial" w:eastAsia="Arial" w:hAnsi="Arial" w:cs="Arial"/>
        </w:rPr>
        <w:br w:type="page"/>
      </w:r>
    </w:p>
    <w:p w14:paraId="00000048" w14:textId="48E2C176" w:rsidR="0050289E" w:rsidRDefault="00835861" w:rsidP="00835861">
      <w:pPr>
        <w:pStyle w:val="Heading1"/>
        <w:jc w:val="center"/>
      </w:pPr>
      <w:bookmarkStart w:id="15" w:name="_Toc120880911"/>
      <w:r>
        <w:lastRenderedPageBreak/>
        <w:t>References</w:t>
      </w:r>
      <w:bookmarkEnd w:id="15"/>
    </w:p>
    <w:p w14:paraId="00000049" w14:textId="77777777" w:rsidR="0050289E" w:rsidRDefault="0050289E">
      <w:pPr>
        <w:spacing w:after="0" w:line="360" w:lineRule="auto"/>
        <w:jc w:val="center"/>
        <w:rPr>
          <w:rFonts w:ascii="Arial" w:eastAsia="Arial" w:hAnsi="Arial" w:cs="Arial"/>
        </w:rPr>
      </w:pPr>
    </w:p>
    <w:p w14:paraId="0000004A" w14:textId="77777777" w:rsidR="0050289E" w:rsidRDefault="00835861">
      <w:pPr>
        <w:spacing w:line="360" w:lineRule="auto"/>
        <w:ind w:left="720" w:hanging="720"/>
        <w:rPr>
          <w:rFonts w:ascii="Arial" w:eastAsia="Arial" w:hAnsi="Arial" w:cs="Arial"/>
        </w:rPr>
      </w:pPr>
      <w:r>
        <w:rPr>
          <w:rFonts w:ascii="Arial" w:eastAsia="Arial" w:hAnsi="Arial" w:cs="Arial"/>
        </w:rPr>
        <w:t>Abdullah, H. M., Azeb Shahul, H., Hwang, M. Y., &amp; Ferrando, S. (2020). Comorbidity in Schizophrenia: Conceptual Issues and Clinical Management. </w:t>
      </w:r>
      <w:r>
        <w:rPr>
          <w:rFonts w:ascii="Arial" w:eastAsia="Arial" w:hAnsi="Arial" w:cs="Arial"/>
          <w:i/>
        </w:rPr>
        <w:t>Focus (American Psychiatric Publishing)</w:t>
      </w:r>
      <w:r>
        <w:rPr>
          <w:rFonts w:ascii="Arial" w:eastAsia="Arial" w:hAnsi="Arial" w:cs="Arial"/>
        </w:rPr>
        <w:t>, </w:t>
      </w:r>
      <w:r>
        <w:rPr>
          <w:rFonts w:ascii="Arial" w:eastAsia="Arial" w:hAnsi="Arial" w:cs="Arial"/>
          <w:i/>
        </w:rPr>
        <w:t>18</w:t>
      </w:r>
      <w:r>
        <w:rPr>
          <w:rFonts w:ascii="Arial" w:eastAsia="Arial" w:hAnsi="Arial" w:cs="Arial"/>
        </w:rPr>
        <w:t>(4), 386–390. https://doi.org/10.1176/appi.focus.20200026</w:t>
      </w:r>
    </w:p>
    <w:p w14:paraId="0000004B" w14:textId="77777777" w:rsidR="0050289E" w:rsidRDefault="00835861">
      <w:pPr>
        <w:spacing w:line="360" w:lineRule="auto"/>
        <w:ind w:left="720" w:hanging="720"/>
        <w:rPr>
          <w:rFonts w:ascii="Arial" w:eastAsia="Arial" w:hAnsi="Arial" w:cs="Arial"/>
        </w:rPr>
      </w:pPr>
      <w:r>
        <w:rPr>
          <w:rFonts w:ascii="Arial" w:eastAsia="Arial" w:hAnsi="Arial" w:cs="Arial"/>
        </w:rPr>
        <w:t xml:space="preserve">Biagi, E., Capuzzi, E., </w:t>
      </w:r>
      <w:proofErr w:type="spellStart"/>
      <w:r>
        <w:rPr>
          <w:rFonts w:ascii="Arial" w:eastAsia="Arial" w:hAnsi="Arial" w:cs="Arial"/>
        </w:rPr>
        <w:t>Colmegna</w:t>
      </w:r>
      <w:proofErr w:type="spellEnd"/>
      <w:r>
        <w:rPr>
          <w:rFonts w:ascii="Arial" w:eastAsia="Arial" w:hAnsi="Arial" w:cs="Arial"/>
        </w:rPr>
        <w:t xml:space="preserve">, F., </w:t>
      </w:r>
      <w:proofErr w:type="spellStart"/>
      <w:r>
        <w:rPr>
          <w:rFonts w:ascii="Arial" w:eastAsia="Arial" w:hAnsi="Arial" w:cs="Arial"/>
        </w:rPr>
        <w:t>Mascarini</w:t>
      </w:r>
      <w:proofErr w:type="spellEnd"/>
      <w:r>
        <w:rPr>
          <w:rFonts w:ascii="Arial" w:eastAsia="Arial" w:hAnsi="Arial" w:cs="Arial"/>
        </w:rPr>
        <w:t xml:space="preserve">, A., Brambilla, G., Ornaghi, A., </w:t>
      </w:r>
      <w:proofErr w:type="spellStart"/>
      <w:r>
        <w:rPr>
          <w:rFonts w:ascii="Arial" w:eastAsia="Arial" w:hAnsi="Arial" w:cs="Arial"/>
        </w:rPr>
        <w:t>Santambrogio</w:t>
      </w:r>
      <w:proofErr w:type="spellEnd"/>
      <w:r>
        <w:rPr>
          <w:rFonts w:ascii="Arial" w:eastAsia="Arial" w:hAnsi="Arial" w:cs="Arial"/>
        </w:rPr>
        <w:t>, J., &amp; Clerici, M. (2017). Long-Acting Injectable Antipsychotics in Schizophrenia: Literature Review and Practical Perspective, with a Focus on Aripiprazole Once-Monthly. </w:t>
      </w:r>
      <w:r>
        <w:rPr>
          <w:rFonts w:ascii="Arial" w:eastAsia="Arial" w:hAnsi="Arial" w:cs="Arial"/>
          <w:i/>
        </w:rPr>
        <w:t>Advances in therapy</w:t>
      </w:r>
      <w:r>
        <w:rPr>
          <w:rFonts w:ascii="Arial" w:eastAsia="Arial" w:hAnsi="Arial" w:cs="Arial"/>
        </w:rPr>
        <w:t>, </w:t>
      </w:r>
      <w:r>
        <w:rPr>
          <w:rFonts w:ascii="Arial" w:eastAsia="Arial" w:hAnsi="Arial" w:cs="Arial"/>
          <w:i/>
        </w:rPr>
        <w:t>34</w:t>
      </w:r>
      <w:r>
        <w:rPr>
          <w:rFonts w:ascii="Arial" w:eastAsia="Arial" w:hAnsi="Arial" w:cs="Arial"/>
        </w:rPr>
        <w:t>(5), 1036–1048. https://doi.org/10.1007/s12325-017-0507-x</w:t>
      </w:r>
    </w:p>
    <w:p w14:paraId="0000004C" w14:textId="77777777" w:rsidR="0050289E" w:rsidRDefault="00835861">
      <w:pPr>
        <w:spacing w:line="360" w:lineRule="auto"/>
        <w:ind w:left="720" w:hanging="720"/>
        <w:rPr>
          <w:rFonts w:ascii="Arial" w:eastAsia="Arial" w:hAnsi="Arial" w:cs="Arial"/>
        </w:rPr>
      </w:pPr>
      <w:r>
        <w:rPr>
          <w:rFonts w:ascii="Arial" w:eastAsia="Arial" w:hAnsi="Arial" w:cs="Arial"/>
        </w:rPr>
        <w:t>ICD10. (2022). </w:t>
      </w:r>
      <w:r>
        <w:rPr>
          <w:rFonts w:ascii="Arial" w:eastAsia="Arial" w:hAnsi="Arial" w:cs="Arial"/>
          <w:i/>
        </w:rPr>
        <w:t>2023 ICD-10-CM Diagnosis Code F20.9: Schizophrenia, unspecified</w:t>
      </w:r>
      <w:r>
        <w:rPr>
          <w:rFonts w:ascii="Arial" w:eastAsia="Arial" w:hAnsi="Arial" w:cs="Arial"/>
        </w:rPr>
        <w:t>. </w:t>
      </w:r>
      <w:hyperlink r:id="rId8">
        <w:r>
          <w:rPr>
            <w:rFonts w:ascii="Arial" w:eastAsia="Arial" w:hAnsi="Arial" w:cs="Arial"/>
            <w:color w:val="0563C1"/>
            <w:u w:val="single"/>
          </w:rPr>
          <w:t>https://www.icd10data.com/ICD10CM/Codes/F01-F99/F20-F29/F20-/F20.9</w:t>
        </w:r>
      </w:hyperlink>
    </w:p>
    <w:p w14:paraId="0000004D" w14:textId="77777777" w:rsidR="0050289E" w:rsidRDefault="00835861">
      <w:pPr>
        <w:spacing w:line="360" w:lineRule="auto"/>
        <w:ind w:left="720" w:hanging="720"/>
        <w:rPr>
          <w:rFonts w:ascii="Arial" w:eastAsia="Arial" w:hAnsi="Arial" w:cs="Arial"/>
        </w:rPr>
      </w:pPr>
      <w:r>
        <w:rPr>
          <w:rFonts w:ascii="Arial" w:eastAsia="Arial" w:hAnsi="Arial" w:cs="Arial"/>
        </w:rPr>
        <w:t>Emsley, R., &amp; Kilian, S. (2018). Efficacy and safety profile of paliperidone palmitate injections in the management of patients with schizophrenia: an evidence-based review. </w:t>
      </w:r>
      <w:r>
        <w:rPr>
          <w:rFonts w:ascii="Arial" w:eastAsia="Arial" w:hAnsi="Arial" w:cs="Arial"/>
          <w:i/>
        </w:rPr>
        <w:t>Neuropsychiatric disease and treatment</w:t>
      </w:r>
      <w:r>
        <w:rPr>
          <w:rFonts w:ascii="Arial" w:eastAsia="Arial" w:hAnsi="Arial" w:cs="Arial"/>
        </w:rPr>
        <w:t>, </w:t>
      </w:r>
      <w:r>
        <w:rPr>
          <w:rFonts w:ascii="Arial" w:eastAsia="Arial" w:hAnsi="Arial" w:cs="Arial"/>
          <w:i/>
        </w:rPr>
        <w:t>14</w:t>
      </w:r>
      <w:r>
        <w:rPr>
          <w:rFonts w:ascii="Arial" w:eastAsia="Arial" w:hAnsi="Arial" w:cs="Arial"/>
        </w:rPr>
        <w:t>, 205–223. https://doi.org/10.2147/NDT.S139633</w:t>
      </w:r>
    </w:p>
    <w:p w14:paraId="0000004E" w14:textId="77777777" w:rsidR="0050289E" w:rsidRDefault="00835861">
      <w:pPr>
        <w:spacing w:line="360" w:lineRule="auto"/>
        <w:ind w:left="720" w:hanging="720"/>
        <w:rPr>
          <w:rFonts w:ascii="Arial" w:eastAsia="Arial" w:hAnsi="Arial" w:cs="Arial"/>
        </w:rPr>
      </w:pPr>
      <w:r>
        <w:rPr>
          <w:rFonts w:ascii="Arial" w:eastAsia="Arial" w:hAnsi="Arial" w:cs="Arial"/>
        </w:rPr>
        <w:t>Flanagan, R. J., Lally, J., Gee, S., Lyon, R., &amp; Every-Palmer, S. (2020). Clozapine in the treatment of refractory schizophrenia: a practical guide for healthcare professionals. </w:t>
      </w:r>
      <w:r>
        <w:rPr>
          <w:rFonts w:ascii="Arial" w:eastAsia="Arial" w:hAnsi="Arial" w:cs="Arial"/>
          <w:i/>
        </w:rPr>
        <w:t>British medical bulletin</w:t>
      </w:r>
      <w:r>
        <w:rPr>
          <w:rFonts w:ascii="Arial" w:eastAsia="Arial" w:hAnsi="Arial" w:cs="Arial"/>
        </w:rPr>
        <w:t>, </w:t>
      </w:r>
      <w:r>
        <w:rPr>
          <w:rFonts w:ascii="Arial" w:eastAsia="Arial" w:hAnsi="Arial" w:cs="Arial"/>
          <w:i/>
        </w:rPr>
        <w:t>135</w:t>
      </w:r>
      <w:r>
        <w:rPr>
          <w:rFonts w:ascii="Arial" w:eastAsia="Arial" w:hAnsi="Arial" w:cs="Arial"/>
        </w:rPr>
        <w:t>(1), 73–89. https://doi.org/10.1093/bmb/ldaa024</w:t>
      </w:r>
    </w:p>
    <w:p w14:paraId="0000004F" w14:textId="77777777" w:rsidR="0050289E" w:rsidRDefault="00835861">
      <w:pPr>
        <w:spacing w:line="360" w:lineRule="auto"/>
        <w:ind w:left="720" w:hanging="720"/>
        <w:rPr>
          <w:rFonts w:ascii="Arial" w:eastAsia="Arial" w:hAnsi="Arial" w:cs="Arial"/>
        </w:rPr>
      </w:pPr>
      <w:r>
        <w:rPr>
          <w:rFonts w:ascii="Arial" w:eastAsia="Arial" w:hAnsi="Arial" w:cs="Arial"/>
        </w:rPr>
        <w:t>Hany, M., Rehman, B., Azhar, Y., &amp; Chapman, J. (2022). Schizophrenia. In </w:t>
      </w:r>
      <w:proofErr w:type="spellStart"/>
      <w:r>
        <w:rPr>
          <w:rFonts w:ascii="Arial" w:eastAsia="Arial" w:hAnsi="Arial" w:cs="Arial"/>
          <w:i/>
        </w:rPr>
        <w:t>StatPearls</w:t>
      </w:r>
      <w:proofErr w:type="spellEnd"/>
      <w:r>
        <w:rPr>
          <w:rFonts w:ascii="Arial" w:eastAsia="Arial" w:hAnsi="Arial" w:cs="Arial"/>
        </w:rPr>
        <w:t xml:space="preserve">. </w:t>
      </w:r>
      <w:proofErr w:type="spellStart"/>
      <w:r>
        <w:rPr>
          <w:rFonts w:ascii="Arial" w:eastAsia="Arial" w:hAnsi="Arial" w:cs="Arial"/>
        </w:rPr>
        <w:t>StatPearls</w:t>
      </w:r>
      <w:proofErr w:type="spellEnd"/>
      <w:r>
        <w:rPr>
          <w:rFonts w:ascii="Arial" w:eastAsia="Arial" w:hAnsi="Arial" w:cs="Arial"/>
        </w:rPr>
        <w:t xml:space="preserve"> Publishing. </w:t>
      </w:r>
      <w:hyperlink r:id="rId9" w:anchor=":~:text=Unlike%20DSM%2D5%2C%20ICD%2D,residual%20schizophrenia%2C%20and%20simple%20schizophrenia">
        <w:r>
          <w:rPr>
            <w:rFonts w:ascii="Arial" w:eastAsia="Arial" w:hAnsi="Arial" w:cs="Arial"/>
            <w:color w:val="0563C1"/>
            <w:u w:val="single"/>
          </w:rPr>
          <w:t>https://www.ncbi.nlm.nih.gov/books/NBK539864/#:~:text=Unlike%20DSM%2D5%2C%20ICD%2D,residual%20schizophrenia%2C%20and%20simple%20schizophrenia</w:t>
        </w:r>
      </w:hyperlink>
      <w:r>
        <w:rPr>
          <w:rFonts w:ascii="Arial" w:eastAsia="Arial" w:hAnsi="Arial" w:cs="Arial"/>
        </w:rPr>
        <w:t>.</w:t>
      </w:r>
    </w:p>
    <w:p w14:paraId="00000050" w14:textId="77777777" w:rsidR="0050289E" w:rsidRDefault="00835861">
      <w:pPr>
        <w:spacing w:line="360" w:lineRule="auto"/>
        <w:ind w:left="720" w:hanging="720"/>
        <w:rPr>
          <w:rFonts w:ascii="Arial" w:eastAsia="Arial" w:hAnsi="Arial" w:cs="Arial"/>
        </w:rPr>
      </w:pPr>
      <w:r>
        <w:rPr>
          <w:rFonts w:ascii="Arial" w:eastAsia="Arial" w:hAnsi="Arial" w:cs="Arial"/>
        </w:rPr>
        <w:t>Kim, J., &amp; De Jesus, O. (2021). Medication Routes of Administration. In </w:t>
      </w:r>
      <w:proofErr w:type="spellStart"/>
      <w:r>
        <w:rPr>
          <w:rFonts w:ascii="Arial" w:eastAsia="Arial" w:hAnsi="Arial" w:cs="Arial"/>
          <w:i/>
        </w:rPr>
        <w:t>StatPearls</w:t>
      </w:r>
      <w:proofErr w:type="spellEnd"/>
      <w:r>
        <w:rPr>
          <w:rFonts w:ascii="Arial" w:eastAsia="Arial" w:hAnsi="Arial" w:cs="Arial"/>
        </w:rPr>
        <w:t xml:space="preserve">. </w:t>
      </w:r>
      <w:proofErr w:type="spellStart"/>
      <w:r>
        <w:rPr>
          <w:rFonts w:ascii="Arial" w:eastAsia="Arial" w:hAnsi="Arial" w:cs="Arial"/>
        </w:rPr>
        <w:t>StatPearls</w:t>
      </w:r>
      <w:proofErr w:type="spellEnd"/>
      <w:r>
        <w:rPr>
          <w:rFonts w:ascii="Arial" w:eastAsia="Arial" w:hAnsi="Arial" w:cs="Arial"/>
        </w:rPr>
        <w:t xml:space="preserve"> Publishing.</w:t>
      </w:r>
    </w:p>
    <w:p w14:paraId="00000051" w14:textId="77777777" w:rsidR="0050289E" w:rsidRDefault="00835861">
      <w:pPr>
        <w:spacing w:line="360" w:lineRule="auto"/>
        <w:ind w:left="720" w:hanging="720"/>
        <w:rPr>
          <w:rFonts w:ascii="Arial" w:eastAsia="Arial" w:hAnsi="Arial" w:cs="Arial"/>
        </w:rPr>
      </w:pPr>
      <w:r>
        <w:rPr>
          <w:rFonts w:ascii="Arial" w:eastAsia="Arial" w:hAnsi="Arial" w:cs="Arial"/>
        </w:rPr>
        <w:t xml:space="preserve">Lin, C. H., &amp; Lane, H. Y. (2019). Early Identification and Intervention of Schizophrenia: Insight </w:t>
      </w:r>
      <w:proofErr w:type="gramStart"/>
      <w:r>
        <w:rPr>
          <w:rFonts w:ascii="Arial" w:eastAsia="Arial" w:hAnsi="Arial" w:cs="Arial"/>
        </w:rPr>
        <w:t>From</w:t>
      </w:r>
      <w:proofErr w:type="gramEnd"/>
      <w:r>
        <w:rPr>
          <w:rFonts w:ascii="Arial" w:eastAsia="Arial" w:hAnsi="Arial" w:cs="Arial"/>
        </w:rPr>
        <w:t xml:space="preserve"> Hypotheses of Glutamate Dysfunction and Oxidative Stress. </w:t>
      </w:r>
      <w:r>
        <w:rPr>
          <w:rFonts w:ascii="Arial" w:eastAsia="Arial" w:hAnsi="Arial" w:cs="Arial"/>
          <w:i/>
        </w:rPr>
        <w:t>Frontiers in psychiatry</w:t>
      </w:r>
      <w:r>
        <w:rPr>
          <w:rFonts w:ascii="Arial" w:eastAsia="Arial" w:hAnsi="Arial" w:cs="Arial"/>
        </w:rPr>
        <w:t>, </w:t>
      </w:r>
      <w:r>
        <w:rPr>
          <w:rFonts w:ascii="Arial" w:eastAsia="Arial" w:hAnsi="Arial" w:cs="Arial"/>
          <w:i/>
        </w:rPr>
        <w:t>10</w:t>
      </w:r>
      <w:r>
        <w:rPr>
          <w:rFonts w:ascii="Arial" w:eastAsia="Arial" w:hAnsi="Arial" w:cs="Arial"/>
        </w:rPr>
        <w:t xml:space="preserve">, 93. </w:t>
      </w:r>
      <w:hyperlink r:id="rId10">
        <w:r>
          <w:rPr>
            <w:rFonts w:ascii="Arial" w:eastAsia="Arial" w:hAnsi="Arial" w:cs="Arial"/>
            <w:color w:val="0563C1"/>
            <w:u w:val="single"/>
          </w:rPr>
          <w:t>https://doi.org/10.3389/fpsyt.2019.00093</w:t>
        </w:r>
      </w:hyperlink>
    </w:p>
    <w:p w14:paraId="00000052" w14:textId="77777777" w:rsidR="0050289E" w:rsidRDefault="00835861">
      <w:pPr>
        <w:spacing w:line="360" w:lineRule="auto"/>
        <w:ind w:left="720" w:hanging="720"/>
        <w:rPr>
          <w:rFonts w:ascii="Arial" w:eastAsia="Arial" w:hAnsi="Arial" w:cs="Arial"/>
        </w:rPr>
      </w:pPr>
      <w:proofErr w:type="spellStart"/>
      <w:r>
        <w:rPr>
          <w:rFonts w:ascii="Arial" w:eastAsia="Arial" w:hAnsi="Arial" w:cs="Arial"/>
        </w:rPr>
        <w:t>Minwalla</w:t>
      </w:r>
      <w:proofErr w:type="spellEnd"/>
      <w:r>
        <w:rPr>
          <w:rFonts w:ascii="Arial" w:eastAsia="Arial" w:hAnsi="Arial" w:cs="Arial"/>
        </w:rPr>
        <w:t xml:space="preserve">, H. D., Wrzesinski, P., Desforges, A., Caskey, J., Wagner, B., Ingraffia, P., Patterson, J. C., 2nd, </w:t>
      </w:r>
      <w:proofErr w:type="spellStart"/>
      <w:r>
        <w:rPr>
          <w:rFonts w:ascii="Arial" w:eastAsia="Arial" w:hAnsi="Arial" w:cs="Arial"/>
        </w:rPr>
        <w:t>Edinoff</w:t>
      </w:r>
      <w:proofErr w:type="spellEnd"/>
      <w:r>
        <w:rPr>
          <w:rFonts w:ascii="Arial" w:eastAsia="Arial" w:hAnsi="Arial" w:cs="Arial"/>
        </w:rPr>
        <w:t xml:space="preserve">, A. N., Kaye, A. M., Kaye, A. D., Viswanath, O., &amp; </w:t>
      </w:r>
      <w:proofErr w:type="spellStart"/>
      <w:r>
        <w:rPr>
          <w:rFonts w:ascii="Arial" w:eastAsia="Arial" w:hAnsi="Arial" w:cs="Arial"/>
        </w:rPr>
        <w:t>Urits</w:t>
      </w:r>
      <w:proofErr w:type="spellEnd"/>
      <w:r>
        <w:rPr>
          <w:rFonts w:ascii="Arial" w:eastAsia="Arial" w:hAnsi="Arial" w:cs="Arial"/>
        </w:rPr>
        <w:t xml:space="preserve">, I. (2021). </w:t>
      </w:r>
      <w:r>
        <w:rPr>
          <w:rFonts w:ascii="Arial" w:eastAsia="Arial" w:hAnsi="Arial" w:cs="Arial"/>
        </w:rPr>
        <w:lastRenderedPageBreak/>
        <w:t>Paliperidone to Treat Psychotic Disorders. </w:t>
      </w:r>
      <w:r>
        <w:rPr>
          <w:rFonts w:ascii="Arial" w:eastAsia="Arial" w:hAnsi="Arial" w:cs="Arial"/>
          <w:i/>
        </w:rPr>
        <w:t>Neurology International</w:t>
      </w:r>
      <w:r>
        <w:rPr>
          <w:rFonts w:ascii="Arial" w:eastAsia="Arial" w:hAnsi="Arial" w:cs="Arial"/>
        </w:rPr>
        <w:t>, </w:t>
      </w:r>
      <w:r>
        <w:rPr>
          <w:rFonts w:ascii="Arial" w:eastAsia="Arial" w:hAnsi="Arial" w:cs="Arial"/>
          <w:i/>
        </w:rPr>
        <w:t>13</w:t>
      </w:r>
      <w:r>
        <w:rPr>
          <w:rFonts w:ascii="Arial" w:eastAsia="Arial" w:hAnsi="Arial" w:cs="Arial"/>
        </w:rPr>
        <w:t>(3), 343–358. https://doi.org/10.3390/neurolint13030035</w:t>
      </w:r>
    </w:p>
    <w:p w14:paraId="00000053" w14:textId="77777777" w:rsidR="0050289E" w:rsidRDefault="00835861">
      <w:pPr>
        <w:spacing w:line="360" w:lineRule="auto"/>
        <w:ind w:left="720" w:hanging="720"/>
        <w:rPr>
          <w:rFonts w:ascii="Arial" w:eastAsia="Arial" w:hAnsi="Arial" w:cs="Arial"/>
        </w:rPr>
      </w:pPr>
      <w:r>
        <w:rPr>
          <w:rFonts w:ascii="Arial" w:eastAsia="Arial" w:hAnsi="Arial" w:cs="Arial"/>
        </w:rPr>
        <w:t>Morin, L., &amp; Franck, N. (2017). Rehabilitation Interventions to Promote Recovery from Schizophrenia: A Systematic Review. </w:t>
      </w:r>
      <w:r>
        <w:rPr>
          <w:rFonts w:ascii="Arial" w:eastAsia="Arial" w:hAnsi="Arial" w:cs="Arial"/>
          <w:i/>
        </w:rPr>
        <w:t>Frontiers in psychiatry</w:t>
      </w:r>
      <w:r>
        <w:rPr>
          <w:rFonts w:ascii="Arial" w:eastAsia="Arial" w:hAnsi="Arial" w:cs="Arial"/>
        </w:rPr>
        <w:t>, </w:t>
      </w:r>
      <w:r>
        <w:rPr>
          <w:rFonts w:ascii="Arial" w:eastAsia="Arial" w:hAnsi="Arial" w:cs="Arial"/>
          <w:i/>
        </w:rPr>
        <w:t>8</w:t>
      </w:r>
      <w:r>
        <w:rPr>
          <w:rFonts w:ascii="Arial" w:eastAsia="Arial" w:hAnsi="Arial" w:cs="Arial"/>
        </w:rPr>
        <w:t>, 100. https://doi.org/10.3389/fpsyt.2017.00100</w:t>
      </w:r>
    </w:p>
    <w:p w14:paraId="00000054" w14:textId="77777777" w:rsidR="0050289E" w:rsidRDefault="00835861">
      <w:pPr>
        <w:spacing w:line="360" w:lineRule="auto"/>
        <w:ind w:left="720" w:hanging="720"/>
        <w:rPr>
          <w:rFonts w:ascii="Arial" w:eastAsia="Arial" w:hAnsi="Arial" w:cs="Arial"/>
        </w:rPr>
      </w:pPr>
      <w:r>
        <w:rPr>
          <w:rFonts w:ascii="Arial" w:eastAsia="Arial" w:hAnsi="Arial" w:cs="Arial"/>
        </w:rPr>
        <w:t xml:space="preserve">Morris, M. T., &amp; </w:t>
      </w:r>
      <w:proofErr w:type="spellStart"/>
      <w:r>
        <w:rPr>
          <w:rFonts w:ascii="Arial" w:eastAsia="Arial" w:hAnsi="Arial" w:cs="Arial"/>
        </w:rPr>
        <w:t>Tarpada</w:t>
      </w:r>
      <w:proofErr w:type="spellEnd"/>
      <w:r>
        <w:rPr>
          <w:rFonts w:ascii="Arial" w:eastAsia="Arial" w:hAnsi="Arial" w:cs="Arial"/>
        </w:rPr>
        <w:t>, S. P. (2017). Long-Acting Injectable Paliperidone Palmitate: A Review of Efficacy and Safety. </w:t>
      </w:r>
      <w:r>
        <w:rPr>
          <w:rFonts w:ascii="Arial" w:eastAsia="Arial" w:hAnsi="Arial" w:cs="Arial"/>
          <w:i/>
        </w:rPr>
        <w:t>Psychopharmacology bulletin</w:t>
      </w:r>
      <w:r>
        <w:rPr>
          <w:rFonts w:ascii="Arial" w:eastAsia="Arial" w:hAnsi="Arial" w:cs="Arial"/>
        </w:rPr>
        <w:t>, </w:t>
      </w:r>
      <w:r>
        <w:rPr>
          <w:rFonts w:ascii="Arial" w:eastAsia="Arial" w:hAnsi="Arial" w:cs="Arial"/>
          <w:i/>
        </w:rPr>
        <w:t>47</w:t>
      </w:r>
      <w:r>
        <w:rPr>
          <w:rFonts w:ascii="Arial" w:eastAsia="Arial" w:hAnsi="Arial" w:cs="Arial"/>
        </w:rPr>
        <w:t>(2), 42–52.</w:t>
      </w:r>
    </w:p>
    <w:p w14:paraId="00000055" w14:textId="77777777" w:rsidR="0050289E" w:rsidRDefault="00835861">
      <w:pPr>
        <w:spacing w:line="360" w:lineRule="auto"/>
        <w:ind w:left="720" w:hanging="720"/>
        <w:rPr>
          <w:rFonts w:ascii="Arial" w:eastAsia="Arial" w:hAnsi="Arial" w:cs="Arial"/>
        </w:rPr>
      </w:pPr>
      <w:proofErr w:type="spellStart"/>
      <w:r>
        <w:rPr>
          <w:rFonts w:ascii="Arial" w:eastAsia="Arial" w:hAnsi="Arial" w:cs="Arial"/>
        </w:rPr>
        <w:t>Moummourtty</w:t>
      </w:r>
      <w:proofErr w:type="spellEnd"/>
      <w:r>
        <w:rPr>
          <w:rFonts w:ascii="Arial" w:eastAsia="Arial" w:hAnsi="Arial" w:cs="Arial"/>
        </w:rPr>
        <w:t xml:space="preserve">, P., Nagarajan, P., Rajkumar, R. P., &amp; </w:t>
      </w:r>
      <w:proofErr w:type="spellStart"/>
      <w:r>
        <w:rPr>
          <w:rFonts w:ascii="Arial" w:eastAsia="Arial" w:hAnsi="Arial" w:cs="Arial"/>
        </w:rPr>
        <w:t>Kaliamoorthy</w:t>
      </w:r>
      <w:proofErr w:type="spellEnd"/>
      <w:r>
        <w:rPr>
          <w:rFonts w:ascii="Arial" w:eastAsia="Arial" w:hAnsi="Arial" w:cs="Arial"/>
        </w:rPr>
        <w:t>, C. (2020). Rehabilitation needs of patients with schizophrenia attending the general hospital psychiatric unit of a tertiary care hospital in South India. </w:t>
      </w:r>
      <w:r>
        <w:rPr>
          <w:rFonts w:ascii="Arial" w:eastAsia="Arial" w:hAnsi="Arial" w:cs="Arial"/>
          <w:i/>
        </w:rPr>
        <w:t>Industrial psychiatry journal</w:t>
      </w:r>
      <w:r>
        <w:rPr>
          <w:rFonts w:ascii="Arial" w:eastAsia="Arial" w:hAnsi="Arial" w:cs="Arial"/>
        </w:rPr>
        <w:t>, </w:t>
      </w:r>
      <w:r>
        <w:rPr>
          <w:rFonts w:ascii="Arial" w:eastAsia="Arial" w:hAnsi="Arial" w:cs="Arial"/>
          <w:i/>
        </w:rPr>
        <w:t>29</w:t>
      </w:r>
      <w:r>
        <w:rPr>
          <w:rFonts w:ascii="Arial" w:eastAsia="Arial" w:hAnsi="Arial" w:cs="Arial"/>
        </w:rPr>
        <w:t>(2), 329–334. https://doi.org/10.4103/ipj.ipj_180_20</w:t>
      </w:r>
    </w:p>
    <w:p w14:paraId="00000056" w14:textId="77777777" w:rsidR="0050289E" w:rsidRDefault="00835861">
      <w:pPr>
        <w:spacing w:line="360" w:lineRule="auto"/>
        <w:ind w:left="720" w:hanging="720"/>
        <w:rPr>
          <w:rFonts w:ascii="Arial" w:eastAsia="Arial" w:hAnsi="Arial" w:cs="Arial"/>
        </w:rPr>
      </w:pPr>
      <w:r>
        <w:rPr>
          <w:rFonts w:ascii="Arial" w:eastAsia="Arial" w:hAnsi="Arial" w:cs="Arial"/>
        </w:rPr>
        <w:t>Oh, S., Lee, T. Y., Kim, M., Kim, S. H., Lee, S., Cho, S., Kim, J. H., &amp; Kwon, J. S. (2020). Effectiveness of antipsychotic drugs in schizophrenia: a 10-year retrospective study in a Korean tertiary hospital. </w:t>
      </w:r>
      <w:r>
        <w:rPr>
          <w:rFonts w:ascii="Arial" w:eastAsia="Arial" w:hAnsi="Arial" w:cs="Arial"/>
          <w:i/>
        </w:rPr>
        <w:t>NPJ schizophrenia</w:t>
      </w:r>
      <w:r>
        <w:rPr>
          <w:rFonts w:ascii="Arial" w:eastAsia="Arial" w:hAnsi="Arial" w:cs="Arial"/>
        </w:rPr>
        <w:t>, </w:t>
      </w:r>
      <w:r>
        <w:rPr>
          <w:rFonts w:ascii="Arial" w:eastAsia="Arial" w:hAnsi="Arial" w:cs="Arial"/>
          <w:i/>
        </w:rPr>
        <w:t>6</w:t>
      </w:r>
      <w:r>
        <w:rPr>
          <w:rFonts w:ascii="Arial" w:eastAsia="Arial" w:hAnsi="Arial" w:cs="Arial"/>
        </w:rPr>
        <w:t>(1), 32. https://doi.org/10.1038/s41537-020-00122-3</w:t>
      </w:r>
    </w:p>
    <w:p w14:paraId="00000057" w14:textId="77777777" w:rsidR="0050289E" w:rsidRDefault="00835861">
      <w:pPr>
        <w:spacing w:line="360" w:lineRule="auto"/>
        <w:ind w:left="720" w:hanging="720"/>
        <w:rPr>
          <w:rFonts w:ascii="Arial" w:eastAsia="Arial" w:hAnsi="Arial" w:cs="Arial"/>
        </w:rPr>
      </w:pPr>
      <w:r>
        <w:rPr>
          <w:rFonts w:ascii="Arial" w:eastAsia="Arial" w:hAnsi="Arial" w:cs="Arial"/>
        </w:rPr>
        <w:t xml:space="preserve"> Rocha Neto, H. G., </w:t>
      </w:r>
      <w:proofErr w:type="spellStart"/>
      <w:r>
        <w:rPr>
          <w:rFonts w:ascii="Arial" w:eastAsia="Arial" w:hAnsi="Arial" w:cs="Arial"/>
        </w:rPr>
        <w:t>Estellita</w:t>
      </w:r>
      <w:proofErr w:type="spellEnd"/>
      <w:r>
        <w:rPr>
          <w:rFonts w:ascii="Arial" w:eastAsia="Arial" w:hAnsi="Arial" w:cs="Arial"/>
        </w:rPr>
        <w:t>-Lins, C. E., Lessa, J. L. M., &amp; Cavalcanti, M. T. (2019). Mental State Examination and Its Procedures-Narrative Review of Brazilian Descriptive Psychopathology. </w:t>
      </w:r>
      <w:r>
        <w:rPr>
          <w:rFonts w:ascii="Arial" w:eastAsia="Arial" w:hAnsi="Arial" w:cs="Arial"/>
          <w:i/>
        </w:rPr>
        <w:t>Frontiers in psychiatry</w:t>
      </w:r>
      <w:r>
        <w:rPr>
          <w:rFonts w:ascii="Arial" w:eastAsia="Arial" w:hAnsi="Arial" w:cs="Arial"/>
        </w:rPr>
        <w:t>, </w:t>
      </w:r>
      <w:r>
        <w:rPr>
          <w:rFonts w:ascii="Arial" w:eastAsia="Arial" w:hAnsi="Arial" w:cs="Arial"/>
          <w:i/>
        </w:rPr>
        <w:t>10</w:t>
      </w:r>
      <w:r>
        <w:rPr>
          <w:rFonts w:ascii="Arial" w:eastAsia="Arial" w:hAnsi="Arial" w:cs="Arial"/>
        </w:rPr>
        <w:t>, 77. https://doi.org/10.3389/fpsyt.2019.00077</w:t>
      </w:r>
    </w:p>
    <w:p w14:paraId="00000058" w14:textId="77777777" w:rsidR="0050289E" w:rsidRDefault="00835861">
      <w:pPr>
        <w:spacing w:line="360" w:lineRule="auto"/>
        <w:ind w:left="720" w:hanging="720"/>
        <w:rPr>
          <w:rFonts w:ascii="Arial" w:eastAsia="Arial" w:hAnsi="Arial" w:cs="Arial"/>
        </w:rPr>
      </w:pPr>
      <w:r>
        <w:rPr>
          <w:rFonts w:ascii="Arial" w:eastAsia="Arial" w:hAnsi="Arial" w:cs="Arial"/>
        </w:rPr>
        <w:t>Shimomura, Y., Kikuchi, Y., Suzuki, T., Uchida, H., Mimura, M., &amp; Takeuchi, H. (2020). Antipsychotic treatment in the maintenance phase of schizophrenia: An updated systematic review of the guidelines and algorithms. </w:t>
      </w:r>
      <w:r>
        <w:rPr>
          <w:rFonts w:ascii="Arial" w:eastAsia="Arial" w:hAnsi="Arial" w:cs="Arial"/>
          <w:i/>
        </w:rPr>
        <w:t>Schizophrenia research</w:t>
      </w:r>
      <w:r>
        <w:rPr>
          <w:rFonts w:ascii="Arial" w:eastAsia="Arial" w:hAnsi="Arial" w:cs="Arial"/>
        </w:rPr>
        <w:t>, </w:t>
      </w:r>
      <w:r>
        <w:rPr>
          <w:rFonts w:ascii="Arial" w:eastAsia="Arial" w:hAnsi="Arial" w:cs="Arial"/>
          <w:i/>
        </w:rPr>
        <w:t>215</w:t>
      </w:r>
      <w:r>
        <w:rPr>
          <w:rFonts w:ascii="Arial" w:eastAsia="Arial" w:hAnsi="Arial" w:cs="Arial"/>
        </w:rPr>
        <w:t xml:space="preserve">, 8–16. </w:t>
      </w:r>
      <w:hyperlink r:id="rId11">
        <w:r>
          <w:rPr>
            <w:rFonts w:ascii="Arial" w:eastAsia="Arial" w:hAnsi="Arial" w:cs="Arial"/>
            <w:color w:val="0563C1"/>
            <w:u w:val="single"/>
          </w:rPr>
          <w:t>https://doi.org/10.1016/j.schres.2019.09.013</w:t>
        </w:r>
      </w:hyperlink>
    </w:p>
    <w:p w14:paraId="00000059" w14:textId="77777777" w:rsidR="0050289E" w:rsidRDefault="00835861">
      <w:pPr>
        <w:spacing w:line="360" w:lineRule="auto"/>
        <w:ind w:left="720" w:hanging="720"/>
        <w:rPr>
          <w:rFonts w:ascii="Arial" w:eastAsia="Arial" w:hAnsi="Arial" w:cs="Arial"/>
        </w:rPr>
      </w:pPr>
      <w:proofErr w:type="spellStart"/>
      <w:r>
        <w:rPr>
          <w:rFonts w:ascii="Arial" w:eastAsia="Arial" w:hAnsi="Arial" w:cs="Arial"/>
        </w:rPr>
        <w:t>Stępnicki</w:t>
      </w:r>
      <w:proofErr w:type="spellEnd"/>
      <w:r>
        <w:rPr>
          <w:rFonts w:ascii="Arial" w:eastAsia="Arial" w:hAnsi="Arial" w:cs="Arial"/>
        </w:rPr>
        <w:t xml:space="preserve">, P., </w:t>
      </w:r>
      <w:proofErr w:type="spellStart"/>
      <w:r>
        <w:rPr>
          <w:rFonts w:ascii="Arial" w:eastAsia="Arial" w:hAnsi="Arial" w:cs="Arial"/>
        </w:rPr>
        <w:t>Kondej</w:t>
      </w:r>
      <w:proofErr w:type="spellEnd"/>
      <w:r>
        <w:rPr>
          <w:rFonts w:ascii="Arial" w:eastAsia="Arial" w:hAnsi="Arial" w:cs="Arial"/>
        </w:rPr>
        <w:t>, M., &amp; Kaczor, A. A. (2018). Current Concepts and Treatments of Schizophrenia. </w:t>
      </w:r>
      <w:r>
        <w:rPr>
          <w:rFonts w:ascii="Arial" w:eastAsia="Arial" w:hAnsi="Arial" w:cs="Arial"/>
          <w:i/>
        </w:rPr>
        <w:t>Molecules (Basel, Switzerland)</w:t>
      </w:r>
      <w:r>
        <w:rPr>
          <w:rFonts w:ascii="Arial" w:eastAsia="Arial" w:hAnsi="Arial" w:cs="Arial"/>
        </w:rPr>
        <w:t>, </w:t>
      </w:r>
      <w:r>
        <w:rPr>
          <w:rFonts w:ascii="Arial" w:eastAsia="Arial" w:hAnsi="Arial" w:cs="Arial"/>
          <w:i/>
        </w:rPr>
        <w:t>23</w:t>
      </w:r>
      <w:r>
        <w:rPr>
          <w:rFonts w:ascii="Arial" w:eastAsia="Arial" w:hAnsi="Arial" w:cs="Arial"/>
        </w:rPr>
        <w:t xml:space="preserve">(8), 2087. </w:t>
      </w:r>
      <w:hyperlink r:id="rId12">
        <w:r>
          <w:rPr>
            <w:rFonts w:ascii="Arial" w:eastAsia="Arial" w:hAnsi="Arial" w:cs="Arial"/>
            <w:color w:val="0563C1"/>
            <w:u w:val="single"/>
          </w:rPr>
          <w:t>https://doi.org/10.3390/molecules23082087</w:t>
        </w:r>
      </w:hyperlink>
    </w:p>
    <w:p w14:paraId="0000005A" w14:textId="77777777" w:rsidR="0050289E" w:rsidRDefault="0050289E">
      <w:pPr>
        <w:spacing w:after="0" w:line="360" w:lineRule="auto"/>
        <w:rPr>
          <w:rFonts w:ascii="Arial" w:eastAsia="Arial" w:hAnsi="Arial" w:cs="Arial"/>
        </w:rPr>
      </w:pPr>
    </w:p>
    <w:p w14:paraId="0000005B" w14:textId="77777777" w:rsidR="0050289E" w:rsidRDefault="0050289E">
      <w:pPr>
        <w:tabs>
          <w:tab w:val="left" w:pos="3315"/>
        </w:tabs>
        <w:spacing w:line="360" w:lineRule="auto"/>
        <w:rPr>
          <w:rFonts w:ascii="Arial" w:eastAsia="Arial" w:hAnsi="Arial" w:cs="Arial"/>
        </w:rPr>
      </w:pPr>
    </w:p>
    <w:p w14:paraId="0000005C" w14:textId="77777777" w:rsidR="0050289E" w:rsidRDefault="0050289E">
      <w:pPr>
        <w:tabs>
          <w:tab w:val="left" w:pos="3315"/>
        </w:tabs>
        <w:spacing w:line="360" w:lineRule="auto"/>
        <w:rPr>
          <w:rFonts w:ascii="Arial" w:eastAsia="Arial" w:hAnsi="Arial" w:cs="Arial"/>
        </w:rPr>
      </w:pPr>
    </w:p>
    <w:p w14:paraId="0000005D" w14:textId="77777777" w:rsidR="0050289E" w:rsidRDefault="0050289E">
      <w:pPr>
        <w:tabs>
          <w:tab w:val="left" w:pos="3315"/>
        </w:tabs>
        <w:spacing w:line="360" w:lineRule="auto"/>
        <w:rPr>
          <w:rFonts w:ascii="Arial" w:eastAsia="Arial" w:hAnsi="Arial" w:cs="Arial"/>
        </w:rPr>
      </w:pPr>
    </w:p>
    <w:sectPr w:rsidR="0050289E">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F60C0" w14:textId="77777777" w:rsidR="005F1F2A" w:rsidRDefault="005F1F2A">
      <w:pPr>
        <w:spacing w:after="0" w:line="240" w:lineRule="auto"/>
      </w:pPr>
      <w:r>
        <w:separator/>
      </w:r>
    </w:p>
  </w:endnote>
  <w:endnote w:type="continuationSeparator" w:id="0">
    <w:p w14:paraId="6C18D5C9" w14:textId="77777777" w:rsidR="005F1F2A" w:rsidRDefault="005F1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84102" w14:textId="77777777" w:rsidR="005F1F2A" w:rsidRDefault="005F1F2A">
      <w:pPr>
        <w:spacing w:after="0" w:line="240" w:lineRule="auto"/>
      </w:pPr>
      <w:r>
        <w:separator/>
      </w:r>
    </w:p>
  </w:footnote>
  <w:footnote w:type="continuationSeparator" w:id="0">
    <w:p w14:paraId="57B0308A" w14:textId="77777777" w:rsidR="005F1F2A" w:rsidRDefault="005F1F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479EE474" w:rsidR="0050289E" w:rsidRDefault="0083586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333A7">
      <w:rPr>
        <w:noProof/>
        <w:color w:val="000000"/>
      </w:rPr>
      <w:t>1</w:t>
    </w:r>
    <w:r>
      <w:rPr>
        <w:color w:val="000000"/>
      </w:rPr>
      <w:fldChar w:fldCharType="end"/>
    </w:r>
  </w:p>
  <w:p w14:paraId="0000005F" w14:textId="77777777" w:rsidR="0050289E" w:rsidRDefault="0050289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E4085"/>
    <w:multiLevelType w:val="multilevel"/>
    <w:tmpl w:val="048CD68E"/>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13DD30E5"/>
    <w:multiLevelType w:val="multilevel"/>
    <w:tmpl w:val="1B945A56"/>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402336155">
    <w:abstractNumId w:val="1"/>
  </w:num>
  <w:num w:numId="2" w16cid:durableId="27529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89E"/>
    <w:rsid w:val="000333A7"/>
    <w:rsid w:val="002B6058"/>
    <w:rsid w:val="00361317"/>
    <w:rsid w:val="0050289E"/>
    <w:rsid w:val="005F1F2A"/>
    <w:rsid w:val="00835861"/>
    <w:rsid w:val="00841EE2"/>
    <w:rsid w:val="00B06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CA787"/>
  <w15:docId w15:val="{F0052CCA-9678-44BB-AFDF-D6646348F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40" w:after="0"/>
      <w:outlineLvl w:val="4"/>
    </w:pPr>
    <w:rPr>
      <w:color w:val="2F5496"/>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841EE2"/>
    <w:pPr>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841EE2"/>
    <w:pPr>
      <w:spacing w:after="100"/>
    </w:pPr>
  </w:style>
  <w:style w:type="paragraph" w:styleId="TOC2">
    <w:name w:val="toc 2"/>
    <w:basedOn w:val="Normal"/>
    <w:next w:val="Normal"/>
    <w:autoRedefine/>
    <w:uiPriority w:val="39"/>
    <w:unhideWhenUsed/>
    <w:rsid w:val="00841EE2"/>
    <w:pPr>
      <w:spacing w:after="100"/>
      <w:ind w:left="220"/>
    </w:pPr>
  </w:style>
  <w:style w:type="character" w:styleId="Hyperlink">
    <w:name w:val="Hyperlink"/>
    <w:basedOn w:val="DefaultParagraphFont"/>
    <w:uiPriority w:val="99"/>
    <w:unhideWhenUsed/>
    <w:rsid w:val="00841E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cd10data.com/ICD10CM/Codes/F01-F99/F20-F29/F20-/F20.9"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molecules230820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chres.2019.09.01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89/fpsyt.2019.00093" TargetMode="External"/><Relationship Id="rId4" Type="http://schemas.openxmlformats.org/officeDocument/2006/relationships/settings" Target="settings.xml"/><Relationship Id="rId9" Type="http://schemas.openxmlformats.org/officeDocument/2006/relationships/hyperlink" Target="https://www.ncbi.nlm.nih.gov/books/NBK53986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D4F8A-C450-4B5C-A4C1-47E877789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4057</Words>
  <Characters>23128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aktar ali</dc:creator>
  <cp:lastModifiedBy>aktar ali</cp:lastModifiedBy>
  <cp:revision>5</cp:revision>
  <dcterms:created xsi:type="dcterms:W3CDTF">2022-12-02T13:38:00Z</dcterms:created>
  <dcterms:modified xsi:type="dcterms:W3CDTF">2022-12-02T13:42:00Z</dcterms:modified>
</cp:coreProperties>
</file>