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05D9E7" w14:textId="77777777" w:rsidR="00B74393" w:rsidRDefault="00000000">
      <w:r>
        <w:rPr>
          <w:noProof/>
        </w:rPr>
        <w:drawing>
          <wp:inline distT="0" distB="0" distL="0" distR="0" wp14:anchorId="1B74AD2E" wp14:editId="66248CD5">
            <wp:extent cx="2066925" cy="1148292"/>
            <wp:effectExtent l="0" t="0" r="0" b="0"/>
            <wp:docPr id="1026" name="Pictur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8" cstate="print"/>
                    <a:srcRect/>
                    <a:stretch/>
                  </pic:blipFill>
                  <pic:spPr>
                    <a:xfrm>
                      <a:off x="0" y="0"/>
                      <a:ext cx="2066925" cy="1148292"/>
                    </a:xfrm>
                    <a:prstGeom prst="rect">
                      <a:avLst/>
                    </a:prstGeom>
                  </pic:spPr>
                </pic:pic>
              </a:graphicData>
            </a:graphic>
          </wp:inline>
        </w:drawing>
      </w:r>
    </w:p>
    <w:p w14:paraId="128518AF" w14:textId="77777777" w:rsidR="00B74393" w:rsidRDefault="00000000">
      <w:r>
        <w:rPr>
          <w:rFonts w:cs="Arial"/>
          <w:b/>
          <w:bCs/>
        </w:rPr>
        <w:t xml:space="preserve">Student Name: </w:t>
      </w:r>
      <w:r>
        <w:rPr>
          <w:rFonts w:cs="Arial"/>
        </w:rPr>
        <w:t>Mihai-Daniel Mihalcea</w:t>
      </w:r>
    </w:p>
    <w:p w14:paraId="1710BA09" w14:textId="77777777" w:rsidR="00B74393" w:rsidRDefault="00000000">
      <w:r>
        <w:rPr>
          <w:rFonts w:cs="Arial"/>
          <w:b/>
          <w:bCs/>
        </w:rPr>
        <w:t xml:space="preserve">Student ID: </w:t>
      </w:r>
      <w:r>
        <w:rPr>
          <w:rFonts w:cs="Arial"/>
        </w:rPr>
        <w:t>2244870</w:t>
      </w:r>
    </w:p>
    <w:p w14:paraId="77BDA82F" w14:textId="77777777" w:rsidR="00B74393" w:rsidRDefault="00000000">
      <w:r>
        <w:rPr>
          <w:rFonts w:cs="Arial"/>
          <w:b/>
          <w:bCs/>
        </w:rPr>
        <w:t>Module</w:t>
      </w:r>
      <w:r>
        <w:rPr>
          <w:rFonts w:cs="Arial"/>
        </w:rPr>
        <w:t xml:space="preserve">: </w:t>
      </w:r>
      <w:r>
        <w:rPr>
          <w:rFonts w:cs="Arial"/>
          <w:lang w:val="en-GB"/>
        </w:rPr>
        <w:t>International Meetings Management for the Hotel Industry (BMIH6007)</w:t>
      </w:r>
    </w:p>
    <w:p w14:paraId="41EA06C4" w14:textId="3E1EC278" w:rsidR="00B74393" w:rsidRPr="001D1D13" w:rsidRDefault="00000000">
      <w:r>
        <w:rPr>
          <w:rFonts w:cs="Arial"/>
          <w:b/>
          <w:bCs/>
        </w:rPr>
        <w:t xml:space="preserve">Word count: </w:t>
      </w:r>
      <w:r w:rsidR="001D1D13" w:rsidRPr="001D1D13">
        <w:rPr>
          <w:rFonts w:cs="Arial"/>
        </w:rPr>
        <w:t>250</w:t>
      </w:r>
      <w:r w:rsidR="004975BB">
        <w:rPr>
          <w:rFonts w:cs="Arial"/>
        </w:rPr>
        <w:t>5</w:t>
      </w:r>
    </w:p>
    <w:p w14:paraId="4A125210" w14:textId="77777777" w:rsidR="00B74393" w:rsidRDefault="00000000">
      <w:r>
        <w:rPr>
          <w:rFonts w:cs="Arial"/>
          <w:b/>
          <w:bCs/>
        </w:rPr>
        <w:t xml:space="preserve">Tutor: </w:t>
      </w:r>
      <w:r>
        <w:rPr>
          <w:rFonts w:cs="Arial"/>
        </w:rPr>
        <w:t>Kathryn Flynn</w:t>
      </w:r>
    </w:p>
    <w:p w14:paraId="3BE306E1" w14:textId="77777777" w:rsidR="00B74393" w:rsidRDefault="00B74393">
      <w:pPr>
        <w:spacing w:line="259" w:lineRule="auto"/>
        <w:jc w:val="left"/>
      </w:pPr>
    </w:p>
    <w:p w14:paraId="0F8BC221" w14:textId="77777777" w:rsidR="00B74393" w:rsidRDefault="00B74393">
      <w:pPr>
        <w:spacing w:line="259" w:lineRule="auto"/>
        <w:jc w:val="left"/>
      </w:pPr>
    </w:p>
    <w:p w14:paraId="7FA31E09" w14:textId="77777777" w:rsidR="00B74393" w:rsidRDefault="00000000">
      <w:pPr>
        <w:spacing w:line="259" w:lineRule="auto"/>
        <w:jc w:val="left"/>
      </w:pPr>
      <w:r>
        <w:rPr>
          <w:rFonts w:cs="Arial"/>
          <w:b/>
          <w:bCs/>
        </w:rPr>
        <w:t>Al Acknowledgement</w:t>
      </w:r>
      <w:r>
        <w:rPr>
          <w:b/>
          <w:bCs/>
        </w:rPr>
        <w:t>:</w:t>
      </w:r>
    </w:p>
    <w:p w14:paraId="2FC44C5C" w14:textId="77777777" w:rsidR="00B74393" w:rsidRDefault="00000000">
      <w:r>
        <w:rPr>
          <w:rFonts w:cs="Arial"/>
        </w:rPr>
        <w:t>I acknowledge the use of Copilot (https://copilot.microsoft.com/) on 12 June 2025 to check my work using the prompt(s):</w:t>
      </w:r>
    </w:p>
    <w:p w14:paraId="18B24076" w14:textId="77777777" w:rsidR="00B74393" w:rsidRDefault="00000000">
      <w:r>
        <w:rPr>
          <w:rFonts w:cs="Arial"/>
        </w:rPr>
        <w:t xml:space="preserve">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p>
    <w:p w14:paraId="095FBCF2" w14:textId="77777777" w:rsidR="00B74393" w:rsidRDefault="00B74393"/>
    <w:p w14:paraId="38E04DBB" w14:textId="77777777" w:rsidR="00B74393" w:rsidRDefault="00000000">
      <w:r>
        <w:br w:type="page"/>
      </w:r>
    </w:p>
    <w:p w14:paraId="1012D328" w14:textId="77777777" w:rsidR="00B74393" w:rsidRDefault="00B74393"/>
    <w:p w14:paraId="3D3B5F4D" w14:textId="77777777" w:rsidR="00B74393" w:rsidRDefault="00000000">
      <w:pPr>
        <w:pStyle w:val="TOCHeading"/>
        <w:rPr>
          <w:b/>
          <w:color w:val="auto"/>
        </w:rPr>
      </w:pPr>
      <w:r>
        <w:rPr>
          <w:b/>
          <w:color w:val="auto"/>
        </w:rPr>
        <w:t>Contents</w:t>
      </w:r>
    </w:p>
    <w:p w14:paraId="29C3E889" w14:textId="77777777" w:rsidR="00B74393" w:rsidRDefault="00000000">
      <w:pPr>
        <w:pStyle w:val="TOC1"/>
        <w:tabs>
          <w:tab w:val="right" w:leader="dot" w:pos="9350"/>
        </w:tabs>
        <w:rPr>
          <w:rFonts w:ascii="Calibri" w:eastAsia="SimSun" w:hAnsi="Calibri" w:cs="SimSun"/>
          <w:noProof/>
          <w:sz w:val="22"/>
          <w:szCs w:val="22"/>
        </w:rPr>
      </w:pPr>
      <w:r>
        <w:fldChar w:fldCharType="begin"/>
      </w:r>
      <w:r>
        <w:instrText xml:space="preserve"> TOC \o "1-3" \h \z \u </w:instrText>
      </w:r>
      <w:r>
        <w:fldChar w:fldCharType="separate"/>
      </w:r>
      <w:hyperlink w:anchor="_Toc199699796" w:history="1">
        <w:r w:rsidR="00B74393">
          <w:rPr>
            <w:rStyle w:val="Hyperlink"/>
            <w:noProof/>
          </w:rPr>
          <w:t>Introduction</w:t>
        </w:r>
        <w:r w:rsidR="00B74393">
          <w:rPr>
            <w:noProof/>
            <w:webHidden/>
          </w:rPr>
          <w:tab/>
        </w:r>
        <w:r w:rsidR="00B74393">
          <w:rPr>
            <w:noProof/>
            <w:webHidden/>
          </w:rPr>
          <w:fldChar w:fldCharType="begin"/>
        </w:r>
        <w:r w:rsidR="00B74393">
          <w:rPr>
            <w:noProof/>
            <w:webHidden/>
          </w:rPr>
          <w:instrText xml:space="preserve"> PAGEREF _Toc199699796 \h </w:instrText>
        </w:r>
        <w:r w:rsidR="00B74393">
          <w:rPr>
            <w:noProof/>
            <w:webHidden/>
          </w:rPr>
        </w:r>
        <w:r w:rsidR="00B74393">
          <w:rPr>
            <w:noProof/>
            <w:webHidden/>
          </w:rPr>
          <w:fldChar w:fldCharType="separate"/>
        </w:r>
        <w:r w:rsidR="00B74393">
          <w:rPr>
            <w:noProof/>
            <w:webHidden/>
          </w:rPr>
          <w:t>1</w:t>
        </w:r>
        <w:r w:rsidR="00B74393">
          <w:rPr>
            <w:noProof/>
            <w:webHidden/>
          </w:rPr>
          <w:fldChar w:fldCharType="end"/>
        </w:r>
      </w:hyperlink>
    </w:p>
    <w:p w14:paraId="5BBCA842" w14:textId="77777777" w:rsidR="00B74393" w:rsidRDefault="00B74393">
      <w:pPr>
        <w:pStyle w:val="TOC1"/>
        <w:tabs>
          <w:tab w:val="right" w:leader="dot" w:pos="9350"/>
        </w:tabs>
        <w:rPr>
          <w:rFonts w:ascii="Calibri" w:eastAsia="SimSun" w:hAnsi="Calibri" w:cs="SimSun"/>
          <w:noProof/>
          <w:sz w:val="22"/>
          <w:szCs w:val="22"/>
        </w:rPr>
      </w:pPr>
      <w:hyperlink w:anchor="_Toc199699797" w:history="1">
        <w:r>
          <w:rPr>
            <w:rStyle w:val="Hyperlink"/>
            <w:noProof/>
          </w:rPr>
          <w:t>The Event Cycle</w:t>
        </w:r>
        <w:r>
          <w:rPr>
            <w:noProof/>
            <w:webHidden/>
          </w:rPr>
          <w:tab/>
        </w:r>
        <w:r>
          <w:rPr>
            <w:noProof/>
            <w:webHidden/>
          </w:rPr>
          <w:fldChar w:fldCharType="begin"/>
        </w:r>
        <w:r>
          <w:rPr>
            <w:noProof/>
            <w:webHidden/>
          </w:rPr>
          <w:instrText xml:space="preserve"> PAGEREF _Toc199699797 \h </w:instrText>
        </w:r>
        <w:r>
          <w:rPr>
            <w:noProof/>
            <w:webHidden/>
          </w:rPr>
        </w:r>
        <w:r>
          <w:rPr>
            <w:noProof/>
            <w:webHidden/>
          </w:rPr>
          <w:fldChar w:fldCharType="separate"/>
        </w:r>
        <w:r>
          <w:rPr>
            <w:noProof/>
            <w:webHidden/>
          </w:rPr>
          <w:t>2</w:t>
        </w:r>
        <w:r>
          <w:rPr>
            <w:noProof/>
            <w:webHidden/>
          </w:rPr>
          <w:fldChar w:fldCharType="end"/>
        </w:r>
      </w:hyperlink>
    </w:p>
    <w:p w14:paraId="6F8FD9AB" w14:textId="77777777" w:rsidR="00B74393" w:rsidRDefault="00B74393">
      <w:pPr>
        <w:pStyle w:val="TOC1"/>
        <w:tabs>
          <w:tab w:val="right" w:leader="dot" w:pos="9350"/>
        </w:tabs>
        <w:rPr>
          <w:rFonts w:ascii="Calibri" w:eastAsia="SimSun" w:hAnsi="Calibri" w:cs="SimSun"/>
          <w:noProof/>
          <w:sz w:val="22"/>
          <w:szCs w:val="22"/>
        </w:rPr>
      </w:pPr>
      <w:hyperlink w:anchor="_Toc199699798" w:history="1">
        <w:r>
          <w:rPr>
            <w:rStyle w:val="Hyperlink"/>
            <w:noProof/>
          </w:rPr>
          <w:t>Event Concept &amp; Itinerary</w:t>
        </w:r>
        <w:r>
          <w:rPr>
            <w:noProof/>
            <w:webHidden/>
          </w:rPr>
          <w:tab/>
        </w:r>
        <w:r>
          <w:rPr>
            <w:noProof/>
            <w:webHidden/>
          </w:rPr>
          <w:fldChar w:fldCharType="begin"/>
        </w:r>
        <w:r>
          <w:rPr>
            <w:noProof/>
            <w:webHidden/>
          </w:rPr>
          <w:instrText xml:space="preserve"> PAGEREF _Toc199699798 \h </w:instrText>
        </w:r>
        <w:r>
          <w:rPr>
            <w:noProof/>
            <w:webHidden/>
          </w:rPr>
        </w:r>
        <w:r>
          <w:rPr>
            <w:noProof/>
            <w:webHidden/>
          </w:rPr>
          <w:fldChar w:fldCharType="separate"/>
        </w:r>
        <w:r>
          <w:rPr>
            <w:noProof/>
            <w:webHidden/>
          </w:rPr>
          <w:t>2</w:t>
        </w:r>
        <w:r>
          <w:rPr>
            <w:noProof/>
            <w:webHidden/>
          </w:rPr>
          <w:fldChar w:fldCharType="end"/>
        </w:r>
      </w:hyperlink>
    </w:p>
    <w:p w14:paraId="7C9E7253" w14:textId="77777777" w:rsidR="00B74393" w:rsidRDefault="00B74393">
      <w:pPr>
        <w:pStyle w:val="TOC1"/>
        <w:tabs>
          <w:tab w:val="right" w:leader="dot" w:pos="9350"/>
        </w:tabs>
        <w:rPr>
          <w:rFonts w:ascii="Calibri" w:eastAsia="SimSun" w:hAnsi="Calibri" w:cs="SimSun"/>
          <w:noProof/>
          <w:sz w:val="22"/>
          <w:szCs w:val="22"/>
        </w:rPr>
      </w:pPr>
      <w:hyperlink w:anchor="_Toc199699799" w:history="1">
        <w:r>
          <w:rPr>
            <w:rStyle w:val="Hyperlink"/>
            <w:noProof/>
          </w:rPr>
          <w:t>Aim and SMART Objectives</w:t>
        </w:r>
        <w:r>
          <w:rPr>
            <w:noProof/>
            <w:webHidden/>
          </w:rPr>
          <w:tab/>
        </w:r>
        <w:r>
          <w:rPr>
            <w:noProof/>
            <w:webHidden/>
          </w:rPr>
          <w:fldChar w:fldCharType="begin"/>
        </w:r>
        <w:r>
          <w:rPr>
            <w:noProof/>
            <w:webHidden/>
          </w:rPr>
          <w:instrText xml:space="preserve"> PAGEREF _Toc199699799 \h </w:instrText>
        </w:r>
        <w:r>
          <w:rPr>
            <w:noProof/>
            <w:webHidden/>
          </w:rPr>
        </w:r>
        <w:r>
          <w:rPr>
            <w:noProof/>
            <w:webHidden/>
          </w:rPr>
          <w:fldChar w:fldCharType="separate"/>
        </w:r>
        <w:r>
          <w:rPr>
            <w:noProof/>
            <w:webHidden/>
          </w:rPr>
          <w:t>3</w:t>
        </w:r>
        <w:r>
          <w:rPr>
            <w:noProof/>
            <w:webHidden/>
          </w:rPr>
          <w:fldChar w:fldCharType="end"/>
        </w:r>
      </w:hyperlink>
    </w:p>
    <w:p w14:paraId="6594C812" w14:textId="77777777" w:rsidR="00B74393" w:rsidRDefault="00B74393">
      <w:pPr>
        <w:pStyle w:val="TOC1"/>
        <w:tabs>
          <w:tab w:val="right" w:leader="dot" w:pos="9350"/>
        </w:tabs>
        <w:rPr>
          <w:rFonts w:ascii="Calibri" w:eastAsia="SimSun" w:hAnsi="Calibri" w:cs="SimSun"/>
          <w:noProof/>
          <w:sz w:val="22"/>
          <w:szCs w:val="22"/>
        </w:rPr>
      </w:pPr>
      <w:hyperlink w:anchor="_Toc199699800" w:history="1">
        <w:r>
          <w:rPr>
            <w:rStyle w:val="Hyperlink"/>
            <w:noProof/>
          </w:rPr>
          <w:t>Event Management Strategy</w:t>
        </w:r>
        <w:r>
          <w:rPr>
            <w:noProof/>
            <w:webHidden/>
          </w:rPr>
          <w:tab/>
        </w:r>
        <w:r>
          <w:rPr>
            <w:noProof/>
            <w:webHidden/>
          </w:rPr>
          <w:fldChar w:fldCharType="begin"/>
        </w:r>
        <w:r>
          <w:rPr>
            <w:noProof/>
            <w:webHidden/>
          </w:rPr>
          <w:instrText xml:space="preserve"> PAGEREF _Toc199699800 \h </w:instrText>
        </w:r>
        <w:r>
          <w:rPr>
            <w:noProof/>
            <w:webHidden/>
          </w:rPr>
        </w:r>
        <w:r>
          <w:rPr>
            <w:noProof/>
            <w:webHidden/>
          </w:rPr>
          <w:fldChar w:fldCharType="separate"/>
        </w:r>
        <w:r>
          <w:rPr>
            <w:noProof/>
            <w:webHidden/>
          </w:rPr>
          <w:t>4</w:t>
        </w:r>
        <w:r>
          <w:rPr>
            <w:noProof/>
            <w:webHidden/>
          </w:rPr>
          <w:fldChar w:fldCharType="end"/>
        </w:r>
      </w:hyperlink>
    </w:p>
    <w:p w14:paraId="17CC465D" w14:textId="77777777" w:rsidR="00B74393" w:rsidRDefault="00B74393">
      <w:pPr>
        <w:pStyle w:val="TOC1"/>
        <w:tabs>
          <w:tab w:val="right" w:leader="dot" w:pos="9350"/>
        </w:tabs>
        <w:rPr>
          <w:rFonts w:ascii="Calibri" w:eastAsia="SimSun" w:hAnsi="Calibri" w:cs="SimSun"/>
          <w:noProof/>
          <w:sz w:val="22"/>
          <w:szCs w:val="22"/>
        </w:rPr>
      </w:pPr>
      <w:hyperlink w:anchor="_Toc199699801" w:history="1">
        <w:r>
          <w:rPr>
            <w:rStyle w:val="Hyperlink"/>
            <w:noProof/>
          </w:rPr>
          <w:t>Event Budget &amp; Finance</w:t>
        </w:r>
        <w:r>
          <w:rPr>
            <w:noProof/>
            <w:webHidden/>
          </w:rPr>
          <w:tab/>
        </w:r>
        <w:r>
          <w:rPr>
            <w:noProof/>
            <w:webHidden/>
          </w:rPr>
          <w:fldChar w:fldCharType="begin"/>
        </w:r>
        <w:r>
          <w:rPr>
            <w:noProof/>
            <w:webHidden/>
          </w:rPr>
          <w:instrText xml:space="preserve"> PAGEREF _Toc199699801 \h </w:instrText>
        </w:r>
        <w:r>
          <w:rPr>
            <w:noProof/>
            <w:webHidden/>
          </w:rPr>
        </w:r>
        <w:r>
          <w:rPr>
            <w:noProof/>
            <w:webHidden/>
          </w:rPr>
          <w:fldChar w:fldCharType="separate"/>
        </w:r>
        <w:r>
          <w:rPr>
            <w:noProof/>
            <w:webHidden/>
          </w:rPr>
          <w:t>5</w:t>
        </w:r>
        <w:r>
          <w:rPr>
            <w:noProof/>
            <w:webHidden/>
          </w:rPr>
          <w:fldChar w:fldCharType="end"/>
        </w:r>
      </w:hyperlink>
    </w:p>
    <w:p w14:paraId="12B41FE0" w14:textId="77777777" w:rsidR="00B74393" w:rsidRDefault="00B74393">
      <w:pPr>
        <w:pStyle w:val="TOC1"/>
        <w:tabs>
          <w:tab w:val="right" w:leader="dot" w:pos="9350"/>
        </w:tabs>
        <w:rPr>
          <w:rFonts w:ascii="Calibri" w:eastAsia="SimSun" w:hAnsi="Calibri" w:cs="SimSun"/>
          <w:noProof/>
          <w:sz w:val="22"/>
          <w:szCs w:val="22"/>
        </w:rPr>
      </w:pPr>
      <w:hyperlink w:anchor="_Toc199699802" w:history="1">
        <w:r>
          <w:rPr>
            <w:rStyle w:val="Hyperlink"/>
            <w:noProof/>
          </w:rPr>
          <w:t>Industry Trends / Issues / Impacts</w:t>
        </w:r>
        <w:r>
          <w:rPr>
            <w:noProof/>
            <w:webHidden/>
          </w:rPr>
          <w:tab/>
        </w:r>
        <w:r>
          <w:rPr>
            <w:noProof/>
            <w:webHidden/>
          </w:rPr>
          <w:fldChar w:fldCharType="begin"/>
        </w:r>
        <w:r>
          <w:rPr>
            <w:noProof/>
            <w:webHidden/>
          </w:rPr>
          <w:instrText xml:space="preserve"> PAGEREF _Toc199699802 \h </w:instrText>
        </w:r>
        <w:r>
          <w:rPr>
            <w:noProof/>
            <w:webHidden/>
          </w:rPr>
        </w:r>
        <w:r>
          <w:rPr>
            <w:noProof/>
            <w:webHidden/>
          </w:rPr>
          <w:fldChar w:fldCharType="separate"/>
        </w:r>
        <w:r>
          <w:rPr>
            <w:noProof/>
            <w:webHidden/>
          </w:rPr>
          <w:t>6</w:t>
        </w:r>
        <w:r>
          <w:rPr>
            <w:noProof/>
            <w:webHidden/>
          </w:rPr>
          <w:fldChar w:fldCharType="end"/>
        </w:r>
      </w:hyperlink>
    </w:p>
    <w:p w14:paraId="23378FCC" w14:textId="77777777" w:rsidR="00B74393" w:rsidRDefault="00B74393">
      <w:pPr>
        <w:pStyle w:val="TOC1"/>
        <w:tabs>
          <w:tab w:val="right" w:leader="dot" w:pos="9350"/>
        </w:tabs>
        <w:rPr>
          <w:rFonts w:ascii="Calibri" w:eastAsia="SimSun" w:hAnsi="Calibri" w:cs="SimSun"/>
          <w:noProof/>
          <w:sz w:val="22"/>
          <w:szCs w:val="22"/>
        </w:rPr>
      </w:pPr>
      <w:hyperlink w:anchor="_Toc199699803" w:history="1">
        <w:r>
          <w:rPr>
            <w:rStyle w:val="Hyperlink"/>
            <w:noProof/>
          </w:rPr>
          <w:t>Situational and Cultural Considerations (PESTLE Analysis)</w:t>
        </w:r>
        <w:r>
          <w:rPr>
            <w:noProof/>
            <w:webHidden/>
          </w:rPr>
          <w:tab/>
        </w:r>
        <w:r>
          <w:rPr>
            <w:noProof/>
            <w:webHidden/>
          </w:rPr>
          <w:fldChar w:fldCharType="begin"/>
        </w:r>
        <w:r>
          <w:rPr>
            <w:noProof/>
            <w:webHidden/>
          </w:rPr>
          <w:instrText xml:space="preserve"> PAGEREF _Toc199699803 \h </w:instrText>
        </w:r>
        <w:r>
          <w:rPr>
            <w:noProof/>
            <w:webHidden/>
          </w:rPr>
        </w:r>
        <w:r>
          <w:rPr>
            <w:noProof/>
            <w:webHidden/>
          </w:rPr>
          <w:fldChar w:fldCharType="separate"/>
        </w:r>
        <w:r>
          <w:rPr>
            <w:noProof/>
            <w:webHidden/>
          </w:rPr>
          <w:t>7</w:t>
        </w:r>
        <w:r>
          <w:rPr>
            <w:noProof/>
            <w:webHidden/>
          </w:rPr>
          <w:fldChar w:fldCharType="end"/>
        </w:r>
      </w:hyperlink>
    </w:p>
    <w:p w14:paraId="25943A29" w14:textId="77777777" w:rsidR="00B74393" w:rsidRDefault="00B74393">
      <w:pPr>
        <w:pStyle w:val="TOC1"/>
        <w:tabs>
          <w:tab w:val="right" w:leader="dot" w:pos="9350"/>
        </w:tabs>
        <w:rPr>
          <w:rFonts w:ascii="Calibri" w:eastAsia="SimSun" w:hAnsi="Calibri" w:cs="SimSun"/>
          <w:noProof/>
          <w:sz w:val="22"/>
          <w:szCs w:val="22"/>
        </w:rPr>
      </w:pPr>
      <w:hyperlink w:anchor="_Toc199699804" w:history="1">
        <w:r>
          <w:rPr>
            <w:rStyle w:val="Hyperlink"/>
            <w:noProof/>
          </w:rPr>
          <w:t>Conclusion</w:t>
        </w:r>
        <w:r>
          <w:rPr>
            <w:noProof/>
            <w:webHidden/>
          </w:rPr>
          <w:tab/>
        </w:r>
        <w:r>
          <w:rPr>
            <w:noProof/>
            <w:webHidden/>
          </w:rPr>
          <w:fldChar w:fldCharType="begin"/>
        </w:r>
        <w:r>
          <w:rPr>
            <w:noProof/>
            <w:webHidden/>
          </w:rPr>
          <w:instrText xml:space="preserve"> PAGEREF _Toc199699804 \h </w:instrText>
        </w:r>
        <w:r>
          <w:rPr>
            <w:noProof/>
            <w:webHidden/>
          </w:rPr>
        </w:r>
        <w:r>
          <w:rPr>
            <w:noProof/>
            <w:webHidden/>
          </w:rPr>
          <w:fldChar w:fldCharType="separate"/>
        </w:r>
        <w:r>
          <w:rPr>
            <w:noProof/>
            <w:webHidden/>
          </w:rPr>
          <w:t>10</w:t>
        </w:r>
        <w:r>
          <w:rPr>
            <w:noProof/>
            <w:webHidden/>
          </w:rPr>
          <w:fldChar w:fldCharType="end"/>
        </w:r>
      </w:hyperlink>
    </w:p>
    <w:p w14:paraId="42880173" w14:textId="77777777" w:rsidR="00B74393" w:rsidRDefault="00B74393">
      <w:pPr>
        <w:pStyle w:val="TOC1"/>
        <w:tabs>
          <w:tab w:val="right" w:leader="dot" w:pos="9350"/>
        </w:tabs>
        <w:rPr>
          <w:rFonts w:ascii="Calibri" w:eastAsia="SimSun" w:hAnsi="Calibri" w:cs="SimSun"/>
          <w:noProof/>
          <w:sz w:val="22"/>
          <w:szCs w:val="22"/>
        </w:rPr>
      </w:pPr>
      <w:hyperlink w:anchor="_Toc199699805" w:history="1">
        <w:r>
          <w:rPr>
            <w:rStyle w:val="Hyperlink"/>
            <w:noProof/>
          </w:rPr>
          <w:t>Reference</w:t>
        </w:r>
        <w:r>
          <w:rPr>
            <w:noProof/>
            <w:webHidden/>
          </w:rPr>
          <w:tab/>
        </w:r>
        <w:r>
          <w:rPr>
            <w:noProof/>
            <w:webHidden/>
          </w:rPr>
          <w:fldChar w:fldCharType="begin"/>
        </w:r>
        <w:r>
          <w:rPr>
            <w:noProof/>
            <w:webHidden/>
          </w:rPr>
          <w:instrText xml:space="preserve"> PAGEREF _Toc199699805 \h </w:instrText>
        </w:r>
        <w:r>
          <w:rPr>
            <w:noProof/>
            <w:webHidden/>
          </w:rPr>
        </w:r>
        <w:r>
          <w:rPr>
            <w:noProof/>
            <w:webHidden/>
          </w:rPr>
          <w:fldChar w:fldCharType="separate"/>
        </w:r>
        <w:r>
          <w:rPr>
            <w:noProof/>
            <w:webHidden/>
          </w:rPr>
          <w:t>11</w:t>
        </w:r>
        <w:r>
          <w:rPr>
            <w:noProof/>
            <w:webHidden/>
          </w:rPr>
          <w:fldChar w:fldCharType="end"/>
        </w:r>
      </w:hyperlink>
    </w:p>
    <w:p w14:paraId="76AC6859" w14:textId="77777777" w:rsidR="00B74393" w:rsidRDefault="00000000">
      <w:r>
        <w:rPr>
          <w:b/>
          <w:bCs/>
          <w:noProof/>
        </w:rPr>
        <w:fldChar w:fldCharType="end"/>
      </w:r>
    </w:p>
    <w:p w14:paraId="4F2C1ACA" w14:textId="77777777" w:rsidR="00B74393" w:rsidRDefault="00B74393">
      <w:pPr>
        <w:spacing w:line="259" w:lineRule="auto"/>
        <w:jc w:val="left"/>
        <w:sectPr w:rsidR="00B74393">
          <w:footerReference w:type="default" r:id="rId9"/>
          <w:pgSz w:w="12240" w:h="15840"/>
          <w:pgMar w:top="1440" w:right="1440" w:bottom="1440" w:left="1440" w:header="720" w:footer="720" w:gutter="0"/>
          <w:cols w:space="720"/>
          <w:docGrid w:linePitch="360"/>
        </w:sectPr>
      </w:pPr>
    </w:p>
    <w:p w14:paraId="6A0C85FB" w14:textId="77777777" w:rsidR="00B74393" w:rsidRDefault="00000000">
      <w:pPr>
        <w:pStyle w:val="Heading1"/>
      </w:pPr>
      <w:bookmarkStart w:id="0" w:name="_Toc199699796"/>
      <w:r>
        <w:lastRenderedPageBreak/>
        <w:t>Introduction</w:t>
      </w:r>
      <w:bookmarkEnd w:id="0"/>
    </w:p>
    <w:p w14:paraId="7D7CDCC6" w14:textId="77777777" w:rsidR="00B74393" w:rsidRDefault="00000000">
      <w:r>
        <w:t xml:space="preserve">Croeso holds a two-day international MICE meeting with the primary goal of praising Welsh heritage, language and hospitality. The acronym MICE means Meetings, Incentives, Conferences and Exhibitions (Tinnish and Mangal, 2012). The event is chosen to be in St. Davids, Pembrokeshire, because its historical and cultural richness gives the location the right atmosphere for an immersive event. </w:t>
      </w:r>
    </w:p>
    <w:p w14:paraId="3A2E9C07" w14:textId="77777777" w:rsidR="00B74393" w:rsidRDefault="00000000">
      <w:pPr>
        <w:jc w:val="center"/>
      </w:pPr>
      <w:r>
        <w:rPr>
          <w:noProof/>
        </w:rPr>
        <w:drawing>
          <wp:inline distT="0" distB="0" distL="0" distR="0" wp14:anchorId="233BC064" wp14:editId="46507D37">
            <wp:extent cx="4886325" cy="3249719"/>
            <wp:effectExtent l="0" t="0" r="0" b="8255"/>
            <wp:docPr id="1027"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6"/>
                    <pic:cNvPicPr/>
                  </pic:nvPicPr>
                  <pic:blipFill>
                    <a:blip r:embed="rId10" cstate="print"/>
                    <a:srcRect/>
                    <a:stretch/>
                  </pic:blipFill>
                  <pic:spPr>
                    <a:xfrm>
                      <a:off x="0" y="0"/>
                      <a:ext cx="4886325" cy="3249719"/>
                    </a:xfrm>
                    <a:prstGeom prst="rect">
                      <a:avLst/>
                    </a:prstGeom>
                  </pic:spPr>
                </pic:pic>
              </a:graphicData>
            </a:graphic>
          </wp:inline>
        </w:drawing>
      </w:r>
    </w:p>
    <w:p w14:paraId="29249B60" w14:textId="77777777" w:rsidR="00B74393" w:rsidRDefault="00000000">
      <w:pPr>
        <w:jc w:val="center"/>
      </w:pPr>
      <w:r>
        <w:t>Figure: St. David's day celebration in Wales (Visit Wales, 2025)</w:t>
      </w:r>
    </w:p>
    <w:p w14:paraId="7C697BC0" w14:textId="77777777" w:rsidR="00B74393" w:rsidRDefault="00000000">
      <w:r>
        <w:t>At the summit, participants connect, take part in fun cultural activities and explore harp-making, poetry readings and foraging trips along the coastal area. The event follows Visit Wales’ “Year of Croeso 2025” campaign, which encourages a warm welcome by highlighting the nation’s unique traits, customs and sights. The campaign aims to give visitors opportunities to experience the values of inclusivity, community and cultural pride in Wales (VisitWales, 2025). St. David's was chosen because it is an underexplored cultural place and gives a unique alternative to mainstream conference cities like Cardiff (BBC, 2025). The report explains the main points of strategy and delivery for organising the summit. It relies on the information from Assignment 1 and explains in depth the concept, operations, budget, marketing and analysis of the event’s environment.</w:t>
      </w:r>
    </w:p>
    <w:p w14:paraId="75BD78B2" w14:textId="77777777" w:rsidR="00B74393" w:rsidRDefault="00000000">
      <w:pPr>
        <w:pStyle w:val="Heading1"/>
      </w:pPr>
      <w:r>
        <w:br w:type="page"/>
      </w:r>
      <w:bookmarkStart w:id="1" w:name="_Toc199699797"/>
      <w:r>
        <w:lastRenderedPageBreak/>
        <w:t>The Event Cycle</w:t>
      </w:r>
      <w:bookmarkEnd w:id="1"/>
    </w:p>
    <w:p w14:paraId="00CC3FED" w14:textId="77777777" w:rsidR="00B74393" w:rsidRDefault="00000000">
      <w:r>
        <w:t>The event cycle is a set of stages that helps plan, execute and review an event (Kaunisto, 2021). In his book, O’Toole explains a standard model that consists of three main steps: planning, delivery and evaluation (O’Toole, 2010). Events are planned with care, carried out well and regularly improved by following these stages (Thomas and Stephens, 2022).</w:t>
      </w:r>
    </w:p>
    <w:p w14:paraId="36BD12EE" w14:textId="77777777" w:rsidR="00B74393" w:rsidRDefault="00000000">
      <w:pPr>
        <w:jc w:val="center"/>
      </w:pPr>
      <w:r>
        <w:rPr>
          <w:noProof/>
        </w:rPr>
        <w:drawing>
          <wp:inline distT="0" distB="0" distL="0" distR="0" wp14:anchorId="18E08C5C" wp14:editId="7975760B">
            <wp:extent cx="4314825" cy="2876550"/>
            <wp:effectExtent l="0" t="0" r="9525" b="0"/>
            <wp:docPr id="1028"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7"/>
                    <pic:cNvPicPr/>
                  </pic:nvPicPr>
                  <pic:blipFill>
                    <a:blip r:embed="rId11" cstate="print"/>
                    <a:srcRect/>
                    <a:stretch/>
                  </pic:blipFill>
                  <pic:spPr>
                    <a:xfrm>
                      <a:off x="0" y="0"/>
                      <a:ext cx="4314825" cy="2876550"/>
                    </a:xfrm>
                    <a:prstGeom prst="rect">
                      <a:avLst/>
                    </a:prstGeom>
                  </pic:spPr>
                </pic:pic>
              </a:graphicData>
            </a:graphic>
          </wp:inline>
        </w:drawing>
      </w:r>
    </w:p>
    <w:p w14:paraId="0E8C1845" w14:textId="77777777" w:rsidR="00B74393" w:rsidRDefault="00000000">
      <w:pPr>
        <w:jc w:val="center"/>
      </w:pPr>
      <w:r>
        <w:t>Figure: Three stages of event cycle model (O’Toole, 2010)</w:t>
      </w:r>
    </w:p>
    <w:p w14:paraId="2F8BCBE9" w14:textId="77777777" w:rsidR="00B74393" w:rsidRDefault="00000000">
      <w:r>
        <w:t>First, the Croeso Cultural Summit picks St. David's Cathedral as the venue, due to its cultural background and practical strengths. Tagging partners like Visit Wales and local artisans is done early to keep the cultural immersion theme for the event. At this point, the budget is prepared, which shows how much money will be made from tickets and how much will be spent on hotels, food and staff. At this stage, reviewing risks and making contingency plans becomes very important (Jean, 2024).</w:t>
      </w:r>
    </w:p>
    <w:p w14:paraId="211A7001" w14:textId="77777777" w:rsidR="00B74393" w:rsidRDefault="00000000">
      <w:r>
        <w:t>In the delivery phase, the summit is carried out according to its two-day schedule. Among the duties are arranging staff and volunteers, organising transport from the Haverfordwest train station and looking after workshops, main presentations and the dinner party. It is very important to have strong communication and safety measures, including access to medical support and suitable facilities, for giving delegates a great experience (Rogers and Wynn-Moylan, 2022).</w:t>
      </w:r>
    </w:p>
    <w:p w14:paraId="0E479F59" w14:textId="77777777" w:rsidR="00B74393" w:rsidRDefault="00000000">
      <w:r>
        <w:lastRenderedPageBreak/>
        <w:t>To finish the process, success is measured by looking at survey responses, reviewing how the event was covered in the media and checking the event’s budget. Responses by delegates are evaluated to determine if they are satisfied, if any cultural issues are present and how operations are going. Return on investment (ROI) is checked to see whether the summit should be organised in the future (Getz and Page, 2016).</w:t>
      </w:r>
    </w:p>
    <w:p w14:paraId="6CB8C9A9" w14:textId="77777777" w:rsidR="00B74393" w:rsidRDefault="00000000">
      <w:pPr>
        <w:pStyle w:val="Heading1"/>
      </w:pPr>
      <w:bookmarkStart w:id="2" w:name="_Toc199699798"/>
      <w:r>
        <w:t>Event Concept &amp; Itinerary</w:t>
      </w:r>
      <w:bookmarkEnd w:id="2"/>
    </w:p>
    <w:p w14:paraId="081D384E" w14:textId="77777777" w:rsidR="00B74393" w:rsidRDefault="00000000">
      <w:bookmarkStart w:id="3" w:name="_Toc199699799"/>
      <w:r>
        <w:t>The Croeso Cultural Summit is a 2-day hybrid event focused on business and exploring culture, organised in the heritage city of St. Davids in Pembrokeshire. Reflecting the Year of Croeso 2025, the summit introduces visitors from other nations to the culture, nature, language and food of Wales, making them feel that this is their home (Wales, 2025).</w:t>
      </w:r>
    </w:p>
    <w:p w14:paraId="6405CEFE" w14:textId="77777777" w:rsidR="00B74393" w:rsidRDefault="00000000">
      <w:r>
        <w:t>Day One starts with a ceremony at 9:00 AM, after which key speakers will talk about sustainable tourism and cultural diplomacy. The festival then includes interactive workshops such as learning some Welsh and watching local artisans make harps. This will help all stakeholders to become acquainted with the culture. The lunch after the networking session highlights regional produce, and the panel discussions in the afternoon focus on cultural policy and creative industries. The evening ends with the “Taste of Cymru” Gala Dinner at 7:00 PM, which takes place in the illuminated cloisters of St. David’s Cathedral. You can taste traditional Welsh food and watch live folk music, which keeps the culture real.</w:t>
      </w:r>
    </w:p>
    <w:p w14:paraId="4DE2CB20" w14:textId="77777777" w:rsidR="00B74393" w:rsidRDefault="00000000">
      <w:r>
        <w:t>Day Two begins at 8:30 AM, and an expert leads participants on a foraging tour along the Pembrokeshire Coast Path to learn about Welsh nature and food customs. A poetry slam in the Eisteddfod style is held in the afternoon, focusing on promoting the Welsh language and art and ends with closing remarks and networking tea at 4:00 PM.</w:t>
      </w:r>
    </w:p>
    <w:p w14:paraId="10977733" w14:textId="77777777" w:rsidR="00B74393" w:rsidRDefault="00000000">
      <w:pPr>
        <w:rPr>
          <w:b/>
        </w:rPr>
      </w:pPr>
      <w:r>
        <w:t>As global MICE trends favour unique and culturally tied events, this itinerary responds to that by providing such experiences (MICE Magazine, 2024). It lets delegates visit Wales and remember the experience long after the conference is over.</w:t>
      </w:r>
    </w:p>
    <w:p w14:paraId="1DC49A93" w14:textId="77777777" w:rsidR="00B74393" w:rsidRDefault="00000000">
      <w:pPr>
        <w:pStyle w:val="Heading1"/>
      </w:pPr>
      <w:r>
        <w:t>Aim and SMART Objectives</w:t>
      </w:r>
      <w:bookmarkEnd w:id="3"/>
    </w:p>
    <w:p w14:paraId="1A6AB1FA" w14:textId="77777777" w:rsidR="00B74393" w:rsidRDefault="00000000">
      <w:r>
        <w:t xml:space="preserve">The main objective of the Croeso Cultural Summit is to host a MICE (Meetings, Incentives, Conferences, and Exhibitions) event of international standards, which will showcase and show </w:t>
      </w:r>
      <w:r>
        <w:lastRenderedPageBreak/>
        <w:t>appreciation to the Welsh culture, heritage, and hospitality. This purpose is directly in line with the strategic goals of the Visit Wales 2025 campaign, the so-called Year of Croeso, and the unique Welsh hospitality. The campaign is also promoting local interaction and immersive tourism experience that form a strong sense of place and cultural attachment (Business Wales, 2025).</w:t>
      </w:r>
    </w:p>
    <w:p w14:paraId="0A3A7C9F" w14:textId="77777777" w:rsidR="00B74393" w:rsidRDefault="00000000">
      <w:r>
        <w:t>In order to assist this general goal, the following SMART objectives are outlined. These are Specific, Measurable, Achievable, Relevant and Time-bound, and offer a solid structure for planning, delivery and evaluation:</w:t>
      </w:r>
    </w:p>
    <w:p w14:paraId="00CB871A" w14:textId="77777777" w:rsidR="00B74393" w:rsidRDefault="00000000">
      <w:r>
        <w:t>Draw 80-100 foreign representatives of the creative industries, cultural organisations, and ethical tourism segments by May 2025. Such a target takes into consideration the venue capacity as well as the international positioning strategy of the summit.</w:t>
      </w:r>
    </w:p>
    <w:p w14:paraId="1B0AB1C9" w14:textId="77777777" w:rsidR="00B74393" w:rsidRDefault="00000000">
      <w:r>
        <w:t>Purchase 80 per cent of all services and suppliers within the community, such as food, accommodation, transportation and entertainment providers. This is aimed at supporting local businesses, lessening the effect on the environment and is aligned with the aims of sustainable tourism development in Wales.</w:t>
      </w:r>
    </w:p>
    <w:p w14:paraId="04532E7C" w14:textId="77777777" w:rsidR="00B74393" w:rsidRDefault="00000000">
      <w:r>
        <w:t>Obtain delegate satisfaction rates of at least 90 per cent, as determined by post-event structured surveys. The crucial areas of evaluation will consist of cultural enrichment, logistics of the event, quality of speakers, and the general experience of the guests.</w:t>
      </w:r>
    </w:p>
    <w:p w14:paraId="062B0E73" w14:textId="77777777" w:rsidR="00B74393" w:rsidRDefault="00000000">
      <w:r>
        <w:t>These are set to act as the performance benchmarks and determine decision-making throughout the event in all its stages. Their achievement will prove the role of the summit in boosting Wales in every economic and cultural aspect in the mission of creating a strong image of a destination for immersive and meaningful MICE events. These are some of the KPIs (Key Performance Indicators) that should be monitored by the organisers to make sure that the event is not only strategic but also an experience of a lifetime for all the involved parties.</w:t>
      </w:r>
    </w:p>
    <w:p w14:paraId="3CD600DF" w14:textId="77777777" w:rsidR="00B74393" w:rsidRDefault="00000000">
      <w:pPr>
        <w:pStyle w:val="Heading1"/>
      </w:pPr>
      <w:bookmarkStart w:id="4" w:name="_Toc199699800"/>
      <w:r>
        <w:t>Event Management Strategy</w:t>
      </w:r>
      <w:bookmarkEnd w:id="4"/>
    </w:p>
    <w:p w14:paraId="78EC37D9" w14:textId="77777777" w:rsidR="00B74393" w:rsidRDefault="00000000">
      <w:r>
        <w:t xml:space="preserve">Event management theory, supported by models and frameworks, uses planned and organised approaches to make sure events run smoothly (Antchak, Ziakas and Getz, 2019). It means coordinating what the organisation aims to do with how tasks are managed in logistics, marketing, </w:t>
      </w:r>
      <w:r>
        <w:lastRenderedPageBreak/>
        <w:t>finance, human resources and risk management (Bladen et al., 2017). Having a theoretical background helps deliver events well, creatively and according to plan.</w:t>
      </w:r>
    </w:p>
    <w:p w14:paraId="19277745" w14:textId="77777777" w:rsidR="00B74393" w:rsidRDefault="00000000">
      <w:r>
        <w:t>For the Croeso Cultural Summit, event scheduling is organised by holding keynote sessions in the morning, workshops in the afternoon and cultural programs in the evening. People are given options to use pre-booked shuttles from Haverfordwest railway station and Cardiff Airport. Quality, sustainability, fairness and sustainability values are the reasons why only local caterers, accommodation providers and artisan demonstrators are being used.</w:t>
      </w:r>
    </w:p>
    <w:p w14:paraId="1A175A3A" w14:textId="77777777" w:rsidR="00B74393" w:rsidRDefault="00000000">
      <w:r>
        <w:t>Resource planning includes hiring trained event staff and volunteers, with specific roles for guest management, accessibility, and emergency response. Technological resources include audio-visual systems for hybrid participation, translation tools for international delegates, and mobile app support for schedules and updates. Catering partners will deliver a sustainable, Welsh-sourced menu, adhering to the Welsh Food and Drink Action Plan.</w:t>
      </w:r>
    </w:p>
    <w:p w14:paraId="0CED137A" w14:textId="77777777" w:rsidR="00B74393" w:rsidRDefault="00000000">
      <w:r>
        <w:t>Marketing strategies utilise digital promotion via social media, industry newsletters, and targeted email campaigns (Rosário and Dias, 2023). The summit will be listed on Visit Wales’ event platforms and supported by their media team, leveraging the “Year of Croeso” branding for international appeal (Visit Wales, 2025). A dedicated B2B outreach strategy focuses on cultural institutions, international travel trade organisations, and tourism networks (Drave, 2024).</w:t>
      </w:r>
    </w:p>
    <w:p w14:paraId="7E10EFD5" w14:textId="77777777" w:rsidR="00B74393" w:rsidRDefault="00000000">
      <w:r>
        <w:t>To manage uncertainty, a contingency plan is in place for poor weather, moving outdoor sessions to the Cathedral’s museum space. Overcapacity will be handled via pop-up dining and local partnerships, while low attendance will trigger outreach to Welsh universities and creative networks to fill capacity. These strategies follow O'Toole’s risk-based event planning model, which emphasises proactive flexibility and safety assurance.</w:t>
      </w:r>
    </w:p>
    <w:p w14:paraId="6ACDA747" w14:textId="77777777" w:rsidR="00B74393" w:rsidRDefault="00000000">
      <w:pPr>
        <w:pStyle w:val="Heading1"/>
      </w:pPr>
      <w:bookmarkStart w:id="5" w:name="_Toc199699801"/>
      <w:r>
        <w:t>Event Budget &amp; Finance</w:t>
      </w:r>
      <w:bookmarkEnd w:id="5"/>
    </w:p>
    <w:p w14:paraId="6E973405" w14:textId="77777777" w:rsidR="00B74393" w:rsidRDefault="00000000">
      <w:r>
        <w:t xml:space="preserve">Effective financial planning is a cornerstone of event management, ensuring that objectives are achieved within budget and value is delivered to stakeholders (Thomas, 2023). According to cost-benefit analysis theory, events must measure both tangible and intangible returns relative to total expenditure to determine viability and sustainability (Stobierski, 2019). In addition, Return on Investment (ROI) models are used to assess whether an event’s outcomes justify its costs, </w:t>
      </w:r>
      <w:r>
        <w:lastRenderedPageBreak/>
        <w:t>particularly in MICE contexts where cultural and reputational gains are as significant as revenue (Stobierski, 2020).</w:t>
      </w:r>
    </w:p>
    <w:p w14:paraId="39B38CF1" w14:textId="77777777" w:rsidR="00B74393" w:rsidRDefault="00000000">
      <w:r>
        <w:t>The projected budget for the Croeso Cultural Summit is as follows:</w:t>
      </w:r>
    </w:p>
    <w:tbl>
      <w:tblPr>
        <w:tblStyle w:val="TableGrid"/>
        <w:tblW w:w="0" w:type="auto"/>
        <w:tblLook w:val="04A0" w:firstRow="1" w:lastRow="0" w:firstColumn="1" w:lastColumn="0" w:noHBand="0" w:noVBand="1"/>
      </w:tblPr>
      <w:tblGrid>
        <w:gridCol w:w="3415"/>
        <w:gridCol w:w="1260"/>
        <w:gridCol w:w="2337"/>
        <w:gridCol w:w="2338"/>
      </w:tblGrid>
      <w:tr w:rsidR="00B74393" w14:paraId="611CD1D1" w14:textId="77777777">
        <w:tc>
          <w:tcPr>
            <w:tcW w:w="3415" w:type="dxa"/>
          </w:tcPr>
          <w:p w14:paraId="3832CD65" w14:textId="77777777" w:rsidR="00B74393" w:rsidRDefault="00000000">
            <w:pPr>
              <w:jc w:val="center"/>
              <w:rPr>
                <w:b/>
              </w:rPr>
            </w:pPr>
            <w:r>
              <w:rPr>
                <w:b/>
              </w:rPr>
              <w:t>Expenditure</w:t>
            </w:r>
          </w:p>
        </w:tc>
        <w:tc>
          <w:tcPr>
            <w:tcW w:w="1260" w:type="dxa"/>
          </w:tcPr>
          <w:p w14:paraId="0FFE7F59" w14:textId="77777777" w:rsidR="00B74393" w:rsidRDefault="00000000">
            <w:pPr>
              <w:jc w:val="center"/>
              <w:rPr>
                <w:b/>
              </w:rPr>
            </w:pPr>
            <w:r>
              <w:rPr>
                <w:b/>
              </w:rPr>
              <w:t>Amount</w:t>
            </w:r>
          </w:p>
        </w:tc>
        <w:tc>
          <w:tcPr>
            <w:tcW w:w="2337" w:type="dxa"/>
          </w:tcPr>
          <w:p w14:paraId="31684323" w14:textId="77777777" w:rsidR="00B74393" w:rsidRDefault="00000000">
            <w:pPr>
              <w:jc w:val="center"/>
              <w:rPr>
                <w:b/>
              </w:rPr>
            </w:pPr>
            <w:r>
              <w:rPr>
                <w:b/>
              </w:rPr>
              <w:t>Income</w:t>
            </w:r>
          </w:p>
        </w:tc>
        <w:tc>
          <w:tcPr>
            <w:tcW w:w="2338" w:type="dxa"/>
          </w:tcPr>
          <w:p w14:paraId="07E46C56" w14:textId="77777777" w:rsidR="00B74393" w:rsidRDefault="00000000">
            <w:pPr>
              <w:jc w:val="center"/>
              <w:rPr>
                <w:b/>
              </w:rPr>
            </w:pPr>
            <w:r>
              <w:rPr>
                <w:b/>
              </w:rPr>
              <w:t>Amount</w:t>
            </w:r>
          </w:p>
        </w:tc>
      </w:tr>
      <w:tr w:rsidR="00B74393" w14:paraId="692FE692" w14:textId="77777777">
        <w:trPr>
          <w:trHeight w:val="711"/>
        </w:trPr>
        <w:tc>
          <w:tcPr>
            <w:tcW w:w="3415" w:type="dxa"/>
          </w:tcPr>
          <w:p w14:paraId="29AA3012" w14:textId="77777777" w:rsidR="00B74393" w:rsidRDefault="00000000">
            <w:r>
              <w:t>Venue hire (St. David's Cathedral)</w:t>
            </w:r>
          </w:p>
        </w:tc>
        <w:tc>
          <w:tcPr>
            <w:tcW w:w="1260" w:type="dxa"/>
          </w:tcPr>
          <w:p w14:paraId="0102E0A9" w14:textId="77777777" w:rsidR="00B74393" w:rsidRDefault="00000000">
            <w:pPr>
              <w:jc w:val="center"/>
            </w:pPr>
            <w:r>
              <w:t>£3,000</w:t>
            </w:r>
          </w:p>
          <w:p w14:paraId="667156C2" w14:textId="77777777" w:rsidR="00B74393" w:rsidRDefault="00B74393">
            <w:pPr>
              <w:jc w:val="center"/>
            </w:pPr>
          </w:p>
        </w:tc>
        <w:tc>
          <w:tcPr>
            <w:tcW w:w="2337" w:type="dxa"/>
          </w:tcPr>
          <w:p w14:paraId="251A467E" w14:textId="77777777" w:rsidR="00B74393" w:rsidRDefault="00000000">
            <w:r>
              <w:t>Delegate ticket sales (£275 × 100)</w:t>
            </w:r>
          </w:p>
        </w:tc>
        <w:tc>
          <w:tcPr>
            <w:tcW w:w="2338" w:type="dxa"/>
          </w:tcPr>
          <w:p w14:paraId="7C0F11EF" w14:textId="77777777" w:rsidR="00B74393" w:rsidRDefault="00000000">
            <w:pPr>
              <w:jc w:val="center"/>
            </w:pPr>
            <w:r>
              <w:t>£27,500</w:t>
            </w:r>
          </w:p>
        </w:tc>
      </w:tr>
      <w:tr w:rsidR="00B74393" w14:paraId="51DFFA4A" w14:textId="77777777">
        <w:trPr>
          <w:trHeight w:val="709"/>
        </w:trPr>
        <w:tc>
          <w:tcPr>
            <w:tcW w:w="3415" w:type="dxa"/>
          </w:tcPr>
          <w:p w14:paraId="6DAD6CD7" w14:textId="77777777" w:rsidR="00B74393" w:rsidRDefault="00000000">
            <w:r>
              <w:t>Accommodation (2 nights at £140 per night × 100 delegates)</w:t>
            </w:r>
          </w:p>
        </w:tc>
        <w:tc>
          <w:tcPr>
            <w:tcW w:w="1260" w:type="dxa"/>
          </w:tcPr>
          <w:p w14:paraId="31357356" w14:textId="77777777" w:rsidR="00B74393" w:rsidRDefault="00000000">
            <w:pPr>
              <w:jc w:val="center"/>
            </w:pPr>
            <w:r>
              <w:t>£28000</w:t>
            </w:r>
          </w:p>
        </w:tc>
        <w:tc>
          <w:tcPr>
            <w:tcW w:w="2337" w:type="dxa"/>
          </w:tcPr>
          <w:p w14:paraId="6A966E33" w14:textId="77777777" w:rsidR="00B74393" w:rsidRDefault="00000000">
            <w:r>
              <w:t>Visit Wales sponsorship</w:t>
            </w:r>
          </w:p>
        </w:tc>
        <w:tc>
          <w:tcPr>
            <w:tcW w:w="2338" w:type="dxa"/>
          </w:tcPr>
          <w:p w14:paraId="280E9111" w14:textId="77777777" w:rsidR="00B74393" w:rsidRDefault="00000000">
            <w:pPr>
              <w:jc w:val="center"/>
            </w:pPr>
            <w:r>
              <w:t>£6,000</w:t>
            </w:r>
          </w:p>
        </w:tc>
      </w:tr>
      <w:tr w:rsidR="00B74393" w14:paraId="54AA4095" w14:textId="77777777">
        <w:trPr>
          <w:trHeight w:val="709"/>
        </w:trPr>
        <w:tc>
          <w:tcPr>
            <w:tcW w:w="3415" w:type="dxa"/>
          </w:tcPr>
          <w:p w14:paraId="1891BCCE" w14:textId="77777777" w:rsidR="00B74393" w:rsidRDefault="00000000">
            <w:r>
              <w:t>Catering (locally sourced food, £50 per person)</w:t>
            </w:r>
          </w:p>
        </w:tc>
        <w:tc>
          <w:tcPr>
            <w:tcW w:w="1260" w:type="dxa"/>
          </w:tcPr>
          <w:p w14:paraId="2A04EF19" w14:textId="77777777" w:rsidR="00B74393" w:rsidRDefault="00000000">
            <w:pPr>
              <w:jc w:val="center"/>
            </w:pPr>
            <w:r>
              <w:t>£5,000</w:t>
            </w:r>
          </w:p>
        </w:tc>
        <w:tc>
          <w:tcPr>
            <w:tcW w:w="2337" w:type="dxa"/>
          </w:tcPr>
          <w:p w14:paraId="1A5557C5" w14:textId="77777777" w:rsidR="00B74393" w:rsidRDefault="00000000">
            <w:r>
              <w:t>Local partner/vendor contributions</w:t>
            </w:r>
          </w:p>
        </w:tc>
        <w:tc>
          <w:tcPr>
            <w:tcW w:w="2338" w:type="dxa"/>
          </w:tcPr>
          <w:p w14:paraId="5714D132" w14:textId="77777777" w:rsidR="00B74393" w:rsidRDefault="00000000">
            <w:pPr>
              <w:jc w:val="center"/>
            </w:pPr>
            <w:r>
              <w:t>£3,000</w:t>
            </w:r>
          </w:p>
        </w:tc>
      </w:tr>
      <w:tr w:rsidR="00B74393" w14:paraId="41C72773" w14:textId="77777777">
        <w:trPr>
          <w:trHeight w:val="709"/>
        </w:trPr>
        <w:tc>
          <w:tcPr>
            <w:tcW w:w="3415" w:type="dxa"/>
          </w:tcPr>
          <w:p w14:paraId="227C70AB" w14:textId="77777777" w:rsidR="00B74393" w:rsidRDefault="00000000">
            <w:r>
              <w:t>Marketing and promotional materials</w:t>
            </w:r>
          </w:p>
        </w:tc>
        <w:tc>
          <w:tcPr>
            <w:tcW w:w="1260" w:type="dxa"/>
          </w:tcPr>
          <w:p w14:paraId="1AFB101D" w14:textId="77777777" w:rsidR="00B74393" w:rsidRDefault="00000000">
            <w:pPr>
              <w:jc w:val="center"/>
            </w:pPr>
            <w:r>
              <w:t>£2,000</w:t>
            </w:r>
          </w:p>
        </w:tc>
        <w:tc>
          <w:tcPr>
            <w:tcW w:w="2337" w:type="dxa"/>
            <w:vMerge w:val="restart"/>
          </w:tcPr>
          <w:p w14:paraId="2CA5E0A8" w14:textId="77777777" w:rsidR="00B74393" w:rsidRDefault="00000000">
            <w:r>
              <w:t>Public tourism and cultural grants</w:t>
            </w:r>
          </w:p>
        </w:tc>
        <w:tc>
          <w:tcPr>
            <w:tcW w:w="2338" w:type="dxa"/>
            <w:vMerge w:val="restart"/>
          </w:tcPr>
          <w:p w14:paraId="72A868BE" w14:textId="77777777" w:rsidR="00B74393" w:rsidRDefault="00000000">
            <w:pPr>
              <w:jc w:val="center"/>
            </w:pPr>
            <w:r>
              <w:t>£10,000</w:t>
            </w:r>
          </w:p>
        </w:tc>
      </w:tr>
      <w:tr w:rsidR="00B74393" w14:paraId="635CDF40" w14:textId="77777777">
        <w:trPr>
          <w:trHeight w:val="709"/>
        </w:trPr>
        <w:tc>
          <w:tcPr>
            <w:tcW w:w="3415" w:type="dxa"/>
          </w:tcPr>
          <w:p w14:paraId="10414C4F" w14:textId="77777777" w:rsidR="00B74393" w:rsidRDefault="00000000">
            <w:r>
              <w:t>Additional Costs</w:t>
            </w:r>
          </w:p>
        </w:tc>
        <w:tc>
          <w:tcPr>
            <w:tcW w:w="1260" w:type="dxa"/>
          </w:tcPr>
          <w:p w14:paraId="34192AE6" w14:textId="77777777" w:rsidR="00B74393" w:rsidRDefault="00000000">
            <w:pPr>
              <w:jc w:val="center"/>
            </w:pPr>
            <w:r>
              <w:t>£5,000</w:t>
            </w:r>
          </w:p>
        </w:tc>
        <w:tc>
          <w:tcPr>
            <w:tcW w:w="2337" w:type="dxa"/>
            <w:vMerge/>
          </w:tcPr>
          <w:p w14:paraId="448F75DF" w14:textId="77777777" w:rsidR="00B74393" w:rsidRDefault="00B74393"/>
        </w:tc>
        <w:tc>
          <w:tcPr>
            <w:tcW w:w="2338" w:type="dxa"/>
            <w:vMerge/>
          </w:tcPr>
          <w:p w14:paraId="4EA9CE51" w14:textId="77777777" w:rsidR="00B74393" w:rsidRDefault="00B74393">
            <w:pPr>
              <w:jc w:val="center"/>
            </w:pPr>
          </w:p>
        </w:tc>
      </w:tr>
      <w:tr w:rsidR="00B74393" w14:paraId="0FD9B5E2" w14:textId="77777777">
        <w:trPr>
          <w:trHeight w:val="709"/>
        </w:trPr>
        <w:tc>
          <w:tcPr>
            <w:tcW w:w="3415" w:type="dxa"/>
          </w:tcPr>
          <w:p w14:paraId="7CED94AE" w14:textId="77777777" w:rsidR="00B74393" w:rsidRDefault="00000000">
            <w:r>
              <w:t>Total Costs</w:t>
            </w:r>
          </w:p>
        </w:tc>
        <w:tc>
          <w:tcPr>
            <w:tcW w:w="1260" w:type="dxa"/>
          </w:tcPr>
          <w:p w14:paraId="416DCFC5" w14:textId="77777777" w:rsidR="00B74393" w:rsidRDefault="00000000">
            <w:pPr>
              <w:jc w:val="center"/>
            </w:pPr>
            <w:r>
              <w:t>£43,000</w:t>
            </w:r>
          </w:p>
        </w:tc>
        <w:tc>
          <w:tcPr>
            <w:tcW w:w="2337" w:type="dxa"/>
          </w:tcPr>
          <w:p w14:paraId="2CC89C73" w14:textId="77777777" w:rsidR="00B74393" w:rsidRDefault="00000000">
            <w:r>
              <w:t>Total Income</w:t>
            </w:r>
          </w:p>
        </w:tc>
        <w:tc>
          <w:tcPr>
            <w:tcW w:w="2338" w:type="dxa"/>
          </w:tcPr>
          <w:p w14:paraId="2726A020" w14:textId="77777777" w:rsidR="00B74393" w:rsidRDefault="00000000">
            <w:pPr>
              <w:jc w:val="center"/>
            </w:pPr>
            <w:r>
              <w:t>£46,500</w:t>
            </w:r>
          </w:p>
        </w:tc>
      </w:tr>
      <w:tr w:rsidR="00B74393" w14:paraId="6EC6E4BF" w14:textId="77777777">
        <w:trPr>
          <w:trHeight w:val="709"/>
        </w:trPr>
        <w:tc>
          <w:tcPr>
            <w:tcW w:w="7012" w:type="dxa"/>
            <w:gridSpan w:val="3"/>
          </w:tcPr>
          <w:p w14:paraId="2E2352CE" w14:textId="77777777" w:rsidR="00B74393" w:rsidRDefault="00000000">
            <w:pPr>
              <w:rPr>
                <w:b/>
              </w:rPr>
            </w:pPr>
            <w:r>
              <w:rPr>
                <w:b/>
              </w:rPr>
              <w:t>Projected Surplus</w:t>
            </w:r>
          </w:p>
        </w:tc>
        <w:tc>
          <w:tcPr>
            <w:tcW w:w="2338" w:type="dxa"/>
          </w:tcPr>
          <w:p w14:paraId="1C2C690D" w14:textId="77777777" w:rsidR="00B74393" w:rsidRDefault="00000000">
            <w:pPr>
              <w:jc w:val="center"/>
              <w:rPr>
                <w:b/>
              </w:rPr>
            </w:pPr>
            <w:r>
              <w:rPr>
                <w:b/>
              </w:rPr>
              <w:t>£3,500</w:t>
            </w:r>
          </w:p>
        </w:tc>
      </w:tr>
    </w:tbl>
    <w:p w14:paraId="5F426919" w14:textId="77777777" w:rsidR="00B74393" w:rsidRDefault="00000000">
      <w:r>
        <w:t>This modest surplus ensures the event is not only financially viable but also commercially sustainable, allowing for reinvestment into post-event marketing or community engagement initiatives. The strong reliance on local suppliers keeps costs competitive while aligning with the Year of Croeso’s sustainability goals. This balanced approach to budgeting ensures value creation across economic, cultural, and social dimensions, aligning with principles of triple bottom line event planning. Moreover, the proposed budget foresees spending £43,000 and receiving £46,500 in revenue, giving a profit of £3,500. Although everything appears appropriate for a balanced and sustainable budget at first glance, a closer review reveals various flaws that require attention. Because most of its income comes from ticket sales (£27,500), this approach increases risks and means accommodation at £28,000 accounts for a big part of the budget without any more specific details included. The term “Additional Costs” does not provide enough information, and there is not enough budget for marketing at only £2,000.</w:t>
      </w:r>
    </w:p>
    <w:p w14:paraId="11C6CBB6" w14:textId="77777777" w:rsidR="00B74393" w:rsidRDefault="00000000">
      <w:pPr>
        <w:pStyle w:val="Heading1"/>
      </w:pPr>
      <w:bookmarkStart w:id="6" w:name="_Toc199699802"/>
      <w:r>
        <w:lastRenderedPageBreak/>
        <w:t>Industry Trends / Issues / Impacts</w:t>
      </w:r>
      <w:bookmarkEnd w:id="6"/>
    </w:p>
    <w:p w14:paraId="1281C09D" w14:textId="77777777" w:rsidR="00B74393" w:rsidRDefault="00000000">
      <w:r>
        <w:t>The international MICE industry continues to evolve in response to global trends, particularly in the post-pandemic era (Kulikova, Aliyeva and Dávid, 2023). Several key issues now shape event planning and delivery, which are critical to the strategic positioning of the Croeso Cultural Summit.</w:t>
      </w:r>
    </w:p>
    <w:p w14:paraId="16C7030E" w14:textId="77777777" w:rsidR="00B74393" w:rsidRDefault="00000000">
      <w:pPr>
        <w:jc w:val="center"/>
      </w:pPr>
      <w:r>
        <w:rPr>
          <w:noProof/>
        </w:rPr>
        <w:drawing>
          <wp:inline distT="0" distB="0" distL="0" distR="0" wp14:anchorId="2A3E6EEC" wp14:editId="38320F01">
            <wp:extent cx="4229100" cy="3445676"/>
            <wp:effectExtent l="0" t="0" r="0" b="2540"/>
            <wp:docPr id="1029" name="Picture 1" descr="Virtual Events Statistics and Facts (20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12" cstate="print"/>
                    <a:srcRect/>
                    <a:stretch/>
                  </pic:blipFill>
                  <pic:spPr>
                    <a:xfrm>
                      <a:off x="0" y="0"/>
                      <a:ext cx="4229100" cy="3445676"/>
                    </a:xfrm>
                    <a:prstGeom prst="rect">
                      <a:avLst/>
                    </a:prstGeom>
                    <a:ln>
                      <a:noFill/>
                    </a:ln>
                  </pic:spPr>
                </pic:pic>
              </a:graphicData>
            </a:graphic>
          </wp:inline>
        </w:drawing>
      </w:r>
    </w:p>
    <w:p w14:paraId="6BCCF684" w14:textId="77777777" w:rsidR="00B74393" w:rsidRDefault="00000000">
      <w:pPr>
        <w:jc w:val="center"/>
      </w:pPr>
      <w:r>
        <w:t>Figure: Global virtual event market (Pangarkar, 2024)</w:t>
      </w:r>
    </w:p>
    <w:p w14:paraId="311A1C44" w14:textId="77777777" w:rsidR="00B74393" w:rsidRDefault="00000000">
      <w:r>
        <w:t>Hybrid event formats surged by 58% in 2022 and are expected to continue dominating the industry in 2024, providing broader access and reducing environmental impact (International Congress and Convention Association, 2019). The Croeso Cultural Summit incorporates hybrid technology, enabling international delegates who cannot travel to participate virtually in select sessions and workshops.</w:t>
      </w:r>
    </w:p>
    <w:p w14:paraId="51BB2F59" w14:textId="77777777" w:rsidR="00B74393" w:rsidRDefault="00000000">
      <w:r>
        <w:t>Post-COVID expectations have also shifted significantly. 73% of business travellers now prioritise events that emphasise health and safety, sustainability, and meaningful experiences (UNWTO, 2023). These trends validate the summit’s focus on open-air activities, low-impact accommodation, and wellness-driven scheduling.</w:t>
      </w:r>
    </w:p>
    <w:p w14:paraId="15145096" w14:textId="77777777" w:rsidR="00B74393" w:rsidRDefault="00000000">
      <w:r>
        <w:lastRenderedPageBreak/>
        <w:t>Sustainability is another dominant issue. 84% of MICE attendees prefer events that promote local sourcing, reduced waste, and low carbon emissions (Wee, Mustapha and Anas, 2021). The summit addresses this through partnerships with eco-lodges, local food vendors, and carbon-conscious transportation solutions.</w:t>
      </w:r>
    </w:p>
    <w:p w14:paraId="47644982" w14:textId="77777777" w:rsidR="00B74393" w:rsidRDefault="00000000">
      <w:r>
        <w:t>Finally, there is a marked demand for cultural immersion. 69% of event delegates rate “sense of place” and “authenticity” as key decision-making factors when attending international conferences (Korstanje, 2019). The Croeso Cultural Summit capitalises on this by offering uniquely Welsh experiences, from harp-making to coastal foraging and Eisteddfod-style performances.</w:t>
      </w:r>
    </w:p>
    <w:p w14:paraId="6D64D0D9" w14:textId="77777777" w:rsidR="00B74393" w:rsidRDefault="00000000">
      <w:r>
        <w:t>By aligning with these trends, the summit not only meets industry standards but enhances Wales’ positioning as a progressive and culturally rich MICE destination.</w:t>
      </w:r>
    </w:p>
    <w:p w14:paraId="4FACFFC1" w14:textId="77777777" w:rsidR="00B74393" w:rsidRDefault="00000000">
      <w:pPr>
        <w:pStyle w:val="Heading1"/>
      </w:pPr>
      <w:bookmarkStart w:id="7" w:name="_Toc199699803"/>
      <w:r>
        <w:t>Situational and Cultural Considerations (PESTLE Analysis)</w:t>
      </w:r>
      <w:bookmarkEnd w:id="7"/>
    </w:p>
    <w:p w14:paraId="3ADC70BF" w14:textId="77777777" w:rsidR="00B74393" w:rsidRDefault="00000000">
      <w:r>
        <w:t>A PESTLE analysis provides a strategic framework for assessing the broader external factors influencing the Croeso Cultural Summit. This analysis ensures the event is not only operationally sound but contextually aligned with national priorities and stakeholder expectations.</w:t>
      </w:r>
    </w:p>
    <w:p w14:paraId="35DE1CDD" w14:textId="77777777" w:rsidR="00B74393" w:rsidRDefault="00000000">
      <w:r>
        <w:rPr>
          <w:b/>
        </w:rPr>
        <w:t>Political:</w:t>
      </w:r>
      <w:r>
        <w:t xml:space="preserve"> The Welsh Government actively supports tourism-led regeneration through initiatives like the Year of Croeso 2025 and the Wales Tourism Strategy 2030, which commits over £50 million in funding to cultural tourism development (GOV.WALES, 2025). This provides a stable and supportive policy landscape for international events that promote heritage, sustainability, and local economies.</w:t>
      </w:r>
    </w:p>
    <w:p w14:paraId="25061D15" w14:textId="77777777" w:rsidR="00B74393" w:rsidRDefault="00000000">
      <w:pPr>
        <w:jc w:val="center"/>
      </w:pPr>
      <w:r>
        <w:rPr>
          <w:noProof/>
        </w:rPr>
        <w:lastRenderedPageBreak/>
        <w:drawing>
          <wp:inline distT="0" distB="0" distL="0" distR="0" wp14:anchorId="737666D6" wp14:editId="205418E7">
            <wp:extent cx="4200525" cy="3118377"/>
            <wp:effectExtent l="0" t="0" r="0" b="6350"/>
            <wp:docPr id="1030" name="Picture 2" descr="Wales Visitor Economy Profile: 2021 [HTML] | GOV.WALE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2"/>
                    <pic:cNvPicPr/>
                  </pic:nvPicPr>
                  <pic:blipFill>
                    <a:blip r:embed="rId13" cstate="print"/>
                    <a:srcRect/>
                    <a:stretch/>
                  </pic:blipFill>
                  <pic:spPr>
                    <a:xfrm>
                      <a:off x="0" y="0"/>
                      <a:ext cx="4200525" cy="3118377"/>
                    </a:xfrm>
                    <a:prstGeom prst="rect">
                      <a:avLst/>
                    </a:prstGeom>
                    <a:ln>
                      <a:noFill/>
                    </a:ln>
                  </pic:spPr>
                </pic:pic>
              </a:graphicData>
            </a:graphic>
          </wp:inline>
        </w:drawing>
      </w:r>
    </w:p>
    <w:p w14:paraId="76967D73" w14:textId="77777777" w:rsidR="00B74393" w:rsidRDefault="00000000">
      <w:pPr>
        <w:jc w:val="center"/>
      </w:pPr>
      <w:r>
        <w:t>Figure: Visitor’s economic profile in Wales (GOV.WALES, 2024)</w:t>
      </w:r>
    </w:p>
    <w:p w14:paraId="0657A848" w14:textId="77777777" w:rsidR="00B74393" w:rsidRDefault="00000000">
      <w:r>
        <w:rPr>
          <w:b/>
        </w:rPr>
        <w:t>Economic:</w:t>
      </w:r>
      <w:r>
        <w:t xml:space="preserve"> Tourism contributed £5.4 billion to the Welsh economy in 2022, with events and business travel accounting for a growing share (GOV.WALES, 2024). The Croeso Cultural Summit supports regional development by sourcing 80% of goods and services locally and attracting high-spending international delegates. The average MICE delegate spends 47% more per day than leisure tourists, highlighting the summit’s economic impact.</w:t>
      </w:r>
    </w:p>
    <w:p w14:paraId="6BDF7D3D" w14:textId="77777777" w:rsidR="00B74393" w:rsidRDefault="00000000">
      <w:r>
        <w:rPr>
          <w:b/>
        </w:rPr>
        <w:t>Social:</w:t>
      </w:r>
      <w:r>
        <w:t xml:space="preserve"> The summit embraces cultural sensitivity and inclusivity by celebrating the Welsh language, arts, and heritage. 29% of the population speaks Welsh, making bilingual programming both respectful and practical (Institute of Welsh Affairs, 2016). Additionally, the event’s focus on accessibility ensures participation across age, ability, and background, reinforcing Visit Wales’ commitment to “welcome for all.”</w:t>
      </w:r>
    </w:p>
    <w:p w14:paraId="77D47801" w14:textId="77777777" w:rsidR="00B74393" w:rsidRDefault="00000000">
      <w:r>
        <w:rPr>
          <w:b/>
        </w:rPr>
        <w:t>Technological:</w:t>
      </w:r>
      <w:r>
        <w:t xml:space="preserve"> Hybrid event delivery is enabled by strategic investment and digital infrastructure. With 92% of UK event attendees expecting virtual access to key sessions, the summit meets contemporary expectations while expanding its reach.</w:t>
      </w:r>
    </w:p>
    <w:p w14:paraId="2D0CBF77" w14:textId="77777777" w:rsidR="00B74393" w:rsidRDefault="00000000">
      <w:r>
        <w:rPr>
          <w:b/>
        </w:rPr>
        <w:t xml:space="preserve">Cultural: </w:t>
      </w:r>
      <w:r>
        <w:t xml:space="preserve">St. Davids, the country’s smallest city, stands out for its culture and interesting tourist attractions such as its Cathedral, the Pembrokeshire Coast National Park and food specialities like laverbread and Welsh lamb. All these features help build an authentic atmosphere, highlighting </w:t>
      </w:r>
      <w:r>
        <w:lastRenderedPageBreak/>
        <w:t>trends in the MICE world focused on the “sense of place”. The analysis shows that the meeting is soundly based in its political, economic and cultural environment.</w:t>
      </w:r>
    </w:p>
    <w:p w14:paraId="5D1A10DF" w14:textId="77777777" w:rsidR="00B74393" w:rsidRDefault="00000000">
      <w:pPr>
        <w:spacing w:line="259" w:lineRule="auto"/>
        <w:jc w:val="left"/>
        <w:rPr>
          <w:b/>
        </w:rPr>
      </w:pPr>
      <w:r>
        <w:rPr>
          <w:b/>
        </w:rPr>
        <w:br w:type="page"/>
      </w:r>
    </w:p>
    <w:p w14:paraId="4C061048" w14:textId="77777777" w:rsidR="00B74393" w:rsidRDefault="00000000">
      <w:pPr>
        <w:pStyle w:val="Heading1"/>
      </w:pPr>
      <w:bookmarkStart w:id="8" w:name="_Toc199699804"/>
      <w:r>
        <w:lastRenderedPageBreak/>
        <w:t>Conclusion</w:t>
      </w:r>
      <w:bookmarkEnd w:id="8"/>
    </w:p>
    <w:p w14:paraId="1FAB68C2" w14:textId="77777777" w:rsidR="00B74393" w:rsidRDefault="00000000">
      <w:r>
        <w:t>The Croeso Cultural Summit follows planned strategies as a MICE event, supporting the goals of “Year of Croeso 2025” by encouraging real culture, local involvement and sustainable travel practices. The planning for the summit heavily relies on a clear grasp of the event cycle, how everything will be organised, budgeting matters, important developments in the industry and the political, economic and cultural life of Wales. This event is cost-effective, popular and enriching to the community, since it is expected to make a profit, many local companies are engaged, and visitors find the experience matching global MICE trends. The mixed online-offline approach and carefully managed risks help it meet the new demands related to flexibility and inclusivity after the pandemic. In the long run, the summit helps Wales gain a strong reputation as an attractive, special MICE destination, valued by businesses in this area. It sets an example for planning events in places where visitors are welcomed, the image of Wales improves worldwide, and the objectives of the Welsh Government in tourism are achieved. The Croeso Cultural Summit achieves outcomes that matter, stick in people’s minds and remain in line with the sector’s aims, so it is also a lasting project for tourism in Wales.</w:t>
      </w:r>
    </w:p>
    <w:p w14:paraId="0DDEA2B6" w14:textId="77777777" w:rsidR="00B74393" w:rsidRDefault="00000000">
      <w:pPr>
        <w:spacing w:line="259" w:lineRule="auto"/>
        <w:jc w:val="left"/>
      </w:pPr>
      <w:r>
        <w:br w:type="page"/>
      </w:r>
    </w:p>
    <w:p w14:paraId="3114D77E" w14:textId="77777777" w:rsidR="00B74393" w:rsidRDefault="00000000">
      <w:pPr>
        <w:pStyle w:val="Heading1"/>
      </w:pPr>
      <w:bookmarkStart w:id="9" w:name="_Toc199699805"/>
      <w:r>
        <w:lastRenderedPageBreak/>
        <w:t>Reference</w:t>
      </w:r>
      <w:bookmarkEnd w:id="9"/>
    </w:p>
    <w:p w14:paraId="079BB92B" w14:textId="77777777" w:rsidR="00B74393" w:rsidRDefault="00000000">
      <w:r>
        <w:t>Antchak, V., Ziakas, V. and Getz, D. (2019) Event portfolio management. Oxford: Goodfellow Publishers Ltd.</w:t>
      </w:r>
    </w:p>
    <w:p w14:paraId="7C1B6987" w14:textId="77777777" w:rsidR="00B74393" w:rsidRDefault="00000000">
      <w:r>
        <w:t xml:space="preserve">BBC (2025) BBC - Wales - History - Themes - Saint David. Available at: </w:t>
      </w:r>
      <w:hyperlink r:id="rId14" w:history="1">
        <w:r w:rsidR="00B74393">
          <w:rPr>
            <w:rStyle w:val="Hyperlink"/>
          </w:rPr>
          <w:t>https://www.bbc.co.uk/wales/history/sites/themes/figures/saint_david.shtml</w:t>
        </w:r>
      </w:hyperlink>
      <w:r>
        <w:t xml:space="preserve"> (Accessed: 1 June 2025).</w:t>
      </w:r>
    </w:p>
    <w:p w14:paraId="42AC681D" w14:textId="77777777" w:rsidR="00B74393" w:rsidRDefault="00000000">
      <w:r>
        <w:t xml:space="preserve">Bladen, C., Kennell, J., Abson, E. and Wilde, N. (2017) Events management. Abingdon: Routledge. Available at: </w:t>
      </w:r>
      <w:hyperlink r:id="rId15" w:history="1">
        <w:r w:rsidR="00B74393">
          <w:rPr>
            <w:rStyle w:val="Hyperlink"/>
          </w:rPr>
          <w:t>https://doi.org/10.4324/9781315695204</w:t>
        </w:r>
      </w:hyperlink>
      <w:r>
        <w:t xml:space="preserve"> (Accessed: 1 June 2025).</w:t>
      </w:r>
    </w:p>
    <w:p w14:paraId="6B22F4FA" w14:textId="77777777" w:rsidR="00B74393" w:rsidRDefault="00000000">
      <w:r>
        <w:t xml:space="preserve">Business Wales (2025) Croeso 25. Available at: </w:t>
      </w:r>
      <w:hyperlink r:id="rId16" w:history="1">
        <w:r w:rsidR="00B74393">
          <w:rPr>
            <w:rStyle w:val="Hyperlink"/>
          </w:rPr>
          <w:t>https://businesswales.gov.wales/news-and-blog/croeso-25</w:t>
        </w:r>
      </w:hyperlink>
      <w:r>
        <w:t xml:space="preserve"> (Accessed: 1 June 2025).</w:t>
      </w:r>
    </w:p>
    <w:p w14:paraId="371D0FDC" w14:textId="77777777" w:rsidR="00B74393" w:rsidRDefault="00000000">
      <w:r>
        <w:t xml:space="preserve">Drave, M. (2024) ‘How a Welsh digital strategy for cultural visitors could unlock benefits for all’, Institute of Welsh Affairs. Available at: </w:t>
      </w:r>
      <w:hyperlink r:id="rId17" w:history="1">
        <w:r w:rsidR="00B74393">
          <w:rPr>
            <w:rStyle w:val="Hyperlink"/>
          </w:rPr>
          <w:t>https://www.iwa.wales/agenda/2024/10/how-a-welsh-digital-strategy-for-cultural-visitors-could-unlock-benefit-for-all/</w:t>
        </w:r>
      </w:hyperlink>
      <w:r>
        <w:t xml:space="preserve"> (Accessed: 1 June 2025).</w:t>
      </w:r>
    </w:p>
    <w:p w14:paraId="70F63A45" w14:textId="77777777" w:rsidR="00B74393" w:rsidRDefault="00000000">
      <w:r>
        <w:t>Getz, D. and Page, S.J. (2016) Event studies. 3rd edn. Abingdon: Routledge.</w:t>
      </w:r>
    </w:p>
    <w:p w14:paraId="3126509E" w14:textId="77777777" w:rsidR="00B74393" w:rsidRDefault="00000000">
      <w:r>
        <w:t xml:space="preserve">GOV.WALES (2024) Wales visitor economy profile: 2024. Available at: </w:t>
      </w:r>
      <w:hyperlink r:id="rId18" w:history="1">
        <w:r w:rsidR="00B74393">
          <w:rPr>
            <w:rStyle w:val="Hyperlink"/>
          </w:rPr>
          <w:t>https://www.gov.wales/wales-visitor-economy-profile-2024</w:t>
        </w:r>
      </w:hyperlink>
      <w:r>
        <w:t xml:space="preserve"> (Accessed: 1 June 2025).</w:t>
      </w:r>
    </w:p>
    <w:p w14:paraId="25EF9870" w14:textId="77777777" w:rsidR="00B74393" w:rsidRDefault="00000000">
      <w:r>
        <w:t xml:space="preserve">GOV.WALES (2025) New £1 million fund to boost Welsh tourism come rain or shine. Available at: </w:t>
      </w:r>
      <w:hyperlink r:id="rId19" w:history="1">
        <w:r w:rsidR="00B74393">
          <w:rPr>
            <w:rStyle w:val="Hyperlink"/>
          </w:rPr>
          <w:t>https://www.gov.wales/new-1-million-fund-boost-welsh-tourism-come-rain-or-shine</w:t>
        </w:r>
      </w:hyperlink>
      <w:r>
        <w:t xml:space="preserve"> (Accessed: 1 June 2025).</w:t>
      </w:r>
    </w:p>
    <w:p w14:paraId="73B7CEC3" w14:textId="77777777" w:rsidR="00B74393" w:rsidRDefault="00000000">
      <w:r>
        <w:t xml:space="preserve">Institute of Welsh Affairs (2016) The position of the Welsh language – challenges and opportunities. Available at: </w:t>
      </w:r>
      <w:hyperlink r:id="rId20" w:history="1">
        <w:r w:rsidR="00B74393">
          <w:rPr>
            <w:rStyle w:val="Hyperlink"/>
          </w:rPr>
          <w:t>https://www.iwa.wales/agenda/2016/09/position-welsh-language-challenges-opportunities/</w:t>
        </w:r>
      </w:hyperlink>
      <w:r>
        <w:t xml:space="preserve"> (Accessed: 1 June 2025).</w:t>
      </w:r>
    </w:p>
    <w:p w14:paraId="6D83F304" w14:textId="77777777" w:rsidR="00B74393" w:rsidRDefault="00000000">
      <w:r>
        <w:t xml:space="preserve">International Congress and Convention Association (2019) ICCA - International Congress and Convention Association - Home. Available at: </w:t>
      </w:r>
      <w:hyperlink r:id="rId21" w:history="1">
        <w:r w:rsidR="00B74393">
          <w:rPr>
            <w:rStyle w:val="Hyperlink"/>
          </w:rPr>
          <w:t>https://www.iccaworld.org/</w:t>
        </w:r>
      </w:hyperlink>
      <w:r>
        <w:t xml:space="preserve"> (Accessed: 1 June 2025).</w:t>
      </w:r>
    </w:p>
    <w:p w14:paraId="7A0EDB1C" w14:textId="77777777" w:rsidR="00B74393" w:rsidRDefault="00000000">
      <w:r>
        <w:lastRenderedPageBreak/>
        <w:t xml:space="preserve">Jean, G. (2024) Risk management and contingency planning. Available at: </w:t>
      </w:r>
      <w:hyperlink r:id="rId22" w:history="1">
        <w:r w:rsidR="00B74393">
          <w:rPr>
            <w:rStyle w:val="Hyperlink"/>
          </w:rPr>
          <w:t>https://www.researchgate.net/publication/384328851_Risk_Management_and_Contingency_Planning</w:t>
        </w:r>
      </w:hyperlink>
      <w:r>
        <w:t xml:space="preserve"> (Accessed: 1 June 2025).</w:t>
      </w:r>
    </w:p>
    <w:p w14:paraId="26F8A85A" w14:textId="77777777" w:rsidR="00B74393" w:rsidRDefault="00000000">
      <w:r>
        <w:t xml:space="preserve">Kaunisto, A. (2021) Introducing the event cycle – the core of event success management. Available at: </w:t>
      </w:r>
      <w:hyperlink r:id="rId23" w:history="1">
        <w:r w:rsidR="00B74393">
          <w:rPr>
            <w:rStyle w:val="Hyperlink"/>
          </w:rPr>
          <w:t>https://www.lyyti.com/en/blog/introducing-the-event-cycle-the-core-of-event-success-management</w:t>
        </w:r>
      </w:hyperlink>
      <w:r>
        <w:t xml:space="preserve"> (Accessed: 1 June 2025).</w:t>
      </w:r>
    </w:p>
    <w:p w14:paraId="2C5F3CD1" w14:textId="77777777" w:rsidR="00B74393" w:rsidRDefault="00000000">
      <w:r>
        <w:t xml:space="preserve">Korstanje, M.E. (2019) International event management: bridging the gap between theory and practice. Available at: </w:t>
      </w:r>
      <w:hyperlink r:id="rId24" w:history="1">
        <w:r w:rsidR="00B74393">
          <w:rPr>
            <w:rStyle w:val="Hyperlink"/>
          </w:rPr>
          <w:t>https://www.academia.edu/40385551/International_Event_Management_Bridging_the_Gap_Between_Theory_and_Practice</w:t>
        </w:r>
      </w:hyperlink>
      <w:r>
        <w:t xml:space="preserve"> (Accessed: 1 June 2025).</w:t>
      </w:r>
    </w:p>
    <w:p w14:paraId="5CACF9A3" w14:textId="77777777" w:rsidR="00B74393" w:rsidRDefault="00000000">
      <w:r>
        <w:t xml:space="preserve">Kulikova, L.L., Aliyeva, Z. and Dávid, L. (2023) ‘MICE tourism: how the pandemic has changed it’, Journal of Tourism and Services, 14(26), pp. 197–218. Available at: </w:t>
      </w:r>
      <w:hyperlink r:id="rId25" w:history="1">
        <w:r w:rsidR="00B74393">
          <w:rPr>
            <w:rStyle w:val="Hyperlink"/>
          </w:rPr>
          <w:t>https://doi.org/10.29036/jots.v14i26.496</w:t>
        </w:r>
      </w:hyperlink>
      <w:r>
        <w:t xml:space="preserve"> (Accessed: 1 June 2025).</w:t>
      </w:r>
    </w:p>
    <w:p w14:paraId="72F1C8A4" w14:textId="77777777" w:rsidR="00B74393" w:rsidRDefault="00000000">
      <w:r>
        <w:t xml:space="preserve">MICE Magazine (2024) MICE trends 2024: unveiling luxury destinations for events. Available at: </w:t>
      </w:r>
      <w:hyperlink r:id="rId26" w:history="1">
        <w:r w:rsidR="00B74393">
          <w:rPr>
            <w:rStyle w:val="Hyperlink"/>
          </w:rPr>
          <w:t>https://www.micemag.com/mice-trends-2025-unveiling-luxury-destinations-for-events/</w:t>
        </w:r>
      </w:hyperlink>
      <w:r>
        <w:t xml:space="preserve"> (Accessed: 1 June 2025).</w:t>
      </w:r>
    </w:p>
    <w:p w14:paraId="40AB2108" w14:textId="77777777" w:rsidR="00B74393" w:rsidRDefault="00000000">
      <w:r>
        <w:t xml:space="preserve">O’Toole, W. (2010) Events feasibility and development. Abingdon: Routledge. Available at: </w:t>
      </w:r>
      <w:hyperlink r:id="rId27" w:history="1">
        <w:r w:rsidR="00B74393">
          <w:rPr>
            <w:rStyle w:val="Hyperlink"/>
          </w:rPr>
          <w:t>https://doi.org/10.4324/9780080940595</w:t>
        </w:r>
      </w:hyperlink>
      <w:r>
        <w:t xml:space="preserve"> (Accessed: 1 June 2025).</w:t>
      </w:r>
    </w:p>
    <w:p w14:paraId="001F07A7" w14:textId="77777777" w:rsidR="00B74393" w:rsidRDefault="00000000">
      <w:r>
        <w:t xml:space="preserve">Pangarkar, T. (2024) Virtual events statistics 2024 by platforms, technology. Available at: </w:t>
      </w:r>
      <w:hyperlink r:id="rId28" w:history="1">
        <w:r w:rsidR="00B74393">
          <w:rPr>
            <w:rStyle w:val="Hyperlink"/>
          </w:rPr>
          <w:t>https://scoop.market.us/virtual-events-statistics/</w:t>
        </w:r>
      </w:hyperlink>
      <w:r>
        <w:t xml:space="preserve"> (Accessed: 1 June 2025).</w:t>
      </w:r>
    </w:p>
    <w:p w14:paraId="417539AE" w14:textId="77777777" w:rsidR="00B74393" w:rsidRDefault="00000000">
      <w:r>
        <w:t>Rogers, T. and Wynn-Moylan, P. (2022) Conferences and conventions. Abingdon: Routledge.</w:t>
      </w:r>
    </w:p>
    <w:p w14:paraId="4932A1E7" w14:textId="77777777" w:rsidR="00B74393" w:rsidRDefault="00000000">
      <w:r>
        <w:t xml:space="preserve">Rosário, A.M. and Dias, J. (2023) Marketing strategies on social media platforms. Available at: </w:t>
      </w:r>
      <w:hyperlink r:id="rId29" w:history="1">
        <w:r w:rsidR="00B74393">
          <w:rPr>
            <w:rStyle w:val="Hyperlink"/>
          </w:rPr>
          <w:t>https://www.researchgate.net/publication/367485227_Marketing_Strategies_on_Social_Media_Platforms</w:t>
        </w:r>
      </w:hyperlink>
      <w:r>
        <w:t xml:space="preserve"> (Accessed: 1 June 2025).</w:t>
      </w:r>
    </w:p>
    <w:p w14:paraId="3679ED0A" w14:textId="77777777" w:rsidR="00B74393" w:rsidRDefault="00000000">
      <w:r>
        <w:t xml:space="preserve">Stobierski, T. (2019) What is cost-benefit analysis &amp; how to do it. Available at: </w:t>
      </w:r>
      <w:hyperlink r:id="rId30" w:history="1">
        <w:r w:rsidR="00B74393">
          <w:rPr>
            <w:rStyle w:val="Hyperlink"/>
          </w:rPr>
          <w:t>https://online.hbs.edu/blog/post/cost-benefit-analysis</w:t>
        </w:r>
      </w:hyperlink>
      <w:r>
        <w:t xml:space="preserve"> (Accessed: 1 June 2025).</w:t>
      </w:r>
    </w:p>
    <w:p w14:paraId="7E877577" w14:textId="77777777" w:rsidR="00B74393" w:rsidRDefault="00000000">
      <w:r>
        <w:lastRenderedPageBreak/>
        <w:t xml:space="preserve">Stobierski, T. (2020) How to calculate ROI to justify a project. Available at: </w:t>
      </w:r>
      <w:hyperlink r:id="rId31" w:history="1">
        <w:r w:rsidR="00B74393">
          <w:rPr>
            <w:rStyle w:val="Hyperlink"/>
          </w:rPr>
          <w:t>https://online.hbs.edu/blog/post/how-to-calculate-roi-for-a-project</w:t>
        </w:r>
      </w:hyperlink>
      <w:r>
        <w:t xml:space="preserve"> (Accessed: 1 June 2025).</w:t>
      </w:r>
    </w:p>
    <w:p w14:paraId="2DB25875" w14:textId="77777777" w:rsidR="00B74393" w:rsidRDefault="00000000">
      <w:r>
        <w:t xml:space="preserve">Thomas, K. and Stephens, S. (2022) Understanding the management theory in event management. Available at: </w:t>
      </w:r>
      <w:hyperlink r:id="rId32" w:history="1">
        <w:r w:rsidR="00B74393">
          <w:rPr>
            <w:rStyle w:val="Hyperlink"/>
          </w:rPr>
          <w:t>https://www.researchgate.net/publication/351229536_Understanding_the_Management_Theory_in_Event_Management</w:t>
        </w:r>
      </w:hyperlink>
      <w:r>
        <w:t xml:space="preserve"> (Accessed: 1 June 2025).</w:t>
      </w:r>
    </w:p>
    <w:p w14:paraId="2DF84EA8" w14:textId="77777777" w:rsidR="00B74393" w:rsidRDefault="00000000">
      <w:r>
        <w:t xml:space="preserve">Thomas, M. (2023) Masterclass in budget management for event planners. Available at: </w:t>
      </w:r>
      <w:hyperlink r:id="rId33" w:history="1">
        <w:r w:rsidR="00B74393">
          <w:rPr>
            <w:rStyle w:val="Hyperlink"/>
          </w:rPr>
          <w:t>https://medium.com/@MariaEvents/masterclass-in-budget-management-for-event-planners-616451d8bfa1</w:t>
        </w:r>
      </w:hyperlink>
      <w:r>
        <w:t xml:space="preserve"> (Accessed: 1 June 2025).</w:t>
      </w:r>
    </w:p>
    <w:p w14:paraId="29EE47D1" w14:textId="77777777" w:rsidR="00B74393" w:rsidRDefault="00000000">
      <w:r>
        <w:t xml:space="preserve">Tinnish, S.M. and Mangal, S.M. (2012) ‘Sustainable event marketing in the MICE industry: a theoretical framework’, Journal of Convention &amp; Event Tourism, 13(4), pp. 227–249. Available at: </w:t>
      </w:r>
      <w:hyperlink r:id="rId34" w:history="1">
        <w:r w:rsidR="00B74393">
          <w:rPr>
            <w:rStyle w:val="Hyperlink"/>
          </w:rPr>
          <w:t>https://doi.org/10.1080/15470148.2012.731850</w:t>
        </w:r>
      </w:hyperlink>
      <w:r>
        <w:t xml:space="preserve"> (Accessed: 1 June 2025).</w:t>
      </w:r>
    </w:p>
    <w:p w14:paraId="3545ED06" w14:textId="77777777" w:rsidR="00B74393" w:rsidRDefault="00000000">
      <w:r>
        <w:t xml:space="preserve">UNWTO (2023) Sustainable development | UNWTO. Available at: </w:t>
      </w:r>
      <w:hyperlink r:id="rId35" w:history="1">
        <w:r w:rsidR="00B74393">
          <w:rPr>
            <w:rStyle w:val="Hyperlink"/>
          </w:rPr>
          <w:t>http://www.unwto.org/sustainable-development</w:t>
        </w:r>
      </w:hyperlink>
      <w:r>
        <w:t xml:space="preserve"> (Accessed: 1 June 2025).</w:t>
      </w:r>
    </w:p>
    <w:p w14:paraId="56A2DFB0" w14:textId="77777777" w:rsidR="00B74393" w:rsidRDefault="00000000">
      <w:r>
        <w:t xml:space="preserve">Visit Wales (2025) Wales Tourism Summit 2025. Available at: </w:t>
      </w:r>
      <w:hyperlink r:id="rId36" w:history="1">
        <w:r w:rsidR="00B74393">
          <w:rPr>
            <w:rStyle w:val="Hyperlink"/>
          </w:rPr>
          <w:t>https://industry.visitwales.com/get-involved/industry-engagement-events/wales-tourism-summit-2025</w:t>
        </w:r>
      </w:hyperlink>
      <w:r>
        <w:t xml:space="preserve"> (Accessed: 1 June 2025).</w:t>
      </w:r>
    </w:p>
    <w:p w14:paraId="416C3AFA" w14:textId="77777777" w:rsidR="00B74393" w:rsidRDefault="00000000">
      <w:r>
        <w:t xml:space="preserve">VisitWales (2025) Discovering Britain’s smallest city, St Davids, in Pembrokeshire. Available at: </w:t>
      </w:r>
      <w:hyperlink r:id="rId37" w:history="1">
        <w:r w:rsidR="00B74393">
          <w:rPr>
            <w:rStyle w:val="Hyperlink"/>
          </w:rPr>
          <w:t>https://www.visitwales.com/destinations/west-wales/pembrokeshire/discovering-st-davids-pembrokeshire</w:t>
        </w:r>
      </w:hyperlink>
      <w:r>
        <w:t xml:space="preserve"> (Accessed: 1 June 2025).</w:t>
      </w:r>
    </w:p>
    <w:p w14:paraId="701F7311" w14:textId="77777777" w:rsidR="00B74393" w:rsidRDefault="00000000">
      <w:r>
        <w:t xml:space="preserve">Wales (2025) The Year of Croeso campaign wants Welsh visitors to feel the ‘hwyl’. Available at: </w:t>
      </w:r>
      <w:hyperlink r:id="rId38" w:history="1">
        <w:r w:rsidR="00B74393">
          <w:rPr>
            <w:rStyle w:val="Hyperlink"/>
          </w:rPr>
          <w:t>https://www.wales.com/news/united-kingdom/year-croeso-campaign-wants-welsh-visitors-feel-hwyl</w:t>
        </w:r>
      </w:hyperlink>
      <w:r>
        <w:t xml:space="preserve"> (Accessed: 1 June 2025).</w:t>
      </w:r>
    </w:p>
    <w:p w14:paraId="018E42C0" w14:textId="77777777" w:rsidR="00B74393" w:rsidRDefault="00000000">
      <w:r>
        <w:t xml:space="preserve">Wee, H., Mustapha, N.A. and Anas, M.S. (2021) ‘Characteristic of green event practices in MICE tourism: a systematic literature review’, International Journal of Academic Research in Business and Social Sciences, 11(16). </w:t>
      </w:r>
    </w:p>
    <w:p w14:paraId="49A35EB2" w14:textId="77777777" w:rsidR="00B74393" w:rsidRDefault="00B74393"/>
    <w:sectPr w:rsidR="00B74393">
      <w:footerReference w:type="default" r:id="rId3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FA78A6" w14:textId="77777777" w:rsidR="007E1E3F" w:rsidRDefault="007E1E3F">
      <w:pPr>
        <w:spacing w:after="0" w:line="240" w:lineRule="auto"/>
      </w:pPr>
      <w:r>
        <w:separator/>
      </w:r>
    </w:p>
  </w:endnote>
  <w:endnote w:type="continuationSeparator" w:id="0">
    <w:p w14:paraId="2DE20D40" w14:textId="77777777" w:rsidR="007E1E3F" w:rsidRDefault="007E1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283912" w14:textId="77777777" w:rsidR="00B74393" w:rsidRDefault="00B74393">
    <w:pPr>
      <w:pStyle w:val="Footer"/>
      <w:jc w:val="right"/>
    </w:pPr>
  </w:p>
  <w:p w14:paraId="58222461" w14:textId="77777777" w:rsidR="00B74393" w:rsidRDefault="00B743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EB6B59" w14:textId="77777777" w:rsidR="00B74393" w:rsidRDefault="00000000">
    <w:pPr>
      <w:pStyle w:val="Footer"/>
      <w:jc w:val="right"/>
    </w:pPr>
    <w:r>
      <w:fldChar w:fldCharType="begin"/>
    </w:r>
    <w:r>
      <w:instrText xml:space="preserve"> PAGE   \* MERGEFORMAT </w:instrText>
    </w:r>
    <w:r>
      <w:fldChar w:fldCharType="separate"/>
    </w:r>
    <w:r>
      <w:rPr>
        <w:noProof/>
      </w:rPr>
      <w:t>14</w:t>
    </w:r>
    <w:r>
      <w:rPr>
        <w:noProof/>
      </w:rPr>
      <w:fldChar w:fldCharType="end"/>
    </w:r>
  </w:p>
  <w:p w14:paraId="44820C06" w14:textId="77777777" w:rsidR="00B74393" w:rsidRDefault="00B743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AF6768" w14:textId="77777777" w:rsidR="007E1E3F" w:rsidRDefault="007E1E3F">
      <w:pPr>
        <w:spacing w:after="0" w:line="240" w:lineRule="auto"/>
      </w:pPr>
      <w:r>
        <w:separator/>
      </w:r>
    </w:p>
  </w:footnote>
  <w:footnote w:type="continuationSeparator" w:id="0">
    <w:p w14:paraId="630C9615" w14:textId="77777777" w:rsidR="007E1E3F" w:rsidRDefault="007E1E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8619F2"/>
    <w:multiLevelType w:val="hybridMultilevel"/>
    <w:tmpl w:val="192E67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95138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4393"/>
    <w:rsid w:val="001D1D13"/>
    <w:rsid w:val="00430187"/>
    <w:rsid w:val="004975BB"/>
    <w:rsid w:val="007E1E3F"/>
    <w:rsid w:val="00B74393"/>
    <w:rsid w:val="00D72479"/>
    <w:rsid w:val="00F005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BA101F"/>
  <w15:docId w15:val="{A21FA44A-4690-434A-A28C-342475823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Calibr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style>
  <w:style w:type="paragraph" w:styleId="Heading1">
    <w:name w:val="heading 1"/>
    <w:basedOn w:val="Normal"/>
    <w:next w:val="Normal"/>
    <w:link w:val="Heading1Char"/>
    <w:uiPriority w:val="9"/>
    <w:qFormat/>
    <w:pPr>
      <w:keepNext/>
      <w:keepLines/>
      <w:spacing w:before="240" w:after="0"/>
      <w:outlineLvl w:val="0"/>
    </w:pPr>
    <w:rPr>
      <w:rFonts w:eastAsia="SimSun" w:cs="SimSun"/>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eastAsia="SimSun" w:cs="SimSun"/>
      <w:b/>
      <w:sz w:val="32"/>
      <w:szCs w:val="32"/>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rPr>
      <w:color w:val="0563C1"/>
      <w:u w:val="single"/>
    </w:rPr>
  </w:style>
  <w:style w:type="paragraph" w:styleId="TOCHeading">
    <w:name w:val="TOC Heading"/>
    <w:basedOn w:val="Heading1"/>
    <w:next w:val="Normal"/>
    <w:uiPriority w:val="39"/>
    <w:qFormat/>
    <w:pPr>
      <w:spacing w:line="259" w:lineRule="auto"/>
      <w:jc w:val="left"/>
      <w:outlineLvl w:val="9"/>
    </w:pPr>
    <w:rPr>
      <w:rFonts w:ascii="Calibri Light" w:hAnsi="Calibri Light"/>
      <w:b w:val="0"/>
      <w:color w:val="2F5496"/>
    </w:rPr>
  </w:style>
  <w:style w:type="paragraph" w:styleId="TOC1">
    <w:name w:val="toc 1"/>
    <w:basedOn w:val="Normal"/>
    <w:next w:val="Normal"/>
    <w:uiPriority w:val="39"/>
    <w:pPr>
      <w:spacing w:after="100"/>
    </w:p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gov.wales/wales-visitor-economy-profile-2024" TargetMode="External"/><Relationship Id="rId26" Type="http://schemas.openxmlformats.org/officeDocument/2006/relationships/hyperlink" Target="https://www.micemag.com/mice-trends-2025-unveiling-luxury-destinations-for-events/" TargetMode="External"/><Relationship Id="rId39" Type="http://schemas.openxmlformats.org/officeDocument/2006/relationships/footer" Target="footer2.xml"/><Relationship Id="rId21" Type="http://schemas.openxmlformats.org/officeDocument/2006/relationships/hyperlink" Target="https://www.iccaworld.org/" TargetMode="External"/><Relationship Id="rId34" Type="http://schemas.openxmlformats.org/officeDocument/2006/relationships/hyperlink" Target="https://doi.org/10.1080/15470148.2012.73185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usinesswales.gov.wales/news-and-blog/croeso-25" TargetMode="External"/><Relationship Id="rId20" Type="http://schemas.openxmlformats.org/officeDocument/2006/relationships/hyperlink" Target="https://www.iwa.wales/agenda/2016/09/position-welsh-language-challenges-opportunities/" TargetMode="External"/><Relationship Id="rId29" Type="http://schemas.openxmlformats.org/officeDocument/2006/relationships/hyperlink" Target="https://www.researchgate.net/publication/367485227_Marketing_Strategies_on_Social_Media_Platform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academia.edu/40385551/International_Event_Management_Bridging_the_Gap_Between_Theory_and_Practice" TargetMode="External"/><Relationship Id="rId32" Type="http://schemas.openxmlformats.org/officeDocument/2006/relationships/hyperlink" Target="https://www.researchgate.net/publication/351229536_Understanding_the_Management_Theory_in_Event_Management" TargetMode="External"/><Relationship Id="rId37" Type="http://schemas.openxmlformats.org/officeDocument/2006/relationships/hyperlink" Target="https://www.visitwales.com/destinations/west-wales/pembrokeshire/discovering-st-davids-pembrokeshire"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4324/9781315695204" TargetMode="External"/><Relationship Id="rId23" Type="http://schemas.openxmlformats.org/officeDocument/2006/relationships/hyperlink" Target="https://www.lyyti.com/en/blog/introducing-the-event-cycle-the-core-of-event-success-management" TargetMode="External"/><Relationship Id="rId28" Type="http://schemas.openxmlformats.org/officeDocument/2006/relationships/hyperlink" Target="https://scoop.market.us/virtual-events-statistics/" TargetMode="External"/><Relationship Id="rId36" Type="http://schemas.openxmlformats.org/officeDocument/2006/relationships/hyperlink" Target="https://industry.visitwales.com/get-involved/industry-engagement-events/wales-tourism-summit-2025" TargetMode="External"/><Relationship Id="rId10" Type="http://schemas.openxmlformats.org/officeDocument/2006/relationships/image" Target="media/image2.jpeg"/><Relationship Id="rId19" Type="http://schemas.openxmlformats.org/officeDocument/2006/relationships/hyperlink" Target="https://www.gov.wales/new-1-million-fund-boost-welsh-tourism-come-rain-or-shine" TargetMode="External"/><Relationship Id="rId31" Type="http://schemas.openxmlformats.org/officeDocument/2006/relationships/hyperlink" Target="https://online.hbs.edu/blog/post/how-to-calculate-roi-for-a-project"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bbc.co.uk/wales/history/sites/themes/figures/saint_david.shtml" TargetMode="External"/><Relationship Id="rId22" Type="http://schemas.openxmlformats.org/officeDocument/2006/relationships/hyperlink" Target="https://www.researchgate.net/publication/384328851_Risk_Management_and_Contingency_Planning" TargetMode="External"/><Relationship Id="rId27" Type="http://schemas.openxmlformats.org/officeDocument/2006/relationships/hyperlink" Target="https://doi.org/10.4324/9780080940595" TargetMode="External"/><Relationship Id="rId30" Type="http://schemas.openxmlformats.org/officeDocument/2006/relationships/hyperlink" Target="https://online.hbs.edu/blog/post/cost-benefit-analysis" TargetMode="External"/><Relationship Id="rId35" Type="http://schemas.openxmlformats.org/officeDocument/2006/relationships/hyperlink" Target="http://www.unwto.org/sustainable-development"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iwa.wales/agenda/2024/10/how-a-welsh-digital-strategy-for-cultural-visitors-could-unlock-benefit-for-all/" TargetMode="External"/><Relationship Id="rId25" Type="http://schemas.openxmlformats.org/officeDocument/2006/relationships/hyperlink" Target="https://doi.org/10.29036/jots.v14i26.496" TargetMode="External"/><Relationship Id="rId33" Type="http://schemas.openxmlformats.org/officeDocument/2006/relationships/hyperlink" Target="https://medium.com/@MariaEvents/masterclass-in-budget-management-for-event-planners-616451d8bfa1" TargetMode="External"/><Relationship Id="rId38" Type="http://schemas.openxmlformats.org/officeDocument/2006/relationships/hyperlink" Target="https://www.wales.com/news/united-kingdom/year-croeso-campaign-wants-welsh-visitors-feel-hwy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1B570A-CB0E-4A37-833B-5879A0A6F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16</Pages>
  <Words>3931</Words>
  <Characters>22408</Characters>
  <Application>Microsoft Office Word</Application>
  <DocSecurity>0</DocSecurity>
  <Lines>186</Lines>
  <Paragraphs>52</Paragraphs>
  <ScaleCrop>false</ScaleCrop>
  <Company/>
  <LinksUpToDate>false</LinksUpToDate>
  <CharactersWithSpaces>26287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Mihai Daniel Mihalcea</dc:creator>
  <cp:lastModifiedBy>Mihai Daniel Mihalcea (2244870)</cp:lastModifiedBy>
  <cp:revision>16</cp:revision>
  <dcterms:created xsi:type="dcterms:W3CDTF">2025-05-30T14:07:00Z</dcterms:created>
  <dcterms:modified xsi:type="dcterms:W3CDTF">2025-06-13T08:56:00Z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70573ff2-de3b-4d14-8aaf-85ddf34aa2a7</vt:lpwstr>
  </property>
  <property fmtid="{D5CDD505-2E9C-101B-9397-08002B2CF9AE}" pid="3" name="ICV">
    <vt:lpwstr>ac4161f63ef84a01a1adb37885d45326</vt:lpwstr>
  </property>
</Properties>
</file>