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2369587"/>
        <w:docPartObj>
          <w:docPartGallery w:val="Cover Pages"/>
          <w:docPartUnique/>
        </w:docPartObj>
      </w:sdtPr>
      <w:sdtEndPr>
        <w:rPr>
          <w:rFonts w:ascii="Arial Black" w:hAnsi="Arial Black" w:cs="Arial"/>
          <w:color w:val="47D459" w:themeColor="accent3" w:themeTint="99"/>
          <w:u w:val="thick"/>
        </w:rPr>
      </w:sdtEndPr>
      <w:sdtContent>
        <w:p w14:paraId="4BA70A0E" w14:textId="430F3400" w:rsidR="00B366F1" w:rsidRDefault="00B366F1">
          <w:r>
            <w:rPr>
              <w:noProof/>
            </w:rPr>
            <mc:AlternateContent>
              <mc:Choice Requires="wps">
                <w:drawing>
                  <wp:anchor distT="0" distB="0" distL="114300" distR="114300" simplePos="0" relativeHeight="251659264" behindDoc="1" locked="0" layoutInCell="1" allowOverlap="0" wp14:anchorId="62399213" wp14:editId="55A5DEAF">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366F1" w14:paraId="595BD4FA" w14:textId="77777777" w:rsidTr="00B366F1">
                                  <w:trPr>
                                    <w:trHeight w:hRule="exact" w:val="6805"/>
                                  </w:trPr>
                                  <w:tc>
                                    <w:tcPr>
                                      <w:tcW w:w="9350" w:type="dxa"/>
                                    </w:tcPr>
                                    <w:p w14:paraId="374E7E9B" w14:textId="3C1813DD" w:rsidR="00B366F1" w:rsidRDefault="00B366F1"/>
                                  </w:tc>
                                </w:tr>
                                <w:tr w:rsidR="00B366F1" w14:paraId="0926905B" w14:textId="77777777">
                                  <w:trPr>
                                    <w:trHeight w:hRule="exact" w:val="4320"/>
                                  </w:trPr>
                                  <w:tc>
                                    <w:tcPr>
                                      <w:tcW w:w="9350" w:type="dxa"/>
                                      <w:shd w:val="clear" w:color="auto" w:fill="0E2841" w:themeFill="text2"/>
                                      <w:vAlign w:val="center"/>
                                    </w:tcPr>
                                    <w:p w14:paraId="33065E67" w14:textId="0633CB56" w:rsidR="00B366F1" w:rsidRPr="00B366F1" w:rsidRDefault="00B366F1" w:rsidP="00B366F1">
                                      <w:pPr>
                                        <w:pStyle w:val="NoSpacing"/>
                                        <w:spacing w:before="200" w:line="216" w:lineRule="auto"/>
                                        <w:ind w:left="720" w:right="720"/>
                                        <w:jc w:val="center"/>
                                        <w:rPr>
                                          <w:rFonts w:asciiTheme="majorHAnsi" w:hAnsiTheme="majorHAnsi"/>
                                          <w:color w:val="47D459" w:themeColor="accent3" w:themeTint="99"/>
                                          <w:sz w:val="96"/>
                                          <w:szCs w:val="96"/>
                                          <w:u w:val="thick"/>
                                        </w:rPr>
                                      </w:pPr>
                                      <w:sdt>
                                        <w:sdtPr>
                                          <w:rPr>
                                            <w:rFonts w:ascii="Arial Black" w:hAnsi="Arial Black"/>
                                            <w:color w:val="47D459" w:themeColor="accent3" w:themeTint="99"/>
                                            <w:sz w:val="96"/>
                                            <w:szCs w:val="96"/>
                                            <w:u w:val="thick"/>
                                          </w:rPr>
                                          <w:alias w:val="Title"/>
                                          <w:tag w:val=""/>
                                          <w:id w:val="739824258"/>
                                          <w:placeholder>
                                            <w:docPart w:val="48C31966136149C9BB633D3024447780"/>
                                          </w:placeholder>
                                          <w:dataBinding w:prefixMappings="xmlns:ns0='http://purl.org/dc/elements/1.1/' xmlns:ns1='http://schemas.openxmlformats.org/package/2006/metadata/core-properties' " w:xpath="/ns1:coreProperties[1]/ns0:title[1]" w:storeItemID="{6C3C8BC8-F283-45AE-878A-BAB7291924A1}"/>
                                          <w:text/>
                                        </w:sdtPr>
                                        <w:sdtContent>
                                          <w:r w:rsidRPr="00B366F1">
                                            <w:rPr>
                                              <w:rFonts w:ascii="Arial Black" w:hAnsi="Arial Black"/>
                                              <w:color w:val="47D459" w:themeColor="accent3" w:themeTint="99"/>
                                              <w:sz w:val="96"/>
                                              <w:szCs w:val="96"/>
                                              <w:u w:val="thick"/>
                                            </w:rPr>
                                            <w:t>New Start-up ReWrap Solutions</w:t>
                                          </w:r>
                                        </w:sdtContent>
                                      </w:sdt>
                                    </w:p>
                                    <w:p w14:paraId="16605842" w14:textId="6C19D489" w:rsidR="00B366F1" w:rsidRPr="00B366F1" w:rsidRDefault="00B366F1" w:rsidP="00B366F1">
                                      <w:pPr>
                                        <w:pStyle w:val="NoSpacing"/>
                                        <w:spacing w:before="240"/>
                                        <w:ind w:left="720" w:right="720"/>
                                        <w:jc w:val="center"/>
                                        <w:rPr>
                                          <w:rFonts w:ascii="Arial Black" w:hAnsi="Arial Black"/>
                                          <w:color w:val="FFFFFF" w:themeColor="background1"/>
                                          <w:sz w:val="32"/>
                                          <w:szCs w:val="32"/>
                                        </w:rPr>
                                      </w:pPr>
                                      <w:sdt>
                                        <w:sdtPr>
                                          <w:rPr>
                                            <w:rFonts w:ascii="Arial Black" w:hAnsi="Arial Black"/>
                                            <w:color w:val="47D459" w:themeColor="accent3" w:themeTint="99"/>
                                            <w:sz w:val="32"/>
                                            <w:szCs w:val="32"/>
                                            <w:u w:val="thick"/>
                                          </w:rPr>
                                          <w:alias w:val="Subtitle"/>
                                          <w:tag w:val=""/>
                                          <w:id w:val="1143089448"/>
                                          <w:placeholder>
                                            <w:docPart w:val="BE56574E5A7F4653B40498C32BE95853"/>
                                          </w:placeholder>
                                          <w:dataBinding w:prefixMappings="xmlns:ns0='http://purl.org/dc/elements/1.1/' xmlns:ns1='http://schemas.openxmlformats.org/package/2006/metadata/core-properties' " w:xpath="/ns1:coreProperties[1]/ns0:subject[1]" w:storeItemID="{6C3C8BC8-F283-45AE-878A-BAB7291924A1}"/>
                                          <w:text/>
                                        </w:sdtPr>
                                        <w:sdtContent>
                                          <w:r w:rsidRPr="00B366F1">
                                            <w:rPr>
                                              <w:rFonts w:ascii="Arial Black" w:hAnsi="Arial Black"/>
                                              <w:color w:val="47D459" w:themeColor="accent3" w:themeTint="99"/>
                                              <w:sz w:val="32"/>
                                              <w:szCs w:val="32"/>
                                              <w:u w:val="thick"/>
                                            </w:rPr>
                                            <w:t xml:space="preserve">Business Plan </w:t>
                                          </w:r>
                                        </w:sdtContent>
                                      </w:sdt>
                                    </w:p>
                                  </w:tc>
                                </w:tr>
                                <w:tr w:rsidR="00B366F1" w14:paraId="21652C60"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366F1" w14:paraId="749130D3" w14:textId="77777777">
                                        <w:trPr>
                                          <w:trHeight w:hRule="exact" w:val="720"/>
                                        </w:trPr>
                                        <w:tc>
                                          <w:tcPr>
                                            <w:tcW w:w="3590" w:type="dxa"/>
                                            <w:vAlign w:val="center"/>
                                          </w:tcPr>
                                          <w:p w14:paraId="277CA543" w14:textId="1208E669" w:rsidR="00B366F1" w:rsidRPr="00B366F1" w:rsidRDefault="00B366F1">
                                            <w:pPr>
                                              <w:pStyle w:val="NoSpacing"/>
                                              <w:ind w:left="720" w:right="144"/>
                                              <w:rPr>
                                                <w:rFonts w:ascii="Arial Black" w:hAnsi="Arial Black"/>
                                                <w:color w:val="FFFFFF" w:themeColor="background1"/>
                                              </w:rPr>
                                            </w:pPr>
                                            <w:sdt>
                                              <w:sdtPr>
                                                <w:rPr>
                                                  <w:rFonts w:ascii="Arial Black" w:hAnsi="Arial Black"/>
                                                  <w:color w:val="FFFFFF" w:themeColor="background1"/>
                                                </w:rPr>
                                                <w:alias w:val="Author"/>
                                                <w:tag w:val=""/>
                                                <w:id w:val="942812742"/>
                                                <w:placeholder>
                                                  <w:docPart w:val="A7DDDD34B30E4C54AD43FB45B9DFD806"/>
                                                </w:placeholder>
                                                <w:dataBinding w:prefixMappings="xmlns:ns0='http://purl.org/dc/elements/1.1/' xmlns:ns1='http://schemas.openxmlformats.org/package/2006/metadata/core-properties' " w:xpath="/ns1:coreProperties[1]/ns0:creator[1]" w:storeItemID="{6C3C8BC8-F283-45AE-878A-BAB7291924A1}"/>
                                                <w:text/>
                                              </w:sdtPr>
                                              <w:sdtContent>
                                                <w:r w:rsidRPr="00B366F1">
                                                  <w:rPr>
                                                    <w:rFonts w:ascii="Arial Black" w:hAnsi="Arial Black"/>
                                                    <w:color w:val="FFFFFF" w:themeColor="background1"/>
                                                  </w:rPr>
                                                  <w:t xml:space="preserve">Student name: Ion Alexandru </w:t>
                                                </w:r>
                                              </w:sdtContent>
                                            </w:sdt>
                                          </w:p>
                                        </w:tc>
                                        <w:tc>
                                          <w:tcPr>
                                            <w:tcW w:w="3591" w:type="dxa"/>
                                            <w:vAlign w:val="center"/>
                                          </w:tcPr>
                                          <w:sdt>
                                            <w:sdtPr>
                                              <w:rPr>
                                                <w:rFonts w:ascii="Arial Black" w:hAnsi="Arial Black"/>
                                                <w:color w:val="FFFFFF" w:themeColor="background1"/>
                                              </w:rPr>
                                              <w:alias w:val="Date"/>
                                              <w:tag w:val=""/>
                                              <w:id w:val="748164578"/>
                                              <w:placeholder>
                                                <w:docPart w:val="EC24B53614894A8D8E93E20F6D1B065D"/>
                                              </w:placeholder>
                                              <w:dataBinding w:prefixMappings="xmlns:ns0='http://schemas.microsoft.com/office/2006/coverPageProps' " w:xpath="/ns0:CoverPageProperties[1]/ns0:PublishDate[1]" w:storeItemID="{55AF091B-3C7A-41E3-B477-F2FDAA23CFDA}"/>
                                              <w:date w:fullDate="2025-03-14T00:00:00Z">
                                                <w:dateFormat w:val="M/d/yy"/>
                                                <w:lid w:val="en-US"/>
                                                <w:storeMappedDataAs w:val="dateTime"/>
                                                <w:calendar w:val="gregorian"/>
                                              </w:date>
                                            </w:sdtPr>
                                            <w:sdtContent>
                                              <w:p w14:paraId="73DCC9A3" w14:textId="26514F7D" w:rsidR="00B366F1" w:rsidRPr="00B366F1" w:rsidRDefault="00B366F1">
                                                <w:pPr>
                                                  <w:pStyle w:val="NoSpacing"/>
                                                  <w:ind w:left="144" w:right="144"/>
                                                  <w:jc w:val="center"/>
                                                  <w:rPr>
                                                    <w:rFonts w:ascii="Arial Black" w:hAnsi="Arial Black"/>
                                                    <w:color w:val="FFFFFF" w:themeColor="background1"/>
                                                  </w:rPr>
                                                </w:pPr>
                                                <w:r w:rsidRPr="00B366F1">
                                                  <w:rPr>
                                                    <w:rFonts w:ascii="Arial Black" w:hAnsi="Arial Black"/>
                                                    <w:color w:val="FFFFFF" w:themeColor="background1"/>
                                                  </w:rPr>
                                                  <w:t>3/14/25</w:t>
                                                </w:r>
                                              </w:p>
                                            </w:sdtContent>
                                          </w:sdt>
                                        </w:tc>
                                        <w:sdt>
                                          <w:sdtPr>
                                            <w:rPr>
                                              <w:rFonts w:ascii="Arial Black" w:hAnsi="Arial Black"/>
                                              <w:color w:val="FFFFFF" w:themeColor="background1"/>
                                            </w:rPr>
                                            <w:alias w:val="Course title"/>
                                            <w:tag w:val=""/>
                                            <w:id w:val="-15923909"/>
                                            <w:placeholder>
                                              <w:docPart w:val="97BE8766B2F547F19B3E7F562046292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8306B4C" w14:textId="615F9890" w:rsidR="00B366F1" w:rsidRPr="00B366F1" w:rsidRDefault="00B366F1">
                                                <w:pPr>
                                                  <w:pStyle w:val="NoSpacing"/>
                                                  <w:ind w:left="144" w:right="720"/>
                                                  <w:jc w:val="right"/>
                                                  <w:rPr>
                                                    <w:rFonts w:ascii="Arial Black" w:hAnsi="Arial Black"/>
                                                    <w:color w:val="FFFFFF" w:themeColor="background1"/>
                                                  </w:rPr>
                                                </w:pPr>
                                                <w:r w:rsidRPr="00B366F1">
                                                  <w:rPr>
                                                    <w:rFonts w:ascii="Arial Black" w:hAnsi="Arial Black"/>
                                                    <w:color w:val="FFFFFF" w:themeColor="background1"/>
                                                  </w:rPr>
                                                  <w:t xml:space="preserve">Sustainable Enterprise </w:t>
                                                </w:r>
                                              </w:p>
                                            </w:tc>
                                          </w:sdtContent>
                                        </w:sdt>
                                      </w:tr>
                                    </w:tbl>
                                    <w:p w14:paraId="010B165A" w14:textId="77777777" w:rsidR="00B366F1" w:rsidRDefault="00B366F1"/>
                                  </w:tc>
                                </w:tr>
                              </w:tbl>
                              <w:p w14:paraId="416422C3" w14:textId="77777777" w:rsidR="00B366F1" w:rsidRDefault="00B366F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2399213"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366F1" w14:paraId="595BD4FA" w14:textId="77777777" w:rsidTr="00B366F1">
                            <w:trPr>
                              <w:trHeight w:hRule="exact" w:val="6805"/>
                            </w:trPr>
                            <w:tc>
                              <w:tcPr>
                                <w:tcW w:w="9350" w:type="dxa"/>
                              </w:tcPr>
                              <w:p w14:paraId="374E7E9B" w14:textId="3C1813DD" w:rsidR="00B366F1" w:rsidRDefault="00B366F1"/>
                            </w:tc>
                          </w:tr>
                          <w:tr w:rsidR="00B366F1" w14:paraId="0926905B" w14:textId="77777777">
                            <w:trPr>
                              <w:trHeight w:hRule="exact" w:val="4320"/>
                            </w:trPr>
                            <w:tc>
                              <w:tcPr>
                                <w:tcW w:w="9350" w:type="dxa"/>
                                <w:shd w:val="clear" w:color="auto" w:fill="0E2841" w:themeFill="text2"/>
                                <w:vAlign w:val="center"/>
                              </w:tcPr>
                              <w:p w14:paraId="33065E67" w14:textId="0633CB56" w:rsidR="00B366F1" w:rsidRPr="00B366F1" w:rsidRDefault="00B366F1" w:rsidP="00B366F1">
                                <w:pPr>
                                  <w:pStyle w:val="NoSpacing"/>
                                  <w:spacing w:before="200" w:line="216" w:lineRule="auto"/>
                                  <w:ind w:left="720" w:right="720"/>
                                  <w:jc w:val="center"/>
                                  <w:rPr>
                                    <w:rFonts w:asciiTheme="majorHAnsi" w:hAnsiTheme="majorHAnsi"/>
                                    <w:color w:val="47D459" w:themeColor="accent3" w:themeTint="99"/>
                                    <w:sz w:val="96"/>
                                    <w:szCs w:val="96"/>
                                    <w:u w:val="thick"/>
                                  </w:rPr>
                                </w:pPr>
                                <w:sdt>
                                  <w:sdtPr>
                                    <w:rPr>
                                      <w:rFonts w:ascii="Arial Black" w:hAnsi="Arial Black"/>
                                      <w:color w:val="47D459" w:themeColor="accent3" w:themeTint="99"/>
                                      <w:sz w:val="96"/>
                                      <w:szCs w:val="96"/>
                                      <w:u w:val="thick"/>
                                    </w:rPr>
                                    <w:alias w:val="Title"/>
                                    <w:tag w:val=""/>
                                    <w:id w:val="739824258"/>
                                    <w:placeholder>
                                      <w:docPart w:val="48C31966136149C9BB633D3024447780"/>
                                    </w:placeholder>
                                    <w:dataBinding w:prefixMappings="xmlns:ns0='http://purl.org/dc/elements/1.1/' xmlns:ns1='http://schemas.openxmlformats.org/package/2006/metadata/core-properties' " w:xpath="/ns1:coreProperties[1]/ns0:title[1]" w:storeItemID="{6C3C8BC8-F283-45AE-878A-BAB7291924A1}"/>
                                    <w:text/>
                                  </w:sdtPr>
                                  <w:sdtContent>
                                    <w:r w:rsidRPr="00B366F1">
                                      <w:rPr>
                                        <w:rFonts w:ascii="Arial Black" w:hAnsi="Arial Black"/>
                                        <w:color w:val="47D459" w:themeColor="accent3" w:themeTint="99"/>
                                        <w:sz w:val="96"/>
                                        <w:szCs w:val="96"/>
                                        <w:u w:val="thick"/>
                                      </w:rPr>
                                      <w:t>New Start-up ReWrap Solutions</w:t>
                                    </w:r>
                                  </w:sdtContent>
                                </w:sdt>
                              </w:p>
                              <w:p w14:paraId="16605842" w14:textId="6C19D489" w:rsidR="00B366F1" w:rsidRPr="00B366F1" w:rsidRDefault="00B366F1" w:rsidP="00B366F1">
                                <w:pPr>
                                  <w:pStyle w:val="NoSpacing"/>
                                  <w:spacing w:before="240"/>
                                  <w:ind w:left="720" w:right="720"/>
                                  <w:jc w:val="center"/>
                                  <w:rPr>
                                    <w:rFonts w:ascii="Arial Black" w:hAnsi="Arial Black"/>
                                    <w:color w:val="FFFFFF" w:themeColor="background1"/>
                                    <w:sz w:val="32"/>
                                    <w:szCs w:val="32"/>
                                  </w:rPr>
                                </w:pPr>
                                <w:sdt>
                                  <w:sdtPr>
                                    <w:rPr>
                                      <w:rFonts w:ascii="Arial Black" w:hAnsi="Arial Black"/>
                                      <w:color w:val="47D459" w:themeColor="accent3" w:themeTint="99"/>
                                      <w:sz w:val="32"/>
                                      <w:szCs w:val="32"/>
                                      <w:u w:val="thick"/>
                                    </w:rPr>
                                    <w:alias w:val="Subtitle"/>
                                    <w:tag w:val=""/>
                                    <w:id w:val="1143089448"/>
                                    <w:placeholder>
                                      <w:docPart w:val="BE56574E5A7F4653B40498C32BE95853"/>
                                    </w:placeholder>
                                    <w:dataBinding w:prefixMappings="xmlns:ns0='http://purl.org/dc/elements/1.1/' xmlns:ns1='http://schemas.openxmlformats.org/package/2006/metadata/core-properties' " w:xpath="/ns1:coreProperties[1]/ns0:subject[1]" w:storeItemID="{6C3C8BC8-F283-45AE-878A-BAB7291924A1}"/>
                                    <w:text/>
                                  </w:sdtPr>
                                  <w:sdtContent>
                                    <w:r w:rsidRPr="00B366F1">
                                      <w:rPr>
                                        <w:rFonts w:ascii="Arial Black" w:hAnsi="Arial Black"/>
                                        <w:color w:val="47D459" w:themeColor="accent3" w:themeTint="99"/>
                                        <w:sz w:val="32"/>
                                        <w:szCs w:val="32"/>
                                        <w:u w:val="thick"/>
                                      </w:rPr>
                                      <w:t xml:space="preserve">Business Plan </w:t>
                                    </w:r>
                                  </w:sdtContent>
                                </w:sdt>
                              </w:p>
                            </w:tc>
                          </w:tr>
                          <w:tr w:rsidR="00B366F1" w14:paraId="21652C60"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366F1" w14:paraId="749130D3" w14:textId="77777777">
                                  <w:trPr>
                                    <w:trHeight w:hRule="exact" w:val="720"/>
                                  </w:trPr>
                                  <w:tc>
                                    <w:tcPr>
                                      <w:tcW w:w="3590" w:type="dxa"/>
                                      <w:vAlign w:val="center"/>
                                    </w:tcPr>
                                    <w:p w14:paraId="277CA543" w14:textId="1208E669" w:rsidR="00B366F1" w:rsidRPr="00B366F1" w:rsidRDefault="00B366F1">
                                      <w:pPr>
                                        <w:pStyle w:val="NoSpacing"/>
                                        <w:ind w:left="720" w:right="144"/>
                                        <w:rPr>
                                          <w:rFonts w:ascii="Arial Black" w:hAnsi="Arial Black"/>
                                          <w:color w:val="FFFFFF" w:themeColor="background1"/>
                                        </w:rPr>
                                      </w:pPr>
                                      <w:sdt>
                                        <w:sdtPr>
                                          <w:rPr>
                                            <w:rFonts w:ascii="Arial Black" w:hAnsi="Arial Black"/>
                                            <w:color w:val="FFFFFF" w:themeColor="background1"/>
                                          </w:rPr>
                                          <w:alias w:val="Author"/>
                                          <w:tag w:val=""/>
                                          <w:id w:val="942812742"/>
                                          <w:placeholder>
                                            <w:docPart w:val="A7DDDD34B30E4C54AD43FB45B9DFD806"/>
                                          </w:placeholder>
                                          <w:dataBinding w:prefixMappings="xmlns:ns0='http://purl.org/dc/elements/1.1/' xmlns:ns1='http://schemas.openxmlformats.org/package/2006/metadata/core-properties' " w:xpath="/ns1:coreProperties[1]/ns0:creator[1]" w:storeItemID="{6C3C8BC8-F283-45AE-878A-BAB7291924A1}"/>
                                          <w:text/>
                                        </w:sdtPr>
                                        <w:sdtContent>
                                          <w:r w:rsidRPr="00B366F1">
                                            <w:rPr>
                                              <w:rFonts w:ascii="Arial Black" w:hAnsi="Arial Black"/>
                                              <w:color w:val="FFFFFF" w:themeColor="background1"/>
                                            </w:rPr>
                                            <w:t xml:space="preserve">Student name: Ion Alexandru </w:t>
                                          </w:r>
                                        </w:sdtContent>
                                      </w:sdt>
                                    </w:p>
                                  </w:tc>
                                  <w:tc>
                                    <w:tcPr>
                                      <w:tcW w:w="3591" w:type="dxa"/>
                                      <w:vAlign w:val="center"/>
                                    </w:tcPr>
                                    <w:sdt>
                                      <w:sdtPr>
                                        <w:rPr>
                                          <w:rFonts w:ascii="Arial Black" w:hAnsi="Arial Black"/>
                                          <w:color w:val="FFFFFF" w:themeColor="background1"/>
                                        </w:rPr>
                                        <w:alias w:val="Date"/>
                                        <w:tag w:val=""/>
                                        <w:id w:val="748164578"/>
                                        <w:placeholder>
                                          <w:docPart w:val="EC24B53614894A8D8E93E20F6D1B065D"/>
                                        </w:placeholder>
                                        <w:dataBinding w:prefixMappings="xmlns:ns0='http://schemas.microsoft.com/office/2006/coverPageProps' " w:xpath="/ns0:CoverPageProperties[1]/ns0:PublishDate[1]" w:storeItemID="{55AF091B-3C7A-41E3-B477-F2FDAA23CFDA}"/>
                                        <w:date w:fullDate="2025-03-14T00:00:00Z">
                                          <w:dateFormat w:val="M/d/yy"/>
                                          <w:lid w:val="en-US"/>
                                          <w:storeMappedDataAs w:val="dateTime"/>
                                          <w:calendar w:val="gregorian"/>
                                        </w:date>
                                      </w:sdtPr>
                                      <w:sdtContent>
                                        <w:p w14:paraId="73DCC9A3" w14:textId="26514F7D" w:rsidR="00B366F1" w:rsidRPr="00B366F1" w:rsidRDefault="00B366F1">
                                          <w:pPr>
                                            <w:pStyle w:val="NoSpacing"/>
                                            <w:ind w:left="144" w:right="144"/>
                                            <w:jc w:val="center"/>
                                            <w:rPr>
                                              <w:rFonts w:ascii="Arial Black" w:hAnsi="Arial Black"/>
                                              <w:color w:val="FFFFFF" w:themeColor="background1"/>
                                            </w:rPr>
                                          </w:pPr>
                                          <w:r w:rsidRPr="00B366F1">
                                            <w:rPr>
                                              <w:rFonts w:ascii="Arial Black" w:hAnsi="Arial Black"/>
                                              <w:color w:val="FFFFFF" w:themeColor="background1"/>
                                            </w:rPr>
                                            <w:t>3/14/25</w:t>
                                          </w:r>
                                        </w:p>
                                      </w:sdtContent>
                                    </w:sdt>
                                  </w:tc>
                                  <w:sdt>
                                    <w:sdtPr>
                                      <w:rPr>
                                        <w:rFonts w:ascii="Arial Black" w:hAnsi="Arial Black"/>
                                        <w:color w:val="FFFFFF" w:themeColor="background1"/>
                                      </w:rPr>
                                      <w:alias w:val="Course title"/>
                                      <w:tag w:val=""/>
                                      <w:id w:val="-15923909"/>
                                      <w:placeholder>
                                        <w:docPart w:val="97BE8766B2F547F19B3E7F562046292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8306B4C" w14:textId="615F9890" w:rsidR="00B366F1" w:rsidRPr="00B366F1" w:rsidRDefault="00B366F1">
                                          <w:pPr>
                                            <w:pStyle w:val="NoSpacing"/>
                                            <w:ind w:left="144" w:right="720"/>
                                            <w:jc w:val="right"/>
                                            <w:rPr>
                                              <w:rFonts w:ascii="Arial Black" w:hAnsi="Arial Black"/>
                                              <w:color w:val="FFFFFF" w:themeColor="background1"/>
                                            </w:rPr>
                                          </w:pPr>
                                          <w:r w:rsidRPr="00B366F1">
                                            <w:rPr>
                                              <w:rFonts w:ascii="Arial Black" w:hAnsi="Arial Black"/>
                                              <w:color w:val="FFFFFF" w:themeColor="background1"/>
                                            </w:rPr>
                                            <w:t xml:space="preserve">Sustainable Enterprise </w:t>
                                          </w:r>
                                        </w:p>
                                      </w:tc>
                                    </w:sdtContent>
                                  </w:sdt>
                                </w:tr>
                              </w:tbl>
                              <w:p w14:paraId="010B165A" w14:textId="77777777" w:rsidR="00B366F1" w:rsidRDefault="00B366F1"/>
                            </w:tc>
                          </w:tr>
                        </w:tbl>
                        <w:p w14:paraId="416422C3" w14:textId="77777777" w:rsidR="00B366F1" w:rsidRDefault="00B366F1"/>
                      </w:txbxContent>
                    </v:textbox>
                    <w10:wrap anchorx="page" anchory="page"/>
                  </v:shape>
                </w:pict>
              </mc:Fallback>
            </mc:AlternateContent>
          </w:r>
        </w:p>
        <w:p w14:paraId="75C13A2B" w14:textId="40224592" w:rsidR="00B366F1" w:rsidRDefault="00B366F1">
          <w:pPr>
            <w:rPr>
              <w:rFonts w:ascii="Arial Black" w:hAnsi="Arial Black" w:cs="Arial"/>
              <w:color w:val="47D459" w:themeColor="accent3" w:themeTint="99"/>
              <w:u w:val="thick"/>
            </w:rPr>
          </w:pPr>
          <w:r>
            <w:rPr>
              <w:rFonts w:ascii="Arial Black" w:hAnsi="Arial Black" w:cs="Arial"/>
              <w:color w:val="47D459" w:themeColor="accent3" w:themeTint="99"/>
              <w:u w:val="thick"/>
            </w:rPr>
            <w:br w:type="page"/>
          </w:r>
        </w:p>
      </w:sdtContent>
    </w:sdt>
    <w:p w14:paraId="061214D4" w14:textId="6C5436A5"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Introduction</w:t>
      </w:r>
    </w:p>
    <w:p w14:paraId="0BE6BB6F" w14:textId="1BA13656" w:rsidR="003C1D86" w:rsidRDefault="003C1D86" w:rsidP="003C1D86">
      <w:pPr>
        <w:spacing w:line="480" w:lineRule="auto"/>
        <w:jc w:val="both"/>
        <w:rPr>
          <w:rFonts w:ascii="Arial" w:hAnsi="Arial" w:cs="Arial"/>
        </w:rPr>
      </w:pPr>
      <w:r w:rsidRPr="003C1D86">
        <w:rPr>
          <w:rFonts w:ascii="Arial" w:hAnsi="Arial" w:cs="Arial"/>
        </w:rPr>
        <w:t xml:space="preserve">A sustainable enterprise seeks to provide economic value while reducing negative environmental impacts and increasing social well-being. To achieve this balance, the triple bottom line principles must be applied, with an emphasis on environmental, social, and financial performance (Elkington, 1997). A holistic strategy helps firms remain competitive, ethically responsible, and ecologically mindful in a </w:t>
      </w:r>
      <w:r w:rsidRPr="003C1D86">
        <w:rPr>
          <w:rFonts w:ascii="Arial" w:hAnsi="Arial" w:cs="Arial"/>
        </w:rPr>
        <w:t>fast-changing</w:t>
      </w:r>
      <w:r w:rsidRPr="003C1D86">
        <w:rPr>
          <w:rFonts w:ascii="Arial" w:hAnsi="Arial" w:cs="Arial"/>
        </w:rPr>
        <w:t xml:space="preserve"> global economy (</w:t>
      </w:r>
      <w:proofErr w:type="spellStart"/>
      <w:r w:rsidRPr="003C1D86">
        <w:rPr>
          <w:rFonts w:ascii="Arial" w:hAnsi="Arial" w:cs="Arial"/>
        </w:rPr>
        <w:t>Høgevold</w:t>
      </w:r>
      <w:proofErr w:type="spellEnd"/>
      <w:r w:rsidRPr="003C1D86">
        <w:rPr>
          <w:rFonts w:ascii="Arial" w:hAnsi="Arial" w:cs="Arial"/>
        </w:rPr>
        <w:t xml:space="preserve"> et al., 2014). This plan describes a new start-up that creates and manufactures biodegradable packaging manufactured from agricultural waste. ReWrap Solutions is well-positioned to help establish a more circular economy, serve as a model for sustainable entrepreneurship, and have a beneficial environmental impact (Dean and McMullen, 2007). A detailed explanation of sustainability, resource requirements, a marketing strategy, a PESTLE and SWOT analysis, projected financial cash flows, and a contingency plan are all included in the proposed business plan. The plan is founded on the insights of academic and industry research that underscore the significance of social value creation (Di Domenico et al., 2010), the necessity of responsible business models (</w:t>
      </w:r>
      <w:proofErr w:type="spellStart"/>
      <w:r w:rsidRPr="003C1D86">
        <w:rPr>
          <w:rFonts w:ascii="Arial" w:hAnsi="Arial" w:cs="Arial"/>
        </w:rPr>
        <w:t>Schaltegger</w:t>
      </w:r>
      <w:proofErr w:type="spellEnd"/>
      <w:r w:rsidRPr="003C1D86">
        <w:rPr>
          <w:rFonts w:ascii="Arial" w:hAnsi="Arial" w:cs="Arial"/>
        </w:rPr>
        <w:t xml:space="preserve"> et al., 2012), and sustainable enterprise excellence (Edgeman </w:t>
      </w:r>
      <w:r>
        <w:rPr>
          <w:rFonts w:ascii="Arial" w:hAnsi="Arial" w:cs="Arial"/>
        </w:rPr>
        <w:t xml:space="preserve">&amp; </w:t>
      </w:r>
      <w:r w:rsidRPr="003C1D86">
        <w:rPr>
          <w:rFonts w:ascii="Arial" w:hAnsi="Arial" w:cs="Arial"/>
        </w:rPr>
        <w:t>Eskildsen, 2014).</w:t>
      </w:r>
    </w:p>
    <w:p w14:paraId="05053A03" w14:textId="77777777" w:rsidR="003C1D86" w:rsidRDefault="003C1D86" w:rsidP="003C1D86">
      <w:pPr>
        <w:spacing w:line="480" w:lineRule="auto"/>
        <w:jc w:val="both"/>
        <w:rPr>
          <w:rFonts w:ascii="Arial" w:hAnsi="Arial" w:cs="Arial"/>
        </w:rPr>
      </w:pPr>
    </w:p>
    <w:p w14:paraId="72E4C217" w14:textId="77777777" w:rsidR="003C1D86" w:rsidRDefault="003C1D86" w:rsidP="003C1D86">
      <w:pPr>
        <w:spacing w:line="480" w:lineRule="auto"/>
        <w:jc w:val="both"/>
        <w:rPr>
          <w:rFonts w:ascii="Arial" w:hAnsi="Arial" w:cs="Arial"/>
        </w:rPr>
      </w:pPr>
    </w:p>
    <w:p w14:paraId="361D8FDF" w14:textId="77777777" w:rsidR="003C1D86" w:rsidRDefault="003C1D86" w:rsidP="003C1D86">
      <w:pPr>
        <w:spacing w:line="480" w:lineRule="auto"/>
        <w:jc w:val="both"/>
        <w:rPr>
          <w:rFonts w:ascii="Arial" w:hAnsi="Arial" w:cs="Arial"/>
        </w:rPr>
      </w:pPr>
    </w:p>
    <w:p w14:paraId="59721CA7" w14:textId="77777777" w:rsidR="003C1D86" w:rsidRDefault="003C1D86" w:rsidP="003C1D86">
      <w:pPr>
        <w:spacing w:line="480" w:lineRule="auto"/>
        <w:jc w:val="both"/>
        <w:rPr>
          <w:rFonts w:ascii="Arial" w:hAnsi="Arial" w:cs="Arial"/>
        </w:rPr>
      </w:pPr>
    </w:p>
    <w:p w14:paraId="74300B5A" w14:textId="77777777" w:rsidR="003C1D86" w:rsidRDefault="003C1D86" w:rsidP="003C1D86">
      <w:pPr>
        <w:spacing w:line="480" w:lineRule="auto"/>
        <w:jc w:val="both"/>
        <w:rPr>
          <w:rFonts w:ascii="Arial" w:hAnsi="Arial" w:cs="Arial"/>
        </w:rPr>
      </w:pPr>
    </w:p>
    <w:p w14:paraId="49391670" w14:textId="77777777" w:rsidR="003C1D86" w:rsidRDefault="003C1D86" w:rsidP="003C1D86">
      <w:pPr>
        <w:spacing w:line="480" w:lineRule="auto"/>
        <w:jc w:val="both"/>
        <w:rPr>
          <w:rFonts w:ascii="Arial" w:hAnsi="Arial" w:cs="Arial"/>
        </w:rPr>
      </w:pPr>
    </w:p>
    <w:p w14:paraId="10B83651" w14:textId="72307D05"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Goals &amp; Objectives</w:t>
      </w:r>
    </w:p>
    <w:p w14:paraId="060881CB" w14:textId="77777777" w:rsidR="003C1D86" w:rsidRPr="003C1D86" w:rsidRDefault="003C1D86" w:rsidP="003C1D86">
      <w:pPr>
        <w:spacing w:line="480" w:lineRule="auto"/>
        <w:jc w:val="both"/>
        <w:rPr>
          <w:rFonts w:ascii="Arial" w:hAnsi="Arial" w:cs="Arial"/>
        </w:rPr>
      </w:pPr>
    </w:p>
    <w:p w14:paraId="3F387BB9" w14:textId="77777777" w:rsidR="003C1D86" w:rsidRDefault="003C1D86" w:rsidP="003C1D86">
      <w:pPr>
        <w:spacing w:line="480" w:lineRule="auto"/>
        <w:jc w:val="both"/>
        <w:rPr>
          <w:rFonts w:ascii="Arial" w:hAnsi="Arial" w:cs="Arial"/>
        </w:rPr>
      </w:pPr>
      <w:r w:rsidRPr="003C1D86">
        <w:rPr>
          <w:rFonts w:ascii="Arial" w:hAnsi="Arial" w:cs="Arial"/>
        </w:rPr>
        <w:t>ReWrap Solutions envisions a future in which single-use plastic packaging is replaced with biodegradable alternatives derived from widely available organic waste, such as sugarcane bagasse and rice husks. The major goal is to reduce plastic use, hence lowering carbon footprints and reducing pollution in landfills and oceans (</w:t>
      </w:r>
      <w:proofErr w:type="spellStart"/>
      <w:r w:rsidRPr="003C1D86">
        <w:rPr>
          <w:rFonts w:ascii="Arial" w:hAnsi="Arial" w:cs="Arial"/>
        </w:rPr>
        <w:t>Febrizal</w:t>
      </w:r>
      <w:proofErr w:type="spellEnd"/>
      <w:r w:rsidRPr="003C1D86">
        <w:rPr>
          <w:rFonts w:ascii="Arial" w:hAnsi="Arial" w:cs="Arial"/>
        </w:rPr>
        <w:t xml:space="preserve"> </w:t>
      </w:r>
      <w:proofErr w:type="spellStart"/>
      <w:r w:rsidRPr="003C1D86">
        <w:rPr>
          <w:rFonts w:ascii="Arial" w:hAnsi="Arial" w:cs="Arial"/>
        </w:rPr>
        <w:t>Rahmana</w:t>
      </w:r>
      <w:proofErr w:type="spellEnd"/>
      <w:r w:rsidRPr="003C1D86">
        <w:rPr>
          <w:rFonts w:ascii="Arial" w:hAnsi="Arial" w:cs="Arial"/>
        </w:rPr>
        <w:t xml:space="preserve"> </w:t>
      </w:r>
      <w:r>
        <w:rPr>
          <w:rFonts w:ascii="Arial" w:hAnsi="Arial" w:cs="Arial"/>
        </w:rPr>
        <w:t>&amp;</w:t>
      </w:r>
      <w:r w:rsidRPr="003C1D86">
        <w:rPr>
          <w:rFonts w:ascii="Arial" w:hAnsi="Arial" w:cs="Arial"/>
        </w:rPr>
        <w:t xml:space="preserve"> </w:t>
      </w:r>
      <w:proofErr w:type="spellStart"/>
      <w:r w:rsidRPr="003C1D86">
        <w:rPr>
          <w:rFonts w:ascii="Arial" w:hAnsi="Arial" w:cs="Arial"/>
        </w:rPr>
        <w:t>Bawono</w:t>
      </w:r>
      <w:proofErr w:type="spellEnd"/>
      <w:r w:rsidRPr="003C1D86">
        <w:rPr>
          <w:rFonts w:ascii="Arial" w:hAnsi="Arial" w:cs="Arial"/>
        </w:rPr>
        <w:t>, 2020). The company intends to create a commercially sustainable model that can be scaled regionally and worldwide. In pursuit of these goals, the following objectives have been identified:</w:t>
      </w:r>
    </w:p>
    <w:p w14:paraId="5EF79091" w14:textId="77777777" w:rsidR="003C1D86" w:rsidRDefault="003C1D86" w:rsidP="003C1D86">
      <w:pPr>
        <w:spacing w:line="480" w:lineRule="auto"/>
        <w:jc w:val="both"/>
        <w:rPr>
          <w:rFonts w:ascii="Arial" w:hAnsi="Arial" w:cs="Arial"/>
        </w:rPr>
      </w:pPr>
      <w:r w:rsidRPr="003C1D86">
        <w:rPr>
          <w:rFonts w:ascii="Arial" w:hAnsi="Arial" w:cs="Arial"/>
        </w:rPr>
        <w:t xml:space="preserve">ReWrap Solutions plans to do research, develop, and execute manufacturing techniques that use agricultural byproducts and low-impact chemical processes. The research and innovation activities will focus on durability, product quality, and </w:t>
      </w:r>
      <w:r w:rsidRPr="003C1D86">
        <w:rPr>
          <w:rFonts w:ascii="Arial" w:hAnsi="Arial" w:cs="Arial"/>
        </w:rPr>
        <w:t>composability</w:t>
      </w:r>
      <w:r w:rsidRPr="003C1D86">
        <w:rPr>
          <w:rFonts w:ascii="Arial" w:hAnsi="Arial" w:cs="Arial"/>
        </w:rPr>
        <w:t>, ensuring that the resulting packaging meets industry standards while staying biodegradable.</w:t>
      </w:r>
    </w:p>
    <w:p w14:paraId="0D391C39" w14:textId="77777777" w:rsidR="003C1D86" w:rsidRDefault="003C1D86" w:rsidP="003C1D86">
      <w:pPr>
        <w:spacing w:line="480" w:lineRule="auto"/>
        <w:jc w:val="both"/>
        <w:rPr>
          <w:rFonts w:ascii="Arial" w:hAnsi="Arial" w:cs="Arial"/>
        </w:rPr>
      </w:pPr>
      <w:r w:rsidRPr="003C1D86">
        <w:rPr>
          <w:rFonts w:ascii="Arial" w:hAnsi="Arial" w:cs="Arial"/>
        </w:rPr>
        <w:t>To maintain a regular and fair supply of organic raw materials, the company tries to form partnerships with local farmers and agricultural cooperatives. This method aims to boost local economies and improve rural livelihoods by providing farmers with alternative cash streams.</w:t>
      </w:r>
    </w:p>
    <w:p w14:paraId="4403A605" w14:textId="5E94CAE8" w:rsidR="003C1D86" w:rsidRPr="003C1D86" w:rsidRDefault="003C1D86" w:rsidP="003C1D86">
      <w:pPr>
        <w:spacing w:line="480" w:lineRule="auto"/>
        <w:jc w:val="both"/>
        <w:rPr>
          <w:rFonts w:ascii="Arial" w:hAnsi="Arial" w:cs="Arial"/>
        </w:rPr>
      </w:pPr>
      <w:r w:rsidRPr="003C1D86">
        <w:rPr>
          <w:rFonts w:ascii="Arial" w:hAnsi="Arial" w:cs="Arial"/>
        </w:rPr>
        <w:t>The organisation intends to earn enough revenue to become profitable within the first three years of operation while adhering to socially responsible labour standards (Monday, 2015). Profits will be reinvested in R&amp;D, staff capacity building, community engagement activities, and environmental preservation projects.</w:t>
      </w:r>
    </w:p>
    <w:p w14:paraId="5B04E721" w14:textId="77777777" w:rsidR="003C1D86" w:rsidRPr="003C1D86" w:rsidRDefault="003C1D86" w:rsidP="003C1D86">
      <w:pPr>
        <w:spacing w:line="480" w:lineRule="auto"/>
        <w:jc w:val="both"/>
        <w:rPr>
          <w:rFonts w:ascii="Arial" w:hAnsi="Arial" w:cs="Arial"/>
        </w:rPr>
      </w:pPr>
    </w:p>
    <w:p w14:paraId="6623CA9B" w14:textId="77777777"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An explanation of sustainability</w:t>
      </w:r>
    </w:p>
    <w:p w14:paraId="048F2B7A" w14:textId="77777777" w:rsidR="003C1D86" w:rsidRDefault="003C1D86" w:rsidP="003C1D86">
      <w:pPr>
        <w:spacing w:line="480" w:lineRule="auto"/>
        <w:jc w:val="both"/>
        <w:rPr>
          <w:rFonts w:ascii="Arial" w:hAnsi="Arial" w:cs="Arial"/>
        </w:rPr>
      </w:pPr>
      <w:r w:rsidRPr="003C1D86">
        <w:rPr>
          <w:rFonts w:ascii="Arial" w:hAnsi="Arial" w:cs="Arial"/>
        </w:rPr>
        <w:t>ReWrap Solutions embraces sustainability by adhering to the triple bottom line, which ensures that social, environmental, and financial commitments are balanced (Elkington, 1997). The enterprise's biodegradable packaging solution promotes environmental sustainability by using less petroleum-based plastics and recycling organic waste materials (</w:t>
      </w:r>
      <w:proofErr w:type="spellStart"/>
      <w:r w:rsidRPr="003C1D86">
        <w:rPr>
          <w:rFonts w:ascii="Arial" w:hAnsi="Arial" w:cs="Arial"/>
        </w:rPr>
        <w:t>Høgevold</w:t>
      </w:r>
      <w:proofErr w:type="spellEnd"/>
      <w:r w:rsidRPr="003C1D86">
        <w:rPr>
          <w:rFonts w:ascii="Arial" w:hAnsi="Arial" w:cs="Arial"/>
        </w:rPr>
        <w:t xml:space="preserve"> et al., 2014). By diverting agricultural byproducts from incineration or disposal, the company helps to reduce greenhouse gas emissions (Nichols 2012).</w:t>
      </w:r>
    </w:p>
    <w:p w14:paraId="2FDF0358" w14:textId="77777777" w:rsidR="003C1D86" w:rsidRDefault="003C1D86" w:rsidP="003C1D86">
      <w:pPr>
        <w:spacing w:line="480" w:lineRule="auto"/>
        <w:jc w:val="both"/>
        <w:rPr>
          <w:rFonts w:ascii="Arial" w:hAnsi="Arial" w:cs="Arial"/>
        </w:rPr>
      </w:pPr>
      <w:r w:rsidRPr="003C1D86">
        <w:rPr>
          <w:rFonts w:ascii="Arial" w:hAnsi="Arial" w:cs="Arial"/>
        </w:rPr>
        <w:t>Social sustainability is supported by forming equitable partnerships with local communities and fostering inclusive workforce development programs, based on the notion that human capital is critical to long-term competitive advantages (Monday, 2015). To develop a socially responsible organisational culture, the company pledges to paying fair salaries, providing training opportunities, and investing in employee well-being (</w:t>
      </w:r>
      <w:proofErr w:type="spellStart"/>
      <w:r w:rsidRPr="003C1D86">
        <w:rPr>
          <w:rFonts w:ascii="Arial" w:hAnsi="Arial" w:cs="Arial"/>
        </w:rPr>
        <w:t>Lathabhavan</w:t>
      </w:r>
      <w:proofErr w:type="spellEnd"/>
      <w:r w:rsidRPr="003C1D86">
        <w:rPr>
          <w:rFonts w:ascii="Arial" w:hAnsi="Arial" w:cs="Arial"/>
        </w:rPr>
        <w:t>, 2021).</w:t>
      </w:r>
    </w:p>
    <w:p w14:paraId="562496D4" w14:textId="77777777" w:rsidR="003C1D86" w:rsidRDefault="003C1D86" w:rsidP="003C1D86">
      <w:pPr>
        <w:spacing w:line="480" w:lineRule="auto"/>
        <w:jc w:val="both"/>
        <w:rPr>
          <w:rFonts w:ascii="Arial" w:hAnsi="Arial" w:cs="Arial"/>
        </w:rPr>
      </w:pPr>
      <w:r w:rsidRPr="003C1D86">
        <w:rPr>
          <w:rFonts w:ascii="Arial" w:hAnsi="Arial" w:cs="Arial"/>
        </w:rPr>
        <w:t>Financially, the business strategy is based on consistent revenue streams from partnerships with merchants, e-commerce platforms, and food service providers who want ecologically friendly packaging solutions (</w:t>
      </w:r>
      <w:proofErr w:type="spellStart"/>
      <w:r w:rsidRPr="003C1D86">
        <w:rPr>
          <w:rFonts w:ascii="Arial" w:hAnsi="Arial" w:cs="Arial"/>
        </w:rPr>
        <w:t>Schaltegger</w:t>
      </w:r>
      <w:proofErr w:type="spellEnd"/>
      <w:r w:rsidRPr="003C1D86">
        <w:rPr>
          <w:rFonts w:ascii="Arial" w:hAnsi="Arial" w:cs="Arial"/>
        </w:rPr>
        <w:t xml:space="preserve"> et al., 2012). This diverse client base is intended to generate consistent cash flows and growth opportunities, allowing the firm to exhibit long-term enterprise excellence and become more resilient to market volatility (Edgeman and Eskildsen, 2014).</w:t>
      </w:r>
    </w:p>
    <w:p w14:paraId="2A37A4C2" w14:textId="77777777" w:rsidR="003C1D86" w:rsidRDefault="003C1D86" w:rsidP="003C1D86">
      <w:pPr>
        <w:spacing w:line="480" w:lineRule="auto"/>
        <w:jc w:val="both"/>
        <w:rPr>
          <w:rFonts w:ascii="Arial" w:hAnsi="Arial" w:cs="Arial"/>
        </w:rPr>
      </w:pPr>
    </w:p>
    <w:p w14:paraId="4406444D" w14:textId="77777777" w:rsidR="003C1D86" w:rsidRDefault="003C1D86" w:rsidP="003C1D86">
      <w:pPr>
        <w:spacing w:line="480" w:lineRule="auto"/>
        <w:jc w:val="both"/>
        <w:rPr>
          <w:rFonts w:ascii="Arial" w:hAnsi="Arial" w:cs="Arial"/>
        </w:rPr>
      </w:pPr>
    </w:p>
    <w:p w14:paraId="57FBAB2C" w14:textId="77777777" w:rsidR="003C1D86" w:rsidRDefault="003C1D86" w:rsidP="003C1D86">
      <w:pPr>
        <w:spacing w:line="480" w:lineRule="auto"/>
        <w:jc w:val="both"/>
        <w:rPr>
          <w:rFonts w:ascii="Arial" w:hAnsi="Arial" w:cs="Arial"/>
        </w:rPr>
      </w:pPr>
    </w:p>
    <w:p w14:paraId="3E53950D"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Physical, Human, and Financial Resources</w:t>
      </w:r>
    </w:p>
    <w:p w14:paraId="0176642A"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ReWrap Solutions will need a production plant in agricultural areas to reduce transportation costs and assure a speedy turnaround of raw materials. The factory will have specialised technology for cleaning, processing, and transforming agricultural leftovers into packaging materials. Warehousing space will also be required for storing final products before distribution.</w:t>
      </w:r>
    </w:p>
    <w:p w14:paraId="5EEB9B13" w14:textId="6EA44978"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 xml:space="preserve">Human resources will include operators who have been trained to use both mechanical and semi-automated production machinery. In addition, the company will hire research and development experts to improve product performance, marketing professionals to increase brand awareness, and logistics personnel to manage inventory and transport. Senior management will include individuals with experience managing sustainable supply chains and developing community relationships (Desa, 2012). Furthermore, staff will be encouraged to pursue ongoing professional development, reflecting the requirement for dynamic human resource policies that promote long-term organisational excellence (Edgeman </w:t>
      </w:r>
      <w:r>
        <w:rPr>
          <w:rFonts w:ascii="Arial" w:hAnsi="Arial" w:cs="Arial"/>
        </w:rPr>
        <w:t>&amp;</w:t>
      </w:r>
      <w:r w:rsidRPr="003C1D86">
        <w:rPr>
          <w:rFonts w:ascii="Arial" w:hAnsi="Arial" w:cs="Arial"/>
        </w:rPr>
        <w:t xml:space="preserve"> Eskildsen, 2014).</w:t>
      </w:r>
    </w:p>
    <w:p w14:paraId="7EA35716"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The early financial resources will comprise capital investments for site acquisition or leasing, equipment purchases, employee salaries, and an initial marketing budget. Funding is expected to come from socially responsible venture capital firms, government grants, and bank loans for creative, sustainable businesses</w:t>
      </w:r>
      <w:r>
        <w:rPr>
          <w:rFonts w:ascii="Arial" w:hAnsi="Arial" w:cs="Arial"/>
        </w:rPr>
        <w:t xml:space="preserve">. </w:t>
      </w:r>
      <w:r w:rsidRPr="003C1D86">
        <w:rPr>
          <w:rFonts w:ascii="Arial" w:hAnsi="Arial" w:cs="Arial"/>
        </w:rPr>
        <w:t>Strategic alliances with organisations looking to accomplish their own sustainability goals might help secure additional funding by backing an enterprise that supports their corporate social responsibility initiatives (Hess, 2014).</w:t>
      </w:r>
    </w:p>
    <w:p w14:paraId="49328160" w14:textId="77777777" w:rsidR="003C1D86" w:rsidRDefault="003C1D86" w:rsidP="003C1D86">
      <w:pPr>
        <w:spacing w:line="480" w:lineRule="auto"/>
        <w:jc w:val="both"/>
        <w:rPr>
          <w:rFonts w:ascii="Arial Black" w:hAnsi="Arial Black" w:cs="Arial"/>
          <w:color w:val="47D459" w:themeColor="accent3" w:themeTint="99"/>
          <w:u w:val="thick"/>
        </w:rPr>
      </w:pPr>
    </w:p>
    <w:p w14:paraId="0F315FD4" w14:textId="6639A39D" w:rsid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 xml:space="preserve">Marketing </w:t>
      </w:r>
      <w:r w:rsidRPr="003C1D86">
        <w:rPr>
          <w:rFonts w:ascii="Arial Black" w:hAnsi="Arial Black" w:cs="Arial"/>
          <w:color w:val="47D459" w:themeColor="accent3" w:themeTint="99"/>
          <w:u w:val="thick"/>
        </w:rPr>
        <w:t>Strategy</w:t>
      </w:r>
    </w:p>
    <w:p w14:paraId="2A1B8C39"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 xml:space="preserve">ReWrap Solutions' marketing strategy will emphasise quality, </w:t>
      </w:r>
      <w:r w:rsidRPr="003C1D86">
        <w:rPr>
          <w:rFonts w:ascii="Arial" w:hAnsi="Arial" w:cs="Arial"/>
        </w:rPr>
        <w:t>composability</w:t>
      </w:r>
      <w:r w:rsidRPr="003C1D86">
        <w:rPr>
          <w:rFonts w:ascii="Arial" w:hAnsi="Arial" w:cs="Arial"/>
        </w:rPr>
        <w:t>, and positive environmental impact to differentiate the product from traditional plastic-based packaging as well as other biodegradable solutions. The company will employ social media campaigns to highlight user testimonials and behind-the-scenes insights into the sustainable production process. Credible certifications and recognised eco-labels will be explored so that customers may be confident in the product's authenticity and quality (</w:t>
      </w:r>
      <w:proofErr w:type="spellStart"/>
      <w:r w:rsidRPr="003C1D86">
        <w:rPr>
          <w:rFonts w:ascii="Arial" w:hAnsi="Arial" w:cs="Arial"/>
        </w:rPr>
        <w:t>Schaltegger</w:t>
      </w:r>
      <w:proofErr w:type="spellEnd"/>
      <w:r w:rsidRPr="003C1D86">
        <w:rPr>
          <w:rFonts w:ascii="Arial" w:hAnsi="Arial" w:cs="Arial"/>
        </w:rPr>
        <w:t xml:space="preserve"> et al. 2012).</w:t>
      </w:r>
    </w:p>
    <w:p w14:paraId="09737400"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Collaborations with significant merchants who are more devoted to decreasing plastic use will be part of the distribution channels. E-commerce collaborations will also be part of the strategy, as online retailers rely extensively on packaging materials to convey goods. Another key market is restaurant chains and food providers, who require sustainable food packaging to suit consumer demand for ecologically sensitive services (</w:t>
      </w:r>
      <w:proofErr w:type="spellStart"/>
      <w:r w:rsidRPr="003C1D86">
        <w:rPr>
          <w:rFonts w:ascii="Arial" w:hAnsi="Arial" w:cs="Arial"/>
        </w:rPr>
        <w:t>Lathabhavan</w:t>
      </w:r>
      <w:proofErr w:type="spellEnd"/>
      <w:r w:rsidRPr="003C1D86">
        <w:rPr>
          <w:rFonts w:ascii="Arial" w:hAnsi="Arial" w:cs="Arial"/>
        </w:rPr>
        <w:t>, 2021).</w:t>
      </w:r>
    </w:p>
    <w:p w14:paraId="4FAECE5B"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The pricing strategy will be moderate, reflecting the company's cost structure and the product's quality advantages. While biodegradable packaging can be more expensive than traditional plastic, the marketing narrative will focus on the long-term environmental benefits, growing consumer preference for sustainable products, and compliance with global regulatory shifts against single-use plastics (Dean and McMullen, 2007). Promotions will include special introductory discounts for large volume buyers, as well as strategic partnerships with influencers that advocate for sustainable living.</w:t>
      </w:r>
    </w:p>
    <w:p w14:paraId="3166E06B" w14:textId="77777777" w:rsidR="003C1D86" w:rsidRDefault="003C1D86" w:rsidP="003C1D86">
      <w:pPr>
        <w:spacing w:line="480" w:lineRule="auto"/>
        <w:jc w:val="both"/>
        <w:rPr>
          <w:rFonts w:ascii="Arial Black" w:hAnsi="Arial Black" w:cs="Arial"/>
          <w:color w:val="47D459" w:themeColor="accent3" w:themeTint="99"/>
          <w:u w:val="thick"/>
        </w:rPr>
      </w:pPr>
    </w:p>
    <w:p w14:paraId="0F239E02" w14:textId="77777777"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lastRenderedPageBreak/>
        <w:t>PESTLE Analysis.</w:t>
      </w:r>
    </w:p>
    <w:p w14:paraId="5F17FBC3"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The external environment effects an enterprise's success and resilience. ReWrap Solutions must monitor PESTLE trends to capitalise on opportunities and minimise hazards (</w:t>
      </w:r>
      <w:proofErr w:type="spellStart"/>
      <w:r w:rsidRPr="003C1D86">
        <w:rPr>
          <w:rFonts w:ascii="Arial" w:hAnsi="Arial" w:cs="Arial"/>
        </w:rPr>
        <w:t>Høgevold</w:t>
      </w:r>
      <w:proofErr w:type="spellEnd"/>
      <w:r w:rsidRPr="003C1D86">
        <w:rPr>
          <w:rFonts w:ascii="Arial" w:hAnsi="Arial" w:cs="Arial"/>
        </w:rPr>
        <w:t xml:space="preserve"> et al., 2014).</w:t>
      </w:r>
    </w:p>
    <w:p w14:paraId="6B7AE89D" w14:textId="77777777" w:rsid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 xml:space="preserve">Government measures encouraging reduced plastic use have political benefits, while inconsistent enforcement in some areas may cause issues. Economically, rising consumer awareness about plastic waste and increased demand for alternative materials create a favourable environment, but raw material price volatility and global market uncertainty pose concerns. Social considerations include increased customer awareness of environmental issues and a greater acceptance of sustainable products. Technological research in biodegradable materials is progressing, allowing ReWrap Solutions to expand its product line; </w:t>
      </w:r>
      <w:r w:rsidRPr="003C1D86">
        <w:rPr>
          <w:rFonts w:ascii="Arial" w:hAnsi="Arial" w:cs="Arial"/>
        </w:rPr>
        <w:t>yet</w:t>
      </w:r>
      <w:r w:rsidRPr="003C1D86">
        <w:rPr>
          <w:rFonts w:ascii="Arial" w:hAnsi="Arial" w:cs="Arial"/>
        </w:rPr>
        <w:t xml:space="preserve"> competition from other sustainable inventors necessitates proactive product development (</w:t>
      </w:r>
      <w:proofErr w:type="spellStart"/>
      <w:r w:rsidRPr="003C1D86">
        <w:rPr>
          <w:rFonts w:ascii="Arial" w:hAnsi="Arial" w:cs="Arial"/>
        </w:rPr>
        <w:t>Schaltegger</w:t>
      </w:r>
      <w:proofErr w:type="spellEnd"/>
      <w:r w:rsidRPr="003C1D86">
        <w:rPr>
          <w:rFonts w:ascii="Arial" w:hAnsi="Arial" w:cs="Arial"/>
        </w:rPr>
        <w:t xml:space="preserve"> et al., 2012). Legal rules prohibiting single-use plastic packaging in various places create new market potential for the corporation, although varying standards between countries may complicate compliance obligations. Environmental factors are the primary motivation for ReWrap </w:t>
      </w:r>
      <w:r w:rsidRPr="003C1D86">
        <w:rPr>
          <w:rFonts w:ascii="Arial" w:hAnsi="Arial" w:cs="Arial"/>
        </w:rPr>
        <w:t>Solutions;</w:t>
      </w:r>
      <w:r w:rsidRPr="003C1D86">
        <w:rPr>
          <w:rFonts w:ascii="Arial" w:hAnsi="Arial" w:cs="Arial"/>
        </w:rPr>
        <w:t xml:space="preserve"> </w:t>
      </w:r>
      <w:r w:rsidRPr="003C1D86">
        <w:rPr>
          <w:rFonts w:ascii="Arial" w:hAnsi="Arial" w:cs="Arial"/>
        </w:rPr>
        <w:t>however,</w:t>
      </w:r>
      <w:r w:rsidRPr="003C1D86">
        <w:rPr>
          <w:rFonts w:ascii="Arial" w:hAnsi="Arial" w:cs="Arial"/>
        </w:rPr>
        <w:t xml:space="preserve"> climate change and natural resource scarcity highlight the significance of efficient raw material acquisition and waste reduction (Nichols, 2012).</w:t>
      </w:r>
    </w:p>
    <w:p w14:paraId="4D135056" w14:textId="77777777"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Black" w:hAnsi="Arial Black" w:cs="Arial"/>
          <w:color w:val="47D459" w:themeColor="accent3" w:themeTint="99"/>
          <w:u w:val="thick"/>
        </w:rPr>
        <w:t>SWOT Analysis</w:t>
      </w:r>
    </w:p>
    <w:p w14:paraId="4007884E" w14:textId="6EAFFDDA" w:rsidR="003C1D86" w:rsidRPr="003C1D86" w:rsidRDefault="003C1D86" w:rsidP="003C1D86">
      <w:pPr>
        <w:spacing w:line="480" w:lineRule="auto"/>
        <w:jc w:val="both"/>
        <w:rPr>
          <w:rFonts w:ascii="Arial Black" w:hAnsi="Arial Black" w:cs="Arial"/>
          <w:color w:val="47D459" w:themeColor="accent3" w:themeTint="99"/>
          <w:u w:val="thick"/>
        </w:rPr>
      </w:pPr>
      <w:r w:rsidRPr="003C1D86">
        <w:rPr>
          <w:rFonts w:ascii="Arial" w:hAnsi="Arial" w:cs="Arial"/>
        </w:rPr>
        <w:t xml:space="preserve">An internal and external examination of ReWrap Solutions indicates several strengths, weaknesses, possibilities, and threats (Edgeman </w:t>
      </w:r>
      <w:r>
        <w:rPr>
          <w:rFonts w:ascii="Arial" w:hAnsi="Arial" w:cs="Arial"/>
        </w:rPr>
        <w:t>&amp;</w:t>
      </w:r>
      <w:r w:rsidRPr="003C1D86">
        <w:rPr>
          <w:rFonts w:ascii="Arial" w:hAnsi="Arial" w:cs="Arial"/>
        </w:rPr>
        <w:t xml:space="preserve"> Eskildsen, 2014). The key strength is the unique biodegradable packaging solution created from organic waste, which is backed up by the company's dedication to R&amp;D. Another advantage is the potential for strong community ties, which can lead to a stable supply chain and social goodwill.</w:t>
      </w:r>
    </w:p>
    <w:p w14:paraId="7C04F060" w14:textId="77777777" w:rsidR="003C1D86" w:rsidRPr="003C1D86" w:rsidRDefault="003C1D86" w:rsidP="003C1D86">
      <w:pPr>
        <w:spacing w:line="480" w:lineRule="auto"/>
        <w:jc w:val="both"/>
        <w:rPr>
          <w:rFonts w:ascii="Arial" w:hAnsi="Arial" w:cs="Arial"/>
        </w:rPr>
      </w:pPr>
    </w:p>
    <w:p w14:paraId="5A2019B6" w14:textId="20BCD7AF" w:rsidR="003C1D86" w:rsidRDefault="003C1D86" w:rsidP="003C1D86">
      <w:pPr>
        <w:spacing w:line="480" w:lineRule="auto"/>
        <w:jc w:val="both"/>
        <w:rPr>
          <w:rFonts w:ascii="Arial" w:hAnsi="Arial" w:cs="Arial"/>
        </w:rPr>
      </w:pPr>
      <w:r w:rsidRPr="003C1D86">
        <w:rPr>
          <w:rFonts w:ascii="Arial" w:hAnsi="Arial" w:cs="Arial"/>
        </w:rPr>
        <w:t xml:space="preserve">Weaknesses include the necessity of consistent sourcing of suitable agricultural by-products and the comparatively high upfront capital expenditure for specialised production equipment. Managing supply chain complexity could pose operational issues that demand regular control (Dean </w:t>
      </w:r>
      <w:r w:rsidR="00473F9E">
        <w:rPr>
          <w:rFonts w:ascii="Arial" w:hAnsi="Arial" w:cs="Arial"/>
        </w:rPr>
        <w:t>&amp;</w:t>
      </w:r>
      <w:r w:rsidRPr="003C1D86">
        <w:rPr>
          <w:rFonts w:ascii="Arial" w:hAnsi="Arial" w:cs="Arial"/>
        </w:rPr>
        <w:t xml:space="preserve"> McMullen, 2007).</w:t>
      </w:r>
    </w:p>
    <w:p w14:paraId="016EF352" w14:textId="77777777" w:rsidR="00473F9E" w:rsidRDefault="003C1D86" w:rsidP="003C1D86">
      <w:pPr>
        <w:spacing w:line="480" w:lineRule="auto"/>
        <w:jc w:val="both"/>
        <w:rPr>
          <w:rFonts w:ascii="Arial" w:hAnsi="Arial" w:cs="Arial"/>
        </w:rPr>
      </w:pPr>
      <w:r w:rsidRPr="003C1D86">
        <w:rPr>
          <w:rFonts w:ascii="Arial" w:hAnsi="Arial" w:cs="Arial"/>
        </w:rPr>
        <w:t>Growing consumer awareness of sustainability, increasing legislative pressures on single-use plastics, and expanding investor interest in socially responsible companies all create opportunities. There is also the possibility of exporting items to places with severe environmental rules, thereby increasing the client base.</w:t>
      </w:r>
    </w:p>
    <w:p w14:paraId="789A90D0" w14:textId="77777777" w:rsidR="00473F9E" w:rsidRDefault="003C1D86" w:rsidP="003C1D86">
      <w:pPr>
        <w:spacing w:line="480" w:lineRule="auto"/>
        <w:jc w:val="both"/>
        <w:rPr>
          <w:rFonts w:ascii="Arial" w:hAnsi="Arial" w:cs="Arial"/>
        </w:rPr>
      </w:pPr>
      <w:r w:rsidRPr="003C1D86">
        <w:rPr>
          <w:rFonts w:ascii="Arial" w:hAnsi="Arial" w:cs="Arial"/>
        </w:rPr>
        <w:t>Threats include increased competition in the biodegradable packaging category, the likelihood of raw material shortages owing to crop failures or changes in land usage, and potential shifts in consumer demand if newer and more cheap sustainable solutions join the market (</w:t>
      </w:r>
      <w:proofErr w:type="spellStart"/>
      <w:r w:rsidRPr="003C1D86">
        <w:rPr>
          <w:rFonts w:ascii="Arial" w:hAnsi="Arial" w:cs="Arial"/>
        </w:rPr>
        <w:t>Lathabhavan</w:t>
      </w:r>
      <w:proofErr w:type="spellEnd"/>
      <w:r w:rsidRPr="003C1D86">
        <w:rPr>
          <w:rFonts w:ascii="Arial" w:hAnsi="Arial" w:cs="Arial"/>
        </w:rPr>
        <w:t>, 2021). Market volatility and economic downturns may limit consumer spending on premium sustainable alternatives. ReWrap Solutions must maintain an agile and aggressive strategic position to ensure resilience and competitiveness (</w:t>
      </w:r>
      <w:proofErr w:type="spellStart"/>
      <w:r w:rsidRPr="003C1D86">
        <w:rPr>
          <w:rFonts w:ascii="Arial" w:hAnsi="Arial" w:cs="Arial"/>
        </w:rPr>
        <w:t>Høgevold</w:t>
      </w:r>
      <w:proofErr w:type="spellEnd"/>
      <w:r w:rsidRPr="003C1D86">
        <w:rPr>
          <w:rFonts w:ascii="Arial" w:hAnsi="Arial" w:cs="Arial"/>
        </w:rPr>
        <w:t xml:space="preserve"> et al., 2014).</w:t>
      </w:r>
    </w:p>
    <w:p w14:paraId="5FE83DC1" w14:textId="251D8044" w:rsidR="003C1D86" w:rsidRPr="00473F9E" w:rsidRDefault="003C1D86" w:rsidP="003C1D86">
      <w:pPr>
        <w:spacing w:line="480" w:lineRule="auto"/>
        <w:jc w:val="both"/>
        <w:rPr>
          <w:rFonts w:ascii="Arial Black" w:hAnsi="Arial Black" w:cs="Arial"/>
          <w:color w:val="47D459" w:themeColor="accent3" w:themeTint="99"/>
          <w:u w:val="thick"/>
        </w:rPr>
      </w:pPr>
      <w:r w:rsidRPr="00473F9E">
        <w:rPr>
          <w:rFonts w:ascii="Arial Black" w:hAnsi="Arial Black" w:cs="Arial"/>
          <w:color w:val="47D459" w:themeColor="accent3" w:themeTint="99"/>
          <w:u w:val="thick"/>
        </w:rPr>
        <w:t>Financial Cash Flow</w:t>
      </w:r>
    </w:p>
    <w:p w14:paraId="748C3AD3" w14:textId="3B10894F" w:rsidR="003C1D86" w:rsidRDefault="003C1D86" w:rsidP="003C1D86">
      <w:pPr>
        <w:spacing w:line="480" w:lineRule="auto"/>
        <w:jc w:val="both"/>
        <w:rPr>
          <w:rFonts w:ascii="Arial" w:hAnsi="Arial" w:cs="Arial"/>
        </w:rPr>
      </w:pPr>
      <w:r w:rsidRPr="003C1D86">
        <w:rPr>
          <w:rFonts w:ascii="Arial" w:hAnsi="Arial" w:cs="Arial"/>
        </w:rPr>
        <w:t xml:space="preserve">ReWrap Solutions anticipates striking a careful balance between revenue growth and operational costs. Year one focusses on building manufacturing infrastructure and accessing pilot markets. Revenue is initially </w:t>
      </w:r>
      <w:r w:rsidR="00473F9E" w:rsidRPr="003C1D86">
        <w:rPr>
          <w:rFonts w:ascii="Arial" w:hAnsi="Arial" w:cs="Arial"/>
        </w:rPr>
        <w:t>low but</w:t>
      </w:r>
      <w:r w:rsidRPr="003C1D86">
        <w:rPr>
          <w:rFonts w:ascii="Arial" w:hAnsi="Arial" w:cs="Arial"/>
        </w:rPr>
        <w:t xml:space="preserve"> is expected to increase in Years 2 and 3 as distribution channels strengthen and brand reputation grows. The table below presents a simplified cash flow prediction over the first three fiscal years, shown in local currency units (LCU).</w:t>
      </w: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7C10B373" w14:textId="77777777" w:rsidTr="00473F9E">
        <w:trPr>
          <w:tblHeader/>
          <w:tblCellSpacing w:w="15" w:type="dxa"/>
        </w:trPr>
        <w:tc>
          <w:tcPr>
            <w:tcW w:w="3494" w:type="dxa"/>
            <w:shd w:val="clear" w:color="auto" w:fill="124F1A" w:themeFill="accent3" w:themeFillShade="BF"/>
            <w:vAlign w:val="center"/>
            <w:hideMark/>
          </w:tcPr>
          <w:p w14:paraId="4ADFB4C8" w14:textId="77777777" w:rsidR="00473F9E" w:rsidRPr="00473F9E" w:rsidRDefault="00473F9E" w:rsidP="00473F9E">
            <w:pPr>
              <w:spacing w:after="0" w:line="240" w:lineRule="auto"/>
              <w:rPr>
                <w:rFonts w:ascii="Arial" w:eastAsia="Times New Roman" w:hAnsi="Arial" w:cs="Arial"/>
                <w:kern w:val="0"/>
                <w:lang w:eastAsia="en-GB"/>
                <w14:ligatures w14:val="none"/>
              </w:rPr>
            </w:pPr>
          </w:p>
        </w:tc>
        <w:tc>
          <w:tcPr>
            <w:tcW w:w="2380" w:type="dxa"/>
            <w:shd w:val="clear" w:color="auto" w:fill="124F1A" w:themeFill="accent3" w:themeFillShade="BF"/>
            <w:vAlign w:val="center"/>
            <w:hideMark/>
          </w:tcPr>
          <w:p w14:paraId="03274B54" w14:textId="77777777" w:rsidR="00473F9E" w:rsidRPr="00473F9E" w:rsidRDefault="00473F9E" w:rsidP="00473F9E">
            <w:pPr>
              <w:spacing w:after="0" w:line="240" w:lineRule="auto"/>
              <w:jc w:val="center"/>
              <w:rPr>
                <w:rFonts w:ascii="Arial" w:eastAsia="Times New Roman" w:hAnsi="Arial" w:cs="Arial"/>
                <w:b/>
                <w:bCs/>
                <w:kern w:val="0"/>
                <w:lang w:eastAsia="en-GB"/>
                <w14:ligatures w14:val="none"/>
              </w:rPr>
            </w:pPr>
            <w:r w:rsidRPr="00473F9E">
              <w:rPr>
                <w:rFonts w:ascii="Arial" w:eastAsia="Times New Roman" w:hAnsi="Arial" w:cs="Arial"/>
                <w:b/>
                <w:bCs/>
                <w:kern w:val="0"/>
                <w:lang w:eastAsia="en-GB"/>
                <w14:ligatures w14:val="none"/>
              </w:rPr>
              <w:t>Year 1 (LCU)</w:t>
            </w:r>
          </w:p>
        </w:tc>
        <w:tc>
          <w:tcPr>
            <w:tcW w:w="1813" w:type="dxa"/>
            <w:shd w:val="clear" w:color="auto" w:fill="124F1A" w:themeFill="accent3" w:themeFillShade="BF"/>
            <w:vAlign w:val="center"/>
            <w:hideMark/>
          </w:tcPr>
          <w:p w14:paraId="158193DC" w14:textId="77777777" w:rsidR="00473F9E" w:rsidRPr="00473F9E" w:rsidRDefault="00473F9E" w:rsidP="00473F9E">
            <w:pPr>
              <w:spacing w:after="0" w:line="240" w:lineRule="auto"/>
              <w:jc w:val="center"/>
              <w:rPr>
                <w:rFonts w:ascii="Arial" w:eastAsia="Times New Roman" w:hAnsi="Arial" w:cs="Arial"/>
                <w:b/>
                <w:bCs/>
                <w:kern w:val="0"/>
                <w:lang w:eastAsia="en-GB"/>
                <w14:ligatures w14:val="none"/>
              </w:rPr>
            </w:pPr>
            <w:r w:rsidRPr="00473F9E">
              <w:rPr>
                <w:rFonts w:ascii="Arial" w:eastAsia="Times New Roman" w:hAnsi="Arial" w:cs="Arial"/>
                <w:b/>
                <w:bCs/>
                <w:kern w:val="0"/>
                <w:lang w:eastAsia="en-GB"/>
                <w14:ligatures w14:val="none"/>
              </w:rPr>
              <w:t>Year 2 (LCU)</w:t>
            </w:r>
          </w:p>
        </w:tc>
        <w:tc>
          <w:tcPr>
            <w:tcW w:w="1797" w:type="dxa"/>
            <w:shd w:val="clear" w:color="auto" w:fill="124F1A" w:themeFill="accent3" w:themeFillShade="BF"/>
            <w:vAlign w:val="center"/>
            <w:hideMark/>
          </w:tcPr>
          <w:p w14:paraId="27121732" w14:textId="77777777" w:rsidR="00473F9E" w:rsidRPr="00473F9E" w:rsidRDefault="00473F9E" w:rsidP="00473F9E">
            <w:pPr>
              <w:spacing w:after="0" w:line="240" w:lineRule="auto"/>
              <w:jc w:val="center"/>
              <w:rPr>
                <w:rFonts w:ascii="Arial" w:eastAsia="Times New Roman" w:hAnsi="Arial" w:cs="Arial"/>
                <w:b/>
                <w:bCs/>
                <w:kern w:val="0"/>
                <w:lang w:eastAsia="en-GB"/>
                <w14:ligatures w14:val="none"/>
              </w:rPr>
            </w:pPr>
            <w:r w:rsidRPr="00473F9E">
              <w:rPr>
                <w:rFonts w:ascii="Arial" w:eastAsia="Times New Roman" w:hAnsi="Arial" w:cs="Arial"/>
                <w:b/>
                <w:bCs/>
                <w:kern w:val="0"/>
                <w:lang w:eastAsia="en-GB"/>
                <w14:ligatures w14:val="none"/>
              </w:rPr>
              <w:t>Year 3 (LCU)</w:t>
            </w:r>
          </w:p>
        </w:tc>
      </w:tr>
    </w:tbl>
    <w:p w14:paraId="27C13E43"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08E9B425" w14:textId="77777777" w:rsidTr="00473F9E">
        <w:trPr>
          <w:tblCellSpacing w:w="15" w:type="dxa"/>
        </w:trPr>
        <w:tc>
          <w:tcPr>
            <w:tcW w:w="3494" w:type="dxa"/>
            <w:vAlign w:val="center"/>
            <w:hideMark/>
          </w:tcPr>
          <w:p w14:paraId="3B7E5101"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Revenue</w:t>
            </w:r>
          </w:p>
        </w:tc>
        <w:tc>
          <w:tcPr>
            <w:tcW w:w="2380" w:type="dxa"/>
            <w:vAlign w:val="center"/>
            <w:hideMark/>
          </w:tcPr>
          <w:p w14:paraId="77F663D5"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500,000</w:t>
            </w:r>
          </w:p>
        </w:tc>
        <w:tc>
          <w:tcPr>
            <w:tcW w:w="1813" w:type="dxa"/>
            <w:vAlign w:val="center"/>
            <w:hideMark/>
          </w:tcPr>
          <w:p w14:paraId="4260E5BA" w14:textId="2C3A83E4"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1,200,000</w:t>
            </w:r>
          </w:p>
        </w:tc>
        <w:tc>
          <w:tcPr>
            <w:tcW w:w="1797" w:type="dxa"/>
            <w:vAlign w:val="center"/>
            <w:hideMark/>
          </w:tcPr>
          <w:p w14:paraId="1A59FA72"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2,000,000</w:t>
            </w:r>
          </w:p>
        </w:tc>
      </w:tr>
    </w:tbl>
    <w:p w14:paraId="08B0A2EC"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7587C673" w14:textId="77777777" w:rsidTr="00473F9E">
        <w:trPr>
          <w:tblCellSpacing w:w="15" w:type="dxa"/>
        </w:trPr>
        <w:tc>
          <w:tcPr>
            <w:tcW w:w="3494" w:type="dxa"/>
            <w:vAlign w:val="center"/>
            <w:hideMark/>
          </w:tcPr>
          <w:p w14:paraId="7B66E30A"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Cost of Goods Sold (COGS)</w:t>
            </w:r>
          </w:p>
        </w:tc>
        <w:tc>
          <w:tcPr>
            <w:tcW w:w="2380" w:type="dxa"/>
            <w:vAlign w:val="center"/>
            <w:hideMark/>
          </w:tcPr>
          <w:p w14:paraId="3520F663"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300,000</w:t>
            </w:r>
          </w:p>
        </w:tc>
        <w:tc>
          <w:tcPr>
            <w:tcW w:w="1813" w:type="dxa"/>
            <w:vAlign w:val="center"/>
            <w:hideMark/>
          </w:tcPr>
          <w:p w14:paraId="4C99024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600,000</w:t>
            </w:r>
          </w:p>
        </w:tc>
        <w:tc>
          <w:tcPr>
            <w:tcW w:w="1797" w:type="dxa"/>
            <w:vAlign w:val="center"/>
            <w:hideMark/>
          </w:tcPr>
          <w:p w14:paraId="24F8BD6D"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900,000</w:t>
            </w:r>
          </w:p>
        </w:tc>
      </w:tr>
    </w:tbl>
    <w:p w14:paraId="74D53165"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653C050D" w14:textId="77777777" w:rsidTr="00473F9E">
        <w:trPr>
          <w:tblCellSpacing w:w="15" w:type="dxa"/>
        </w:trPr>
        <w:tc>
          <w:tcPr>
            <w:tcW w:w="3494" w:type="dxa"/>
            <w:vAlign w:val="center"/>
            <w:hideMark/>
          </w:tcPr>
          <w:p w14:paraId="31D4E734"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Gross Profit</w:t>
            </w:r>
          </w:p>
        </w:tc>
        <w:tc>
          <w:tcPr>
            <w:tcW w:w="2380" w:type="dxa"/>
            <w:vAlign w:val="center"/>
            <w:hideMark/>
          </w:tcPr>
          <w:p w14:paraId="4FB684F0"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200,000</w:t>
            </w:r>
          </w:p>
        </w:tc>
        <w:tc>
          <w:tcPr>
            <w:tcW w:w="1813" w:type="dxa"/>
            <w:vAlign w:val="center"/>
            <w:hideMark/>
          </w:tcPr>
          <w:p w14:paraId="2816DD3B"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600,000</w:t>
            </w:r>
          </w:p>
        </w:tc>
        <w:tc>
          <w:tcPr>
            <w:tcW w:w="1797" w:type="dxa"/>
            <w:vAlign w:val="center"/>
            <w:hideMark/>
          </w:tcPr>
          <w:p w14:paraId="1031E572"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1,100,000</w:t>
            </w:r>
          </w:p>
        </w:tc>
      </w:tr>
    </w:tbl>
    <w:p w14:paraId="4A9ABE3B"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703F8686" w14:textId="77777777" w:rsidTr="00473F9E">
        <w:trPr>
          <w:tblCellSpacing w:w="15" w:type="dxa"/>
        </w:trPr>
        <w:tc>
          <w:tcPr>
            <w:tcW w:w="3494" w:type="dxa"/>
            <w:vAlign w:val="center"/>
            <w:hideMark/>
          </w:tcPr>
          <w:p w14:paraId="2D80B69A"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Operating Expenses</w:t>
            </w:r>
          </w:p>
        </w:tc>
        <w:tc>
          <w:tcPr>
            <w:tcW w:w="2380" w:type="dxa"/>
            <w:vAlign w:val="center"/>
            <w:hideMark/>
          </w:tcPr>
          <w:p w14:paraId="3DE9EB4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250,000</w:t>
            </w:r>
          </w:p>
        </w:tc>
        <w:tc>
          <w:tcPr>
            <w:tcW w:w="1813" w:type="dxa"/>
            <w:vAlign w:val="center"/>
            <w:hideMark/>
          </w:tcPr>
          <w:p w14:paraId="51F367D1"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350,000</w:t>
            </w:r>
          </w:p>
        </w:tc>
        <w:tc>
          <w:tcPr>
            <w:tcW w:w="1797" w:type="dxa"/>
            <w:vAlign w:val="center"/>
            <w:hideMark/>
          </w:tcPr>
          <w:p w14:paraId="01E2AE26"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450,000</w:t>
            </w:r>
          </w:p>
        </w:tc>
      </w:tr>
    </w:tbl>
    <w:p w14:paraId="5018AEA7"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220A0DC7" w14:textId="77777777" w:rsidTr="00473F9E">
        <w:trPr>
          <w:tblCellSpacing w:w="15" w:type="dxa"/>
        </w:trPr>
        <w:tc>
          <w:tcPr>
            <w:tcW w:w="3494" w:type="dxa"/>
            <w:vAlign w:val="center"/>
            <w:hideMark/>
          </w:tcPr>
          <w:p w14:paraId="5DF123B1"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Operating Profit (Loss)</w:t>
            </w:r>
          </w:p>
        </w:tc>
        <w:tc>
          <w:tcPr>
            <w:tcW w:w="2380" w:type="dxa"/>
            <w:vAlign w:val="center"/>
            <w:hideMark/>
          </w:tcPr>
          <w:p w14:paraId="06F3342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(50,000)</w:t>
            </w:r>
          </w:p>
        </w:tc>
        <w:tc>
          <w:tcPr>
            <w:tcW w:w="1813" w:type="dxa"/>
            <w:vAlign w:val="center"/>
            <w:hideMark/>
          </w:tcPr>
          <w:p w14:paraId="3B23FFB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250,000</w:t>
            </w:r>
          </w:p>
        </w:tc>
        <w:tc>
          <w:tcPr>
            <w:tcW w:w="1797" w:type="dxa"/>
            <w:vAlign w:val="center"/>
            <w:hideMark/>
          </w:tcPr>
          <w:p w14:paraId="6F155FD3"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650,000</w:t>
            </w:r>
          </w:p>
        </w:tc>
      </w:tr>
    </w:tbl>
    <w:p w14:paraId="76BF42F6"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4A5F008D" w14:textId="77777777" w:rsidTr="00473F9E">
        <w:trPr>
          <w:tblCellSpacing w:w="15" w:type="dxa"/>
        </w:trPr>
        <w:tc>
          <w:tcPr>
            <w:tcW w:w="3494" w:type="dxa"/>
            <w:vAlign w:val="center"/>
            <w:hideMark/>
          </w:tcPr>
          <w:p w14:paraId="2278D600"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Capital Expenditures</w:t>
            </w:r>
          </w:p>
        </w:tc>
        <w:tc>
          <w:tcPr>
            <w:tcW w:w="2380" w:type="dxa"/>
            <w:vAlign w:val="center"/>
            <w:hideMark/>
          </w:tcPr>
          <w:p w14:paraId="10B6709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300,000</w:t>
            </w:r>
          </w:p>
        </w:tc>
        <w:tc>
          <w:tcPr>
            <w:tcW w:w="1813" w:type="dxa"/>
            <w:vAlign w:val="center"/>
            <w:hideMark/>
          </w:tcPr>
          <w:p w14:paraId="4209A88B"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100,000</w:t>
            </w:r>
          </w:p>
        </w:tc>
        <w:tc>
          <w:tcPr>
            <w:tcW w:w="1797" w:type="dxa"/>
            <w:vAlign w:val="center"/>
            <w:hideMark/>
          </w:tcPr>
          <w:p w14:paraId="0793C0FB"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50,000</w:t>
            </w:r>
          </w:p>
        </w:tc>
      </w:tr>
    </w:tbl>
    <w:p w14:paraId="39A4F0DF"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2204978B" w14:textId="77777777" w:rsidTr="00473F9E">
        <w:trPr>
          <w:tblCellSpacing w:w="15" w:type="dxa"/>
        </w:trPr>
        <w:tc>
          <w:tcPr>
            <w:tcW w:w="3494" w:type="dxa"/>
            <w:vAlign w:val="center"/>
            <w:hideMark/>
          </w:tcPr>
          <w:p w14:paraId="07B97814"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Cash Inflows from Financing</w:t>
            </w:r>
          </w:p>
        </w:tc>
        <w:tc>
          <w:tcPr>
            <w:tcW w:w="2380" w:type="dxa"/>
            <w:vAlign w:val="center"/>
            <w:hideMark/>
          </w:tcPr>
          <w:p w14:paraId="71403B4E"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400,000</w:t>
            </w:r>
          </w:p>
        </w:tc>
        <w:tc>
          <w:tcPr>
            <w:tcW w:w="1813" w:type="dxa"/>
            <w:vAlign w:val="center"/>
            <w:hideMark/>
          </w:tcPr>
          <w:p w14:paraId="48300756"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0</w:t>
            </w:r>
          </w:p>
        </w:tc>
        <w:tc>
          <w:tcPr>
            <w:tcW w:w="1797" w:type="dxa"/>
            <w:vAlign w:val="center"/>
            <w:hideMark/>
          </w:tcPr>
          <w:p w14:paraId="75964C93"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0</w:t>
            </w:r>
          </w:p>
        </w:tc>
      </w:tr>
    </w:tbl>
    <w:p w14:paraId="253677F4" w14:textId="77777777" w:rsidR="00473F9E" w:rsidRPr="00473F9E" w:rsidRDefault="00473F9E" w:rsidP="00473F9E">
      <w:pPr>
        <w:spacing w:after="0" w:line="240" w:lineRule="auto"/>
        <w:rPr>
          <w:rFonts w:ascii="Arial" w:eastAsia="Times New Roman" w:hAnsi="Arial" w:cs="Arial"/>
          <w:vanish/>
          <w:kern w:val="0"/>
          <w:lang w:eastAsia="en-GB"/>
          <w14:ligatures w14:val="none"/>
        </w:rPr>
      </w:pP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2410"/>
        <w:gridCol w:w="1843"/>
        <w:gridCol w:w="1842"/>
      </w:tblGrid>
      <w:tr w:rsidR="00473F9E" w:rsidRPr="00473F9E" w14:paraId="6F7B9F53" w14:textId="77777777" w:rsidTr="00473F9E">
        <w:trPr>
          <w:tblCellSpacing w:w="15" w:type="dxa"/>
        </w:trPr>
        <w:tc>
          <w:tcPr>
            <w:tcW w:w="3494" w:type="dxa"/>
            <w:vAlign w:val="center"/>
            <w:hideMark/>
          </w:tcPr>
          <w:p w14:paraId="35A497EB" w14:textId="77777777" w:rsidR="00473F9E" w:rsidRPr="00473F9E" w:rsidRDefault="00473F9E" w:rsidP="00473F9E">
            <w:pPr>
              <w:spacing w:after="0" w:line="240" w:lineRule="auto"/>
              <w:rPr>
                <w:rFonts w:ascii="Arial Black" w:eastAsia="Times New Roman" w:hAnsi="Arial Black" w:cs="Arial"/>
                <w:kern w:val="0"/>
                <w:lang w:eastAsia="en-GB"/>
                <w14:ligatures w14:val="none"/>
              </w:rPr>
            </w:pPr>
            <w:r w:rsidRPr="00473F9E">
              <w:rPr>
                <w:rFonts w:ascii="Arial Black" w:eastAsia="Times New Roman" w:hAnsi="Arial Black" w:cs="Arial"/>
                <w:kern w:val="0"/>
                <w:lang w:eastAsia="en-GB"/>
                <w14:ligatures w14:val="none"/>
              </w:rPr>
              <w:t>Net Cash Flow</w:t>
            </w:r>
          </w:p>
        </w:tc>
        <w:tc>
          <w:tcPr>
            <w:tcW w:w="2380" w:type="dxa"/>
            <w:vAlign w:val="center"/>
            <w:hideMark/>
          </w:tcPr>
          <w:p w14:paraId="0664E8C4"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50,000</w:t>
            </w:r>
          </w:p>
        </w:tc>
        <w:tc>
          <w:tcPr>
            <w:tcW w:w="1813" w:type="dxa"/>
            <w:vAlign w:val="center"/>
            <w:hideMark/>
          </w:tcPr>
          <w:p w14:paraId="68426B3C"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150,000</w:t>
            </w:r>
          </w:p>
        </w:tc>
        <w:tc>
          <w:tcPr>
            <w:tcW w:w="1797" w:type="dxa"/>
            <w:vAlign w:val="center"/>
            <w:hideMark/>
          </w:tcPr>
          <w:p w14:paraId="5718DA4D" w14:textId="77777777" w:rsidR="00473F9E" w:rsidRPr="00473F9E" w:rsidRDefault="00473F9E" w:rsidP="00473F9E">
            <w:pPr>
              <w:spacing w:after="0" w:line="240" w:lineRule="auto"/>
              <w:rPr>
                <w:rFonts w:ascii="Arial" w:eastAsia="Times New Roman" w:hAnsi="Arial" w:cs="Arial"/>
                <w:kern w:val="0"/>
                <w:lang w:eastAsia="en-GB"/>
                <w14:ligatures w14:val="none"/>
              </w:rPr>
            </w:pPr>
            <w:r w:rsidRPr="00473F9E">
              <w:rPr>
                <w:rFonts w:ascii="Arial" w:eastAsia="Times New Roman" w:hAnsi="Arial" w:cs="Arial"/>
                <w:kern w:val="0"/>
                <w:lang w:eastAsia="en-GB"/>
                <w14:ligatures w14:val="none"/>
              </w:rPr>
              <w:t>600,000</w:t>
            </w:r>
          </w:p>
        </w:tc>
      </w:tr>
    </w:tbl>
    <w:p w14:paraId="1AFB2DEE" w14:textId="77777777" w:rsidR="00473F9E" w:rsidRDefault="00473F9E" w:rsidP="003C1D86">
      <w:pPr>
        <w:spacing w:line="480" w:lineRule="auto"/>
        <w:jc w:val="both"/>
        <w:rPr>
          <w:rFonts w:ascii="Arial" w:hAnsi="Arial" w:cs="Arial"/>
        </w:rPr>
      </w:pPr>
    </w:p>
    <w:p w14:paraId="34C5FA47" w14:textId="77777777" w:rsidR="00B366F1" w:rsidRDefault="003C1D86" w:rsidP="003C1D86">
      <w:pPr>
        <w:spacing w:line="480" w:lineRule="auto"/>
        <w:jc w:val="both"/>
        <w:rPr>
          <w:rFonts w:ascii="Arial" w:hAnsi="Arial" w:cs="Arial"/>
        </w:rPr>
      </w:pPr>
      <w:r w:rsidRPr="003C1D86">
        <w:rPr>
          <w:rFonts w:ascii="Arial" w:hAnsi="Arial" w:cs="Arial"/>
        </w:rPr>
        <w:t>These estimates are based on a progressive development of manufacturing capacity, a growing rate of uptake by retailers and manufacturers, and stable raw material costs. Year 1 operational profit is predicted to be negative due to the need to devote expenditures for equipment, facility setup, and initial marketing campaigns</w:t>
      </w:r>
      <w:r w:rsidR="00473F9E">
        <w:rPr>
          <w:rFonts w:ascii="Arial" w:hAnsi="Arial" w:cs="Arial"/>
        </w:rPr>
        <w:t xml:space="preserve">. </w:t>
      </w:r>
      <w:r w:rsidRPr="003C1D86">
        <w:rPr>
          <w:rFonts w:ascii="Arial" w:hAnsi="Arial" w:cs="Arial"/>
        </w:rPr>
        <w:t>ReWrap Solutions seeks to reduce financial risks by carefully managing operating expenses, negotiating favourable supplier terms, and forming long-term contracts with critical buyers.</w:t>
      </w:r>
    </w:p>
    <w:p w14:paraId="5D4A5A7C" w14:textId="77777777" w:rsidR="00B366F1" w:rsidRPr="00B366F1" w:rsidRDefault="003C1D86" w:rsidP="003C1D86">
      <w:pPr>
        <w:spacing w:line="480" w:lineRule="auto"/>
        <w:jc w:val="both"/>
        <w:rPr>
          <w:rFonts w:ascii="Arial Black" w:hAnsi="Arial Black" w:cs="Arial"/>
          <w:color w:val="47D459" w:themeColor="accent3" w:themeTint="99"/>
          <w:u w:val="thick"/>
        </w:rPr>
      </w:pPr>
      <w:r w:rsidRPr="00B366F1">
        <w:rPr>
          <w:rFonts w:ascii="Arial Black" w:hAnsi="Arial Black" w:cs="Arial"/>
          <w:color w:val="47D459" w:themeColor="accent3" w:themeTint="99"/>
          <w:u w:val="thick"/>
        </w:rPr>
        <w:t>Contingency Plan</w:t>
      </w:r>
    </w:p>
    <w:p w14:paraId="44F69399" w14:textId="77777777" w:rsidR="00B366F1" w:rsidRDefault="003C1D86" w:rsidP="003C1D86">
      <w:pPr>
        <w:spacing w:line="480" w:lineRule="auto"/>
        <w:jc w:val="both"/>
        <w:rPr>
          <w:rFonts w:ascii="Arial" w:hAnsi="Arial" w:cs="Arial"/>
        </w:rPr>
      </w:pPr>
      <w:r w:rsidRPr="003C1D86">
        <w:rPr>
          <w:rFonts w:ascii="Arial" w:hAnsi="Arial" w:cs="Arial"/>
        </w:rPr>
        <w:t xml:space="preserve">ReWrap Solutions understands that unexpected interruptions and market volatility may occur. To overcome such issues, the organisation has created measures that can be implemented if sales targets are not </w:t>
      </w:r>
      <w:r w:rsidR="00B366F1" w:rsidRPr="003C1D86">
        <w:rPr>
          <w:rFonts w:ascii="Arial" w:hAnsi="Arial" w:cs="Arial"/>
        </w:rPr>
        <w:t>met,</w:t>
      </w:r>
      <w:r w:rsidRPr="003C1D86">
        <w:rPr>
          <w:rFonts w:ascii="Arial" w:hAnsi="Arial" w:cs="Arial"/>
        </w:rPr>
        <w:t xml:space="preserve"> or significant unforeseen costs materialise. Renegotiating raw material supply contracts can stabilise output and pricing by maintaining a consistent inventory level (</w:t>
      </w:r>
      <w:proofErr w:type="spellStart"/>
      <w:r w:rsidRPr="003C1D86">
        <w:rPr>
          <w:rFonts w:ascii="Arial" w:hAnsi="Arial" w:cs="Arial"/>
        </w:rPr>
        <w:t>Høgevold</w:t>
      </w:r>
      <w:proofErr w:type="spellEnd"/>
      <w:r w:rsidRPr="003C1D86">
        <w:rPr>
          <w:rFonts w:ascii="Arial" w:hAnsi="Arial" w:cs="Arial"/>
        </w:rPr>
        <w:t xml:space="preserve"> et al., 2014). Another </w:t>
      </w:r>
      <w:r w:rsidRPr="003C1D86">
        <w:rPr>
          <w:rFonts w:ascii="Arial" w:hAnsi="Arial" w:cs="Arial"/>
        </w:rPr>
        <w:lastRenderedPageBreak/>
        <w:t>option is to reduce production levels if demand does not meet projections, which would lower operational costs while maintaining product quality and brand reputation.</w:t>
      </w:r>
    </w:p>
    <w:p w14:paraId="469F1211" w14:textId="77777777" w:rsidR="00B366F1" w:rsidRDefault="003C1D86" w:rsidP="003C1D86">
      <w:pPr>
        <w:spacing w:line="480" w:lineRule="auto"/>
        <w:jc w:val="both"/>
        <w:rPr>
          <w:rFonts w:ascii="Arial" w:hAnsi="Arial" w:cs="Arial"/>
        </w:rPr>
      </w:pPr>
      <w:r w:rsidRPr="003C1D86">
        <w:rPr>
          <w:rFonts w:ascii="Arial" w:hAnsi="Arial" w:cs="Arial"/>
        </w:rPr>
        <w:t xml:space="preserve">In the event of a more severe downturn, ReWrap Solutions will look into alternate financing options like short-term loans or extra equity capital from socially responsible investment firms. If competition heats up or raw material costs rise, the R&amp;D team will change its focus to product diversity, maybe by utilising several types of agricultural waste to ensure a consistent supply base. If key distribution channels decrease or become unprofitable, the company will shift to new geographic markets that value sustainable packaging. These solutions are based on the concept of social bricolage in resource mobilisation, which combines creative approaches and local resources to adapt to environmental changes (Di Domenico et al., 2010). The company will also prioritise ongoing communication with governmental and non-governmental organisations that encourage sustainable enterprises </w:t>
      </w:r>
      <w:r w:rsidR="00B366F1" w:rsidRPr="003C1D86">
        <w:rPr>
          <w:rFonts w:ascii="Arial" w:hAnsi="Arial" w:cs="Arial"/>
        </w:rPr>
        <w:t>to</w:t>
      </w:r>
      <w:r w:rsidRPr="003C1D86">
        <w:rPr>
          <w:rFonts w:ascii="Arial" w:hAnsi="Arial" w:cs="Arial"/>
        </w:rPr>
        <w:t xml:space="preserve"> stay current on policy changes and financing opportunities.</w:t>
      </w:r>
    </w:p>
    <w:p w14:paraId="3AB57843" w14:textId="77777777" w:rsidR="00B366F1" w:rsidRDefault="00B366F1" w:rsidP="003C1D86">
      <w:pPr>
        <w:spacing w:line="480" w:lineRule="auto"/>
        <w:jc w:val="both"/>
        <w:rPr>
          <w:rFonts w:ascii="Arial" w:hAnsi="Arial" w:cs="Arial"/>
        </w:rPr>
      </w:pPr>
    </w:p>
    <w:p w14:paraId="738BF427" w14:textId="77777777" w:rsidR="00B366F1" w:rsidRDefault="00B366F1" w:rsidP="003C1D86">
      <w:pPr>
        <w:spacing w:line="480" w:lineRule="auto"/>
        <w:jc w:val="both"/>
        <w:rPr>
          <w:rFonts w:ascii="Arial" w:hAnsi="Arial" w:cs="Arial"/>
        </w:rPr>
      </w:pPr>
    </w:p>
    <w:p w14:paraId="56070EE0" w14:textId="77777777" w:rsidR="00B366F1" w:rsidRDefault="00B366F1" w:rsidP="003C1D86">
      <w:pPr>
        <w:spacing w:line="480" w:lineRule="auto"/>
        <w:jc w:val="both"/>
        <w:rPr>
          <w:rFonts w:ascii="Arial" w:hAnsi="Arial" w:cs="Arial"/>
        </w:rPr>
      </w:pPr>
    </w:p>
    <w:p w14:paraId="15D2DD31" w14:textId="77777777" w:rsidR="00B366F1" w:rsidRDefault="00B366F1" w:rsidP="003C1D86">
      <w:pPr>
        <w:spacing w:line="480" w:lineRule="auto"/>
        <w:jc w:val="both"/>
        <w:rPr>
          <w:rFonts w:ascii="Arial" w:hAnsi="Arial" w:cs="Arial"/>
        </w:rPr>
      </w:pPr>
    </w:p>
    <w:p w14:paraId="20F8B418" w14:textId="77777777" w:rsidR="00B366F1" w:rsidRDefault="00B366F1" w:rsidP="003C1D86">
      <w:pPr>
        <w:spacing w:line="480" w:lineRule="auto"/>
        <w:jc w:val="both"/>
        <w:rPr>
          <w:rFonts w:ascii="Arial" w:hAnsi="Arial" w:cs="Arial"/>
        </w:rPr>
      </w:pPr>
    </w:p>
    <w:p w14:paraId="271DE397" w14:textId="77777777" w:rsidR="00B366F1" w:rsidRDefault="00B366F1" w:rsidP="003C1D86">
      <w:pPr>
        <w:spacing w:line="480" w:lineRule="auto"/>
        <w:jc w:val="both"/>
        <w:rPr>
          <w:rFonts w:ascii="Arial" w:hAnsi="Arial" w:cs="Arial"/>
        </w:rPr>
      </w:pPr>
    </w:p>
    <w:p w14:paraId="5A0DB515" w14:textId="77777777" w:rsidR="00B366F1" w:rsidRDefault="00B366F1" w:rsidP="003C1D86">
      <w:pPr>
        <w:spacing w:line="480" w:lineRule="auto"/>
        <w:jc w:val="both"/>
        <w:rPr>
          <w:rFonts w:ascii="Arial" w:hAnsi="Arial" w:cs="Arial"/>
        </w:rPr>
      </w:pPr>
    </w:p>
    <w:p w14:paraId="5881E0D4" w14:textId="77777777" w:rsidR="00B366F1" w:rsidRDefault="00B366F1" w:rsidP="003C1D86">
      <w:pPr>
        <w:spacing w:line="480" w:lineRule="auto"/>
        <w:jc w:val="both"/>
        <w:rPr>
          <w:rFonts w:ascii="Arial" w:hAnsi="Arial" w:cs="Arial"/>
        </w:rPr>
      </w:pPr>
    </w:p>
    <w:p w14:paraId="2369F530" w14:textId="4972E9D8" w:rsidR="00B366F1" w:rsidRPr="00B366F1" w:rsidRDefault="003C1D86" w:rsidP="003C1D86">
      <w:pPr>
        <w:spacing w:line="480" w:lineRule="auto"/>
        <w:jc w:val="both"/>
        <w:rPr>
          <w:rFonts w:ascii="Arial Black" w:hAnsi="Arial Black" w:cs="Arial"/>
          <w:b/>
          <w:bCs/>
          <w:color w:val="47D459" w:themeColor="accent3" w:themeTint="99"/>
          <w:u w:val="thick"/>
        </w:rPr>
      </w:pPr>
      <w:r w:rsidRPr="00B366F1">
        <w:rPr>
          <w:rFonts w:ascii="Arial Black" w:hAnsi="Arial Black" w:cs="Arial"/>
          <w:b/>
          <w:bCs/>
          <w:color w:val="47D459" w:themeColor="accent3" w:themeTint="99"/>
          <w:u w:val="thick"/>
        </w:rPr>
        <w:lastRenderedPageBreak/>
        <w:t>Conclusion</w:t>
      </w:r>
    </w:p>
    <w:p w14:paraId="37736AAE" w14:textId="77777777" w:rsidR="00B366F1" w:rsidRDefault="003C1D86" w:rsidP="003C1D86">
      <w:pPr>
        <w:spacing w:line="480" w:lineRule="auto"/>
        <w:jc w:val="both"/>
        <w:rPr>
          <w:rFonts w:ascii="Arial" w:hAnsi="Arial" w:cs="Arial"/>
        </w:rPr>
      </w:pPr>
      <w:r w:rsidRPr="003C1D86">
        <w:rPr>
          <w:rFonts w:ascii="Arial" w:hAnsi="Arial" w:cs="Arial"/>
        </w:rPr>
        <w:t xml:space="preserve">ReWrap Solutions takes a dynamic approach to sustainable enterprise, capitalising on the demand for ecologically responsible packaging while improving local supply chains and fostering fair economic </w:t>
      </w:r>
      <w:r w:rsidR="00B366F1" w:rsidRPr="003C1D86">
        <w:rPr>
          <w:rFonts w:ascii="Arial" w:hAnsi="Arial" w:cs="Arial"/>
        </w:rPr>
        <w:t>development.</w:t>
      </w:r>
      <w:r w:rsidR="00B366F1">
        <w:rPr>
          <w:rFonts w:ascii="Arial" w:hAnsi="Arial" w:cs="Arial"/>
        </w:rPr>
        <w:t xml:space="preserve"> </w:t>
      </w:r>
      <w:r w:rsidRPr="003C1D86">
        <w:rPr>
          <w:rFonts w:ascii="Arial" w:hAnsi="Arial" w:cs="Arial"/>
        </w:rPr>
        <w:t>The company's mission is based on the triple bottom line, which demonstrates a strong commitment to financial viability, environmental stewardship, and social responsibility (Elkington, 1997). ReWrap Solutions can fulfil expanding market demand for biodegradable packaging and establish itself as a sustainability leader by carefully managing resources, employing innovative manufacturing techniques, and cultivating critical relationships.</w:t>
      </w:r>
    </w:p>
    <w:p w14:paraId="70842917" w14:textId="77777777" w:rsidR="00B366F1" w:rsidRDefault="003C1D86" w:rsidP="003C1D86">
      <w:pPr>
        <w:spacing w:line="480" w:lineRule="auto"/>
        <w:jc w:val="both"/>
        <w:rPr>
          <w:rFonts w:ascii="Arial" w:hAnsi="Arial" w:cs="Arial"/>
        </w:rPr>
      </w:pPr>
      <w:r w:rsidRPr="003C1D86">
        <w:rPr>
          <w:rFonts w:ascii="Arial" w:hAnsi="Arial" w:cs="Arial"/>
        </w:rPr>
        <w:t xml:space="preserve">The detailed business plan explains how this company might overcome potential challenges and achieve long-term success. Marketing approaches emphasising quality, </w:t>
      </w:r>
      <w:r w:rsidRPr="003C1D86">
        <w:rPr>
          <w:rFonts w:ascii="Arial" w:hAnsi="Arial" w:cs="Arial"/>
        </w:rPr>
        <w:t>composability</w:t>
      </w:r>
      <w:r w:rsidRPr="003C1D86">
        <w:rPr>
          <w:rFonts w:ascii="Arial" w:hAnsi="Arial" w:cs="Arial"/>
        </w:rPr>
        <w:t>, and compelling stories of social and environmental impact will assist the organisation in engaging potential customers, driving market adoption, and cultivating brand loyalty. The PESTLE and SWOT assessments show how external influences and internal capabilities will impact ReWrap Solutions' growth trajectory (</w:t>
      </w:r>
      <w:proofErr w:type="spellStart"/>
      <w:r w:rsidRPr="003C1D86">
        <w:rPr>
          <w:rFonts w:ascii="Arial" w:hAnsi="Arial" w:cs="Arial"/>
        </w:rPr>
        <w:t>Høgevold</w:t>
      </w:r>
      <w:proofErr w:type="spellEnd"/>
      <w:r w:rsidRPr="003C1D86">
        <w:rPr>
          <w:rFonts w:ascii="Arial" w:hAnsi="Arial" w:cs="Arial"/>
        </w:rPr>
        <w:t xml:space="preserve"> et al., 2014). The financial predictions highlight the organization's aim to increase revenue as production rises and awareness grows, while the contingency plan provides solutions for mitigating market concerns (Desa, 2012).</w:t>
      </w:r>
    </w:p>
    <w:p w14:paraId="58651EBE" w14:textId="1518B929" w:rsidR="003C1D86" w:rsidRDefault="003C1D86" w:rsidP="003C1D86">
      <w:pPr>
        <w:spacing w:line="480" w:lineRule="auto"/>
        <w:jc w:val="both"/>
        <w:rPr>
          <w:rFonts w:ascii="Arial" w:hAnsi="Arial" w:cs="Arial"/>
        </w:rPr>
      </w:pPr>
      <w:r w:rsidRPr="003C1D86">
        <w:rPr>
          <w:rFonts w:ascii="Arial" w:hAnsi="Arial" w:cs="Arial"/>
        </w:rPr>
        <w:t xml:space="preserve">ReWrap Solutions strives to prevent plastic pollution, promote rural lives, and have a long-term, beneficial influence on the environment and society by adhering to sustainable entrepreneurship principles. The company believes in a sustainable business model that is adaptive, financially responsible, and dedicated to creating a better planet for current and future generations (Edgeman and Eskildsen, 2014). Implementation of this approach will necessitate continual collaboration among </w:t>
      </w:r>
      <w:r w:rsidRPr="003C1D86">
        <w:rPr>
          <w:rFonts w:ascii="Arial" w:hAnsi="Arial" w:cs="Arial"/>
        </w:rPr>
        <w:lastRenderedPageBreak/>
        <w:t>numerous stakeholders, but with unwavering commitment and strategic flexibility, ReWrap Solutions is well positioned to make a substantial contribution to the global sustainability movement (</w:t>
      </w:r>
      <w:proofErr w:type="spellStart"/>
      <w:r w:rsidRPr="003C1D86">
        <w:rPr>
          <w:rFonts w:ascii="Arial" w:hAnsi="Arial" w:cs="Arial"/>
        </w:rPr>
        <w:t>Schhaltegger</w:t>
      </w:r>
      <w:proofErr w:type="spellEnd"/>
      <w:r w:rsidRPr="003C1D86">
        <w:rPr>
          <w:rFonts w:ascii="Arial" w:hAnsi="Arial" w:cs="Arial"/>
        </w:rPr>
        <w:t xml:space="preserve"> et al., 2012).</w:t>
      </w:r>
    </w:p>
    <w:p w14:paraId="62083B02" w14:textId="77777777" w:rsidR="00B366F1" w:rsidRDefault="00B366F1" w:rsidP="003C1D86">
      <w:pPr>
        <w:spacing w:line="480" w:lineRule="auto"/>
        <w:jc w:val="both"/>
        <w:rPr>
          <w:rFonts w:ascii="Arial" w:hAnsi="Arial" w:cs="Arial"/>
        </w:rPr>
      </w:pPr>
    </w:p>
    <w:p w14:paraId="755BB8C8" w14:textId="77777777" w:rsidR="00B366F1" w:rsidRDefault="00B366F1" w:rsidP="003C1D86">
      <w:pPr>
        <w:spacing w:line="480" w:lineRule="auto"/>
        <w:jc w:val="both"/>
        <w:rPr>
          <w:rFonts w:ascii="Arial" w:hAnsi="Arial" w:cs="Arial"/>
        </w:rPr>
      </w:pPr>
    </w:p>
    <w:p w14:paraId="7DF11F9D" w14:textId="77777777" w:rsidR="00B366F1" w:rsidRDefault="00B366F1" w:rsidP="003C1D86">
      <w:pPr>
        <w:spacing w:line="480" w:lineRule="auto"/>
        <w:jc w:val="both"/>
        <w:rPr>
          <w:rFonts w:ascii="Arial" w:hAnsi="Arial" w:cs="Arial"/>
        </w:rPr>
      </w:pPr>
    </w:p>
    <w:p w14:paraId="6B3D3075" w14:textId="77777777" w:rsidR="00B366F1" w:rsidRDefault="00B366F1" w:rsidP="003C1D86">
      <w:pPr>
        <w:spacing w:line="480" w:lineRule="auto"/>
        <w:jc w:val="both"/>
        <w:rPr>
          <w:rFonts w:ascii="Arial" w:hAnsi="Arial" w:cs="Arial"/>
        </w:rPr>
      </w:pPr>
    </w:p>
    <w:p w14:paraId="2C23B280" w14:textId="77777777" w:rsidR="00B366F1" w:rsidRDefault="00B366F1" w:rsidP="003C1D86">
      <w:pPr>
        <w:spacing w:line="480" w:lineRule="auto"/>
        <w:jc w:val="both"/>
        <w:rPr>
          <w:rFonts w:ascii="Arial" w:hAnsi="Arial" w:cs="Arial"/>
        </w:rPr>
      </w:pPr>
    </w:p>
    <w:p w14:paraId="0601B4EE" w14:textId="77777777" w:rsidR="00B366F1" w:rsidRDefault="00B366F1" w:rsidP="003C1D86">
      <w:pPr>
        <w:spacing w:line="480" w:lineRule="auto"/>
        <w:jc w:val="both"/>
        <w:rPr>
          <w:rFonts w:ascii="Arial" w:hAnsi="Arial" w:cs="Arial"/>
        </w:rPr>
      </w:pPr>
    </w:p>
    <w:p w14:paraId="6EB9A6A2" w14:textId="77777777" w:rsidR="00B366F1" w:rsidRDefault="00B366F1" w:rsidP="003C1D86">
      <w:pPr>
        <w:spacing w:line="480" w:lineRule="auto"/>
        <w:jc w:val="both"/>
        <w:rPr>
          <w:rFonts w:ascii="Arial" w:hAnsi="Arial" w:cs="Arial"/>
        </w:rPr>
      </w:pPr>
    </w:p>
    <w:p w14:paraId="5758A425" w14:textId="77777777" w:rsidR="00B366F1" w:rsidRDefault="00B366F1" w:rsidP="003C1D86">
      <w:pPr>
        <w:spacing w:line="480" w:lineRule="auto"/>
        <w:jc w:val="both"/>
        <w:rPr>
          <w:rFonts w:ascii="Arial" w:hAnsi="Arial" w:cs="Arial"/>
        </w:rPr>
      </w:pPr>
    </w:p>
    <w:p w14:paraId="0F8A98A6" w14:textId="77777777" w:rsidR="00B366F1" w:rsidRDefault="00B366F1" w:rsidP="003C1D86">
      <w:pPr>
        <w:spacing w:line="480" w:lineRule="auto"/>
        <w:jc w:val="both"/>
        <w:rPr>
          <w:rFonts w:ascii="Arial" w:hAnsi="Arial" w:cs="Arial"/>
        </w:rPr>
      </w:pPr>
    </w:p>
    <w:p w14:paraId="791CCFCB" w14:textId="77777777" w:rsidR="00B366F1" w:rsidRDefault="00B366F1" w:rsidP="003C1D86">
      <w:pPr>
        <w:spacing w:line="480" w:lineRule="auto"/>
        <w:jc w:val="both"/>
        <w:rPr>
          <w:rFonts w:ascii="Arial" w:hAnsi="Arial" w:cs="Arial"/>
        </w:rPr>
      </w:pPr>
    </w:p>
    <w:p w14:paraId="359BCC72" w14:textId="77777777" w:rsidR="00B366F1" w:rsidRDefault="00B366F1" w:rsidP="003C1D86">
      <w:pPr>
        <w:spacing w:line="480" w:lineRule="auto"/>
        <w:jc w:val="both"/>
        <w:rPr>
          <w:rFonts w:ascii="Arial" w:hAnsi="Arial" w:cs="Arial"/>
        </w:rPr>
      </w:pPr>
    </w:p>
    <w:p w14:paraId="33F2D5BB" w14:textId="77777777" w:rsidR="00B366F1" w:rsidRDefault="00B366F1" w:rsidP="003C1D86">
      <w:pPr>
        <w:spacing w:line="480" w:lineRule="auto"/>
        <w:jc w:val="both"/>
        <w:rPr>
          <w:rFonts w:ascii="Arial" w:hAnsi="Arial" w:cs="Arial"/>
        </w:rPr>
      </w:pPr>
    </w:p>
    <w:p w14:paraId="049AAE08" w14:textId="77777777" w:rsidR="00B366F1" w:rsidRDefault="00B366F1" w:rsidP="003C1D86">
      <w:pPr>
        <w:spacing w:line="480" w:lineRule="auto"/>
        <w:jc w:val="both"/>
        <w:rPr>
          <w:rFonts w:ascii="Arial" w:hAnsi="Arial" w:cs="Arial"/>
        </w:rPr>
      </w:pPr>
    </w:p>
    <w:p w14:paraId="1F1565B8" w14:textId="77777777" w:rsidR="00B366F1" w:rsidRDefault="00B366F1" w:rsidP="003C1D86">
      <w:pPr>
        <w:spacing w:line="480" w:lineRule="auto"/>
        <w:jc w:val="both"/>
        <w:rPr>
          <w:rFonts w:ascii="Arial" w:hAnsi="Arial" w:cs="Arial"/>
        </w:rPr>
      </w:pPr>
    </w:p>
    <w:p w14:paraId="03282332" w14:textId="77777777" w:rsidR="00B366F1" w:rsidRDefault="00B366F1" w:rsidP="003C1D86">
      <w:pPr>
        <w:spacing w:line="480" w:lineRule="auto"/>
        <w:jc w:val="both"/>
        <w:rPr>
          <w:rFonts w:ascii="Arial" w:hAnsi="Arial" w:cs="Arial"/>
        </w:rPr>
      </w:pPr>
    </w:p>
    <w:p w14:paraId="2A01CE6B" w14:textId="77777777" w:rsidR="00B366F1" w:rsidRDefault="00B366F1" w:rsidP="003C1D86">
      <w:pPr>
        <w:spacing w:line="480" w:lineRule="auto"/>
        <w:jc w:val="both"/>
        <w:rPr>
          <w:rFonts w:ascii="Arial" w:hAnsi="Arial" w:cs="Arial"/>
        </w:rPr>
      </w:pPr>
    </w:p>
    <w:p w14:paraId="3E238D47" w14:textId="77777777" w:rsidR="00B366F1" w:rsidRDefault="00B366F1" w:rsidP="003C1D86">
      <w:pPr>
        <w:spacing w:line="480" w:lineRule="auto"/>
        <w:jc w:val="both"/>
        <w:rPr>
          <w:rFonts w:ascii="Arial" w:hAnsi="Arial" w:cs="Arial"/>
        </w:rPr>
      </w:pPr>
    </w:p>
    <w:p w14:paraId="284198ED" w14:textId="20A5B96E" w:rsidR="00B366F1" w:rsidRPr="00B366F1" w:rsidRDefault="00B366F1" w:rsidP="003C1D86">
      <w:pPr>
        <w:spacing w:line="480" w:lineRule="auto"/>
        <w:jc w:val="both"/>
        <w:rPr>
          <w:rFonts w:ascii="Arial Black" w:hAnsi="Arial Black" w:cs="Arial"/>
          <w:color w:val="47D459" w:themeColor="accent3" w:themeTint="99"/>
          <w:u w:val="thick"/>
        </w:rPr>
      </w:pPr>
      <w:r w:rsidRPr="00B366F1">
        <w:rPr>
          <w:rFonts w:ascii="Arial Black" w:hAnsi="Arial Black" w:cs="Arial"/>
          <w:color w:val="47D459" w:themeColor="accent3" w:themeTint="99"/>
          <w:u w:val="thick"/>
        </w:rPr>
        <w:lastRenderedPageBreak/>
        <w:t xml:space="preserve">References </w:t>
      </w:r>
    </w:p>
    <w:p w14:paraId="22D6D5E3" w14:textId="77777777" w:rsidR="00B366F1" w:rsidRDefault="00B366F1" w:rsidP="00B366F1">
      <w:pPr>
        <w:spacing w:line="480" w:lineRule="auto"/>
        <w:jc w:val="both"/>
        <w:rPr>
          <w:rFonts w:ascii="Arial" w:hAnsi="Arial" w:cs="Arial"/>
        </w:rPr>
      </w:pPr>
      <w:r w:rsidRPr="00B366F1">
        <w:rPr>
          <w:rFonts w:ascii="Arial" w:hAnsi="Arial" w:cs="Arial"/>
        </w:rPr>
        <w:t xml:space="preserve">Dean, T. and McMullen, J. (2007). Toward a theory of sustainable entrepreneurship: reducing environmental degradation through entrepreneurial action. </w:t>
      </w:r>
      <w:r w:rsidRPr="00B366F1">
        <w:rPr>
          <w:rFonts w:ascii="Arial" w:hAnsi="Arial" w:cs="Arial"/>
          <w:i/>
          <w:iCs/>
        </w:rPr>
        <w:t>Journal of Business Venturing, 22</w:t>
      </w:r>
      <w:r w:rsidRPr="00B366F1">
        <w:rPr>
          <w:rFonts w:ascii="Arial" w:hAnsi="Arial" w:cs="Arial"/>
        </w:rPr>
        <w:t>(1), pp.50–76.</w:t>
      </w:r>
    </w:p>
    <w:p w14:paraId="14C25608" w14:textId="77777777" w:rsidR="00B366F1" w:rsidRDefault="00B366F1" w:rsidP="00B366F1">
      <w:pPr>
        <w:spacing w:line="480" w:lineRule="auto"/>
        <w:jc w:val="both"/>
        <w:rPr>
          <w:rFonts w:ascii="Arial" w:hAnsi="Arial" w:cs="Arial"/>
        </w:rPr>
      </w:pPr>
      <w:r w:rsidRPr="00B366F1">
        <w:rPr>
          <w:rFonts w:ascii="Arial" w:hAnsi="Arial" w:cs="Arial"/>
        </w:rPr>
        <w:t xml:space="preserve">Desa, M. (2012). Resource Mobilization in International Social Entrepreneurship: Bricolage as a Mechanism of Institutional Transformation. </w:t>
      </w:r>
      <w:r w:rsidRPr="00B366F1">
        <w:rPr>
          <w:rFonts w:ascii="Arial" w:hAnsi="Arial" w:cs="Arial"/>
          <w:i/>
          <w:iCs/>
        </w:rPr>
        <w:t>Entrepreneurship Theory and Practice, 36</w:t>
      </w:r>
      <w:r w:rsidRPr="00B366F1">
        <w:rPr>
          <w:rFonts w:ascii="Arial" w:hAnsi="Arial" w:cs="Arial"/>
        </w:rPr>
        <w:t>(4), pp.727–751.</w:t>
      </w:r>
    </w:p>
    <w:p w14:paraId="56D32D87" w14:textId="77777777" w:rsidR="00B366F1" w:rsidRDefault="00B366F1" w:rsidP="00B366F1">
      <w:pPr>
        <w:spacing w:line="480" w:lineRule="auto"/>
        <w:jc w:val="both"/>
        <w:rPr>
          <w:rFonts w:ascii="Arial" w:hAnsi="Arial" w:cs="Arial"/>
        </w:rPr>
      </w:pPr>
      <w:r w:rsidRPr="00B366F1">
        <w:rPr>
          <w:rFonts w:ascii="Arial" w:hAnsi="Arial" w:cs="Arial"/>
        </w:rPr>
        <w:t xml:space="preserve">Di Domenico, M.L., Haugh, H. and Tracey, P. (2010). Social Bricolage: Theorizing Social Value Creation in Social Enterprises. </w:t>
      </w:r>
      <w:r w:rsidRPr="00B366F1">
        <w:rPr>
          <w:rFonts w:ascii="Arial" w:hAnsi="Arial" w:cs="Arial"/>
          <w:i/>
          <w:iCs/>
        </w:rPr>
        <w:t>Entrepreneurship Theory and Practice, 34</w:t>
      </w:r>
      <w:r w:rsidRPr="00B366F1">
        <w:rPr>
          <w:rFonts w:ascii="Arial" w:hAnsi="Arial" w:cs="Arial"/>
        </w:rPr>
        <w:t>(4), pp.681–703.</w:t>
      </w:r>
    </w:p>
    <w:p w14:paraId="0568E4D3" w14:textId="6DFB254F" w:rsidR="00B366F1" w:rsidRPr="00B366F1" w:rsidRDefault="00B366F1" w:rsidP="00B366F1">
      <w:pPr>
        <w:spacing w:line="480" w:lineRule="auto"/>
        <w:jc w:val="both"/>
        <w:rPr>
          <w:rFonts w:ascii="Arial" w:hAnsi="Arial" w:cs="Arial"/>
        </w:rPr>
      </w:pPr>
      <w:r w:rsidRPr="00B366F1">
        <w:rPr>
          <w:rFonts w:ascii="Arial" w:hAnsi="Arial" w:cs="Arial"/>
        </w:rPr>
        <w:t xml:space="preserve">Edgeman, R. and Eskildsen, J. (2014). Modelling and Assessing Sustainable Enterprise Excellence. </w:t>
      </w:r>
      <w:r w:rsidRPr="00B366F1">
        <w:rPr>
          <w:rFonts w:ascii="Arial" w:hAnsi="Arial" w:cs="Arial"/>
          <w:i/>
          <w:iCs/>
        </w:rPr>
        <w:t>Business Strategy and the Environment, 23</w:t>
      </w:r>
      <w:r w:rsidRPr="00B366F1">
        <w:rPr>
          <w:rFonts w:ascii="Arial" w:hAnsi="Arial" w:cs="Arial"/>
        </w:rPr>
        <w:t>(3), pp.173–187.</w:t>
      </w:r>
    </w:p>
    <w:p w14:paraId="15373DC8" w14:textId="77777777" w:rsidR="00B366F1" w:rsidRDefault="00B366F1" w:rsidP="00B366F1">
      <w:pPr>
        <w:spacing w:line="480" w:lineRule="auto"/>
        <w:jc w:val="both"/>
        <w:rPr>
          <w:rFonts w:ascii="Arial" w:hAnsi="Arial" w:cs="Arial"/>
        </w:rPr>
      </w:pPr>
      <w:r w:rsidRPr="00B366F1">
        <w:rPr>
          <w:rFonts w:ascii="Arial" w:hAnsi="Arial" w:cs="Arial"/>
        </w:rPr>
        <w:t xml:space="preserve">Elkington, J. (1997). </w:t>
      </w:r>
      <w:r w:rsidRPr="00B366F1">
        <w:rPr>
          <w:rFonts w:ascii="Arial" w:hAnsi="Arial" w:cs="Arial"/>
          <w:i/>
          <w:iCs/>
        </w:rPr>
        <w:t>Cannibals with Forks: The Triple Bottom Line of 21st Century Business.</w:t>
      </w:r>
      <w:r w:rsidRPr="00B366F1">
        <w:rPr>
          <w:rFonts w:ascii="Arial" w:hAnsi="Arial" w:cs="Arial"/>
        </w:rPr>
        <w:t xml:space="preserve"> Capstone Publishing.</w:t>
      </w:r>
    </w:p>
    <w:p w14:paraId="1EDD1DD8" w14:textId="0557D29B" w:rsidR="00B366F1" w:rsidRPr="00B366F1" w:rsidRDefault="00B366F1" w:rsidP="00B366F1">
      <w:pPr>
        <w:spacing w:line="480" w:lineRule="auto"/>
        <w:jc w:val="both"/>
        <w:rPr>
          <w:rFonts w:ascii="Arial" w:hAnsi="Arial" w:cs="Arial"/>
        </w:rPr>
      </w:pPr>
      <w:proofErr w:type="spellStart"/>
      <w:r w:rsidRPr="00B366F1">
        <w:rPr>
          <w:rFonts w:ascii="Arial" w:hAnsi="Arial" w:cs="Arial"/>
        </w:rPr>
        <w:t>Febrizal</w:t>
      </w:r>
      <w:proofErr w:type="spellEnd"/>
      <w:r w:rsidRPr="00B366F1">
        <w:rPr>
          <w:rFonts w:ascii="Arial" w:hAnsi="Arial" w:cs="Arial"/>
        </w:rPr>
        <w:t xml:space="preserve"> </w:t>
      </w:r>
      <w:proofErr w:type="spellStart"/>
      <w:r w:rsidRPr="00B366F1">
        <w:rPr>
          <w:rFonts w:ascii="Arial" w:hAnsi="Arial" w:cs="Arial"/>
        </w:rPr>
        <w:t>Rahmana</w:t>
      </w:r>
      <w:proofErr w:type="spellEnd"/>
      <w:r w:rsidRPr="00B366F1">
        <w:rPr>
          <w:rFonts w:ascii="Arial" w:hAnsi="Arial" w:cs="Arial"/>
        </w:rPr>
        <w:t xml:space="preserve">, F. and </w:t>
      </w:r>
      <w:proofErr w:type="spellStart"/>
      <w:r w:rsidRPr="00B366F1">
        <w:rPr>
          <w:rFonts w:ascii="Arial" w:hAnsi="Arial" w:cs="Arial"/>
        </w:rPr>
        <w:t>Bawono</w:t>
      </w:r>
      <w:proofErr w:type="spellEnd"/>
      <w:r w:rsidRPr="00B366F1">
        <w:rPr>
          <w:rFonts w:ascii="Arial" w:hAnsi="Arial" w:cs="Arial"/>
        </w:rPr>
        <w:t xml:space="preserve">, A. (2020). Sustainable development toward sustainable enterprise. </w:t>
      </w:r>
      <w:r w:rsidRPr="00B366F1">
        <w:rPr>
          <w:rFonts w:ascii="Arial" w:hAnsi="Arial" w:cs="Arial"/>
          <w:i/>
          <w:iCs/>
        </w:rPr>
        <w:t>Management Science Letters, 11</w:t>
      </w:r>
      <w:r w:rsidRPr="00B366F1">
        <w:rPr>
          <w:rFonts w:ascii="Arial" w:hAnsi="Arial" w:cs="Arial"/>
        </w:rPr>
        <w:t>(2), pp.657–668.</w:t>
      </w:r>
    </w:p>
    <w:p w14:paraId="4782AE71" w14:textId="77777777" w:rsidR="00B366F1" w:rsidRPr="00B366F1" w:rsidRDefault="00B366F1" w:rsidP="00B366F1">
      <w:pPr>
        <w:spacing w:line="480" w:lineRule="auto"/>
        <w:jc w:val="both"/>
        <w:rPr>
          <w:rFonts w:ascii="Arial" w:hAnsi="Arial" w:cs="Arial"/>
        </w:rPr>
      </w:pPr>
      <w:r w:rsidRPr="00B366F1">
        <w:rPr>
          <w:rFonts w:ascii="Arial" w:hAnsi="Arial" w:cs="Arial"/>
        </w:rPr>
        <w:t xml:space="preserve">Hess, D.W. (2014). </w:t>
      </w:r>
      <w:r w:rsidRPr="00B366F1">
        <w:rPr>
          <w:rFonts w:ascii="Arial" w:hAnsi="Arial" w:cs="Arial"/>
          <w:i/>
          <w:iCs/>
        </w:rPr>
        <w:t xml:space="preserve">The Framework for CSR Assessment, Measurement, and Reporting. </w:t>
      </w:r>
      <w:r w:rsidRPr="00B366F1">
        <w:rPr>
          <w:rFonts w:ascii="Arial" w:hAnsi="Arial" w:cs="Arial"/>
        </w:rPr>
        <w:t>In Corporate Social Responsibility and Environmental Management (pp.177-192). Springer, Cham.</w:t>
      </w:r>
    </w:p>
    <w:p w14:paraId="525A6AC0" w14:textId="77777777" w:rsidR="00B366F1" w:rsidRDefault="00B366F1" w:rsidP="00B366F1">
      <w:pPr>
        <w:spacing w:line="480" w:lineRule="auto"/>
        <w:jc w:val="both"/>
        <w:rPr>
          <w:rFonts w:ascii="Arial" w:hAnsi="Arial" w:cs="Arial"/>
        </w:rPr>
      </w:pPr>
      <w:proofErr w:type="spellStart"/>
      <w:r w:rsidRPr="00B366F1">
        <w:rPr>
          <w:rFonts w:ascii="Arial" w:hAnsi="Arial" w:cs="Arial"/>
        </w:rPr>
        <w:t>Høgevold</w:t>
      </w:r>
      <w:proofErr w:type="spellEnd"/>
      <w:r w:rsidRPr="00B366F1">
        <w:rPr>
          <w:rFonts w:ascii="Arial" w:hAnsi="Arial" w:cs="Arial"/>
        </w:rPr>
        <w:t xml:space="preserve">, N. et al. (2014). A Corporate Effort Towards a Sustainable Business Model: A case study from the Norwegian furniture industry. </w:t>
      </w:r>
      <w:r w:rsidRPr="00B366F1">
        <w:rPr>
          <w:rFonts w:ascii="Arial" w:hAnsi="Arial" w:cs="Arial"/>
          <w:i/>
          <w:iCs/>
        </w:rPr>
        <w:t>European Business Review, 26</w:t>
      </w:r>
      <w:r w:rsidRPr="00B366F1">
        <w:rPr>
          <w:rFonts w:ascii="Arial" w:hAnsi="Arial" w:cs="Arial"/>
        </w:rPr>
        <w:t>(4), pp.342–365.</w:t>
      </w:r>
    </w:p>
    <w:p w14:paraId="02BE24E1" w14:textId="4456D5F1" w:rsidR="00B366F1" w:rsidRPr="00B366F1" w:rsidRDefault="00B366F1" w:rsidP="00B366F1">
      <w:pPr>
        <w:spacing w:line="480" w:lineRule="auto"/>
        <w:jc w:val="both"/>
        <w:rPr>
          <w:rFonts w:ascii="Arial" w:hAnsi="Arial" w:cs="Arial"/>
        </w:rPr>
      </w:pPr>
      <w:proofErr w:type="spellStart"/>
      <w:r w:rsidRPr="00B366F1">
        <w:rPr>
          <w:rFonts w:ascii="Arial" w:hAnsi="Arial" w:cs="Arial"/>
        </w:rPr>
        <w:lastRenderedPageBreak/>
        <w:t>Lathabhavan</w:t>
      </w:r>
      <w:proofErr w:type="spellEnd"/>
      <w:r w:rsidRPr="00B366F1">
        <w:rPr>
          <w:rFonts w:ascii="Arial" w:hAnsi="Arial" w:cs="Arial"/>
        </w:rPr>
        <w:t xml:space="preserve">, R. (2021). Sustainable business practices and challenges in Asia: a systematic review. </w:t>
      </w:r>
      <w:r w:rsidRPr="00B366F1">
        <w:rPr>
          <w:rFonts w:ascii="Arial" w:hAnsi="Arial" w:cs="Arial"/>
          <w:i/>
          <w:iCs/>
        </w:rPr>
        <w:t>International Journal of Organizational Analysis.</w:t>
      </w:r>
    </w:p>
    <w:p w14:paraId="4308DD6F" w14:textId="71BE1D51" w:rsidR="00B366F1" w:rsidRPr="00B366F1" w:rsidRDefault="00B366F1" w:rsidP="00B366F1">
      <w:pPr>
        <w:spacing w:line="480" w:lineRule="auto"/>
        <w:jc w:val="both"/>
        <w:rPr>
          <w:rFonts w:ascii="Arial" w:hAnsi="Arial" w:cs="Arial"/>
        </w:rPr>
      </w:pPr>
      <w:r w:rsidRPr="00B366F1">
        <w:rPr>
          <w:rFonts w:ascii="Arial" w:hAnsi="Arial" w:cs="Arial"/>
        </w:rPr>
        <w:t xml:space="preserve">Monday, J.U. (2015). Local Content Policy, Human Capital Development and Sustainable Business Performance in the Nigerian Oil and Gas Industry. </w:t>
      </w:r>
      <w:r w:rsidRPr="00B366F1">
        <w:rPr>
          <w:rFonts w:ascii="Arial" w:hAnsi="Arial" w:cs="Arial"/>
          <w:i/>
          <w:iCs/>
        </w:rPr>
        <w:t>Journal of Management and Sustainability, 5</w:t>
      </w:r>
      <w:r w:rsidRPr="00B366F1">
        <w:rPr>
          <w:rFonts w:ascii="Arial" w:hAnsi="Arial" w:cs="Arial"/>
        </w:rPr>
        <w:t>(1).</w:t>
      </w:r>
    </w:p>
    <w:p w14:paraId="4623B3A1" w14:textId="77777777" w:rsidR="00B366F1" w:rsidRPr="00B366F1" w:rsidRDefault="00B366F1" w:rsidP="00B366F1">
      <w:pPr>
        <w:spacing w:line="480" w:lineRule="auto"/>
        <w:jc w:val="both"/>
        <w:rPr>
          <w:rFonts w:ascii="Arial" w:hAnsi="Arial" w:cs="Arial"/>
        </w:rPr>
      </w:pPr>
      <w:proofErr w:type="spellStart"/>
      <w:r w:rsidRPr="00B366F1">
        <w:rPr>
          <w:rFonts w:ascii="Arial" w:hAnsi="Arial" w:cs="Arial"/>
        </w:rPr>
        <w:t>Schaltegger</w:t>
      </w:r>
      <w:proofErr w:type="spellEnd"/>
      <w:r w:rsidRPr="00B366F1">
        <w:rPr>
          <w:rFonts w:ascii="Arial" w:hAnsi="Arial" w:cs="Arial"/>
        </w:rPr>
        <w:t xml:space="preserve">, S., </w:t>
      </w:r>
      <w:proofErr w:type="spellStart"/>
      <w:r w:rsidRPr="00B366F1">
        <w:rPr>
          <w:rFonts w:ascii="Arial" w:hAnsi="Arial" w:cs="Arial"/>
        </w:rPr>
        <w:t>Lüdeke</w:t>
      </w:r>
      <w:proofErr w:type="spellEnd"/>
      <w:r w:rsidRPr="00B366F1">
        <w:rPr>
          <w:rFonts w:ascii="Arial" w:hAnsi="Arial" w:cs="Arial"/>
        </w:rPr>
        <w:t xml:space="preserve">-Freund, F. and Hansen, E.G. (2012). Business Cases for Sustainability: The Role of Business Model Innovation for Corporate Sustainability. </w:t>
      </w:r>
      <w:r w:rsidRPr="00B366F1">
        <w:rPr>
          <w:rFonts w:ascii="Arial" w:hAnsi="Arial" w:cs="Arial"/>
          <w:i/>
          <w:iCs/>
        </w:rPr>
        <w:t>International Journal of Innovation and Sustainable Development, 6</w:t>
      </w:r>
      <w:r w:rsidRPr="00B366F1">
        <w:rPr>
          <w:rFonts w:ascii="Arial" w:hAnsi="Arial" w:cs="Arial"/>
        </w:rPr>
        <w:t>(2), pp.95–119.</w:t>
      </w:r>
    </w:p>
    <w:p w14:paraId="62AF0C31" w14:textId="77777777" w:rsidR="00B366F1" w:rsidRPr="00B366F1" w:rsidRDefault="00B366F1" w:rsidP="00B366F1">
      <w:pPr>
        <w:spacing w:line="480" w:lineRule="auto"/>
        <w:jc w:val="both"/>
        <w:rPr>
          <w:rFonts w:ascii="Arial" w:hAnsi="Arial" w:cs="Arial"/>
        </w:rPr>
      </w:pPr>
    </w:p>
    <w:p w14:paraId="7073926F" w14:textId="77777777" w:rsidR="00B366F1" w:rsidRPr="00B366F1" w:rsidRDefault="00B366F1" w:rsidP="00B366F1">
      <w:pPr>
        <w:spacing w:line="480" w:lineRule="auto"/>
        <w:jc w:val="both"/>
        <w:rPr>
          <w:rFonts w:ascii="Arial" w:hAnsi="Arial" w:cs="Arial"/>
        </w:rPr>
      </w:pPr>
    </w:p>
    <w:p w14:paraId="1CC595FA" w14:textId="77777777" w:rsidR="00B366F1" w:rsidRPr="00B366F1" w:rsidRDefault="00B366F1" w:rsidP="00B366F1">
      <w:pPr>
        <w:spacing w:line="480" w:lineRule="auto"/>
        <w:jc w:val="both"/>
        <w:rPr>
          <w:rFonts w:ascii="Arial" w:hAnsi="Arial" w:cs="Arial"/>
        </w:rPr>
      </w:pPr>
    </w:p>
    <w:p w14:paraId="63174FCA" w14:textId="77777777" w:rsidR="00B366F1" w:rsidRPr="00B366F1" w:rsidRDefault="00B366F1" w:rsidP="00B366F1">
      <w:pPr>
        <w:spacing w:line="480" w:lineRule="auto"/>
        <w:jc w:val="both"/>
        <w:rPr>
          <w:rFonts w:ascii="Arial" w:hAnsi="Arial" w:cs="Arial"/>
        </w:rPr>
      </w:pPr>
    </w:p>
    <w:p w14:paraId="105CEC86" w14:textId="77777777" w:rsidR="00B366F1" w:rsidRPr="00B366F1" w:rsidRDefault="00B366F1" w:rsidP="00B366F1">
      <w:pPr>
        <w:spacing w:line="480" w:lineRule="auto"/>
        <w:jc w:val="both"/>
        <w:rPr>
          <w:rFonts w:ascii="Arial" w:hAnsi="Arial" w:cs="Arial"/>
        </w:rPr>
      </w:pPr>
    </w:p>
    <w:p w14:paraId="50337985" w14:textId="77777777" w:rsidR="00B366F1" w:rsidRPr="003C1D86" w:rsidRDefault="00B366F1" w:rsidP="003C1D86">
      <w:pPr>
        <w:spacing w:line="480" w:lineRule="auto"/>
        <w:jc w:val="both"/>
        <w:rPr>
          <w:rFonts w:ascii="Arial" w:hAnsi="Arial" w:cs="Arial"/>
        </w:rPr>
      </w:pPr>
    </w:p>
    <w:sectPr w:rsidR="00B366F1" w:rsidRPr="003C1D86" w:rsidSect="00B366F1">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62C14" w14:textId="77777777" w:rsidR="00692A2B" w:rsidRDefault="00692A2B" w:rsidP="003C1D86">
      <w:pPr>
        <w:spacing w:after="0" w:line="240" w:lineRule="auto"/>
      </w:pPr>
      <w:r>
        <w:separator/>
      </w:r>
    </w:p>
  </w:endnote>
  <w:endnote w:type="continuationSeparator" w:id="0">
    <w:p w14:paraId="203A332D" w14:textId="77777777" w:rsidR="00692A2B" w:rsidRDefault="00692A2B" w:rsidP="003C1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BF286" w14:textId="77777777" w:rsidR="00692A2B" w:rsidRDefault="00692A2B" w:rsidP="003C1D86">
      <w:pPr>
        <w:spacing w:after="0" w:line="240" w:lineRule="auto"/>
      </w:pPr>
      <w:r>
        <w:separator/>
      </w:r>
    </w:p>
  </w:footnote>
  <w:footnote w:type="continuationSeparator" w:id="0">
    <w:p w14:paraId="444A7E58" w14:textId="77777777" w:rsidR="00692A2B" w:rsidRDefault="00692A2B" w:rsidP="003C1D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501572"/>
      <w:docPartObj>
        <w:docPartGallery w:val="Page Numbers (Top of Page)"/>
        <w:docPartUnique/>
      </w:docPartObj>
    </w:sdtPr>
    <w:sdtEndPr>
      <w:rPr>
        <w:noProof/>
      </w:rPr>
    </w:sdtEndPr>
    <w:sdtContent>
      <w:p w14:paraId="5242FDA8" w14:textId="6EE485E9" w:rsidR="003C1D86" w:rsidRDefault="003C1D8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95E88A7" w14:textId="77777777" w:rsidR="003C1D86" w:rsidRDefault="003C1D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D86"/>
    <w:rsid w:val="003C1D86"/>
    <w:rsid w:val="0042312D"/>
    <w:rsid w:val="00473F9E"/>
    <w:rsid w:val="00692A2B"/>
    <w:rsid w:val="00B36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479A"/>
  <w15:chartTrackingRefBased/>
  <w15:docId w15:val="{31EC4F64-B4FE-4915-9EF2-EBA0E26A7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D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D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D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D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D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D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D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D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D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D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D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D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D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D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D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D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D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D86"/>
    <w:rPr>
      <w:rFonts w:eastAsiaTheme="majorEastAsia" w:cstheme="majorBidi"/>
      <w:color w:val="272727" w:themeColor="text1" w:themeTint="D8"/>
    </w:rPr>
  </w:style>
  <w:style w:type="paragraph" w:styleId="Title">
    <w:name w:val="Title"/>
    <w:basedOn w:val="Normal"/>
    <w:next w:val="Normal"/>
    <w:link w:val="TitleChar"/>
    <w:uiPriority w:val="10"/>
    <w:qFormat/>
    <w:rsid w:val="003C1D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D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D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D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D86"/>
    <w:pPr>
      <w:spacing w:before="160"/>
      <w:jc w:val="center"/>
    </w:pPr>
    <w:rPr>
      <w:i/>
      <w:iCs/>
      <w:color w:val="404040" w:themeColor="text1" w:themeTint="BF"/>
    </w:rPr>
  </w:style>
  <w:style w:type="character" w:customStyle="1" w:styleId="QuoteChar">
    <w:name w:val="Quote Char"/>
    <w:basedOn w:val="DefaultParagraphFont"/>
    <w:link w:val="Quote"/>
    <w:uiPriority w:val="29"/>
    <w:rsid w:val="003C1D86"/>
    <w:rPr>
      <w:i/>
      <w:iCs/>
      <w:color w:val="404040" w:themeColor="text1" w:themeTint="BF"/>
    </w:rPr>
  </w:style>
  <w:style w:type="paragraph" w:styleId="ListParagraph">
    <w:name w:val="List Paragraph"/>
    <w:basedOn w:val="Normal"/>
    <w:uiPriority w:val="34"/>
    <w:qFormat/>
    <w:rsid w:val="003C1D86"/>
    <w:pPr>
      <w:ind w:left="720"/>
      <w:contextualSpacing/>
    </w:pPr>
  </w:style>
  <w:style w:type="character" w:styleId="IntenseEmphasis">
    <w:name w:val="Intense Emphasis"/>
    <w:basedOn w:val="DefaultParagraphFont"/>
    <w:uiPriority w:val="21"/>
    <w:qFormat/>
    <w:rsid w:val="003C1D86"/>
    <w:rPr>
      <w:i/>
      <w:iCs/>
      <w:color w:val="0F4761" w:themeColor="accent1" w:themeShade="BF"/>
    </w:rPr>
  </w:style>
  <w:style w:type="paragraph" w:styleId="IntenseQuote">
    <w:name w:val="Intense Quote"/>
    <w:basedOn w:val="Normal"/>
    <w:next w:val="Normal"/>
    <w:link w:val="IntenseQuoteChar"/>
    <w:uiPriority w:val="30"/>
    <w:qFormat/>
    <w:rsid w:val="003C1D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D86"/>
    <w:rPr>
      <w:i/>
      <w:iCs/>
      <w:color w:val="0F4761" w:themeColor="accent1" w:themeShade="BF"/>
    </w:rPr>
  </w:style>
  <w:style w:type="character" w:styleId="IntenseReference">
    <w:name w:val="Intense Reference"/>
    <w:basedOn w:val="DefaultParagraphFont"/>
    <w:uiPriority w:val="32"/>
    <w:qFormat/>
    <w:rsid w:val="003C1D86"/>
    <w:rPr>
      <w:b/>
      <w:bCs/>
      <w:smallCaps/>
      <w:color w:val="0F4761" w:themeColor="accent1" w:themeShade="BF"/>
      <w:spacing w:val="5"/>
    </w:rPr>
  </w:style>
  <w:style w:type="paragraph" w:styleId="Header">
    <w:name w:val="header"/>
    <w:basedOn w:val="Normal"/>
    <w:link w:val="HeaderChar"/>
    <w:uiPriority w:val="99"/>
    <w:unhideWhenUsed/>
    <w:rsid w:val="003C1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D86"/>
  </w:style>
  <w:style w:type="paragraph" w:styleId="Footer">
    <w:name w:val="footer"/>
    <w:basedOn w:val="Normal"/>
    <w:link w:val="FooterChar"/>
    <w:uiPriority w:val="99"/>
    <w:unhideWhenUsed/>
    <w:rsid w:val="003C1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D86"/>
  </w:style>
  <w:style w:type="paragraph" w:styleId="NoSpacing">
    <w:name w:val="No Spacing"/>
    <w:uiPriority w:val="1"/>
    <w:qFormat/>
    <w:rsid w:val="00B366F1"/>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42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C31966136149C9BB633D3024447780"/>
        <w:category>
          <w:name w:val="General"/>
          <w:gallery w:val="placeholder"/>
        </w:category>
        <w:types>
          <w:type w:val="bbPlcHdr"/>
        </w:types>
        <w:behaviors>
          <w:behavior w:val="content"/>
        </w:behaviors>
        <w:guid w:val="{8B5AB88B-DA8E-4542-80FF-615B3176A47A}"/>
      </w:docPartPr>
      <w:docPartBody>
        <w:p w:rsidR="00000000" w:rsidRDefault="00835EF6" w:rsidP="00835EF6">
          <w:pPr>
            <w:pStyle w:val="48C31966136149C9BB633D3024447780"/>
          </w:pPr>
          <w:r>
            <w:rPr>
              <w:rFonts w:asciiTheme="majorHAnsi" w:hAnsiTheme="majorHAnsi"/>
              <w:color w:val="FFFFFF" w:themeColor="background1"/>
              <w:sz w:val="96"/>
              <w:szCs w:val="96"/>
            </w:rPr>
            <w:t>[Document title]</w:t>
          </w:r>
        </w:p>
      </w:docPartBody>
    </w:docPart>
    <w:docPart>
      <w:docPartPr>
        <w:name w:val="BE56574E5A7F4653B40498C32BE95853"/>
        <w:category>
          <w:name w:val="General"/>
          <w:gallery w:val="placeholder"/>
        </w:category>
        <w:types>
          <w:type w:val="bbPlcHdr"/>
        </w:types>
        <w:behaviors>
          <w:behavior w:val="content"/>
        </w:behaviors>
        <w:guid w:val="{0AC93F2D-C306-4EBC-A863-53F69DF83788}"/>
      </w:docPartPr>
      <w:docPartBody>
        <w:p w:rsidR="00000000" w:rsidRDefault="00835EF6" w:rsidP="00835EF6">
          <w:pPr>
            <w:pStyle w:val="BE56574E5A7F4653B40498C32BE95853"/>
          </w:pPr>
          <w:r>
            <w:rPr>
              <w:color w:val="FFFFFF" w:themeColor="background1"/>
              <w:sz w:val="32"/>
              <w:szCs w:val="32"/>
            </w:rPr>
            <w:t>[Document subtitle]</w:t>
          </w:r>
        </w:p>
      </w:docPartBody>
    </w:docPart>
    <w:docPart>
      <w:docPartPr>
        <w:name w:val="A7DDDD34B30E4C54AD43FB45B9DFD806"/>
        <w:category>
          <w:name w:val="General"/>
          <w:gallery w:val="placeholder"/>
        </w:category>
        <w:types>
          <w:type w:val="bbPlcHdr"/>
        </w:types>
        <w:behaviors>
          <w:behavior w:val="content"/>
        </w:behaviors>
        <w:guid w:val="{5301EBFC-E782-4456-98BA-D05EFF14D5B6}"/>
      </w:docPartPr>
      <w:docPartBody>
        <w:p w:rsidR="00000000" w:rsidRDefault="00835EF6" w:rsidP="00835EF6">
          <w:pPr>
            <w:pStyle w:val="A7DDDD34B30E4C54AD43FB45B9DFD806"/>
          </w:pPr>
          <w:r>
            <w:rPr>
              <w:color w:val="FFFFFF" w:themeColor="background1"/>
            </w:rPr>
            <w:t>[Author name]</w:t>
          </w:r>
        </w:p>
      </w:docPartBody>
    </w:docPart>
    <w:docPart>
      <w:docPartPr>
        <w:name w:val="EC24B53614894A8D8E93E20F6D1B065D"/>
        <w:category>
          <w:name w:val="General"/>
          <w:gallery w:val="placeholder"/>
        </w:category>
        <w:types>
          <w:type w:val="bbPlcHdr"/>
        </w:types>
        <w:behaviors>
          <w:behavior w:val="content"/>
        </w:behaviors>
        <w:guid w:val="{82854132-E6C0-407A-A63C-52773EB50542}"/>
      </w:docPartPr>
      <w:docPartBody>
        <w:p w:rsidR="00000000" w:rsidRDefault="00835EF6" w:rsidP="00835EF6">
          <w:pPr>
            <w:pStyle w:val="EC24B53614894A8D8E93E20F6D1B065D"/>
          </w:pPr>
          <w:r>
            <w:rPr>
              <w:color w:val="FFFFFF" w:themeColor="background1"/>
            </w:rPr>
            <w:t>[Date]</w:t>
          </w:r>
        </w:p>
      </w:docPartBody>
    </w:docPart>
    <w:docPart>
      <w:docPartPr>
        <w:name w:val="97BE8766B2F547F19B3E7F5620462922"/>
        <w:category>
          <w:name w:val="General"/>
          <w:gallery w:val="placeholder"/>
        </w:category>
        <w:types>
          <w:type w:val="bbPlcHdr"/>
        </w:types>
        <w:behaviors>
          <w:behavior w:val="content"/>
        </w:behaviors>
        <w:guid w:val="{AD0CE807-EAED-4298-91BF-B36E2B1036FA}"/>
      </w:docPartPr>
      <w:docPartBody>
        <w:p w:rsidR="00000000" w:rsidRDefault="00835EF6" w:rsidP="00835EF6">
          <w:pPr>
            <w:pStyle w:val="97BE8766B2F547F19B3E7F562046292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EF6"/>
    <w:rsid w:val="0042312D"/>
    <w:rsid w:val="007B17D6"/>
    <w:rsid w:val="0083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C31966136149C9BB633D3024447780">
    <w:name w:val="48C31966136149C9BB633D3024447780"/>
    <w:rsid w:val="00835EF6"/>
  </w:style>
  <w:style w:type="paragraph" w:customStyle="1" w:styleId="BE56574E5A7F4653B40498C32BE95853">
    <w:name w:val="BE56574E5A7F4653B40498C32BE95853"/>
    <w:rsid w:val="00835EF6"/>
  </w:style>
  <w:style w:type="paragraph" w:customStyle="1" w:styleId="A7DDDD34B30E4C54AD43FB45B9DFD806">
    <w:name w:val="A7DDDD34B30E4C54AD43FB45B9DFD806"/>
    <w:rsid w:val="00835EF6"/>
  </w:style>
  <w:style w:type="paragraph" w:customStyle="1" w:styleId="EC24B53614894A8D8E93E20F6D1B065D">
    <w:name w:val="EC24B53614894A8D8E93E20F6D1B065D"/>
    <w:rsid w:val="00835EF6"/>
  </w:style>
  <w:style w:type="paragraph" w:customStyle="1" w:styleId="97BE8766B2F547F19B3E7F5620462922">
    <w:name w:val="97BE8766B2F547F19B3E7F5620462922"/>
    <w:rsid w:val="00835E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Start-up ReWrap Solutions</dc:title>
  <dc:subject>Business Plan</dc:subject>
  <dc:creator>Student name: Ion Alexandru</dc:creator>
  <cp:keywords/>
  <dc:description/>
  <cp:lastModifiedBy>Mirabela Voican (1907947)</cp:lastModifiedBy>
  <cp:revision>1</cp:revision>
  <dcterms:created xsi:type="dcterms:W3CDTF">2025-03-14T04:32:00Z</dcterms:created>
  <dcterms:modified xsi:type="dcterms:W3CDTF">2025-03-14T05:07:00Z</dcterms:modified>
  <cp:category>Sustainable Enterprise</cp:category>
</cp:coreProperties>
</file>