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37314407"/>
        <w:docPartObj>
          <w:docPartGallery w:val="Cover Pages"/>
          <w:docPartUnique/>
        </w:docPartObj>
      </w:sdtPr>
      <w:sdtEndPr>
        <w:rPr>
          <w:rFonts w:ascii="Times New Roman" w:eastAsiaTheme="majorEastAsia" w:hAnsi="Times New Roman" w:cs="Times New Roman"/>
          <w:b/>
        </w:rPr>
      </w:sdtEndPr>
      <w:sdtContent>
        <w:p w14:paraId="4FFC1B07" w14:textId="14C2949E" w:rsidR="00DE71F1" w:rsidRDefault="00DE71F1">
          <w:r>
            <w:rPr>
              <w:noProof/>
            </w:rPr>
            <mc:AlternateContent>
              <mc:Choice Requires="wps">
                <w:drawing>
                  <wp:anchor distT="0" distB="0" distL="114300" distR="114300" simplePos="0" relativeHeight="251660288" behindDoc="0" locked="0" layoutInCell="1" allowOverlap="1" wp14:anchorId="4E1FB4DB" wp14:editId="2F5AF614">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37D0CD7" w14:textId="54495C6C" w:rsidR="00DE71F1" w:rsidRPr="00DE71F1" w:rsidRDefault="00DE71F1">
                                    <w:pPr>
                                      <w:pStyle w:val="NoSpacing"/>
                                      <w:jc w:val="right"/>
                                      <w:rPr>
                                        <w:color w:val="595959" w:themeColor="text1" w:themeTint="A6"/>
                                        <w:sz w:val="36"/>
                                        <w:szCs w:val="36"/>
                                      </w:rPr>
                                    </w:pPr>
                                    <w:r w:rsidRPr="00DE71F1">
                                      <w:rPr>
                                        <w:color w:val="595959" w:themeColor="text1" w:themeTint="A6"/>
                                        <w:sz w:val="36"/>
                                        <w:szCs w:val="36"/>
                                      </w:rPr>
                                      <w:t>Christvit L. Kanga</w:t>
                                    </w:r>
                                  </w:p>
                                </w:sdtContent>
                              </w:sdt>
                              <w:p w14:paraId="1F628493" w14:textId="3AF2DAD0" w:rsidR="00DE71F1" w:rsidRPr="00DE71F1" w:rsidRDefault="00000000">
                                <w:pPr>
                                  <w:pStyle w:val="NoSpacing"/>
                                  <w:jc w:val="right"/>
                                  <w:rPr>
                                    <w:color w:val="595959" w:themeColor="text1" w:themeTint="A6"/>
                                    <w:sz w:val="21"/>
                                    <w:szCs w:val="21"/>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DE71F1" w:rsidRPr="00DE71F1">
                                      <w:rPr>
                                        <w:color w:val="595959" w:themeColor="text1" w:themeTint="A6"/>
                                        <w:sz w:val="24"/>
                                        <w:szCs w:val="24"/>
                                      </w:rPr>
                                      <w:t>2441744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1FB4DB" id="_x0000_t202" coordsize="21600,21600" o:spt="202" path="m,l,21600r21600,l21600,xe">
                    <v:stroke joinstyle="miter"/>
                    <v:path gradientshapeok="t" o:connecttype="rect"/>
                  </v:shapetype>
                  <v:shape id="Text Box 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37D0CD7" w14:textId="54495C6C" w:rsidR="00DE71F1" w:rsidRPr="00DE71F1" w:rsidRDefault="00DE71F1">
                              <w:pPr>
                                <w:pStyle w:val="NoSpacing"/>
                                <w:jc w:val="right"/>
                                <w:rPr>
                                  <w:color w:val="595959" w:themeColor="text1" w:themeTint="A6"/>
                                  <w:sz w:val="36"/>
                                  <w:szCs w:val="36"/>
                                </w:rPr>
                              </w:pPr>
                              <w:r w:rsidRPr="00DE71F1">
                                <w:rPr>
                                  <w:color w:val="595959" w:themeColor="text1" w:themeTint="A6"/>
                                  <w:sz w:val="36"/>
                                  <w:szCs w:val="36"/>
                                </w:rPr>
                                <w:t>Christvit L. Kanga</w:t>
                              </w:r>
                            </w:p>
                          </w:sdtContent>
                        </w:sdt>
                        <w:p w14:paraId="1F628493" w14:textId="3AF2DAD0" w:rsidR="00DE71F1" w:rsidRPr="00DE71F1" w:rsidRDefault="00000000">
                          <w:pPr>
                            <w:pStyle w:val="NoSpacing"/>
                            <w:jc w:val="right"/>
                            <w:rPr>
                              <w:color w:val="595959" w:themeColor="text1" w:themeTint="A6"/>
                              <w:sz w:val="21"/>
                              <w:szCs w:val="21"/>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DE71F1" w:rsidRPr="00DE71F1">
                                <w:rPr>
                                  <w:color w:val="595959" w:themeColor="text1" w:themeTint="A6"/>
                                  <w:sz w:val="24"/>
                                  <w:szCs w:val="24"/>
                                </w:rPr>
                                <w:t>2441744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D92A594" wp14:editId="0DE70113">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DEA54BB" w14:textId="01577703" w:rsidR="00DE71F1" w:rsidRDefault="00DE71F1" w:rsidP="00DE71F1">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92A594" id="Text Box 10"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DEA54BB" w14:textId="01577703" w:rsidR="00DE71F1" w:rsidRDefault="00DE71F1" w:rsidP="00DE71F1">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220F55D" wp14:editId="6FE4FEB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C17874" w14:textId="47FC1D61" w:rsidR="00DE71F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134A">
                                      <w:rPr>
                                        <w:caps/>
                                        <w:color w:val="4472C4" w:themeColor="accent1"/>
                                        <w:sz w:val="64"/>
                                        <w:szCs w:val="64"/>
                                      </w:rPr>
                                      <w:t>STAKEHOLDER ENGAGEMENT IN PRIVATE SECURITY FOR UK HOUSING ESTATES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636D0FC" w14:textId="77777777" w:rsidR="00DE71F1" w:rsidRDefault="00DE71F1">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20F55D" id="Text Box 11"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21C17874" w14:textId="47FC1D61" w:rsidR="00DE71F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134A">
                                <w:rPr>
                                  <w:caps/>
                                  <w:color w:val="4472C4" w:themeColor="accent1"/>
                                  <w:sz w:val="64"/>
                                  <w:szCs w:val="64"/>
                                </w:rPr>
                                <w:t>STAKEHOLDER ENGAGEMENT IN PRIVATE SECURITY FOR UK HOUSING ESTATES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636D0FC" w14:textId="77777777" w:rsidR="00DE71F1" w:rsidRDefault="00DE71F1">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p>
        <w:p w14:paraId="63A95F4D" w14:textId="07CC2926" w:rsidR="00DE71F1" w:rsidRDefault="00DE71F1">
          <w:pPr>
            <w:spacing w:line="278" w:lineRule="auto"/>
            <w:ind w:firstLine="0"/>
            <w:jc w:val="left"/>
            <w:rPr>
              <w:rFonts w:ascii="Times New Roman" w:eastAsiaTheme="majorEastAsia" w:hAnsi="Times New Roman" w:cs="Times New Roman"/>
              <w:b/>
            </w:rPr>
          </w:pPr>
          <w:r>
            <w:rPr>
              <w:noProof/>
            </w:rPr>
            <mc:AlternateContent>
              <mc:Choice Requires="wpg">
                <w:drawing>
                  <wp:anchor distT="0" distB="0" distL="114300" distR="114300" simplePos="0" relativeHeight="251662336" behindDoc="0" locked="0" layoutInCell="1" allowOverlap="1" wp14:anchorId="15A5C053" wp14:editId="5D422C60">
                    <wp:simplePos x="0" y="0"/>
                    <wp:positionH relativeFrom="page">
                      <wp:posOffset>230505</wp:posOffset>
                    </wp:positionH>
                    <wp:positionV relativeFrom="page">
                      <wp:posOffset>1578027</wp:posOffset>
                    </wp:positionV>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2F1345" id="Group 8" o:spid="_x0000_s1026" style="position:absolute;margin-left:18.15pt;margin-top:124.2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rFonts w:ascii="Times New Roman" w:eastAsiaTheme="majorEastAsia" w:hAnsi="Times New Roman" w:cs="Times New Roman"/>
              <w:b/>
            </w:rPr>
            <w:br w:type="page"/>
          </w:r>
        </w:p>
      </w:sdtContent>
    </w:sdt>
    <w:p w14:paraId="767C6432" w14:textId="77777777" w:rsidR="00A47F17" w:rsidRPr="005E131C" w:rsidRDefault="00A47F17" w:rsidP="0036134A">
      <w:pPr>
        <w:ind w:firstLine="0"/>
        <w:rPr>
          <w:rFonts w:ascii="Times New Roman" w:hAnsi="Times New Roman" w:cs="Times New Roman"/>
          <w:b/>
          <w:bCs/>
        </w:rPr>
      </w:pPr>
    </w:p>
    <w:p w14:paraId="75ADF2AB" w14:textId="77777777" w:rsidR="00A47F17" w:rsidRPr="005E131C" w:rsidRDefault="00A47F17" w:rsidP="005E131C">
      <w:pPr>
        <w:ind w:firstLine="0"/>
        <w:jc w:val="center"/>
        <w:rPr>
          <w:rFonts w:ascii="Times New Roman" w:hAnsi="Times New Roman" w:cs="Times New Roman"/>
          <w:b/>
          <w:bCs/>
        </w:rPr>
      </w:pPr>
    </w:p>
    <w:p w14:paraId="120D501D" w14:textId="77777777" w:rsidR="00A47F17" w:rsidRPr="005E131C" w:rsidRDefault="00A47F17" w:rsidP="005E131C">
      <w:pPr>
        <w:ind w:firstLine="0"/>
        <w:jc w:val="center"/>
        <w:rPr>
          <w:rFonts w:ascii="Times New Roman" w:hAnsi="Times New Roman" w:cs="Times New Roman"/>
          <w:b/>
          <w:bCs/>
        </w:rPr>
      </w:pPr>
    </w:p>
    <w:p w14:paraId="602B2B88" w14:textId="02541CE4" w:rsidR="00A47F17" w:rsidRDefault="00A47F17" w:rsidP="005E131C">
      <w:pPr>
        <w:ind w:firstLine="0"/>
        <w:jc w:val="center"/>
        <w:rPr>
          <w:rFonts w:ascii="Times New Roman" w:hAnsi="Times New Roman" w:cs="Times New Roman"/>
          <w:b/>
          <w:bCs/>
        </w:rPr>
      </w:pPr>
      <w:r w:rsidRPr="005E131C">
        <w:rPr>
          <w:rFonts w:ascii="Times New Roman" w:hAnsi="Times New Roman" w:cs="Times New Roman"/>
          <w:b/>
          <w:bCs/>
        </w:rPr>
        <w:t>STAKEHOLDER ENGAGEMENT IN PRIVATE SECURITY FOR UK HOUSING ESTATES</w:t>
      </w:r>
    </w:p>
    <w:p w14:paraId="0769E6F9" w14:textId="77777777" w:rsidR="00FA5335" w:rsidRPr="005E131C" w:rsidRDefault="00FA5335" w:rsidP="005E131C">
      <w:pPr>
        <w:ind w:firstLine="0"/>
        <w:jc w:val="center"/>
        <w:rPr>
          <w:rFonts w:ascii="Times New Roman" w:hAnsi="Times New Roman" w:cs="Times New Roman"/>
        </w:rPr>
      </w:pPr>
    </w:p>
    <w:p w14:paraId="03549AFA" w14:textId="77777777" w:rsidR="00FA5335" w:rsidRPr="0036134A" w:rsidRDefault="00A47F17" w:rsidP="005E131C">
      <w:pPr>
        <w:ind w:firstLine="0"/>
        <w:jc w:val="center"/>
        <w:rPr>
          <w:rFonts w:ascii="Times New Roman" w:hAnsi="Times New Roman" w:cs="Times New Roman"/>
          <w:b/>
          <w:bCs/>
          <w:sz w:val="28"/>
          <w:szCs w:val="28"/>
          <w:lang w:val="en-GB"/>
        </w:rPr>
      </w:pPr>
      <w:r w:rsidRPr="0036134A">
        <w:rPr>
          <w:rFonts w:ascii="Times New Roman" w:hAnsi="Times New Roman" w:cs="Times New Roman"/>
          <w:b/>
          <w:bCs/>
          <w:sz w:val="28"/>
          <w:szCs w:val="28"/>
        </w:rPr>
        <w:t>Module Title:</w:t>
      </w:r>
      <w:r w:rsidR="007756DC" w:rsidRPr="0036134A">
        <w:rPr>
          <w:rFonts w:eastAsia="Times New Roman" w:cs="Arial"/>
          <w:b/>
          <w:bCs/>
          <w:kern w:val="0"/>
          <w:sz w:val="28"/>
          <w:szCs w:val="28"/>
          <w:lang w:val="en-GB" w:eastAsia="en-GB"/>
          <w14:ligatures w14:val="none"/>
        </w:rPr>
        <w:t xml:space="preserve"> </w:t>
      </w:r>
      <w:r w:rsidR="007756DC" w:rsidRPr="0036134A">
        <w:rPr>
          <w:rFonts w:ascii="Times New Roman" w:hAnsi="Times New Roman" w:cs="Times New Roman"/>
          <w:b/>
          <w:bCs/>
          <w:sz w:val="28"/>
          <w:szCs w:val="28"/>
          <w:lang w:val="en-GB"/>
        </w:rPr>
        <w:t>Stakeholder Engagement</w:t>
      </w:r>
    </w:p>
    <w:p w14:paraId="5C3221AD" w14:textId="2AB1D567" w:rsidR="00A47F17" w:rsidRPr="0036134A" w:rsidRDefault="00A47F17" w:rsidP="005E131C">
      <w:pPr>
        <w:ind w:firstLine="0"/>
        <w:jc w:val="center"/>
        <w:rPr>
          <w:rFonts w:ascii="Times New Roman" w:hAnsi="Times New Roman" w:cs="Times New Roman"/>
          <w:b/>
          <w:bCs/>
          <w:sz w:val="28"/>
          <w:szCs w:val="28"/>
          <w:lang w:val="en-GB"/>
        </w:rPr>
      </w:pPr>
      <w:r w:rsidRPr="0036134A">
        <w:rPr>
          <w:rFonts w:ascii="Times New Roman" w:hAnsi="Times New Roman" w:cs="Times New Roman"/>
          <w:b/>
          <w:bCs/>
          <w:sz w:val="28"/>
          <w:szCs w:val="28"/>
        </w:rPr>
        <w:br/>
        <w:t>Module Code:</w:t>
      </w:r>
      <w:r w:rsidR="007756DC" w:rsidRPr="0036134A">
        <w:rPr>
          <w:rFonts w:ascii="Times New Roman" w:hAnsi="Times New Roman" w:cs="Times New Roman"/>
          <w:b/>
          <w:bCs/>
          <w:sz w:val="28"/>
          <w:szCs w:val="28"/>
        </w:rPr>
        <w:t xml:space="preserve"> </w:t>
      </w:r>
      <w:r w:rsidR="007756DC" w:rsidRPr="0036134A">
        <w:rPr>
          <w:rFonts w:ascii="Times New Roman" w:hAnsi="Times New Roman" w:cs="Times New Roman"/>
          <w:b/>
          <w:bCs/>
          <w:sz w:val="28"/>
          <w:szCs w:val="28"/>
          <w:lang w:val="en-GB"/>
        </w:rPr>
        <w:t>LCBB4013</w:t>
      </w:r>
    </w:p>
    <w:p w14:paraId="66229300" w14:textId="77777777" w:rsidR="00FA5335" w:rsidRPr="0036134A" w:rsidRDefault="00FA5335" w:rsidP="005E131C">
      <w:pPr>
        <w:ind w:firstLine="0"/>
        <w:jc w:val="center"/>
        <w:rPr>
          <w:rFonts w:ascii="Times New Roman" w:hAnsi="Times New Roman" w:cs="Times New Roman"/>
          <w:b/>
          <w:bCs/>
          <w:sz w:val="28"/>
          <w:szCs w:val="28"/>
        </w:rPr>
      </w:pPr>
    </w:p>
    <w:p w14:paraId="43AF44FE" w14:textId="77777777" w:rsidR="00FA5335" w:rsidRPr="0036134A" w:rsidRDefault="00A47F17" w:rsidP="005E131C">
      <w:pPr>
        <w:ind w:firstLine="0"/>
        <w:jc w:val="center"/>
        <w:rPr>
          <w:rFonts w:ascii="Times New Roman" w:hAnsi="Times New Roman" w:cs="Times New Roman"/>
          <w:b/>
          <w:bCs/>
          <w:sz w:val="28"/>
          <w:szCs w:val="28"/>
          <w:lang w:val="en-GB"/>
        </w:rPr>
      </w:pPr>
      <w:r w:rsidRPr="0036134A">
        <w:rPr>
          <w:rFonts w:ascii="Times New Roman" w:hAnsi="Times New Roman" w:cs="Times New Roman"/>
          <w:b/>
          <w:bCs/>
          <w:sz w:val="28"/>
          <w:szCs w:val="28"/>
        </w:rPr>
        <w:t xml:space="preserve">Student Name: </w:t>
      </w:r>
      <w:r w:rsidR="00DE71F1" w:rsidRPr="0036134A">
        <w:rPr>
          <w:rFonts w:ascii="Times New Roman" w:hAnsi="Times New Roman" w:cs="Times New Roman"/>
          <w:b/>
          <w:bCs/>
          <w:sz w:val="28"/>
          <w:szCs w:val="28"/>
          <w:lang w:val="en-GB"/>
        </w:rPr>
        <w:t>Christvit Luzeyiwo Kanga</w:t>
      </w:r>
    </w:p>
    <w:p w14:paraId="0A42CF61" w14:textId="745A34FA" w:rsidR="00A47F17" w:rsidRPr="0036134A" w:rsidRDefault="00A47F17" w:rsidP="005E131C">
      <w:pPr>
        <w:ind w:firstLine="0"/>
        <w:jc w:val="center"/>
        <w:rPr>
          <w:rFonts w:ascii="Times New Roman" w:hAnsi="Times New Roman" w:cs="Times New Roman"/>
          <w:b/>
          <w:bCs/>
          <w:sz w:val="28"/>
          <w:szCs w:val="28"/>
          <w:lang w:val="en-GB"/>
        </w:rPr>
      </w:pPr>
      <w:r w:rsidRPr="0036134A">
        <w:rPr>
          <w:rFonts w:ascii="Times New Roman" w:hAnsi="Times New Roman" w:cs="Times New Roman"/>
          <w:b/>
          <w:bCs/>
          <w:sz w:val="28"/>
          <w:szCs w:val="28"/>
        </w:rPr>
        <w:br/>
        <w:t xml:space="preserve">Student ID: </w:t>
      </w:r>
      <w:r w:rsidR="00DE71F1" w:rsidRPr="0036134A">
        <w:rPr>
          <w:rFonts w:ascii="Times New Roman" w:hAnsi="Times New Roman" w:cs="Times New Roman"/>
          <w:b/>
          <w:bCs/>
          <w:sz w:val="28"/>
          <w:szCs w:val="28"/>
          <w:lang w:val="en-GB"/>
        </w:rPr>
        <w:t>2441744</w:t>
      </w:r>
    </w:p>
    <w:p w14:paraId="5355B69A" w14:textId="77777777" w:rsidR="00FA5335" w:rsidRPr="0036134A" w:rsidRDefault="00FA5335" w:rsidP="005E131C">
      <w:pPr>
        <w:ind w:firstLine="0"/>
        <w:jc w:val="center"/>
        <w:rPr>
          <w:rFonts w:ascii="Times New Roman" w:hAnsi="Times New Roman" w:cs="Times New Roman"/>
          <w:b/>
          <w:bCs/>
          <w:sz w:val="28"/>
          <w:szCs w:val="28"/>
        </w:rPr>
      </w:pPr>
    </w:p>
    <w:p w14:paraId="51F1A901" w14:textId="6B5F5054" w:rsidR="00A47F17" w:rsidRPr="0036134A" w:rsidRDefault="00A47F17" w:rsidP="005E131C">
      <w:pPr>
        <w:ind w:firstLine="0"/>
        <w:jc w:val="center"/>
        <w:rPr>
          <w:rFonts w:ascii="Times New Roman" w:hAnsi="Times New Roman" w:cs="Times New Roman"/>
          <w:b/>
          <w:bCs/>
          <w:sz w:val="28"/>
          <w:szCs w:val="28"/>
          <w:lang w:val="en-GB"/>
        </w:rPr>
      </w:pPr>
      <w:r w:rsidRPr="0036134A">
        <w:rPr>
          <w:rFonts w:ascii="Times New Roman" w:hAnsi="Times New Roman" w:cs="Times New Roman"/>
          <w:b/>
          <w:bCs/>
          <w:sz w:val="28"/>
          <w:szCs w:val="28"/>
        </w:rPr>
        <w:t xml:space="preserve">Lecturer: </w:t>
      </w:r>
      <w:r w:rsidR="00DE71F1" w:rsidRPr="0036134A">
        <w:rPr>
          <w:rFonts w:ascii="Times New Roman" w:hAnsi="Times New Roman" w:cs="Times New Roman"/>
          <w:b/>
          <w:bCs/>
          <w:sz w:val="28"/>
          <w:szCs w:val="28"/>
          <w:lang w:val="en-GB"/>
        </w:rPr>
        <w:t>Dr Liyanage Rodrigo</w:t>
      </w:r>
    </w:p>
    <w:p w14:paraId="4A720250" w14:textId="77777777" w:rsidR="00FA5335" w:rsidRPr="0036134A" w:rsidRDefault="00FA5335" w:rsidP="005E131C">
      <w:pPr>
        <w:ind w:firstLine="0"/>
        <w:jc w:val="center"/>
        <w:rPr>
          <w:rFonts w:ascii="Times New Roman" w:hAnsi="Times New Roman" w:cs="Times New Roman"/>
          <w:b/>
          <w:bCs/>
          <w:sz w:val="28"/>
          <w:szCs w:val="28"/>
        </w:rPr>
      </w:pPr>
    </w:p>
    <w:p w14:paraId="3EED6DAB" w14:textId="230FA822" w:rsidR="00A47F17" w:rsidRPr="0036134A" w:rsidRDefault="00A47F17" w:rsidP="005E131C">
      <w:pPr>
        <w:ind w:firstLine="0"/>
        <w:jc w:val="center"/>
        <w:rPr>
          <w:rFonts w:ascii="Times New Roman" w:hAnsi="Times New Roman" w:cs="Times New Roman"/>
          <w:b/>
          <w:bCs/>
          <w:sz w:val="28"/>
          <w:szCs w:val="28"/>
          <w:lang w:val="en-GB"/>
        </w:rPr>
      </w:pPr>
      <w:r w:rsidRPr="0036134A">
        <w:rPr>
          <w:rFonts w:ascii="Times New Roman" w:hAnsi="Times New Roman" w:cs="Times New Roman"/>
          <w:b/>
          <w:bCs/>
          <w:sz w:val="28"/>
          <w:szCs w:val="28"/>
        </w:rPr>
        <w:t xml:space="preserve">Word Count: </w:t>
      </w:r>
      <w:r w:rsidR="00FA5335" w:rsidRPr="0036134A">
        <w:rPr>
          <w:rFonts w:ascii="Times New Roman" w:hAnsi="Times New Roman" w:cs="Times New Roman"/>
          <w:b/>
          <w:bCs/>
          <w:sz w:val="28"/>
          <w:szCs w:val="28"/>
        </w:rPr>
        <w:t>4481</w:t>
      </w:r>
      <w:r w:rsidR="00DE71F1" w:rsidRPr="0036134A">
        <w:rPr>
          <w:rFonts w:ascii="Times New Roman" w:hAnsi="Times New Roman" w:cs="Times New Roman"/>
          <w:b/>
          <w:bCs/>
          <w:sz w:val="28"/>
          <w:szCs w:val="28"/>
        </w:rPr>
        <w:t xml:space="preserve"> </w:t>
      </w:r>
      <w:r w:rsidR="00FA5335" w:rsidRPr="0036134A">
        <w:rPr>
          <w:rFonts w:ascii="Times New Roman" w:hAnsi="Times New Roman" w:cs="Times New Roman"/>
          <w:b/>
          <w:bCs/>
          <w:sz w:val="28"/>
          <w:szCs w:val="28"/>
        </w:rPr>
        <w:t>words</w:t>
      </w:r>
      <w:r w:rsidR="00FA5335" w:rsidRPr="0036134A">
        <w:rPr>
          <w:rFonts w:ascii="Times New Roman" w:hAnsi="Times New Roman" w:cs="Times New Roman"/>
          <w:b/>
          <w:bCs/>
          <w:sz w:val="28"/>
          <w:szCs w:val="28"/>
          <w:lang w:val="en-GB"/>
        </w:rPr>
        <w:t xml:space="preserve"> (+/- 10%)</w:t>
      </w:r>
    </w:p>
    <w:p w14:paraId="42976154" w14:textId="77777777" w:rsidR="00FA5335" w:rsidRPr="0036134A" w:rsidRDefault="00FA5335" w:rsidP="005E131C">
      <w:pPr>
        <w:ind w:firstLine="0"/>
        <w:jc w:val="center"/>
        <w:rPr>
          <w:rFonts w:ascii="Times New Roman" w:hAnsi="Times New Roman" w:cs="Times New Roman"/>
          <w:b/>
          <w:bCs/>
          <w:sz w:val="28"/>
          <w:szCs w:val="28"/>
        </w:rPr>
      </w:pPr>
    </w:p>
    <w:p w14:paraId="35951EF3" w14:textId="75A52203" w:rsidR="00A47F17" w:rsidRPr="0036134A" w:rsidRDefault="00A47F17" w:rsidP="005E131C">
      <w:pPr>
        <w:ind w:firstLine="0"/>
        <w:jc w:val="center"/>
        <w:rPr>
          <w:rFonts w:ascii="Times New Roman" w:hAnsi="Times New Roman" w:cs="Times New Roman"/>
          <w:b/>
          <w:bCs/>
          <w:sz w:val="28"/>
          <w:szCs w:val="28"/>
        </w:rPr>
      </w:pPr>
      <w:r w:rsidRPr="0036134A">
        <w:rPr>
          <w:rFonts w:ascii="Times New Roman" w:hAnsi="Times New Roman" w:cs="Times New Roman"/>
          <w:b/>
          <w:bCs/>
          <w:sz w:val="28"/>
          <w:szCs w:val="28"/>
        </w:rPr>
        <w:t xml:space="preserve">Submission Date: </w:t>
      </w:r>
      <w:r w:rsidR="00DE71F1" w:rsidRPr="0036134A">
        <w:rPr>
          <w:rFonts w:ascii="Times New Roman" w:hAnsi="Times New Roman" w:cs="Times New Roman"/>
          <w:b/>
          <w:bCs/>
          <w:sz w:val="28"/>
          <w:szCs w:val="28"/>
        </w:rPr>
        <w:t>29-03-2026</w:t>
      </w:r>
    </w:p>
    <w:p w14:paraId="2395D790" w14:textId="77777777" w:rsidR="00FA5335" w:rsidRPr="0036134A" w:rsidRDefault="00FA5335" w:rsidP="005E131C">
      <w:pPr>
        <w:ind w:firstLine="0"/>
        <w:jc w:val="center"/>
        <w:rPr>
          <w:rFonts w:ascii="Times New Roman" w:hAnsi="Times New Roman" w:cs="Times New Roman"/>
          <w:b/>
          <w:bCs/>
          <w:sz w:val="28"/>
          <w:szCs w:val="28"/>
        </w:rPr>
      </w:pPr>
    </w:p>
    <w:p w14:paraId="34D12459" w14:textId="1728B9EC" w:rsidR="00A47F17" w:rsidRPr="0036134A" w:rsidRDefault="00A47F17" w:rsidP="005E131C">
      <w:pPr>
        <w:ind w:firstLine="0"/>
        <w:jc w:val="center"/>
        <w:rPr>
          <w:rFonts w:ascii="Times New Roman" w:hAnsi="Times New Roman" w:cs="Times New Roman"/>
          <w:b/>
          <w:bCs/>
          <w:sz w:val="28"/>
          <w:szCs w:val="28"/>
        </w:rPr>
      </w:pPr>
      <w:r w:rsidRPr="0036134A">
        <w:rPr>
          <w:rFonts w:ascii="Times New Roman" w:hAnsi="Times New Roman" w:cs="Times New Roman"/>
          <w:b/>
          <w:bCs/>
          <w:sz w:val="28"/>
          <w:szCs w:val="28"/>
        </w:rPr>
        <w:t xml:space="preserve">University: </w:t>
      </w:r>
      <w:r w:rsidR="00FA5335" w:rsidRPr="0036134A">
        <w:rPr>
          <w:rFonts w:ascii="Times New Roman" w:hAnsi="Times New Roman" w:cs="Times New Roman"/>
          <w:b/>
          <w:bCs/>
          <w:sz w:val="32"/>
          <w:szCs w:val="32"/>
        </w:rPr>
        <w:t>University of Wales Trinity Saint David</w:t>
      </w:r>
    </w:p>
    <w:p w14:paraId="527E6C2C" w14:textId="08E1F971" w:rsidR="00D82E96" w:rsidRPr="005E131C" w:rsidRDefault="00D82E96" w:rsidP="005E131C">
      <w:pPr>
        <w:ind w:firstLine="0"/>
        <w:jc w:val="left"/>
        <w:rPr>
          <w:rFonts w:ascii="Times New Roman" w:hAnsi="Times New Roman" w:cs="Times New Roman"/>
        </w:rPr>
      </w:pPr>
    </w:p>
    <w:p w14:paraId="1EC0C492" w14:textId="49D85811" w:rsidR="00E43E50" w:rsidRPr="005E131C" w:rsidRDefault="00E43E50" w:rsidP="005E131C">
      <w:pPr>
        <w:ind w:firstLine="0"/>
        <w:jc w:val="left"/>
        <w:rPr>
          <w:rFonts w:ascii="Times New Roman" w:hAnsi="Times New Roman" w:cs="Times New Roman"/>
        </w:rPr>
      </w:pPr>
    </w:p>
    <w:sdt>
      <w:sdtPr>
        <w:rPr>
          <w:rFonts w:ascii="Times New Roman" w:eastAsiaTheme="minorHAnsi" w:hAnsi="Times New Roman" w:cs="Times New Roman"/>
          <w:b/>
          <w:bCs/>
          <w:color w:val="auto"/>
          <w:kern w:val="2"/>
          <w:sz w:val="24"/>
          <w:szCs w:val="24"/>
          <w14:ligatures w14:val="standardContextual"/>
        </w:rPr>
        <w:id w:val="1657495709"/>
        <w:docPartObj>
          <w:docPartGallery w:val="Table of Contents"/>
          <w:docPartUnique/>
        </w:docPartObj>
      </w:sdtPr>
      <w:sdtEndPr>
        <w:rPr>
          <w:noProof/>
        </w:rPr>
      </w:sdtEndPr>
      <w:sdtContent>
        <w:p w14:paraId="66C91CD4" w14:textId="3CA8C3A2" w:rsidR="00E43E50" w:rsidRPr="005E131C" w:rsidRDefault="00E43E50" w:rsidP="005E131C">
          <w:pPr>
            <w:pStyle w:val="TOCHeading"/>
            <w:numPr>
              <w:ilvl w:val="0"/>
              <w:numId w:val="0"/>
            </w:numPr>
            <w:spacing w:line="360" w:lineRule="auto"/>
            <w:ind w:left="720"/>
            <w:jc w:val="center"/>
            <w:rPr>
              <w:rFonts w:ascii="Times New Roman" w:hAnsi="Times New Roman" w:cs="Times New Roman"/>
              <w:b/>
              <w:bCs/>
              <w:color w:val="auto"/>
              <w:sz w:val="24"/>
              <w:szCs w:val="24"/>
            </w:rPr>
          </w:pPr>
          <w:r w:rsidRPr="005E131C">
            <w:rPr>
              <w:rFonts w:ascii="Times New Roman" w:hAnsi="Times New Roman" w:cs="Times New Roman"/>
              <w:b/>
              <w:bCs/>
              <w:color w:val="auto"/>
              <w:sz w:val="24"/>
              <w:szCs w:val="24"/>
            </w:rPr>
            <w:t>Table of Contents</w:t>
          </w:r>
        </w:p>
        <w:p w14:paraId="5215C584" w14:textId="043F043E" w:rsidR="003056F5" w:rsidRPr="005E131C" w:rsidRDefault="00E43E50" w:rsidP="005E131C">
          <w:pPr>
            <w:pStyle w:val="TOC1"/>
            <w:tabs>
              <w:tab w:val="left" w:pos="1200"/>
              <w:tab w:val="right" w:leader="dot" w:pos="9350"/>
            </w:tabs>
            <w:rPr>
              <w:rFonts w:ascii="Times New Roman" w:eastAsiaTheme="minorEastAsia" w:hAnsi="Times New Roman" w:cs="Times New Roman"/>
              <w:noProof/>
            </w:rPr>
          </w:pPr>
          <w:r w:rsidRPr="005E131C">
            <w:rPr>
              <w:rFonts w:ascii="Times New Roman" w:hAnsi="Times New Roman" w:cs="Times New Roman"/>
            </w:rPr>
            <w:fldChar w:fldCharType="begin"/>
          </w:r>
          <w:r w:rsidRPr="005E131C">
            <w:rPr>
              <w:rFonts w:ascii="Times New Roman" w:hAnsi="Times New Roman" w:cs="Times New Roman"/>
            </w:rPr>
            <w:instrText xml:space="preserve"> TOC \o "1-3" \h \z \u </w:instrText>
          </w:r>
          <w:r w:rsidRPr="005E131C">
            <w:rPr>
              <w:rFonts w:ascii="Times New Roman" w:hAnsi="Times New Roman" w:cs="Times New Roman"/>
            </w:rPr>
            <w:fldChar w:fldCharType="separate"/>
          </w:r>
          <w:hyperlink w:anchor="_Toc222808797" w:history="1">
            <w:r w:rsidR="003056F5" w:rsidRPr="005E131C">
              <w:rPr>
                <w:rStyle w:val="Hyperlink"/>
                <w:rFonts w:ascii="Times New Roman" w:hAnsi="Times New Roman" w:cs="Times New Roman"/>
                <w:noProof/>
              </w:rPr>
              <w:t>1.</w:t>
            </w:r>
            <w:r w:rsidR="003056F5" w:rsidRPr="005E131C">
              <w:rPr>
                <w:rFonts w:ascii="Times New Roman" w:eastAsiaTheme="minorEastAsia" w:hAnsi="Times New Roman" w:cs="Times New Roman"/>
                <w:noProof/>
              </w:rPr>
              <w:tab/>
            </w:r>
            <w:r w:rsidR="003056F5" w:rsidRPr="005E131C">
              <w:rPr>
                <w:rStyle w:val="Hyperlink"/>
                <w:rFonts w:ascii="Times New Roman" w:hAnsi="Times New Roman" w:cs="Times New Roman"/>
                <w:noProof/>
              </w:rPr>
              <w:t>Element 1: Introduction</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_Toc222808797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4</w:t>
            </w:r>
            <w:r w:rsidR="003056F5" w:rsidRPr="005E131C">
              <w:rPr>
                <w:rFonts w:ascii="Times New Roman" w:hAnsi="Times New Roman" w:cs="Times New Roman"/>
                <w:noProof/>
                <w:webHidden/>
              </w:rPr>
              <w:fldChar w:fldCharType="end"/>
            </w:r>
          </w:hyperlink>
        </w:p>
        <w:p w14:paraId="284747B3" w14:textId="49197026" w:rsidR="003056F5" w:rsidRPr="005E131C" w:rsidRDefault="00000000" w:rsidP="005E131C">
          <w:pPr>
            <w:pStyle w:val="TOC1"/>
            <w:tabs>
              <w:tab w:val="left" w:pos="1200"/>
              <w:tab w:val="right" w:leader="dot" w:pos="9350"/>
            </w:tabs>
            <w:rPr>
              <w:rFonts w:ascii="Times New Roman" w:eastAsiaTheme="minorEastAsia" w:hAnsi="Times New Roman" w:cs="Times New Roman"/>
              <w:noProof/>
            </w:rPr>
          </w:pPr>
          <w:hyperlink w:anchor="_Toc222808798" w:history="1">
            <w:r w:rsidR="003056F5" w:rsidRPr="005E131C">
              <w:rPr>
                <w:rStyle w:val="Hyperlink"/>
                <w:rFonts w:ascii="Times New Roman" w:hAnsi="Times New Roman" w:cs="Times New Roman"/>
                <w:noProof/>
              </w:rPr>
              <w:t>2.</w:t>
            </w:r>
            <w:r w:rsidR="003056F5" w:rsidRPr="005E131C">
              <w:rPr>
                <w:rFonts w:ascii="Times New Roman" w:eastAsiaTheme="minorEastAsia" w:hAnsi="Times New Roman" w:cs="Times New Roman"/>
                <w:noProof/>
              </w:rPr>
              <w:tab/>
            </w:r>
            <w:r w:rsidR="003056F5" w:rsidRPr="005E131C">
              <w:rPr>
                <w:rStyle w:val="Hyperlink"/>
                <w:rFonts w:ascii="Times New Roman" w:hAnsi="Times New Roman" w:cs="Times New Roman"/>
                <w:noProof/>
              </w:rPr>
              <w:t>Element 2: Analysis and Application to include Stakeholder Engagement Strategies</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_Toc222808798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5</w:t>
            </w:r>
            <w:r w:rsidR="003056F5" w:rsidRPr="005E131C">
              <w:rPr>
                <w:rFonts w:ascii="Times New Roman" w:hAnsi="Times New Roman" w:cs="Times New Roman"/>
                <w:noProof/>
                <w:webHidden/>
              </w:rPr>
              <w:fldChar w:fldCharType="end"/>
            </w:r>
          </w:hyperlink>
        </w:p>
        <w:p w14:paraId="51966356" w14:textId="6BEB349B" w:rsidR="003056F5" w:rsidRPr="005E131C" w:rsidRDefault="00000000" w:rsidP="005E131C">
          <w:pPr>
            <w:pStyle w:val="TOC2"/>
            <w:tabs>
              <w:tab w:val="right" w:leader="dot" w:pos="9350"/>
            </w:tabs>
            <w:rPr>
              <w:rFonts w:ascii="Times New Roman" w:eastAsiaTheme="minorEastAsia" w:hAnsi="Times New Roman" w:cs="Times New Roman"/>
              <w:noProof/>
            </w:rPr>
          </w:pPr>
          <w:hyperlink w:anchor="_Toc222808799" w:history="1">
            <w:r w:rsidR="003056F5" w:rsidRPr="005E131C">
              <w:rPr>
                <w:rStyle w:val="Hyperlink"/>
                <w:rFonts w:ascii="Times New Roman" w:hAnsi="Times New Roman" w:cs="Times New Roman"/>
                <w:noProof/>
              </w:rPr>
              <w:t>Stakeholder Identification and Theoretical Framework</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_Toc222808799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5</w:t>
            </w:r>
            <w:r w:rsidR="003056F5" w:rsidRPr="005E131C">
              <w:rPr>
                <w:rFonts w:ascii="Times New Roman" w:hAnsi="Times New Roman" w:cs="Times New Roman"/>
                <w:noProof/>
                <w:webHidden/>
              </w:rPr>
              <w:fldChar w:fldCharType="end"/>
            </w:r>
          </w:hyperlink>
        </w:p>
        <w:p w14:paraId="116DB4C2" w14:textId="028E3504" w:rsidR="003056F5" w:rsidRPr="005E131C" w:rsidRDefault="00000000" w:rsidP="005E131C">
          <w:pPr>
            <w:pStyle w:val="TOC2"/>
            <w:tabs>
              <w:tab w:val="right" w:leader="dot" w:pos="9350"/>
            </w:tabs>
            <w:rPr>
              <w:rFonts w:ascii="Times New Roman" w:eastAsiaTheme="minorEastAsia" w:hAnsi="Times New Roman" w:cs="Times New Roman"/>
              <w:noProof/>
            </w:rPr>
          </w:pPr>
          <w:hyperlink w:anchor="_Toc222808800" w:history="1">
            <w:r w:rsidR="003056F5" w:rsidRPr="005E131C">
              <w:rPr>
                <w:rStyle w:val="Hyperlink"/>
                <w:rFonts w:ascii="Times New Roman" w:hAnsi="Times New Roman" w:cs="Times New Roman"/>
                <w:noProof/>
              </w:rPr>
              <w:t>Stakeholder Mapping and Power–Interest Matrix</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_Toc222808800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6</w:t>
            </w:r>
            <w:r w:rsidR="003056F5" w:rsidRPr="005E131C">
              <w:rPr>
                <w:rFonts w:ascii="Times New Roman" w:hAnsi="Times New Roman" w:cs="Times New Roman"/>
                <w:noProof/>
                <w:webHidden/>
              </w:rPr>
              <w:fldChar w:fldCharType="end"/>
            </w:r>
          </w:hyperlink>
        </w:p>
        <w:p w14:paraId="38BC3A23" w14:textId="72FE8AA8" w:rsidR="003056F5" w:rsidRPr="005E131C" w:rsidRDefault="00000000" w:rsidP="005E131C">
          <w:pPr>
            <w:pStyle w:val="TOC2"/>
            <w:tabs>
              <w:tab w:val="right" w:leader="dot" w:pos="9350"/>
            </w:tabs>
            <w:rPr>
              <w:rFonts w:ascii="Times New Roman" w:eastAsiaTheme="minorEastAsia" w:hAnsi="Times New Roman" w:cs="Times New Roman"/>
              <w:noProof/>
            </w:rPr>
          </w:pPr>
          <w:hyperlink w:anchor="_Toc222808801" w:history="1">
            <w:r w:rsidR="003056F5" w:rsidRPr="005E131C">
              <w:rPr>
                <w:rStyle w:val="Hyperlink"/>
                <w:rFonts w:ascii="Times New Roman" w:hAnsi="Times New Roman" w:cs="Times New Roman"/>
                <w:noProof/>
              </w:rPr>
              <w:t>Analysis of Key Stakeholder Groups and Their Roles</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_Toc222808801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7</w:t>
            </w:r>
            <w:r w:rsidR="003056F5" w:rsidRPr="005E131C">
              <w:rPr>
                <w:rFonts w:ascii="Times New Roman" w:hAnsi="Times New Roman" w:cs="Times New Roman"/>
                <w:noProof/>
                <w:webHidden/>
              </w:rPr>
              <w:fldChar w:fldCharType="end"/>
            </w:r>
          </w:hyperlink>
        </w:p>
        <w:p w14:paraId="280F2B61" w14:textId="4DB7CA0B" w:rsidR="003056F5" w:rsidRPr="005E131C" w:rsidRDefault="00000000" w:rsidP="005E131C">
          <w:pPr>
            <w:pStyle w:val="TOC3"/>
            <w:tabs>
              <w:tab w:val="right" w:leader="dot" w:pos="9350"/>
            </w:tabs>
            <w:rPr>
              <w:rFonts w:ascii="Times New Roman" w:eastAsiaTheme="minorEastAsia" w:hAnsi="Times New Roman" w:cs="Times New Roman"/>
              <w:noProof/>
            </w:rPr>
          </w:pPr>
          <w:hyperlink w:anchor="_Toc222808802" w:history="1">
            <w:r w:rsidR="003056F5" w:rsidRPr="005E131C">
              <w:rPr>
                <w:rStyle w:val="Hyperlink"/>
                <w:rFonts w:ascii="Times New Roman" w:eastAsia="Times New Roman" w:hAnsi="Times New Roman" w:cs="Times New Roman"/>
                <w:noProof/>
              </w:rPr>
              <w:t>High Power–High Interest</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_Toc222808802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7</w:t>
            </w:r>
            <w:r w:rsidR="003056F5" w:rsidRPr="005E131C">
              <w:rPr>
                <w:rFonts w:ascii="Times New Roman" w:hAnsi="Times New Roman" w:cs="Times New Roman"/>
                <w:noProof/>
                <w:webHidden/>
              </w:rPr>
              <w:fldChar w:fldCharType="end"/>
            </w:r>
          </w:hyperlink>
        </w:p>
        <w:p w14:paraId="68FFF9D5" w14:textId="0407E5E8" w:rsidR="003056F5" w:rsidRPr="005E131C" w:rsidRDefault="00000000" w:rsidP="005E131C">
          <w:pPr>
            <w:pStyle w:val="TOC3"/>
            <w:tabs>
              <w:tab w:val="right" w:leader="dot" w:pos="9350"/>
            </w:tabs>
            <w:rPr>
              <w:rFonts w:ascii="Times New Roman" w:eastAsiaTheme="minorEastAsia" w:hAnsi="Times New Roman" w:cs="Times New Roman"/>
              <w:noProof/>
            </w:rPr>
          </w:pPr>
          <w:hyperlink w:anchor="_Toc222808803" w:history="1">
            <w:r w:rsidR="003056F5" w:rsidRPr="005E131C">
              <w:rPr>
                <w:rStyle w:val="Hyperlink"/>
                <w:rFonts w:ascii="Times New Roman" w:eastAsia="Times New Roman" w:hAnsi="Times New Roman" w:cs="Times New Roman"/>
                <w:bCs/>
                <w:noProof/>
                <w:kern w:val="0"/>
                <w14:ligatures w14:val="none"/>
              </w:rPr>
              <w:t>High Power–Low Interest</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_Toc222808803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7</w:t>
            </w:r>
            <w:r w:rsidR="003056F5" w:rsidRPr="005E131C">
              <w:rPr>
                <w:rFonts w:ascii="Times New Roman" w:hAnsi="Times New Roman" w:cs="Times New Roman"/>
                <w:noProof/>
                <w:webHidden/>
              </w:rPr>
              <w:fldChar w:fldCharType="end"/>
            </w:r>
          </w:hyperlink>
        </w:p>
        <w:p w14:paraId="3F20592A" w14:textId="60250E58" w:rsidR="003056F5" w:rsidRPr="005E131C" w:rsidRDefault="00000000" w:rsidP="005E131C">
          <w:pPr>
            <w:pStyle w:val="TOC3"/>
            <w:tabs>
              <w:tab w:val="right" w:leader="dot" w:pos="9350"/>
            </w:tabs>
            <w:rPr>
              <w:rFonts w:ascii="Times New Roman" w:eastAsiaTheme="minorEastAsia" w:hAnsi="Times New Roman" w:cs="Times New Roman"/>
              <w:noProof/>
            </w:rPr>
          </w:pPr>
          <w:hyperlink w:anchor="_Toc222808804" w:history="1">
            <w:r w:rsidR="003056F5" w:rsidRPr="005E131C">
              <w:rPr>
                <w:rStyle w:val="Hyperlink"/>
                <w:rFonts w:ascii="Times New Roman" w:eastAsia="Times New Roman" w:hAnsi="Times New Roman" w:cs="Times New Roman"/>
                <w:bCs/>
                <w:noProof/>
                <w:kern w:val="0"/>
                <w14:ligatures w14:val="none"/>
              </w:rPr>
              <w:t>Low Power–High Interest</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_Toc222808804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7</w:t>
            </w:r>
            <w:r w:rsidR="003056F5" w:rsidRPr="005E131C">
              <w:rPr>
                <w:rFonts w:ascii="Times New Roman" w:hAnsi="Times New Roman" w:cs="Times New Roman"/>
                <w:noProof/>
                <w:webHidden/>
              </w:rPr>
              <w:fldChar w:fldCharType="end"/>
            </w:r>
          </w:hyperlink>
        </w:p>
        <w:p w14:paraId="5709729A" w14:textId="2013C3F2" w:rsidR="003056F5" w:rsidRPr="005E131C" w:rsidRDefault="00000000" w:rsidP="005E131C">
          <w:pPr>
            <w:pStyle w:val="TOC3"/>
            <w:tabs>
              <w:tab w:val="right" w:leader="dot" w:pos="9350"/>
            </w:tabs>
            <w:rPr>
              <w:rFonts w:ascii="Times New Roman" w:eastAsiaTheme="minorEastAsia" w:hAnsi="Times New Roman" w:cs="Times New Roman"/>
              <w:noProof/>
            </w:rPr>
          </w:pPr>
          <w:hyperlink w:anchor="_Toc222808805" w:history="1">
            <w:r w:rsidR="003056F5" w:rsidRPr="005E131C">
              <w:rPr>
                <w:rStyle w:val="Hyperlink"/>
                <w:rFonts w:ascii="Times New Roman" w:eastAsia="Times New Roman" w:hAnsi="Times New Roman" w:cs="Times New Roman"/>
                <w:bCs/>
                <w:noProof/>
                <w:kern w:val="0"/>
                <w14:ligatures w14:val="none"/>
              </w:rPr>
              <w:t>Low Power–Low Interest</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_Toc222808805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8</w:t>
            </w:r>
            <w:r w:rsidR="003056F5" w:rsidRPr="005E131C">
              <w:rPr>
                <w:rFonts w:ascii="Times New Roman" w:hAnsi="Times New Roman" w:cs="Times New Roman"/>
                <w:noProof/>
                <w:webHidden/>
              </w:rPr>
              <w:fldChar w:fldCharType="end"/>
            </w:r>
          </w:hyperlink>
        </w:p>
        <w:p w14:paraId="207E6FB0" w14:textId="05273733" w:rsidR="003056F5" w:rsidRPr="005E131C" w:rsidRDefault="00000000" w:rsidP="005E131C">
          <w:pPr>
            <w:pStyle w:val="TOC2"/>
            <w:tabs>
              <w:tab w:val="right" w:leader="dot" w:pos="9350"/>
            </w:tabs>
            <w:rPr>
              <w:rFonts w:ascii="Times New Roman" w:eastAsiaTheme="minorEastAsia" w:hAnsi="Times New Roman" w:cs="Times New Roman"/>
              <w:noProof/>
            </w:rPr>
          </w:pPr>
          <w:hyperlink w:anchor="_Toc222808806" w:history="1">
            <w:r w:rsidR="003056F5" w:rsidRPr="005E131C">
              <w:rPr>
                <w:rStyle w:val="Hyperlink"/>
                <w:rFonts w:ascii="Times New Roman" w:hAnsi="Times New Roman" w:cs="Times New Roman"/>
                <w:noProof/>
              </w:rPr>
              <w:t>Stakeholder Engagement Strategies Applied</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_Toc222808806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8</w:t>
            </w:r>
            <w:r w:rsidR="003056F5" w:rsidRPr="005E131C">
              <w:rPr>
                <w:rFonts w:ascii="Times New Roman" w:hAnsi="Times New Roman" w:cs="Times New Roman"/>
                <w:noProof/>
                <w:webHidden/>
              </w:rPr>
              <w:fldChar w:fldCharType="end"/>
            </w:r>
          </w:hyperlink>
        </w:p>
        <w:p w14:paraId="2D8F8270" w14:textId="00EE67A2" w:rsidR="003056F5" w:rsidRPr="005E131C" w:rsidRDefault="00000000" w:rsidP="005E131C">
          <w:pPr>
            <w:pStyle w:val="TOC3"/>
            <w:tabs>
              <w:tab w:val="right" w:leader="dot" w:pos="9350"/>
            </w:tabs>
            <w:rPr>
              <w:rFonts w:ascii="Times New Roman" w:eastAsiaTheme="minorEastAsia" w:hAnsi="Times New Roman" w:cs="Times New Roman"/>
              <w:noProof/>
            </w:rPr>
          </w:pPr>
          <w:hyperlink w:anchor="_Toc222808807" w:history="1">
            <w:r w:rsidR="003056F5" w:rsidRPr="005E131C">
              <w:rPr>
                <w:rStyle w:val="Hyperlink"/>
                <w:rFonts w:ascii="Times New Roman" w:hAnsi="Times New Roman" w:cs="Times New Roman"/>
                <w:noProof/>
              </w:rPr>
              <w:t>High Power–High Interest</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_Toc222808807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8</w:t>
            </w:r>
            <w:r w:rsidR="003056F5" w:rsidRPr="005E131C">
              <w:rPr>
                <w:rFonts w:ascii="Times New Roman" w:hAnsi="Times New Roman" w:cs="Times New Roman"/>
                <w:noProof/>
                <w:webHidden/>
              </w:rPr>
              <w:fldChar w:fldCharType="end"/>
            </w:r>
          </w:hyperlink>
        </w:p>
        <w:p w14:paraId="758BD1CF" w14:textId="08405753" w:rsidR="003056F5" w:rsidRPr="005E131C" w:rsidRDefault="00000000" w:rsidP="005E131C">
          <w:pPr>
            <w:pStyle w:val="TOC3"/>
            <w:tabs>
              <w:tab w:val="right" w:leader="dot" w:pos="9350"/>
            </w:tabs>
            <w:rPr>
              <w:rFonts w:ascii="Times New Roman" w:eastAsiaTheme="minorEastAsia" w:hAnsi="Times New Roman" w:cs="Times New Roman"/>
              <w:noProof/>
            </w:rPr>
          </w:pPr>
          <w:hyperlink w:anchor="_Toc222808808" w:history="1">
            <w:r w:rsidR="003056F5" w:rsidRPr="005E131C">
              <w:rPr>
                <w:rStyle w:val="Hyperlink"/>
                <w:rFonts w:ascii="Times New Roman" w:hAnsi="Times New Roman" w:cs="Times New Roman"/>
                <w:noProof/>
              </w:rPr>
              <w:t>Residents (Low Power–High Interest)</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_Toc222808808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8</w:t>
            </w:r>
            <w:r w:rsidR="003056F5" w:rsidRPr="005E131C">
              <w:rPr>
                <w:rFonts w:ascii="Times New Roman" w:hAnsi="Times New Roman" w:cs="Times New Roman"/>
                <w:noProof/>
                <w:webHidden/>
              </w:rPr>
              <w:fldChar w:fldCharType="end"/>
            </w:r>
          </w:hyperlink>
        </w:p>
        <w:p w14:paraId="0FFCEB36" w14:textId="1409A336" w:rsidR="003056F5" w:rsidRPr="005E131C" w:rsidRDefault="00000000" w:rsidP="005E131C">
          <w:pPr>
            <w:pStyle w:val="TOC3"/>
            <w:tabs>
              <w:tab w:val="right" w:leader="dot" w:pos="9350"/>
            </w:tabs>
            <w:rPr>
              <w:rFonts w:ascii="Times New Roman" w:eastAsiaTheme="minorEastAsia" w:hAnsi="Times New Roman" w:cs="Times New Roman"/>
              <w:noProof/>
            </w:rPr>
          </w:pPr>
          <w:hyperlink w:anchor="_Toc222808809" w:history="1">
            <w:r w:rsidR="003056F5" w:rsidRPr="005E131C">
              <w:rPr>
                <w:rStyle w:val="Hyperlink"/>
                <w:rFonts w:ascii="Times New Roman" w:hAnsi="Times New Roman" w:cs="Times New Roman"/>
                <w:noProof/>
              </w:rPr>
              <w:t>Police and Council</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_Toc222808809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9</w:t>
            </w:r>
            <w:r w:rsidR="003056F5" w:rsidRPr="005E131C">
              <w:rPr>
                <w:rFonts w:ascii="Times New Roman" w:hAnsi="Times New Roman" w:cs="Times New Roman"/>
                <w:noProof/>
                <w:webHidden/>
              </w:rPr>
              <w:fldChar w:fldCharType="end"/>
            </w:r>
          </w:hyperlink>
        </w:p>
        <w:p w14:paraId="74D83794" w14:textId="01067D99" w:rsidR="003056F5" w:rsidRPr="005E131C" w:rsidRDefault="00000000" w:rsidP="005E131C">
          <w:pPr>
            <w:pStyle w:val="TOC2"/>
            <w:tabs>
              <w:tab w:val="right" w:leader="dot" w:pos="9350"/>
            </w:tabs>
            <w:rPr>
              <w:rFonts w:ascii="Times New Roman" w:eastAsiaTheme="minorEastAsia" w:hAnsi="Times New Roman" w:cs="Times New Roman"/>
              <w:noProof/>
            </w:rPr>
          </w:pPr>
          <w:hyperlink w:anchor="_Toc222808810" w:history="1">
            <w:r w:rsidR="003056F5" w:rsidRPr="005E131C">
              <w:rPr>
                <w:rStyle w:val="Hyperlink"/>
                <w:rFonts w:ascii="Times New Roman" w:hAnsi="Times New Roman" w:cs="Times New Roman"/>
                <w:noProof/>
              </w:rPr>
              <w:t>Communication Channels and Effectiveness</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_Toc222808810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9</w:t>
            </w:r>
            <w:r w:rsidR="003056F5" w:rsidRPr="005E131C">
              <w:rPr>
                <w:rFonts w:ascii="Times New Roman" w:hAnsi="Times New Roman" w:cs="Times New Roman"/>
                <w:noProof/>
                <w:webHidden/>
              </w:rPr>
              <w:fldChar w:fldCharType="end"/>
            </w:r>
          </w:hyperlink>
        </w:p>
        <w:p w14:paraId="25D9151D" w14:textId="1AE902E7" w:rsidR="003056F5" w:rsidRPr="005E131C" w:rsidRDefault="00000000" w:rsidP="005E131C">
          <w:pPr>
            <w:pStyle w:val="TOC2"/>
            <w:tabs>
              <w:tab w:val="right" w:leader="dot" w:pos="9350"/>
            </w:tabs>
            <w:rPr>
              <w:rFonts w:ascii="Times New Roman" w:eastAsiaTheme="minorEastAsia" w:hAnsi="Times New Roman" w:cs="Times New Roman"/>
              <w:noProof/>
            </w:rPr>
          </w:pPr>
          <w:hyperlink w:anchor="_Toc222808811" w:history="1">
            <w:r w:rsidR="003056F5" w:rsidRPr="005E131C">
              <w:rPr>
                <w:rStyle w:val="Hyperlink"/>
                <w:rFonts w:ascii="Times New Roman" w:hAnsi="Times New Roman" w:cs="Times New Roman"/>
                <w:noProof/>
              </w:rPr>
              <w:t>Challenges and Conflicts in Engagement</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_Toc222808811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10</w:t>
            </w:r>
            <w:r w:rsidR="003056F5" w:rsidRPr="005E131C">
              <w:rPr>
                <w:rFonts w:ascii="Times New Roman" w:hAnsi="Times New Roman" w:cs="Times New Roman"/>
                <w:noProof/>
                <w:webHidden/>
              </w:rPr>
              <w:fldChar w:fldCharType="end"/>
            </w:r>
          </w:hyperlink>
        </w:p>
        <w:p w14:paraId="140BC631" w14:textId="2903993E" w:rsidR="003056F5" w:rsidRPr="005E131C" w:rsidRDefault="00000000" w:rsidP="005E131C">
          <w:pPr>
            <w:pStyle w:val="TOC1"/>
            <w:tabs>
              <w:tab w:val="left" w:pos="1200"/>
              <w:tab w:val="right" w:leader="dot" w:pos="9350"/>
            </w:tabs>
            <w:rPr>
              <w:rFonts w:ascii="Times New Roman" w:eastAsiaTheme="minorEastAsia" w:hAnsi="Times New Roman" w:cs="Times New Roman"/>
              <w:noProof/>
            </w:rPr>
          </w:pPr>
          <w:hyperlink w:anchor="_Toc222808812" w:history="1">
            <w:r w:rsidR="003056F5" w:rsidRPr="005E131C">
              <w:rPr>
                <w:rStyle w:val="Hyperlink"/>
                <w:rFonts w:ascii="Times New Roman" w:hAnsi="Times New Roman" w:cs="Times New Roman"/>
                <w:noProof/>
              </w:rPr>
              <w:t>3.</w:t>
            </w:r>
            <w:r w:rsidR="003056F5" w:rsidRPr="005E131C">
              <w:rPr>
                <w:rFonts w:ascii="Times New Roman" w:eastAsiaTheme="minorEastAsia" w:hAnsi="Times New Roman" w:cs="Times New Roman"/>
                <w:noProof/>
              </w:rPr>
              <w:tab/>
            </w:r>
            <w:r w:rsidR="003056F5" w:rsidRPr="005E131C">
              <w:rPr>
                <w:rStyle w:val="Hyperlink"/>
                <w:rFonts w:ascii="Times New Roman" w:hAnsi="Times New Roman" w:cs="Times New Roman"/>
                <w:noProof/>
              </w:rPr>
              <w:t>Element 3: Ethical Consideration and Awareness, and Reflective insight</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_Toc222808812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11</w:t>
            </w:r>
            <w:r w:rsidR="003056F5" w:rsidRPr="005E131C">
              <w:rPr>
                <w:rFonts w:ascii="Times New Roman" w:hAnsi="Times New Roman" w:cs="Times New Roman"/>
                <w:noProof/>
                <w:webHidden/>
              </w:rPr>
              <w:fldChar w:fldCharType="end"/>
            </w:r>
          </w:hyperlink>
        </w:p>
        <w:p w14:paraId="22BEF24F" w14:textId="3A2FA588" w:rsidR="003056F5" w:rsidRPr="005E131C" w:rsidRDefault="00000000" w:rsidP="005E131C">
          <w:pPr>
            <w:pStyle w:val="TOC2"/>
            <w:tabs>
              <w:tab w:val="right" w:leader="dot" w:pos="9350"/>
            </w:tabs>
            <w:rPr>
              <w:rFonts w:ascii="Times New Roman" w:eastAsiaTheme="minorEastAsia" w:hAnsi="Times New Roman" w:cs="Times New Roman"/>
              <w:noProof/>
            </w:rPr>
          </w:pPr>
          <w:hyperlink w:anchor="_Toc222808813" w:history="1">
            <w:r w:rsidR="003056F5" w:rsidRPr="005E131C">
              <w:rPr>
                <w:rStyle w:val="Hyperlink"/>
                <w:rFonts w:ascii="Times New Roman" w:hAnsi="Times New Roman" w:cs="Times New Roman"/>
                <w:noProof/>
              </w:rPr>
              <w:t>Introduction to Ethical Framing</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_Toc222808813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11</w:t>
            </w:r>
            <w:r w:rsidR="003056F5" w:rsidRPr="005E131C">
              <w:rPr>
                <w:rFonts w:ascii="Times New Roman" w:hAnsi="Times New Roman" w:cs="Times New Roman"/>
                <w:noProof/>
                <w:webHidden/>
              </w:rPr>
              <w:fldChar w:fldCharType="end"/>
            </w:r>
          </w:hyperlink>
        </w:p>
        <w:p w14:paraId="1262967F" w14:textId="5CA8789C" w:rsidR="003056F5" w:rsidRPr="005E131C" w:rsidRDefault="00000000" w:rsidP="005E131C">
          <w:pPr>
            <w:pStyle w:val="TOC2"/>
            <w:tabs>
              <w:tab w:val="right" w:leader="dot" w:pos="9350"/>
            </w:tabs>
            <w:rPr>
              <w:rFonts w:ascii="Times New Roman" w:eastAsiaTheme="minorEastAsia" w:hAnsi="Times New Roman" w:cs="Times New Roman"/>
              <w:noProof/>
            </w:rPr>
          </w:pPr>
          <w:hyperlink w:anchor="_Toc222808814" w:history="1">
            <w:r w:rsidR="003056F5" w:rsidRPr="005E131C">
              <w:rPr>
                <w:rStyle w:val="Hyperlink"/>
                <w:rFonts w:ascii="Times New Roman" w:hAnsi="Times New Roman" w:cs="Times New Roman"/>
                <w:noProof/>
              </w:rPr>
              <w:t>Ethical Considerations in Stakeholder Engagement</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_Toc222808814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12</w:t>
            </w:r>
            <w:r w:rsidR="003056F5" w:rsidRPr="005E131C">
              <w:rPr>
                <w:rFonts w:ascii="Times New Roman" w:hAnsi="Times New Roman" w:cs="Times New Roman"/>
                <w:noProof/>
                <w:webHidden/>
              </w:rPr>
              <w:fldChar w:fldCharType="end"/>
            </w:r>
          </w:hyperlink>
        </w:p>
        <w:p w14:paraId="6B3438C9" w14:textId="0108BA29" w:rsidR="003056F5" w:rsidRPr="005E131C" w:rsidRDefault="00000000" w:rsidP="005E131C">
          <w:pPr>
            <w:pStyle w:val="TOC2"/>
            <w:tabs>
              <w:tab w:val="right" w:leader="dot" w:pos="9350"/>
            </w:tabs>
            <w:rPr>
              <w:rFonts w:ascii="Times New Roman" w:eastAsiaTheme="minorEastAsia" w:hAnsi="Times New Roman" w:cs="Times New Roman"/>
              <w:noProof/>
            </w:rPr>
          </w:pPr>
          <w:hyperlink w:anchor="_Toc222808815" w:history="1">
            <w:r w:rsidR="003056F5" w:rsidRPr="005E131C">
              <w:rPr>
                <w:rStyle w:val="Hyperlink"/>
                <w:rFonts w:ascii="Times New Roman" w:hAnsi="Times New Roman" w:cs="Times New Roman"/>
                <w:noProof/>
              </w:rPr>
              <w:t>Corporate Social Responsibility (CSR) and Stakeholder Strategy</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_Toc222808815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13</w:t>
            </w:r>
            <w:r w:rsidR="003056F5" w:rsidRPr="005E131C">
              <w:rPr>
                <w:rFonts w:ascii="Times New Roman" w:hAnsi="Times New Roman" w:cs="Times New Roman"/>
                <w:noProof/>
                <w:webHidden/>
              </w:rPr>
              <w:fldChar w:fldCharType="end"/>
            </w:r>
          </w:hyperlink>
        </w:p>
        <w:p w14:paraId="4D736F21" w14:textId="468B3507" w:rsidR="003056F5" w:rsidRPr="005E131C" w:rsidRDefault="00000000" w:rsidP="005E131C">
          <w:pPr>
            <w:pStyle w:val="TOC2"/>
            <w:tabs>
              <w:tab w:val="right" w:leader="dot" w:pos="9350"/>
            </w:tabs>
            <w:rPr>
              <w:rFonts w:ascii="Times New Roman" w:eastAsiaTheme="minorEastAsia" w:hAnsi="Times New Roman" w:cs="Times New Roman"/>
              <w:noProof/>
            </w:rPr>
          </w:pPr>
          <w:hyperlink w:anchor="_Toc222808816" w:history="1">
            <w:r w:rsidR="003056F5" w:rsidRPr="005E131C">
              <w:rPr>
                <w:rStyle w:val="Hyperlink"/>
                <w:rFonts w:ascii="Times New Roman" w:hAnsi="Times New Roman" w:cs="Times New Roman"/>
                <w:noProof/>
              </w:rPr>
              <w:t>Sustainability in Private Security Governance</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_Toc222808816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14</w:t>
            </w:r>
            <w:r w:rsidR="003056F5" w:rsidRPr="005E131C">
              <w:rPr>
                <w:rFonts w:ascii="Times New Roman" w:hAnsi="Times New Roman" w:cs="Times New Roman"/>
                <w:noProof/>
                <w:webHidden/>
              </w:rPr>
              <w:fldChar w:fldCharType="end"/>
            </w:r>
          </w:hyperlink>
        </w:p>
        <w:p w14:paraId="607B256B" w14:textId="322A1E40" w:rsidR="003056F5" w:rsidRPr="005E131C" w:rsidRDefault="00000000" w:rsidP="005E131C">
          <w:pPr>
            <w:pStyle w:val="TOC2"/>
            <w:tabs>
              <w:tab w:val="right" w:leader="dot" w:pos="9350"/>
            </w:tabs>
            <w:rPr>
              <w:rFonts w:ascii="Times New Roman" w:eastAsiaTheme="minorEastAsia" w:hAnsi="Times New Roman" w:cs="Times New Roman"/>
              <w:noProof/>
            </w:rPr>
          </w:pPr>
          <w:hyperlink w:anchor="_Toc222808817" w:history="1">
            <w:r w:rsidR="003056F5" w:rsidRPr="005E131C">
              <w:rPr>
                <w:rStyle w:val="Hyperlink"/>
                <w:rFonts w:ascii="Times New Roman" w:hAnsi="Times New Roman" w:cs="Times New Roman"/>
                <w:noProof/>
              </w:rPr>
              <w:t>Reflective Insight: Learning from Theory and Practice</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_Toc222808817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15</w:t>
            </w:r>
            <w:r w:rsidR="003056F5" w:rsidRPr="005E131C">
              <w:rPr>
                <w:rFonts w:ascii="Times New Roman" w:hAnsi="Times New Roman" w:cs="Times New Roman"/>
                <w:noProof/>
                <w:webHidden/>
              </w:rPr>
              <w:fldChar w:fldCharType="end"/>
            </w:r>
          </w:hyperlink>
        </w:p>
        <w:p w14:paraId="6F57714E" w14:textId="23BF0455" w:rsidR="003056F5" w:rsidRPr="005E131C" w:rsidRDefault="00000000" w:rsidP="005E131C">
          <w:pPr>
            <w:pStyle w:val="TOC1"/>
            <w:tabs>
              <w:tab w:val="left" w:pos="1200"/>
              <w:tab w:val="right" w:leader="dot" w:pos="9350"/>
            </w:tabs>
            <w:rPr>
              <w:rFonts w:ascii="Times New Roman" w:eastAsiaTheme="minorEastAsia" w:hAnsi="Times New Roman" w:cs="Times New Roman"/>
              <w:noProof/>
            </w:rPr>
          </w:pPr>
          <w:hyperlink w:anchor="_Toc222808818" w:history="1">
            <w:r w:rsidR="003056F5" w:rsidRPr="005E131C">
              <w:rPr>
                <w:rStyle w:val="Hyperlink"/>
                <w:rFonts w:ascii="Times New Roman" w:hAnsi="Times New Roman" w:cs="Times New Roman"/>
                <w:noProof/>
              </w:rPr>
              <w:t>4.</w:t>
            </w:r>
            <w:r w:rsidR="003056F5" w:rsidRPr="005E131C">
              <w:rPr>
                <w:rFonts w:ascii="Times New Roman" w:eastAsiaTheme="minorEastAsia" w:hAnsi="Times New Roman" w:cs="Times New Roman"/>
                <w:noProof/>
              </w:rPr>
              <w:tab/>
            </w:r>
            <w:r w:rsidR="003056F5" w:rsidRPr="005E131C">
              <w:rPr>
                <w:rStyle w:val="Hyperlink"/>
                <w:rFonts w:ascii="Times New Roman" w:hAnsi="Times New Roman" w:cs="Times New Roman"/>
                <w:noProof/>
              </w:rPr>
              <w:t>Element 4: Conclusion and Recommendation</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_Toc222808818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15</w:t>
            </w:r>
            <w:r w:rsidR="003056F5" w:rsidRPr="005E131C">
              <w:rPr>
                <w:rFonts w:ascii="Times New Roman" w:hAnsi="Times New Roman" w:cs="Times New Roman"/>
                <w:noProof/>
                <w:webHidden/>
              </w:rPr>
              <w:fldChar w:fldCharType="end"/>
            </w:r>
          </w:hyperlink>
        </w:p>
        <w:p w14:paraId="08A2ABB6" w14:textId="4F280EBC" w:rsidR="003056F5" w:rsidRPr="005E131C" w:rsidRDefault="00000000" w:rsidP="005E131C">
          <w:pPr>
            <w:pStyle w:val="TOC1"/>
            <w:tabs>
              <w:tab w:val="left" w:pos="1200"/>
              <w:tab w:val="right" w:leader="dot" w:pos="9350"/>
            </w:tabs>
            <w:rPr>
              <w:rFonts w:ascii="Times New Roman" w:eastAsiaTheme="minorEastAsia" w:hAnsi="Times New Roman" w:cs="Times New Roman"/>
              <w:noProof/>
            </w:rPr>
          </w:pPr>
          <w:hyperlink w:anchor="_Toc222808819" w:history="1">
            <w:r w:rsidR="003056F5" w:rsidRPr="005E131C">
              <w:rPr>
                <w:rStyle w:val="Hyperlink"/>
                <w:rFonts w:ascii="Times New Roman" w:hAnsi="Times New Roman" w:cs="Times New Roman"/>
                <w:noProof/>
              </w:rPr>
              <w:t>5.</w:t>
            </w:r>
            <w:r w:rsidR="003056F5" w:rsidRPr="005E131C">
              <w:rPr>
                <w:rFonts w:ascii="Times New Roman" w:eastAsiaTheme="minorEastAsia" w:hAnsi="Times New Roman" w:cs="Times New Roman"/>
                <w:noProof/>
              </w:rPr>
              <w:tab/>
            </w:r>
            <w:r w:rsidR="003056F5" w:rsidRPr="005E131C">
              <w:rPr>
                <w:rStyle w:val="Hyperlink"/>
                <w:rFonts w:ascii="Times New Roman" w:hAnsi="Times New Roman" w:cs="Times New Roman"/>
                <w:noProof/>
              </w:rPr>
              <w:t>References</w:t>
            </w:r>
            <w:r w:rsidR="003056F5" w:rsidRPr="005E131C">
              <w:rPr>
                <w:rFonts w:ascii="Times New Roman" w:hAnsi="Times New Roman" w:cs="Times New Roman"/>
                <w:noProof/>
                <w:webHidden/>
              </w:rPr>
              <w:tab/>
            </w:r>
            <w:r w:rsidR="003056F5" w:rsidRPr="005E131C">
              <w:rPr>
                <w:rFonts w:ascii="Times New Roman" w:hAnsi="Times New Roman" w:cs="Times New Roman"/>
                <w:noProof/>
                <w:webHidden/>
              </w:rPr>
              <w:fldChar w:fldCharType="begin"/>
            </w:r>
            <w:r w:rsidR="003056F5" w:rsidRPr="005E131C">
              <w:rPr>
                <w:rFonts w:ascii="Times New Roman" w:hAnsi="Times New Roman" w:cs="Times New Roman"/>
                <w:noProof/>
                <w:webHidden/>
              </w:rPr>
              <w:instrText xml:space="preserve"> PAGEREF _Toc222808819 \h </w:instrText>
            </w:r>
            <w:r w:rsidR="003056F5" w:rsidRPr="005E131C">
              <w:rPr>
                <w:rFonts w:ascii="Times New Roman" w:hAnsi="Times New Roman" w:cs="Times New Roman"/>
                <w:noProof/>
                <w:webHidden/>
              </w:rPr>
            </w:r>
            <w:r w:rsidR="003056F5" w:rsidRPr="005E131C">
              <w:rPr>
                <w:rFonts w:ascii="Times New Roman" w:hAnsi="Times New Roman" w:cs="Times New Roman"/>
                <w:noProof/>
                <w:webHidden/>
              </w:rPr>
              <w:fldChar w:fldCharType="separate"/>
            </w:r>
            <w:r w:rsidR="002F13F8" w:rsidRPr="005E131C">
              <w:rPr>
                <w:rFonts w:ascii="Times New Roman" w:hAnsi="Times New Roman" w:cs="Times New Roman"/>
                <w:noProof/>
                <w:webHidden/>
              </w:rPr>
              <w:t>17</w:t>
            </w:r>
            <w:r w:rsidR="003056F5" w:rsidRPr="005E131C">
              <w:rPr>
                <w:rFonts w:ascii="Times New Roman" w:hAnsi="Times New Roman" w:cs="Times New Roman"/>
                <w:noProof/>
                <w:webHidden/>
              </w:rPr>
              <w:fldChar w:fldCharType="end"/>
            </w:r>
          </w:hyperlink>
        </w:p>
        <w:p w14:paraId="6460C10B" w14:textId="63A207A8" w:rsidR="00D82E96" w:rsidRPr="005E131C" w:rsidRDefault="00E43E50" w:rsidP="005E131C">
          <w:pPr>
            <w:rPr>
              <w:rFonts w:ascii="Times New Roman" w:hAnsi="Times New Roman" w:cs="Times New Roman"/>
            </w:rPr>
          </w:pPr>
          <w:r w:rsidRPr="005E131C">
            <w:rPr>
              <w:rFonts w:ascii="Times New Roman" w:hAnsi="Times New Roman" w:cs="Times New Roman"/>
              <w:b/>
              <w:bCs/>
              <w:noProof/>
            </w:rPr>
            <w:lastRenderedPageBreak/>
            <w:fldChar w:fldCharType="end"/>
          </w:r>
        </w:p>
      </w:sdtContent>
    </w:sdt>
    <w:p w14:paraId="4DB89EF7" w14:textId="431333D0" w:rsidR="00F4060C" w:rsidRPr="005E131C" w:rsidRDefault="00D82E96" w:rsidP="00707F76">
      <w:pPr>
        <w:pStyle w:val="Heading1"/>
        <w:numPr>
          <w:ilvl w:val="0"/>
          <w:numId w:val="0"/>
        </w:numPr>
        <w:rPr>
          <w:rFonts w:ascii="Times New Roman" w:hAnsi="Times New Roman" w:cs="Times New Roman"/>
          <w:sz w:val="24"/>
          <w:szCs w:val="24"/>
        </w:rPr>
      </w:pPr>
      <w:bookmarkStart w:id="0" w:name="_Toc222808797"/>
      <w:r w:rsidRPr="005E131C">
        <w:rPr>
          <w:rFonts w:ascii="Times New Roman" w:hAnsi="Times New Roman" w:cs="Times New Roman"/>
          <w:sz w:val="24"/>
          <w:szCs w:val="24"/>
        </w:rPr>
        <w:t>Element 1: Introduction</w:t>
      </w:r>
      <w:bookmarkEnd w:id="0"/>
    </w:p>
    <w:p w14:paraId="05929403" w14:textId="7B355686" w:rsidR="00D82E96" w:rsidRPr="005E131C" w:rsidRDefault="00D82E96" w:rsidP="00DE71F1">
      <w:pPr>
        <w:ind w:firstLine="0"/>
        <w:rPr>
          <w:rFonts w:ascii="Times New Roman" w:hAnsi="Times New Roman" w:cs="Times New Roman"/>
        </w:rPr>
      </w:pPr>
      <w:r w:rsidRPr="005E131C">
        <w:rPr>
          <w:rFonts w:ascii="Times New Roman" w:hAnsi="Times New Roman" w:cs="Times New Roman"/>
        </w:rPr>
        <w:t xml:space="preserve">Stakeholder management refers to the systematic identification, analysis and engagement of individuals or groups who can affect or are affected by a project’s outcomes. </w:t>
      </w:r>
      <w:r w:rsidR="0013297E" w:rsidRPr="005E131C">
        <w:rPr>
          <w:rFonts w:ascii="Times New Roman" w:hAnsi="Times New Roman" w:cs="Times New Roman"/>
        </w:rPr>
        <w:t>Awa, Etim and Ogbonda (2024)</w:t>
      </w:r>
      <w:r w:rsidRPr="005E131C">
        <w:rPr>
          <w:rFonts w:ascii="Times New Roman" w:hAnsi="Times New Roman" w:cs="Times New Roman"/>
        </w:rPr>
        <w:t xml:space="preserve"> defines stakeholders as any party that has a legitimate interest in the organisational activities and thus, effective management involves balancing competing claims as opposed to </w:t>
      </w:r>
      <w:proofErr w:type="spellStart"/>
      <w:r w:rsidRPr="005E131C">
        <w:rPr>
          <w:rFonts w:ascii="Times New Roman" w:hAnsi="Times New Roman" w:cs="Times New Roman"/>
        </w:rPr>
        <w:t>prioritising</w:t>
      </w:r>
      <w:proofErr w:type="spellEnd"/>
      <w:r w:rsidRPr="005E131C">
        <w:rPr>
          <w:rFonts w:ascii="Times New Roman" w:hAnsi="Times New Roman" w:cs="Times New Roman"/>
        </w:rPr>
        <w:t xml:space="preserve"> any organisational narrow financial objectives. Furthermore, </w:t>
      </w:r>
      <w:proofErr w:type="spellStart"/>
      <w:r w:rsidR="0013297E" w:rsidRPr="005E131C">
        <w:rPr>
          <w:rFonts w:ascii="Times New Roman" w:hAnsi="Times New Roman" w:cs="Times New Roman"/>
        </w:rPr>
        <w:t>Escribá-Carda</w:t>
      </w:r>
      <w:proofErr w:type="spellEnd"/>
      <w:r w:rsidR="0013297E" w:rsidRPr="005E131C">
        <w:rPr>
          <w:rFonts w:ascii="Times New Roman" w:hAnsi="Times New Roman" w:cs="Times New Roman"/>
        </w:rPr>
        <w:t xml:space="preserve">, </w:t>
      </w:r>
      <w:proofErr w:type="spellStart"/>
      <w:r w:rsidR="0013297E" w:rsidRPr="005E131C">
        <w:rPr>
          <w:rFonts w:ascii="Times New Roman" w:hAnsi="Times New Roman" w:cs="Times New Roman"/>
        </w:rPr>
        <w:t>Canet-Giner</w:t>
      </w:r>
      <w:proofErr w:type="spellEnd"/>
      <w:r w:rsidR="0013297E" w:rsidRPr="005E131C">
        <w:rPr>
          <w:rFonts w:ascii="Times New Roman" w:hAnsi="Times New Roman" w:cs="Times New Roman"/>
        </w:rPr>
        <w:t xml:space="preserve"> and </w:t>
      </w:r>
      <w:proofErr w:type="spellStart"/>
      <w:r w:rsidR="0013297E" w:rsidRPr="005E131C">
        <w:rPr>
          <w:rFonts w:ascii="Times New Roman" w:hAnsi="Times New Roman" w:cs="Times New Roman"/>
        </w:rPr>
        <w:t>Balbastre-Benavent</w:t>
      </w:r>
      <w:proofErr w:type="spellEnd"/>
      <w:r w:rsidR="0013297E" w:rsidRPr="005E131C">
        <w:rPr>
          <w:rFonts w:ascii="Times New Roman" w:hAnsi="Times New Roman" w:cs="Times New Roman"/>
        </w:rPr>
        <w:t xml:space="preserve"> (2025</w:t>
      </w:r>
      <w:r w:rsidRPr="005E131C">
        <w:rPr>
          <w:rFonts w:ascii="Times New Roman" w:hAnsi="Times New Roman" w:cs="Times New Roman"/>
        </w:rPr>
        <w:t xml:space="preserve">) notes that engagement cannot be a single consultation </w:t>
      </w:r>
      <w:r w:rsidR="00F81C89" w:rsidRPr="005E131C">
        <w:rPr>
          <w:rFonts w:ascii="Times New Roman" w:hAnsi="Times New Roman" w:cs="Times New Roman"/>
        </w:rPr>
        <w:t>activity,</w:t>
      </w:r>
      <w:r w:rsidRPr="005E131C">
        <w:rPr>
          <w:rFonts w:ascii="Times New Roman" w:hAnsi="Times New Roman" w:cs="Times New Roman"/>
        </w:rPr>
        <w:t xml:space="preserve"> but a continuous relationship process founded on communication and trust. Therefore, stakeholder management is especially important within the framework of communities, since projects directly influence the lives of residents. Thus, open communication, shared responsibility and </w:t>
      </w:r>
      <w:proofErr w:type="spellStart"/>
      <w:r w:rsidRPr="005E131C">
        <w:rPr>
          <w:rFonts w:ascii="Times New Roman" w:hAnsi="Times New Roman" w:cs="Times New Roman"/>
        </w:rPr>
        <w:t>organised</w:t>
      </w:r>
      <w:proofErr w:type="spellEnd"/>
      <w:r w:rsidRPr="005E131C">
        <w:rPr>
          <w:rFonts w:ascii="Times New Roman" w:hAnsi="Times New Roman" w:cs="Times New Roman"/>
        </w:rPr>
        <w:t xml:space="preserve"> participation systems are crucial in promoting social integration, reducing conflict and having decisions taken with shared not individual interests.</w:t>
      </w:r>
    </w:p>
    <w:p w14:paraId="65C10CA9" w14:textId="77777777" w:rsidR="00041E23" w:rsidRPr="005E131C" w:rsidRDefault="00041E23" w:rsidP="005E131C">
      <w:pPr>
        <w:keepNext/>
        <w:jc w:val="center"/>
        <w:rPr>
          <w:rFonts w:ascii="Times New Roman" w:hAnsi="Times New Roman" w:cs="Times New Roman"/>
        </w:rPr>
      </w:pPr>
      <w:r w:rsidRPr="005E131C">
        <w:rPr>
          <w:rFonts w:ascii="Times New Roman" w:hAnsi="Times New Roman" w:cs="Times New Roman"/>
          <w:noProof/>
        </w:rPr>
        <w:drawing>
          <wp:inline distT="0" distB="0" distL="0" distR="0" wp14:anchorId="3DC6A668" wp14:editId="6FB25E9D">
            <wp:extent cx="2835667" cy="2849993"/>
            <wp:effectExtent l="19050" t="19050" r="22225" b="26670"/>
            <wp:docPr id="1602025425" name="Picture 7" descr="Stakeholder Management | PTT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Stakeholder Management | PTTE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0143" cy="2854491"/>
                    </a:xfrm>
                    <a:prstGeom prst="rect">
                      <a:avLst/>
                    </a:prstGeom>
                    <a:noFill/>
                    <a:ln w="19050">
                      <a:solidFill>
                        <a:schemeClr val="tx1"/>
                      </a:solidFill>
                    </a:ln>
                  </pic:spPr>
                </pic:pic>
              </a:graphicData>
            </a:graphic>
          </wp:inline>
        </w:drawing>
      </w:r>
    </w:p>
    <w:p w14:paraId="6DA9BEE1" w14:textId="4A8ED15F" w:rsidR="00041E23" w:rsidRPr="005E131C" w:rsidRDefault="00041E23" w:rsidP="005E131C">
      <w:pPr>
        <w:pStyle w:val="Caption"/>
        <w:spacing w:line="360" w:lineRule="auto"/>
        <w:jc w:val="center"/>
        <w:rPr>
          <w:rFonts w:ascii="Times New Roman" w:hAnsi="Times New Roman" w:cs="Times New Roman"/>
          <w:sz w:val="24"/>
          <w:szCs w:val="24"/>
        </w:rPr>
      </w:pPr>
      <w:r w:rsidRPr="005E131C">
        <w:rPr>
          <w:rFonts w:ascii="Times New Roman" w:hAnsi="Times New Roman" w:cs="Times New Roman"/>
          <w:sz w:val="24"/>
          <w:szCs w:val="24"/>
        </w:rPr>
        <w:t xml:space="preserve">Figure </w:t>
      </w:r>
      <w:r w:rsidRPr="005E131C">
        <w:rPr>
          <w:rFonts w:ascii="Times New Roman" w:hAnsi="Times New Roman" w:cs="Times New Roman"/>
          <w:sz w:val="24"/>
          <w:szCs w:val="24"/>
        </w:rPr>
        <w:fldChar w:fldCharType="begin"/>
      </w:r>
      <w:r w:rsidRPr="005E131C">
        <w:rPr>
          <w:rFonts w:ascii="Times New Roman" w:hAnsi="Times New Roman" w:cs="Times New Roman"/>
          <w:sz w:val="24"/>
          <w:szCs w:val="24"/>
        </w:rPr>
        <w:instrText xml:space="preserve"> SEQ Figure \* ARABIC </w:instrText>
      </w:r>
      <w:r w:rsidRPr="005E131C">
        <w:rPr>
          <w:rFonts w:ascii="Times New Roman" w:hAnsi="Times New Roman" w:cs="Times New Roman"/>
          <w:sz w:val="24"/>
          <w:szCs w:val="24"/>
        </w:rPr>
        <w:fldChar w:fldCharType="separate"/>
      </w:r>
      <w:r w:rsidR="002F13F8" w:rsidRPr="005E131C">
        <w:rPr>
          <w:rFonts w:ascii="Times New Roman" w:hAnsi="Times New Roman" w:cs="Times New Roman"/>
          <w:noProof/>
          <w:sz w:val="24"/>
          <w:szCs w:val="24"/>
        </w:rPr>
        <w:t>1</w:t>
      </w:r>
      <w:r w:rsidRPr="005E131C">
        <w:rPr>
          <w:rFonts w:ascii="Times New Roman" w:hAnsi="Times New Roman" w:cs="Times New Roman"/>
          <w:sz w:val="24"/>
          <w:szCs w:val="24"/>
        </w:rPr>
        <w:fldChar w:fldCharType="end"/>
      </w:r>
      <w:r w:rsidRPr="005E131C">
        <w:rPr>
          <w:rFonts w:ascii="Times New Roman" w:hAnsi="Times New Roman" w:cs="Times New Roman"/>
          <w:sz w:val="24"/>
          <w:szCs w:val="24"/>
        </w:rPr>
        <w:t xml:space="preserve">: Stakeholder </w:t>
      </w:r>
      <w:proofErr w:type="gramStart"/>
      <w:r w:rsidRPr="005E131C">
        <w:rPr>
          <w:rFonts w:ascii="Times New Roman" w:hAnsi="Times New Roman" w:cs="Times New Roman"/>
          <w:sz w:val="24"/>
          <w:szCs w:val="24"/>
        </w:rPr>
        <w:t>Management  (</w:t>
      </w:r>
      <w:proofErr w:type="gramEnd"/>
      <w:r w:rsidRPr="005E131C">
        <w:rPr>
          <w:rFonts w:ascii="Times New Roman" w:hAnsi="Times New Roman" w:cs="Times New Roman"/>
          <w:sz w:val="24"/>
          <w:szCs w:val="24"/>
        </w:rPr>
        <w:t>Source: ResearchGate)</w:t>
      </w:r>
    </w:p>
    <w:p w14:paraId="52283643" w14:textId="20B6A098" w:rsidR="00D82E96" w:rsidRPr="005E131C" w:rsidRDefault="00D82E96" w:rsidP="00DE71F1">
      <w:pPr>
        <w:ind w:firstLine="0"/>
        <w:rPr>
          <w:rFonts w:ascii="Times New Roman" w:hAnsi="Times New Roman" w:cs="Times New Roman"/>
        </w:rPr>
      </w:pPr>
      <w:r w:rsidRPr="005E131C">
        <w:rPr>
          <w:rFonts w:ascii="Times New Roman" w:hAnsi="Times New Roman" w:cs="Times New Roman"/>
        </w:rPr>
        <w:t xml:space="preserve">The selected project discusses the participation of stakeholders in the delivery of private security services on a medium-sized residential housing estate in the United Kingdom which consists of some 450 mixed-tenure residential properties with a private estate management firm. The </w:t>
      </w:r>
      <w:r w:rsidRPr="005E131C">
        <w:rPr>
          <w:rFonts w:ascii="Times New Roman" w:hAnsi="Times New Roman" w:cs="Times New Roman"/>
        </w:rPr>
        <w:lastRenderedPageBreak/>
        <w:t xml:space="preserve">introduction of uniformed patrols, CCTV surveillance and controlled access are some of the measures included in the project to combat increasing anti-social behaviour and property crime concerns. </w:t>
      </w:r>
      <w:r w:rsidR="002C081C" w:rsidRPr="005E131C">
        <w:rPr>
          <w:rFonts w:ascii="Times New Roman" w:hAnsi="Times New Roman" w:cs="Times New Roman"/>
        </w:rPr>
        <w:t xml:space="preserve">However, as </w:t>
      </w:r>
      <w:proofErr w:type="spellStart"/>
      <w:r w:rsidR="0013297E" w:rsidRPr="005E131C">
        <w:rPr>
          <w:rFonts w:ascii="Times New Roman" w:hAnsi="Times New Roman" w:cs="Times New Roman"/>
        </w:rPr>
        <w:t>Waris</w:t>
      </w:r>
      <w:proofErr w:type="spellEnd"/>
      <w:r w:rsidR="0013297E" w:rsidRPr="005E131C">
        <w:rPr>
          <w:rFonts w:ascii="Times New Roman" w:hAnsi="Times New Roman" w:cs="Times New Roman"/>
        </w:rPr>
        <w:t xml:space="preserve"> et al. (2022)</w:t>
      </w:r>
      <w:r w:rsidR="002C081C" w:rsidRPr="005E131C">
        <w:rPr>
          <w:rFonts w:ascii="Times New Roman" w:hAnsi="Times New Roman" w:cs="Times New Roman"/>
        </w:rPr>
        <w:t xml:space="preserve"> notes, public-facing projects operate within complex stakeholder environments where interests frequently diverge; thus, estate managers must mediate between residents demanding visible enforcement and those </w:t>
      </w:r>
      <w:proofErr w:type="spellStart"/>
      <w:r w:rsidR="002C081C" w:rsidRPr="005E131C">
        <w:rPr>
          <w:rFonts w:ascii="Times New Roman" w:hAnsi="Times New Roman" w:cs="Times New Roman"/>
        </w:rPr>
        <w:t>prioritising</w:t>
      </w:r>
      <w:proofErr w:type="spellEnd"/>
      <w:r w:rsidR="002C081C" w:rsidRPr="005E131C">
        <w:rPr>
          <w:rFonts w:ascii="Times New Roman" w:hAnsi="Times New Roman" w:cs="Times New Roman"/>
        </w:rPr>
        <w:t xml:space="preserve"> privacy and community atmosphere. </w:t>
      </w:r>
      <w:r w:rsidRPr="005E131C">
        <w:rPr>
          <w:rFonts w:ascii="Times New Roman" w:hAnsi="Times New Roman" w:cs="Times New Roman"/>
        </w:rPr>
        <w:t xml:space="preserve">Moreover, </w:t>
      </w:r>
      <w:r w:rsidR="0013297E" w:rsidRPr="005E131C">
        <w:rPr>
          <w:rFonts w:ascii="Times New Roman" w:hAnsi="Times New Roman" w:cs="Times New Roman"/>
        </w:rPr>
        <w:t>O’Neill and Fyfe (2017)</w:t>
      </w:r>
      <w:r w:rsidRPr="005E131C">
        <w:rPr>
          <w:rFonts w:ascii="Times New Roman" w:hAnsi="Times New Roman" w:cs="Times New Roman"/>
        </w:rPr>
        <w:t xml:space="preserve"> conclude that plural policing systems such as private security must be based on legitimacy, which is based on societal approval. Subsequently, the goals of the project are not limited to crime reduction but rather aimed at improving the perception of safety and building community confidence and guaranteeing equal and ethically sound security measures in accordance with the expectations and regulatory norms of the residents.</w:t>
      </w:r>
    </w:p>
    <w:p w14:paraId="036F2592" w14:textId="52B78E6C" w:rsidR="00D82E96" w:rsidRPr="005E131C" w:rsidRDefault="00D82E96" w:rsidP="00707F76">
      <w:pPr>
        <w:pStyle w:val="Heading1"/>
        <w:numPr>
          <w:ilvl w:val="0"/>
          <w:numId w:val="0"/>
        </w:numPr>
        <w:rPr>
          <w:rFonts w:ascii="Times New Roman" w:hAnsi="Times New Roman" w:cs="Times New Roman"/>
          <w:sz w:val="24"/>
          <w:szCs w:val="24"/>
        </w:rPr>
      </w:pPr>
      <w:bookmarkStart w:id="1" w:name="_Toc222808798"/>
      <w:r w:rsidRPr="005E131C">
        <w:rPr>
          <w:rFonts w:ascii="Times New Roman" w:hAnsi="Times New Roman" w:cs="Times New Roman"/>
          <w:sz w:val="24"/>
          <w:szCs w:val="24"/>
        </w:rPr>
        <w:t>Element 2: Analysis and Application to include Stakeholder Engagement Strategies</w:t>
      </w:r>
      <w:bookmarkEnd w:id="1"/>
    </w:p>
    <w:p w14:paraId="2FDFFFCB" w14:textId="7E28C981" w:rsidR="00D82E96" w:rsidRPr="005E131C" w:rsidRDefault="00D82E96" w:rsidP="005E131C">
      <w:pPr>
        <w:pStyle w:val="Heading2"/>
        <w:rPr>
          <w:rFonts w:ascii="Times New Roman" w:hAnsi="Times New Roman" w:cs="Times New Roman"/>
          <w:szCs w:val="24"/>
        </w:rPr>
      </w:pPr>
      <w:bookmarkStart w:id="2" w:name="_Toc222808799"/>
      <w:r w:rsidRPr="005E131C">
        <w:rPr>
          <w:rFonts w:ascii="Times New Roman" w:hAnsi="Times New Roman" w:cs="Times New Roman"/>
          <w:szCs w:val="24"/>
        </w:rPr>
        <w:t>Stakeholder Identification and Theoretical Framework</w:t>
      </w:r>
      <w:bookmarkEnd w:id="2"/>
    </w:p>
    <w:p w14:paraId="1CCD0B8A" w14:textId="3F14602C" w:rsidR="00D82E96" w:rsidRPr="005E131C" w:rsidRDefault="00D82E96" w:rsidP="00DE71F1">
      <w:pPr>
        <w:ind w:firstLine="0"/>
        <w:rPr>
          <w:rFonts w:ascii="Times New Roman" w:hAnsi="Times New Roman" w:cs="Times New Roman"/>
        </w:rPr>
      </w:pPr>
      <w:r w:rsidRPr="005E131C">
        <w:rPr>
          <w:rFonts w:ascii="Times New Roman" w:hAnsi="Times New Roman" w:cs="Times New Roman"/>
        </w:rPr>
        <w:t xml:space="preserve">The stakeholder involvement in the provision of security in UK housing estates privately is necessarily complicated by the need to balance competing interests regarding safety, privacy, financial cost, legitimacy and identification with the community; thus, the engagement cannot be informal and reactive. </w:t>
      </w:r>
      <w:r w:rsidR="0013297E" w:rsidRPr="005E131C">
        <w:rPr>
          <w:rFonts w:ascii="Times New Roman" w:hAnsi="Times New Roman" w:cs="Times New Roman"/>
        </w:rPr>
        <w:t xml:space="preserve">O’Neill and Fyfe (2017) </w:t>
      </w:r>
      <w:r w:rsidR="003454F0" w:rsidRPr="005E131C">
        <w:rPr>
          <w:rFonts w:ascii="Times New Roman" w:hAnsi="Times New Roman" w:cs="Times New Roman"/>
        </w:rPr>
        <w:t>argue</w:t>
      </w:r>
      <w:r w:rsidRPr="005E131C">
        <w:rPr>
          <w:rFonts w:ascii="Times New Roman" w:hAnsi="Times New Roman" w:cs="Times New Roman"/>
        </w:rPr>
        <w:t xml:space="preserve"> that organisations need to be able to create value to all stakeholders instead of focusing on one particular contractual customer thereby, in the case, requiring the estate management to view residents, security contractors, local police and vulnerable groups as dependent actors in the governance structure. Furthermore, the security interventions like CCTV and plain sight patrols both defend and contain residents and therefore demand multi-directional communications and not top-down controls. Nonetheless, according to </w:t>
      </w:r>
      <w:r w:rsidR="0013297E" w:rsidRPr="005E131C">
        <w:rPr>
          <w:rFonts w:ascii="Times New Roman" w:hAnsi="Times New Roman" w:cs="Times New Roman"/>
        </w:rPr>
        <w:t xml:space="preserve">Alves, Gomes and </w:t>
      </w:r>
      <w:proofErr w:type="spellStart"/>
      <w:r w:rsidR="0013297E" w:rsidRPr="005E131C">
        <w:rPr>
          <w:rFonts w:ascii="Times New Roman" w:hAnsi="Times New Roman" w:cs="Times New Roman"/>
        </w:rPr>
        <w:t>Corsini</w:t>
      </w:r>
      <w:proofErr w:type="spellEnd"/>
      <w:r w:rsidR="0013297E" w:rsidRPr="005E131C">
        <w:rPr>
          <w:rFonts w:ascii="Times New Roman" w:hAnsi="Times New Roman" w:cs="Times New Roman"/>
        </w:rPr>
        <w:t xml:space="preserve"> (2014) </w:t>
      </w:r>
      <w:r w:rsidRPr="005E131C">
        <w:rPr>
          <w:rFonts w:ascii="Times New Roman" w:hAnsi="Times New Roman" w:cs="Times New Roman"/>
        </w:rPr>
        <w:t xml:space="preserve">power, legitimacy and urgency influence stakeholder influence; and thus, the decision-making process may be dominated by the estate managers and police, because of their institutional authority and residents, despite moral legitimacy, may hold no formal power. </w:t>
      </w:r>
      <w:proofErr w:type="gramStart"/>
      <w:r w:rsidRPr="005E131C">
        <w:rPr>
          <w:rFonts w:ascii="Times New Roman" w:hAnsi="Times New Roman" w:cs="Times New Roman"/>
        </w:rPr>
        <w:t>In order to</w:t>
      </w:r>
      <w:proofErr w:type="gramEnd"/>
      <w:r w:rsidRPr="005E131C">
        <w:rPr>
          <w:rFonts w:ascii="Times New Roman" w:hAnsi="Times New Roman" w:cs="Times New Roman"/>
        </w:rPr>
        <w:t xml:space="preserve"> give these theoretical findings a practical application, a Power-Interest Matrix is used to classify stakeholders and approach to engaging with them.</w:t>
      </w:r>
    </w:p>
    <w:p w14:paraId="4F1C5870" w14:textId="25130C5D" w:rsidR="00D82E96" w:rsidRPr="005E131C" w:rsidRDefault="00D82E96" w:rsidP="005E131C">
      <w:pPr>
        <w:pStyle w:val="Heading2"/>
        <w:rPr>
          <w:rFonts w:ascii="Times New Roman" w:hAnsi="Times New Roman" w:cs="Times New Roman"/>
          <w:szCs w:val="24"/>
        </w:rPr>
      </w:pPr>
      <w:bookmarkStart w:id="3" w:name="_Toc222808800"/>
      <w:r w:rsidRPr="005E131C">
        <w:rPr>
          <w:rFonts w:ascii="Times New Roman" w:hAnsi="Times New Roman" w:cs="Times New Roman"/>
          <w:szCs w:val="24"/>
        </w:rPr>
        <w:t>Stakeholder Mapping and Power–Interest Matrix</w:t>
      </w:r>
      <w:bookmarkEnd w:id="3"/>
    </w:p>
    <w:p w14:paraId="32DCA43D" w14:textId="049BB462" w:rsidR="00D82E96" w:rsidRPr="005E131C" w:rsidRDefault="00D82E96" w:rsidP="00DE71F1">
      <w:pPr>
        <w:ind w:firstLine="0"/>
        <w:rPr>
          <w:rFonts w:ascii="Times New Roman" w:hAnsi="Times New Roman" w:cs="Times New Roman"/>
        </w:rPr>
      </w:pPr>
      <w:r w:rsidRPr="005E131C">
        <w:rPr>
          <w:rFonts w:ascii="Times New Roman" w:hAnsi="Times New Roman" w:cs="Times New Roman"/>
        </w:rPr>
        <w:t xml:space="preserve">A Power-Interest Matrix offers a systematic means of grouping the stakeholders based on the relative impact and degree of concern, so that arbitrary or reactive engagement strategies are </w:t>
      </w:r>
      <w:r w:rsidRPr="005E131C">
        <w:rPr>
          <w:rFonts w:ascii="Times New Roman" w:hAnsi="Times New Roman" w:cs="Times New Roman"/>
        </w:rPr>
        <w:lastRenderedPageBreak/>
        <w:t xml:space="preserve">avoided. According to </w:t>
      </w:r>
      <w:proofErr w:type="spellStart"/>
      <w:r w:rsidR="0013297E" w:rsidRPr="005E131C">
        <w:rPr>
          <w:rFonts w:ascii="Times New Roman" w:hAnsi="Times New Roman" w:cs="Times New Roman"/>
        </w:rPr>
        <w:t>Riahi</w:t>
      </w:r>
      <w:proofErr w:type="spellEnd"/>
      <w:r w:rsidR="0013297E" w:rsidRPr="005E131C">
        <w:rPr>
          <w:rFonts w:ascii="Times New Roman" w:hAnsi="Times New Roman" w:cs="Times New Roman"/>
        </w:rPr>
        <w:t xml:space="preserve"> (2017)</w:t>
      </w:r>
      <w:r w:rsidRPr="005E131C">
        <w:rPr>
          <w:rFonts w:ascii="Times New Roman" w:hAnsi="Times New Roman" w:cs="Times New Roman"/>
        </w:rPr>
        <w:t xml:space="preserve"> stakeholder mapping improves strategic clarity as it can determine who needs to be closely monitored and who need to be periodically monitored. The Estate Management Company, Security Contractor and Residents Committee is in High power high interest quadrant since it holds the financial resources, contractual Service Level Agreements (SLAs) and discretion over operational enforcement. On the other hand, the local police and the local authority have institutional authority, and are </w:t>
      </w:r>
      <w:proofErr w:type="spellStart"/>
      <w:r w:rsidRPr="005E131C">
        <w:rPr>
          <w:rFonts w:ascii="Times New Roman" w:hAnsi="Times New Roman" w:cs="Times New Roman"/>
        </w:rPr>
        <w:t>legitimised</w:t>
      </w:r>
      <w:proofErr w:type="spellEnd"/>
      <w:r w:rsidRPr="005E131C">
        <w:rPr>
          <w:rFonts w:ascii="Times New Roman" w:hAnsi="Times New Roman" w:cs="Times New Roman"/>
        </w:rPr>
        <w:t xml:space="preserve">, although in a more episodic form. Direct impact on vulnerable groups and general residents leads to high interest but disjointed power, which is a dimension of salience as posited by </w:t>
      </w:r>
      <w:r w:rsidR="0013297E" w:rsidRPr="005E131C">
        <w:rPr>
          <w:rFonts w:ascii="Times New Roman" w:hAnsi="Times New Roman" w:cs="Times New Roman"/>
        </w:rPr>
        <w:t>Moher, Anderson and Song (2015</w:t>
      </w:r>
      <w:r w:rsidRPr="005E131C">
        <w:rPr>
          <w:rFonts w:ascii="Times New Roman" w:hAnsi="Times New Roman" w:cs="Times New Roman"/>
        </w:rPr>
        <w:t>). This imbalance therefore poses a threat of delivering security based rather than community-based governance results especially where the financial and operational interests take precedence over the voice of participation. The stakeholder power-interest matrix is presented in the figure</w:t>
      </w:r>
      <w:r w:rsidR="00E43E50" w:rsidRPr="005E131C">
        <w:rPr>
          <w:rFonts w:ascii="Times New Roman" w:hAnsi="Times New Roman" w:cs="Times New Roman"/>
        </w:rPr>
        <w:t xml:space="preserve"> </w:t>
      </w:r>
      <w:r w:rsidR="00041E23" w:rsidRPr="005E131C">
        <w:rPr>
          <w:rFonts w:ascii="Times New Roman" w:hAnsi="Times New Roman" w:cs="Times New Roman"/>
        </w:rPr>
        <w:t>2</w:t>
      </w:r>
      <w:r w:rsidRPr="005E131C">
        <w:rPr>
          <w:rFonts w:ascii="Times New Roman" w:hAnsi="Times New Roman" w:cs="Times New Roman"/>
        </w:rPr>
        <w:t xml:space="preserve"> below.</w:t>
      </w:r>
    </w:p>
    <w:p w14:paraId="53A1388F" w14:textId="77777777" w:rsidR="00A47F17" w:rsidRPr="005E131C" w:rsidRDefault="00A47F17" w:rsidP="005E131C">
      <w:pPr>
        <w:keepNext/>
        <w:jc w:val="center"/>
        <w:rPr>
          <w:rFonts w:ascii="Times New Roman" w:hAnsi="Times New Roman" w:cs="Times New Roman"/>
        </w:rPr>
      </w:pPr>
      <w:r w:rsidRPr="005E131C">
        <w:rPr>
          <w:rFonts w:ascii="Times New Roman" w:hAnsi="Times New Roman" w:cs="Times New Roman"/>
          <w:noProof/>
        </w:rPr>
        <w:drawing>
          <wp:inline distT="0" distB="0" distL="0" distR="0" wp14:anchorId="29CD2E63" wp14:editId="7A94B950">
            <wp:extent cx="4871486" cy="3124842"/>
            <wp:effectExtent l="19050" t="19050" r="24765" b="18415"/>
            <wp:docPr id="9807783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655" t="9132" r="10365" b="8138"/>
                    <a:stretch>
                      <a:fillRect/>
                    </a:stretch>
                  </pic:blipFill>
                  <pic:spPr bwMode="auto">
                    <a:xfrm>
                      <a:off x="0" y="0"/>
                      <a:ext cx="4903611" cy="3145449"/>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04D42522" w14:textId="5618772E" w:rsidR="00A47F17" w:rsidRPr="005E131C" w:rsidRDefault="00A47F17" w:rsidP="005E131C">
      <w:pPr>
        <w:pStyle w:val="Caption"/>
        <w:spacing w:line="360" w:lineRule="auto"/>
        <w:jc w:val="center"/>
        <w:rPr>
          <w:rFonts w:ascii="Times New Roman" w:hAnsi="Times New Roman" w:cs="Times New Roman"/>
          <w:sz w:val="24"/>
          <w:szCs w:val="24"/>
        </w:rPr>
      </w:pPr>
      <w:r w:rsidRPr="005E131C">
        <w:rPr>
          <w:rFonts w:ascii="Times New Roman" w:hAnsi="Times New Roman" w:cs="Times New Roman"/>
          <w:sz w:val="24"/>
          <w:szCs w:val="24"/>
        </w:rPr>
        <w:t xml:space="preserve">Figure </w:t>
      </w:r>
      <w:r w:rsidRPr="005E131C">
        <w:rPr>
          <w:rFonts w:ascii="Times New Roman" w:hAnsi="Times New Roman" w:cs="Times New Roman"/>
          <w:sz w:val="24"/>
          <w:szCs w:val="24"/>
        </w:rPr>
        <w:fldChar w:fldCharType="begin"/>
      </w:r>
      <w:r w:rsidRPr="005E131C">
        <w:rPr>
          <w:rFonts w:ascii="Times New Roman" w:hAnsi="Times New Roman" w:cs="Times New Roman"/>
          <w:sz w:val="24"/>
          <w:szCs w:val="24"/>
        </w:rPr>
        <w:instrText xml:space="preserve"> SEQ Figure \* ARABIC </w:instrText>
      </w:r>
      <w:r w:rsidRPr="005E131C">
        <w:rPr>
          <w:rFonts w:ascii="Times New Roman" w:hAnsi="Times New Roman" w:cs="Times New Roman"/>
          <w:sz w:val="24"/>
          <w:szCs w:val="24"/>
        </w:rPr>
        <w:fldChar w:fldCharType="separate"/>
      </w:r>
      <w:r w:rsidR="002F13F8" w:rsidRPr="005E131C">
        <w:rPr>
          <w:rFonts w:ascii="Times New Roman" w:hAnsi="Times New Roman" w:cs="Times New Roman"/>
          <w:noProof/>
          <w:sz w:val="24"/>
          <w:szCs w:val="24"/>
        </w:rPr>
        <w:t>2</w:t>
      </w:r>
      <w:r w:rsidRPr="005E131C">
        <w:rPr>
          <w:rFonts w:ascii="Times New Roman" w:hAnsi="Times New Roman" w:cs="Times New Roman"/>
          <w:sz w:val="24"/>
          <w:szCs w:val="24"/>
        </w:rPr>
        <w:fldChar w:fldCharType="end"/>
      </w:r>
      <w:r w:rsidRPr="005E131C">
        <w:rPr>
          <w:rFonts w:ascii="Times New Roman" w:hAnsi="Times New Roman" w:cs="Times New Roman"/>
          <w:sz w:val="24"/>
          <w:szCs w:val="24"/>
        </w:rPr>
        <w:t>: Stakeholder Power–Interest Matrix</w:t>
      </w:r>
    </w:p>
    <w:p w14:paraId="3EEE749E" w14:textId="766DACFC" w:rsidR="00D82E96" w:rsidRPr="005E131C" w:rsidRDefault="00D82E96" w:rsidP="005E131C">
      <w:pPr>
        <w:pStyle w:val="Heading2"/>
        <w:rPr>
          <w:rFonts w:ascii="Times New Roman" w:hAnsi="Times New Roman" w:cs="Times New Roman"/>
          <w:szCs w:val="24"/>
        </w:rPr>
      </w:pPr>
      <w:bookmarkStart w:id="4" w:name="_Toc222808801"/>
      <w:r w:rsidRPr="005E131C">
        <w:rPr>
          <w:rFonts w:ascii="Times New Roman" w:hAnsi="Times New Roman" w:cs="Times New Roman"/>
          <w:szCs w:val="24"/>
        </w:rPr>
        <w:t>Analysis of Key Stakeholder Groups and Their Roles</w:t>
      </w:r>
      <w:bookmarkEnd w:id="4"/>
    </w:p>
    <w:p w14:paraId="2511291B" w14:textId="77777777" w:rsidR="00D82E96" w:rsidRPr="005E131C" w:rsidRDefault="00D82E96" w:rsidP="005E131C">
      <w:pPr>
        <w:pStyle w:val="Heading3"/>
        <w:rPr>
          <w:rFonts w:ascii="Times New Roman" w:eastAsia="Times New Roman" w:hAnsi="Times New Roman" w:cs="Times New Roman"/>
          <w:szCs w:val="24"/>
        </w:rPr>
      </w:pPr>
      <w:bookmarkStart w:id="5" w:name="_Toc222808802"/>
      <w:r w:rsidRPr="005E131C">
        <w:rPr>
          <w:rFonts w:ascii="Times New Roman" w:eastAsia="Times New Roman" w:hAnsi="Times New Roman" w:cs="Times New Roman"/>
          <w:szCs w:val="24"/>
        </w:rPr>
        <w:t>High Power–High Interest</w:t>
      </w:r>
      <w:bookmarkEnd w:id="5"/>
      <w:r w:rsidRPr="005E131C">
        <w:rPr>
          <w:rFonts w:ascii="Times New Roman" w:eastAsia="Times New Roman" w:hAnsi="Times New Roman" w:cs="Times New Roman"/>
          <w:szCs w:val="24"/>
        </w:rPr>
        <w:t xml:space="preserve"> </w:t>
      </w:r>
    </w:p>
    <w:p w14:paraId="28AC6E8B" w14:textId="4117A432" w:rsidR="00D82E96" w:rsidRPr="005E131C" w:rsidRDefault="00D82E96" w:rsidP="00DE71F1">
      <w:pPr>
        <w:ind w:firstLine="0"/>
        <w:rPr>
          <w:rFonts w:ascii="Times New Roman" w:hAnsi="Times New Roman" w:cs="Times New Roman"/>
        </w:rPr>
      </w:pPr>
      <w:r w:rsidRPr="005E131C">
        <w:rPr>
          <w:rFonts w:ascii="Times New Roman" w:hAnsi="Times New Roman" w:cs="Times New Roman"/>
        </w:rPr>
        <w:t xml:space="preserve">The stakeholders in this quadrant have direct strategic and operational control. Estate Management Company has contractual authority, budgetary control and responsibility of Service Level Agreements and hence determining security priorities and as such, as argued by </w:t>
      </w:r>
      <w:r w:rsidR="0013297E" w:rsidRPr="005E131C">
        <w:rPr>
          <w:rFonts w:ascii="Times New Roman" w:hAnsi="Times New Roman" w:cs="Times New Roman"/>
        </w:rPr>
        <w:t>O’Donnell (2014)</w:t>
      </w:r>
      <w:r w:rsidRPr="005E131C">
        <w:rPr>
          <w:rFonts w:ascii="Times New Roman" w:hAnsi="Times New Roman" w:cs="Times New Roman"/>
        </w:rPr>
        <w:t xml:space="preserve">, </w:t>
      </w:r>
      <w:r w:rsidRPr="005E131C">
        <w:rPr>
          <w:rFonts w:ascii="Times New Roman" w:hAnsi="Times New Roman" w:cs="Times New Roman"/>
        </w:rPr>
        <w:lastRenderedPageBreak/>
        <w:t xml:space="preserve">resource dependence facilitates the ability of financially dominant players to influence the results. Simultaneously, the Security Contractor exercises discretion in the operation in the form of patrol techniques and rule enforcement, thus leading to discrepancies with perceived fairness. Despite the intentions of both actors to reduce liability and reputational risk, such concentration of power can </w:t>
      </w:r>
      <w:proofErr w:type="spellStart"/>
      <w:r w:rsidRPr="005E131C">
        <w:rPr>
          <w:rFonts w:ascii="Times New Roman" w:hAnsi="Times New Roman" w:cs="Times New Roman"/>
        </w:rPr>
        <w:t>marginalise</w:t>
      </w:r>
      <w:proofErr w:type="spellEnd"/>
      <w:r w:rsidRPr="005E131C">
        <w:rPr>
          <w:rFonts w:ascii="Times New Roman" w:hAnsi="Times New Roman" w:cs="Times New Roman"/>
        </w:rPr>
        <w:t xml:space="preserve"> resident voice unless moderated by some structured form of participation.</w:t>
      </w:r>
    </w:p>
    <w:p w14:paraId="2DC50D66" w14:textId="77777777" w:rsidR="00D82E96" w:rsidRPr="005E131C" w:rsidRDefault="00D82E96" w:rsidP="005E131C">
      <w:pPr>
        <w:pStyle w:val="Heading3"/>
        <w:rPr>
          <w:rFonts w:ascii="Times New Roman" w:eastAsia="Times New Roman" w:hAnsi="Times New Roman" w:cs="Times New Roman"/>
          <w:bCs/>
          <w:kern w:val="0"/>
          <w:szCs w:val="24"/>
          <w14:ligatures w14:val="none"/>
        </w:rPr>
      </w:pPr>
      <w:bookmarkStart w:id="6" w:name="_Toc222808803"/>
      <w:r w:rsidRPr="005E131C">
        <w:rPr>
          <w:rFonts w:ascii="Times New Roman" w:eastAsia="Times New Roman" w:hAnsi="Times New Roman" w:cs="Times New Roman"/>
          <w:bCs/>
          <w:kern w:val="0"/>
          <w:szCs w:val="24"/>
          <w14:ligatures w14:val="none"/>
        </w:rPr>
        <w:t>High Power–Low Interest</w:t>
      </w:r>
      <w:bookmarkEnd w:id="6"/>
      <w:r w:rsidRPr="005E131C">
        <w:rPr>
          <w:rFonts w:ascii="Times New Roman" w:eastAsia="Times New Roman" w:hAnsi="Times New Roman" w:cs="Times New Roman"/>
          <w:bCs/>
          <w:kern w:val="0"/>
          <w:szCs w:val="24"/>
          <w14:ligatures w14:val="none"/>
        </w:rPr>
        <w:t xml:space="preserve"> </w:t>
      </w:r>
    </w:p>
    <w:p w14:paraId="6EB99B73" w14:textId="5329DC35" w:rsidR="00D82E96" w:rsidRPr="005E131C" w:rsidRDefault="00D82E96" w:rsidP="00DE71F1">
      <w:pPr>
        <w:ind w:firstLine="0"/>
        <w:rPr>
          <w:rFonts w:ascii="Times New Roman" w:hAnsi="Times New Roman" w:cs="Times New Roman"/>
        </w:rPr>
      </w:pPr>
      <w:r w:rsidRPr="005E131C">
        <w:rPr>
          <w:rFonts w:ascii="Times New Roman" w:hAnsi="Times New Roman" w:cs="Times New Roman"/>
        </w:rPr>
        <w:t>The Local Police is positioned at a point of institutional power and offers prevention of crime advice and approves of security at a personal level; their input increases procedural credibility (</w:t>
      </w:r>
      <w:proofErr w:type="spellStart"/>
      <w:r w:rsidR="002B16A3" w:rsidRPr="005E131C">
        <w:rPr>
          <w:rFonts w:ascii="Times New Roman" w:hAnsi="Times New Roman" w:cs="Times New Roman"/>
        </w:rPr>
        <w:t>Alehegn</w:t>
      </w:r>
      <w:proofErr w:type="spellEnd"/>
      <w:r w:rsidR="002B16A3" w:rsidRPr="005E131C">
        <w:rPr>
          <w:rFonts w:ascii="Times New Roman" w:hAnsi="Times New Roman" w:cs="Times New Roman"/>
        </w:rPr>
        <w:t xml:space="preserve">, Karunakaran and </w:t>
      </w:r>
      <w:proofErr w:type="spellStart"/>
      <w:r w:rsidR="002B16A3" w:rsidRPr="005E131C">
        <w:rPr>
          <w:rFonts w:ascii="Times New Roman" w:hAnsi="Times New Roman" w:cs="Times New Roman"/>
        </w:rPr>
        <w:t>Engida</w:t>
      </w:r>
      <w:proofErr w:type="spellEnd"/>
      <w:r w:rsidR="002B16A3" w:rsidRPr="005E131C">
        <w:rPr>
          <w:rFonts w:ascii="Times New Roman" w:hAnsi="Times New Roman" w:cs="Times New Roman"/>
        </w:rPr>
        <w:t>, 2025</w:t>
      </w:r>
      <w:r w:rsidRPr="005E131C">
        <w:rPr>
          <w:rFonts w:ascii="Times New Roman" w:hAnsi="Times New Roman" w:cs="Times New Roman"/>
        </w:rPr>
        <w:t xml:space="preserve">). But since they are not </w:t>
      </w:r>
      <w:proofErr w:type="spellStart"/>
      <w:r w:rsidRPr="005E131C">
        <w:rPr>
          <w:rFonts w:ascii="Times New Roman" w:hAnsi="Times New Roman" w:cs="Times New Roman"/>
        </w:rPr>
        <w:t>institutionalised</w:t>
      </w:r>
      <w:proofErr w:type="spellEnd"/>
      <w:r w:rsidRPr="005E131C">
        <w:rPr>
          <w:rFonts w:ascii="Times New Roman" w:hAnsi="Times New Roman" w:cs="Times New Roman"/>
        </w:rPr>
        <w:t xml:space="preserve"> in terms of the structures of the governance of estates, they are not involved on a regular basis but only occasionally. As a result, coordination might not be clear, especially in terms of accountability of minor incidents or sharing data. However, despite this distance maintaining the impartiality of the masses, it may create confusion in the responsibilities of the actors of public and private policing.</w:t>
      </w:r>
    </w:p>
    <w:p w14:paraId="2007F11B" w14:textId="77777777" w:rsidR="00D82E96" w:rsidRPr="005E131C" w:rsidRDefault="00D82E96" w:rsidP="005E131C">
      <w:pPr>
        <w:pStyle w:val="Heading3"/>
        <w:rPr>
          <w:rFonts w:ascii="Times New Roman" w:eastAsia="Times New Roman" w:hAnsi="Times New Roman" w:cs="Times New Roman"/>
          <w:bCs/>
          <w:kern w:val="0"/>
          <w:szCs w:val="24"/>
          <w14:ligatures w14:val="none"/>
        </w:rPr>
      </w:pPr>
      <w:bookmarkStart w:id="7" w:name="_Toc222808804"/>
      <w:r w:rsidRPr="005E131C">
        <w:rPr>
          <w:rFonts w:ascii="Times New Roman" w:eastAsia="Times New Roman" w:hAnsi="Times New Roman" w:cs="Times New Roman"/>
          <w:bCs/>
          <w:kern w:val="0"/>
          <w:szCs w:val="24"/>
          <w14:ligatures w14:val="none"/>
        </w:rPr>
        <w:t>Low Power–High Interest</w:t>
      </w:r>
      <w:bookmarkEnd w:id="7"/>
      <w:r w:rsidRPr="005E131C">
        <w:rPr>
          <w:rFonts w:ascii="Times New Roman" w:eastAsia="Times New Roman" w:hAnsi="Times New Roman" w:cs="Times New Roman"/>
          <w:bCs/>
          <w:kern w:val="0"/>
          <w:szCs w:val="24"/>
          <w14:ligatures w14:val="none"/>
        </w:rPr>
        <w:t xml:space="preserve"> </w:t>
      </w:r>
    </w:p>
    <w:p w14:paraId="2BE36EFB" w14:textId="483DECA8" w:rsidR="00D82E96" w:rsidRPr="005E131C" w:rsidRDefault="00D82E96" w:rsidP="00DE71F1">
      <w:pPr>
        <w:ind w:firstLine="0"/>
        <w:rPr>
          <w:rFonts w:ascii="Times New Roman" w:hAnsi="Times New Roman" w:cs="Times New Roman"/>
        </w:rPr>
      </w:pPr>
      <w:r w:rsidRPr="005E131C">
        <w:rPr>
          <w:rFonts w:ascii="Times New Roman" w:hAnsi="Times New Roman" w:cs="Times New Roman"/>
        </w:rPr>
        <w:t xml:space="preserve">The primary beneficiaries and subjects of surveillance are residents, and thus, they are highly interested in security outcomes; however, their impact is still divided unless they are </w:t>
      </w:r>
      <w:proofErr w:type="spellStart"/>
      <w:r w:rsidRPr="005E131C">
        <w:rPr>
          <w:rFonts w:ascii="Times New Roman" w:hAnsi="Times New Roman" w:cs="Times New Roman"/>
        </w:rPr>
        <w:t>organised</w:t>
      </w:r>
      <w:proofErr w:type="spellEnd"/>
      <w:r w:rsidRPr="005E131C">
        <w:rPr>
          <w:rFonts w:ascii="Times New Roman" w:hAnsi="Times New Roman" w:cs="Times New Roman"/>
        </w:rPr>
        <w:t xml:space="preserve"> as a cohesive force. </w:t>
      </w:r>
      <w:r w:rsidR="002B16A3" w:rsidRPr="005E131C">
        <w:rPr>
          <w:rFonts w:ascii="Times New Roman" w:hAnsi="Times New Roman" w:cs="Times New Roman"/>
        </w:rPr>
        <w:t>Islam (2015</w:t>
      </w:r>
      <w:r w:rsidRPr="005E131C">
        <w:rPr>
          <w:rFonts w:ascii="Times New Roman" w:hAnsi="Times New Roman" w:cs="Times New Roman"/>
        </w:rPr>
        <w:t xml:space="preserve">) </w:t>
      </w:r>
      <w:proofErr w:type="spellStart"/>
      <w:r w:rsidRPr="005E131C">
        <w:rPr>
          <w:rFonts w:ascii="Times New Roman" w:hAnsi="Times New Roman" w:cs="Times New Roman"/>
        </w:rPr>
        <w:t>recognise</w:t>
      </w:r>
      <w:proofErr w:type="spellEnd"/>
      <w:r w:rsidRPr="005E131C">
        <w:rPr>
          <w:rFonts w:ascii="Times New Roman" w:hAnsi="Times New Roman" w:cs="Times New Roman"/>
        </w:rPr>
        <w:t xml:space="preserve"> that stakeholders with legitimacy but low power face the threat of </w:t>
      </w:r>
      <w:proofErr w:type="spellStart"/>
      <w:r w:rsidRPr="005E131C">
        <w:rPr>
          <w:rFonts w:ascii="Times New Roman" w:hAnsi="Times New Roman" w:cs="Times New Roman"/>
        </w:rPr>
        <w:t>marginalisation</w:t>
      </w:r>
      <w:proofErr w:type="spellEnd"/>
      <w:r w:rsidRPr="005E131C">
        <w:rPr>
          <w:rFonts w:ascii="Times New Roman" w:hAnsi="Times New Roman" w:cs="Times New Roman"/>
        </w:rPr>
        <w:t xml:space="preserve"> in governance processes. Moreover, varied resident views such as demands to have visible patrols to concerns over privacy make consensus-building difficult. Weak populations could face excessive scrutiny, which consequently increases the demand of integrative consultation systems to protect fairness and procedural justice.</w:t>
      </w:r>
    </w:p>
    <w:p w14:paraId="604591FB" w14:textId="6BB955DF" w:rsidR="00D82E96" w:rsidRPr="005E131C" w:rsidRDefault="00D82E96" w:rsidP="005E131C">
      <w:pPr>
        <w:pStyle w:val="Heading3"/>
        <w:rPr>
          <w:rFonts w:ascii="Times New Roman" w:eastAsia="Times New Roman" w:hAnsi="Times New Roman" w:cs="Times New Roman"/>
          <w:kern w:val="0"/>
          <w:szCs w:val="24"/>
          <w14:ligatures w14:val="none"/>
        </w:rPr>
      </w:pPr>
      <w:bookmarkStart w:id="8" w:name="_Toc222808805"/>
      <w:r w:rsidRPr="005E131C">
        <w:rPr>
          <w:rFonts w:ascii="Times New Roman" w:eastAsia="Times New Roman" w:hAnsi="Times New Roman" w:cs="Times New Roman"/>
          <w:bCs/>
          <w:kern w:val="0"/>
          <w:szCs w:val="24"/>
          <w14:ligatures w14:val="none"/>
        </w:rPr>
        <w:t>Low Power–Low Interest</w:t>
      </w:r>
      <w:bookmarkEnd w:id="8"/>
      <w:r w:rsidRPr="005E131C">
        <w:rPr>
          <w:rFonts w:ascii="Times New Roman" w:eastAsia="Times New Roman" w:hAnsi="Times New Roman" w:cs="Times New Roman"/>
          <w:bCs/>
          <w:kern w:val="0"/>
          <w:szCs w:val="24"/>
          <w14:ligatures w14:val="none"/>
        </w:rPr>
        <w:t xml:space="preserve"> </w:t>
      </w:r>
    </w:p>
    <w:p w14:paraId="63131B60" w14:textId="0AE18625" w:rsidR="00D82E96" w:rsidRPr="005E131C" w:rsidRDefault="00D82E96" w:rsidP="00DE71F1">
      <w:pPr>
        <w:ind w:firstLine="0"/>
        <w:rPr>
          <w:rFonts w:ascii="Times New Roman" w:hAnsi="Times New Roman" w:cs="Times New Roman"/>
        </w:rPr>
      </w:pPr>
      <w:r w:rsidRPr="005E131C">
        <w:rPr>
          <w:rFonts w:ascii="Times New Roman" w:hAnsi="Times New Roman" w:cs="Times New Roman"/>
        </w:rPr>
        <w:t xml:space="preserve">Visitors, delivery services and the local community have less formal power and reduced long term interest, but they are still indirectly impacted by access controls and surveillance </w:t>
      </w:r>
      <w:r w:rsidR="00EA7637" w:rsidRPr="005E131C">
        <w:rPr>
          <w:rFonts w:ascii="Times New Roman" w:hAnsi="Times New Roman" w:cs="Times New Roman"/>
        </w:rPr>
        <w:t>practices</w:t>
      </w:r>
      <w:r w:rsidRPr="005E131C">
        <w:rPr>
          <w:rFonts w:ascii="Times New Roman" w:hAnsi="Times New Roman" w:cs="Times New Roman"/>
        </w:rPr>
        <w:t xml:space="preserve">. Though the intensity of engagement can indeed be low, reputational spillovers can take place provided the security measures are seen to be exclusionary or discriminatory. According to </w:t>
      </w:r>
      <w:proofErr w:type="spellStart"/>
      <w:r w:rsidR="002B16A3" w:rsidRPr="005E131C">
        <w:rPr>
          <w:rFonts w:ascii="Times New Roman" w:hAnsi="Times New Roman" w:cs="Times New Roman"/>
        </w:rPr>
        <w:t>Furxhi</w:t>
      </w:r>
      <w:proofErr w:type="spellEnd"/>
      <w:r w:rsidR="002B16A3" w:rsidRPr="005E131C">
        <w:rPr>
          <w:rFonts w:ascii="Times New Roman" w:hAnsi="Times New Roman" w:cs="Times New Roman"/>
        </w:rPr>
        <w:t xml:space="preserve"> (2021</w:t>
      </w:r>
      <w:r w:rsidRPr="005E131C">
        <w:rPr>
          <w:rFonts w:ascii="Times New Roman" w:hAnsi="Times New Roman" w:cs="Times New Roman"/>
        </w:rPr>
        <w:t>), neglecting peripheral stakeholders can create unproductive resistance, hence routine monitoring and open signage are still needed to maintain legitimacy and community relations.</w:t>
      </w:r>
    </w:p>
    <w:p w14:paraId="4338D77E" w14:textId="3E3F0F90" w:rsidR="00D82E96" w:rsidRPr="005E131C" w:rsidRDefault="00D82E96" w:rsidP="005E131C">
      <w:pPr>
        <w:pStyle w:val="Heading2"/>
        <w:rPr>
          <w:rFonts w:ascii="Times New Roman" w:hAnsi="Times New Roman" w:cs="Times New Roman"/>
          <w:szCs w:val="24"/>
        </w:rPr>
      </w:pPr>
      <w:bookmarkStart w:id="9" w:name="_Toc222808806"/>
      <w:r w:rsidRPr="005E131C">
        <w:rPr>
          <w:rFonts w:ascii="Times New Roman" w:hAnsi="Times New Roman" w:cs="Times New Roman"/>
          <w:szCs w:val="24"/>
        </w:rPr>
        <w:lastRenderedPageBreak/>
        <w:t>Stakeholder Engagement Strategies Applied</w:t>
      </w:r>
      <w:bookmarkEnd w:id="9"/>
      <w:r w:rsidRPr="005E131C">
        <w:rPr>
          <w:rFonts w:ascii="Times New Roman" w:hAnsi="Times New Roman" w:cs="Times New Roman"/>
          <w:szCs w:val="24"/>
        </w:rPr>
        <w:t xml:space="preserve"> </w:t>
      </w:r>
    </w:p>
    <w:p w14:paraId="024FE562" w14:textId="1B92E199" w:rsidR="00D82E96" w:rsidRPr="005E131C" w:rsidRDefault="00D82E96" w:rsidP="005E131C">
      <w:pPr>
        <w:pStyle w:val="Heading3"/>
        <w:rPr>
          <w:rFonts w:ascii="Times New Roman" w:hAnsi="Times New Roman" w:cs="Times New Roman"/>
          <w:szCs w:val="24"/>
        </w:rPr>
      </w:pPr>
      <w:bookmarkStart w:id="10" w:name="_Toc222808807"/>
      <w:r w:rsidRPr="005E131C">
        <w:rPr>
          <w:rFonts w:ascii="Times New Roman" w:hAnsi="Times New Roman" w:cs="Times New Roman"/>
          <w:szCs w:val="24"/>
        </w:rPr>
        <w:t>High Power–High Interest</w:t>
      </w:r>
      <w:bookmarkEnd w:id="10"/>
      <w:r w:rsidRPr="005E131C">
        <w:rPr>
          <w:rFonts w:ascii="Times New Roman" w:hAnsi="Times New Roman" w:cs="Times New Roman"/>
          <w:szCs w:val="24"/>
        </w:rPr>
        <w:t xml:space="preserve"> </w:t>
      </w:r>
    </w:p>
    <w:p w14:paraId="69C2A111" w14:textId="5E784B6B" w:rsidR="00D82E96" w:rsidRPr="005E131C" w:rsidRDefault="00316ABB" w:rsidP="00DE71F1">
      <w:pPr>
        <w:ind w:firstLine="0"/>
        <w:rPr>
          <w:rFonts w:ascii="Times New Roman" w:hAnsi="Times New Roman" w:cs="Times New Roman"/>
        </w:rPr>
      </w:pPr>
      <w:r w:rsidRPr="005E131C">
        <w:rPr>
          <w:rFonts w:ascii="Times New Roman" w:hAnsi="Times New Roman" w:cs="Times New Roman"/>
        </w:rPr>
        <w:t xml:space="preserve">The interactions with the Estate Management Company and Security Contractor are mainly based on formal meetings to review the contracts, KPI performance reporting, governance boards and structured feedback loop; hence, a closer alignment of the strategic goals and operational delivery is reinforced. Such mechanisms indicate what </w:t>
      </w:r>
      <w:proofErr w:type="spellStart"/>
      <w:r w:rsidR="005E131C" w:rsidRPr="005E131C">
        <w:rPr>
          <w:rFonts w:ascii="Times New Roman" w:hAnsi="Times New Roman" w:cs="Times New Roman"/>
        </w:rPr>
        <w:t>Ozdemir</w:t>
      </w:r>
      <w:proofErr w:type="spellEnd"/>
      <w:r w:rsidR="005E131C" w:rsidRPr="005E131C">
        <w:rPr>
          <w:rFonts w:ascii="Times New Roman" w:hAnsi="Times New Roman" w:cs="Times New Roman"/>
        </w:rPr>
        <w:t xml:space="preserve"> et al. (</w:t>
      </w:r>
      <w:r w:rsidR="002B16A3" w:rsidRPr="005E131C">
        <w:rPr>
          <w:rFonts w:ascii="Times New Roman" w:hAnsi="Times New Roman" w:cs="Times New Roman"/>
        </w:rPr>
        <w:t>2023</w:t>
      </w:r>
      <w:r w:rsidRPr="005E131C">
        <w:rPr>
          <w:rFonts w:ascii="Times New Roman" w:hAnsi="Times New Roman" w:cs="Times New Roman"/>
        </w:rPr>
        <w:t xml:space="preserve">) refers to as </w:t>
      </w:r>
      <w:proofErr w:type="spellStart"/>
      <w:r w:rsidRPr="005E131C">
        <w:rPr>
          <w:rFonts w:ascii="Times New Roman" w:hAnsi="Times New Roman" w:cs="Times New Roman"/>
        </w:rPr>
        <w:t>organised</w:t>
      </w:r>
      <w:proofErr w:type="spellEnd"/>
      <w:r w:rsidRPr="005E131C">
        <w:rPr>
          <w:rFonts w:ascii="Times New Roman" w:hAnsi="Times New Roman" w:cs="Times New Roman"/>
        </w:rPr>
        <w:t xml:space="preserve"> relationship management in which stakeholders engage in accountability is integrated into performance indicators. Nonetheless, despite the increased levels of clarity and efficiency, this strategy has the disadvantage of possibly leading to the elite capture, in which the decision-making process is centralised among the financially and operationally powerful players. As a result, without transparency mechanisms in place, the managerial interests, e.g., liability reduction, could override the interests of the general community.</w:t>
      </w:r>
    </w:p>
    <w:p w14:paraId="612CD666" w14:textId="77777777" w:rsidR="00316ABB" w:rsidRPr="005E131C" w:rsidRDefault="00D82E96" w:rsidP="005E131C">
      <w:pPr>
        <w:pStyle w:val="Heading3"/>
        <w:rPr>
          <w:rFonts w:ascii="Times New Roman" w:hAnsi="Times New Roman" w:cs="Times New Roman"/>
          <w:szCs w:val="24"/>
        </w:rPr>
      </w:pPr>
      <w:bookmarkStart w:id="11" w:name="_Toc222808808"/>
      <w:r w:rsidRPr="005E131C">
        <w:rPr>
          <w:rFonts w:ascii="Times New Roman" w:hAnsi="Times New Roman" w:cs="Times New Roman"/>
          <w:szCs w:val="24"/>
        </w:rPr>
        <w:t>Residents (Low Power–High Interest)</w:t>
      </w:r>
      <w:bookmarkEnd w:id="11"/>
    </w:p>
    <w:p w14:paraId="64D670DC" w14:textId="280C6B5D" w:rsidR="00D82E96" w:rsidRPr="005E131C" w:rsidRDefault="00316ABB" w:rsidP="00DE71F1">
      <w:pPr>
        <w:ind w:firstLine="0"/>
        <w:rPr>
          <w:rFonts w:ascii="Times New Roman" w:hAnsi="Times New Roman" w:cs="Times New Roman"/>
        </w:rPr>
      </w:pPr>
      <w:r w:rsidRPr="005E131C">
        <w:rPr>
          <w:rFonts w:ascii="Times New Roman" w:hAnsi="Times New Roman" w:cs="Times New Roman"/>
        </w:rPr>
        <w:t>The customary resident engagement includes surveys, quarterly town-hall meetings, online platforms, incident-notification applications and explanatory newsletters detailing the need to conduct patrols and instal</w:t>
      </w:r>
      <w:r w:rsidR="007A2546">
        <w:rPr>
          <w:rFonts w:ascii="Times New Roman" w:hAnsi="Times New Roman" w:cs="Times New Roman"/>
        </w:rPr>
        <w:t>l</w:t>
      </w:r>
      <w:r w:rsidRPr="005E131C">
        <w:rPr>
          <w:rFonts w:ascii="Times New Roman" w:hAnsi="Times New Roman" w:cs="Times New Roman"/>
        </w:rPr>
        <w:t xml:space="preserve"> CCTV. Although these mechanisms assist in the exchange of information, </w:t>
      </w:r>
      <w:proofErr w:type="spellStart"/>
      <w:r w:rsidR="002B16A3" w:rsidRPr="005E131C">
        <w:rPr>
          <w:rFonts w:ascii="Times New Roman" w:hAnsi="Times New Roman" w:cs="Times New Roman"/>
        </w:rPr>
        <w:t>Chinyele</w:t>
      </w:r>
      <w:proofErr w:type="spellEnd"/>
      <w:r w:rsidR="002B16A3" w:rsidRPr="005E131C">
        <w:rPr>
          <w:rFonts w:ascii="Times New Roman" w:hAnsi="Times New Roman" w:cs="Times New Roman"/>
        </w:rPr>
        <w:t xml:space="preserve"> and </w:t>
      </w:r>
      <w:proofErr w:type="spellStart"/>
      <w:r w:rsidR="002B16A3" w:rsidRPr="005E131C">
        <w:rPr>
          <w:rFonts w:ascii="Times New Roman" w:hAnsi="Times New Roman" w:cs="Times New Roman"/>
        </w:rPr>
        <w:t>Lwoga</w:t>
      </w:r>
      <w:proofErr w:type="spellEnd"/>
      <w:r w:rsidR="002B16A3" w:rsidRPr="005E131C">
        <w:rPr>
          <w:rFonts w:ascii="Times New Roman" w:hAnsi="Times New Roman" w:cs="Times New Roman"/>
        </w:rPr>
        <w:t xml:space="preserve"> (2019)</w:t>
      </w:r>
      <w:r w:rsidRPr="005E131C">
        <w:rPr>
          <w:rFonts w:ascii="Times New Roman" w:hAnsi="Times New Roman" w:cs="Times New Roman"/>
        </w:rPr>
        <w:t xml:space="preserve"> contends that consultation without decision making influence amount to tokenism and not participation. Thus, surveys and meetings may increase perceived inclusion, but they require responsiveness that can be shown. Participatory governance should be enhanced through the creation of resident advisory committees or co-design forums that redistribute influence and build trust. In addition, reporting comprehensively on the impact of feedback on security </w:t>
      </w:r>
      <w:r w:rsidR="00EA7637" w:rsidRPr="005E131C">
        <w:rPr>
          <w:rFonts w:ascii="Times New Roman" w:hAnsi="Times New Roman" w:cs="Times New Roman"/>
        </w:rPr>
        <w:t>practices</w:t>
      </w:r>
      <w:r w:rsidRPr="005E131C">
        <w:rPr>
          <w:rFonts w:ascii="Times New Roman" w:hAnsi="Times New Roman" w:cs="Times New Roman"/>
        </w:rPr>
        <w:t xml:space="preserve"> boosts procedural justice and community acceptance. </w:t>
      </w:r>
      <w:r w:rsidR="00D82E96" w:rsidRPr="005E131C">
        <w:rPr>
          <w:rFonts w:ascii="Times New Roman" w:hAnsi="Times New Roman" w:cs="Times New Roman"/>
        </w:rPr>
        <w:t xml:space="preserve"> </w:t>
      </w:r>
    </w:p>
    <w:p w14:paraId="652124CB" w14:textId="14AA513F" w:rsidR="00D82E96" w:rsidRPr="005E131C" w:rsidRDefault="00D82E96" w:rsidP="005E131C">
      <w:pPr>
        <w:pStyle w:val="Heading3"/>
        <w:rPr>
          <w:rFonts w:ascii="Times New Roman" w:hAnsi="Times New Roman" w:cs="Times New Roman"/>
          <w:szCs w:val="24"/>
        </w:rPr>
      </w:pPr>
      <w:bookmarkStart w:id="12" w:name="_Toc222808809"/>
      <w:r w:rsidRPr="005E131C">
        <w:rPr>
          <w:rFonts w:ascii="Times New Roman" w:hAnsi="Times New Roman" w:cs="Times New Roman"/>
          <w:szCs w:val="24"/>
        </w:rPr>
        <w:t>Police and Council</w:t>
      </w:r>
      <w:bookmarkEnd w:id="12"/>
      <w:r w:rsidRPr="005E131C">
        <w:rPr>
          <w:rFonts w:ascii="Times New Roman" w:hAnsi="Times New Roman" w:cs="Times New Roman"/>
          <w:szCs w:val="24"/>
        </w:rPr>
        <w:t xml:space="preserve"> </w:t>
      </w:r>
    </w:p>
    <w:p w14:paraId="055A6F76" w14:textId="20ADE68E" w:rsidR="00D82E96" w:rsidRPr="005E131C" w:rsidRDefault="00316ABB" w:rsidP="00DE71F1">
      <w:pPr>
        <w:ind w:firstLine="0"/>
        <w:rPr>
          <w:rFonts w:ascii="Times New Roman" w:hAnsi="Times New Roman" w:cs="Times New Roman"/>
        </w:rPr>
      </w:pPr>
      <w:r w:rsidRPr="005E131C">
        <w:rPr>
          <w:rFonts w:ascii="Times New Roman" w:hAnsi="Times New Roman" w:cs="Times New Roman"/>
        </w:rPr>
        <w:t xml:space="preserve">The Local Police and Council are engaged by the sharing of information, joint patrol planning and strategic liaison meetings; thereby, the flow of intelligence and legitimacy is strengthened, which is in line with the requirement of plural policing partnerships as expressed by </w:t>
      </w:r>
      <w:proofErr w:type="spellStart"/>
      <w:r w:rsidR="002B16A3" w:rsidRPr="005E131C">
        <w:rPr>
          <w:rFonts w:ascii="Times New Roman" w:hAnsi="Times New Roman" w:cs="Times New Roman"/>
        </w:rPr>
        <w:t>Završnik</w:t>
      </w:r>
      <w:proofErr w:type="spellEnd"/>
      <w:r w:rsidR="002B16A3" w:rsidRPr="005E131C">
        <w:rPr>
          <w:rFonts w:ascii="Times New Roman" w:hAnsi="Times New Roman" w:cs="Times New Roman"/>
        </w:rPr>
        <w:t xml:space="preserve"> (2013)</w:t>
      </w:r>
      <w:r w:rsidRPr="005E131C">
        <w:rPr>
          <w:rFonts w:ascii="Times New Roman" w:hAnsi="Times New Roman" w:cs="Times New Roman"/>
        </w:rPr>
        <w:t xml:space="preserve">. This kind of cooperation enhances crime prevention ability and </w:t>
      </w:r>
      <w:proofErr w:type="spellStart"/>
      <w:r w:rsidRPr="005E131C">
        <w:rPr>
          <w:rFonts w:ascii="Times New Roman" w:hAnsi="Times New Roman" w:cs="Times New Roman"/>
        </w:rPr>
        <w:t>harmonises</w:t>
      </w:r>
      <w:proofErr w:type="spellEnd"/>
      <w:r w:rsidRPr="005E131C">
        <w:rPr>
          <w:rFonts w:ascii="Times New Roman" w:hAnsi="Times New Roman" w:cs="Times New Roman"/>
        </w:rPr>
        <w:t xml:space="preserve"> privately </w:t>
      </w:r>
      <w:proofErr w:type="spellStart"/>
      <w:r w:rsidRPr="005E131C">
        <w:rPr>
          <w:rFonts w:ascii="Times New Roman" w:hAnsi="Times New Roman" w:cs="Times New Roman"/>
        </w:rPr>
        <w:t>organised</w:t>
      </w:r>
      <w:proofErr w:type="spellEnd"/>
      <w:r w:rsidRPr="005E131C">
        <w:rPr>
          <w:rFonts w:ascii="Times New Roman" w:hAnsi="Times New Roman" w:cs="Times New Roman"/>
        </w:rPr>
        <w:t xml:space="preserve"> security with governmental control systems. However, there might arise unclear accountability, especially when it comes to the incident escalation or data protection tasks. Consequently, clearly </w:t>
      </w:r>
      <w:r w:rsidRPr="005E131C">
        <w:rPr>
          <w:rFonts w:ascii="Times New Roman" w:hAnsi="Times New Roman" w:cs="Times New Roman"/>
        </w:rPr>
        <w:lastRenderedPageBreak/>
        <w:t>defined Memoranda of Understanding and governance protocols are essential to prevent role ambiguity and ensure that collaborative arrangements remain transparent and proportionate.</w:t>
      </w:r>
    </w:p>
    <w:p w14:paraId="051C38CE" w14:textId="169080DC" w:rsidR="00D82E96" w:rsidRPr="005E131C" w:rsidRDefault="00D82E96" w:rsidP="005E131C">
      <w:pPr>
        <w:pStyle w:val="Heading2"/>
        <w:rPr>
          <w:rFonts w:ascii="Times New Roman" w:hAnsi="Times New Roman" w:cs="Times New Roman"/>
          <w:szCs w:val="24"/>
        </w:rPr>
      </w:pPr>
      <w:bookmarkStart w:id="13" w:name="_Toc222808810"/>
      <w:r w:rsidRPr="005E131C">
        <w:rPr>
          <w:rFonts w:ascii="Times New Roman" w:hAnsi="Times New Roman" w:cs="Times New Roman"/>
          <w:szCs w:val="24"/>
        </w:rPr>
        <w:t>Communication Channels and Effectiveness</w:t>
      </w:r>
      <w:bookmarkEnd w:id="13"/>
    </w:p>
    <w:p w14:paraId="743D0FC9" w14:textId="4823BF8A" w:rsidR="003454F0" w:rsidRPr="005E131C" w:rsidRDefault="003454F0" w:rsidP="00DE71F1">
      <w:pPr>
        <w:ind w:firstLine="0"/>
        <w:rPr>
          <w:rFonts w:ascii="Times New Roman" w:hAnsi="Times New Roman" w:cs="Times New Roman"/>
        </w:rPr>
      </w:pPr>
      <w:r w:rsidRPr="005E131C">
        <w:rPr>
          <w:rFonts w:ascii="Times New Roman" w:hAnsi="Times New Roman" w:cs="Times New Roman"/>
        </w:rPr>
        <w:t xml:space="preserve">The stakeholder involvement in securing private estates cannot be fulfilled by mere sharing of information but the channels of communication should be in line with the characteristics of the stakeholders. The email newsletters are effective in informing household residents about patrols and CCTV policies, but they can omit digitally disadvantaged individuals, which is a stronghold of inequality (Toomer, 2024). Conversely, face-to-face meetings promote relational trust and deliberative communication, which is a theory of communicative </w:t>
      </w:r>
      <w:r w:rsidRPr="007A2546">
        <w:rPr>
          <w:rFonts w:ascii="Times New Roman" w:hAnsi="Times New Roman" w:cs="Times New Roman"/>
        </w:rPr>
        <w:t>action developed by Habermas, but poor attendance may lower representativeness</w:t>
      </w:r>
      <w:r w:rsidR="007A2546" w:rsidRPr="007A2546">
        <w:rPr>
          <w:rFonts w:ascii="Times New Roman" w:hAnsi="Times New Roman" w:cs="Times New Roman"/>
        </w:rPr>
        <w:t xml:space="preserve"> (</w:t>
      </w:r>
      <w:proofErr w:type="spellStart"/>
      <w:r w:rsidR="007A2546" w:rsidRPr="007A2546">
        <w:rPr>
          <w:rFonts w:ascii="Times New Roman" w:hAnsi="Times New Roman" w:cs="Times New Roman"/>
        </w:rPr>
        <w:t>Alsharif</w:t>
      </w:r>
      <w:proofErr w:type="spellEnd"/>
      <w:r w:rsidR="007A2546" w:rsidRPr="007A2546">
        <w:rPr>
          <w:rFonts w:ascii="Times New Roman" w:hAnsi="Times New Roman" w:cs="Times New Roman"/>
        </w:rPr>
        <w:t>, 2025)</w:t>
      </w:r>
      <w:r w:rsidRPr="007A2546">
        <w:rPr>
          <w:rFonts w:ascii="Times New Roman" w:hAnsi="Times New Roman" w:cs="Times New Roman"/>
        </w:rPr>
        <w:t>. WhatsApp groups can</w:t>
      </w:r>
      <w:r w:rsidRPr="005E131C">
        <w:rPr>
          <w:rFonts w:ascii="Times New Roman" w:hAnsi="Times New Roman" w:cs="Times New Roman"/>
        </w:rPr>
        <w:t xml:space="preserve"> be used to report quick and communicate but can create wrong information when there is no proper moderation. CCTV indications facilitate transparency and legal observance, but it is not participatory. The accountability is improved by incident reporting applications that provide traceable feedback. Nonetheless, according to </w:t>
      </w:r>
      <w:proofErr w:type="spellStart"/>
      <w:r w:rsidRPr="005E131C">
        <w:rPr>
          <w:rFonts w:ascii="Times New Roman" w:hAnsi="Times New Roman" w:cs="Times New Roman"/>
        </w:rPr>
        <w:t>Mamula</w:t>
      </w:r>
      <w:proofErr w:type="spellEnd"/>
      <w:r w:rsidRPr="005E131C">
        <w:rPr>
          <w:rFonts w:ascii="Times New Roman" w:hAnsi="Times New Roman" w:cs="Times New Roman"/>
        </w:rPr>
        <w:t xml:space="preserve"> Nikolic, </w:t>
      </w:r>
      <w:proofErr w:type="spellStart"/>
      <w:r w:rsidRPr="005E131C">
        <w:rPr>
          <w:rFonts w:ascii="Times New Roman" w:hAnsi="Times New Roman" w:cs="Times New Roman"/>
        </w:rPr>
        <w:t>Peric</w:t>
      </w:r>
      <w:proofErr w:type="spellEnd"/>
      <w:r w:rsidRPr="005E131C">
        <w:rPr>
          <w:rFonts w:ascii="Times New Roman" w:hAnsi="Times New Roman" w:cs="Times New Roman"/>
        </w:rPr>
        <w:t xml:space="preserve"> and </w:t>
      </w:r>
      <w:proofErr w:type="spellStart"/>
      <w:r w:rsidRPr="005E131C">
        <w:rPr>
          <w:rFonts w:ascii="Times New Roman" w:hAnsi="Times New Roman" w:cs="Times New Roman"/>
        </w:rPr>
        <w:t>Bovan</w:t>
      </w:r>
      <w:proofErr w:type="spellEnd"/>
      <w:r w:rsidRPr="005E131C">
        <w:rPr>
          <w:rFonts w:ascii="Times New Roman" w:hAnsi="Times New Roman" w:cs="Times New Roman"/>
        </w:rPr>
        <w:t xml:space="preserve"> (2020), effectiveness requires visible responsiveness, as trust is built when feedback affects decisions; therefore, frequency is not enough.</w:t>
      </w:r>
    </w:p>
    <w:p w14:paraId="03605ECB" w14:textId="4827A7DA" w:rsidR="002B16A3" w:rsidRPr="005E131C" w:rsidRDefault="002B16A3" w:rsidP="005E131C">
      <w:pPr>
        <w:pStyle w:val="Caption"/>
        <w:keepNext/>
        <w:spacing w:line="360" w:lineRule="auto"/>
        <w:rPr>
          <w:rFonts w:ascii="Times New Roman" w:hAnsi="Times New Roman" w:cs="Times New Roman"/>
          <w:sz w:val="24"/>
          <w:szCs w:val="24"/>
        </w:rPr>
      </w:pPr>
      <w:r w:rsidRPr="005E131C">
        <w:rPr>
          <w:rFonts w:ascii="Times New Roman" w:hAnsi="Times New Roman" w:cs="Times New Roman"/>
          <w:sz w:val="24"/>
          <w:szCs w:val="24"/>
        </w:rPr>
        <w:t xml:space="preserve">Table </w:t>
      </w:r>
      <w:r w:rsidRPr="005E131C">
        <w:rPr>
          <w:rFonts w:ascii="Times New Roman" w:hAnsi="Times New Roman" w:cs="Times New Roman"/>
          <w:sz w:val="24"/>
          <w:szCs w:val="24"/>
        </w:rPr>
        <w:fldChar w:fldCharType="begin"/>
      </w:r>
      <w:r w:rsidRPr="005E131C">
        <w:rPr>
          <w:rFonts w:ascii="Times New Roman" w:hAnsi="Times New Roman" w:cs="Times New Roman"/>
          <w:sz w:val="24"/>
          <w:szCs w:val="24"/>
        </w:rPr>
        <w:instrText xml:space="preserve"> SEQ Table \* ARABIC </w:instrText>
      </w:r>
      <w:r w:rsidRPr="005E131C">
        <w:rPr>
          <w:rFonts w:ascii="Times New Roman" w:hAnsi="Times New Roman" w:cs="Times New Roman"/>
          <w:sz w:val="24"/>
          <w:szCs w:val="24"/>
        </w:rPr>
        <w:fldChar w:fldCharType="separate"/>
      </w:r>
      <w:r w:rsidR="002F13F8" w:rsidRPr="005E131C">
        <w:rPr>
          <w:rFonts w:ascii="Times New Roman" w:hAnsi="Times New Roman" w:cs="Times New Roman"/>
          <w:noProof/>
          <w:sz w:val="24"/>
          <w:szCs w:val="24"/>
        </w:rPr>
        <w:t>1</w:t>
      </w:r>
      <w:r w:rsidRPr="005E131C">
        <w:rPr>
          <w:rFonts w:ascii="Times New Roman" w:hAnsi="Times New Roman" w:cs="Times New Roman"/>
          <w:sz w:val="24"/>
          <w:szCs w:val="24"/>
        </w:rPr>
        <w:fldChar w:fldCharType="end"/>
      </w:r>
      <w:r w:rsidRPr="005E131C">
        <w:rPr>
          <w:rFonts w:ascii="Times New Roman" w:hAnsi="Times New Roman" w:cs="Times New Roman"/>
          <w:sz w:val="24"/>
          <w:szCs w:val="24"/>
        </w:rPr>
        <w:t>: Channels of Communication and their Effectiveness</w:t>
      </w:r>
    </w:p>
    <w:tbl>
      <w:tblPr>
        <w:tblStyle w:val="GridTable4-Accent5"/>
        <w:tblW w:w="0" w:type="auto"/>
        <w:tblLook w:val="04A0" w:firstRow="1" w:lastRow="0" w:firstColumn="1" w:lastColumn="0" w:noHBand="0" w:noVBand="1"/>
      </w:tblPr>
      <w:tblGrid>
        <w:gridCol w:w="2132"/>
        <w:gridCol w:w="2651"/>
        <w:gridCol w:w="2434"/>
        <w:gridCol w:w="2133"/>
      </w:tblGrid>
      <w:tr w:rsidR="00316ABB" w:rsidRPr="005E131C" w14:paraId="675A9D9E" w14:textId="77777777" w:rsidTr="00316A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98A343" w14:textId="77777777" w:rsidR="00316ABB" w:rsidRPr="005E131C" w:rsidRDefault="00316ABB" w:rsidP="005E131C">
            <w:pPr>
              <w:ind w:firstLine="0"/>
              <w:jc w:val="center"/>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Communication Channel</w:t>
            </w:r>
          </w:p>
        </w:tc>
        <w:tc>
          <w:tcPr>
            <w:tcW w:w="0" w:type="auto"/>
            <w:hideMark/>
          </w:tcPr>
          <w:p w14:paraId="15BC1902" w14:textId="77777777" w:rsidR="00316ABB" w:rsidRPr="005E131C" w:rsidRDefault="00316ABB" w:rsidP="005E131C">
            <w:pPr>
              <w:ind w:firstLine="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Primary Strength</w:t>
            </w:r>
          </w:p>
        </w:tc>
        <w:tc>
          <w:tcPr>
            <w:tcW w:w="0" w:type="auto"/>
            <w:hideMark/>
          </w:tcPr>
          <w:p w14:paraId="6C182922" w14:textId="77777777" w:rsidR="00316ABB" w:rsidRPr="005E131C" w:rsidRDefault="00316ABB" w:rsidP="005E131C">
            <w:pPr>
              <w:ind w:firstLine="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Key Limitation</w:t>
            </w:r>
          </w:p>
        </w:tc>
        <w:tc>
          <w:tcPr>
            <w:tcW w:w="0" w:type="auto"/>
            <w:hideMark/>
          </w:tcPr>
          <w:p w14:paraId="75EEDB29" w14:textId="77777777" w:rsidR="00316ABB" w:rsidRPr="005E131C" w:rsidRDefault="00316ABB" w:rsidP="005E131C">
            <w:pPr>
              <w:ind w:firstLine="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Overall Effectiveness Assessment</w:t>
            </w:r>
          </w:p>
        </w:tc>
      </w:tr>
      <w:tr w:rsidR="00316ABB" w:rsidRPr="005E131C" w14:paraId="195F7B97" w14:textId="77777777" w:rsidTr="00316A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5D9BA1" w14:textId="77777777" w:rsidR="00316ABB" w:rsidRPr="005E131C" w:rsidRDefault="00316ABB" w:rsidP="005E131C">
            <w:pPr>
              <w:ind w:firstLine="0"/>
              <w:jc w:val="left"/>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Email Newsletters</w:t>
            </w:r>
          </w:p>
        </w:tc>
        <w:tc>
          <w:tcPr>
            <w:tcW w:w="0" w:type="auto"/>
            <w:hideMark/>
          </w:tcPr>
          <w:p w14:paraId="1428322D" w14:textId="77777777" w:rsidR="00316ABB" w:rsidRPr="005E131C" w:rsidRDefault="00316ABB" w:rsidP="005E131C">
            <w:pPr>
              <w:ind w:firstLine="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Efficient mass communication</w:t>
            </w:r>
          </w:p>
        </w:tc>
        <w:tc>
          <w:tcPr>
            <w:tcW w:w="0" w:type="auto"/>
            <w:hideMark/>
          </w:tcPr>
          <w:p w14:paraId="6519B526" w14:textId="77777777" w:rsidR="00316ABB" w:rsidRPr="005E131C" w:rsidRDefault="00316ABB" w:rsidP="005E131C">
            <w:pPr>
              <w:ind w:firstLine="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Excludes digitally disadvantaged groups</w:t>
            </w:r>
          </w:p>
        </w:tc>
        <w:tc>
          <w:tcPr>
            <w:tcW w:w="0" w:type="auto"/>
            <w:hideMark/>
          </w:tcPr>
          <w:p w14:paraId="2647539D" w14:textId="77777777" w:rsidR="00316ABB" w:rsidRPr="005E131C" w:rsidRDefault="00316ABB" w:rsidP="005E131C">
            <w:pPr>
              <w:ind w:firstLine="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Moderate–High</w:t>
            </w:r>
          </w:p>
        </w:tc>
      </w:tr>
      <w:tr w:rsidR="00316ABB" w:rsidRPr="005E131C" w14:paraId="4998CC9D" w14:textId="77777777" w:rsidTr="00316ABB">
        <w:tc>
          <w:tcPr>
            <w:cnfStyle w:val="001000000000" w:firstRow="0" w:lastRow="0" w:firstColumn="1" w:lastColumn="0" w:oddVBand="0" w:evenVBand="0" w:oddHBand="0" w:evenHBand="0" w:firstRowFirstColumn="0" w:firstRowLastColumn="0" w:lastRowFirstColumn="0" w:lastRowLastColumn="0"/>
            <w:tcW w:w="0" w:type="auto"/>
            <w:hideMark/>
          </w:tcPr>
          <w:p w14:paraId="7F150341" w14:textId="77777777" w:rsidR="00316ABB" w:rsidRPr="005E131C" w:rsidRDefault="00316ABB" w:rsidP="005E131C">
            <w:pPr>
              <w:ind w:firstLine="0"/>
              <w:jc w:val="left"/>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Face-to-Face Meetings</w:t>
            </w:r>
          </w:p>
        </w:tc>
        <w:tc>
          <w:tcPr>
            <w:tcW w:w="0" w:type="auto"/>
            <w:hideMark/>
          </w:tcPr>
          <w:p w14:paraId="642AC5AE" w14:textId="77777777" w:rsidR="00316ABB" w:rsidRPr="005E131C" w:rsidRDefault="00316ABB" w:rsidP="005E131C">
            <w:pPr>
              <w:ind w:firstLine="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Builds trust and deliberative dialogue</w:t>
            </w:r>
          </w:p>
        </w:tc>
        <w:tc>
          <w:tcPr>
            <w:tcW w:w="0" w:type="auto"/>
            <w:hideMark/>
          </w:tcPr>
          <w:p w14:paraId="57EE81CC" w14:textId="77777777" w:rsidR="00316ABB" w:rsidRPr="005E131C" w:rsidRDefault="00316ABB" w:rsidP="005E131C">
            <w:pPr>
              <w:ind w:firstLine="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Low attendance and limited representation</w:t>
            </w:r>
          </w:p>
        </w:tc>
        <w:tc>
          <w:tcPr>
            <w:tcW w:w="0" w:type="auto"/>
            <w:hideMark/>
          </w:tcPr>
          <w:p w14:paraId="73F643ED" w14:textId="77777777" w:rsidR="00316ABB" w:rsidRPr="005E131C" w:rsidRDefault="00316ABB" w:rsidP="005E131C">
            <w:pPr>
              <w:ind w:firstLine="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High (if inclusive)</w:t>
            </w:r>
          </w:p>
        </w:tc>
      </w:tr>
      <w:tr w:rsidR="00316ABB" w:rsidRPr="005E131C" w14:paraId="749724FE" w14:textId="77777777" w:rsidTr="00316A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EE8412" w14:textId="77777777" w:rsidR="00316ABB" w:rsidRPr="005E131C" w:rsidRDefault="00316ABB" w:rsidP="005E131C">
            <w:pPr>
              <w:ind w:firstLine="0"/>
              <w:jc w:val="left"/>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WhatsApp Groups</w:t>
            </w:r>
          </w:p>
        </w:tc>
        <w:tc>
          <w:tcPr>
            <w:tcW w:w="0" w:type="auto"/>
            <w:hideMark/>
          </w:tcPr>
          <w:p w14:paraId="2A4D62A2" w14:textId="77777777" w:rsidR="00316ABB" w:rsidRPr="005E131C" w:rsidRDefault="00316ABB" w:rsidP="005E131C">
            <w:pPr>
              <w:ind w:firstLine="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Immediate communication and rapid updates</w:t>
            </w:r>
          </w:p>
        </w:tc>
        <w:tc>
          <w:tcPr>
            <w:tcW w:w="0" w:type="auto"/>
            <w:hideMark/>
          </w:tcPr>
          <w:p w14:paraId="75CDAE40" w14:textId="77777777" w:rsidR="00316ABB" w:rsidRPr="005E131C" w:rsidRDefault="00316ABB" w:rsidP="005E131C">
            <w:pPr>
              <w:ind w:firstLine="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Risk of misinformation and escalation</w:t>
            </w:r>
          </w:p>
        </w:tc>
        <w:tc>
          <w:tcPr>
            <w:tcW w:w="0" w:type="auto"/>
            <w:hideMark/>
          </w:tcPr>
          <w:p w14:paraId="6EA2BF70" w14:textId="77777777" w:rsidR="00316ABB" w:rsidRPr="005E131C" w:rsidRDefault="00316ABB" w:rsidP="005E131C">
            <w:pPr>
              <w:ind w:firstLine="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Moderate</w:t>
            </w:r>
          </w:p>
        </w:tc>
      </w:tr>
      <w:tr w:rsidR="00316ABB" w:rsidRPr="005E131C" w14:paraId="0FB02344" w14:textId="77777777" w:rsidTr="00316ABB">
        <w:tc>
          <w:tcPr>
            <w:cnfStyle w:val="001000000000" w:firstRow="0" w:lastRow="0" w:firstColumn="1" w:lastColumn="0" w:oddVBand="0" w:evenVBand="0" w:oddHBand="0" w:evenHBand="0" w:firstRowFirstColumn="0" w:firstRowLastColumn="0" w:lastRowFirstColumn="0" w:lastRowLastColumn="0"/>
            <w:tcW w:w="0" w:type="auto"/>
            <w:hideMark/>
          </w:tcPr>
          <w:p w14:paraId="65732779" w14:textId="77777777" w:rsidR="00316ABB" w:rsidRPr="005E131C" w:rsidRDefault="00316ABB" w:rsidP="005E131C">
            <w:pPr>
              <w:ind w:firstLine="0"/>
              <w:jc w:val="left"/>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CCTV Signage</w:t>
            </w:r>
          </w:p>
        </w:tc>
        <w:tc>
          <w:tcPr>
            <w:tcW w:w="0" w:type="auto"/>
            <w:hideMark/>
          </w:tcPr>
          <w:p w14:paraId="0DBE28E6" w14:textId="77777777" w:rsidR="00316ABB" w:rsidRPr="005E131C" w:rsidRDefault="00316ABB" w:rsidP="005E131C">
            <w:pPr>
              <w:ind w:firstLine="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Enhances transparency and legal compliance</w:t>
            </w:r>
          </w:p>
        </w:tc>
        <w:tc>
          <w:tcPr>
            <w:tcW w:w="0" w:type="auto"/>
            <w:hideMark/>
          </w:tcPr>
          <w:p w14:paraId="5333AE29" w14:textId="77777777" w:rsidR="00316ABB" w:rsidRPr="005E131C" w:rsidRDefault="00316ABB" w:rsidP="005E131C">
            <w:pPr>
              <w:ind w:firstLine="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Non-participatory</w:t>
            </w:r>
          </w:p>
        </w:tc>
        <w:tc>
          <w:tcPr>
            <w:tcW w:w="0" w:type="auto"/>
            <w:hideMark/>
          </w:tcPr>
          <w:p w14:paraId="00AD33FD" w14:textId="77777777" w:rsidR="00316ABB" w:rsidRPr="005E131C" w:rsidRDefault="00316ABB" w:rsidP="005E131C">
            <w:pPr>
              <w:ind w:firstLine="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Low–Moderate</w:t>
            </w:r>
          </w:p>
        </w:tc>
      </w:tr>
      <w:tr w:rsidR="00316ABB" w:rsidRPr="005E131C" w14:paraId="4FD7B921" w14:textId="77777777" w:rsidTr="00316A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459D93" w14:textId="77777777" w:rsidR="00316ABB" w:rsidRPr="005E131C" w:rsidRDefault="00316ABB" w:rsidP="005E131C">
            <w:pPr>
              <w:ind w:firstLine="0"/>
              <w:jc w:val="left"/>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lastRenderedPageBreak/>
              <w:t>Incident Reporting Apps</w:t>
            </w:r>
          </w:p>
        </w:tc>
        <w:tc>
          <w:tcPr>
            <w:tcW w:w="0" w:type="auto"/>
            <w:hideMark/>
          </w:tcPr>
          <w:p w14:paraId="50BB0CBF" w14:textId="77777777" w:rsidR="00316ABB" w:rsidRPr="005E131C" w:rsidRDefault="00316ABB" w:rsidP="005E131C">
            <w:pPr>
              <w:ind w:firstLine="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Data-driven accountability and traceable feedback</w:t>
            </w:r>
          </w:p>
        </w:tc>
        <w:tc>
          <w:tcPr>
            <w:tcW w:w="0" w:type="auto"/>
            <w:hideMark/>
          </w:tcPr>
          <w:p w14:paraId="32E4D2AE" w14:textId="77777777" w:rsidR="00316ABB" w:rsidRPr="005E131C" w:rsidRDefault="00316ABB" w:rsidP="005E131C">
            <w:pPr>
              <w:ind w:firstLine="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Digital literacy barriers</w:t>
            </w:r>
          </w:p>
        </w:tc>
        <w:tc>
          <w:tcPr>
            <w:tcW w:w="0" w:type="auto"/>
            <w:hideMark/>
          </w:tcPr>
          <w:p w14:paraId="0F732824" w14:textId="77777777" w:rsidR="00316ABB" w:rsidRPr="005E131C" w:rsidRDefault="00316ABB" w:rsidP="005E131C">
            <w:pPr>
              <w:ind w:firstLine="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14:ligatures w14:val="none"/>
              </w:rPr>
            </w:pPr>
            <w:r w:rsidRPr="005E131C">
              <w:rPr>
                <w:rFonts w:ascii="Times New Roman" w:eastAsia="Times New Roman" w:hAnsi="Times New Roman" w:cs="Times New Roman"/>
                <w:kern w:val="0"/>
                <w14:ligatures w14:val="none"/>
              </w:rPr>
              <w:t>High</w:t>
            </w:r>
          </w:p>
        </w:tc>
      </w:tr>
    </w:tbl>
    <w:p w14:paraId="028D6FE8" w14:textId="77777777" w:rsidR="00316ABB" w:rsidRPr="005E131C" w:rsidRDefault="00316ABB" w:rsidP="005E131C">
      <w:pPr>
        <w:rPr>
          <w:rFonts w:ascii="Times New Roman" w:hAnsi="Times New Roman" w:cs="Times New Roman"/>
        </w:rPr>
      </w:pPr>
    </w:p>
    <w:p w14:paraId="33AC0DC0" w14:textId="73EB56C2" w:rsidR="00D82E96" w:rsidRPr="005E131C" w:rsidRDefault="00D82E96" w:rsidP="005E131C">
      <w:pPr>
        <w:pStyle w:val="Heading2"/>
        <w:rPr>
          <w:rFonts w:ascii="Times New Roman" w:hAnsi="Times New Roman" w:cs="Times New Roman"/>
          <w:szCs w:val="24"/>
        </w:rPr>
      </w:pPr>
      <w:bookmarkStart w:id="14" w:name="_Toc222808811"/>
      <w:r w:rsidRPr="005E131C">
        <w:rPr>
          <w:rFonts w:ascii="Times New Roman" w:hAnsi="Times New Roman" w:cs="Times New Roman"/>
          <w:szCs w:val="24"/>
        </w:rPr>
        <w:t>Challenges and Conflicts in Engagement</w:t>
      </w:r>
      <w:bookmarkEnd w:id="14"/>
    </w:p>
    <w:p w14:paraId="43EB75A3" w14:textId="24E1C304" w:rsidR="00316ABB" w:rsidRPr="005E131C" w:rsidRDefault="00316ABB" w:rsidP="00DE71F1">
      <w:pPr>
        <w:ind w:firstLine="0"/>
        <w:rPr>
          <w:rFonts w:ascii="Times New Roman" w:hAnsi="Times New Roman" w:cs="Times New Roman"/>
        </w:rPr>
      </w:pPr>
      <w:r w:rsidRPr="005E131C">
        <w:rPr>
          <w:rFonts w:ascii="Times New Roman" w:hAnsi="Times New Roman" w:cs="Times New Roman"/>
        </w:rPr>
        <w:t xml:space="preserve">Overall, stakeholder mapping significantly enhanced clarity regarding engagement priorities by systematically identifying actors according to influence and interest; thus, it reduced ad hoc decision-making and aligned strategies with salience dynamics, consistent with </w:t>
      </w:r>
      <w:proofErr w:type="spellStart"/>
      <w:r w:rsidR="002B16A3" w:rsidRPr="005E131C">
        <w:rPr>
          <w:rFonts w:ascii="Times New Roman" w:hAnsi="Times New Roman" w:cs="Times New Roman"/>
        </w:rPr>
        <w:t>Banchoff</w:t>
      </w:r>
      <w:proofErr w:type="spellEnd"/>
      <w:r w:rsidR="002B16A3" w:rsidRPr="005E131C">
        <w:rPr>
          <w:rFonts w:ascii="Times New Roman" w:hAnsi="Times New Roman" w:cs="Times New Roman"/>
        </w:rPr>
        <w:t xml:space="preserve"> et al. (2025</w:t>
      </w:r>
      <w:r w:rsidRPr="005E131C">
        <w:rPr>
          <w:rFonts w:ascii="Times New Roman" w:hAnsi="Times New Roman" w:cs="Times New Roman"/>
        </w:rPr>
        <w:t xml:space="preserve">). However, although structured consultation mechanisms improved communication, their effectiveness ultimately depends on progressing towards co-production, where residents actively shape security policies rather than merely respond to them. As </w:t>
      </w:r>
      <w:r w:rsidR="002B16A3" w:rsidRPr="005E131C">
        <w:rPr>
          <w:rFonts w:ascii="Times New Roman" w:hAnsi="Times New Roman" w:cs="Times New Roman"/>
        </w:rPr>
        <w:t>Mercer-</w:t>
      </w:r>
      <w:proofErr w:type="spellStart"/>
      <w:r w:rsidR="002B16A3" w:rsidRPr="005E131C">
        <w:rPr>
          <w:rFonts w:ascii="Times New Roman" w:hAnsi="Times New Roman" w:cs="Times New Roman"/>
        </w:rPr>
        <w:t>Mapstone</w:t>
      </w:r>
      <w:proofErr w:type="spellEnd"/>
      <w:r w:rsidR="002B16A3" w:rsidRPr="005E131C">
        <w:rPr>
          <w:rFonts w:ascii="Times New Roman" w:hAnsi="Times New Roman" w:cs="Times New Roman"/>
        </w:rPr>
        <w:t xml:space="preserve"> et al. (2019</w:t>
      </w:r>
      <w:r w:rsidRPr="005E131C">
        <w:rPr>
          <w:rFonts w:ascii="Times New Roman" w:hAnsi="Times New Roman" w:cs="Times New Roman"/>
        </w:rPr>
        <w:t xml:space="preserve">) contends, </w:t>
      </w:r>
      <w:r w:rsidR="002B16A3" w:rsidRPr="005E131C">
        <w:rPr>
          <w:rFonts w:ascii="Times New Roman" w:hAnsi="Times New Roman" w:cs="Times New Roman"/>
        </w:rPr>
        <w:t xml:space="preserve">participation without common decision-making power will be tokenistic. Moreover, the presence of power imbalances over time, especially control by financial means and contract-related control by estate management can be viewed as structural constraints that cannot be addressed by negotiating alone. However, varying forms of engagement have improved procedural fairness and transparency, which has increased legitimacy. </w:t>
      </w:r>
      <w:r w:rsidRPr="005E131C">
        <w:rPr>
          <w:rFonts w:ascii="Times New Roman" w:hAnsi="Times New Roman" w:cs="Times New Roman"/>
        </w:rPr>
        <w:t>Consequently, effective stakeholder engagement in private estate security must be understood not as operational coordination but as an evolving governance process requiring adaptive responsiveness, legitimacy and balanced power distribution.</w:t>
      </w:r>
    </w:p>
    <w:p w14:paraId="1BBB5906" w14:textId="77777777" w:rsidR="006665B5" w:rsidRPr="005E131C" w:rsidRDefault="006665B5" w:rsidP="005E131C">
      <w:pPr>
        <w:keepNext/>
        <w:jc w:val="center"/>
        <w:rPr>
          <w:rFonts w:ascii="Times New Roman" w:hAnsi="Times New Roman" w:cs="Times New Roman"/>
        </w:rPr>
      </w:pPr>
      <w:r w:rsidRPr="005E131C">
        <w:rPr>
          <w:rFonts w:ascii="Times New Roman" w:hAnsi="Times New Roman" w:cs="Times New Roman"/>
          <w:noProof/>
        </w:rPr>
        <w:lastRenderedPageBreak/>
        <w:drawing>
          <wp:inline distT="0" distB="0" distL="0" distR="0" wp14:anchorId="49501E1F" wp14:editId="4C47B4FB">
            <wp:extent cx="5370830" cy="3628276"/>
            <wp:effectExtent l="38100" t="38100" r="39370" b="29845"/>
            <wp:docPr id="8020911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rotWithShape="1">
                    <a:blip r:embed="rId13">
                      <a:extLst>
                        <a:ext uri="{28A0092B-C50C-407E-A947-70E740481C1C}">
                          <a14:useLocalDpi xmlns:a14="http://schemas.microsoft.com/office/drawing/2010/main" val="0"/>
                        </a:ext>
                      </a:extLst>
                    </a:blip>
                    <a:srcRect b="12494"/>
                    <a:stretch>
                      <a:fillRect/>
                    </a:stretch>
                  </pic:blipFill>
                  <pic:spPr bwMode="auto">
                    <a:xfrm>
                      <a:off x="0" y="0"/>
                      <a:ext cx="5380081" cy="3634526"/>
                    </a:xfrm>
                    <a:prstGeom prst="rect">
                      <a:avLst/>
                    </a:prstGeom>
                    <a:noFill/>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6670F2F" w14:textId="341DBB91" w:rsidR="006665B5" w:rsidRPr="005E131C" w:rsidRDefault="006665B5" w:rsidP="005E131C">
      <w:pPr>
        <w:pStyle w:val="Caption"/>
        <w:spacing w:line="360" w:lineRule="auto"/>
        <w:jc w:val="center"/>
        <w:rPr>
          <w:rFonts w:ascii="Times New Roman" w:hAnsi="Times New Roman" w:cs="Times New Roman"/>
          <w:sz w:val="24"/>
          <w:szCs w:val="24"/>
        </w:rPr>
      </w:pPr>
      <w:r w:rsidRPr="005E131C">
        <w:rPr>
          <w:rFonts w:ascii="Times New Roman" w:hAnsi="Times New Roman" w:cs="Times New Roman"/>
          <w:sz w:val="24"/>
          <w:szCs w:val="24"/>
        </w:rPr>
        <w:t xml:space="preserve">Figure </w:t>
      </w:r>
      <w:r w:rsidRPr="005E131C">
        <w:rPr>
          <w:rFonts w:ascii="Times New Roman" w:hAnsi="Times New Roman" w:cs="Times New Roman"/>
          <w:sz w:val="24"/>
          <w:szCs w:val="24"/>
        </w:rPr>
        <w:fldChar w:fldCharType="begin"/>
      </w:r>
      <w:r w:rsidRPr="005E131C">
        <w:rPr>
          <w:rFonts w:ascii="Times New Roman" w:hAnsi="Times New Roman" w:cs="Times New Roman"/>
          <w:sz w:val="24"/>
          <w:szCs w:val="24"/>
        </w:rPr>
        <w:instrText xml:space="preserve"> SEQ Figure \* ARABIC </w:instrText>
      </w:r>
      <w:r w:rsidRPr="005E131C">
        <w:rPr>
          <w:rFonts w:ascii="Times New Roman" w:hAnsi="Times New Roman" w:cs="Times New Roman"/>
          <w:sz w:val="24"/>
          <w:szCs w:val="24"/>
        </w:rPr>
        <w:fldChar w:fldCharType="separate"/>
      </w:r>
      <w:r w:rsidR="002F13F8" w:rsidRPr="005E131C">
        <w:rPr>
          <w:rFonts w:ascii="Times New Roman" w:hAnsi="Times New Roman" w:cs="Times New Roman"/>
          <w:noProof/>
          <w:sz w:val="24"/>
          <w:szCs w:val="24"/>
        </w:rPr>
        <w:t>3</w:t>
      </w:r>
      <w:r w:rsidRPr="005E131C">
        <w:rPr>
          <w:rFonts w:ascii="Times New Roman" w:hAnsi="Times New Roman" w:cs="Times New Roman"/>
          <w:sz w:val="24"/>
          <w:szCs w:val="24"/>
        </w:rPr>
        <w:fldChar w:fldCharType="end"/>
      </w:r>
      <w:r w:rsidRPr="005E131C">
        <w:rPr>
          <w:rFonts w:ascii="Times New Roman" w:hAnsi="Times New Roman" w:cs="Times New Roman"/>
          <w:sz w:val="24"/>
          <w:szCs w:val="24"/>
        </w:rPr>
        <w:t>: Engage Stakeholders Effectively</w:t>
      </w:r>
    </w:p>
    <w:p w14:paraId="5AA5184A" w14:textId="4B2EAD0C" w:rsidR="00316ABB" w:rsidRPr="005E131C" w:rsidRDefault="00316ABB" w:rsidP="00707F76">
      <w:pPr>
        <w:pStyle w:val="Heading1"/>
        <w:numPr>
          <w:ilvl w:val="0"/>
          <w:numId w:val="0"/>
        </w:numPr>
        <w:rPr>
          <w:rFonts w:ascii="Times New Roman" w:hAnsi="Times New Roman" w:cs="Times New Roman"/>
          <w:sz w:val="24"/>
          <w:szCs w:val="24"/>
        </w:rPr>
      </w:pPr>
      <w:bookmarkStart w:id="15" w:name="_Toc222808812"/>
      <w:r w:rsidRPr="005E131C">
        <w:rPr>
          <w:rFonts w:ascii="Times New Roman" w:hAnsi="Times New Roman" w:cs="Times New Roman"/>
          <w:sz w:val="24"/>
          <w:szCs w:val="24"/>
        </w:rPr>
        <w:t>Element 3: Ethical Consideration and Awareness, and Reflective insight</w:t>
      </w:r>
      <w:bookmarkEnd w:id="15"/>
    </w:p>
    <w:p w14:paraId="2AC940BB" w14:textId="0F333E84" w:rsidR="00316ABB" w:rsidRPr="005E131C" w:rsidRDefault="00316ABB" w:rsidP="005E131C">
      <w:pPr>
        <w:pStyle w:val="Heading2"/>
        <w:rPr>
          <w:rFonts w:ascii="Times New Roman" w:hAnsi="Times New Roman" w:cs="Times New Roman"/>
          <w:szCs w:val="24"/>
        </w:rPr>
      </w:pPr>
      <w:bookmarkStart w:id="16" w:name="_Toc222808813"/>
      <w:r w:rsidRPr="005E131C">
        <w:rPr>
          <w:rFonts w:ascii="Times New Roman" w:hAnsi="Times New Roman" w:cs="Times New Roman"/>
          <w:szCs w:val="24"/>
        </w:rPr>
        <w:t>Introduction to Ethical Framing</w:t>
      </w:r>
      <w:bookmarkEnd w:id="16"/>
    </w:p>
    <w:p w14:paraId="185341C9" w14:textId="071F2D56" w:rsidR="00316ABB" w:rsidRPr="005E131C" w:rsidRDefault="00316ABB" w:rsidP="00DE71F1">
      <w:pPr>
        <w:ind w:firstLine="0"/>
        <w:rPr>
          <w:rFonts w:ascii="Times New Roman" w:hAnsi="Times New Roman" w:cs="Times New Roman"/>
        </w:rPr>
      </w:pPr>
      <w:r w:rsidRPr="005E131C">
        <w:rPr>
          <w:rFonts w:ascii="Times New Roman" w:hAnsi="Times New Roman" w:cs="Times New Roman"/>
        </w:rPr>
        <w:t xml:space="preserve">Ethical consideration plays a key role in stakeholder involvement in the security of private estates since security services are not neutral or technical functions; security services are designed to regulate behaviour, determine access to space and define a sense of belonging. </w:t>
      </w:r>
      <w:r w:rsidR="002B16A3" w:rsidRPr="005E131C">
        <w:rPr>
          <w:rFonts w:ascii="Times New Roman" w:hAnsi="Times New Roman" w:cs="Times New Roman"/>
        </w:rPr>
        <w:t>Awa, Etim and Ogbonda (2024)</w:t>
      </w:r>
      <w:r w:rsidRPr="005E131C">
        <w:rPr>
          <w:rFonts w:ascii="Times New Roman" w:hAnsi="Times New Roman" w:cs="Times New Roman"/>
        </w:rPr>
        <w:t xml:space="preserve"> says that stakeholder capitalism enforces an ethical duty upon organisations to generate value to all parties concerned, and thus, it offers a moral accountability beyond contractual efficiency. Within this context, the management of estates cannot support the use of surveillance and patrol strategies by referencing to </w:t>
      </w:r>
      <w:r w:rsidR="007756DC">
        <w:rPr>
          <w:rFonts w:ascii="Times New Roman" w:hAnsi="Times New Roman" w:cs="Times New Roman"/>
        </w:rPr>
        <w:t xml:space="preserve">the </w:t>
      </w:r>
      <w:r w:rsidRPr="005E131C">
        <w:rPr>
          <w:rFonts w:ascii="Times New Roman" w:hAnsi="Times New Roman" w:cs="Times New Roman"/>
        </w:rPr>
        <w:t xml:space="preserve">reduction of risk </w:t>
      </w:r>
      <w:r w:rsidR="007756DC" w:rsidRPr="005E131C">
        <w:rPr>
          <w:rFonts w:ascii="Times New Roman" w:hAnsi="Times New Roman" w:cs="Times New Roman"/>
        </w:rPr>
        <w:t>alone,</w:t>
      </w:r>
      <w:r w:rsidRPr="005E131C">
        <w:rPr>
          <w:rFonts w:ascii="Times New Roman" w:hAnsi="Times New Roman" w:cs="Times New Roman"/>
        </w:rPr>
        <w:t xml:space="preserve"> but it must also observe fairness, proportionality and impact to the community. Moreover, </w:t>
      </w:r>
      <w:r w:rsidR="003C5B3D" w:rsidRPr="005E131C">
        <w:rPr>
          <w:rFonts w:ascii="Times New Roman" w:hAnsi="Times New Roman" w:cs="Times New Roman"/>
        </w:rPr>
        <w:t>Díez de Castro, Peris-Ortiz and Díez-Martín (2018</w:t>
      </w:r>
      <w:r w:rsidRPr="005E131C">
        <w:rPr>
          <w:rFonts w:ascii="Times New Roman" w:hAnsi="Times New Roman" w:cs="Times New Roman"/>
        </w:rPr>
        <w:t>) identifies two types of legitimacy</w:t>
      </w:r>
      <w:r w:rsidR="007756DC">
        <w:rPr>
          <w:rFonts w:ascii="Times New Roman" w:hAnsi="Times New Roman" w:cs="Times New Roman"/>
        </w:rPr>
        <w:t>:</w:t>
      </w:r>
      <w:r w:rsidRPr="005E131C">
        <w:rPr>
          <w:rFonts w:ascii="Times New Roman" w:hAnsi="Times New Roman" w:cs="Times New Roman"/>
        </w:rPr>
        <w:t xml:space="preserve"> pragmatic, which is based on instrumental advantage, and moral, which is based on normative approval; as such, compliance through deterrence may still not be ethical. Thus, uncivilised ability in the absence of clear and participative governance can lead to the loss of community confidence and destabilisation in the </w:t>
      </w:r>
      <w:r w:rsidRPr="005E131C">
        <w:rPr>
          <w:rFonts w:ascii="Times New Roman" w:hAnsi="Times New Roman" w:cs="Times New Roman"/>
        </w:rPr>
        <w:lastRenderedPageBreak/>
        <w:t>long run. The ethical issue of maintaining moral authority</w:t>
      </w:r>
      <w:r w:rsidR="007756DC">
        <w:rPr>
          <w:rFonts w:ascii="Times New Roman" w:hAnsi="Times New Roman" w:cs="Times New Roman"/>
        </w:rPr>
        <w:t>,</w:t>
      </w:r>
      <w:r w:rsidRPr="005E131C">
        <w:rPr>
          <w:rFonts w:ascii="Times New Roman" w:hAnsi="Times New Roman" w:cs="Times New Roman"/>
        </w:rPr>
        <w:t xml:space="preserve"> therefore</w:t>
      </w:r>
      <w:r w:rsidR="007756DC">
        <w:rPr>
          <w:rFonts w:ascii="Times New Roman" w:hAnsi="Times New Roman" w:cs="Times New Roman"/>
        </w:rPr>
        <w:t>,</w:t>
      </w:r>
      <w:r w:rsidRPr="005E131C">
        <w:rPr>
          <w:rFonts w:ascii="Times New Roman" w:hAnsi="Times New Roman" w:cs="Times New Roman"/>
        </w:rPr>
        <w:t xml:space="preserve"> requires the balance between the effectiveness of operations and stakeholder engagement with professional ethics in housing estate security.</w:t>
      </w:r>
    </w:p>
    <w:p w14:paraId="16C656F8" w14:textId="6807663A" w:rsidR="00316ABB" w:rsidRPr="005E131C" w:rsidRDefault="00316ABB" w:rsidP="005E131C">
      <w:pPr>
        <w:pStyle w:val="Heading2"/>
        <w:rPr>
          <w:rFonts w:ascii="Times New Roman" w:hAnsi="Times New Roman" w:cs="Times New Roman"/>
          <w:szCs w:val="24"/>
        </w:rPr>
      </w:pPr>
      <w:bookmarkStart w:id="17" w:name="_Toc222808814"/>
      <w:r w:rsidRPr="005E131C">
        <w:rPr>
          <w:rFonts w:ascii="Times New Roman" w:hAnsi="Times New Roman" w:cs="Times New Roman"/>
          <w:szCs w:val="24"/>
        </w:rPr>
        <w:t>Ethical Considerations in Stakeholder Engagement</w:t>
      </w:r>
      <w:bookmarkEnd w:id="17"/>
    </w:p>
    <w:p w14:paraId="3B170649" w14:textId="3FB028D7" w:rsidR="00316ABB" w:rsidRPr="005E131C" w:rsidRDefault="00316ABB" w:rsidP="007756DC">
      <w:pPr>
        <w:ind w:firstLine="0"/>
        <w:rPr>
          <w:rFonts w:ascii="Times New Roman" w:hAnsi="Times New Roman" w:cs="Times New Roman"/>
        </w:rPr>
      </w:pPr>
      <w:r w:rsidRPr="005E131C">
        <w:rPr>
          <w:rFonts w:ascii="Times New Roman" w:hAnsi="Times New Roman" w:cs="Times New Roman"/>
        </w:rPr>
        <w:t>One of the primary ethical dilemmas of the stakeholder game is a collision between the safety of the community and the rights of the individual</w:t>
      </w:r>
      <w:r w:rsidR="007756DC">
        <w:rPr>
          <w:rFonts w:ascii="Times New Roman" w:hAnsi="Times New Roman" w:cs="Times New Roman"/>
        </w:rPr>
        <w:t>,</w:t>
      </w:r>
      <w:r w:rsidRPr="005E131C">
        <w:rPr>
          <w:rFonts w:ascii="Times New Roman" w:hAnsi="Times New Roman" w:cs="Times New Roman"/>
        </w:rPr>
        <w:t xml:space="preserve"> since actions like CCTV surveillance, access control and behavioural monitoring are ethically reasonable as protective but at the same time violating. In the UK housing estates, the lawfulness, necessity and proportionality concepts of GDPR </w:t>
      </w:r>
      <w:r w:rsidR="007756DC">
        <w:rPr>
          <w:rFonts w:ascii="Times New Roman" w:hAnsi="Times New Roman" w:cs="Times New Roman"/>
        </w:rPr>
        <w:t>require</w:t>
      </w:r>
      <w:r w:rsidRPr="005E131C">
        <w:rPr>
          <w:rFonts w:ascii="Times New Roman" w:hAnsi="Times New Roman" w:cs="Times New Roman"/>
        </w:rPr>
        <w:t xml:space="preserve"> that surveillance must be proven justified and least intrusive to curb </w:t>
      </w:r>
      <w:r w:rsidR="003F20C0">
        <w:rPr>
          <w:rFonts w:ascii="Times New Roman" w:hAnsi="Times New Roman" w:cs="Times New Roman"/>
        </w:rPr>
        <w:t xml:space="preserve">the </w:t>
      </w:r>
      <w:r w:rsidRPr="005E131C">
        <w:rPr>
          <w:rFonts w:ascii="Times New Roman" w:hAnsi="Times New Roman" w:cs="Times New Roman"/>
        </w:rPr>
        <w:t xml:space="preserve">overabundance of data collection. However, by positioning security measures as community protection, it is possible to normalise the culture of surveillance, as </w:t>
      </w:r>
      <w:r w:rsidR="003C5B3D" w:rsidRPr="005E131C">
        <w:rPr>
          <w:rFonts w:ascii="Times New Roman" w:hAnsi="Times New Roman" w:cs="Times New Roman"/>
        </w:rPr>
        <w:t>Lysova (2022)</w:t>
      </w:r>
      <w:r w:rsidRPr="005E131C">
        <w:rPr>
          <w:rFonts w:ascii="Times New Roman" w:hAnsi="Times New Roman" w:cs="Times New Roman"/>
        </w:rPr>
        <w:t xml:space="preserve"> proposed in his vision of disciplinary power in daily spaces. Thus, ethical engagement of stakeholders requires clear justification and consultation </w:t>
      </w:r>
      <w:r w:rsidR="007756DC">
        <w:rPr>
          <w:rFonts w:ascii="Times New Roman" w:hAnsi="Times New Roman" w:cs="Times New Roman"/>
        </w:rPr>
        <w:t>with</w:t>
      </w:r>
      <w:r w:rsidRPr="005E131C">
        <w:rPr>
          <w:rFonts w:ascii="Times New Roman" w:hAnsi="Times New Roman" w:cs="Times New Roman"/>
        </w:rPr>
        <w:t xml:space="preserve"> residents beforehand. According to </w:t>
      </w:r>
      <w:r w:rsidR="003C5B3D" w:rsidRPr="005E131C">
        <w:rPr>
          <w:rFonts w:ascii="Times New Roman" w:hAnsi="Times New Roman" w:cs="Times New Roman"/>
        </w:rPr>
        <w:t>Devroe and Terpstra (2015</w:t>
      </w:r>
      <w:r w:rsidRPr="005E131C">
        <w:rPr>
          <w:rFonts w:ascii="Times New Roman" w:hAnsi="Times New Roman" w:cs="Times New Roman"/>
        </w:rPr>
        <w:t xml:space="preserve">), plural policing arrangements need to gain moral legitimacy, not just contractual power, and </w:t>
      </w:r>
      <w:r w:rsidR="007A2546" w:rsidRPr="007A2546">
        <w:rPr>
          <w:rFonts w:ascii="Times New Roman" w:hAnsi="Times New Roman" w:cs="Times New Roman"/>
        </w:rPr>
        <w:t xml:space="preserve">Shahzadi et al. </w:t>
      </w:r>
      <w:r w:rsidR="003C5B3D" w:rsidRPr="007A2546">
        <w:rPr>
          <w:rFonts w:ascii="Times New Roman" w:hAnsi="Times New Roman" w:cs="Times New Roman"/>
        </w:rPr>
        <w:t>(2024)</w:t>
      </w:r>
      <w:r w:rsidRPr="007A2546">
        <w:rPr>
          <w:rFonts w:ascii="Times New Roman" w:hAnsi="Times New Roman" w:cs="Times New Roman"/>
        </w:rPr>
        <w:t xml:space="preserve"> </w:t>
      </w:r>
      <w:r w:rsidR="003C5B3D" w:rsidRPr="007A2546">
        <w:rPr>
          <w:rFonts w:ascii="Times New Roman" w:hAnsi="Times New Roman" w:cs="Times New Roman"/>
        </w:rPr>
        <w:t>make</w:t>
      </w:r>
      <w:r w:rsidRPr="005E131C">
        <w:rPr>
          <w:rFonts w:ascii="Times New Roman" w:hAnsi="Times New Roman" w:cs="Times New Roman"/>
        </w:rPr>
        <w:t xml:space="preserve"> a distinction between symbolic and substantive moral approval. Therefore, transparency should not be limited to signage but also to accessibility of mechanisms of complaints, disclosure of the usage of CCTV cameras and responsiveness to the apprehensions.</w:t>
      </w:r>
    </w:p>
    <w:p w14:paraId="0B7284C7" w14:textId="51D5C111" w:rsidR="003454F0" w:rsidRPr="005E131C" w:rsidRDefault="003454F0" w:rsidP="00DE71F1">
      <w:pPr>
        <w:ind w:firstLine="0"/>
        <w:rPr>
          <w:rFonts w:ascii="Times New Roman" w:hAnsi="Times New Roman" w:cs="Times New Roman"/>
        </w:rPr>
      </w:pPr>
      <w:r w:rsidRPr="005E131C">
        <w:rPr>
          <w:rFonts w:ascii="Times New Roman" w:hAnsi="Times New Roman" w:cs="Times New Roman"/>
        </w:rPr>
        <w:t xml:space="preserve">Equity and non-discrimination are essential ethical issues, especially when uniformed patrols can unnecessarily question young people or those who belong to minorities. The procedural justice theory implies that feelings of fairness, impartiality and respectful treatment have a greater effect on legitimacy than alone deterrence (Tyler, Goff and MacCoun, 2015); consequently, even with good intentions, enforcement may affect trust once it is not exercised uniformly. Moreover, the Equality Act 2010 provides legal obligations to avoid any such discriminatory </w:t>
      </w:r>
      <w:r w:rsidR="00EA7637" w:rsidRPr="005E131C">
        <w:rPr>
          <w:rFonts w:ascii="Times New Roman" w:hAnsi="Times New Roman" w:cs="Times New Roman"/>
        </w:rPr>
        <w:t>practices</w:t>
      </w:r>
      <w:r w:rsidRPr="005E131C">
        <w:rPr>
          <w:rFonts w:ascii="Times New Roman" w:hAnsi="Times New Roman" w:cs="Times New Roman"/>
        </w:rPr>
        <w:t>, further supporting the necessity of bias awareness training and tracking the patterns of enforcement (Government Equalities Office and Equality and Human Rights Commission, 2015). However, unequal power structures make ethical governance a challenging issue because the interests of residents can be marginalised by superior stakeholders (Li et al., 2025). Also, surveillance activities may reproduce hierarchies unobtrusively in the name of order (Wohnhas, 2019). As a result, it is necessary to have participative control and open decision</w:t>
      </w:r>
      <w:r w:rsidR="00F81C89">
        <w:rPr>
          <w:rFonts w:ascii="Times New Roman" w:hAnsi="Times New Roman" w:cs="Times New Roman"/>
        </w:rPr>
        <w:t>-</w:t>
      </w:r>
      <w:r w:rsidRPr="005E131C">
        <w:rPr>
          <w:rFonts w:ascii="Times New Roman" w:hAnsi="Times New Roman" w:cs="Times New Roman"/>
        </w:rPr>
        <w:t>making.</w:t>
      </w:r>
    </w:p>
    <w:p w14:paraId="546B199E" w14:textId="6360C367" w:rsidR="00316ABB" w:rsidRPr="005E131C" w:rsidRDefault="00316ABB" w:rsidP="005E131C">
      <w:pPr>
        <w:pStyle w:val="Heading2"/>
        <w:rPr>
          <w:rFonts w:ascii="Times New Roman" w:hAnsi="Times New Roman" w:cs="Times New Roman"/>
          <w:szCs w:val="24"/>
        </w:rPr>
      </w:pPr>
      <w:bookmarkStart w:id="18" w:name="_Toc222808815"/>
      <w:r w:rsidRPr="005E131C">
        <w:rPr>
          <w:rFonts w:ascii="Times New Roman" w:hAnsi="Times New Roman" w:cs="Times New Roman"/>
          <w:szCs w:val="24"/>
        </w:rPr>
        <w:lastRenderedPageBreak/>
        <w:t>Corporate Social Responsibility (CSR) and Stakeholder Strategy</w:t>
      </w:r>
      <w:bookmarkEnd w:id="18"/>
    </w:p>
    <w:p w14:paraId="6F5A52D1" w14:textId="49BBEEFA" w:rsidR="00316ABB" w:rsidRPr="005E131C" w:rsidRDefault="00316ABB" w:rsidP="00DE71F1">
      <w:pPr>
        <w:ind w:firstLine="0"/>
        <w:rPr>
          <w:rFonts w:ascii="Times New Roman" w:hAnsi="Times New Roman" w:cs="Times New Roman"/>
        </w:rPr>
      </w:pPr>
      <w:r w:rsidRPr="005E131C">
        <w:rPr>
          <w:rFonts w:ascii="Times New Roman" w:hAnsi="Times New Roman" w:cs="Times New Roman"/>
        </w:rPr>
        <w:t xml:space="preserve">CSR as a strategic approach offers a way </w:t>
      </w:r>
      <w:r w:rsidR="00F81C89">
        <w:rPr>
          <w:rFonts w:ascii="Times New Roman" w:hAnsi="Times New Roman" w:cs="Times New Roman"/>
        </w:rPr>
        <w:t xml:space="preserve">for </w:t>
      </w:r>
      <w:r w:rsidRPr="005E131C">
        <w:rPr>
          <w:rFonts w:ascii="Times New Roman" w:hAnsi="Times New Roman" w:cs="Times New Roman"/>
        </w:rPr>
        <w:t xml:space="preserve">a company </w:t>
      </w:r>
      <w:r w:rsidR="00F81C89">
        <w:rPr>
          <w:rFonts w:ascii="Times New Roman" w:hAnsi="Times New Roman" w:cs="Times New Roman"/>
        </w:rPr>
        <w:t>to</w:t>
      </w:r>
      <w:r w:rsidRPr="005E131C">
        <w:rPr>
          <w:rFonts w:ascii="Times New Roman" w:hAnsi="Times New Roman" w:cs="Times New Roman"/>
        </w:rPr>
        <w:t xml:space="preserve"> integrate ethical stakeholder interaction into governance systems instead of viewing it as a peripheral addition. The CSR pyramid by </w:t>
      </w:r>
      <w:r w:rsidR="003C5B3D" w:rsidRPr="005E131C">
        <w:rPr>
          <w:rFonts w:ascii="Times New Roman" w:hAnsi="Times New Roman" w:cs="Times New Roman"/>
        </w:rPr>
        <w:t>Carroll (2016</w:t>
      </w:r>
      <w:r w:rsidRPr="005E131C">
        <w:rPr>
          <w:rFonts w:ascii="Times New Roman" w:hAnsi="Times New Roman" w:cs="Times New Roman"/>
        </w:rPr>
        <w:t>) conceptualises responsibility as an economic, legal, ethical and philanthropic view</w:t>
      </w:r>
      <w:r w:rsidR="00F81C89">
        <w:rPr>
          <w:rFonts w:ascii="Times New Roman" w:hAnsi="Times New Roman" w:cs="Times New Roman"/>
        </w:rPr>
        <w:t>;</w:t>
      </w:r>
      <w:r w:rsidRPr="005E131C">
        <w:rPr>
          <w:rFonts w:ascii="Times New Roman" w:hAnsi="Times New Roman" w:cs="Times New Roman"/>
        </w:rPr>
        <w:t xml:space="preserve"> thus</w:t>
      </w:r>
      <w:r w:rsidR="00F81C89">
        <w:rPr>
          <w:rFonts w:ascii="Times New Roman" w:hAnsi="Times New Roman" w:cs="Times New Roman"/>
        </w:rPr>
        <w:t>,</w:t>
      </w:r>
      <w:r w:rsidRPr="005E131C">
        <w:rPr>
          <w:rFonts w:ascii="Times New Roman" w:hAnsi="Times New Roman" w:cs="Times New Roman"/>
        </w:rPr>
        <w:t xml:space="preserve"> the security of private estates should be cost-efficient and abide by the regulations as well as accountable to morals and the community. On </w:t>
      </w:r>
      <w:r w:rsidR="00F81C89">
        <w:rPr>
          <w:rFonts w:ascii="Times New Roman" w:hAnsi="Times New Roman" w:cs="Times New Roman"/>
        </w:rPr>
        <w:t xml:space="preserve">the </w:t>
      </w:r>
      <w:r w:rsidRPr="005E131C">
        <w:rPr>
          <w:rFonts w:ascii="Times New Roman" w:hAnsi="Times New Roman" w:cs="Times New Roman"/>
        </w:rPr>
        <w:t>economic front, the provision of services should create value without charging residents disproportionately in relation to the services. Procedural compliance is assured by legal conformity to the GDPR requirements and the Security Industry Authority (SIA) licen</w:t>
      </w:r>
      <w:r w:rsidR="00F81C89">
        <w:rPr>
          <w:rFonts w:ascii="Times New Roman" w:hAnsi="Times New Roman" w:cs="Times New Roman"/>
        </w:rPr>
        <w:t>s</w:t>
      </w:r>
      <w:r w:rsidRPr="005E131C">
        <w:rPr>
          <w:rFonts w:ascii="Times New Roman" w:hAnsi="Times New Roman" w:cs="Times New Roman"/>
        </w:rPr>
        <w:t xml:space="preserve">ing standards. Nevertheless, </w:t>
      </w:r>
      <w:r w:rsidR="00F81C89">
        <w:rPr>
          <w:rFonts w:ascii="Times New Roman" w:hAnsi="Times New Roman" w:cs="Times New Roman"/>
        </w:rPr>
        <w:t xml:space="preserve">the </w:t>
      </w:r>
      <w:r w:rsidRPr="005E131C">
        <w:rPr>
          <w:rFonts w:ascii="Times New Roman" w:hAnsi="Times New Roman" w:cs="Times New Roman"/>
        </w:rPr>
        <w:t xml:space="preserve">stakeholder approach suggested by </w:t>
      </w:r>
      <w:r w:rsidR="003C5B3D" w:rsidRPr="005E131C">
        <w:rPr>
          <w:rFonts w:ascii="Times New Roman" w:hAnsi="Times New Roman" w:cs="Times New Roman"/>
        </w:rPr>
        <w:t>Cardillo and Basso (2025)</w:t>
      </w:r>
      <w:r w:rsidRPr="005E131C">
        <w:rPr>
          <w:rFonts w:ascii="Times New Roman" w:hAnsi="Times New Roman" w:cs="Times New Roman"/>
        </w:rPr>
        <w:t xml:space="preserve"> goes beyond compliance and entails that estate management is obligated to treat individuals fairly, with transparency and inclusive involvement. Moreover, according to </w:t>
      </w:r>
      <w:r w:rsidR="003C5B3D" w:rsidRPr="005E131C">
        <w:rPr>
          <w:rFonts w:ascii="Times New Roman" w:hAnsi="Times New Roman" w:cs="Times New Roman"/>
        </w:rPr>
        <w:t>Maleki Vishkaei, Spahiu and De Giovanni (2025</w:t>
      </w:r>
      <w:r w:rsidRPr="005E131C">
        <w:rPr>
          <w:rFonts w:ascii="Times New Roman" w:hAnsi="Times New Roman" w:cs="Times New Roman"/>
        </w:rPr>
        <w:t xml:space="preserve">) the shared value emerges when organisations shape operational goals to the welfare of society; thus, security strategies must contribute to the cohesion of the community instead of just reducing the risk of liability. However, CSR in the context of private estate security tends to be tacit and responsive and is framed in a very limited way as risk management. </w:t>
      </w:r>
      <w:r w:rsidR="00A47F17" w:rsidRPr="005E131C">
        <w:rPr>
          <w:rFonts w:ascii="Times New Roman" w:hAnsi="Times New Roman" w:cs="Times New Roman"/>
        </w:rPr>
        <w:t>Therefore, CSR principles should be formally integrated into Service Level Agreements and performance KPIs, ensuring measurable commitments to fairness, accountability and community wellbeing rather than symbolic reputational positioning.</w:t>
      </w:r>
    </w:p>
    <w:p w14:paraId="052E42BB" w14:textId="77777777" w:rsidR="006665B5" w:rsidRPr="005E131C" w:rsidRDefault="006665B5" w:rsidP="005E131C">
      <w:pPr>
        <w:keepNext/>
        <w:rPr>
          <w:rFonts w:ascii="Times New Roman" w:hAnsi="Times New Roman" w:cs="Times New Roman"/>
        </w:rPr>
      </w:pPr>
      <w:r w:rsidRPr="005E131C">
        <w:rPr>
          <w:rFonts w:ascii="Times New Roman" w:hAnsi="Times New Roman" w:cs="Times New Roman"/>
          <w:noProof/>
        </w:rPr>
        <w:lastRenderedPageBreak/>
        <w:drawing>
          <wp:inline distT="0" distB="0" distL="0" distR="0" wp14:anchorId="5469768A" wp14:editId="30EE0AE4">
            <wp:extent cx="4982845" cy="4183080"/>
            <wp:effectExtent l="19050" t="19050" r="27305" b="27305"/>
            <wp:docPr id="153457007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rotWithShape="1">
                    <a:blip r:embed="rId14">
                      <a:extLst>
                        <a:ext uri="{28A0092B-C50C-407E-A947-70E740481C1C}">
                          <a14:useLocalDpi xmlns:a14="http://schemas.microsoft.com/office/drawing/2010/main" val="0"/>
                        </a:ext>
                      </a:extLst>
                    </a:blip>
                    <a:srcRect b="7524"/>
                    <a:stretch>
                      <a:fillRect/>
                    </a:stretch>
                  </pic:blipFill>
                  <pic:spPr bwMode="auto">
                    <a:xfrm>
                      <a:off x="0" y="0"/>
                      <a:ext cx="4993524" cy="4192045"/>
                    </a:xfrm>
                    <a:prstGeom prst="rect">
                      <a:avLst/>
                    </a:prstGeom>
                    <a:noFill/>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C4FF4FE" w14:textId="00650835" w:rsidR="006665B5" w:rsidRPr="005E131C" w:rsidRDefault="006665B5" w:rsidP="005E131C">
      <w:pPr>
        <w:pStyle w:val="Caption"/>
        <w:spacing w:line="360" w:lineRule="auto"/>
        <w:jc w:val="center"/>
        <w:rPr>
          <w:rFonts w:ascii="Times New Roman" w:hAnsi="Times New Roman" w:cs="Times New Roman"/>
          <w:sz w:val="24"/>
          <w:szCs w:val="24"/>
        </w:rPr>
      </w:pPr>
      <w:r w:rsidRPr="005E131C">
        <w:rPr>
          <w:rFonts w:ascii="Times New Roman" w:hAnsi="Times New Roman" w:cs="Times New Roman"/>
          <w:sz w:val="24"/>
          <w:szCs w:val="24"/>
        </w:rPr>
        <w:t xml:space="preserve">Figure </w:t>
      </w:r>
      <w:r w:rsidRPr="005E131C">
        <w:rPr>
          <w:rFonts w:ascii="Times New Roman" w:hAnsi="Times New Roman" w:cs="Times New Roman"/>
          <w:sz w:val="24"/>
          <w:szCs w:val="24"/>
        </w:rPr>
        <w:fldChar w:fldCharType="begin"/>
      </w:r>
      <w:r w:rsidRPr="005E131C">
        <w:rPr>
          <w:rFonts w:ascii="Times New Roman" w:hAnsi="Times New Roman" w:cs="Times New Roman"/>
          <w:sz w:val="24"/>
          <w:szCs w:val="24"/>
        </w:rPr>
        <w:instrText xml:space="preserve"> SEQ Figure \* ARABIC </w:instrText>
      </w:r>
      <w:r w:rsidRPr="005E131C">
        <w:rPr>
          <w:rFonts w:ascii="Times New Roman" w:hAnsi="Times New Roman" w:cs="Times New Roman"/>
          <w:sz w:val="24"/>
          <w:szCs w:val="24"/>
        </w:rPr>
        <w:fldChar w:fldCharType="separate"/>
      </w:r>
      <w:r w:rsidR="002F13F8" w:rsidRPr="005E131C">
        <w:rPr>
          <w:rFonts w:ascii="Times New Roman" w:hAnsi="Times New Roman" w:cs="Times New Roman"/>
          <w:noProof/>
          <w:sz w:val="24"/>
          <w:szCs w:val="24"/>
        </w:rPr>
        <w:t>4</w:t>
      </w:r>
      <w:r w:rsidRPr="005E131C">
        <w:rPr>
          <w:rFonts w:ascii="Times New Roman" w:hAnsi="Times New Roman" w:cs="Times New Roman"/>
          <w:sz w:val="24"/>
          <w:szCs w:val="24"/>
        </w:rPr>
        <w:fldChar w:fldCharType="end"/>
      </w:r>
      <w:r w:rsidRPr="005E131C">
        <w:rPr>
          <w:rFonts w:ascii="Times New Roman" w:hAnsi="Times New Roman" w:cs="Times New Roman"/>
          <w:sz w:val="24"/>
          <w:szCs w:val="24"/>
        </w:rPr>
        <w:t>: The Power of Integrated CSR in Estate Security</w:t>
      </w:r>
    </w:p>
    <w:p w14:paraId="63FAD168" w14:textId="087A0AC0" w:rsidR="00316ABB" w:rsidRPr="005E131C" w:rsidRDefault="00316ABB" w:rsidP="005E131C">
      <w:pPr>
        <w:pStyle w:val="Heading2"/>
        <w:rPr>
          <w:rFonts w:ascii="Times New Roman" w:hAnsi="Times New Roman" w:cs="Times New Roman"/>
          <w:szCs w:val="24"/>
        </w:rPr>
      </w:pPr>
      <w:bookmarkStart w:id="19" w:name="_Toc222808816"/>
      <w:r w:rsidRPr="005E131C">
        <w:rPr>
          <w:rFonts w:ascii="Times New Roman" w:hAnsi="Times New Roman" w:cs="Times New Roman"/>
          <w:szCs w:val="24"/>
        </w:rPr>
        <w:t>Sustainability in Private Security Governance</w:t>
      </w:r>
      <w:bookmarkEnd w:id="19"/>
    </w:p>
    <w:p w14:paraId="40F40972" w14:textId="00664A69" w:rsidR="00A47F17" w:rsidRPr="005E131C" w:rsidRDefault="00A47F17" w:rsidP="003F20C0">
      <w:pPr>
        <w:ind w:firstLine="0"/>
        <w:rPr>
          <w:rFonts w:ascii="Times New Roman" w:hAnsi="Times New Roman" w:cs="Times New Roman"/>
        </w:rPr>
      </w:pPr>
      <w:r w:rsidRPr="005E131C">
        <w:rPr>
          <w:rFonts w:ascii="Times New Roman" w:hAnsi="Times New Roman" w:cs="Times New Roman"/>
        </w:rPr>
        <w:t>Sustainability in private security governance is not limited</w:t>
      </w:r>
      <w:r w:rsidR="00F81C89">
        <w:rPr>
          <w:rFonts w:ascii="Times New Roman" w:hAnsi="Times New Roman" w:cs="Times New Roman"/>
        </w:rPr>
        <w:t xml:space="preserve"> only</w:t>
      </w:r>
      <w:r w:rsidRPr="005E131C">
        <w:rPr>
          <w:rFonts w:ascii="Times New Roman" w:hAnsi="Times New Roman" w:cs="Times New Roman"/>
        </w:rPr>
        <w:t xml:space="preserve"> to the environmental aspect, but also includes social durability, institutional stability and community resilience. According to </w:t>
      </w:r>
      <w:r w:rsidR="00F81C89">
        <w:rPr>
          <w:rFonts w:ascii="Times New Roman" w:hAnsi="Times New Roman" w:cs="Times New Roman"/>
        </w:rPr>
        <w:t xml:space="preserve">the </w:t>
      </w:r>
      <w:r w:rsidRPr="005E131C">
        <w:rPr>
          <w:rFonts w:ascii="Times New Roman" w:hAnsi="Times New Roman" w:cs="Times New Roman"/>
        </w:rPr>
        <w:t xml:space="preserve">Triple Bottom Line framework of </w:t>
      </w:r>
      <w:r w:rsidR="007A2546" w:rsidRPr="007A2546">
        <w:rPr>
          <w:rFonts w:ascii="Times New Roman" w:hAnsi="Times New Roman" w:cs="Times New Roman"/>
        </w:rPr>
        <w:t xml:space="preserve">Yu et al. </w:t>
      </w:r>
      <w:r w:rsidR="009578E1" w:rsidRPr="007A2546">
        <w:rPr>
          <w:rFonts w:ascii="Times New Roman" w:hAnsi="Times New Roman" w:cs="Times New Roman"/>
        </w:rPr>
        <w:t>(2024</w:t>
      </w:r>
      <w:r w:rsidRPr="007A2546">
        <w:rPr>
          <w:rFonts w:ascii="Times New Roman" w:hAnsi="Times New Roman" w:cs="Times New Roman"/>
        </w:rPr>
        <w:t>)</w:t>
      </w:r>
      <w:r w:rsidR="00F81C89">
        <w:rPr>
          <w:rFonts w:ascii="Times New Roman" w:hAnsi="Times New Roman" w:cs="Times New Roman"/>
        </w:rPr>
        <w:t>,</w:t>
      </w:r>
      <w:r w:rsidRPr="005E131C">
        <w:rPr>
          <w:rFonts w:ascii="Times New Roman" w:hAnsi="Times New Roman" w:cs="Times New Roman"/>
        </w:rPr>
        <w:t xml:space="preserve"> organisational success </w:t>
      </w:r>
      <w:proofErr w:type="gramStart"/>
      <w:r w:rsidRPr="005E131C">
        <w:rPr>
          <w:rFonts w:ascii="Times New Roman" w:hAnsi="Times New Roman" w:cs="Times New Roman"/>
        </w:rPr>
        <w:t>has to</w:t>
      </w:r>
      <w:proofErr w:type="gramEnd"/>
      <w:r w:rsidRPr="005E131C">
        <w:rPr>
          <w:rFonts w:ascii="Times New Roman" w:hAnsi="Times New Roman" w:cs="Times New Roman"/>
        </w:rPr>
        <w:t xml:space="preserve"> incorporate social outcomes in addition to economic ones</w:t>
      </w:r>
      <w:r w:rsidR="00F81C89">
        <w:rPr>
          <w:rFonts w:ascii="Times New Roman" w:hAnsi="Times New Roman" w:cs="Times New Roman"/>
        </w:rPr>
        <w:t>;</w:t>
      </w:r>
      <w:r w:rsidRPr="005E131C">
        <w:rPr>
          <w:rFonts w:ascii="Times New Roman" w:hAnsi="Times New Roman" w:cs="Times New Roman"/>
        </w:rPr>
        <w:t xml:space="preserve"> thus</w:t>
      </w:r>
      <w:r w:rsidR="00F81C89">
        <w:rPr>
          <w:rFonts w:ascii="Times New Roman" w:hAnsi="Times New Roman" w:cs="Times New Roman"/>
        </w:rPr>
        <w:t>,</w:t>
      </w:r>
      <w:r w:rsidRPr="005E131C">
        <w:rPr>
          <w:rFonts w:ascii="Times New Roman" w:hAnsi="Times New Roman" w:cs="Times New Roman"/>
        </w:rPr>
        <w:t xml:space="preserve"> the estate security strategies should not simply target the mitigation of </w:t>
      </w:r>
      <w:r w:rsidR="009578E1" w:rsidRPr="005E131C">
        <w:rPr>
          <w:rFonts w:ascii="Times New Roman" w:hAnsi="Times New Roman" w:cs="Times New Roman"/>
        </w:rPr>
        <w:t>short-term</w:t>
      </w:r>
      <w:r w:rsidRPr="005E131C">
        <w:rPr>
          <w:rFonts w:ascii="Times New Roman" w:hAnsi="Times New Roman" w:cs="Times New Roman"/>
        </w:rPr>
        <w:t xml:space="preserve"> risks, but should maintain trust, inclusion and long-term financial sustainability. In accordance with the UN Sustainable Development Goal 16 of promoting peace, justice and strong institutions, the governance structures in the housing estates must encourage open decision-making and available accountability procedures</w:t>
      </w:r>
      <w:r w:rsidR="009578E1" w:rsidRPr="005E131C">
        <w:rPr>
          <w:rFonts w:ascii="Times New Roman" w:hAnsi="Times New Roman" w:cs="Times New Roman"/>
        </w:rPr>
        <w:t xml:space="preserve"> (United Nations, 2025)</w:t>
      </w:r>
      <w:r w:rsidRPr="005E131C">
        <w:rPr>
          <w:rFonts w:ascii="Times New Roman" w:hAnsi="Times New Roman" w:cs="Times New Roman"/>
        </w:rPr>
        <w:t xml:space="preserve">. Social sustainability implies that inhabitants must feel that the security </w:t>
      </w:r>
      <w:r w:rsidR="00EA7637" w:rsidRPr="005E131C">
        <w:rPr>
          <w:rFonts w:ascii="Times New Roman" w:hAnsi="Times New Roman" w:cs="Times New Roman"/>
        </w:rPr>
        <w:t>practices</w:t>
      </w:r>
      <w:r w:rsidRPr="005E131C">
        <w:rPr>
          <w:rFonts w:ascii="Times New Roman" w:hAnsi="Times New Roman" w:cs="Times New Roman"/>
        </w:rPr>
        <w:t xml:space="preserve"> are equal and reasonable, thus strengthening unity and mutual responsibility. Nevertheless, excessive surveillance or enforcement can be counterproductive by over</w:t>
      </w:r>
      <w:r w:rsidR="00F81C89">
        <w:rPr>
          <w:rFonts w:ascii="Times New Roman" w:hAnsi="Times New Roman" w:cs="Times New Roman"/>
        </w:rPr>
        <w:t>-</w:t>
      </w:r>
      <w:r w:rsidRPr="005E131C">
        <w:rPr>
          <w:rFonts w:ascii="Times New Roman" w:hAnsi="Times New Roman" w:cs="Times New Roman"/>
        </w:rPr>
        <w:t>securitising, as it can weaken trust in the community, resulting in disengagement and opposition. Sustainable security governance</w:t>
      </w:r>
      <w:r w:rsidR="00F81C89">
        <w:rPr>
          <w:rFonts w:ascii="Times New Roman" w:hAnsi="Times New Roman" w:cs="Times New Roman"/>
        </w:rPr>
        <w:t>,</w:t>
      </w:r>
      <w:r w:rsidRPr="005E131C">
        <w:rPr>
          <w:rFonts w:ascii="Times New Roman" w:hAnsi="Times New Roman" w:cs="Times New Roman"/>
        </w:rPr>
        <w:t xml:space="preserve"> </w:t>
      </w:r>
      <w:r w:rsidR="00F81C89" w:rsidRPr="005E131C">
        <w:rPr>
          <w:rFonts w:ascii="Times New Roman" w:hAnsi="Times New Roman" w:cs="Times New Roman"/>
        </w:rPr>
        <w:lastRenderedPageBreak/>
        <w:t>therefore,</w:t>
      </w:r>
      <w:r w:rsidRPr="005E131C">
        <w:rPr>
          <w:rFonts w:ascii="Times New Roman" w:hAnsi="Times New Roman" w:cs="Times New Roman"/>
        </w:rPr>
        <w:t xml:space="preserve"> requires a moderate strategy where protective strategies are moderated with participatory interaction</w:t>
      </w:r>
      <w:r w:rsidR="00F81C89">
        <w:rPr>
          <w:rFonts w:ascii="Times New Roman" w:hAnsi="Times New Roman" w:cs="Times New Roman"/>
        </w:rPr>
        <w:t>,</w:t>
      </w:r>
      <w:r w:rsidRPr="005E131C">
        <w:rPr>
          <w:rFonts w:ascii="Times New Roman" w:hAnsi="Times New Roman" w:cs="Times New Roman"/>
        </w:rPr>
        <w:t xml:space="preserve"> such that safety programmes fortify instead of divesting the social composition of the estate.</w:t>
      </w:r>
    </w:p>
    <w:p w14:paraId="7EFBF863" w14:textId="3F897964" w:rsidR="00316ABB" w:rsidRPr="005E131C" w:rsidRDefault="00316ABB" w:rsidP="005E131C">
      <w:pPr>
        <w:pStyle w:val="Heading2"/>
        <w:rPr>
          <w:rFonts w:ascii="Times New Roman" w:hAnsi="Times New Roman" w:cs="Times New Roman"/>
          <w:szCs w:val="24"/>
        </w:rPr>
      </w:pPr>
      <w:bookmarkStart w:id="20" w:name="_Toc222808817"/>
      <w:r w:rsidRPr="005E131C">
        <w:rPr>
          <w:rFonts w:ascii="Times New Roman" w:hAnsi="Times New Roman" w:cs="Times New Roman"/>
          <w:szCs w:val="24"/>
        </w:rPr>
        <w:t>Reflective Insight: Learning from Theory and Practice</w:t>
      </w:r>
      <w:bookmarkEnd w:id="20"/>
    </w:p>
    <w:p w14:paraId="4F6DDFD3" w14:textId="067D98ED" w:rsidR="00A47F17" w:rsidRPr="005E131C" w:rsidRDefault="00A47F17" w:rsidP="00DE71F1">
      <w:pPr>
        <w:ind w:firstLine="0"/>
        <w:rPr>
          <w:rFonts w:ascii="Times New Roman" w:hAnsi="Times New Roman" w:cs="Times New Roman"/>
        </w:rPr>
      </w:pPr>
      <w:r w:rsidRPr="005E131C">
        <w:rPr>
          <w:rFonts w:ascii="Times New Roman" w:hAnsi="Times New Roman" w:cs="Times New Roman"/>
        </w:rPr>
        <w:t xml:space="preserve">The critical engagement with the theory and </w:t>
      </w:r>
      <w:proofErr w:type="spellStart"/>
      <w:r w:rsidRPr="005E131C">
        <w:rPr>
          <w:rFonts w:ascii="Times New Roman" w:hAnsi="Times New Roman" w:cs="Times New Roman"/>
        </w:rPr>
        <w:t>practise</w:t>
      </w:r>
      <w:proofErr w:type="spellEnd"/>
      <w:r w:rsidRPr="005E131C">
        <w:rPr>
          <w:rFonts w:ascii="Times New Roman" w:hAnsi="Times New Roman" w:cs="Times New Roman"/>
        </w:rPr>
        <w:t xml:space="preserve"> of the stakeholder theory has enhanced my appreciation of the fact that the issue of the governance of the process of the security of the private estate is complex, as the interests of the stakeholders are rarely harmonised, and the influence is distributed unequally. I have realised that engagement is not only a technical process of coordination, but one that is politicised by power and legitimacy. The stakeholder theory of </w:t>
      </w:r>
      <w:r w:rsidRPr="005347B2">
        <w:rPr>
          <w:rFonts w:ascii="Times New Roman" w:hAnsi="Times New Roman" w:cs="Times New Roman"/>
        </w:rPr>
        <w:t>Freeman</w:t>
      </w:r>
      <w:r w:rsidRPr="005E131C">
        <w:rPr>
          <w:rFonts w:ascii="Times New Roman" w:hAnsi="Times New Roman" w:cs="Times New Roman"/>
        </w:rPr>
        <w:t xml:space="preserve"> (1984) made me change my perception regarding security as a contractual service to a multi-actor governance that demanded a mutually beneficial value creation. In addition, </w:t>
      </w:r>
      <w:r w:rsidR="009578E1" w:rsidRPr="005E131C">
        <w:rPr>
          <w:rFonts w:ascii="Times New Roman" w:hAnsi="Times New Roman" w:cs="Times New Roman"/>
        </w:rPr>
        <w:t>Didenko et al</w:t>
      </w:r>
      <w:r w:rsidR="009578E1" w:rsidRPr="005E131C">
        <w:rPr>
          <w:rFonts w:ascii="Times New Roman" w:hAnsi="Times New Roman" w:cs="Times New Roman"/>
          <w:i/>
          <w:iCs/>
        </w:rPr>
        <w:t>.</w:t>
      </w:r>
      <w:r w:rsidR="009578E1" w:rsidRPr="005E131C">
        <w:rPr>
          <w:rFonts w:ascii="Times New Roman" w:hAnsi="Times New Roman" w:cs="Times New Roman"/>
        </w:rPr>
        <w:t xml:space="preserve"> (2020)</w:t>
      </w:r>
      <w:r w:rsidRPr="005E131C">
        <w:rPr>
          <w:rFonts w:ascii="Times New Roman" w:hAnsi="Times New Roman" w:cs="Times New Roman"/>
        </w:rPr>
        <w:t xml:space="preserve"> explained the prevalence of institutional power in estate management in </w:t>
      </w:r>
      <w:proofErr w:type="spellStart"/>
      <w:r w:rsidRPr="005E131C">
        <w:rPr>
          <w:rFonts w:ascii="Times New Roman" w:hAnsi="Times New Roman" w:cs="Times New Roman"/>
        </w:rPr>
        <w:t>favour</w:t>
      </w:r>
      <w:proofErr w:type="spellEnd"/>
      <w:r w:rsidRPr="005E131C">
        <w:rPr>
          <w:rFonts w:ascii="Times New Roman" w:hAnsi="Times New Roman" w:cs="Times New Roman"/>
        </w:rPr>
        <w:t xml:space="preserve"> of decision-making, and residents with moral legitimacy might not have the same power. This has enabled me to build greater stakeholder analysis, ethical reasoning and conflict mediation capabilities as well as strategic communication planning and policy evaluation capabilities. The competencies are directly applicable to future employment in security management, housing governance or public administration and enhance my academic catalogue in the studies of governance and risk management.</w:t>
      </w:r>
    </w:p>
    <w:p w14:paraId="477D9F9B" w14:textId="35A9A3C4" w:rsidR="00A47F17" w:rsidRPr="005E131C" w:rsidRDefault="00A47F17" w:rsidP="00707F76">
      <w:pPr>
        <w:pStyle w:val="Heading1"/>
        <w:numPr>
          <w:ilvl w:val="0"/>
          <w:numId w:val="0"/>
        </w:numPr>
        <w:rPr>
          <w:rFonts w:ascii="Times New Roman" w:hAnsi="Times New Roman" w:cs="Times New Roman"/>
          <w:sz w:val="24"/>
          <w:szCs w:val="24"/>
        </w:rPr>
      </w:pPr>
      <w:bookmarkStart w:id="21" w:name="_Toc222808818"/>
      <w:r w:rsidRPr="005E131C">
        <w:rPr>
          <w:rFonts w:ascii="Times New Roman" w:hAnsi="Times New Roman" w:cs="Times New Roman"/>
          <w:sz w:val="24"/>
          <w:szCs w:val="24"/>
        </w:rPr>
        <w:t>Element 4: Conclusion and Recommendation</w:t>
      </w:r>
      <w:bookmarkEnd w:id="21"/>
    </w:p>
    <w:p w14:paraId="467431D1" w14:textId="4F84624C" w:rsidR="00A47F17" w:rsidRPr="005E131C" w:rsidRDefault="00A47F17" w:rsidP="00F81C89">
      <w:pPr>
        <w:ind w:firstLine="0"/>
        <w:rPr>
          <w:rFonts w:ascii="Times New Roman" w:hAnsi="Times New Roman" w:cs="Times New Roman"/>
        </w:rPr>
      </w:pPr>
      <w:r w:rsidRPr="005E131C">
        <w:rPr>
          <w:rFonts w:ascii="Times New Roman" w:hAnsi="Times New Roman" w:cs="Times New Roman"/>
        </w:rPr>
        <w:t xml:space="preserve">The involvement of stakeholders in the delivery of private security in the housing estate has proven that proper governance goes beyond operational coordination and demands systematic, </w:t>
      </w:r>
      <w:r w:rsidR="00F81C89" w:rsidRPr="005E131C">
        <w:rPr>
          <w:rFonts w:ascii="Times New Roman" w:hAnsi="Times New Roman" w:cs="Times New Roman"/>
        </w:rPr>
        <w:t>ethically based</w:t>
      </w:r>
      <w:r w:rsidRPr="005E131C">
        <w:rPr>
          <w:rFonts w:ascii="Times New Roman" w:hAnsi="Times New Roman" w:cs="Times New Roman"/>
        </w:rPr>
        <w:t xml:space="preserve"> involvement. The distribution of power was found to be skewed, with the estate management and security contractors having high influence</w:t>
      </w:r>
      <w:r w:rsidR="00F81C89">
        <w:rPr>
          <w:rFonts w:ascii="Times New Roman" w:hAnsi="Times New Roman" w:cs="Times New Roman"/>
        </w:rPr>
        <w:t>,</w:t>
      </w:r>
      <w:r w:rsidRPr="005E131C">
        <w:rPr>
          <w:rFonts w:ascii="Times New Roman" w:hAnsi="Times New Roman" w:cs="Times New Roman"/>
        </w:rPr>
        <w:t xml:space="preserve"> whereas the residents hold high legitimacy but with relatively low authority. Therefore, unless efforts are made to re-equilibr</w:t>
      </w:r>
      <w:r w:rsidR="00F81C89">
        <w:rPr>
          <w:rFonts w:ascii="Times New Roman" w:hAnsi="Times New Roman" w:cs="Times New Roman"/>
        </w:rPr>
        <w:t>ate</w:t>
      </w:r>
      <w:r w:rsidRPr="005E131C">
        <w:rPr>
          <w:rFonts w:ascii="Times New Roman" w:hAnsi="Times New Roman" w:cs="Times New Roman"/>
        </w:rPr>
        <w:t xml:space="preserve"> participation, engagement will turn managerial instead of collaborative. Moreover, the ethical conflicts between collective safety and personal privacy and issues related to equity and accountability</w:t>
      </w:r>
      <w:r w:rsidR="00F81C89">
        <w:rPr>
          <w:rFonts w:ascii="Times New Roman" w:hAnsi="Times New Roman" w:cs="Times New Roman"/>
        </w:rPr>
        <w:t>,</w:t>
      </w:r>
      <w:r w:rsidRPr="005E131C">
        <w:rPr>
          <w:rFonts w:ascii="Times New Roman" w:hAnsi="Times New Roman" w:cs="Times New Roman"/>
        </w:rPr>
        <w:t xml:space="preserve"> indicate that legitimacy is gained not only by crime reduction but also by the open and proportional decision-making. Thus, stakeholder mapping and varied communications techniques enhanced transparency </w:t>
      </w:r>
      <w:r w:rsidRPr="005E131C">
        <w:rPr>
          <w:rFonts w:ascii="Times New Roman" w:hAnsi="Times New Roman" w:cs="Times New Roman"/>
        </w:rPr>
        <w:lastRenderedPageBreak/>
        <w:t>and procedural fairness, but long-term trust is based on the ongoing responsiveness and transparent inclusion of resident feedback in security guidelines.</w:t>
      </w:r>
    </w:p>
    <w:p w14:paraId="5398FB4F" w14:textId="2A64F08C" w:rsidR="009578E1" w:rsidRPr="005E131C" w:rsidRDefault="00A47F17" w:rsidP="00DE71F1">
      <w:pPr>
        <w:ind w:firstLine="0"/>
        <w:rPr>
          <w:rFonts w:ascii="Times New Roman" w:hAnsi="Times New Roman" w:cs="Times New Roman"/>
        </w:rPr>
      </w:pPr>
      <w:r w:rsidRPr="005E131C">
        <w:rPr>
          <w:rFonts w:ascii="Times New Roman" w:hAnsi="Times New Roman" w:cs="Times New Roman"/>
        </w:rPr>
        <w:t xml:space="preserve">Based on these findings, </w:t>
      </w:r>
      <w:proofErr w:type="gramStart"/>
      <w:r w:rsidRPr="005E131C">
        <w:rPr>
          <w:rFonts w:ascii="Times New Roman" w:hAnsi="Times New Roman" w:cs="Times New Roman"/>
        </w:rPr>
        <w:t>a number of</w:t>
      </w:r>
      <w:proofErr w:type="gramEnd"/>
      <w:r w:rsidRPr="005E131C">
        <w:rPr>
          <w:rFonts w:ascii="Times New Roman" w:hAnsi="Times New Roman" w:cs="Times New Roman"/>
        </w:rPr>
        <w:t xml:space="preserve"> recommendations can be made. First, there should be the formalisation of resident advisory committees with specified consultative power, so that consultation is replaced with co-production. Second, accountability should be enhanced through the incorporation of transparency mechanisms such as reporting of CCTV usage, incident outcomes and performance indicators on a regular basis in Service Level Agreements. Third, equality impact assessment and bias-awareness training must be combined to protect fairness as well as avoid disproportionate enforcement </w:t>
      </w:r>
      <w:r w:rsidR="00EA7637" w:rsidRPr="005E131C">
        <w:rPr>
          <w:rFonts w:ascii="Times New Roman" w:hAnsi="Times New Roman" w:cs="Times New Roman"/>
        </w:rPr>
        <w:t>practices</w:t>
      </w:r>
      <w:r w:rsidRPr="005E131C">
        <w:rPr>
          <w:rFonts w:ascii="Times New Roman" w:hAnsi="Times New Roman" w:cs="Times New Roman"/>
        </w:rPr>
        <w:t xml:space="preserve">. Moreover, various communication methods should be used to make sure that digitally disadvantaged residents are not excluded. In the end, the need to engage with the stakeholders effectively is not only the key to operational efficiency but also long-term sustainability </w:t>
      </w:r>
      <w:proofErr w:type="gramStart"/>
      <w:r w:rsidRPr="005E131C">
        <w:rPr>
          <w:rFonts w:ascii="Times New Roman" w:hAnsi="Times New Roman" w:cs="Times New Roman"/>
        </w:rPr>
        <w:t>due to the fact that</w:t>
      </w:r>
      <w:proofErr w:type="gramEnd"/>
      <w:r w:rsidRPr="005E131C">
        <w:rPr>
          <w:rFonts w:ascii="Times New Roman" w:hAnsi="Times New Roman" w:cs="Times New Roman"/>
        </w:rPr>
        <w:t xml:space="preserve"> trust, legitimacy and community cohesion are the essential elements of resiliency and success of the private security programmes in residential settings.</w:t>
      </w:r>
    </w:p>
    <w:p w14:paraId="6093AAF7" w14:textId="0BB7533B" w:rsidR="00E43E50" w:rsidRDefault="00E43E50" w:rsidP="00707F76">
      <w:pPr>
        <w:ind w:firstLine="0"/>
        <w:jc w:val="left"/>
        <w:rPr>
          <w:rFonts w:ascii="Times New Roman" w:hAnsi="Times New Roman" w:cs="Times New Roman"/>
        </w:rPr>
      </w:pPr>
    </w:p>
    <w:p w14:paraId="1A96C1C3" w14:textId="77777777" w:rsidR="0036134A" w:rsidRPr="005E131C" w:rsidRDefault="0036134A" w:rsidP="00707F76">
      <w:pPr>
        <w:ind w:firstLine="0"/>
        <w:jc w:val="left"/>
        <w:rPr>
          <w:rFonts w:ascii="Times New Roman" w:hAnsi="Times New Roman" w:cs="Times New Roman"/>
        </w:rPr>
      </w:pPr>
    </w:p>
    <w:p w14:paraId="43C704D6" w14:textId="6C661B7B" w:rsidR="00316ABB" w:rsidRPr="0036134A" w:rsidRDefault="00E43E50" w:rsidP="00DE71F1">
      <w:pPr>
        <w:pStyle w:val="Heading1"/>
        <w:numPr>
          <w:ilvl w:val="0"/>
          <w:numId w:val="0"/>
        </w:numPr>
        <w:rPr>
          <w:rFonts w:ascii="Times New Roman" w:hAnsi="Times New Roman" w:cs="Times New Roman"/>
          <w:szCs w:val="28"/>
        </w:rPr>
      </w:pPr>
      <w:bookmarkStart w:id="22" w:name="_Toc222808819"/>
      <w:r w:rsidRPr="0036134A">
        <w:rPr>
          <w:rFonts w:ascii="Times New Roman" w:hAnsi="Times New Roman" w:cs="Times New Roman"/>
          <w:szCs w:val="28"/>
        </w:rPr>
        <w:t>References</w:t>
      </w:r>
      <w:bookmarkEnd w:id="22"/>
    </w:p>
    <w:p w14:paraId="271842A2" w14:textId="77777777" w:rsidR="001F1BE1" w:rsidRPr="005E131C" w:rsidRDefault="001F1BE1" w:rsidP="005E131C">
      <w:pPr>
        <w:ind w:left="720" w:hanging="360"/>
        <w:rPr>
          <w:rFonts w:ascii="Times New Roman" w:hAnsi="Times New Roman" w:cs="Times New Roman"/>
        </w:rPr>
      </w:pPr>
      <w:proofErr w:type="spellStart"/>
      <w:r w:rsidRPr="005E131C">
        <w:rPr>
          <w:rFonts w:ascii="Times New Roman" w:hAnsi="Times New Roman" w:cs="Times New Roman"/>
        </w:rPr>
        <w:t>Alehegn</w:t>
      </w:r>
      <w:proofErr w:type="spellEnd"/>
      <w:r w:rsidRPr="005E131C">
        <w:rPr>
          <w:rFonts w:ascii="Times New Roman" w:hAnsi="Times New Roman" w:cs="Times New Roman"/>
        </w:rPr>
        <w:t xml:space="preserve">, D., Karunakaran, R. and </w:t>
      </w:r>
      <w:proofErr w:type="spellStart"/>
      <w:r w:rsidRPr="005E131C">
        <w:rPr>
          <w:rFonts w:ascii="Times New Roman" w:hAnsi="Times New Roman" w:cs="Times New Roman"/>
        </w:rPr>
        <w:t>Engida</w:t>
      </w:r>
      <w:proofErr w:type="spellEnd"/>
      <w:r w:rsidRPr="005E131C">
        <w:rPr>
          <w:rFonts w:ascii="Times New Roman" w:hAnsi="Times New Roman" w:cs="Times New Roman"/>
        </w:rPr>
        <w:t xml:space="preserve">, B. (2025) ‘The role of community policing structures in enhancing safety, security, and local crime prevention in Addis Ababa City Administration’, </w:t>
      </w:r>
      <w:r w:rsidRPr="005E131C">
        <w:rPr>
          <w:rFonts w:ascii="Times New Roman" w:hAnsi="Times New Roman" w:cs="Times New Roman"/>
          <w:i/>
          <w:iCs/>
        </w:rPr>
        <w:t>SN Social Sciences</w:t>
      </w:r>
      <w:r w:rsidRPr="005E131C">
        <w:rPr>
          <w:rFonts w:ascii="Times New Roman" w:hAnsi="Times New Roman" w:cs="Times New Roman"/>
        </w:rPr>
        <w:t xml:space="preserve">, 5, 168. Available at: </w:t>
      </w:r>
      <w:hyperlink r:id="rId15" w:tgtFrame="_new" w:history="1">
        <w:r w:rsidRPr="005E131C">
          <w:rPr>
            <w:rStyle w:val="Hyperlink"/>
            <w:rFonts w:ascii="Times New Roman" w:hAnsi="Times New Roman" w:cs="Times New Roman"/>
          </w:rPr>
          <w:t>https://doi.org/10.1007/s43545-025-01195-6</w:t>
        </w:r>
      </w:hyperlink>
    </w:p>
    <w:p w14:paraId="68C0FA78" w14:textId="77777777" w:rsidR="001F1BE1" w:rsidRPr="005E131C" w:rsidRDefault="001F1BE1" w:rsidP="005E131C">
      <w:pPr>
        <w:ind w:left="720" w:hanging="360"/>
        <w:rPr>
          <w:rFonts w:ascii="Times New Roman" w:hAnsi="Times New Roman" w:cs="Times New Roman"/>
        </w:rPr>
      </w:pPr>
      <w:proofErr w:type="spellStart"/>
      <w:r w:rsidRPr="005E131C">
        <w:rPr>
          <w:rFonts w:ascii="Times New Roman" w:hAnsi="Times New Roman" w:cs="Times New Roman"/>
        </w:rPr>
        <w:t>Alsharif</w:t>
      </w:r>
      <w:proofErr w:type="spellEnd"/>
      <w:r w:rsidRPr="005E131C">
        <w:rPr>
          <w:rFonts w:ascii="Times New Roman" w:hAnsi="Times New Roman" w:cs="Times New Roman"/>
        </w:rPr>
        <w:t xml:space="preserve">, S.I. (2025) ‘Applying Habermas’s theory to Vision 2030 initiatives to promote national identity: A critical analysis’, </w:t>
      </w:r>
      <w:r w:rsidRPr="005E131C">
        <w:rPr>
          <w:rFonts w:ascii="Times New Roman" w:hAnsi="Times New Roman" w:cs="Times New Roman"/>
          <w:i/>
          <w:iCs/>
        </w:rPr>
        <w:t>Research Journal in Advanced Humanities</w:t>
      </w:r>
      <w:r w:rsidRPr="005E131C">
        <w:rPr>
          <w:rFonts w:ascii="Times New Roman" w:hAnsi="Times New Roman" w:cs="Times New Roman"/>
        </w:rPr>
        <w:t>, 6(1). Available at: https://doi.org/10.58256/3ey57g51</w:t>
      </w:r>
    </w:p>
    <w:p w14:paraId="4E55C195"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Alves, E.R., Gomes, E. and </w:t>
      </w:r>
      <w:proofErr w:type="spellStart"/>
      <w:r w:rsidRPr="005E131C">
        <w:rPr>
          <w:rFonts w:ascii="Times New Roman" w:hAnsi="Times New Roman" w:cs="Times New Roman"/>
        </w:rPr>
        <w:t>Corsini</w:t>
      </w:r>
      <w:proofErr w:type="spellEnd"/>
      <w:r w:rsidRPr="005E131C">
        <w:rPr>
          <w:rFonts w:ascii="Times New Roman" w:hAnsi="Times New Roman" w:cs="Times New Roman"/>
        </w:rPr>
        <w:t>, L. (2014) ‘The characteristics of power, legitimacy and urgency of stakeholders and the actions of corporate social responsibility of companies’, July.</w:t>
      </w:r>
    </w:p>
    <w:p w14:paraId="4AF051DC"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lastRenderedPageBreak/>
        <w:t xml:space="preserve">Awa, H.O., Etim, W. and Ogbonda, E.H. (2024) ‘Stakeholders, stakeholder theory and corporate social responsibility (CSR)’, </w:t>
      </w:r>
      <w:r w:rsidRPr="005E131C">
        <w:rPr>
          <w:rFonts w:ascii="Times New Roman" w:hAnsi="Times New Roman" w:cs="Times New Roman"/>
          <w:i/>
          <w:iCs/>
        </w:rPr>
        <w:t>International Journal of Corporate Social Responsibility</w:t>
      </w:r>
      <w:r w:rsidRPr="005E131C">
        <w:rPr>
          <w:rFonts w:ascii="Times New Roman" w:hAnsi="Times New Roman" w:cs="Times New Roman"/>
        </w:rPr>
        <w:t xml:space="preserve">, 9(1), 11. Available at: </w:t>
      </w:r>
      <w:hyperlink r:id="rId16" w:tgtFrame="_new" w:history="1">
        <w:r w:rsidRPr="005E131C">
          <w:rPr>
            <w:rStyle w:val="Hyperlink"/>
            <w:rFonts w:ascii="Times New Roman" w:hAnsi="Times New Roman" w:cs="Times New Roman"/>
          </w:rPr>
          <w:t>https://doi.org/10.1186/s40991-024-00094-y</w:t>
        </w:r>
      </w:hyperlink>
    </w:p>
    <w:p w14:paraId="008151DF" w14:textId="77777777" w:rsidR="001F1BE1" w:rsidRPr="005E131C" w:rsidRDefault="001F1BE1" w:rsidP="005E131C">
      <w:pPr>
        <w:ind w:left="720" w:hanging="360"/>
        <w:rPr>
          <w:rFonts w:ascii="Times New Roman" w:hAnsi="Times New Roman" w:cs="Times New Roman"/>
        </w:rPr>
      </w:pPr>
      <w:proofErr w:type="spellStart"/>
      <w:r w:rsidRPr="005E131C">
        <w:rPr>
          <w:rFonts w:ascii="Times New Roman" w:hAnsi="Times New Roman" w:cs="Times New Roman"/>
        </w:rPr>
        <w:t>Banchoff</w:t>
      </w:r>
      <w:proofErr w:type="spellEnd"/>
      <w:r w:rsidRPr="005E131C">
        <w:rPr>
          <w:rFonts w:ascii="Times New Roman" w:hAnsi="Times New Roman" w:cs="Times New Roman"/>
        </w:rPr>
        <w:t xml:space="preserve">, K., </w:t>
      </w:r>
      <w:proofErr w:type="spellStart"/>
      <w:r w:rsidRPr="005E131C">
        <w:rPr>
          <w:rFonts w:ascii="Times New Roman" w:hAnsi="Times New Roman" w:cs="Times New Roman"/>
        </w:rPr>
        <w:t>Muktar</w:t>
      </w:r>
      <w:proofErr w:type="spellEnd"/>
      <w:r w:rsidRPr="005E131C">
        <w:rPr>
          <w:rFonts w:ascii="Times New Roman" w:hAnsi="Times New Roman" w:cs="Times New Roman"/>
        </w:rPr>
        <w:t xml:space="preserve">, S.A., Perry, K.E., Williams, K.N., </w:t>
      </w:r>
      <w:proofErr w:type="spellStart"/>
      <w:r w:rsidRPr="005E131C">
        <w:rPr>
          <w:rFonts w:ascii="Times New Roman" w:hAnsi="Times New Roman" w:cs="Times New Roman"/>
        </w:rPr>
        <w:t>Rabary</w:t>
      </w:r>
      <w:proofErr w:type="spellEnd"/>
      <w:r w:rsidRPr="005E131C">
        <w:rPr>
          <w:rFonts w:ascii="Times New Roman" w:hAnsi="Times New Roman" w:cs="Times New Roman"/>
        </w:rPr>
        <w:t xml:space="preserve">, M., Jacobs, C., Morgan, R. and </w:t>
      </w:r>
      <w:proofErr w:type="spellStart"/>
      <w:r w:rsidRPr="005E131C">
        <w:rPr>
          <w:rFonts w:ascii="Times New Roman" w:hAnsi="Times New Roman" w:cs="Times New Roman"/>
        </w:rPr>
        <w:t>Kalbarczyk</w:t>
      </w:r>
      <w:proofErr w:type="spellEnd"/>
      <w:r w:rsidRPr="005E131C">
        <w:rPr>
          <w:rFonts w:ascii="Times New Roman" w:hAnsi="Times New Roman" w:cs="Times New Roman"/>
        </w:rPr>
        <w:t xml:space="preserve">, A. (2025) ‘Stakeholder mapping for a complex and diverse population: Methodology for identifying leaders across sub-Saharan Africa’, </w:t>
      </w:r>
      <w:r w:rsidRPr="005E131C">
        <w:rPr>
          <w:rFonts w:ascii="Times New Roman" w:hAnsi="Times New Roman" w:cs="Times New Roman"/>
          <w:i/>
          <w:iCs/>
        </w:rPr>
        <w:t>BMC Public Health</w:t>
      </w:r>
      <w:r w:rsidRPr="005E131C">
        <w:rPr>
          <w:rFonts w:ascii="Times New Roman" w:hAnsi="Times New Roman" w:cs="Times New Roman"/>
        </w:rPr>
        <w:t xml:space="preserve">, 25(1), 1814. Available at: </w:t>
      </w:r>
      <w:hyperlink r:id="rId17" w:tgtFrame="_new" w:history="1">
        <w:r w:rsidRPr="005E131C">
          <w:rPr>
            <w:rStyle w:val="Hyperlink"/>
            <w:rFonts w:ascii="Times New Roman" w:hAnsi="Times New Roman" w:cs="Times New Roman"/>
          </w:rPr>
          <w:t>https://doi.org/10.1186/s12889-025-23026-2</w:t>
        </w:r>
      </w:hyperlink>
    </w:p>
    <w:p w14:paraId="7C2E8F88"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Cardillo, M.A.R. and Basso, L.F.C. (2025) ‘Revisiting knowledge on ESG/CSR and financial performance: A bibliometric and systematic review of moderating variables’, </w:t>
      </w:r>
      <w:r w:rsidRPr="005E131C">
        <w:rPr>
          <w:rFonts w:ascii="Times New Roman" w:hAnsi="Times New Roman" w:cs="Times New Roman"/>
          <w:i/>
          <w:iCs/>
        </w:rPr>
        <w:t>Journal of Innovation &amp; Knowledge</w:t>
      </w:r>
      <w:r w:rsidRPr="005E131C">
        <w:rPr>
          <w:rFonts w:ascii="Times New Roman" w:hAnsi="Times New Roman" w:cs="Times New Roman"/>
        </w:rPr>
        <w:t xml:space="preserve">, 10(1), 100648. Available at: </w:t>
      </w:r>
      <w:hyperlink r:id="rId18" w:tgtFrame="_new" w:history="1">
        <w:r w:rsidRPr="005E131C">
          <w:rPr>
            <w:rStyle w:val="Hyperlink"/>
            <w:rFonts w:ascii="Times New Roman" w:hAnsi="Times New Roman" w:cs="Times New Roman"/>
          </w:rPr>
          <w:t>https://doi.org/10.1016/j.jik.2024.100648</w:t>
        </w:r>
      </w:hyperlink>
    </w:p>
    <w:p w14:paraId="2145451A"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Carroll, A.B. (2016) ‘Carroll’s pyramid of CSR: Taking another look’, </w:t>
      </w:r>
      <w:r w:rsidRPr="005E131C">
        <w:rPr>
          <w:rFonts w:ascii="Times New Roman" w:hAnsi="Times New Roman" w:cs="Times New Roman"/>
          <w:i/>
          <w:iCs/>
        </w:rPr>
        <w:t>International Journal of Corporate Social Responsibility</w:t>
      </w:r>
      <w:r w:rsidRPr="005E131C">
        <w:rPr>
          <w:rFonts w:ascii="Times New Roman" w:hAnsi="Times New Roman" w:cs="Times New Roman"/>
        </w:rPr>
        <w:t xml:space="preserve">, 1(1), 3. Available at: </w:t>
      </w:r>
      <w:hyperlink r:id="rId19" w:tgtFrame="_new" w:history="1">
        <w:r w:rsidRPr="005E131C">
          <w:rPr>
            <w:rStyle w:val="Hyperlink"/>
            <w:rFonts w:ascii="Times New Roman" w:hAnsi="Times New Roman" w:cs="Times New Roman"/>
          </w:rPr>
          <w:t>https://doi.org/10.1186/s40991-016-0004-6</w:t>
        </w:r>
      </w:hyperlink>
    </w:p>
    <w:p w14:paraId="27EA3414" w14:textId="77777777" w:rsidR="001F1BE1" w:rsidRPr="005E131C" w:rsidRDefault="001F1BE1" w:rsidP="005E131C">
      <w:pPr>
        <w:ind w:left="720" w:hanging="360"/>
        <w:rPr>
          <w:rFonts w:ascii="Times New Roman" w:hAnsi="Times New Roman" w:cs="Times New Roman"/>
        </w:rPr>
      </w:pPr>
      <w:proofErr w:type="spellStart"/>
      <w:r w:rsidRPr="005E131C">
        <w:rPr>
          <w:rFonts w:ascii="Times New Roman" w:hAnsi="Times New Roman" w:cs="Times New Roman"/>
        </w:rPr>
        <w:t>Chinyele</w:t>
      </w:r>
      <w:proofErr w:type="spellEnd"/>
      <w:r w:rsidRPr="005E131C">
        <w:rPr>
          <w:rFonts w:ascii="Times New Roman" w:hAnsi="Times New Roman" w:cs="Times New Roman"/>
        </w:rPr>
        <w:t xml:space="preserve">, B.J. and </w:t>
      </w:r>
      <w:proofErr w:type="spellStart"/>
      <w:r w:rsidRPr="005E131C">
        <w:rPr>
          <w:rFonts w:ascii="Times New Roman" w:hAnsi="Times New Roman" w:cs="Times New Roman"/>
        </w:rPr>
        <w:t>Lwoga</w:t>
      </w:r>
      <w:proofErr w:type="spellEnd"/>
      <w:r w:rsidRPr="005E131C">
        <w:rPr>
          <w:rFonts w:ascii="Times New Roman" w:hAnsi="Times New Roman" w:cs="Times New Roman"/>
        </w:rPr>
        <w:t xml:space="preserve">, N.B. (2019) ‘Participation in decision making regarding the conservation of heritage resources and conservation attitudes in </w:t>
      </w:r>
      <w:proofErr w:type="spellStart"/>
      <w:r w:rsidRPr="005E131C">
        <w:rPr>
          <w:rFonts w:ascii="Times New Roman" w:hAnsi="Times New Roman" w:cs="Times New Roman"/>
        </w:rPr>
        <w:t>Kilwa</w:t>
      </w:r>
      <w:proofErr w:type="spellEnd"/>
      <w:r w:rsidRPr="005E131C">
        <w:rPr>
          <w:rFonts w:ascii="Times New Roman" w:hAnsi="Times New Roman" w:cs="Times New Roman"/>
        </w:rPr>
        <w:t xml:space="preserve"> </w:t>
      </w:r>
      <w:proofErr w:type="spellStart"/>
      <w:r w:rsidRPr="005E131C">
        <w:rPr>
          <w:rFonts w:ascii="Times New Roman" w:hAnsi="Times New Roman" w:cs="Times New Roman"/>
        </w:rPr>
        <w:t>Kisiwani</w:t>
      </w:r>
      <w:proofErr w:type="spellEnd"/>
      <w:r w:rsidRPr="005E131C">
        <w:rPr>
          <w:rFonts w:ascii="Times New Roman" w:hAnsi="Times New Roman" w:cs="Times New Roman"/>
        </w:rPr>
        <w:t xml:space="preserve">, Tanzania’, </w:t>
      </w:r>
      <w:r w:rsidRPr="005E131C">
        <w:rPr>
          <w:rFonts w:ascii="Times New Roman" w:hAnsi="Times New Roman" w:cs="Times New Roman"/>
          <w:i/>
          <w:iCs/>
        </w:rPr>
        <w:t>Journal of Cultural Heritage Management and Sustainable Development</w:t>
      </w:r>
      <w:r w:rsidRPr="005E131C">
        <w:rPr>
          <w:rFonts w:ascii="Times New Roman" w:hAnsi="Times New Roman" w:cs="Times New Roman"/>
        </w:rPr>
        <w:t xml:space="preserve">, 9(2), pp. 184–198. Available at: </w:t>
      </w:r>
      <w:hyperlink r:id="rId20" w:tgtFrame="_new" w:history="1">
        <w:r w:rsidRPr="005E131C">
          <w:rPr>
            <w:rStyle w:val="Hyperlink"/>
            <w:rFonts w:ascii="Times New Roman" w:hAnsi="Times New Roman" w:cs="Times New Roman"/>
          </w:rPr>
          <w:t>https://doi.org/10.1108/JCHMSD-05-2017-0019</w:t>
        </w:r>
      </w:hyperlink>
    </w:p>
    <w:p w14:paraId="5EDC9BD6"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Devroe, E. and Terpstra, J. (2015) ‘Plural policing’, June.</w:t>
      </w:r>
    </w:p>
    <w:p w14:paraId="50533FE7"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Didenko, N.I., </w:t>
      </w:r>
      <w:proofErr w:type="spellStart"/>
      <w:r w:rsidRPr="005E131C">
        <w:rPr>
          <w:rFonts w:ascii="Times New Roman" w:hAnsi="Times New Roman" w:cs="Times New Roman"/>
        </w:rPr>
        <w:t>Romashkina</w:t>
      </w:r>
      <w:proofErr w:type="spellEnd"/>
      <w:r w:rsidRPr="005E131C">
        <w:rPr>
          <w:rFonts w:ascii="Times New Roman" w:hAnsi="Times New Roman" w:cs="Times New Roman"/>
        </w:rPr>
        <w:t xml:space="preserve">, G.F., </w:t>
      </w:r>
      <w:proofErr w:type="spellStart"/>
      <w:r w:rsidRPr="005E131C">
        <w:rPr>
          <w:rFonts w:ascii="Times New Roman" w:hAnsi="Times New Roman" w:cs="Times New Roman"/>
        </w:rPr>
        <w:t>Skripnuk</w:t>
      </w:r>
      <w:proofErr w:type="spellEnd"/>
      <w:r w:rsidRPr="005E131C">
        <w:rPr>
          <w:rFonts w:ascii="Times New Roman" w:hAnsi="Times New Roman" w:cs="Times New Roman"/>
        </w:rPr>
        <w:t xml:space="preserve">, D.F. and Kulik, S.V. (2020) ‘Dynamics of trust in institutions, the legitimacy of the social order, and social open innovation’, </w:t>
      </w:r>
      <w:r w:rsidRPr="005E131C">
        <w:rPr>
          <w:rFonts w:ascii="Times New Roman" w:hAnsi="Times New Roman" w:cs="Times New Roman"/>
          <w:i/>
          <w:iCs/>
        </w:rPr>
        <w:t>Journal of Open Innovation: Technology, Market, and Complexity</w:t>
      </w:r>
      <w:r w:rsidRPr="005E131C">
        <w:rPr>
          <w:rFonts w:ascii="Times New Roman" w:hAnsi="Times New Roman" w:cs="Times New Roman"/>
        </w:rPr>
        <w:t xml:space="preserve">, 6(4), 111. Available at: </w:t>
      </w:r>
      <w:hyperlink r:id="rId21" w:tgtFrame="_new" w:history="1">
        <w:r w:rsidRPr="005E131C">
          <w:rPr>
            <w:rStyle w:val="Hyperlink"/>
            <w:rFonts w:ascii="Times New Roman" w:hAnsi="Times New Roman" w:cs="Times New Roman"/>
          </w:rPr>
          <w:t>https://doi.org/10.3390/joitmc6040111</w:t>
        </w:r>
      </w:hyperlink>
    </w:p>
    <w:p w14:paraId="24C74E9F"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Díez de Castro, E., Peris-Ortiz, M. and Díez-Martín, F. (2018) ‘Criteria for evaluating the organizational legitimacy: A typology for legitimacy jungle’, in </w:t>
      </w:r>
      <w:r w:rsidRPr="005E131C">
        <w:rPr>
          <w:rFonts w:ascii="Times New Roman" w:hAnsi="Times New Roman" w:cs="Times New Roman"/>
          <w:i/>
          <w:iCs/>
        </w:rPr>
        <w:t>Organizational Legitimacy</w:t>
      </w:r>
      <w:r w:rsidRPr="005E131C">
        <w:rPr>
          <w:rFonts w:ascii="Times New Roman" w:hAnsi="Times New Roman" w:cs="Times New Roman"/>
        </w:rPr>
        <w:t>, Cham: Springer, pp. 1–21. Available at: https://doi.org/10.1007/978-3-319-75990-6_1</w:t>
      </w:r>
    </w:p>
    <w:p w14:paraId="0D1FEB1A" w14:textId="77777777" w:rsidR="001F1BE1" w:rsidRPr="005E131C" w:rsidRDefault="001F1BE1" w:rsidP="005E131C">
      <w:pPr>
        <w:ind w:left="720" w:hanging="360"/>
        <w:rPr>
          <w:rFonts w:ascii="Times New Roman" w:hAnsi="Times New Roman" w:cs="Times New Roman"/>
        </w:rPr>
      </w:pPr>
      <w:proofErr w:type="spellStart"/>
      <w:r w:rsidRPr="005E131C">
        <w:rPr>
          <w:rFonts w:ascii="Times New Roman" w:hAnsi="Times New Roman" w:cs="Times New Roman"/>
        </w:rPr>
        <w:lastRenderedPageBreak/>
        <w:t>Escribá-Carda</w:t>
      </w:r>
      <w:proofErr w:type="spellEnd"/>
      <w:r w:rsidRPr="005E131C">
        <w:rPr>
          <w:rFonts w:ascii="Times New Roman" w:hAnsi="Times New Roman" w:cs="Times New Roman"/>
        </w:rPr>
        <w:t xml:space="preserve">, N., </w:t>
      </w:r>
      <w:proofErr w:type="spellStart"/>
      <w:r w:rsidRPr="005E131C">
        <w:rPr>
          <w:rFonts w:ascii="Times New Roman" w:hAnsi="Times New Roman" w:cs="Times New Roman"/>
        </w:rPr>
        <w:t>Canet-Giner</w:t>
      </w:r>
      <w:proofErr w:type="spellEnd"/>
      <w:r w:rsidRPr="005E131C">
        <w:rPr>
          <w:rFonts w:ascii="Times New Roman" w:hAnsi="Times New Roman" w:cs="Times New Roman"/>
        </w:rPr>
        <w:t xml:space="preserve">, T. and </w:t>
      </w:r>
      <w:proofErr w:type="spellStart"/>
      <w:r w:rsidRPr="005E131C">
        <w:rPr>
          <w:rFonts w:ascii="Times New Roman" w:hAnsi="Times New Roman" w:cs="Times New Roman"/>
        </w:rPr>
        <w:t>Balbastre-Benavent</w:t>
      </w:r>
      <w:proofErr w:type="spellEnd"/>
      <w:r w:rsidRPr="005E131C">
        <w:rPr>
          <w:rFonts w:ascii="Times New Roman" w:hAnsi="Times New Roman" w:cs="Times New Roman"/>
        </w:rPr>
        <w:t xml:space="preserve">, F. (2025) ‘The role of engagement and knowledge-sharing in the high-performance work systems–innovative behaviour relationship’, </w:t>
      </w:r>
      <w:r w:rsidRPr="005E131C">
        <w:rPr>
          <w:rFonts w:ascii="Times New Roman" w:hAnsi="Times New Roman" w:cs="Times New Roman"/>
          <w:i/>
          <w:iCs/>
        </w:rPr>
        <w:t>European Journal of Management and Business Economics</w:t>
      </w:r>
      <w:r w:rsidRPr="005E131C">
        <w:rPr>
          <w:rFonts w:ascii="Times New Roman" w:hAnsi="Times New Roman" w:cs="Times New Roman"/>
        </w:rPr>
        <w:t xml:space="preserve">, 34(4), pp. 422–442. Available at: </w:t>
      </w:r>
      <w:hyperlink r:id="rId22" w:tgtFrame="_new" w:history="1">
        <w:r w:rsidRPr="005E131C">
          <w:rPr>
            <w:rStyle w:val="Hyperlink"/>
            <w:rFonts w:ascii="Times New Roman" w:hAnsi="Times New Roman" w:cs="Times New Roman"/>
          </w:rPr>
          <w:t>https://doi.org/10.1108/EJMBE-07-2022-0206</w:t>
        </w:r>
      </w:hyperlink>
    </w:p>
    <w:p w14:paraId="1C8B06E9"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Freeman, R.E. (1984) ‘Strategic management: A stakeholder approach’, Boston: Pitman.</w:t>
      </w:r>
    </w:p>
    <w:p w14:paraId="1C94D08B" w14:textId="77777777" w:rsidR="001F1BE1" w:rsidRPr="005E131C" w:rsidRDefault="001F1BE1" w:rsidP="005E131C">
      <w:pPr>
        <w:ind w:left="720" w:hanging="360"/>
        <w:rPr>
          <w:rFonts w:ascii="Times New Roman" w:hAnsi="Times New Roman" w:cs="Times New Roman"/>
        </w:rPr>
      </w:pPr>
      <w:proofErr w:type="spellStart"/>
      <w:r w:rsidRPr="005E131C">
        <w:rPr>
          <w:rFonts w:ascii="Times New Roman" w:hAnsi="Times New Roman" w:cs="Times New Roman"/>
        </w:rPr>
        <w:t>Furxhi</w:t>
      </w:r>
      <w:proofErr w:type="spellEnd"/>
      <w:r w:rsidRPr="005E131C">
        <w:rPr>
          <w:rFonts w:ascii="Times New Roman" w:hAnsi="Times New Roman" w:cs="Times New Roman"/>
        </w:rPr>
        <w:t xml:space="preserve">, G. (2021) ‘Employee’s resistance and organizational change factors’, </w:t>
      </w:r>
      <w:r w:rsidRPr="005E131C">
        <w:rPr>
          <w:rFonts w:ascii="Times New Roman" w:hAnsi="Times New Roman" w:cs="Times New Roman"/>
          <w:i/>
          <w:iCs/>
        </w:rPr>
        <w:t>European Journal of Business Management and Research</w:t>
      </w:r>
      <w:r w:rsidRPr="005E131C">
        <w:rPr>
          <w:rFonts w:ascii="Times New Roman" w:hAnsi="Times New Roman" w:cs="Times New Roman"/>
        </w:rPr>
        <w:t>, 6(2), pp. 30–32. Available at: https://doi.org/10.24018/ejbmr.2021.6.2.759</w:t>
      </w:r>
    </w:p>
    <w:p w14:paraId="14112B4E"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Government Equalities Office and Equality and Human Rights Commission (2015) ‘Equality Act 2010: guidance’, Available at: </w:t>
      </w:r>
      <w:hyperlink r:id="rId23" w:tgtFrame="_new" w:history="1">
        <w:r w:rsidRPr="005E131C">
          <w:rPr>
            <w:rStyle w:val="Hyperlink"/>
            <w:rFonts w:ascii="Times New Roman" w:hAnsi="Times New Roman" w:cs="Times New Roman"/>
          </w:rPr>
          <w:t>https://www.gov.uk/guidance/equality-act-2010-guidance</w:t>
        </w:r>
      </w:hyperlink>
    </w:p>
    <w:p w14:paraId="71B71BC3"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Islam, M.A. (2015) ‘Legitimacy threats and stakeholder concerns within supply chains’, in </w:t>
      </w:r>
      <w:r w:rsidRPr="005E131C">
        <w:rPr>
          <w:rFonts w:ascii="Times New Roman" w:hAnsi="Times New Roman" w:cs="Times New Roman"/>
          <w:i/>
          <w:iCs/>
        </w:rPr>
        <w:t>Social Compliance Accounting</w:t>
      </w:r>
      <w:r w:rsidRPr="005E131C">
        <w:rPr>
          <w:rFonts w:ascii="Times New Roman" w:hAnsi="Times New Roman" w:cs="Times New Roman"/>
        </w:rPr>
        <w:t>, Cham: Springer, pp. 35–57. Available at: https://doi.org/10.1007/978-3-319-09997-2_5</w:t>
      </w:r>
    </w:p>
    <w:p w14:paraId="18B0EC2C"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Li, Y., Zhu, P., </w:t>
      </w:r>
      <w:proofErr w:type="spellStart"/>
      <w:r w:rsidRPr="005E131C">
        <w:rPr>
          <w:rFonts w:ascii="Times New Roman" w:hAnsi="Times New Roman" w:cs="Times New Roman"/>
        </w:rPr>
        <w:t>Mlecnik</w:t>
      </w:r>
      <w:proofErr w:type="spellEnd"/>
      <w:r w:rsidRPr="005E131C">
        <w:rPr>
          <w:rFonts w:ascii="Times New Roman" w:hAnsi="Times New Roman" w:cs="Times New Roman"/>
        </w:rPr>
        <w:t xml:space="preserve">, E., Visscher, H.J. and Qian, Q.K. (2025) ‘Understanding stakeholder influence on resident participation in neighborhood rehabilitation from a project lifecycle perspective’, </w:t>
      </w:r>
      <w:r w:rsidRPr="005E131C">
        <w:rPr>
          <w:rFonts w:ascii="Times New Roman" w:hAnsi="Times New Roman" w:cs="Times New Roman"/>
          <w:i/>
          <w:iCs/>
        </w:rPr>
        <w:t>Environmental Science &amp; Policy</w:t>
      </w:r>
      <w:r w:rsidRPr="005E131C">
        <w:rPr>
          <w:rFonts w:ascii="Times New Roman" w:hAnsi="Times New Roman" w:cs="Times New Roman"/>
        </w:rPr>
        <w:t xml:space="preserve">, 169, 104091. Available at: </w:t>
      </w:r>
      <w:hyperlink r:id="rId24" w:tgtFrame="_new" w:history="1">
        <w:r w:rsidRPr="005E131C">
          <w:rPr>
            <w:rStyle w:val="Hyperlink"/>
            <w:rFonts w:ascii="Times New Roman" w:hAnsi="Times New Roman" w:cs="Times New Roman"/>
          </w:rPr>
          <w:t>https://doi.org/10.1016/j.envsci.2025.104091</w:t>
        </w:r>
      </w:hyperlink>
    </w:p>
    <w:p w14:paraId="56610FDA"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Lysova, T. (2022) ‘Video surveillance and public space: Surveillance society vs. security state’, in </w:t>
      </w:r>
      <w:proofErr w:type="spellStart"/>
      <w:r w:rsidRPr="005E131C">
        <w:rPr>
          <w:rFonts w:ascii="Times New Roman" w:hAnsi="Times New Roman" w:cs="Times New Roman"/>
        </w:rPr>
        <w:t>Comunello</w:t>
      </w:r>
      <w:proofErr w:type="spellEnd"/>
      <w:r w:rsidRPr="005E131C">
        <w:rPr>
          <w:rFonts w:ascii="Times New Roman" w:hAnsi="Times New Roman" w:cs="Times New Roman"/>
        </w:rPr>
        <w:t xml:space="preserve">, F., </w:t>
      </w:r>
      <w:proofErr w:type="spellStart"/>
      <w:r w:rsidRPr="005E131C">
        <w:rPr>
          <w:rFonts w:ascii="Times New Roman" w:hAnsi="Times New Roman" w:cs="Times New Roman"/>
        </w:rPr>
        <w:t>Martire</w:t>
      </w:r>
      <w:proofErr w:type="spellEnd"/>
      <w:r w:rsidRPr="005E131C">
        <w:rPr>
          <w:rFonts w:ascii="Times New Roman" w:hAnsi="Times New Roman" w:cs="Times New Roman"/>
        </w:rPr>
        <w:t xml:space="preserve">, F. and </w:t>
      </w:r>
      <w:proofErr w:type="spellStart"/>
      <w:r w:rsidRPr="005E131C">
        <w:rPr>
          <w:rFonts w:ascii="Times New Roman" w:hAnsi="Times New Roman" w:cs="Times New Roman"/>
        </w:rPr>
        <w:t>Sabetta</w:t>
      </w:r>
      <w:proofErr w:type="spellEnd"/>
      <w:r w:rsidRPr="005E131C">
        <w:rPr>
          <w:rFonts w:ascii="Times New Roman" w:hAnsi="Times New Roman" w:cs="Times New Roman"/>
        </w:rPr>
        <w:t xml:space="preserve">, L. (eds.) </w:t>
      </w:r>
      <w:r w:rsidRPr="005E131C">
        <w:rPr>
          <w:rFonts w:ascii="Times New Roman" w:hAnsi="Times New Roman" w:cs="Times New Roman"/>
          <w:i/>
          <w:iCs/>
        </w:rPr>
        <w:t>What people leave behind</w:t>
      </w:r>
      <w:r w:rsidRPr="005E131C">
        <w:rPr>
          <w:rFonts w:ascii="Times New Roman" w:hAnsi="Times New Roman" w:cs="Times New Roman"/>
        </w:rPr>
        <w:t xml:space="preserve">, Cham: Springer. Available at: </w:t>
      </w:r>
      <w:hyperlink r:id="rId25" w:tgtFrame="_new" w:history="1">
        <w:r w:rsidRPr="005E131C">
          <w:rPr>
            <w:rStyle w:val="Hyperlink"/>
            <w:rFonts w:ascii="Times New Roman" w:hAnsi="Times New Roman" w:cs="Times New Roman"/>
          </w:rPr>
          <w:t>https://doi.org/10.1007/978-3-031-11756-5_14</w:t>
        </w:r>
      </w:hyperlink>
    </w:p>
    <w:p w14:paraId="64A9FD0D"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Maleki Vishkaei, B., Spahiu, E. and De Giovanni, P. (2025) ‘Prioritizing, integrating, and communicating sustainability to prevent social washing’, </w:t>
      </w:r>
      <w:r w:rsidRPr="005E131C">
        <w:rPr>
          <w:rFonts w:ascii="Times New Roman" w:hAnsi="Times New Roman" w:cs="Times New Roman"/>
          <w:i/>
          <w:iCs/>
        </w:rPr>
        <w:t>Cleaner Production Letters</w:t>
      </w:r>
      <w:r w:rsidRPr="005E131C">
        <w:rPr>
          <w:rFonts w:ascii="Times New Roman" w:hAnsi="Times New Roman" w:cs="Times New Roman"/>
        </w:rPr>
        <w:t xml:space="preserve">, 9, 100114. Available at: </w:t>
      </w:r>
      <w:hyperlink r:id="rId26" w:tgtFrame="_new" w:history="1">
        <w:r w:rsidRPr="005E131C">
          <w:rPr>
            <w:rStyle w:val="Hyperlink"/>
            <w:rFonts w:ascii="Times New Roman" w:hAnsi="Times New Roman" w:cs="Times New Roman"/>
          </w:rPr>
          <w:t>https://doi.org/10.1016/j.clpl.2025.100114</w:t>
        </w:r>
      </w:hyperlink>
    </w:p>
    <w:p w14:paraId="685DDA46" w14:textId="77777777" w:rsidR="001F1BE1" w:rsidRPr="005E131C" w:rsidRDefault="001F1BE1" w:rsidP="005E131C">
      <w:pPr>
        <w:ind w:left="720" w:hanging="360"/>
        <w:rPr>
          <w:rFonts w:ascii="Times New Roman" w:hAnsi="Times New Roman" w:cs="Times New Roman"/>
        </w:rPr>
      </w:pPr>
      <w:proofErr w:type="spellStart"/>
      <w:r w:rsidRPr="005E131C">
        <w:rPr>
          <w:rFonts w:ascii="Times New Roman" w:hAnsi="Times New Roman" w:cs="Times New Roman"/>
        </w:rPr>
        <w:t>Mamula</w:t>
      </w:r>
      <w:proofErr w:type="spellEnd"/>
      <w:r w:rsidRPr="005E131C">
        <w:rPr>
          <w:rFonts w:ascii="Times New Roman" w:hAnsi="Times New Roman" w:cs="Times New Roman"/>
        </w:rPr>
        <w:t xml:space="preserve"> </w:t>
      </w:r>
      <w:proofErr w:type="spellStart"/>
      <w:r w:rsidRPr="005E131C">
        <w:rPr>
          <w:rFonts w:ascii="Times New Roman" w:hAnsi="Times New Roman" w:cs="Times New Roman"/>
        </w:rPr>
        <w:t>Nikolić</w:t>
      </w:r>
      <w:proofErr w:type="spellEnd"/>
      <w:r w:rsidRPr="005E131C">
        <w:rPr>
          <w:rFonts w:ascii="Times New Roman" w:hAnsi="Times New Roman" w:cs="Times New Roman"/>
        </w:rPr>
        <w:t xml:space="preserve">, T., </w:t>
      </w:r>
      <w:proofErr w:type="spellStart"/>
      <w:r w:rsidRPr="005E131C">
        <w:rPr>
          <w:rFonts w:ascii="Times New Roman" w:hAnsi="Times New Roman" w:cs="Times New Roman"/>
        </w:rPr>
        <w:t>Perić</w:t>
      </w:r>
      <w:proofErr w:type="spellEnd"/>
      <w:r w:rsidRPr="005E131C">
        <w:rPr>
          <w:rFonts w:ascii="Times New Roman" w:hAnsi="Times New Roman" w:cs="Times New Roman"/>
        </w:rPr>
        <w:t xml:space="preserve">, N. and </w:t>
      </w:r>
      <w:proofErr w:type="spellStart"/>
      <w:r w:rsidRPr="005E131C">
        <w:rPr>
          <w:rFonts w:ascii="Times New Roman" w:hAnsi="Times New Roman" w:cs="Times New Roman"/>
        </w:rPr>
        <w:t>Bovan</w:t>
      </w:r>
      <w:proofErr w:type="spellEnd"/>
      <w:r w:rsidRPr="005E131C">
        <w:rPr>
          <w:rFonts w:ascii="Times New Roman" w:hAnsi="Times New Roman" w:cs="Times New Roman"/>
        </w:rPr>
        <w:t xml:space="preserve">, A. (2020) ‘The role of feedback as a management tool in performance management program’, </w:t>
      </w:r>
      <w:r w:rsidRPr="005E131C">
        <w:rPr>
          <w:rFonts w:ascii="Times New Roman" w:hAnsi="Times New Roman" w:cs="Times New Roman"/>
          <w:i/>
          <w:iCs/>
        </w:rPr>
        <w:t>Quality – Access to Success</w:t>
      </w:r>
      <w:r w:rsidRPr="005E131C">
        <w:rPr>
          <w:rFonts w:ascii="Times New Roman" w:hAnsi="Times New Roman" w:cs="Times New Roman"/>
        </w:rPr>
        <w:t>, 21(177), pp. 3–8.</w:t>
      </w:r>
    </w:p>
    <w:p w14:paraId="4FAA195C"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Mercer-</w:t>
      </w:r>
      <w:proofErr w:type="spellStart"/>
      <w:r w:rsidRPr="005E131C">
        <w:rPr>
          <w:rFonts w:ascii="Times New Roman" w:hAnsi="Times New Roman" w:cs="Times New Roman"/>
        </w:rPr>
        <w:t>Mapstone</w:t>
      </w:r>
      <w:proofErr w:type="spellEnd"/>
      <w:r w:rsidRPr="005E131C">
        <w:rPr>
          <w:rFonts w:ascii="Times New Roman" w:hAnsi="Times New Roman" w:cs="Times New Roman"/>
        </w:rPr>
        <w:t xml:space="preserve">, L., Rifkin, W., Louis, W. and Moffat, K. (2019) ‘Power, participation, and exclusion through dialogue in the extractive industries: Who gets a seat at the table?’, </w:t>
      </w:r>
      <w:r w:rsidRPr="005E131C">
        <w:rPr>
          <w:rFonts w:ascii="Times New Roman" w:hAnsi="Times New Roman" w:cs="Times New Roman"/>
          <w:i/>
          <w:iCs/>
        </w:rPr>
        <w:lastRenderedPageBreak/>
        <w:t>Resources Policy</w:t>
      </w:r>
      <w:r w:rsidRPr="005E131C">
        <w:rPr>
          <w:rFonts w:ascii="Times New Roman" w:hAnsi="Times New Roman" w:cs="Times New Roman"/>
        </w:rPr>
        <w:t xml:space="preserve">, 61, pp. 190–199. Available at: </w:t>
      </w:r>
      <w:hyperlink r:id="rId27" w:tgtFrame="_new" w:history="1">
        <w:r w:rsidRPr="005E131C">
          <w:rPr>
            <w:rStyle w:val="Hyperlink"/>
            <w:rFonts w:ascii="Times New Roman" w:hAnsi="Times New Roman" w:cs="Times New Roman"/>
          </w:rPr>
          <w:t>https://doi.org/10.1016/j.resourpol.2018.11.023</w:t>
        </w:r>
      </w:hyperlink>
    </w:p>
    <w:p w14:paraId="4B9BCAD8"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Moher, J., Anderson, B.A. and Song, J.-H. (2015) ‘Dissociable effects of salience on attention and goal-directed action’, </w:t>
      </w:r>
      <w:r w:rsidRPr="005E131C">
        <w:rPr>
          <w:rFonts w:ascii="Times New Roman" w:hAnsi="Times New Roman" w:cs="Times New Roman"/>
          <w:i/>
          <w:iCs/>
        </w:rPr>
        <w:t>Current Biology</w:t>
      </w:r>
      <w:r w:rsidRPr="005E131C">
        <w:rPr>
          <w:rFonts w:ascii="Times New Roman" w:hAnsi="Times New Roman" w:cs="Times New Roman"/>
        </w:rPr>
        <w:t>, 25(15). Available at: https://doi.org/10.1016/j.cub.2015.06.029</w:t>
      </w:r>
    </w:p>
    <w:p w14:paraId="32C193F1"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O’Donnell, O. (2014) ‘Service Level Agreements’, Institute of Public Administration. Available at: </w:t>
      </w:r>
      <w:hyperlink r:id="rId28" w:tgtFrame="_new" w:history="1">
        <w:r w:rsidRPr="005E131C">
          <w:rPr>
            <w:rStyle w:val="Hyperlink"/>
            <w:rFonts w:ascii="Times New Roman" w:hAnsi="Times New Roman" w:cs="Times New Roman"/>
          </w:rPr>
          <w:t>https://www.ipa.ie/app/uploads/2025/07/Service-Level-Agreement-2.pdf</w:t>
        </w:r>
      </w:hyperlink>
    </w:p>
    <w:p w14:paraId="4755455D"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O’Neill, M. and Fyfe, N.R. (2017) ‘Plural policing in Europe: relationships and governance in contemporary security systems’, </w:t>
      </w:r>
      <w:r w:rsidRPr="005E131C">
        <w:rPr>
          <w:rFonts w:ascii="Times New Roman" w:hAnsi="Times New Roman" w:cs="Times New Roman"/>
          <w:i/>
          <w:iCs/>
        </w:rPr>
        <w:t>Policing and Society</w:t>
      </w:r>
      <w:r w:rsidRPr="005E131C">
        <w:rPr>
          <w:rFonts w:ascii="Times New Roman" w:hAnsi="Times New Roman" w:cs="Times New Roman"/>
        </w:rPr>
        <w:t xml:space="preserve">, 27(1), pp. 1–5. Available at: </w:t>
      </w:r>
      <w:hyperlink r:id="rId29" w:tgtFrame="_new" w:history="1">
        <w:r w:rsidRPr="005E131C">
          <w:rPr>
            <w:rStyle w:val="Hyperlink"/>
            <w:rFonts w:ascii="Times New Roman" w:hAnsi="Times New Roman" w:cs="Times New Roman"/>
          </w:rPr>
          <w:t>https://doi.org/10.1080/10439463.2016.1220554</w:t>
        </w:r>
      </w:hyperlink>
    </w:p>
    <w:p w14:paraId="2D52DF32" w14:textId="77777777" w:rsidR="001F1BE1" w:rsidRPr="005E131C" w:rsidRDefault="001F1BE1" w:rsidP="005E131C">
      <w:pPr>
        <w:ind w:left="720" w:hanging="360"/>
        <w:rPr>
          <w:rFonts w:ascii="Times New Roman" w:hAnsi="Times New Roman" w:cs="Times New Roman"/>
        </w:rPr>
      </w:pPr>
      <w:proofErr w:type="spellStart"/>
      <w:r w:rsidRPr="005E131C">
        <w:rPr>
          <w:rFonts w:ascii="Times New Roman" w:hAnsi="Times New Roman" w:cs="Times New Roman"/>
        </w:rPr>
        <w:t>Ozdemir</w:t>
      </w:r>
      <w:proofErr w:type="spellEnd"/>
      <w:r w:rsidRPr="005E131C">
        <w:rPr>
          <w:rFonts w:ascii="Times New Roman" w:hAnsi="Times New Roman" w:cs="Times New Roman"/>
        </w:rPr>
        <w:t xml:space="preserve">, S., Fernandez de </w:t>
      </w:r>
      <w:proofErr w:type="spellStart"/>
      <w:r w:rsidRPr="005E131C">
        <w:rPr>
          <w:rFonts w:ascii="Times New Roman" w:hAnsi="Times New Roman" w:cs="Times New Roman"/>
        </w:rPr>
        <w:t>Arroyabe</w:t>
      </w:r>
      <w:proofErr w:type="spellEnd"/>
      <w:r w:rsidRPr="005E131C">
        <w:rPr>
          <w:rFonts w:ascii="Times New Roman" w:hAnsi="Times New Roman" w:cs="Times New Roman"/>
        </w:rPr>
        <w:t xml:space="preserve">, J.C., </w:t>
      </w:r>
      <w:proofErr w:type="spellStart"/>
      <w:r w:rsidRPr="005E131C">
        <w:rPr>
          <w:rFonts w:ascii="Times New Roman" w:hAnsi="Times New Roman" w:cs="Times New Roman"/>
        </w:rPr>
        <w:t>Sena</w:t>
      </w:r>
      <w:proofErr w:type="spellEnd"/>
      <w:r w:rsidRPr="005E131C">
        <w:rPr>
          <w:rFonts w:ascii="Times New Roman" w:hAnsi="Times New Roman" w:cs="Times New Roman"/>
        </w:rPr>
        <w:t xml:space="preserve">, V. and Gupta, S. (2023) ‘Stakeholder diversity and collaborative innovation: Integrating the resource-based view with stakeholder theory’, </w:t>
      </w:r>
      <w:r w:rsidRPr="005E131C">
        <w:rPr>
          <w:rFonts w:ascii="Times New Roman" w:hAnsi="Times New Roman" w:cs="Times New Roman"/>
          <w:i/>
          <w:iCs/>
        </w:rPr>
        <w:t>Journal of Business Research</w:t>
      </w:r>
      <w:r w:rsidRPr="005E131C">
        <w:rPr>
          <w:rFonts w:ascii="Times New Roman" w:hAnsi="Times New Roman" w:cs="Times New Roman"/>
        </w:rPr>
        <w:t xml:space="preserve">, 164, 113955. Available at: </w:t>
      </w:r>
      <w:hyperlink r:id="rId30" w:tgtFrame="_new" w:history="1">
        <w:r w:rsidRPr="005E131C">
          <w:rPr>
            <w:rStyle w:val="Hyperlink"/>
            <w:rFonts w:ascii="Times New Roman" w:hAnsi="Times New Roman" w:cs="Times New Roman"/>
          </w:rPr>
          <w:t>https://doi.org/10.1016/j.jbusres.2023.113955</w:t>
        </w:r>
      </w:hyperlink>
    </w:p>
    <w:p w14:paraId="5F4955E8" w14:textId="77777777" w:rsidR="001F1BE1" w:rsidRPr="005E131C" w:rsidRDefault="001F1BE1" w:rsidP="005E131C">
      <w:pPr>
        <w:ind w:left="720" w:hanging="360"/>
        <w:rPr>
          <w:rFonts w:ascii="Times New Roman" w:hAnsi="Times New Roman" w:cs="Times New Roman"/>
        </w:rPr>
      </w:pPr>
      <w:proofErr w:type="spellStart"/>
      <w:r w:rsidRPr="005E131C">
        <w:rPr>
          <w:rFonts w:ascii="Times New Roman" w:hAnsi="Times New Roman" w:cs="Times New Roman"/>
        </w:rPr>
        <w:t>Riahi</w:t>
      </w:r>
      <w:proofErr w:type="spellEnd"/>
      <w:r w:rsidRPr="005E131C">
        <w:rPr>
          <w:rFonts w:ascii="Times New Roman" w:hAnsi="Times New Roman" w:cs="Times New Roman"/>
        </w:rPr>
        <w:t xml:space="preserve">, Y. (2017) ‘Project stakeholders: Analysis and management processes’, </w:t>
      </w:r>
      <w:r w:rsidRPr="005E131C">
        <w:rPr>
          <w:rFonts w:ascii="Times New Roman" w:hAnsi="Times New Roman" w:cs="Times New Roman"/>
          <w:i/>
          <w:iCs/>
        </w:rPr>
        <w:t>International Journal of Economics and Management Studies</w:t>
      </w:r>
      <w:r w:rsidRPr="005E131C">
        <w:rPr>
          <w:rFonts w:ascii="Times New Roman" w:hAnsi="Times New Roman" w:cs="Times New Roman"/>
        </w:rPr>
        <w:t>, 4(3), pp. 39–45. Available at: https://doi.org/10.14445/23939125/IJEMS-V4I3P108</w:t>
      </w:r>
    </w:p>
    <w:p w14:paraId="6EA79D17"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Shahzadi, G., John, A., Qadeer, F., Jia, F. and Yan, J. (2024) ‘CSR beyond symbolism: The importance of substantive attributions for employee CSR engagement’, </w:t>
      </w:r>
      <w:r w:rsidRPr="005E131C">
        <w:rPr>
          <w:rFonts w:ascii="Times New Roman" w:hAnsi="Times New Roman" w:cs="Times New Roman"/>
          <w:i/>
          <w:iCs/>
        </w:rPr>
        <w:t>Journal of Cleaner Production</w:t>
      </w:r>
      <w:r w:rsidRPr="005E131C">
        <w:rPr>
          <w:rFonts w:ascii="Times New Roman" w:hAnsi="Times New Roman" w:cs="Times New Roman"/>
        </w:rPr>
        <w:t xml:space="preserve">, 436, 140440. Available at: </w:t>
      </w:r>
      <w:hyperlink r:id="rId31" w:tgtFrame="_new" w:history="1">
        <w:r w:rsidRPr="005E131C">
          <w:rPr>
            <w:rStyle w:val="Hyperlink"/>
            <w:rFonts w:ascii="Times New Roman" w:hAnsi="Times New Roman" w:cs="Times New Roman"/>
          </w:rPr>
          <w:t>https://doi.org/10.1016/j.jclepro.2023.140440</w:t>
        </w:r>
      </w:hyperlink>
    </w:p>
    <w:p w14:paraId="2F427CD5"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Toomer, D. (2024) ‘The effect of the decline of local newspapers on socially deprived geographical communities: Questioning the role played by hyper-local online journalism in those communities’, PhD thesis, Liverpool John </w:t>
      </w:r>
      <w:proofErr w:type="spellStart"/>
      <w:r w:rsidRPr="005E131C">
        <w:rPr>
          <w:rFonts w:ascii="Times New Roman" w:hAnsi="Times New Roman" w:cs="Times New Roman"/>
        </w:rPr>
        <w:t>Moores</w:t>
      </w:r>
      <w:proofErr w:type="spellEnd"/>
      <w:r w:rsidRPr="005E131C">
        <w:rPr>
          <w:rFonts w:ascii="Times New Roman" w:hAnsi="Times New Roman" w:cs="Times New Roman"/>
        </w:rPr>
        <w:t xml:space="preserve"> University. Available at: </w:t>
      </w:r>
      <w:hyperlink r:id="rId32" w:tgtFrame="_new" w:history="1">
        <w:r w:rsidRPr="005E131C">
          <w:rPr>
            <w:rStyle w:val="Hyperlink"/>
            <w:rFonts w:ascii="Times New Roman" w:hAnsi="Times New Roman" w:cs="Times New Roman"/>
          </w:rPr>
          <w:t>https://researchonline.ljmu.ac.uk/id/eprint/26592/1/2024toomerphd.pdf.pdf</w:t>
        </w:r>
      </w:hyperlink>
    </w:p>
    <w:p w14:paraId="24BBCC6D"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Tyler, T.R., Goff, P.A. and MacCoun, R.J. (2015) ‘The impact of psychological science on policing in the United States: Procedural justice, legitimacy, and effective law enforcement’, </w:t>
      </w:r>
      <w:r w:rsidRPr="005E131C">
        <w:rPr>
          <w:rFonts w:ascii="Times New Roman" w:hAnsi="Times New Roman" w:cs="Times New Roman"/>
          <w:i/>
          <w:iCs/>
        </w:rPr>
        <w:t>Psychological Science in the Public Interest</w:t>
      </w:r>
      <w:r w:rsidRPr="005E131C">
        <w:rPr>
          <w:rFonts w:ascii="Times New Roman" w:hAnsi="Times New Roman" w:cs="Times New Roman"/>
        </w:rPr>
        <w:t>, 16(3), pp. 75–109. Available at: https://doi.org/10.1177/152910061561779</w:t>
      </w:r>
    </w:p>
    <w:p w14:paraId="539E2B4B"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lastRenderedPageBreak/>
        <w:t xml:space="preserve">United Nations (2025) ‘Goal 16: Promote just, peaceful and inclusive societies’, Available at: </w:t>
      </w:r>
      <w:hyperlink r:id="rId33" w:tgtFrame="_new" w:history="1">
        <w:r w:rsidRPr="005E131C">
          <w:rPr>
            <w:rStyle w:val="Hyperlink"/>
            <w:rFonts w:ascii="Times New Roman" w:hAnsi="Times New Roman" w:cs="Times New Roman"/>
          </w:rPr>
          <w:t>https://www.un.org/sustainabledevelopment/peace-justice/</w:t>
        </w:r>
      </w:hyperlink>
    </w:p>
    <w:p w14:paraId="75EFB0D6" w14:textId="77777777" w:rsidR="001F1BE1" w:rsidRPr="005E131C" w:rsidRDefault="001F1BE1" w:rsidP="005E131C">
      <w:pPr>
        <w:ind w:left="720" w:hanging="360"/>
        <w:rPr>
          <w:rFonts w:ascii="Times New Roman" w:hAnsi="Times New Roman" w:cs="Times New Roman"/>
        </w:rPr>
      </w:pPr>
      <w:proofErr w:type="spellStart"/>
      <w:r w:rsidRPr="005E131C">
        <w:rPr>
          <w:rFonts w:ascii="Times New Roman" w:hAnsi="Times New Roman" w:cs="Times New Roman"/>
        </w:rPr>
        <w:t>Waris</w:t>
      </w:r>
      <w:proofErr w:type="spellEnd"/>
      <w:r w:rsidRPr="005E131C">
        <w:rPr>
          <w:rFonts w:ascii="Times New Roman" w:hAnsi="Times New Roman" w:cs="Times New Roman"/>
        </w:rPr>
        <w:t xml:space="preserve">, M., Khan, A., </w:t>
      </w:r>
      <w:proofErr w:type="spellStart"/>
      <w:r w:rsidRPr="005E131C">
        <w:rPr>
          <w:rFonts w:ascii="Times New Roman" w:hAnsi="Times New Roman" w:cs="Times New Roman"/>
        </w:rPr>
        <w:t>Abideen</w:t>
      </w:r>
      <w:proofErr w:type="spellEnd"/>
      <w:r w:rsidRPr="005E131C">
        <w:rPr>
          <w:rFonts w:ascii="Times New Roman" w:hAnsi="Times New Roman" w:cs="Times New Roman"/>
        </w:rPr>
        <w:t xml:space="preserve">, A.Z. and </w:t>
      </w:r>
      <w:proofErr w:type="spellStart"/>
      <w:r w:rsidRPr="005E131C">
        <w:rPr>
          <w:rFonts w:ascii="Times New Roman" w:hAnsi="Times New Roman" w:cs="Times New Roman"/>
        </w:rPr>
        <w:t>Sorooshian</w:t>
      </w:r>
      <w:proofErr w:type="spellEnd"/>
      <w:r w:rsidRPr="005E131C">
        <w:rPr>
          <w:rFonts w:ascii="Times New Roman" w:hAnsi="Times New Roman" w:cs="Times New Roman"/>
        </w:rPr>
        <w:t xml:space="preserve">, S. (2022) ‘Stakeholder management in public sector infrastructure projects’, </w:t>
      </w:r>
      <w:r w:rsidRPr="005E131C">
        <w:rPr>
          <w:rFonts w:ascii="Times New Roman" w:hAnsi="Times New Roman" w:cs="Times New Roman"/>
          <w:i/>
          <w:iCs/>
        </w:rPr>
        <w:t>Journal of Engineering Project and Production Management</w:t>
      </w:r>
      <w:r w:rsidRPr="005E131C">
        <w:rPr>
          <w:rFonts w:ascii="Times New Roman" w:hAnsi="Times New Roman" w:cs="Times New Roman"/>
        </w:rPr>
        <w:t>, 12(3), pp. 188–201. Available at: https://doi.org/10.32738/JEPPM-2022-0017</w:t>
      </w:r>
    </w:p>
    <w:p w14:paraId="076004B8"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Wohnhas, L. (2019) ‘Surveillance capitalism and privacy: Exploring explanations for the failure of privacy to contest surveillance capitalism and the implications for democracy’, </w:t>
      </w:r>
      <w:proofErr w:type="gramStart"/>
      <w:r w:rsidRPr="005E131C">
        <w:rPr>
          <w:rFonts w:ascii="Times New Roman" w:hAnsi="Times New Roman" w:cs="Times New Roman"/>
        </w:rPr>
        <w:t>Bachelor’s</w:t>
      </w:r>
      <w:proofErr w:type="gramEnd"/>
      <w:r w:rsidRPr="005E131C">
        <w:rPr>
          <w:rFonts w:ascii="Times New Roman" w:hAnsi="Times New Roman" w:cs="Times New Roman"/>
        </w:rPr>
        <w:t xml:space="preserve"> thesis. Available at: https://doi.org/10.13140/RG.2.2.33430.11849</w:t>
      </w:r>
    </w:p>
    <w:p w14:paraId="09A1CDCE" w14:textId="77777777" w:rsidR="001F1BE1" w:rsidRPr="005E131C" w:rsidRDefault="001F1BE1" w:rsidP="005E131C">
      <w:pPr>
        <w:ind w:left="720" w:hanging="360"/>
        <w:rPr>
          <w:rFonts w:ascii="Times New Roman" w:hAnsi="Times New Roman" w:cs="Times New Roman"/>
        </w:rPr>
      </w:pPr>
      <w:r w:rsidRPr="005E131C">
        <w:rPr>
          <w:rFonts w:ascii="Times New Roman" w:hAnsi="Times New Roman" w:cs="Times New Roman"/>
        </w:rPr>
        <w:t xml:space="preserve">Yu, Z., Farooq, U., </w:t>
      </w:r>
      <w:proofErr w:type="spellStart"/>
      <w:r w:rsidRPr="005E131C">
        <w:rPr>
          <w:rFonts w:ascii="Times New Roman" w:hAnsi="Times New Roman" w:cs="Times New Roman"/>
        </w:rPr>
        <w:t>Alam</w:t>
      </w:r>
      <w:proofErr w:type="spellEnd"/>
      <w:r w:rsidRPr="005E131C">
        <w:rPr>
          <w:rFonts w:ascii="Times New Roman" w:hAnsi="Times New Roman" w:cs="Times New Roman"/>
        </w:rPr>
        <w:t xml:space="preserve">, M.M. and Dai, J. (2024) ‘How does environmental, social, and governance (ESG) performance determine investment mix? New empirical evidence from BRICS’, </w:t>
      </w:r>
      <w:proofErr w:type="spellStart"/>
      <w:r w:rsidRPr="005E131C">
        <w:rPr>
          <w:rFonts w:ascii="Times New Roman" w:hAnsi="Times New Roman" w:cs="Times New Roman"/>
          <w:i/>
          <w:iCs/>
        </w:rPr>
        <w:t>Borsa</w:t>
      </w:r>
      <w:proofErr w:type="spellEnd"/>
      <w:r w:rsidRPr="005E131C">
        <w:rPr>
          <w:rFonts w:ascii="Times New Roman" w:hAnsi="Times New Roman" w:cs="Times New Roman"/>
          <w:i/>
          <w:iCs/>
        </w:rPr>
        <w:t xml:space="preserve"> Istanbul Review</w:t>
      </w:r>
      <w:r w:rsidRPr="005E131C">
        <w:rPr>
          <w:rFonts w:ascii="Times New Roman" w:hAnsi="Times New Roman" w:cs="Times New Roman"/>
        </w:rPr>
        <w:t xml:space="preserve">, 24(3), pp. 520–529. Available at: </w:t>
      </w:r>
      <w:hyperlink r:id="rId34" w:tgtFrame="_new" w:history="1">
        <w:r w:rsidRPr="005E131C">
          <w:rPr>
            <w:rStyle w:val="Hyperlink"/>
            <w:rFonts w:ascii="Times New Roman" w:hAnsi="Times New Roman" w:cs="Times New Roman"/>
          </w:rPr>
          <w:t>https://doi.org/10.1016/j.bir.2024.02.007</w:t>
        </w:r>
      </w:hyperlink>
    </w:p>
    <w:p w14:paraId="1F610BD7" w14:textId="77777777" w:rsidR="001F1BE1" w:rsidRPr="005E131C" w:rsidRDefault="001F1BE1" w:rsidP="005E131C">
      <w:pPr>
        <w:ind w:left="720" w:hanging="360"/>
        <w:rPr>
          <w:rFonts w:ascii="Times New Roman" w:hAnsi="Times New Roman" w:cs="Times New Roman"/>
        </w:rPr>
      </w:pPr>
      <w:proofErr w:type="spellStart"/>
      <w:r w:rsidRPr="005E131C">
        <w:rPr>
          <w:rFonts w:ascii="Times New Roman" w:hAnsi="Times New Roman" w:cs="Times New Roman"/>
        </w:rPr>
        <w:t>Završnik</w:t>
      </w:r>
      <w:proofErr w:type="spellEnd"/>
      <w:r w:rsidRPr="005E131C">
        <w:rPr>
          <w:rFonts w:ascii="Times New Roman" w:hAnsi="Times New Roman" w:cs="Times New Roman"/>
        </w:rPr>
        <w:t xml:space="preserve">, A. (2013) ‘Blurring the line between law enforcement and intelligence: Sharpening the gaze of surveillance?’, </w:t>
      </w:r>
      <w:r w:rsidRPr="005E131C">
        <w:rPr>
          <w:rFonts w:ascii="Times New Roman" w:hAnsi="Times New Roman" w:cs="Times New Roman"/>
          <w:i/>
          <w:iCs/>
        </w:rPr>
        <w:t>Journal of Contemporary European Research</w:t>
      </w:r>
      <w:r w:rsidRPr="005E131C">
        <w:rPr>
          <w:rFonts w:ascii="Times New Roman" w:hAnsi="Times New Roman" w:cs="Times New Roman"/>
        </w:rPr>
        <w:t>, 9(1), pp. 181–202. Available at: https://doi.org/10.30950/jcer.v9i1.452</w:t>
      </w:r>
    </w:p>
    <w:p w14:paraId="7363E64B" w14:textId="77777777" w:rsidR="001F1BE1" w:rsidRPr="005E131C" w:rsidRDefault="001F1BE1" w:rsidP="005E131C">
      <w:pPr>
        <w:rPr>
          <w:rFonts w:ascii="Times New Roman" w:hAnsi="Times New Roman" w:cs="Times New Roman"/>
        </w:rPr>
      </w:pPr>
    </w:p>
    <w:p w14:paraId="203273EF" w14:textId="77777777" w:rsidR="00E43E50" w:rsidRPr="005E131C" w:rsidRDefault="00E43E50" w:rsidP="005E131C">
      <w:pPr>
        <w:rPr>
          <w:rFonts w:ascii="Times New Roman" w:hAnsi="Times New Roman" w:cs="Times New Roman"/>
        </w:rPr>
      </w:pPr>
    </w:p>
    <w:p w14:paraId="5F9B945A" w14:textId="77777777" w:rsidR="00316ABB" w:rsidRPr="005E131C" w:rsidRDefault="00316ABB" w:rsidP="005E131C">
      <w:pPr>
        <w:rPr>
          <w:rFonts w:ascii="Times New Roman" w:hAnsi="Times New Roman" w:cs="Times New Roman"/>
        </w:rPr>
      </w:pPr>
    </w:p>
    <w:p w14:paraId="2E46C010" w14:textId="77777777" w:rsidR="00316ABB" w:rsidRPr="005E131C" w:rsidRDefault="00316ABB" w:rsidP="005E131C">
      <w:pPr>
        <w:rPr>
          <w:rFonts w:ascii="Times New Roman" w:hAnsi="Times New Roman" w:cs="Times New Roman"/>
        </w:rPr>
      </w:pPr>
    </w:p>
    <w:p w14:paraId="0B7AF319" w14:textId="7972BA23" w:rsidR="00D82E96" w:rsidRPr="005E131C" w:rsidRDefault="00D82E96" w:rsidP="005E131C">
      <w:pPr>
        <w:pStyle w:val="Heading2"/>
        <w:rPr>
          <w:rFonts w:ascii="Times New Roman" w:hAnsi="Times New Roman" w:cs="Times New Roman"/>
          <w:szCs w:val="24"/>
        </w:rPr>
      </w:pPr>
    </w:p>
    <w:sectPr w:rsidR="00D82E96" w:rsidRPr="005E131C" w:rsidSect="00DE71F1">
      <w:headerReference w:type="default" r:id="rId35"/>
      <w:pgSz w:w="12240" w:h="15840"/>
      <w:pgMar w:top="1440" w:right="1440" w:bottom="1440" w:left="1440" w:header="720" w:footer="720" w:gutter="0"/>
      <w:pgNumType w:fmt="lowerRoman"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D7025" w14:textId="77777777" w:rsidR="008778DB" w:rsidRDefault="008778DB" w:rsidP="00D82E96">
      <w:pPr>
        <w:spacing w:after="0" w:line="240" w:lineRule="auto"/>
      </w:pPr>
      <w:r>
        <w:separator/>
      </w:r>
    </w:p>
  </w:endnote>
  <w:endnote w:type="continuationSeparator" w:id="0">
    <w:p w14:paraId="77AF91C7" w14:textId="77777777" w:rsidR="008778DB" w:rsidRDefault="008778DB" w:rsidP="00D82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F040B" w14:textId="77777777" w:rsidR="008778DB" w:rsidRDefault="008778DB" w:rsidP="00D82E96">
      <w:pPr>
        <w:spacing w:after="0" w:line="240" w:lineRule="auto"/>
      </w:pPr>
      <w:r>
        <w:separator/>
      </w:r>
    </w:p>
  </w:footnote>
  <w:footnote w:type="continuationSeparator" w:id="0">
    <w:p w14:paraId="23302962" w14:textId="77777777" w:rsidR="008778DB" w:rsidRDefault="008778DB" w:rsidP="00D82E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178072"/>
      <w:docPartObj>
        <w:docPartGallery w:val="Page Numbers (Top of Page)"/>
        <w:docPartUnique/>
      </w:docPartObj>
    </w:sdtPr>
    <w:sdtEndPr>
      <w:rPr>
        <w:noProof/>
      </w:rPr>
    </w:sdtEndPr>
    <w:sdtContent>
      <w:p w14:paraId="26DA5565" w14:textId="32E9542B" w:rsidR="00D82E96" w:rsidRDefault="00DE71F1">
        <w:pPr>
          <w:pStyle w:val="Header"/>
          <w:jc w:val="right"/>
        </w:pPr>
        <w:r w:rsidRPr="00A406E5">
          <w:rPr>
            <w:rFonts w:cs="Arial"/>
            <w:noProof/>
          </w:rPr>
          <w:drawing>
            <wp:anchor distT="0" distB="0" distL="114300" distR="114300" simplePos="0" relativeHeight="251659264" behindDoc="0" locked="0" layoutInCell="1" allowOverlap="1" wp14:anchorId="14671C5A" wp14:editId="0EE05C77">
              <wp:simplePos x="0" y="0"/>
              <wp:positionH relativeFrom="column">
                <wp:posOffset>-679450</wp:posOffset>
              </wp:positionH>
              <wp:positionV relativeFrom="paragraph">
                <wp:posOffset>-358414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82E96">
          <w:fldChar w:fldCharType="begin"/>
        </w:r>
        <w:r w:rsidR="00D82E96">
          <w:instrText xml:space="preserve"> PAGE   \* MERGEFORMAT </w:instrText>
        </w:r>
        <w:r w:rsidR="00D82E96">
          <w:fldChar w:fldCharType="separate"/>
        </w:r>
        <w:r w:rsidR="00707F76">
          <w:rPr>
            <w:noProof/>
          </w:rPr>
          <w:t>13</w:t>
        </w:r>
        <w:r w:rsidR="00D82E96">
          <w:rPr>
            <w:noProof/>
          </w:rPr>
          <w:fldChar w:fldCharType="end"/>
        </w:r>
      </w:p>
    </w:sdtContent>
  </w:sdt>
  <w:p w14:paraId="60ADE60A" w14:textId="1B05A221" w:rsidR="00D82E96" w:rsidRDefault="00D82E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F95B29"/>
    <w:multiLevelType w:val="hybridMultilevel"/>
    <w:tmpl w:val="03925526"/>
    <w:lvl w:ilvl="0" w:tplc="67AE1C34">
      <w:start w:val="1"/>
      <w:numFmt w:val="decimal"/>
      <w:pStyle w:val="Heading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2B680B"/>
    <w:multiLevelType w:val="multilevel"/>
    <w:tmpl w:val="63764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487201"/>
    <w:multiLevelType w:val="hybridMultilevel"/>
    <w:tmpl w:val="550C104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A6D7933"/>
    <w:multiLevelType w:val="multilevel"/>
    <w:tmpl w:val="D820D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6529187">
    <w:abstractNumId w:val="2"/>
  </w:num>
  <w:num w:numId="2" w16cid:durableId="1196651336">
    <w:abstractNumId w:val="0"/>
  </w:num>
  <w:num w:numId="3" w16cid:durableId="1422946357">
    <w:abstractNumId w:val="3"/>
  </w:num>
  <w:num w:numId="4" w16cid:durableId="4273892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2E96"/>
    <w:rsid w:val="00041E23"/>
    <w:rsid w:val="0010603F"/>
    <w:rsid w:val="0013297E"/>
    <w:rsid w:val="001A70A5"/>
    <w:rsid w:val="001A7D64"/>
    <w:rsid w:val="001F1BE1"/>
    <w:rsid w:val="002841B6"/>
    <w:rsid w:val="002B16A3"/>
    <w:rsid w:val="002C081C"/>
    <w:rsid w:val="002F13F8"/>
    <w:rsid w:val="003056F5"/>
    <w:rsid w:val="00316ABB"/>
    <w:rsid w:val="003454F0"/>
    <w:rsid w:val="0036134A"/>
    <w:rsid w:val="00392B79"/>
    <w:rsid w:val="003C5B3D"/>
    <w:rsid w:val="003F20C0"/>
    <w:rsid w:val="00403DAE"/>
    <w:rsid w:val="0053381B"/>
    <w:rsid w:val="005347B2"/>
    <w:rsid w:val="005D725B"/>
    <w:rsid w:val="005E131C"/>
    <w:rsid w:val="006503E6"/>
    <w:rsid w:val="006665B5"/>
    <w:rsid w:val="00707F76"/>
    <w:rsid w:val="007756DC"/>
    <w:rsid w:val="007A2546"/>
    <w:rsid w:val="007A5725"/>
    <w:rsid w:val="007A6298"/>
    <w:rsid w:val="00817CC3"/>
    <w:rsid w:val="008207D6"/>
    <w:rsid w:val="008778DB"/>
    <w:rsid w:val="00930207"/>
    <w:rsid w:val="0095388E"/>
    <w:rsid w:val="009578E1"/>
    <w:rsid w:val="00963DDB"/>
    <w:rsid w:val="0097745C"/>
    <w:rsid w:val="00996051"/>
    <w:rsid w:val="009B656B"/>
    <w:rsid w:val="00A47F17"/>
    <w:rsid w:val="00A60603"/>
    <w:rsid w:val="00BF53E2"/>
    <w:rsid w:val="00D2085B"/>
    <w:rsid w:val="00D72D13"/>
    <w:rsid w:val="00D82E96"/>
    <w:rsid w:val="00DD3D22"/>
    <w:rsid w:val="00DE71F1"/>
    <w:rsid w:val="00E43E50"/>
    <w:rsid w:val="00EA254C"/>
    <w:rsid w:val="00EA7637"/>
    <w:rsid w:val="00F4060C"/>
    <w:rsid w:val="00F7440A"/>
    <w:rsid w:val="00F81C89"/>
    <w:rsid w:val="00FA53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B1378"/>
  <w15:chartTrackingRefBased/>
  <w15:docId w15:val="{FACD313D-DF0B-4571-8E5B-F0CC4EAA1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88E"/>
    <w:pPr>
      <w:spacing w:line="360" w:lineRule="auto"/>
      <w:ind w:firstLine="720"/>
      <w:jc w:val="both"/>
    </w:pPr>
    <w:rPr>
      <w:rFonts w:ascii="Arial" w:hAnsi="Arial"/>
    </w:rPr>
  </w:style>
  <w:style w:type="paragraph" w:styleId="Heading1">
    <w:name w:val="heading 1"/>
    <w:basedOn w:val="Normal"/>
    <w:next w:val="Normal"/>
    <w:link w:val="Heading1Char"/>
    <w:uiPriority w:val="9"/>
    <w:qFormat/>
    <w:rsid w:val="009B656B"/>
    <w:pPr>
      <w:keepNext/>
      <w:keepLines/>
      <w:numPr>
        <w:numId w:val="2"/>
      </w:numPr>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03DAE"/>
    <w:pPr>
      <w:keepNext/>
      <w:keepLines/>
      <w:spacing w:before="160" w:after="80"/>
      <w:ind w:firstLine="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A60603"/>
    <w:pPr>
      <w:keepNext/>
      <w:keepLines/>
      <w:spacing w:before="160" w:after="80"/>
      <w:ind w:firstLine="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D82E9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2E9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82E9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82E9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82E9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82E9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56B"/>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03DAE"/>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A60603"/>
    <w:rPr>
      <w:rFonts w:ascii="Times New Roman" w:eastAsiaTheme="majorEastAsia" w:hAnsi="Times New Roman" w:cstheme="majorBidi"/>
      <w:b/>
      <w:i/>
      <w:szCs w:val="28"/>
    </w:rPr>
  </w:style>
  <w:style w:type="character" w:customStyle="1" w:styleId="Heading4Char">
    <w:name w:val="Heading 4 Char"/>
    <w:basedOn w:val="DefaultParagraphFont"/>
    <w:link w:val="Heading4"/>
    <w:uiPriority w:val="9"/>
    <w:semiHidden/>
    <w:rsid w:val="00D82E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2E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2E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E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E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E96"/>
    <w:rPr>
      <w:rFonts w:eastAsiaTheme="majorEastAsia" w:cstheme="majorBidi"/>
      <w:color w:val="272727" w:themeColor="text1" w:themeTint="D8"/>
    </w:rPr>
  </w:style>
  <w:style w:type="paragraph" w:styleId="Title">
    <w:name w:val="Title"/>
    <w:basedOn w:val="Normal"/>
    <w:next w:val="Normal"/>
    <w:link w:val="TitleChar"/>
    <w:uiPriority w:val="10"/>
    <w:qFormat/>
    <w:rsid w:val="00D82E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E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E96"/>
    <w:pPr>
      <w:numPr>
        <w:ilvl w:val="1"/>
      </w:numPr>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E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E96"/>
    <w:pPr>
      <w:spacing w:before="160"/>
      <w:jc w:val="center"/>
    </w:pPr>
    <w:rPr>
      <w:i/>
      <w:iCs/>
      <w:color w:val="404040" w:themeColor="text1" w:themeTint="BF"/>
    </w:rPr>
  </w:style>
  <w:style w:type="character" w:customStyle="1" w:styleId="QuoteChar">
    <w:name w:val="Quote Char"/>
    <w:basedOn w:val="DefaultParagraphFont"/>
    <w:link w:val="Quote"/>
    <w:uiPriority w:val="29"/>
    <w:rsid w:val="00D82E96"/>
    <w:rPr>
      <w:rFonts w:ascii="Arial" w:hAnsi="Arial"/>
      <w:i/>
      <w:iCs/>
      <w:color w:val="404040" w:themeColor="text1" w:themeTint="BF"/>
    </w:rPr>
  </w:style>
  <w:style w:type="paragraph" w:styleId="ListParagraph">
    <w:name w:val="List Paragraph"/>
    <w:basedOn w:val="Normal"/>
    <w:uiPriority w:val="34"/>
    <w:qFormat/>
    <w:rsid w:val="00D82E96"/>
    <w:pPr>
      <w:ind w:left="720"/>
      <w:contextualSpacing/>
    </w:pPr>
  </w:style>
  <w:style w:type="character" w:styleId="IntenseEmphasis">
    <w:name w:val="Intense Emphasis"/>
    <w:basedOn w:val="DefaultParagraphFont"/>
    <w:uiPriority w:val="21"/>
    <w:qFormat/>
    <w:rsid w:val="00D82E96"/>
    <w:rPr>
      <w:i/>
      <w:iCs/>
      <w:color w:val="2F5496" w:themeColor="accent1" w:themeShade="BF"/>
    </w:rPr>
  </w:style>
  <w:style w:type="paragraph" w:styleId="IntenseQuote">
    <w:name w:val="Intense Quote"/>
    <w:basedOn w:val="Normal"/>
    <w:next w:val="Normal"/>
    <w:link w:val="IntenseQuoteChar"/>
    <w:uiPriority w:val="30"/>
    <w:qFormat/>
    <w:rsid w:val="00D82E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2E96"/>
    <w:rPr>
      <w:rFonts w:ascii="Arial" w:hAnsi="Arial"/>
      <w:i/>
      <w:iCs/>
      <w:color w:val="2F5496" w:themeColor="accent1" w:themeShade="BF"/>
    </w:rPr>
  </w:style>
  <w:style w:type="character" w:styleId="IntenseReference">
    <w:name w:val="Intense Reference"/>
    <w:basedOn w:val="DefaultParagraphFont"/>
    <w:uiPriority w:val="32"/>
    <w:qFormat/>
    <w:rsid w:val="00D82E96"/>
    <w:rPr>
      <w:b/>
      <w:bCs/>
      <w:smallCaps/>
      <w:color w:val="2F5496" w:themeColor="accent1" w:themeShade="BF"/>
      <w:spacing w:val="5"/>
    </w:rPr>
  </w:style>
  <w:style w:type="paragraph" w:styleId="Header">
    <w:name w:val="header"/>
    <w:basedOn w:val="Normal"/>
    <w:link w:val="HeaderChar"/>
    <w:uiPriority w:val="99"/>
    <w:unhideWhenUsed/>
    <w:rsid w:val="00D82E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2E96"/>
    <w:rPr>
      <w:rFonts w:ascii="Arial" w:hAnsi="Arial"/>
    </w:rPr>
  </w:style>
  <w:style w:type="paragraph" w:styleId="Footer">
    <w:name w:val="footer"/>
    <w:basedOn w:val="Normal"/>
    <w:link w:val="FooterChar"/>
    <w:uiPriority w:val="99"/>
    <w:unhideWhenUsed/>
    <w:rsid w:val="00D82E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2E96"/>
    <w:rPr>
      <w:rFonts w:ascii="Arial" w:hAnsi="Arial"/>
    </w:rPr>
  </w:style>
  <w:style w:type="table" w:styleId="GridTable4-Accent5">
    <w:name w:val="Grid Table 4 Accent 5"/>
    <w:basedOn w:val="TableNormal"/>
    <w:uiPriority w:val="49"/>
    <w:rsid w:val="00316ABB"/>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A47F1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43E50"/>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E43E50"/>
    <w:pPr>
      <w:spacing w:after="100"/>
    </w:pPr>
  </w:style>
  <w:style w:type="paragraph" w:styleId="TOC2">
    <w:name w:val="toc 2"/>
    <w:basedOn w:val="Normal"/>
    <w:next w:val="Normal"/>
    <w:autoRedefine/>
    <w:uiPriority w:val="39"/>
    <w:unhideWhenUsed/>
    <w:rsid w:val="00E43E50"/>
    <w:pPr>
      <w:spacing w:after="100"/>
      <w:ind w:left="240"/>
    </w:pPr>
  </w:style>
  <w:style w:type="paragraph" w:styleId="TOC3">
    <w:name w:val="toc 3"/>
    <w:basedOn w:val="Normal"/>
    <w:next w:val="Normal"/>
    <w:autoRedefine/>
    <w:uiPriority w:val="39"/>
    <w:unhideWhenUsed/>
    <w:rsid w:val="00E43E50"/>
    <w:pPr>
      <w:spacing w:after="100"/>
      <w:ind w:left="480"/>
    </w:pPr>
  </w:style>
  <w:style w:type="character" w:styleId="Hyperlink">
    <w:name w:val="Hyperlink"/>
    <w:basedOn w:val="DefaultParagraphFont"/>
    <w:uiPriority w:val="99"/>
    <w:unhideWhenUsed/>
    <w:rsid w:val="00E43E50"/>
    <w:rPr>
      <w:color w:val="0563C1" w:themeColor="hyperlink"/>
      <w:u w:val="single"/>
    </w:rPr>
  </w:style>
  <w:style w:type="paragraph" w:styleId="NormalWeb">
    <w:name w:val="Normal (Web)"/>
    <w:basedOn w:val="Normal"/>
    <w:uiPriority w:val="99"/>
    <w:semiHidden/>
    <w:unhideWhenUsed/>
    <w:rsid w:val="002B16A3"/>
    <w:rPr>
      <w:rFonts w:ascii="Times New Roman" w:hAnsi="Times New Roman" w:cs="Times New Roman"/>
    </w:rPr>
  </w:style>
  <w:style w:type="character" w:customStyle="1" w:styleId="UnresolvedMention1">
    <w:name w:val="Unresolved Mention1"/>
    <w:basedOn w:val="DefaultParagraphFont"/>
    <w:uiPriority w:val="99"/>
    <w:semiHidden/>
    <w:unhideWhenUsed/>
    <w:rsid w:val="001F1BE1"/>
    <w:rPr>
      <w:color w:val="605E5C"/>
      <w:shd w:val="clear" w:color="auto" w:fill="E1DFDD"/>
    </w:rPr>
  </w:style>
  <w:style w:type="paragraph" w:styleId="NoSpacing">
    <w:name w:val="No Spacing"/>
    <w:link w:val="NoSpacingChar"/>
    <w:uiPriority w:val="1"/>
    <w:qFormat/>
    <w:rsid w:val="007756DC"/>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7756DC"/>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16/j.jik.2024.100648" TargetMode="External"/><Relationship Id="rId26" Type="http://schemas.openxmlformats.org/officeDocument/2006/relationships/hyperlink" Target="https://doi.org/10.1016/j.clpl.2025.100114" TargetMode="External"/><Relationship Id="rId21" Type="http://schemas.openxmlformats.org/officeDocument/2006/relationships/hyperlink" Target="https://doi.org/10.3390/joitmc6040111" TargetMode="External"/><Relationship Id="rId34" Type="http://schemas.openxmlformats.org/officeDocument/2006/relationships/hyperlink" Target="https://doi.org/10.1016/j.bir.2024.02.007"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1186/s12889-025-23026-2" TargetMode="External"/><Relationship Id="rId25" Type="http://schemas.openxmlformats.org/officeDocument/2006/relationships/hyperlink" Target="https://doi.org/10.1007/978-3-031-11756-5_14" TargetMode="External"/><Relationship Id="rId33" Type="http://schemas.openxmlformats.org/officeDocument/2006/relationships/hyperlink" Target="https://www.un.org/sustainabledevelopment/peace-justice/" TargetMode="External"/><Relationship Id="rId2" Type="http://schemas.openxmlformats.org/officeDocument/2006/relationships/customXml" Target="../customXml/item2.xml"/><Relationship Id="rId16" Type="http://schemas.openxmlformats.org/officeDocument/2006/relationships/hyperlink" Target="https://doi.org/10.1186/s40991-024-00094-y" TargetMode="External"/><Relationship Id="rId20" Type="http://schemas.openxmlformats.org/officeDocument/2006/relationships/hyperlink" Target="https://doi.org/10.1108/JCHMSD-05-2017-0019" TargetMode="External"/><Relationship Id="rId29" Type="http://schemas.openxmlformats.org/officeDocument/2006/relationships/hyperlink" Target="https://doi.org/10.1080/10439463.2016.122055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16/j.envsci.2025.104091" TargetMode="External"/><Relationship Id="rId32" Type="http://schemas.openxmlformats.org/officeDocument/2006/relationships/hyperlink" Target="https://researchonline.ljmu.ac.uk/id/eprint/26592/1/2024toomerphd.pdf.pdf"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007/s43545-025-01195-6" TargetMode="External"/><Relationship Id="rId23" Type="http://schemas.openxmlformats.org/officeDocument/2006/relationships/hyperlink" Target="https://www.gov.uk/guidance/equality-act-2010-guidance" TargetMode="External"/><Relationship Id="rId28" Type="http://schemas.openxmlformats.org/officeDocument/2006/relationships/hyperlink" Target="https://www.ipa.ie/app/uploads/2025/07/Service-Level-Agreement-2.pdf?utm_source=chatgpt.com"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186/s40991-016-0004-6" TargetMode="External"/><Relationship Id="rId31" Type="http://schemas.openxmlformats.org/officeDocument/2006/relationships/hyperlink" Target="https://doi.org/10.1016/j.jclepro.2023.14044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doi.org/10.1108/EJMBE-07-2022-0206" TargetMode="External"/><Relationship Id="rId27" Type="http://schemas.openxmlformats.org/officeDocument/2006/relationships/hyperlink" Target="https://doi.org/10.1016/j.resourpol.2018.11.023" TargetMode="External"/><Relationship Id="rId30" Type="http://schemas.openxmlformats.org/officeDocument/2006/relationships/hyperlink" Target="https://doi.org/10.1016/j.jbusres.2023.113955" TargetMode="External"/><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2441744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733AFC-EC8F-4CB3-954F-008565997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5481</Words>
  <Characters>31244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STAKEHOLDER ENGAGEMENT IN PRIVATE SECURITY FOR UK HOUSING ESTATES</dc:title>
  <dc:subject/>
  <dc:creator>Christvit L. Kanga</dc:creator>
  <cp:keywords/>
  <dc:description/>
  <cp:lastModifiedBy>Evamary Kimuena</cp:lastModifiedBy>
  <cp:revision>2</cp:revision>
  <cp:lastPrinted>2026-02-24T12:43:00Z</cp:lastPrinted>
  <dcterms:created xsi:type="dcterms:W3CDTF">2026-03-29T09:14:00Z</dcterms:created>
  <dcterms:modified xsi:type="dcterms:W3CDTF">2026-03-29T09:14:00Z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e707ec281452c4940aa77942c0a719ab2b3b16a98ea0396b791b25c910e0ac0c</vt:lpwstr>
  </property>
</Properties>
</file>