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BD310" w14:textId="7D207009" w:rsidR="00BA6316" w:rsidRDefault="00C33036" w:rsidP="00C33036">
      <w:pPr>
        <w:pStyle w:val="Heading1"/>
        <w:spacing w:before="322" w:after="322" w:line="360" w:lineRule="auto"/>
        <w:jc w:val="center"/>
        <w:rPr>
          <w:rFonts w:ascii="Calibri" w:eastAsia="Calibri" w:hAnsi="Calibri" w:cs="Calibri"/>
          <w:b/>
          <w:bCs/>
          <w:color w:val="auto"/>
          <w:sz w:val="48"/>
          <w:szCs w:val="48"/>
        </w:rPr>
      </w:pPr>
      <w:r>
        <w:rPr>
          <w:noProof/>
        </w:rPr>
        <w:drawing>
          <wp:inline distT="0" distB="0" distL="0" distR="0" wp14:anchorId="6076FC48" wp14:editId="245D5EA7">
            <wp:extent cx="3717290" cy="1264368"/>
            <wp:effectExtent l="152400" t="152400" r="359410" b="354965"/>
            <wp:docPr id="900832781" name="Picture 1" descr="Picture 63894244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832781" name="Picture 900832781" descr="Picture 638942447, Picture"/>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747207" cy="1274544"/>
                    </a:xfrm>
                    <a:prstGeom prst="rect">
                      <a:avLst/>
                    </a:prstGeom>
                    <a:ln>
                      <a:noFill/>
                    </a:ln>
                    <a:effectLst>
                      <a:outerShdw blurRad="292100" dist="139700" dir="2700000" algn="tl" rotWithShape="0">
                        <a:srgbClr val="333333">
                          <a:alpha val="65000"/>
                        </a:srgbClr>
                      </a:outerShdw>
                    </a:effectLst>
                  </pic:spPr>
                </pic:pic>
              </a:graphicData>
            </a:graphic>
          </wp:inline>
        </w:drawing>
      </w:r>
    </w:p>
    <w:p w14:paraId="3A065C87" w14:textId="2FC8405E" w:rsidR="00C33036" w:rsidRPr="008E3D32" w:rsidRDefault="00C33036" w:rsidP="00C33036">
      <w:pPr>
        <w:pStyle w:val="Heading1"/>
        <w:spacing w:before="322" w:after="322" w:line="360" w:lineRule="auto"/>
        <w:jc w:val="center"/>
        <w:rPr>
          <w:rFonts w:ascii="Calibri" w:eastAsia="Calibri" w:hAnsi="Calibri" w:cs="Calibri"/>
          <w:b/>
          <w:bCs/>
          <w:color w:val="C00000"/>
          <w:sz w:val="24"/>
          <w:szCs w:val="24"/>
        </w:rPr>
      </w:pPr>
      <w:r w:rsidRPr="008E3D32">
        <w:rPr>
          <w:rFonts w:ascii="Calibri" w:eastAsia="Calibri" w:hAnsi="Calibri" w:cs="Calibri"/>
          <w:b/>
          <w:bCs/>
          <w:color w:val="C00000"/>
          <w:sz w:val="24"/>
          <w:szCs w:val="24"/>
          <w:u w:val="single"/>
        </w:rPr>
        <w:t>Health and Social Care</w:t>
      </w:r>
      <w:r w:rsidR="00F61CA8" w:rsidRPr="008E3D32">
        <w:rPr>
          <w:rFonts w:ascii="Calibri" w:eastAsia="Calibri" w:hAnsi="Calibri" w:cs="Calibri"/>
          <w:b/>
          <w:bCs/>
          <w:color w:val="C00000"/>
          <w:sz w:val="24"/>
          <w:szCs w:val="24"/>
          <w:u w:val="single"/>
        </w:rPr>
        <w:t xml:space="preserve"> (BSC</w:t>
      </w:r>
      <w:r w:rsidR="00DA38AE" w:rsidRPr="008E3D32">
        <w:rPr>
          <w:rFonts w:ascii="Calibri" w:eastAsia="Calibri" w:hAnsi="Calibri" w:cs="Calibri"/>
          <w:b/>
          <w:bCs/>
          <w:color w:val="C00000"/>
          <w:sz w:val="24"/>
          <w:szCs w:val="24"/>
          <w:u w:val="single"/>
        </w:rPr>
        <w:t xml:space="preserve"> Hons</w:t>
      </w:r>
      <w:r w:rsidR="00F61CA8" w:rsidRPr="008E3D32">
        <w:rPr>
          <w:rFonts w:ascii="Calibri" w:eastAsia="Calibri" w:hAnsi="Calibri" w:cs="Calibri"/>
          <w:b/>
          <w:bCs/>
          <w:color w:val="C00000"/>
          <w:sz w:val="24"/>
          <w:szCs w:val="24"/>
          <w:u w:val="single"/>
        </w:rPr>
        <w:t>)</w:t>
      </w:r>
    </w:p>
    <w:p w14:paraId="0C06A1B0" w14:textId="45D5605F" w:rsidR="00C33036" w:rsidRPr="008E3D32" w:rsidRDefault="00C33036" w:rsidP="00947F2B">
      <w:pPr>
        <w:pStyle w:val="Heading1"/>
        <w:spacing w:before="322" w:after="322" w:line="360" w:lineRule="auto"/>
        <w:jc w:val="center"/>
        <w:rPr>
          <w:rFonts w:ascii="Aptos Display" w:eastAsia="Calibri" w:hAnsi="Aptos Display" w:cs="Calibri"/>
          <w:b/>
          <w:bCs/>
          <w:color w:val="auto"/>
          <w:sz w:val="24"/>
          <w:szCs w:val="24"/>
        </w:rPr>
      </w:pPr>
      <w:r w:rsidRPr="008E3D32">
        <w:rPr>
          <w:rFonts w:ascii="Aptos Display" w:eastAsia="Calibri" w:hAnsi="Aptos Display" w:cs="Calibri"/>
          <w:b/>
          <w:bCs/>
          <w:color w:val="auto"/>
          <w:sz w:val="24"/>
          <w:szCs w:val="24"/>
        </w:rPr>
        <w:t xml:space="preserve"> </w:t>
      </w:r>
      <w:r w:rsidR="00865D33" w:rsidRPr="008E3D32">
        <w:rPr>
          <w:rFonts w:ascii="Aptos Display" w:eastAsia="Calibri" w:hAnsi="Aptos Display" w:cs="Calibri"/>
          <w:b/>
          <w:bCs/>
          <w:color w:val="auto"/>
          <w:sz w:val="24"/>
          <w:szCs w:val="24"/>
        </w:rPr>
        <w:t>Health, Wellbeing and Sustainable</w:t>
      </w:r>
      <w:r w:rsidR="00947F2B" w:rsidRPr="008E3D32">
        <w:rPr>
          <w:rFonts w:ascii="Aptos Display" w:eastAsia="Calibri" w:hAnsi="Aptos Display" w:cs="Calibri"/>
          <w:b/>
          <w:bCs/>
          <w:color w:val="auto"/>
          <w:sz w:val="24"/>
          <w:szCs w:val="24"/>
        </w:rPr>
        <w:t xml:space="preserve"> </w:t>
      </w:r>
      <w:r w:rsidR="00F61CA8" w:rsidRPr="008E3D32">
        <w:rPr>
          <w:rFonts w:ascii="Aptos Display" w:eastAsia="Calibri" w:hAnsi="Aptos Display" w:cs="Calibri"/>
          <w:b/>
          <w:bCs/>
          <w:color w:val="auto"/>
          <w:sz w:val="24"/>
          <w:szCs w:val="24"/>
        </w:rPr>
        <w:t xml:space="preserve">Development (BMHP6030_BIRM) </w:t>
      </w:r>
      <w:r w:rsidRPr="008E3D32">
        <w:rPr>
          <w:rFonts w:ascii="Aptos Display" w:eastAsia="Calibri" w:hAnsi="Aptos Display" w:cs="Calibri"/>
          <w:b/>
          <w:bCs/>
          <w:color w:val="auto"/>
          <w:sz w:val="24"/>
          <w:szCs w:val="24"/>
        </w:rPr>
        <w:t>Level – 06</w:t>
      </w:r>
    </w:p>
    <w:p w14:paraId="7CA5A4DA" w14:textId="77777777" w:rsidR="00F61CA8" w:rsidRPr="0010735D" w:rsidRDefault="00F61CA8" w:rsidP="00F61CA8">
      <w:pPr>
        <w:rPr>
          <w:rFonts w:asciiTheme="majorHAnsi" w:hAnsiTheme="majorHAnsi"/>
          <w:color w:val="0D0D0D" w:themeColor="text1" w:themeTint="F2"/>
        </w:rPr>
      </w:pPr>
    </w:p>
    <w:p w14:paraId="7575A0F8" w14:textId="2F98F34E" w:rsidR="00C33036" w:rsidRPr="0010735D" w:rsidRDefault="00C33036" w:rsidP="00122EF6">
      <w:pPr>
        <w:pStyle w:val="Heading1"/>
        <w:spacing w:before="322" w:after="322" w:line="360" w:lineRule="auto"/>
        <w:jc w:val="center"/>
        <w:rPr>
          <w:rFonts w:eastAsia="Calibri" w:cs="Calibri"/>
          <w:b/>
          <w:bCs/>
          <w:i/>
          <w:iCs/>
          <w:color w:val="0D0D0D" w:themeColor="text1" w:themeTint="F2"/>
          <w:sz w:val="36"/>
          <w:szCs w:val="36"/>
        </w:rPr>
      </w:pPr>
      <w:r w:rsidRPr="0010735D">
        <w:rPr>
          <w:rFonts w:eastAsia="Calibri" w:cs="Calibri"/>
          <w:b/>
          <w:bCs/>
          <w:i/>
          <w:iCs/>
          <w:color w:val="0D0D0D" w:themeColor="text1" w:themeTint="F2"/>
          <w:sz w:val="36"/>
          <w:szCs w:val="36"/>
        </w:rPr>
        <w:t>Component 2</w:t>
      </w:r>
      <w:r w:rsidR="00947F2B" w:rsidRPr="0010735D">
        <w:rPr>
          <w:rFonts w:eastAsia="Calibri" w:cs="Calibri"/>
          <w:b/>
          <w:bCs/>
          <w:i/>
          <w:iCs/>
          <w:color w:val="0D0D0D" w:themeColor="text1" w:themeTint="F2"/>
          <w:sz w:val="36"/>
          <w:szCs w:val="36"/>
        </w:rPr>
        <w:t xml:space="preserve">: Written Assignment </w:t>
      </w:r>
      <w:r w:rsidRPr="0010735D">
        <w:rPr>
          <w:rFonts w:eastAsia="Calibri" w:cs="Calibri"/>
          <w:b/>
          <w:bCs/>
          <w:i/>
          <w:iCs/>
          <w:color w:val="0D0D0D" w:themeColor="text1" w:themeTint="F2"/>
          <w:sz w:val="36"/>
          <w:szCs w:val="36"/>
        </w:rPr>
        <w:t>/</w:t>
      </w:r>
      <w:r w:rsidR="00947F2B" w:rsidRPr="0010735D">
        <w:rPr>
          <w:rFonts w:eastAsia="Calibri" w:cs="Calibri"/>
          <w:b/>
          <w:bCs/>
          <w:i/>
          <w:iCs/>
          <w:color w:val="0D0D0D" w:themeColor="text1" w:themeTint="F2"/>
          <w:sz w:val="36"/>
          <w:szCs w:val="36"/>
        </w:rPr>
        <w:t xml:space="preserve"> Report (2000 words)</w:t>
      </w:r>
    </w:p>
    <w:p w14:paraId="2FD1F331" w14:textId="77777777" w:rsidR="00122EF6" w:rsidRPr="00122EF6" w:rsidRDefault="00122EF6" w:rsidP="00122EF6"/>
    <w:p w14:paraId="528DFA5A" w14:textId="05F4CDC3" w:rsidR="00C33036" w:rsidRPr="008E3D32" w:rsidRDefault="00C33036" w:rsidP="00C33036">
      <w:pPr>
        <w:pStyle w:val="Heading1"/>
        <w:spacing w:before="322" w:after="322" w:line="360" w:lineRule="auto"/>
        <w:jc w:val="center"/>
        <w:rPr>
          <w:rFonts w:ascii="Aptos Black" w:eastAsia="Calibri" w:hAnsi="Aptos Black" w:cs="Cavolini"/>
          <w:b/>
          <w:bCs/>
          <w:i/>
          <w:iCs/>
          <w:color w:val="auto"/>
          <w:sz w:val="36"/>
          <w:szCs w:val="36"/>
        </w:rPr>
      </w:pPr>
      <w:r w:rsidRPr="008E3D32">
        <w:rPr>
          <w:rFonts w:ascii="Aptos Black" w:eastAsia="Calibri" w:hAnsi="Aptos Black" w:cs="Cavolini"/>
          <w:b/>
          <w:bCs/>
          <w:color w:val="auto"/>
          <w:sz w:val="36"/>
          <w:szCs w:val="36"/>
        </w:rPr>
        <w:t xml:space="preserve">Lecturer: </w:t>
      </w:r>
      <w:r w:rsidR="00865D33" w:rsidRPr="008E3D32">
        <w:rPr>
          <w:rFonts w:ascii="Aptos Black" w:eastAsia="Calibri" w:hAnsi="Aptos Black" w:cs="Cavolini"/>
          <w:b/>
          <w:bCs/>
          <w:color w:val="auto"/>
          <w:sz w:val="36"/>
          <w:szCs w:val="36"/>
        </w:rPr>
        <w:t>Philip Jones</w:t>
      </w:r>
    </w:p>
    <w:p w14:paraId="2BCA31AD" w14:textId="77777777" w:rsidR="00C33036" w:rsidRPr="008E3D32" w:rsidRDefault="00C33036" w:rsidP="00C33036">
      <w:pPr>
        <w:pStyle w:val="Heading1"/>
        <w:spacing w:before="322" w:after="322" w:line="360" w:lineRule="auto"/>
        <w:jc w:val="center"/>
        <w:rPr>
          <w:rFonts w:ascii="Aptos Black" w:eastAsia="Calibri" w:hAnsi="Aptos Black" w:cs="Cavolini"/>
          <w:b/>
          <w:bCs/>
          <w:color w:val="auto"/>
          <w:sz w:val="36"/>
          <w:szCs w:val="36"/>
        </w:rPr>
      </w:pPr>
      <w:r w:rsidRPr="008E3D32">
        <w:rPr>
          <w:rFonts w:ascii="Aptos Black" w:eastAsia="Calibri" w:hAnsi="Aptos Black" w:cs="Cavolini"/>
          <w:b/>
          <w:bCs/>
          <w:color w:val="auto"/>
          <w:sz w:val="36"/>
          <w:szCs w:val="36"/>
        </w:rPr>
        <w:t>Student: Naheed Ali/ 2311395</w:t>
      </w:r>
    </w:p>
    <w:p w14:paraId="06E091AB" w14:textId="339521C9" w:rsidR="00C33036" w:rsidRPr="0010735D" w:rsidRDefault="00C33036" w:rsidP="00C33036">
      <w:pPr>
        <w:pStyle w:val="Heading1"/>
        <w:spacing w:before="322" w:after="322" w:line="360" w:lineRule="auto"/>
        <w:jc w:val="center"/>
        <w:rPr>
          <w:rFonts w:eastAsia="Calibri" w:cs="Calibri"/>
          <w:b/>
          <w:bCs/>
          <w:color w:val="auto"/>
          <w:sz w:val="28"/>
          <w:szCs w:val="28"/>
        </w:rPr>
      </w:pPr>
      <w:r w:rsidRPr="0010735D">
        <w:rPr>
          <w:rFonts w:eastAsia="Calibri" w:cs="Calibri"/>
          <w:b/>
          <w:bCs/>
          <w:color w:val="auto"/>
          <w:sz w:val="28"/>
          <w:szCs w:val="28"/>
        </w:rPr>
        <w:t xml:space="preserve">Submission Date: </w:t>
      </w:r>
      <w:r w:rsidR="00F61CA8" w:rsidRPr="0010735D">
        <w:rPr>
          <w:rFonts w:eastAsia="Calibri" w:cs="Calibri"/>
          <w:b/>
          <w:bCs/>
          <w:color w:val="auto"/>
          <w:sz w:val="28"/>
          <w:szCs w:val="28"/>
        </w:rPr>
        <w:t>19</w:t>
      </w:r>
      <w:r w:rsidRPr="0010735D">
        <w:rPr>
          <w:rFonts w:eastAsia="Calibri" w:cs="Calibri"/>
          <w:b/>
          <w:bCs/>
          <w:color w:val="auto"/>
          <w:sz w:val="28"/>
          <w:szCs w:val="28"/>
        </w:rPr>
        <w:t>/07/202</w:t>
      </w:r>
      <w:r w:rsidR="00F61CA8" w:rsidRPr="0010735D">
        <w:rPr>
          <w:rFonts w:eastAsia="Calibri" w:cs="Calibri"/>
          <w:b/>
          <w:bCs/>
          <w:color w:val="auto"/>
          <w:sz w:val="28"/>
          <w:szCs w:val="28"/>
        </w:rPr>
        <w:t>6</w:t>
      </w:r>
    </w:p>
    <w:p w14:paraId="0096D6DB" w14:textId="2615D8B9" w:rsidR="00BA6316" w:rsidRDefault="00122EF6" w:rsidP="00947F2B">
      <w:pPr>
        <w:jc w:val="center"/>
      </w:pPr>
      <w:r>
        <w:rPr>
          <w:noProof/>
        </w:rPr>
        <w:drawing>
          <wp:inline distT="0" distB="0" distL="0" distR="0" wp14:anchorId="2F280893" wp14:editId="1FA09D92">
            <wp:extent cx="1636187" cy="661917"/>
            <wp:effectExtent l="0" t="0" r="2540" b="5080"/>
            <wp:docPr id="147202254" name="Picture 11" descr="Flowers Vine Stock Illustrations – 6,513 Flowers Vine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lowers Vine Stock Illustrations – 6,513 Flowers Vine Stock Illustrations,  Vectors &amp; Clipart - Dreamstim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9649" cy="679500"/>
                    </a:xfrm>
                    <a:prstGeom prst="rect">
                      <a:avLst/>
                    </a:prstGeom>
                    <a:noFill/>
                    <a:ln>
                      <a:noFill/>
                    </a:ln>
                  </pic:spPr>
                </pic:pic>
              </a:graphicData>
            </a:graphic>
          </wp:inline>
        </w:drawing>
      </w:r>
    </w:p>
    <w:p w14:paraId="3D3938DA" w14:textId="77777777" w:rsidR="001D0F9D" w:rsidRDefault="001D0F9D" w:rsidP="00947F2B">
      <w:pPr>
        <w:jc w:val="center"/>
      </w:pPr>
    </w:p>
    <w:p w14:paraId="10040CD5" w14:textId="77777777" w:rsidR="008E3D32" w:rsidRDefault="008E3D32" w:rsidP="00947F2B">
      <w:pPr>
        <w:jc w:val="center"/>
      </w:pPr>
    </w:p>
    <w:p w14:paraId="302CAB38" w14:textId="694FEF79" w:rsidR="002127BD" w:rsidRPr="002127BD" w:rsidRDefault="002127BD" w:rsidP="00947F2B">
      <w:pPr>
        <w:jc w:val="center"/>
        <w:rPr>
          <w:rFonts w:ascii="Georgia Pro Cond" w:eastAsia="STCaiyun" w:hAnsi="Georgia Pro Cond" w:cs="Traditional Arabic"/>
          <w:i/>
          <w:iCs/>
          <w:sz w:val="32"/>
          <w:szCs w:val="32"/>
        </w:rPr>
      </w:pPr>
      <w:r w:rsidRPr="002127BD">
        <w:rPr>
          <w:rFonts w:ascii="Georgia Pro Cond" w:eastAsia="STCaiyun" w:hAnsi="Georgia Pro Cond" w:cs="Traditional Arabic"/>
          <w:i/>
          <w:iCs/>
          <w:sz w:val="32"/>
          <w:szCs w:val="32"/>
        </w:rPr>
        <w:lastRenderedPageBreak/>
        <w:t>(Sustainable Development Health)</w:t>
      </w:r>
    </w:p>
    <w:p w14:paraId="61B7882B" w14:textId="18FA9200" w:rsidR="001D0F9D" w:rsidRPr="00757877" w:rsidRDefault="00A50BDA" w:rsidP="00757877">
      <w:pPr>
        <w:jc w:val="center"/>
        <w:rPr>
          <w:rFonts w:ascii="Georgia Pro Cond" w:eastAsia="STCaiyun" w:hAnsi="Georgia Pro Cond" w:cs="Traditional Arabic"/>
          <w:b/>
          <w:bCs/>
          <w:i/>
          <w:iCs/>
          <w:sz w:val="40"/>
          <w:szCs w:val="40"/>
        </w:rPr>
      </w:pPr>
      <w:r w:rsidRPr="004F1EC9">
        <w:rPr>
          <w:rFonts w:ascii="Georgia Pro Cond" w:eastAsia="STCaiyun" w:hAnsi="Georgia Pro Cond" w:cs="Traditional Arabic"/>
          <w:b/>
          <w:bCs/>
          <w:i/>
          <w:iCs/>
          <w:sz w:val="40"/>
          <w:szCs w:val="40"/>
        </w:rPr>
        <w:t>Evaluating the Impact of SDG3 and SDG13(Climate Change) on Health, Wellbeing and Sustainability</w:t>
      </w:r>
    </w:p>
    <w:p w14:paraId="028D3BF6" w14:textId="46AB0ECA" w:rsidR="001D0F9D" w:rsidRPr="001D0F9D" w:rsidRDefault="002127BD" w:rsidP="001D0F9D">
      <w:r>
        <w:rPr>
          <w:noProof/>
        </w:rPr>
        <mc:AlternateContent>
          <mc:Choice Requires="wps">
            <w:drawing>
              <wp:inline distT="0" distB="0" distL="0" distR="0" wp14:anchorId="412C56EB" wp14:editId="7E3D54F1">
                <wp:extent cx="302260" cy="302260"/>
                <wp:effectExtent l="0" t="0" r="0" b="0"/>
                <wp:docPr id="859971866" name="Rectangle 1" descr="Generated image: Evaluating SDG 3 and 13 impac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6A910E" id="Rectangle 1" o:spid="_x0000_s1026" alt="Generated image: Evaluating SDG 3 and 13 impact"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2127BD">
        <w:t xml:space="preserve"> </w:t>
      </w:r>
      <w:r>
        <w:rPr>
          <w:noProof/>
        </w:rPr>
        <w:drawing>
          <wp:inline distT="0" distB="0" distL="0" distR="0" wp14:anchorId="4C329812" wp14:editId="32C257CB">
            <wp:extent cx="5988685" cy="3943066"/>
            <wp:effectExtent l="133350" t="76200" r="88265" b="133985"/>
            <wp:docPr id="7952418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29623" cy="403586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iblet"/>
                      <a:contourClr>
                        <a:srgbClr val="969696"/>
                      </a:contourClr>
                    </a:sp3d>
                  </pic:spPr>
                </pic:pic>
              </a:graphicData>
            </a:graphic>
          </wp:inline>
        </w:drawing>
      </w:r>
    </w:p>
    <w:p w14:paraId="20C7813E" w14:textId="77777777" w:rsidR="001D0F9D" w:rsidRPr="002127BD" w:rsidRDefault="001D0F9D" w:rsidP="001D0F9D">
      <w:pPr>
        <w:rPr>
          <w14:textFill>
            <w14:gradFill>
              <w14:gsLst>
                <w14:gs w14:pos="0">
                  <w14:schemeClr w14:val="accent1">
                    <w14:alpha w14:val="2000"/>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p w14:paraId="7D544D03" w14:textId="77777777" w:rsidR="001D0F9D" w:rsidRPr="001D0F9D" w:rsidRDefault="001D0F9D" w:rsidP="001D0F9D"/>
    <w:p w14:paraId="03222180" w14:textId="77777777" w:rsidR="001D0F9D" w:rsidRPr="001D0F9D" w:rsidRDefault="001D0F9D" w:rsidP="001D0F9D"/>
    <w:p w14:paraId="7255E41A" w14:textId="77777777" w:rsidR="001D0F9D" w:rsidRPr="001D0F9D" w:rsidRDefault="001D0F9D" w:rsidP="001D0F9D"/>
    <w:p w14:paraId="4DDCA455" w14:textId="77777777" w:rsidR="0014078F" w:rsidRPr="0014078F" w:rsidRDefault="0014078F" w:rsidP="0014078F"/>
    <w:p w14:paraId="24C0F166" w14:textId="35161CFA" w:rsidR="00947F2B" w:rsidRDefault="00947F2B" w:rsidP="00A50BDA">
      <w:pPr>
        <w:pStyle w:val="Heading2"/>
        <w:spacing w:line="360" w:lineRule="auto"/>
        <w:jc w:val="center"/>
        <w:rPr>
          <w:rFonts w:ascii="Arial" w:eastAsia="Arial Nova" w:hAnsi="Arial" w:cs="Arial"/>
          <w:b/>
          <w:bCs/>
          <w:color w:val="auto"/>
          <w:sz w:val="44"/>
          <w:szCs w:val="44"/>
          <w:u w:val="single"/>
        </w:rPr>
      </w:pPr>
      <w:r w:rsidRPr="00A50BDA">
        <w:rPr>
          <w:rFonts w:ascii="Arial" w:eastAsia="Arial Nova" w:hAnsi="Arial" w:cs="Arial"/>
          <w:b/>
          <w:bCs/>
          <w:color w:val="auto"/>
          <w:sz w:val="44"/>
          <w:szCs w:val="44"/>
          <w:u w:val="single"/>
        </w:rPr>
        <w:lastRenderedPageBreak/>
        <w:t>Table of Contents</w:t>
      </w:r>
    </w:p>
    <w:p w14:paraId="4E7B4D28" w14:textId="77777777" w:rsidR="00A50BDA" w:rsidRPr="00A50BDA" w:rsidRDefault="00A50BDA" w:rsidP="00A50BDA"/>
    <w:p w14:paraId="503F4F5F" w14:textId="08356633" w:rsidR="00DA38AE" w:rsidRPr="00A50BDA" w:rsidRDefault="0014078F" w:rsidP="00A50BDA">
      <w:pPr>
        <w:spacing w:line="360" w:lineRule="auto"/>
        <w:jc w:val="both"/>
        <w:rPr>
          <w:rFonts w:ascii="Arial" w:hAnsi="Arial" w:cs="Arial"/>
        </w:rPr>
      </w:pPr>
      <w:r w:rsidRPr="00A50BDA">
        <w:rPr>
          <w:rFonts w:ascii="Arial" w:hAnsi="Arial" w:cs="Arial"/>
          <w:b/>
          <w:bCs/>
        </w:rPr>
        <w:t>Introduction</w:t>
      </w:r>
      <w:r w:rsidRPr="00A50BDA">
        <w:rPr>
          <w:rFonts w:ascii="Arial" w:hAnsi="Arial" w:cs="Arial"/>
        </w:rPr>
        <w:t>----------</w:t>
      </w:r>
      <w:r w:rsidR="001D0F9D" w:rsidRPr="00A50BDA">
        <w:rPr>
          <w:rFonts w:ascii="Arial" w:hAnsi="Arial" w:cs="Arial"/>
        </w:rPr>
        <w:t>---------</w:t>
      </w:r>
      <w:r w:rsidR="00DA38AE" w:rsidRPr="00A50BDA">
        <w:rPr>
          <w:rFonts w:ascii="Arial" w:hAnsi="Arial" w:cs="Arial"/>
        </w:rPr>
        <w:t>--------------------------------------------------------------</w:t>
      </w:r>
      <w:r w:rsidRPr="00A50BDA">
        <w:rPr>
          <w:rFonts w:ascii="Arial" w:hAnsi="Arial" w:cs="Arial"/>
        </w:rPr>
        <w:t>--------</w:t>
      </w:r>
      <w:r w:rsidR="00DA38AE" w:rsidRPr="00A50BDA">
        <w:rPr>
          <w:rFonts w:ascii="Arial" w:hAnsi="Arial" w:cs="Arial"/>
        </w:rPr>
        <w:t>-------04</w:t>
      </w:r>
    </w:p>
    <w:p w14:paraId="3DE1A412" w14:textId="4C0D1189" w:rsidR="008042F9" w:rsidRPr="00A50BDA" w:rsidRDefault="008042F9" w:rsidP="00A50BDA">
      <w:pPr>
        <w:spacing w:before="240" w:after="240" w:line="360" w:lineRule="auto"/>
        <w:jc w:val="both"/>
        <w:rPr>
          <w:rFonts w:ascii="Arial" w:eastAsia="Arial Nova" w:hAnsi="Arial" w:cs="Arial"/>
        </w:rPr>
      </w:pPr>
      <w:r w:rsidRPr="00A50BDA">
        <w:rPr>
          <w:rFonts w:ascii="Arial" w:eastAsia="Arial Nova" w:hAnsi="Arial" w:cs="Arial"/>
          <w:b/>
          <w:bCs/>
        </w:rPr>
        <w:t>Section 1: SDG 3 – Good Health and Wellbeing</w:t>
      </w:r>
      <w:r w:rsidR="0014078F" w:rsidRPr="00A50BDA">
        <w:rPr>
          <w:rFonts w:ascii="Arial" w:eastAsia="Arial Nova" w:hAnsi="Arial" w:cs="Arial"/>
        </w:rPr>
        <w:t>------------------------------------------------04</w:t>
      </w:r>
    </w:p>
    <w:p w14:paraId="14601D75" w14:textId="1B5EB351" w:rsidR="008042F9" w:rsidRPr="00A50BDA" w:rsidRDefault="008042F9"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Overview of SDG 3</w:t>
      </w:r>
      <w:r w:rsidR="0014078F" w:rsidRPr="00A50BDA">
        <w:rPr>
          <w:rFonts w:ascii="Arial" w:eastAsia="Arial Nova" w:hAnsi="Arial" w:cs="Arial"/>
          <w:color w:val="auto"/>
          <w:sz w:val="22"/>
          <w:szCs w:val="22"/>
        </w:rPr>
        <w:t>----------------------------------------------------------------------------</w:t>
      </w:r>
      <w:r w:rsidR="00A50BDA">
        <w:rPr>
          <w:rFonts w:ascii="Arial" w:eastAsia="Arial Nova" w:hAnsi="Arial" w:cs="Arial"/>
          <w:color w:val="auto"/>
          <w:sz w:val="22"/>
          <w:szCs w:val="22"/>
        </w:rPr>
        <w:t>-----------</w:t>
      </w:r>
      <w:r w:rsidR="0014078F" w:rsidRPr="00A50BDA">
        <w:rPr>
          <w:rFonts w:ascii="Arial" w:eastAsia="Arial Nova" w:hAnsi="Arial" w:cs="Arial"/>
          <w:color w:val="auto"/>
          <w:sz w:val="22"/>
          <w:szCs w:val="22"/>
        </w:rPr>
        <w:t>------------04</w:t>
      </w:r>
    </w:p>
    <w:p w14:paraId="0043DEE1" w14:textId="28312D89"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Global Policies and Initiatives-------------------------------------------------------------------</w:t>
      </w:r>
      <w:r w:rsidR="00A50BDA">
        <w:rPr>
          <w:rFonts w:ascii="Arial" w:eastAsia="Arial Nova" w:hAnsi="Arial" w:cs="Arial"/>
          <w:color w:val="auto"/>
          <w:sz w:val="22"/>
          <w:szCs w:val="22"/>
        </w:rPr>
        <w:t>----------</w:t>
      </w:r>
      <w:r w:rsidRPr="00A50BDA">
        <w:rPr>
          <w:rFonts w:ascii="Arial" w:eastAsia="Arial Nova" w:hAnsi="Arial" w:cs="Arial"/>
          <w:color w:val="auto"/>
          <w:sz w:val="22"/>
          <w:szCs w:val="22"/>
        </w:rPr>
        <w:t>--------05</w:t>
      </w:r>
    </w:p>
    <w:p w14:paraId="4E164CB3" w14:textId="6C2243BB"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National Policies and Initiatives in the United Kingdom--------------------------------</w:t>
      </w:r>
      <w:r w:rsidR="00A50BDA">
        <w:rPr>
          <w:rFonts w:ascii="Arial" w:eastAsia="Arial Nova" w:hAnsi="Arial" w:cs="Arial"/>
          <w:color w:val="auto"/>
          <w:sz w:val="22"/>
          <w:szCs w:val="22"/>
        </w:rPr>
        <w:t>----------</w:t>
      </w:r>
      <w:r w:rsidRPr="00A50BDA">
        <w:rPr>
          <w:rFonts w:ascii="Arial" w:eastAsia="Arial Nova" w:hAnsi="Arial" w:cs="Arial"/>
          <w:color w:val="auto"/>
          <w:sz w:val="22"/>
          <w:szCs w:val="22"/>
        </w:rPr>
        <w:t>-----------0</w:t>
      </w:r>
      <w:r w:rsidR="004C0B7E">
        <w:rPr>
          <w:rFonts w:ascii="Arial" w:eastAsia="Arial Nova" w:hAnsi="Arial" w:cs="Arial"/>
          <w:color w:val="auto"/>
          <w:sz w:val="22"/>
          <w:szCs w:val="22"/>
        </w:rPr>
        <w:t>5</w:t>
      </w:r>
    </w:p>
    <w:p w14:paraId="7C9C4D87" w14:textId="1A85B3F4"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Local Policies and Initiatives---------------------------------------------------------------------</w:t>
      </w:r>
      <w:r w:rsidR="00A50BDA">
        <w:rPr>
          <w:rFonts w:ascii="Arial" w:eastAsia="Arial Nova" w:hAnsi="Arial" w:cs="Arial"/>
          <w:color w:val="auto"/>
          <w:sz w:val="22"/>
          <w:szCs w:val="22"/>
        </w:rPr>
        <w:t>-----------</w:t>
      </w:r>
      <w:r w:rsidRPr="00A50BDA">
        <w:rPr>
          <w:rFonts w:ascii="Arial" w:eastAsia="Arial Nova" w:hAnsi="Arial" w:cs="Arial"/>
          <w:color w:val="auto"/>
          <w:sz w:val="22"/>
          <w:szCs w:val="22"/>
        </w:rPr>
        <w:t>-------06</w:t>
      </w:r>
    </w:p>
    <w:p w14:paraId="202BCD86" w14:textId="74A47C96" w:rsidR="0014078F" w:rsidRPr="00A50BDA" w:rsidRDefault="0014078F" w:rsidP="00A50BDA">
      <w:pPr>
        <w:pStyle w:val="Heading2"/>
        <w:spacing w:before="299" w:after="299" w:line="360" w:lineRule="auto"/>
        <w:jc w:val="both"/>
        <w:rPr>
          <w:rFonts w:ascii="Arial" w:eastAsia="Arial Nova" w:hAnsi="Arial" w:cs="Arial"/>
          <w:color w:val="auto"/>
          <w:sz w:val="24"/>
          <w:szCs w:val="24"/>
        </w:rPr>
      </w:pPr>
      <w:r w:rsidRPr="00A50BDA">
        <w:rPr>
          <w:rFonts w:ascii="Arial" w:eastAsia="Arial Nova" w:hAnsi="Arial" w:cs="Arial"/>
          <w:color w:val="auto"/>
          <w:sz w:val="22"/>
          <w:szCs w:val="22"/>
        </w:rPr>
        <w:t>Recommendations for SDG 3</w:t>
      </w:r>
      <w:r w:rsidRPr="00A50BDA">
        <w:rPr>
          <w:rFonts w:ascii="Arial" w:eastAsia="Arial Nova" w:hAnsi="Arial" w:cs="Arial"/>
          <w:color w:val="auto"/>
          <w:sz w:val="24"/>
          <w:szCs w:val="24"/>
        </w:rPr>
        <w:t>----------------------------------------------------------------</w:t>
      </w:r>
      <w:r w:rsidR="00A50BDA">
        <w:rPr>
          <w:rFonts w:ascii="Arial" w:eastAsia="Arial Nova" w:hAnsi="Arial" w:cs="Arial"/>
          <w:color w:val="auto"/>
          <w:sz w:val="24"/>
          <w:szCs w:val="24"/>
        </w:rPr>
        <w:t>---</w:t>
      </w:r>
      <w:r w:rsidRPr="00A50BDA">
        <w:rPr>
          <w:rFonts w:ascii="Arial" w:eastAsia="Arial Nova" w:hAnsi="Arial" w:cs="Arial"/>
          <w:color w:val="auto"/>
          <w:sz w:val="24"/>
          <w:szCs w:val="24"/>
        </w:rPr>
        <w:t>-----------07</w:t>
      </w:r>
    </w:p>
    <w:p w14:paraId="3285E871" w14:textId="7592F626" w:rsidR="0014078F" w:rsidRPr="00A50BDA" w:rsidRDefault="0014078F" w:rsidP="00A50BDA">
      <w:pPr>
        <w:pStyle w:val="Heading1"/>
        <w:spacing w:before="322" w:after="322" w:line="360" w:lineRule="auto"/>
        <w:jc w:val="both"/>
        <w:rPr>
          <w:rFonts w:ascii="Arial" w:eastAsia="Arial Nova" w:hAnsi="Arial" w:cs="Arial"/>
          <w:color w:val="auto"/>
          <w:sz w:val="24"/>
          <w:szCs w:val="24"/>
        </w:rPr>
      </w:pPr>
      <w:r w:rsidRPr="00A50BDA">
        <w:rPr>
          <w:rFonts w:ascii="Arial" w:eastAsia="Arial Nova" w:hAnsi="Arial" w:cs="Arial"/>
          <w:b/>
          <w:bCs/>
          <w:color w:val="auto"/>
          <w:sz w:val="24"/>
          <w:szCs w:val="24"/>
        </w:rPr>
        <w:t>Section 2: SDG 13 – Climate Action</w:t>
      </w:r>
      <w:r w:rsidRPr="00A50BDA">
        <w:rPr>
          <w:rFonts w:ascii="Arial" w:eastAsia="Arial Nova" w:hAnsi="Arial" w:cs="Arial"/>
          <w:color w:val="auto"/>
          <w:sz w:val="24"/>
          <w:szCs w:val="24"/>
        </w:rPr>
        <w:t>----------------------------------------------------------------0</w:t>
      </w:r>
      <w:r w:rsidR="007B0451">
        <w:rPr>
          <w:rFonts w:ascii="Arial" w:eastAsia="Arial Nova" w:hAnsi="Arial" w:cs="Arial"/>
          <w:color w:val="auto"/>
          <w:sz w:val="24"/>
          <w:szCs w:val="24"/>
        </w:rPr>
        <w:t>7</w:t>
      </w:r>
    </w:p>
    <w:p w14:paraId="4E382081" w14:textId="6DBA4688"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Overview of SDG 13---------------------------------------------------------------------------</w:t>
      </w:r>
      <w:r w:rsidR="00A50BDA">
        <w:rPr>
          <w:rFonts w:ascii="Arial" w:eastAsia="Arial Nova" w:hAnsi="Arial" w:cs="Arial"/>
          <w:color w:val="auto"/>
          <w:sz w:val="22"/>
          <w:szCs w:val="22"/>
        </w:rPr>
        <w:t>----------</w:t>
      </w:r>
      <w:r w:rsidRPr="00A50BDA">
        <w:rPr>
          <w:rFonts w:ascii="Arial" w:eastAsia="Arial Nova" w:hAnsi="Arial" w:cs="Arial"/>
          <w:color w:val="auto"/>
          <w:sz w:val="22"/>
          <w:szCs w:val="22"/>
        </w:rPr>
        <w:t>------------08</w:t>
      </w:r>
    </w:p>
    <w:p w14:paraId="246A3481" w14:textId="16415D58"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Global Climate Policies and Initiatives------------------------------------------------------</w:t>
      </w:r>
      <w:r w:rsidR="00A50BDA">
        <w:rPr>
          <w:rFonts w:ascii="Arial" w:eastAsia="Arial Nova" w:hAnsi="Arial" w:cs="Arial"/>
          <w:color w:val="auto"/>
          <w:sz w:val="22"/>
          <w:szCs w:val="22"/>
        </w:rPr>
        <w:t>-----------</w:t>
      </w:r>
      <w:r w:rsidRPr="00A50BDA">
        <w:rPr>
          <w:rFonts w:ascii="Arial" w:eastAsia="Arial Nova" w:hAnsi="Arial" w:cs="Arial"/>
          <w:color w:val="auto"/>
          <w:sz w:val="22"/>
          <w:szCs w:val="22"/>
        </w:rPr>
        <w:t>----------08</w:t>
      </w:r>
    </w:p>
    <w:p w14:paraId="46926E08" w14:textId="0F1187D3"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National Policies and Initiatives in the United Kingdom--------------------------------</w:t>
      </w:r>
      <w:r w:rsidR="00A50BDA">
        <w:rPr>
          <w:rFonts w:ascii="Arial" w:eastAsia="Arial Nova" w:hAnsi="Arial" w:cs="Arial"/>
          <w:color w:val="auto"/>
          <w:sz w:val="22"/>
          <w:szCs w:val="22"/>
        </w:rPr>
        <w:t>----------</w:t>
      </w:r>
      <w:r w:rsidRPr="00A50BDA">
        <w:rPr>
          <w:rFonts w:ascii="Arial" w:eastAsia="Arial Nova" w:hAnsi="Arial" w:cs="Arial"/>
          <w:color w:val="auto"/>
          <w:sz w:val="22"/>
          <w:szCs w:val="22"/>
        </w:rPr>
        <w:t>-----------0</w:t>
      </w:r>
      <w:r w:rsidR="007B0451">
        <w:rPr>
          <w:rFonts w:ascii="Arial" w:eastAsia="Arial Nova" w:hAnsi="Arial" w:cs="Arial"/>
          <w:color w:val="auto"/>
          <w:sz w:val="22"/>
          <w:szCs w:val="22"/>
        </w:rPr>
        <w:t>8</w:t>
      </w:r>
    </w:p>
    <w:p w14:paraId="071DDE5F" w14:textId="36352EDB" w:rsidR="0014078F" w:rsidRPr="00A50BDA" w:rsidRDefault="0014078F" w:rsidP="00A50BDA">
      <w:pPr>
        <w:pStyle w:val="Heading2"/>
        <w:spacing w:before="299" w:after="299" w:line="360" w:lineRule="auto"/>
        <w:jc w:val="both"/>
        <w:rPr>
          <w:rFonts w:ascii="Arial" w:eastAsia="Arial Nova" w:hAnsi="Arial" w:cs="Arial"/>
          <w:color w:val="auto"/>
          <w:sz w:val="22"/>
          <w:szCs w:val="22"/>
        </w:rPr>
      </w:pPr>
      <w:r w:rsidRPr="00A50BDA">
        <w:rPr>
          <w:rFonts w:ascii="Arial" w:eastAsia="Arial Nova" w:hAnsi="Arial" w:cs="Arial"/>
          <w:color w:val="auto"/>
          <w:sz w:val="22"/>
          <w:szCs w:val="22"/>
        </w:rPr>
        <w:t>Local Climate and Sustainability Initiatives-----------------------------------------------</w:t>
      </w:r>
      <w:r w:rsidR="00A50BDA">
        <w:rPr>
          <w:rFonts w:ascii="Arial" w:eastAsia="Arial Nova" w:hAnsi="Arial" w:cs="Arial"/>
          <w:color w:val="auto"/>
          <w:sz w:val="22"/>
          <w:szCs w:val="22"/>
        </w:rPr>
        <w:t>-----------</w:t>
      </w:r>
      <w:r w:rsidRPr="00A50BDA">
        <w:rPr>
          <w:rFonts w:ascii="Arial" w:eastAsia="Arial Nova" w:hAnsi="Arial" w:cs="Arial"/>
          <w:color w:val="auto"/>
          <w:sz w:val="22"/>
          <w:szCs w:val="22"/>
        </w:rPr>
        <w:t>-----------09</w:t>
      </w:r>
    </w:p>
    <w:p w14:paraId="36348BD4" w14:textId="08F5936D" w:rsidR="0014078F" w:rsidRPr="00A50BDA" w:rsidRDefault="0014078F" w:rsidP="00A50BDA">
      <w:pPr>
        <w:pStyle w:val="Heading2"/>
        <w:spacing w:before="299" w:after="299" w:line="360" w:lineRule="auto"/>
        <w:jc w:val="both"/>
        <w:rPr>
          <w:rFonts w:ascii="Arial" w:eastAsia="Arial Nova" w:hAnsi="Arial" w:cs="Arial"/>
          <w:color w:val="auto"/>
          <w:sz w:val="24"/>
          <w:szCs w:val="24"/>
        </w:rPr>
      </w:pPr>
      <w:r w:rsidRPr="00A50BDA">
        <w:rPr>
          <w:rFonts w:ascii="Arial" w:eastAsia="Arial Nova" w:hAnsi="Arial" w:cs="Arial"/>
          <w:b/>
          <w:bCs/>
          <w:color w:val="auto"/>
          <w:sz w:val="24"/>
          <w:szCs w:val="24"/>
        </w:rPr>
        <w:t xml:space="preserve">Recommendations for SDG </w:t>
      </w:r>
      <w:r w:rsidR="007B0451" w:rsidRPr="00A50BDA">
        <w:rPr>
          <w:rFonts w:ascii="Arial" w:eastAsia="Arial Nova" w:hAnsi="Arial" w:cs="Arial"/>
          <w:b/>
          <w:bCs/>
          <w:color w:val="auto"/>
          <w:sz w:val="24"/>
          <w:szCs w:val="24"/>
        </w:rPr>
        <w:t>13</w:t>
      </w:r>
      <w:r w:rsidR="007B0451" w:rsidRPr="00A50BDA">
        <w:rPr>
          <w:rFonts w:ascii="Arial" w:eastAsia="Arial Nova" w:hAnsi="Arial" w:cs="Arial"/>
          <w:color w:val="auto"/>
          <w:sz w:val="24"/>
          <w:szCs w:val="24"/>
        </w:rPr>
        <w:t>----------</w:t>
      </w:r>
      <w:r w:rsidRPr="00A50BDA">
        <w:rPr>
          <w:rFonts w:ascii="Arial" w:eastAsia="Arial Nova" w:hAnsi="Arial" w:cs="Arial"/>
          <w:color w:val="auto"/>
          <w:sz w:val="24"/>
          <w:szCs w:val="24"/>
        </w:rPr>
        <w:t>-------------------------------------------------------------</w:t>
      </w:r>
      <w:r w:rsidR="007B0451">
        <w:rPr>
          <w:rFonts w:ascii="Arial" w:eastAsia="Arial Nova" w:hAnsi="Arial" w:cs="Arial"/>
          <w:color w:val="auto"/>
          <w:sz w:val="24"/>
          <w:szCs w:val="24"/>
        </w:rPr>
        <w:t>09</w:t>
      </w:r>
    </w:p>
    <w:p w14:paraId="75EF57BB" w14:textId="64DE0C64" w:rsidR="0014078F" w:rsidRPr="00A50BDA" w:rsidRDefault="0014078F" w:rsidP="00A50BDA">
      <w:pPr>
        <w:spacing w:line="360" w:lineRule="auto"/>
        <w:jc w:val="both"/>
        <w:rPr>
          <w:rFonts w:ascii="Arial" w:hAnsi="Arial" w:cs="Arial"/>
        </w:rPr>
      </w:pPr>
      <w:r w:rsidRPr="00A50BDA">
        <w:rPr>
          <w:rFonts w:ascii="Arial" w:hAnsi="Arial" w:cs="Arial"/>
          <w:b/>
          <w:bCs/>
        </w:rPr>
        <w:t>Conclusion</w:t>
      </w:r>
      <w:r w:rsidRPr="00A50BDA">
        <w:rPr>
          <w:rFonts w:ascii="Arial" w:hAnsi="Arial" w:cs="Arial"/>
        </w:rPr>
        <w:t>-------------------------------------------------------------------</w:t>
      </w:r>
      <w:r w:rsidR="00A50BDA">
        <w:rPr>
          <w:rFonts w:ascii="Arial" w:hAnsi="Arial" w:cs="Arial"/>
        </w:rPr>
        <w:t>----------------</w:t>
      </w:r>
      <w:r w:rsidRPr="00A50BDA">
        <w:rPr>
          <w:rFonts w:ascii="Arial" w:hAnsi="Arial" w:cs="Arial"/>
        </w:rPr>
        <w:t>--------------10</w:t>
      </w:r>
    </w:p>
    <w:p w14:paraId="4AE803FF" w14:textId="21390EB2" w:rsidR="0014078F" w:rsidRPr="00A50BDA" w:rsidRDefault="0014078F" w:rsidP="00A50BDA">
      <w:pPr>
        <w:spacing w:line="360" w:lineRule="auto"/>
        <w:jc w:val="both"/>
        <w:rPr>
          <w:rFonts w:ascii="Arial" w:hAnsi="Arial" w:cs="Arial"/>
        </w:rPr>
      </w:pPr>
      <w:r w:rsidRPr="00A50BDA">
        <w:rPr>
          <w:rFonts w:ascii="Arial" w:hAnsi="Arial" w:cs="Arial"/>
          <w:b/>
          <w:bCs/>
        </w:rPr>
        <w:t>References</w:t>
      </w:r>
      <w:r w:rsidRPr="00A50BDA">
        <w:rPr>
          <w:rFonts w:ascii="Arial" w:hAnsi="Arial" w:cs="Arial"/>
        </w:rPr>
        <w:t>----------------------------------------------------------</w:t>
      </w:r>
      <w:r w:rsidR="00A50BDA">
        <w:rPr>
          <w:rFonts w:ascii="Arial" w:hAnsi="Arial" w:cs="Arial"/>
        </w:rPr>
        <w:t>---------------</w:t>
      </w:r>
      <w:r w:rsidRPr="00A50BDA">
        <w:rPr>
          <w:rFonts w:ascii="Arial" w:hAnsi="Arial" w:cs="Arial"/>
        </w:rPr>
        <w:t>------------------------1</w:t>
      </w:r>
      <w:r w:rsidR="007B0451">
        <w:rPr>
          <w:rFonts w:ascii="Arial" w:hAnsi="Arial" w:cs="Arial"/>
        </w:rPr>
        <w:t>1</w:t>
      </w:r>
    </w:p>
    <w:p w14:paraId="6D3F733B" w14:textId="77777777" w:rsidR="0014078F" w:rsidRPr="0014078F" w:rsidRDefault="0014078F" w:rsidP="0014078F"/>
    <w:p w14:paraId="33E584A1" w14:textId="77777777" w:rsidR="0014078F" w:rsidRPr="0014078F" w:rsidRDefault="0014078F" w:rsidP="0014078F"/>
    <w:p w14:paraId="25139A09" w14:textId="39C9822F" w:rsidR="001D0F9D" w:rsidRDefault="001D0F9D" w:rsidP="001D0F9D">
      <w:pPr>
        <w:pStyle w:val="Heading2"/>
        <w:spacing w:line="360" w:lineRule="auto"/>
        <w:jc w:val="both"/>
        <w:rPr>
          <w:rFonts w:ascii="Arial" w:eastAsia="Arial Nova" w:hAnsi="Arial" w:cs="Arial"/>
          <w:b/>
          <w:bCs/>
          <w:color w:val="auto"/>
        </w:rPr>
      </w:pPr>
      <w:r w:rsidRPr="00493306">
        <w:rPr>
          <w:rFonts w:ascii="Arial" w:eastAsia="Arial Nova" w:hAnsi="Arial" w:cs="Arial"/>
          <w:b/>
          <w:bCs/>
          <w:color w:val="auto"/>
        </w:rPr>
        <w:lastRenderedPageBreak/>
        <w:t>Introductio</w:t>
      </w:r>
      <w:r>
        <w:rPr>
          <w:rFonts w:ascii="Arial" w:eastAsia="Arial Nova" w:hAnsi="Arial" w:cs="Arial"/>
          <w:b/>
          <w:bCs/>
          <w:color w:val="auto"/>
        </w:rPr>
        <w:t>n</w:t>
      </w:r>
    </w:p>
    <w:p w14:paraId="1E6394D1"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Sustainable development has become a global priority due to health inequalities, environmental degradation and widening socioeconomic disparities. The United Nations 2030 Agenda established 17 Sustainable Development Goals (SDGs) to address these linked challenges (United Nations, 2015). However, progress remains uneven because governance, resources and healthcare capacity vary across countries. SDG 3 (Good Health and Wellbeing) seeks to ensure healthy lives and promote wellbeing for all, while SDG 13 (Climate Action) addresses climate change’s growing impact on health and sustainable development (World Health Organization, 2023b). Climate change is one of the greatest threats to public health because it increases morbidity, mortality and inequalities, especially among vulnerable populations (Intergovernmental Panel on Climate Change, 2022).</w:t>
      </w:r>
    </w:p>
    <w:p w14:paraId="4DD6F9D4" w14:textId="77777777" w:rsidR="00B02E22" w:rsidRPr="00B02E22" w:rsidRDefault="00B02E22" w:rsidP="00B02E22">
      <w:pPr>
        <w:spacing w:before="240" w:after="240" w:line="360" w:lineRule="auto"/>
        <w:jc w:val="both"/>
        <w:rPr>
          <w:rFonts w:ascii="Arial" w:eastAsia="Arial Nova" w:hAnsi="Arial" w:cs="Arial"/>
          <w:sz w:val="22"/>
          <w:szCs w:val="22"/>
          <w:lang w:val="en-GB"/>
        </w:rPr>
      </w:pPr>
      <w:r w:rsidRPr="00B02E22">
        <w:rPr>
          <w:rFonts w:ascii="Arial" w:eastAsia="Arial Nova" w:hAnsi="Arial" w:cs="Arial"/>
          <w:sz w:val="22"/>
          <w:szCs w:val="22"/>
          <w:lang w:val="en-GB"/>
        </w:rPr>
        <w:t>This report critically evaluates the impact of SDG 3 and SDG 13 on health, wellbeing and sustainability at global, national and local levels. It examines the effectiveness, accessibility, sustainability and challenges of current policies and initiatives while applying the Social Determinants of Health framework, the Health Belief Model and Social Cognitive Theory to explain how health promotion strategies influence behaviour and wellbeing. Finally, evidence-based recommendations are presented to improve health outcomes, reduce inequalities and strengthen sustainable development (World Health Organization, 2023a).</w:t>
      </w:r>
    </w:p>
    <w:p w14:paraId="0B1F04FC" w14:textId="408D389E" w:rsidR="00B02E22" w:rsidRPr="00B02E22" w:rsidRDefault="00B02E22" w:rsidP="001D0F9D">
      <w:pPr>
        <w:spacing w:before="240" w:after="240" w:line="360" w:lineRule="auto"/>
        <w:jc w:val="both"/>
        <w:rPr>
          <w:rFonts w:ascii="Arial" w:eastAsia="Arial Nova" w:hAnsi="Arial" w:cs="Arial"/>
          <w:b/>
          <w:bCs/>
          <w:sz w:val="32"/>
          <w:szCs w:val="32"/>
        </w:rPr>
      </w:pPr>
      <w:r w:rsidRPr="008042F9">
        <w:rPr>
          <w:rFonts w:ascii="Arial" w:eastAsia="Arial Nova" w:hAnsi="Arial" w:cs="Arial"/>
          <w:b/>
          <w:bCs/>
          <w:sz w:val="32"/>
          <w:szCs w:val="32"/>
        </w:rPr>
        <w:t>Section 1: SDG 3 – Good Health and Wellbeing</w:t>
      </w:r>
    </w:p>
    <w:p w14:paraId="4F870872" w14:textId="326EA9CC" w:rsidR="00F37AFE" w:rsidRPr="008042F9" w:rsidRDefault="010F4D6C" w:rsidP="001D0F9D">
      <w:pPr>
        <w:pStyle w:val="Heading2"/>
        <w:spacing w:before="299" w:after="299" w:line="360" w:lineRule="auto"/>
        <w:jc w:val="both"/>
        <w:rPr>
          <w:rFonts w:ascii="Arial" w:eastAsia="Arial Nova" w:hAnsi="Arial" w:cs="Arial"/>
          <w:b/>
          <w:bCs/>
          <w:color w:val="auto"/>
          <w:sz w:val="28"/>
          <w:szCs w:val="28"/>
        </w:rPr>
      </w:pPr>
      <w:r w:rsidRPr="008042F9">
        <w:rPr>
          <w:rFonts w:ascii="Arial" w:eastAsia="Arial Nova" w:hAnsi="Arial" w:cs="Arial"/>
          <w:b/>
          <w:bCs/>
          <w:color w:val="auto"/>
          <w:sz w:val="28"/>
          <w:szCs w:val="28"/>
        </w:rPr>
        <w:t>Overview of SDG 3</w:t>
      </w:r>
    </w:p>
    <w:p w14:paraId="04E52A1E"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SDG 3 aims to "ensure healthy lives and promote wellbeing for all at all ages" (United Nations, 2023). It includes reducing maternal mortality, preventing communicable and non-communicable diseases, improving mental health, widening healthcare access and strengthening health systems. Although childhood vaccination, life expectancy and healthcare advances show progress, inequalities in access and outcomes remain. COVID-19 exposed health-system weaknesses and the influence of social and economic inequalities on population health (World Health Organization, 2022).</w:t>
      </w:r>
    </w:p>
    <w:p w14:paraId="656456F7" w14:textId="77777777" w:rsidR="00B74830" w:rsidRPr="00B74830" w:rsidRDefault="00B74830" w:rsidP="00B74830">
      <w:pPr>
        <w:spacing w:line="360" w:lineRule="auto"/>
        <w:jc w:val="both"/>
        <w:rPr>
          <w:rFonts w:ascii="Arial" w:eastAsia="Arial Nova" w:hAnsi="Arial" w:cs="Arial"/>
          <w:sz w:val="22"/>
          <w:szCs w:val="22"/>
          <w:lang w:val="en-GB"/>
        </w:rPr>
      </w:pPr>
      <w:r w:rsidRPr="00B74830">
        <w:rPr>
          <w:rFonts w:ascii="Arial" w:eastAsia="Arial Nova" w:hAnsi="Arial" w:cs="Arial"/>
          <w:sz w:val="22"/>
          <w:szCs w:val="22"/>
          <w:lang w:val="en-GB"/>
        </w:rPr>
        <w:t xml:space="preserve">Health is influenced by a combination of social, economic and environmental factors rather than healthcare services alone. Marmot et al. (2020) argue that poverty, education, housing, </w:t>
      </w:r>
      <w:r w:rsidRPr="00B74830">
        <w:rPr>
          <w:rFonts w:ascii="Arial" w:eastAsia="Arial Nova" w:hAnsi="Arial" w:cs="Arial"/>
          <w:sz w:val="22"/>
          <w:szCs w:val="22"/>
          <w:lang w:val="en-GB"/>
        </w:rPr>
        <w:lastRenderedPageBreak/>
        <w:t>employment and social exclusion significantly influence health outcomes. This demonstrates that achieving SDG 3 requires governments to move beyond treatment-focused healthcare and prioritise preventative approaches that address the wider social determinants of health (Solar and Irwin, 2017).</w:t>
      </w:r>
    </w:p>
    <w:p w14:paraId="6764A290" w14:textId="04DDB81D" w:rsidR="00F37AFE" w:rsidRDefault="010F4D6C" w:rsidP="001D0F9D">
      <w:pPr>
        <w:pStyle w:val="Heading2"/>
        <w:spacing w:before="299" w:after="299" w:line="360" w:lineRule="auto"/>
        <w:jc w:val="both"/>
        <w:rPr>
          <w:rFonts w:ascii="Arial" w:eastAsia="Arial Nova" w:hAnsi="Arial" w:cs="Arial"/>
          <w:b/>
          <w:bCs/>
          <w:color w:val="auto"/>
          <w:sz w:val="28"/>
          <w:szCs w:val="28"/>
        </w:rPr>
      </w:pPr>
      <w:r w:rsidRPr="008042F9">
        <w:rPr>
          <w:rFonts w:ascii="Arial" w:eastAsia="Arial Nova" w:hAnsi="Arial" w:cs="Arial"/>
          <w:b/>
          <w:bCs/>
          <w:color w:val="auto"/>
          <w:sz w:val="28"/>
          <w:szCs w:val="28"/>
        </w:rPr>
        <w:t>Global Policies and Initiatives</w:t>
      </w:r>
    </w:p>
    <w:p w14:paraId="3C6EE1F7"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Globally, the World Health Organization (WHO) has introduced several initiatives to support SDG 3 by improving access to healthcare and strengthening health systems. A key example is Universal Health Coverage (UHC), which aims to ensure that everyone can access quality healthcare services without financial hardship (World Health Organization, 2021). However, the WHO and World Bank reported that around 4.5 billion people were not fully covered by essential health services in 2021, while 2 billion people faced severe financial hardship from out-of-pocket health costs (World Health Organization, 2023c). This highlights persistent inequalities in implementation. Weak funding, limited governance capacity and shortages of healthcare professionals continue to undermine the effectiveness and long-term sustainability of UHC, particularly in low-income countries.</w:t>
      </w:r>
    </w:p>
    <w:p w14:paraId="480214CA" w14:textId="77777777" w:rsidR="00B74830" w:rsidRPr="00B74830" w:rsidRDefault="00B74830" w:rsidP="00B74830">
      <w:pPr>
        <w:spacing w:line="360" w:lineRule="auto"/>
        <w:jc w:val="both"/>
        <w:rPr>
          <w:rFonts w:ascii="Arial" w:hAnsi="Arial" w:cs="Arial"/>
          <w:sz w:val="22"/>
          <w:szCs w:val="22"/>
          <w:lang w:val="en-GB"/>
        </w:rPr>
      </w:pPr>
      <w:r w:rsidRPr="00B74830">
        <w:rPr>
          <w:rFonts w:ascii="Arial" w:hAnsi="Arial" w:cs="Arial"/>
          <w:sz w:val="22"/>
          <w:szCs w:val="22"/>
          <w:lang w:val="en-GB"/>
        </w:rPr>
        <w:t>The WHO Mental Health Action Plan 2013–2030 promotes improved mental health services, reduced stigma and greater community-based support (World Health Organization, 2022). However, despite increasing recognition of mental health as a global priority following COVID-19, inadequate investment continues to limit service delivery, creating a gap between policy objectives and implementation (Patel et al., 2018).</w:t>
      </w:r>
    </w:p>
    <w:p w14:paraId="12E46134" w14:textId="77777777" w:rsidR="00B74830" w:rsidRPr="00B74830" w:rsidRDefault="00B74830" w:rsidP="00B74830">
      <w:pPr>
        <w:spacing w:line="360" w:lineRule="auto"/>
        <w:jc w:val="both"/>
        <w:rPr>
          <w:rFonts w:ascii="Arial" w:hAnsi="Arial" w:cs="Arial"/>
          <w:sz w:val="22"/>
          <w:szCs w:val="22"/>
          <w:lang w:val="en-GB"/>
        </w:rPr>
      </w:pPr>
      <w:r w:rsidRPr="00B74830">
        <w:rPr>
          <w:rFonts w:ascii="Arial" w:hAnsi="Arial" w:cs="Arial"/>
          <w:sz w:val="22"/>
          <w:szCs w:val="22"/>
          <w:lang w:val="en-GB"/>
        </w:rPr>
        <w:t>Overall, global progress towards SDG 3 remains uneven. Limited financial resources, workforce shortages and an overreliance on treatment rather than prevention continue to widen health inequalities. Achieving SDG 3 therefore requires greater investment in preventative healthcare, health promotion and action on the wider social determinants of health (World Bank, 2022; The Health Foundation, 2021).</w:t>
      </w:r>
    </w:p>
    <w:p w14:paraId="7D671C51" w14:textId="345A10A0" w:rsidR="00F37AFE" w:rsidRPr="00B74830" w:rsidRDefault="010F4D6C" w:rsidP="00B74830">
      <w:pPr>
        <w:pStyle w:val="Heading2"/>
        <w:spacing w:before="299" w:after="299" w:line="360" w:lineRule="auto"/>
        <w:jc w:val="both"/>
        <w:rPr>
          <w:rFonts w:ascii="Arial" w:eastAsia="Arial Nova" w:hAnsi="Arial" w:cs="Arial"/>
          <w:b/>
          <w:bCs/>
          <w:color w:val="auto"/>
          <w:sz w:val="28"/>
          <w:szCs w:val="28"/>
        </w:rPr>
      </w:pPr>
      <w:r w:rsidRPr="00B74830">
        <w:rPr>
          <w:rFonts w:ascii="Arial" w:eastAsia="Arial Nova" w:hAnsi="Arial" w:cs="Arial"/>
          <w:b/>
          <w:bCs/>
          <w:color w:val="auto"/>
          <w:sz w:val="28"/>
          <w:szCs w:val="28"/>
        </w:rPr>
        <w:t>National Policies and Initiatives in the United Kingdom</w:t>
      </w:r>
      <w:r w:rsidR="00DE5696" w:rsidRPr="00B74830">
        <w:rPr>
          <w:rFonts w:ascii="Arial" w:eastAsia="Arial Nova" w:hAnsi="Arial" w:cs="Arial"/>
          <w:b/>
          <w:bCs/>
          <w:color w:val="auto"/>
          <w:sz w:val="28"/>
          <w:szCs w:val="28"/>
        </w:rPr>
        <w:t xml:space="preserve"> </w:t>
      </w:r>
    </w:p>
    <w:p w14:paraId="3CB017A2"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 xml:space="preserve">In the United Kingdom, the NHS Long Term Plan supports SDG 3 by promoting prevention, mental health care, digital healthcare and community-based services (Department of Health and Social Care, 2019a). Its focus on early intervention aims to reduce hospital pressure and improve </w:t>
      </w:r>
      <w:r>
        <w:rPr>
          <w:rFonts w:ascii="Arial" w:hAnsi="Arial" w:cs="Arial"/>
          <w:sz w:val="22"/>
          <w:szCs w:val="22"/>
        </w:rPr>
        <w:lastRenderedPageBreak/>
        <w:t>population health, reflecting the need for sustained public health investment (The Health Foundation, 2021). Digital healthcare can improve efficiency and reduce travel, but it may also widen inequalities for older adults, disabled people and low-income households with limited internet access or digital skills (NHS England, 2023).</w:t>
      </w:r>
    </w:p>
    <w:p w14:paraId="7481557E"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Integrated Care Systems are a strength of the NHS Long Term Plan because they improve collaboration between health and social care (Department of Health and Social Care, 2019a). However, workforce shortages, underfunding and rising demand restrict delivery (The King's Fund, 2022). In 2022, NHS trusts in England reported around 133,400 full-time equivalent vacancies, a 9.7% vacancy rate (The Health Foundation, 2022). Health inequalities also remain, as deprived communities experience poorer outcomes, while reduced public health funding has weakened prevention (Marmot et al., 2020; Office for National Statistics, 2022; The King's Fund, 2022).</w:t>
      </w:r>
    </w:p>
    <w:p w14:paraId="3A21C603" w14:textId="4B170A07" w:rsidR="00F37AFE" w:rsidRPr="008042F9" w:rsidRDefault="010F4D6C" w:rsidP="001D0F9D">
      <w:pPr>
        <w:pStyle w:val="Heading2"/>
        <w:spacing w:before="299" w:after="299" w:line="360" w:lineRule="auto"/>
        <w:jc w:val="both"/>
        <w:rPr>
          <w:rFonts w:ascii="Arial" w:eastAsia="Arial Nova" w:hAnsi="Arial" w:cs="Arial"/>
          <w:b/>
          <w:bCs/>
          <w:color w:val="auto"/>
          <w:sz w:val="28"/>
          <w:szCs w:val="28"/>
        </w:rPr>
      </w:pPr>
      <w:r w:rsidRPr="008042F9">
        <w:rPr>
          <w:rFonts w:ascii="Arial" w:eastAsia="Arial Nova" w:hAnsi="Arial" w:cs="Arial"/>
          <w:b/>
          <w:bCs/>
          <w:color w:val="auto"/>
          <w:sz w:val="28"/>
          <w:szCs w:val="28"/>
        </w:rPr>
        <w:t>Local Policies and Initiatives</w:t>
      </w:r>
    </w:p>
    <w:p w14:paraId="6A9782BF" w14:textId="5975763B" w:rsidR="00B74830" w:rsidRPr="00B74830" w:rsidRDefault="00B74830" w:rsidP="00B74830">
      <w:pPr>
        <w:spacing w:before="240" w:after="240" w:line="360" w:lineRule="auto"/>
        <w:jc w:val="both"/>
        <w:rPr>
          <w:rFonts w:ascii="Arial" w:hAnsi="Arial" w:cs="Arial"/>
          <w:sz w:val="22"/>
          <w:szCs w:val="22"/>
          <w:lang w:val="en-GB"/>
        </w:rPr>
      </w:pPr>
      <w:r w:rsidRPr="00493306">
        <w:rPr>
          <w:rFonts w:ascii="Arial" w:hAnsi="Arial" w:cs="Arial"/>
          <w:sz w:val="22"/>
          <w:szCs w:val="22"/>
        </w:rPr>
        <w:t>At</w:t>
      </w:r>
      <w:r w:rsidRPr="00B74830">
        <w:rPr>
          <w:rFonts w:ascii="Arial" w:hAnsi="Arial" w:cs="Arial"/>
          <w:sz w:val="22"/>
          <w:szCs w:val="22"/>
          <w:lang w:val="en-GB"/>
        </w:rPr>
        <w:t xml:space="preserve"> a local level, councils and community organisations play an important role in promoting health and wellbeing through preventative and community-based interventions (Office for Health Improvement and Disparities, 2022). In Solihull and Birmingham, initiatives including mental health support, physical activity programmes, social prescribing and projects to reduce social isolation aim to address health inequalities through partnership working. Birmingham City Council (2023) also recognises community-based interventions as important for improving both physical and environmental wellbeing.</w:t>
      </w:r>
    </w:p>
    <w:p w14:paraId="517FD132" w14:textId="77777777" w:rsidR="00B74830" w:rsidRPr="00B74830" w:rsidRDefault="00B74830" w:rsidP="00B74830">
      <w:pPr>
        <w:spacing w:before="240" w:after="240" w:line="360" w:lineRule="auto"/>
        <w:jc w:val="both"/>
        <w:rPr>
          <w:rFonts w:ascii="Arial" w:hAnsi="Arial" w:cs="Arial"/>
          <w:sz w:val="22"/>
          <w:szCs w:val="22"/>
          <w:lang w:val="en-GB"/>
        </w:rPr>
      </w:pPr>
      <w:r w:rsidRPr="00B74830">
        <w:rPr>
          <w:rFonts w:ascii="Arial" w:hAnsi="Arial" w:cs="Arial"/>
          <w:sz w:val="22"/>
          <w:szCs w:val="22"/>
          <w:lang w:val="en-GB"/>
        </w:rPr>
        <w:t>Social prescribing is a key initiative supporting SDG 3, enabling healthcare professionals to refer patients to activities such as exercise programmes, volunteering, gardening groups and peer support services (NHS England, 2022). Evidence suggests these interventions improve mental wellbeing, reduce loneliness and ease pressure on GP services (NHS England, 2022; Public Health Wales, 2021). However, their effectiveness varies because funding and service provision differ considerably between local authorities, limiting long-term sustainability (The King's Fund, 2022).</w:t>
      </w:r>
    </w:p>
    <w:p w14:paraId="2F895603" w14:textId="77777777" w:rsidR="00B74830" w:rsidRPr="00B74830" w:rsidRDefault="00B74830" w:rsidP="00B74830">
      <w:pPr>
        <w:spacing w:before="240" w:after="240" w:line="360" w:lineRule="auto"/>
        <w:jc w:val="both"/>
        <w:rPr>
          <w:rFonts w:ascii="Arial" w:hAnsi="Arial" w:cs="Arial"/>
          <w:sz w:val="22"/>
          <w:szCs w:val="22"/>
          <w:lang w:val="en-GB"/>
        </w:rPr>
      </w:pPr>
      <w:r w:rsidRPr="00B74830">
        <w:rPr>
          <w:rFonts w:ascii="Arial" w:hAnsi="Arial" w:cs="Arial"/>
          <w:sz w:val="22"/>
          <w:szCs w:val="22"/>
          <w:lang w:val="en-GB"/>
        </w:rPr>
        <w:t>Despite these benefits, workforce shortages, financial constraints and digital exclusion continue to restrict access to local services. Older adults, low-income households and people with limited digital skills often face barriers to digital healthcare, increasing the risk of widening existing health inequalities unless targeted investment and support are provided (Marmot et al., 2020).</w:t>
      </w:r>
    </w:p>
    <w:p w14:paraId="4A1E36D2" w14:textId="61DA5717" w:rsidR="00F37AFE" w:rsidRPr="00B74830" w:rsidRDefault="010F4D6C" w:rsidP="00B74830">
      <w:pPr>
        <w:pStyle w:val="Heading2"/>
        <w:spacing w:before="299" w:after="299" w:line="360" w:lineRule="auto"/>
        <w:jc w:val="both"/>
        <w:rPr>
          <w:rFonts w:ascii="Arial" w:eastAsia="Arial Nova" w:hAnsi="Arial" w:cs="Arial"/>
          <w:b/>
          <w:bCs/>
          <w:color w:val="auto"/>
          <w:sz w:val="28"/>
          <w:szCs w:val="28"/>
        </w:rPr>
      </w:pPr>
      <w:r w:rsidRPr="00B74830">
        <w:rPr>
          <w:rFonts w:ascii="Arial" w:eastAsia="Arial Nova" w:hAnsi="Arial" w:cs="Arial"/>
          <w:b/>
          <w:bCs/>
          <w:color w:val="auto"/>
          <w:sz w:val="28"/>
          <w:szCs w:val="28"/>
        </w:rPr>
        <w:lastRenderedPageBreak/>
        <w:t>Recommendations for SDG 3</w:t>
      </w:r>
    </w:p>
    <w:p w14:paraId="0C1A8141"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To strengthen SDG 3, governments should increase long-term funding for preventative community healthcare, including smoking cessation, obesity management, mental health support and social prescribing in deprived areas. Prevention can reduce avoidable hospital admissions, improve population health and lower future healthcare costs (The Health Foundation, 2021; Marmot et al., 2020).</w:t>
      </w:r>
    </w:p>
    <w:p w14:paraId="14F2C55C"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To reduce health inequalities, local authorities should allocate public health funding according to deprivation levels rather than population size alone. This would improve access to preventative services and address wider determinants such as poverty, poor housing and unemployment (Marmot et al., 2020).</w:t>
      </w:r>
    </w:p>
    <w:p w14:paraId="0D4F43F0"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 xml:space="preserve">The NHS and local authorities should expand telemedicine in rural and underserved communities while offering digital literacy training and </w:t>
      </w:r>
      <w:proofErr w:type="spellStart"/>
      <w:r>
        <w:rPr>
          <w:rFonts w:ascii="Arial" w:hAnsi="Arial" w:cs="Arial"/>
          <w:sz w:val="22"/>
          <w:szCs w:val="22"/>
        </w:rPr>
        <w:t>subsidised</w:t>
      </w:r>
      <w:proofErr w:type="spellEnd"/>
      <w:r>
        <w:rPr>
          <w:rFonts w:ascii="Arial" w:hAnsi="Arial" w:cs="Arial"/>
          <w:sz w:val="22"/>
          <w:szCs w:val="22"/>
        </w:rPr>
        <w:t xml:space="preserve"> internet access or devices. This would improve healthcare access, reduce digital exclusion and lower unnecessary patient travel and emissions (NHS England, 2023).</w:t>
      </w:r>
    </w:p>
    <w:p w14:paraId="1D58FF5D" w14:textId="77777777" w:rsidR="006A0318" w:rsidRDefault="006A0318">
      <w:pPr>
        <w:spacing w:line="360" w:lineRule="auto"/>
        <w:jc w:val="both"/>
        <w:rPr>
          <w:kern w:val="2"/>
          <w:lang w:val="en-GB" w:eastAsia="en-GB"/>
          <w14:ligatures w14:val="standardContextual"/>
        </w:rPr>
      </w:pPr>
      <w:r>
        <w:rPr>
          <w:rFonts w:ascii="Arial" w:hAnsi="Arial" w:cs="Arial"/>
          <w:sz w:val="22"/>
          <w:szCs w:val="22"/>
        </w:rPr>
        <w:t>Finally, workforce shortages should be addressed through investment in healthcare education, staff wellbeing and recruitment incentives in underserved areas. A stronger workforce would improve timely care, reduce waiting times and support the long-term sustainability of NHS services (The King's Fund, 2022).</w:t>
      </w:r>
    </w:p>
    <w:p w14:paraId="2DE050B3" w14:textId="77777777" w:rsidR="00B74830" w:rsidRPr="00B74830" w:rsidRDefault="00B74830" w:rsidP="00B74830"/>
    <w:p w14:paraId="1146556B" w14:textId="548EE3AB" w:rsidR="00F37AFE" w:rsidRPr="008B68D6" w:rsidRDefault="010F4D6C" w:rsidP="001D0F9D">
      <w:pPr>
        <w:pStyle w:val="Heading1"/>
        <w:spacing w:before="322" w:after="322" w:line="360" w:lineRule="auto"/>
        <w:jc w:val="both"/>
        <w:rPr>
          <w:rFonts w:ascii="Arial" w:eastAsia="Arial Nova" w:hAnsi="Arial" w:cs="Arial"/>
          <w:b/>
          <w:bCs/>
          <w:color w:val="auto"/>
          <w:sz w:val="36"/>
          <w:szCs w:val="36"/>
        </w:rPr>
      </w:pPr>
      <w:r w:rsidRPr="008B68D6">
        <w:rPr>
          <w:rFonts w:ascii="Arial" w:eastAsia="Arial Nova" w:hAnsi="Arial" w:cs="Arial"/>
          <w:b/>
          <w:bCs/>
          <w:color w:val="auto"/>
          <w:sz w:val="36"/>
          <w:szCs w:val="36"/>
        </w:rPr>
        <w:t>Section 2: SDG 13 – Climate Action</w:t>
      </w:r>
    </w:p>
    <w:p w14:paraId="078911EF" w14:textId="7DC8652A" w:rsidR="00F37AFE" w:rsidRPr="00B74830" w:rsidRDefault="010F4D6C" w:rsidP="00B74830">
      <w:pPr>
        <w:pStyle w:val="Heading2"/>
        <w:spacing w:before="299" w:after="299" w:line="360" w:lineRule="auto"/>
        <w:jc w:val="both"/>
        <w:rPr>
          <w:rFonts w:ascii="Arial" w:eastAsia="Arial Nova" w:hAnsi="Arial" w:cs="Arial"/>
          <w:b/>
          <w:bCs/>
          <w:color w:val="auto"/>
          <w:sz w:val="28"/>
          <w:szCs w:val="28"/>
        </w:rPr>
      </w:pPr>
      <w:r w:rsidRPr="00B74830">
        <w:rPr>
          <w:rFonts w:ascii="Arial" w:eastAsia="Arial Nova" w:hAnsi="Arial" w:cs="Arial"/>
          <w:b/>
          <w:bCs/>
          <w:color w:val="auto"/>
          <w:sz w:val="28"/>
          <w:szCs w:val="28"/>
        </w:rPr>
        <w:t>Overview of SDG 13</w:t>
      </w:r>
    </w:p>
    <w:p w14:paraId="6BFE1339" w14:textId="1C04AA13" w:rsidR="006A0318" w:rsidRDefault="006A0318">
      <w:pPr>
        <w:spacing w:line="360" w:lineRule="auto"/>
        <w:jc w:val="both"/>
        <w:rPr>
          <w:kern w:val="2"/>
          <w:lang w:val="en-GB" w:eastAsia="en-GB"/>
          <w14:ligatures w14:val="standardContextual"/>
        </w:rPr>
      </w:pPr>
      <w:r>
        <w:rPr>
          <w:rFonts w:ascii="Arial" w:hAnsi="Arial" w:cs="Arial"/>
          <w:sz w:val="22"/>
          <w:szCs w:val="22"/>
        </w:rPr>
        <w:t xml:space="preserve">SDG 13 calls for urgent action to combat climate change and its impacts. Climate change is increasingly </w:t>
      </w:r>
      <w:proofErr w:type="spellStart"/>
      <w:r>
        <w:rPr>
          <w:rFonts w:ascii="Arial" w:hAnsi="Arial" w:cs="Arial"/>
          <w:sz w:val="22"/>
          <w:szCs w:val="22"/>
        </w:rPr>
        <w:t>recognised</w:t>
      </w:r>
      <w:proofErr w:type="spellEnd"/>
      <w:r>
        <w:rPr>
          <w:rFonts w:ascii="Arial" w:hAnsi="Arial" w:cs="Arial"/>
          <w:sz w:val="22"/>
          <w:szCs w:val="22"/>
        </w:rPr>
        <w:t xml:space="preserve"> as a major threat to public health </w:t>
      </w:r>
      <w:r w:rsidR="000F5E6F">
        <w:rPr>
          <w:rFonts w:ascii="Arial" w:hAnsi="Arial" w:cs="Arial"/>
          <w:sz w:val="22"/>
          <w:szCs w:val="22"/>
        </w:rPr>
        <w:t>because of</w:t>
      </w:r>
      <w:r>
        <w:rPr>
          <w:rFonts w:ascii="Arial" w:hAnsi="Arial" w:cs="Arial"/>
          <w:sz w:val="22"/>
          <w:szCs w:val="22"/>
        </w:rPr>
        <w:t xml:space="preserve"> rising temperatures, air pollution, flooding, food insecurity and extreme weather directly affect physical and mental wellbeing (World Health Organization, 2023a). It also increases migration as communities leave areas affected by drought, flooding and rising sea levels, placing pressure on healthcare, housing and social services in receiving countries. This shows that climate change is both an environmental and public health justice issue.</w:t>
      </w:r>
    </w:p>
    <w:p w14:paraId="26D3F49E" w14:textId="77777777" w:rsidR="00B74830" w:rsidRPr="00B74830" w:rsidRDefault="00B74830" w:rsidP="00B74830">
      <w:pPr>
        <w:spacing w:line="360" w:lineRule="auto"/>
        <w:jc w:val="both"/>
        <w:rPr>
          <w:rFonts w:ascii="Arial" w:hAnsi="Arial" w:cs="Arial"/>
          <w:sz w:val="22"/>
          <w:szCs w:val="22"/>
          <w:lang w:val="en-GB"/>
        </w:rPr>
      </w:pPr>
      <w:r w:rsidRPr="00B74830">
        <w:rPr>
          <w:rFonts w:ascii="Arial" w:hAnsi="Arial" w:cs="Arial"/>
          <w:sz w:val="22"/>
          <w:szCs w:val="22"/>
          <w:lang w:val="en-GB"/>
        </w:rPr>
        <w:lastRenderedPageBreak/>
        <w:t>Vulnerable populations, including older adults, children and low-income communities, are disproportionately affected by climate-related hazards because they often have fewer resources to adapt to environmental change (World Health Organization, 2023a). Consequently, achieving SDG 13 is closely linked to reducing health inequalities and promoting sustainable development.</w:t>
      </w:r>
    </w:p>
    <w:p w14:paraId="48B89AD0" w14:textId="31FA757B" w:rsidR="00F37AFE" w:rsidRPr="008042F9" w:rsidRDefault="010F4D6C" w:rsidP="001D0F9D">
      <w:pPr>
        <w:pStyle w:val="Heading2"/>
        <w:spacing w:before="299" w:after="299" w:line="360" w:lineRule="auto"/>
        <w:jc w:val="both"/>
        <w:rPr>
          <w:rFonts w:ascii="Arial" w:eastAsia="Arial Nova" w:hAnsi="Arial" w:cs="Arial"/>
          <w:b/>
          <w:bCs/>
          <w:color w:val="auto"/>
          <w:sz w:val="28"/>
          <w:szCs w:val="28"/>
        </w:rPr>
      </w:pPr>
      <w:r w:rsidRPr="008042F9">
        <w:rPr>
          <w:rFonts w:ascii="Arial" w:eastAsia="Arial Nova" w:hAnsi="Arial" w:cs="Arial"/>
          <w:b/>
          <w:bCs/>
          <w:color w:val="auto"/>
          <w:sz w:val="28"/>
          <w:szCs w:val="28"/>
        </w:rPr>
        <w:t xml:space="preserve">Global Climate </w:t>
      </w:r>
      <w:r w:rsidR="00B74830">
        <w:rPr>
          <w:rFonts w:ascii="Arial" w:eastAsia="Arial Nova" w:hAnsi="Arial" w:cs="Arial"/>
          <w:b/>
          <w:bCs/>
          <w:color w:val="auto"/>
          <w:sz w:val="28"/>
          <w:szCs w:val="28"/>
        </w:rPr>
        <w:t>Policies and Initiatives</w:t>
      </w:r>
    </w:p>
    <w:p w14:paraId="4826F207" w14:textId="00039F01" w:rsidR="00B74830" w:rsidRPr="00B74830" w:rsidRDefault="00B74830" w:rsidP="00B74830">
      <w:pPr>
        <w:spacing w:before="240" w:after="240" w:line="360" w:lineRule="auto"/>
        <w:jc w:val="both"/>
        <w:rPr>
          <w:rFonts w:ascii="Arial" w:hAnsi="Arial" w:cs="Arial"/>
          <w:sz w:val="22"/>
          <w:szCs w:val="22"/>
          <w:lang w:val="en-GB"/>
        </w:rPr>
      </w:pPr>
      <w:r w:rsidRPr="00493306">
        <w:rPr>
          <w:rFonts w:ascii="Arial" w:hAnsi="Arial" w:cs="Arial"/>
          <w:sz w:val="22"/>
          <w:szCs w:val="22"/>
        </w:rPr>
        <w:t>The</w:t>
      </w:r>
      <w:r w:rsidRPr="00B74830">
        <w:rPr>
          <w:rFonts w:ascii="Arial" w:hAnsi="Arial" w:cs="Arial"/>
          <w:sz w:val="22"/>
          <w:szCs w:val="22"/>
          <w:lang w:val="en-GB"/>
        </w:rPr>
        <w:t xml:space="preserve"> Paris Agreement, adopted in 2015, remains one of the most significant international agreements aimed at limiting global temperature increases and reducing greenhouse gas emissions (United Nations, 2015). Climate conferences such as COP26 have strengthened global recognition of the relationship between climate change and public health, while the World Health Organization (2023a) encourages countries to develop climate-resilient healthcare systems through emergency preparedness and sustainable healthcare practices.</w:t>
      </w:r>
    </w:p>
    <w:p w14:paraId="7E399BCD" w14:textId="3B330C68"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 xml:space="preserve">Despite these commitments, global climate action remains inconsistent. Many countries continue to depend heavily on fossil fuels and frequently fail to achieve emission reduction targets (Intergovernmental Panel on Climate Change, 2022). The WHO estimates that climate change could cause approximately 250,000 additional deaths per year between 2030 and 2050 from undernutrition, malaria, </w:t>
      </w:r>
      <w:proofErr w:type="spellStart"/>
      <w:r>
        <w:rPr>
          <w:rFonts w:ascii="Arial" w:hAnsi="Arial" w:cs="Arial"/>
          <w:sz w:val="22"/>
          <w:szCs w:val="22"/>
        </w:rPr>
        <w:t>diarrhoea</w:t>
      </w:r>
      <w:proofErr w:type="spellEnd"/>
      <w:r>
        <w:rPr>
          <w:rFonts w:ascii="Arial" w:hAnsi="Arial" w:cs="Arial"/>
          <w:sz w:val="22"/>
          <w:szCs w:val="22"/>
        </w:rPr>
        <w:t xml:space="preserve"> and heat stress alone (World Health Organization, 2023a). Climate injustice also persists because low-income countries experience the greatest </w:t>
      </w:r>
      <w:r w:rsidR="000F5E6F">
        <w:rPr>
          <w:rFonts w:ascii="Arial" w:hAnsi="Arial" w:cs="Arial"/>
          <w:sz w:val="22"/>
          <w:szCs w:val="22"/>
        </w:rPr>
        <w:t>impact</w:t>
      </w:r>
      <w:r>
        <w:rPr>
          <w:rFonts w:ascii="Arial" w:hAnsi="Arial" w:cs="Arial"/>
          <w:sz w:val="22"/>
          <w:szCs w:val="22"/>
        </w:rPr>
        <w:t xml:space="preserve"> despite contributing the least to global greenhouse gas emissions (World Bank, 2022; UNICEF, 2021). These challenges demonstrate that stronger international cooperation and greater financial support for vulnerable countries are essential if SDG 13 is </w:t>
      </w:r>
      <w:r w:rsidR="000F5E6F">
        <w:rPr>
          <w:rFonts w:ascii="Arial" w:hAnsi="Arial" w:cs="Arial"/>
          <w:sz w:val="22"/>
          <w:szCs w:val="22"/>
        </w:rPr>
        <w:t>to be achieved</w:t>
      </w:r>
      <w:r>
        <w:rPr>
          <w:rFonts w:ascii="Arial" w:hAnsi="Arial" w:cs="Arial"/>
          <w:sz w:val="22"/>
          <w:szCs w:val="22"/>
        </w:rPr>
        <w:t>.</w:t>
      </w:r>
    </w:p>
    <w:p w14:paraId="3EFDF728" w14:textId="4CAD126B" w:rsidR="00F37AFE" w:rsidRPr="008042F9" w:rsidRDefault="010F4D6C" w:rsidP="001D0F9D">
      <w:pPr>
        <w:pStyle w:val="Heading2"/>
        <w:spacing w:before="299" w:after="299" w:line="360" w:lineRule="auto"/>
        <w:jc w:val="both"/>
        <w:rPr>
          <w:rFonts w:ascii="Arial" w:eastAsia="Arial Nova" w:hAnsi="Arial" w:cs="Arial"/>
          <w:b/>
          <w:bCs/>
          <w:color w:val="auto"/>
          <w:sz w:val="28"/>
          <w:szCs w:val="28"/>
        </w:rPr>
      </w:pPr>
      <w:r w:rsidRPr="008042F9">
        <w:rPr>
          <w:rFonts w:ascii="Arial" w:eastAsia="Arial Nova" w:hAnsi="Arial" w:cs="Arial"/>
          <w:b/>
          <w:bCs/>
          <w:color w:val="auto"/>
          <w:sz w:val="28"/>
          <w:szCs w:val="28"/>
        </w:rPr>
        <w:t>National Policies and Initiatives in the United Kingdom</w:t>
      </w:r>
    </w:p>
    <w:p w14:paraId="0ACAFEBA"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 xml:space="preserve">The UK Government introduced the Net Zero Strategy to achieve net-zero greenhouse gas emissions by 2050 through policies promoting active travel, renewable energy and improved air quality (HM Government, 2021). These initiatives support environmental sustainability and public health by encouraging physical activity and reducing pollution. In healthcare, the NHS became the first national health system to commit to net zero, aiming to reach net zero for directly controlled emissions by 2040 and for wider emissions it can influence by 2045 (NHS England, 2023). However, progress has been constrained by competing economic priorities and inconsistent policy implementation. Although active travel schemes promote healthier </w:t>
      </w:r>
      <w:proofErr w:type="spellStart"/>
      <w:r>
        <w:rPr>
          <w:rFonts w:ascii="Arial" w:hAnsi="Arial" w:cs="Arial"/>
          <w:sz w:val="22"/>
          <w:szCs w:val="22"/>
        </w:rPr>
        <w:t>behaviours</w:t>
      </w:r>
      <w:proofErr w:type="spellEnd"/>
      <w:r>
        <w:rPr>
          <w:rFonts w:ascii="Arial" w:hAnsi="Arial" w:cs="Arial"/>
          <w:sz w:val="22"/>
          <w:szCs w:val="22"/>
        </w:rPr>
        <w:t>, inadequate infrastructure and safety concerns continue to limit public uptake (NICE, 2022).</w:t>
      </w:r>
    </w:p>
    <w:p w14:paraId="3EF6E63E" w14:textId="77777777" w:rsidR="00C34651" w:rsidRDefault="00C34651">
      <w:pPr>
        <w:spacing w:before="240" w:after="240" w:line="360" w:lineRule="auto"/>
        <w:jc w:val="both"/>
        <w:rPr>
          <w:kern w:val="2"/>
          <w:lang w:val="en-GB" w:eastAsia="en-GB"/>
          <w14:ligatures w14:val="standardContextual"/>
        </w:rPr>
      </w:pPr>
      <w:r>
        <w:rPr>
          <w:rFonts w:ascii="Arial" w:hAnsi="Arial" w:cs="Arial"/>
          <w:sz w:val="22"/>
          <w:szCs w:val="22"/>
        </w:rPr>
        <w:lastRenderedPageBreak/>
        <w:t>Climate change also challenges UK infrastructure. Heatwaves increasingly expose the weakness of homes, hospitals, schools and transport systems built for cooler conditions. In summer 2024, the UK Health Security Agency recorded 1,311 heat-associated deaths in England across four heat episodes, highlighting the growing health risks of rising temperatures (UK Health Security Agency, 2024). Overheating particularly affects older adults and people with chronic conditions, showing the need for adaptation alongside emission reduction. However, fossil fuel investment and air pollution continue to undermine progress and disproportionately affect vulnerable communities, making stronger policy implementation and climate-resilient infrastructure essential (Intergovernmental Panel on Climate Change, 2022; UK Health Security Agency, 2023).</w:t>
      </w:r>
    </w:p>
    <w:p w14:paraId="4F202FB0" w14:textId="652DFFAF" w:rsidR="00F37AFE" w:rsidRPr="008042F9" w:rsidRDefault="010F4D6C" w:rsidP="001D0F9D">
      <w:pPr>
        <w:pStyle w:val="Heading2"/>
        <w:spacing w:before="299" w:after="299" w:line="360" w:lineRule="auto"/>
        <w:jc w:val="both"/>
        <w:rPr>
          <w:rFonts w:ascii="Arial" w:eastAsia="Arial Nova" w:hAnsi="Arial" w:cs="Arial"/>
          <w:b/>
          <w:bCs/>
          <w:color w:val="auto"/>
          <w:sz w:val="28"/>
          <w:szCs w:val="28"/>
        </w:rPr>
      </w:pPr>
      <w:r w:rsidRPr="008042F9">
        <w:rPr>
          <w:rFonts w:ascii="Arial" w:eastAsia="Arial Nova" w:hAnsi="Arial" w:cs="Arial"/>
          <w:b/>
          <w:bCs/>
          <w:color w:val="auto"/>
          <w:sz w:val="28"/>
          <w:szCs w:val="28"/>
        </w:rPr>
        <w:t>Local Climate and Sustainability Initiatives</w:t>
      </w:r>
    </w:p>
    <w:p w14:paraId="6A735601"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 xml:space="preserve">Local councils have introduced sustainability initiatives including recycling </w:t>
      </w:r>
      <w:proofErr w:type="spellStart"/>
      <w:r>
        <w:rPr>
          <w:rFonts w:ascii="Arial" w:hAnsi="Arial" w:cs="Arial"/>
          <w:sz w:val="22"/>
          <w:szCs w:val="22"/>
        </w:rPr>
        <w:t>programmes</w:t>
      </w:r>
      <w:proofErr w:type="spellEnd"/>
      <w:r>
        <w:rPr>
          <w:rFonts w:ascii="Arial" w:hAnsi="Arial" w:cs="Arial"/>
          <w:sz w:val="22"/>
          <w:szCs w:val="22"/>
        </w:rPr>
        <w:t>, green spaces, low-emission transport schemes and community environmental projects. Birmingham City Council (2023) implemented a Clean Air Zone to reduce pollution and improve public health outcomes. Access to green spaces supports physical activity, improves mental wellbeing and reduces stress; a systematic review found that greater green space exposure was associated with lower risks of several adverse health outcomes, including reduced cardiovascular mortality (Twohig-Bennett and Jones, 2018). Active travel infrastructure also encourages healthier lifestyles (NICE, 2022). However, access to green spaces remains uneven across urban areas.</w:t>
      </w:r>
    </w:p>
    <w:p w14:paraId="55095868" w14:textId="7C5FED9E" w:rsidR="00493306" w:rsidRPr="00B74830" w:rsidRDefault="00B74830" w:rsidP="001D0F9D">
      <w:pPr>
        <w:spacing w:before="240" w:after="240" w:line="360" w:lineRule="auto"/>
        <w:jc w:val="both"/>
        <w:rPr>
          <w:rFonts w:ascii="Arial" w:hAnsi="Arial" w:cs="Arial"/>
          <w:sz w:val="22"/>
          <w:szCs w:val="22"/>
          <w:lang w:val="en-GB"/>
        </w:rPr>
      </w:pPr>
      <w:r w:rsidRPr="00B74830">
        <w:rPr>
          <w:rFonts w:ascii="Arial" w:hAnsi="Arial" w:cs="Arial"/>
          <w:sz w:val="22"/>
          <w:szCs w:val="22"/>
          <w:lang w:val="en-GB"/>
        </w:rPr>
        <w:t>Residents living in deprived neighbourhoods are often more exposed to air pollution and extreme heat because they have fewer green spaces and poorer housing conditions. Consequently, environmental inequalities continue to contribute to health inequalities despite local sustainability initiatives. Applying the ecological model of health demonstrates that environmental, social and policy factors collectively influence health behaviours and wellbeing (Solar and Irwin, 2017). Therefore, effective climate action requires coordinated interventions across health services, local government and communities.</w:t>
      </w:r>
    </w:p>
    <w:p w14:paraId="2ED14595" w14:textId="6A622095" w:rsidR="00F37AFE" w:rsidRPr="00493306" w:rsidRDefault="010F4D6C" w:rsidP="001D0F9D">
      <w:pPr>
        <w:pStyle w:val="Heading2"/>
        <w:spacing w:before="299" w:after="299" w:line="360" w:lineRule="auto"/>
        <w:jc w:val="both"/>
        <w:rPr>
          <w:rFonts w:ascii="Arial" w:eastAsia="Arial Nova" w:hAnsi="Arial" w:cs="Arial"/>
          <w:b/>
          <w:bCs/>
          <w:color w:val="auto"/>
          <w:sz w:val="28"/>
          <w:szCs w:val="28"/>
        </w:rPr>
      </w:pPr>
      <w:r w:rsidRPr="00493306">
        <w:rPr>
          <w:rFonts w:ascii="Arial" w:eastAsia="Arial Nova" w:hAnsi="Arial" w:cs="Arial"/>
          <w:b/>
          <w:bCs/>
          <w:color w:val="auto"/>
          <w:sz w:val="28"/>
          <w:szCs w:val="28"/>
        </w:rPr>
        <w:t>Recommendations for SDG 13</w:t>
      </w:r>
    </w:p>
    <w:p w14:paraId="73228D77"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The UK Government should strengthen climate adaptation through heat-resilient infrastructure, including cooling systems in hospitals, schools and care homes, urban tree planting and improved housing standards. These measures would reduce heat-related illness and mortality while supporting long-term sustainability (UK Health Security Agency, 2024).</w:t>
      </w:r>
    </w:p>
    <w:p w14:paraId="031D9FC7"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lastRenderedPageBreak/>
        <w:t>Local authorities should expand affordable public transport, safe cycling routes and accessible walking infrastructure in deprived communities. This would improve health, reduce air pollution and support net-zero targets (NICE, 2022).</w:t>
      </w:r>
    </w:p>
    <w:p w14:paraId="15487D37"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 xml:space="preserve">Climate education should be embedded in schools, workplaces and healthcare settings to improve understanding of sustainable lifestyles, heatwave preparedness and climate-related health risks. This would encourage healthier </w:t>
      </w:r>
      <w:proofErr w:type="spellStart"/>
      <w:r>
        <w:rPr>
          <w:rFonts w:ascii="Arial" w:hAnsi="Arial" w:cs="Arial"/>
          <w:sz w:val="22"/>
          <w:szCs w:val="22"/>
        </w:rPr>
        <w:t>behaviours</w:t>
      </w:r>
      <w:proofErr w:type="spellEnd"/>
      <w:r>
        <w:rPr>
          <w:rFonts w:ascii="Arial" w:hAnsi="Arial" w:cs="Arial"/>
          <w:sz w:val="22"/>
          <w:szCs w:val="22"/>
        </w:rPr>
        <w:t xml:space="preserve"> and strengthen community resilience.</w:t>
      </w:r>
    </w:p>
    <w:p w14:paraId="3647BB25"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Finally, the NHS and local authorities should create coordinated climate adaptation plans, including heatwave warning systems, emergency preparedness and targeted support for vulnerable groups. This would reduce climate-related health inequalities and strengthen healthcare and community resilience.</w:t>
      </w:r>
    </w:p>
    <w:p w14:paraId="271A905A" w14:textId="42C8DE1D" w:rsidR="00F37AFE" w:rsidRPr="00493306" w:rsidRDefault="010F4D6C" w:rsidP="001D0F9D">
      <w:pPr>
        <w:pStyle w:val="Heading1"/>
        <w:spacing w:before="322" w:after="322" w:line="360" w:lineRule="auto"/>
        <w:jc w:val="both"/>
        <w:rPr>
          <w:rFonts w:ascii="Arial" w:eastAsia="Arial Nova" w:hAnsi="Arial" w:cs="Arial"/>
          <w:b/>
          <w:bCs/>
          <w:color w:val="auto"/>
          <w:sz w:val="32"/>
          <w:szCs w:val="32"/>
        </w:rPr>
      </w:pPr>
      <w:r w:rsidRPr="00493306">
        <w:rPr>
          <w:rFonts w:ascii="Arial" w:eastAsia="Arial Nova" w:hAnsi="Arial" w:cs="Arial"/>
          <w:b/>
          <w:bCs/>
          <w:color w:val="auto"/>
          <w:sz w:val="32"/>
          <w:szCs w:val="32"/>
        </w:rPr>
        <w:t>Conclusion</w:t>
      </w:r>
    </w:p>
    <w:p w14:paraId="10BD8A15"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In conclusion, SDG 3 and SDG 13 are closely interconnected because health and wellbeing are shaped by environmental, social and economic conditions. Although progress has been made globally, nationally and locally, substantial inequalities and implementation challenges remain.</w:t>
      </w:r>
    </w:p>
    <w:p w14:paraId="3C47B6E8" w14:textId="77777777" w:rsidR="006A0318" w:rsidRDefault="006A0318">
      <w:pPr>
        <w:spacing w:before="240" w:after="240" w:line="360" w:lineRule="auto"/>
        <w:jc w:val="both"/>
        <w:rPr>
          <w:kern w:val="2"/>
          <w:lang w:val="en-GB" w:eastAsia="en-GB"/>
          <w14:ligatures w14:val="standardContextual"/>
        </w:rPr>
      </w:pPr>
      <w:r>
        <w:rPr>
          <w:rFonts w:ascii="Arial" w:hAnsi="Arial" w:cs="Arial"/>
          <w:sz w:val="22"/>
          <w:szCs w:val="22"/>
        </w:rPr>
        <w:t>Universal Health Coverage, the Paris Agreement, the NHS Long Term Plan and the UK Net Zero Strategy provide important frameworks for public health and sustainability. However, limited funding, political barriers, workforce shortages, social inequalities and weak climate adaptation continue to restrict their effectiveness.</w:t>
      </w:r>
    </w:p>
    <w:p w14:paraId="5AC87D7D" w14:textId="24F5753E" w:rsidR="00B30CE3" w:rsidRDefault="006A0318">
      <w:pPr>
        <w:spacing w:before="240" w:after="240" w:line="360" w:lineRule="auto"/>
        <w:jc w:val="both"/>
        <w:rPr>
          <w:rFonts w:ascii="Arial" w:hAnsi="Arial" w:cs="Arial"/>
          <w:sz w:val="22"/>
          <w:szCs w:val="22"/>
        </w:rPr>
      </w:pPr>
      <w:r>
        <w:rPr>
          <w:rFonts w:ascii="Arial" w:hAnsi="Arial" w:cs="Arial"/>
          <w:sz w:val="22"/>
          <w:szCs w:val="22"/>
        </w:rPr>
        <w:t>Climate change will increasingly shape health in coming decades. Without stronger investment in prevention, climate-resilient infrastructure and policies addressing wider social determinants, inequalities are likely to widen. Achieving the SDGs by 2030 therefore requires coordinated action between governments, healthcare providers, local authorities and communities to create healthier, fairer and more sustainable societies.</w:t>
      </w:r>
      <w:r w:rsidR="007F56BF">
        <w:rPr>
          <w:rFonts w:ascii="Arial" w:hAnsi="Arial" w:cs="Arial"/>
          <w:sz w:val="22"/>
          <w:szCs w:val="22"/>
        </w:rPr>
        <w:t xml:space="preserve"> </w:t>
      </w:r>
    </w:p>
    <w:p w14:paraId="4055EC74" w14:textId="77777777" w:rsidR="008E3D32" w:rsidRDefault="008E3D32">
      <w:pPr>
        <w:spacing w:before="240" w:after="240" w:line="360" w:lineRule="auto"/>
        <w:jc w:val="both"/>
        <w:rPr>
          <w:rFonts w:ascii="Arial" w:hAnsi="Arial" w:cs="Arial"/>
          <w:sz w:val="22"/>
          <w:szCs w:val="22"/>
        </w:rPr>
      </w:pPr>
    </w:p>
    <w:p w14:paraId="5637E7BE" w14:textId="1EBEEF0B" w:rsidR="007F56BF" w:rsidRDefault="0010735D" w:rsidP="00C24EE8">
      <w:pPr>
        <w:spacing w:before="240" w:after="240" w:line="360" w:lineRule="auto"/>
        <w:jc w:val="center"/>
        <w:rPr>
          <w:kern w:val="2"/>
          <w:lang w:val="en-GB" w:eastAsia="en-GB"/>
          <w14:ligatures w14:val="standardContextual"/>
        </w:rPr>
      </w:pPr>
      <w:r>
        <w:rPr>
          <w:noProof/>
        </w:rPr>
        <w:drawing>
          <wp:inline distT="0" distB="0" distL="0" distR="0" wp14:anchorId="6ABDE87C" wp14:editId="5C751F9D">
            <wp:extent cx="1201688" cy="504557"/>
            <wp:effectExtent l="0" t="0" r="0" b="0"/>
            <wp:docPr id="1929166857" name="Picture 17" descr="24,153 Three Roses Isolated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24,153 Three Roses Isolated Royalty-Free Images, Stock Photos &amp; Pictures | Shutte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06" t="6395" r="1596" b="8445"/>
                    <a:stretch>
                      <a:fillRect/>
                    </a:stretch>
                  </pic:blipFill>
                  <pic:spPr bwMode="auto">
                    <a:xfrm>
                      <a:off x="0" y="0"/>
                      <a:ext cx="1240616" cy="520902"/>
                    </a:xfrm>
                    <a:prstGeom prst="rect">
                      <a:avLst/>
                    </a:prstGeom>
                    <a:noFill/>
                    <a:ln>
                      <a:noFill/>
                    </a:ln>
                    <a:extLst>
                      <a:ext uri="{53640926-AAD7-44D8-BBD7-CCE9431645EC}">
                        <a14:shadowObscured xmlns:a14="http://schemas.microsoft.com/office/drawing/2010/main"/>
                      </a:ext>
                    </a:extLst>
                  </pic:spPr>
                </pic:pic>
              </a:graphicData>
            </a:graphic>
          </wp:inline>
        </w:drawing>
      </w:r>
      <w:r w:rsidR="007F56BF" w:rsidRPr="007F56BF">
        <w:rPr>
          <w:kern w:val="2"/>
          <w:lang w:eastAsia="en-GB"/>
          <w14:ligatures w14:val="standardContextual"/>
        </w:rPr>
        <mc:AlternateContent>
          <mc:Choice Requires="wps">
            <w:drawing>
              <wp:inline distT="0" distB="0" distL="0" distR="0" wp14:anchorId="4DA560EC" wp14:editId="269A660B">
                <wp:extent cx="307975" cy="307975"/>
                <wp:effectExtent l="0" t="0" r="0" b="0"/>
                <wp:docPr id="1078168392"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7B4858" id="Rectangle 9"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" filled="f" stroked="f">
                <o:lock v:ext="edit" aspectratio="t"/>
                <w10:anchorlock/>
              </v:rect>
            </w:pict>
          </mc:Fallback>
        </mc:AlternateContent>
      </w:r>
      <w:r w:rsidR="007F56BF">
        <w:rPr>
          <w:noProof/>
        </w:rPr>
        <mc:AlternateContent>
          <mc:Choice Requires="wps">
            <w:drawing>
              <wp:inline distT="0" distB="0" distL="0" distR="0" wp14:anchorId="5DE7B619" wp14:editId="4B984E41">
                <wp:extent cx="307975" cy="307975"/>
                <wp:effectExtent l="0" t="0" r="0" b="0"/>
                <wp:docPr id="860018089"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37C2AF" id="Rectangle 5"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" filled="f" stroked="f">
                <o:lock v:ext="edit" aspectratio="t"/>
                <w10:anchorlock/>
              </v:rect>
            </w:pict>
          </mc:Fallback>
        </mc:AlternateContent>
      </w:r>
    </w:p>
    <w:p w14:paraId="49D7DF9F" w14:textId="2D9CA7AE" w:rsidR="00B02E22" w:rsidRPr="00B02E22" w:rsidRDefault="009D428E" w:rsidP="00B02E22">
      <w:pPr>
        <w:pStyle w:val="Heading1"/>
        <w:pageBreakBefore/>
        <w:spacing w:before="0" w:after="0" w:line="360" w:lineRule="auto"/>
        <w:jc w:val="both"/>
        <w:rPr>
          <w:rFonts w:ascii="Arial Nova" w:eastAsia="Arial Nova" w:hAnsi="Arial Nova" w:cs="Arial Nova"/>
          <w:b/>
          <w:bCs/>
          <w:i/>
          <w:iCs/>
          <w:color w:val="auto"/>
          <w:sz w:val="32"/>
          <w:szCs w:val="32"/>
          <w:u w:val="single"/>
        </w:rPr>
      </w:pPr>
      <w:r w:rsidRPr="008042F9">
        <w:rPr>
          <w:rFonts w:ascii="Arial Nova" w:eastAsia="Arial Nova" w:hAnsi="Arial Nova" w:cs="Arial Nova"/>
          <w:b/>
          <w:bCs/>
          <w:i/>
          <w:iCs/>
          <w:color w:val="auto"/>
          <w:sz w:val="32"/>
          <w:szCs w:val="32"/>
          <w:u w:val="single"/>
        </w:rPr>
        <w:lastRenderedPageBreak/>
        <w:t>Reference</w:t>
      </w:r>
      <w:r w:rsidR="008042F9" w:rsidRPr="008042F9">
        <w:rPr>
          <w:rFonts w:ascii="Arial Nova" w:eastAsia="Arial Nova" w:hAnsi="Arial Nova" w:cs="Arial Nova"/>
          <w:b/>
          <w:bCs/>
          <w:i/>
          <w:iCs/>
          <w:color w:val="auto"/>
          <w:sz w:val="32"/>
          <w:szCs w:val="32"/>
          <w:u w:val="single"/>
        </w:rPr>
        <w:t>s</w:t>
      </w:r>
    </w:p>
    <w:p w14:paraId="25232BA9" w14:textId="77EEEF57" w:rsidR="00B02E22" w:rsidRPr="00B02E22" w:rsidRDefault="00B02E22" w:rsidP="00B02E22">
      <w:pPr>
        <w:spacing w:before="240" w:after="240" w:line="360" w:lineRule="auto"/>
        <w:jc w:val="both"/>
        <w:rPr>
          <w:lang w:val="en-GB"/>
        </w:rPr>
      </w:pPr>
      <w:r w:rsidRPr="00B02E22">
        <w:rPr>
          <w:lang w:val="en-GB"/>
        </w:rPr>
        <w:t xml:space="preserve">Birmingham City Council (2023) </w:t>
      </w:r>
      <w:r w:rsidRPr="00B02E22">
        <w:rPr>
          <w:i/>
          <w:iCs/>
          <w:lang w:val="en-GB"/>
        </w:rPr>
        <w:t>Birmingham Clean Air Zone Annual Report</w:t>
      </w:r>
      <w:r w:rsidRPr="00B02E22">
        <w:rPr>
          <w:lang w:val="en-GB"/>
        </w:rPr>
        <w:t xml:space="preserve">. Birmingham: Birmingham City Council. Available at: </w:t>
      </w:r>
      <w:hyperlink r:id="rId12" w:history="1">
        <w:r w:rsidRPr="00B02E22">
          <w:rPr>
            <w:rStyle w:val="Hyperlink"/>
            <w:lang w:val="en-GB"/>
          </w:rPr>
          <w:t>https://www.birmingham.gov.uk</w:t>
        </w:r>
      </w:hyperlink>
      <w:r w:rsidRPr="00B02E22">
        <w:rPr>
          <w:lang w:val="en-GB"/>
        </w:rPr>
        <w:t xml:space="preserve"> (Accessed: 1</w:t>
      </w:r>
      <w:r w:rsidR="004C0B7E">
        <w:rPr>
          <w:lang w:val="en-GB"/>
        </w:rPr>
        <w:t>1</w:t>
      </w:r>
      <w:r w:rsidRPr="00B02E22">
        <w:rPr>
          <w:lang w:val="en-GB"/>
        </w:rPr>
        <w:t xml:space="preserve"> July 2026).</w:t>
      </w:r>
    </w:p>
    <w:p w14:paraId="514EC171" w14:textId="4DEE5694" w:rsidR="00B02E22" w:rsidRPr="00B02E22" w:rsidRDefault="00B02E22" w:rsidP="00B02E22">
      <w:pPr>
        <w:spacing w:before="240" w:after="240" w:line="360" w:lineRule="auto"/>
        <w:jc w:val="both"/>
        <w:rPr>
          <w:lang w:val="en-GB"/>
        </w:rPr>
      </w:pPr>
      <w:r w:rsidRPr="00B02E22">
        <w:rPr>
          <w:lang w:val="en-GB"/>
        </w:rPr>
        <w:t xml:space="preserve">Department of Health and Social Care (2019a) </w:t>
      </w:r>
      <w:r w:rsidRPr="00B02E22">
        <w:rPr>
          <w:i/>
          <w:iCs/>
          <w:lang w:val="en-GB"/>
        </w:rPr>
        <w:t>The NHS Long Term Plan</w:t>
      </w:r>
      <w:r w:rsidRPr="00B02E22">
        <w:rPr>
          <w:lang w:val="en-GB"/>
        </w:rPr>
        <w:t xml:space="preserve">. London: Department of Health and Social Care. Available at: </w:t>
      </w:r>
      <w:hyperlink r:id="rId13" w:history="1">
        <w:r w:rsidRPr="00B02E22">
          <w:rPr>
            <w:rStyle w:val="Hyperlink"/>
            <w:lang w:val="en-GB"/>
          </w:rPr>
          <w:t>https://www.longtermplan.nhs.uk/</w:t>
        </w:r>
      </w:hyperlink>
      <w:r w:rsidRPr="00B02E22">
        <w:rPr>
          <w:lang w:val="en-GB"/>
        </w:rPr>
        <w:t xml:space="preserve"> (Accessed: </w:t>
      </w:r>
      <w:r w:rsidR="004C0B7E">
        <w:rPr>
          <w:lang w:val="en-GB"/>
        </w:rPr>
        <w:t>08</w:t>
      </w:r>
      <w:r w:rsidRPr="00B02E22">
        <w:rPr>
          <w:lang w:val="en-GB"/>
        </w:rPr>
        <w:t xml:space="preserve"> July 2026).</w:t>
      </w:r>
    </w:p>
    <w:p w14:paraId="7C22CB9E" w14:textId="6DA4FBFD" w:rsidR="004C0B7E" w:rsidRDefault="004C0B7E">
      <w:pPr>
        <w:spacing w:before="240" w:after="240" w:line="360" w:lineRule="auto"/>
        <w:jc w:val="both"/>
        <w:rPr>
          <w:kern w:val="2"/>
          <w:lang w:val="en-GB" w:eastAsia="en-GB"/>
          <w14:ligatures w14:val="standardContextual"/>
        </w:rPr>
      </w:pPr>
      <w:r>
        <w:t xml:space="preserve">HM Government (2021) </w:t>
      </w:r>
      <w:r>
        <w:rPr>
          <w:i/>
          <w:iCs/>
        </w:rPr>
        <w:t>Net Zero Strategy: Build Back Greener</w:t>
      </w:r>
      <w:r>
        <w:t>. London: HM Government. Available at: https://www.gov.uk/government/publications/net-zero-strategy (Accessed: 05 July 2026).</w:t>
      </w:r>
    </w:p>
    <w:p w14:paraId="5EA3A3BA" w14:textId="47813D25" w:rsidR="00B02E22" w:rsidRPr="00B02E22" w:rsidRDefault="00B02E22" w:rsidP="00B02E22">
      <w:pPr>
        <w:spacing w:before="240" w:after="240" w:line="360" w:lineRule="auto"/>
        <w:jc w:val="both"/>
        <w:rPr>
          <w:lang w:val="en-GB"/>
        </w:rPr>
      </w:pPr>
      <w:r w:rsidRPr="00B02E22">
        <w:rPr>
          <w:lang w:val="en-GB"/>
        </w:rPr>
        <w:t xml:space="preserve">Intergovernmental Panel on Climate Change (2022) </w:t>
      </w:r>
      <w:r w:rsidRPr="00B02E22">
        <w:rPr>
          <w:i/>
          <w:iCs/>
          <w:lang w:val="en-GB"/>
        </w:rPr>
        <w:t>Climate Change 2022: Impacts, Adaptation and Vulnerability</w:t>
      </w:r>
      <w:r w:rsidRPr="00B02E22">
        <w:rPr>
          <w:lang w:val="en-GB"/>
        </w:rPr>
        <w:t xml:space="preserve">. Geneva: IPCC. Available at: </w:t>
      </w:r>
      <w:hyperlink r:id="rId14" w:history="1">
        <w:r w:rsidRPr="00B02E22">
          <w:rPr>
            <w:rStyle w:val="Hyperlink"/>
            <w:lang w:val="en-GB"/>
          </w:rPr>
          <w:t>https://www.ipcc.ch/report/ar6/wg2/</w:t>
        </w:r>
      </w:hyperlink>
      <w:r w:rsidRPr="00B02E22">
        <w:rPr>
          <w:lang w:val="en-GB"/>
        </w:rPr>
        <w:t xml:space="preserve"> (Accessed: 1</w:t>
      </w:r>
      <w:r w:rsidR="004C0B7E">
        <w:rPr>
          <w:lang w:val="en-GB"/>
        </w:rPr>
        <w:t>1</w:t>
      </w:r>
      <w:r w:rsidRPr="00B02E22">
        <w:rPr>
          <w:lang w:val="en-GB"/>
        </w:rPr>
        <w:t xml:space="preserve"> July 2026).</w:t>
      </w:r>
    </w:p>
    <w:p w14:paraId="46CCFB93" w14:textId="0B4AE314" w:rsidR="00B02E22" w:rsidRPr="00B02E22" w:rsidRDefault="00B02E22" w:rsidP="00B02E22">
      <w:pPr>
        <w:spacing w:before="240" w:after="240" w:line="360" w:lineRule="auto"/>
        <w:jc w:val="both"/>
        <w:rPr>
          <w:lang w:val="en-GB"/>
        </w:rPr>
      </w:pPr>
      <w:r w:rsidRPr="00B02E22">
        <w:rPr>
          <w:lang w:val="en-GB"/>
        </w:rPr>
        <w:t xml:space="preserve">Marmot, M., Allen, J., Boyce, T., Goldblatt, P. and Morrison, J. (2020) </w:t>
      </w:r>
      <w:r w:rsidRPr="00B02E22">
        <w:rPr>
          <w:i/>
          <w:iCs/>
          <w:lang w:val="en-GB"/>
        </w:rPr>
        <w:t>Health Equity in England: The Marmot Review 10 Years On</w:t>
      </w:r>
      <w:r w:rsidRPr="00B02E22">
        <w:rPr>
          <w:lang w:val="en-GB"/>
        </w:rPr>
        <w:t xml:space="preserve">. London: Institute of Health Equity. Available at: </w:t>
      </w:r>
      <w:hyperlink r:id="rId15" w:history="1">
        <w:r w:rsidRPr="00B02E22">
          <w:rPr>
            <w:rStyle w:val="Hyperlink"/>
            <w:lang w:val="en-GB"/>
          </w:rPr>
          <w:t>https://www.instituteofhealthequity.org/resources-reports/marmot-review-10-years-on</w:t>
        </w:r>
      </w:hyperlink>
      <w:r w:rsidRPr="00B02E22">
        <w:rPr>
          <w:lang w:val="en-GB"/>
        </w:rPr>
        <w:t xml:space="preserve"> (Accessed: 1</w:t>
      </w:r>
      <w:r w:rsidR="004C0B7E">
        <w:rPr>
          <w:lang w:val="en-GB"/>
        </w:rPr>
        <w:t>0</w:t>
      </w:r>
      <w:r w:rsidRPr="00B02E22">
        <w:rPr>
          <w:lang w:val="en-GB"/>
        </w:rPr>
        <w:t xml:space="preserve"> July 2026).</w:t>
      </w:r>
    </w:p>
    <w:p w14:paraId="548D7606" w14:textId="77777777" w:rsidR="00B02E22" w:rsidRPr="00B02E22" w:rsidRDefault="00B02E22" w:rsidP="00B02E22">
      <w:pPr>
        <w:spacing w:before="240" w:after="240" w:line="360" w:lineRule="auto"/>
        <w:jc w:val="both"/>
        <w:rPr>
          <w:lang w:val="en-GB"/>
        </w:rPr>
      </w:pPr>
      <w:r w:rsidRPr="00B02E22">
        <w:rPr>
          <w:lang w:val="en-GB"/>
        </w:rPr>
        <w:t xml:space="preserve">NHS England (2022) </w:t>
      </w:r>
      <w:r w:rsidRPr="00B02E22">
        <w:rPr>
          <w:i/>
          <w:iCs/>
          <w:lang w:val="en-GB"/>
        </w:rPr>
        <w:t>Social Prescribing and Community-Based Support Summary Guide</w:t>
      </w:r>
      <w:r w:rsidRPr="00B02E22">
        <w:rPr>
          <w:lang w:val="en-GB"/>
        </w:rPr>
        <w:t xml:space="preserve">. London: NHS England. Available at: </w:t>
      </w:r>
      <w:hyperlink r:id="rId16" w:history="1">
        <w:r w:rsidRPr="00B02E22">
          <w:rPr>
            <w:rStyle w:val="Hyperlink"/>
            <w:lang w:val="en-GB"/>
          </w:rPr>
          <w:t>https://www.england.nhs.uk/social-prescribing/</w:t>
        </w:r>
      </w:hyperlink>
      <w:r w:rsidRPr="00B02E22">
        <w:rPr>
          <w:lang w:val="en-GB"/>
        </w:rPr>
        <w:t xml:space="preserve"> (Accessed: 13 July 2026).</w:t>
      </w:r>
    </w:p>
    <w:p w14:paraId="51F5A3DD" w14:textId="6990D6E8" w:rsidR="00B02E22" w:rsidRPr="00B02E22" w:rsidRDefault="00B02E22" w:rsidP="00B02E22">
      <w:pPr>
        <w:spacing w:before="240" w:after="240" w:line="360" w:lineRule="auto"/>
        <w:jc w:val="both"/>
        <w:rPr>
          <w:lang w:val="en-GB"/>
        </w:rPr>
      </w:pPr>
      <w:r w:rsidRPr="00B02E22">
        <w:rPr>
          <w:lang w:val="en-GB"/>
        </w:rPr>
        <w:t xml:space="preserve">NHS England (2023) </w:t>
      </w:r>
      <w:r w:rsidRPr="00B02E22">
        <w:rPr>
          <w:i/>
          <w:iCs/>
          <w:lang w:val="en-GB"/>
        </w:rPr>
        <w:t>Delivering a Net Zero NHS</w:t>
      </w:r>
      <w:r w:rsidRPr="00B02E22">
        <w:rPr>
          <w:lang w:val="en-GB"/>
        </w:rPr>
        <w:t xml:space="preserve">. London: NHS England. Available at: </w:t>
      </w:r>
      <w:hyperlink r:id="rId17" w:history="1">
        <w:r w:rsidRPr="00B02E22">
          <w:rPr>
            <w:rStyle w:val="Hyperlink"/>
            <w:lang w:val="en-GB"/>
          </w:rPr>
          <w:t>https://www.england.nhs.uk/greenernhs/</w:t>
        </w:r>
      </w:hyperlink>
      <w:r w:rsidRPr="00B02E22">
        <w:rPr>
          <w:lang w:val="en-GB"/>
        </w:rPr>
        <w:t xml:space="preserve"> (Accessed: 1</w:t>
      </w:r>
      <w:r w:rsidR="004C0B7E">
        <w:rPr>
          <w:lang w:val="en-GB"/>
        </w:rPr>
        <w:t>1</w:t>
      </w:r>
      <w:r w:rsidRPr="00B02E22">
        <w:rPr>
          <w:lang w:val="en-GB"/>
        </w:rPr>
        <w:t xml:space="preserve"> July 2026).</w:t>
      </w:r>
    </w:p>
    <w:p w14:paraId="579C2D66" w14:textId="539B2217" w:rsidR="00B02E22" w:rsidRPr="00B02E22" w:rsidRDefault="00B02E22" w:rsidP="00B02E22">
      <w:pPr>
        <w:spacing w:before="240" w:after="240" w:line="360" w:lineRule="auto"/>
        <w:jc w:val="both"/>
        <w:rPr>
          <w:lang w:val="en-GB"/>
        </w:rPr>
      </w:pPr>
      <w:r w:rsidRPr="00B02E22">
        <w:rPr>
          <w:lang w:val="en-GB"/>
        </w:rPr>
        <w:lastRenderedPageBreak/>
        <w:t xml:space="preserve">National Institute for Health and Care Excellence (2022) </w:t>
      </w:r>
      <w:r w:rsidRPr="00B02E22">
        <w:rPr>
          <w:i/>
          <w:iCs/>
          <w:lang w:val="en-GB"/>
        </w:rPr>
        <w:t>Physical Activity and the Environment</w:t>
      </w:r>
      <w:r w:rsidRPr="00B02E22">
        <w:rPr>
          <w:lang w:val="en-GB"/>
        </w:rPr>
        <w:t xml:space="preserve">. London: NICE. Available at: </w:t>
      </w:r>
      <w:hyperlink r:id="rId18" w:history="1">
        <w:r w:rsidRPr="00B02E22">
          <w:rPr>
            <w:rStyle w:val="Hyperlink"/>
            <w:lang w:val="en-GB"/>
          </w:rPr>
          <w:t>https://www.nice.org.uk/guidance</w:t>
        </w:r>
      </w:hyperlink>
      <w:r w:rsidRPr="00B02E22">
        <w:rPr>
          <w:lang w:val="en-GB"/>
        </w:rPr>
        <w:t xml:space="preserve"> (Accessed: </w:t>
      </w:r>
      <w:r w:rsidR="004C0B7E">
        <w:rPr>
          <w:lang w:val="en-GB"/>
        </w:rPr>
        <w:t>05</w:t>
      </w:r>
      <w:r w:rsidRPr="00B02E22">
        <w:rPr>
          <w:lang w:val="en-GB"/>
        </w:rPr>
        <w:t xml:space="preserve"> July 2026).</w:t>
      </w:r>
    </w:p>
    <w:p w14:paraId="1D869346" w14:textId="13934036" w:rsidR="00B02E22" w:rsidRPr="00B02E22" w:rsidRDefault="00B02E22" w:rsidP="00B02E22">
      <w:pPr>
        <w:spacing w:before="240" w:after="240" w:line="360" w:lineRule="auto"/>
        <w:jc w:val="both"/>
        <w:rPr>
          <w:lang w:val="en-GB"/>
        </w:rPr>
      </w:pPr>
      <w:r w:rsidRPr="00B02E22">
        <w:rPr>
          <w:lang w:val="en-GB"/>
        </w:rPr>
        <w:t xml:space="preserve">Office for Health Improvement and Disparities (2022) </w:t>
      </w:r>
      <w:r w:rsidRPr="00B02E22">
        <w:rPr>
          <w:i/>
          <w:iCs/>
          <w:lang w:val="en-GB"/>
        </w:rPr>
        <w:t>Public Health Outcomes Framework</w:t>
      </w:r>
      <w:r w:rsidRPr="00B02E22">
        <w:rPr>
          <w:lang w:val="en-GB"/>
        </w:rPr>
        <w:t xml:space="preserve">. London: OHID. Available at: </w:t>
      </w:r>
      <w:hyperlink r:id="rId19" w:history="1">
        <w:r w:rsidRPr="00B02E22">
          <w:rPr>
            <w:rStyle w:val="Hyperlink"/>
            <w:lang w:val="en-GB"/>
          </w:rPr>
          <w:t>https://www.gov.uk/government/statistics/public-health-outcomes-framework</w:t>
        </w:r>
      </w:hyperlink>
      <w:r w:rsidRPr="00B02E22">
        <w:rPr>
          <w:lang w:val="en-GB"/>
        </w:rPr>
        <w:t xml:space="preserve"> (Accessed: </w:t>
      </w:r>
      <w:r w:rsidR="004C0B7E">
        <w:rPr>
          <w:lang w:val="en-GB"/>
        </w:rPr>
        <w:t>08</w:t>
      </w:r>
      <w:r w:rsidRPr="00B02E22">
        <w:rPr>
          <w:lang w:val="en-GB"/>
        </w:rPr>
        <w:t xml:space="preserve"> July 2026).</w:t>
      </w:r>
    </w:p>
    <w:p w14:paraId="4ECCA983" w14:textId="77777777" w:rsidR="00B02E22" w:rsidRPr="00B02E22" w:rsidRDefault="00B02E22" w:rsidP="00B02E22">
      <w:pPr>
        <w:spacing w:before="240" w:after="240" w:line="360" w:lineRule="auto"/>
        <w:jc w:val="both"/>
        <w:rPr>
          <w:lang w:val="en-GB"/>
        </w:rPr>
      </w:pPr>
      <w:r w:rsidRPr="00B02E22">
        <w:rPr>
          <w:lang w:val="en-GB"/>
        </w:rPr>
        <w:t xml:space="preserve">Office for National Statistics (2022) </w:t>
      </w:r>
      <w:r w:rsidRPr="00B02E22">
        <w:rPr>
          <w:i/>
          <w:iCs/>
          <w:lang w:val="en-GB"/>
        </w:rPr>
        <w:t>Health State Life Expectancies by National Deprivation Deciles, England</w:t>
      </w:r>
      <w:r w:rsidRPr="00B02E22">
        <w:rPr>
          <w:lang w:val="en-GB"/>
        </w:rPr>
        <w:t xml:space="preserve">. Newport: Office for National Statistics. Available at: </w:t>
      </w:r>
      <w:hyperlink r:id="rId20" w:history="1">
        <w:r w:rsidRPr="00B02E22">
          <w:rPr>
            <w:rStyle w:val="Hyperlink"/>
            <w:lang w:val="en-GB"/>
          </w:rPr>
          <w:t>https://www.ons.gov.uk</w:t>
        </w:r>
      </w:hyperlink>
      <w:r w:rsidRPr="00B02E22">
        <w:rPr>
          <w:lang w:val="en-GB"/>
        </w:rPr>
        <w:t xml:space="preserve"> (Accessed: 13 July 2026).</w:t>
      </w:r>
    </w:p>
    <w:p w14:paraId="1C8FF290" w14:textId="13B96B9A" w:rsidR="00B02E22" w:rsidRPr="00B02E22" w:rsidRDefault="00B02E22" w:rsidP="00B02E22">
      <w:pPr>
        <w:spacing w:before="240" w:after="240" w:line="360" w:lineRule="auto"/>
        <w:jc w:val="both"/>
        <w:rPr>
          <w:lang w:val="en-GB"/>
        </w:rPr>
      </w:pPr>
      <w:r w:rsidRPr="00B02E22">
        <w:rPr>
          <w:lang w:val="en-GB"/>
        </w:rPr>
        <w:t xml:space="preserve">Public Health Wales (2021) </w:t>
      </w:r>
      <w:r w:rsidRPr="00B02E22">
        <w:rPr>
          <w:i/>
          <w:iCs/>
          <w:lang w:val="en-GB"/>
        </w:rPr>
        <w:t>Social Prescribing in Wales</w:t>
      </w:r>
      <w:r w:rsidRPr="00B02E22">
        <w:rPr>
          <w:lang w:val="en-GB"/>
        </w:rPr>
        <w:t xml:space="preserve">. Cardiff: Public Health Wales. Available at: </w:t>
      </w:r>
      <w:hyperlink r:id="rId21" w:history="1">
        <w:r w:rsidRPr="00B02E22">
          <w:rPr>
            <w:rStyle w:val="Hyperlink"/>
            <w:lang w:val="en-GB"/>
          </w:rPr>
          <w:t>https://phw.nhs.wales</w:t>
        </w:r>
      </w:hyperlink>
      <w:r w:rsidRPr="00B02E22">
        <w:rPr>
          <w:lang w:val="en-GB"/>
        </w:rPr>
        <w:t xml:space="preserve"> (Accessed: 1</w:t>
      </w:r>
      <w:r w:rsidR="004C0B7E">
        <w:rPr>
          <w:lang w:val="en-GB"/>
        </w:rPr>
        <w:t>1</w:t>
      </w:r>
      <w:r w:rsidRPr="00B02E22">
        <w:rPr>
          <w:lang w:val="en-GB"/>
        </w:rPr>
        <w:t xml:space="preserve"> July 2026).</w:t>
      </w:r>
    </w:p>
    <w:p w14:paraId="59594E56" w14:textId="77777777" w:rsidR="00B02E22" w:rsidRPr="00B02E22" w:rsidRDefault="00B02E22" w:rsidP="00B02E22">
      <w:pPr>
        <w:spacing w:before="240" w:after="240" w:line="360" w:lineRule="auto"/>
        <w:jc w:val="both"/>
        <w:rPr>
          <w:lang w:val="en-GB"/>
        </w:rPr>
      </w:pPr>
      <w:r w:rsidRPr="00B02E22">
        <w:rPr>
          <w:lang w:val="en-GB"/>
        </w:rPr>
        <w:t xml:space="preserve">Solar, O. and Irwin, A. (2017) </w:t>
      </w:r>
      <w:r w:rsidRPr="00B02E22">
        <w:rPr>
          <w:i/>
          <w:iCs/>
          <w:lang w:val="en-GB"/>
        </w:rPr>
        <w:t>A Conceptual Framework for Action on the Social Determinants of Health</w:t>
      </w:r>
      <w:r w:rsidRPr="00B02E22">
        <w:rPr>
          <w:lang w:val="en-GB"/>
        </w:rPr>
        <w:t xml:space="preserve">. Geneva: World Health Organization. Available at: </w:t>
      </w:r>
      <w:hyperlink r:id="rId22" w:history="1">
        <w:r w:rsidRPr="00B02E22">
          <w:rPr>
            <w:rStyle w:val="Hyperlink"/>
            <w:lang w:val="en-GB"/>
          </w:rPr>
          <w:t>https://www.who.int/publications</w:t>
        </w:r>
      </w:hyperlink>
      <w:r w:rsidRPr="00B02E22">
        <w:rPr>
          <w:lang w:val="en-GB"/>
        </w:rPr>
        <w:t xml:space="preserve"> (Accessed: 13 July 2026).</w:t>
      </w:r>
    </w:p>
    <w:p w14:paraId="521F12C8" w14:textId="4AE6364B" w:rsidR="00B02E22" w:rsidRPr="00B02E22" w:rsidRDefault="00B02E22" w:rsidP="00B02E22">
      <w:pPr>
        <w:spacing w:before="240" w:after="240" w:line="360" w:lineRule="auto"/>
        <w:jc w:val="both"/>
        <w:rPr>
          <w:lang w:val="en-GB"/>
        </w:rPr>
      </w:pPr>
      <w:r w:rsidRPr="00B02E22">
        <w:rPr>
          <w:lang w:val="en-GB"/>
        </w:rPr>
        <w:t xml:space="preserve">The Health Foundation (2021) </w:t>
      </w:r>
      <w:r w:rsidRPr="00B02E22">
        <w:rPr>
          <w:i/>
          <w:iCs/>
          <w:lang w:val="en-GB"/>
        </w:rPr>
        <w:t>Prevention and Public Health: Why It Matters</w:t>
      </w:r>
      <w:r w:rsidRPr="00B02E22">
        <w:rPr>
          <w:lang w:val="en-GB"/>
        </w:rPr>
        <w:t xml:space="preserve">. London: The Health Foundation. Available at: </w:t>
      </w:r>
      <w:hyperlink r:id="rId23" w:history="1">
        <w:r w:rsidRPr="00B02E22">
          <w:rPr>
            <w:rStyle w:val="Hyperlink"/>
            <w:lang w:val="en-GB"/>
          </w:rPr>
          <w:t>https://www.health.org.uk/publications</w:t>
        </w:r>
      </w:hyperlink>
      <w:r w:rsidRPr="00B02E22">
        <w:rPr>
          <w:lang w:val="en-GB"/>
        </w:rPr>
        <w:t xml:space="preserve"> (Accessed: 1</w:t>
      </w:r>
      <w:r w:rsidR="004C0B7E">
        <w:rPr>
          <w:lang w:val="en-GB"/>
        </w:rPr>
        <w:t>1</w:t>
      </w:r>
      <w:r w:rsidRPr="00B02E22">
        <w:rPr>
          <w:lang w:val="en-GB"/>
        </w:rPr>
        <w:t xml:space="preserve"> July 2026).</w:t>
      </w:r>
    </w:p>
    <w:p w14:paraId="26256AE1" w14:textId="77777777" w:rsidR="004C0B7E" w:rsidRDefault="004C0B7E">
      <w:pPr>
        <w:spacing w:before="240" w:after="240" w:line="360" w:lineRule="auto"/>
        <w:jc w:val="both"/>
        <w:rPr>
          <w:kern w:val="2"/>
          <w:lang w:val="en-GB" w:eastAsia="en-GB"/>
          <w14:ligatures w14:val="standardContextual"/>
        </w:rPr>
      </w:pPr>
      <w:r>
        <w:t xml:space="preserve">The Health Foundation (2022) </w:t>
      </w:r>
      <w:r>
        <w:rPr>
          <w:i/>
          <w:iCs/>
        </w:rPr>
        <w:t>NHS Vacancy Rates Point to Deepening Workforce Crisis</w:t>
      </w:r>
      <w:r>
        <w:t>. London: The Health Foundation. Available at: https://www.health.org.uk/media-office/press-releases/nhs-vacancy-rates-point-to-deepening-workforce-crisis (Accessed: 13 July 2026).</w:t>
      </w:r>
    </w:p>
    <w:p w14:paraId="0D205ED2" w14:textId="3CC91BFA" w:rsidR="00B02E22" w:rsidRPr="00B02E22" w:rsidRDefault="00B02E22" w:rsidP="00B02E22">
      <w:pPr>
        <w:spacing w:before="240" w:after="240" w:line="360" w:lineRule="auto"/>
        <w:jc w:val="both"/>
        <w:rPr>
          <w:lang w:val="en-GB"/>
        </w:rPr>
      </w:pPr>
      <w:r w:rsidRPr="00B02E22">
        <w:rPr>
          <w:lang w:val="en-GB"/>
        </w:rPr>
        <w:lastRenderedPageBreak/>
        <w:t xml:space="preserve">The King's Fund (2022) </w:t>
      </w:r>
      <w:r w:rsidRPr="00B02E22">
        <w:rPr>
          <w:i/>
          <w:iCs/>
          <w:lang w:val="en-GB"/>
        </w:rPr>
        <w:t>NHS Workforce Shortages in England</w:t>
      </w:r>
      <w:r w:rsidRPr="00B02E22">
        <w:rPr>
          <w:lang w:val="en-GB"/>
        </w:rPr>
        <w:t xml:space="preserve">. London: The King's Fund. Available at: </w:t>
      </w:r>
      <w:hyperlink r:id="rId24" w:history="1">
        <w:r w:rsidRPr="00B02E22">
          <w:rPr>
            <w:rStyle w:val="Hyperlink"/>
            <w:lang w:val="en-GB"/>
          </w:rPr>
          <w:t>https://www.kingsfund.org.uk/publications/nhs-workforce-shortages-england</w:t>
        </w:r>
      </w:hyperlink>
      <w:r w:rsidRPr="00B02E22">
        <w:rPr>
          <w:lang w:val="en-GB"/>
        </w:rPr>
        <w:t xml:space="preserve"> (Accessed: </w:t>
      </w:r>
      <w:r w:rsidR="004C0B7E">
        <w:rPr>
          <w:lang w:val="en-GB"/>
        </w:rPr>
        <w:t>0</w:t>
      </w:r>
      <w:r w:rsidRPr="00B02E22">
        <w:rPr>
          <w:lang w:val="en-GB"/>
        </w:rPr>
        <w:t>3 July 2026).</w:t>
      </w:r>
    </w:p>
    <w:p w14:paraId="60CEC233" w14:textId="77777777" w:rsidR="00B02E22" w:rsidRPr="00B02E22" w:rsidRDefault="00B02E22" w:rsidP="00B02E22">
      <w:pPr>
        <w:spacing w:before="240" w:after="240" w:line="360" w:lineRule="auto"/>
        <w:jc w:val="both"/>
        <w:rPr>
          <w:lang w:val="en-GB"/>
        </w:rPr>
      </w:pPr>
      <w:r w:rsidRPr="00B02E22">
        <w:rPr>
          <w:lang w:val="en-GB"/>
        </w:rPr>
        <w:t xml:space="preserve">Twohig-Bennett, C. and Jones, A. (2018) ‘The health benefits of the great outdoors: A systematic review and meta-analysis of greenspace exposure and health outcomes’, </w:t>
      </w:r>
      <w:r w:rsidRPr="00B02E22">
        <w:rPr>
          <w:i/>
          <w:iCs/>
          <w:lang w:val="en-GB"/>
        </w:rPr>
        <w:t>Environmental Research</w:t>
      </w:r>
      <w:r w:rsidRPr="00B02E22">
        <w:rPr>
          <w:lang w:val="en-GB"/>
        </w:rPr>
        <w:t xml:space="preserve">, 166, pp. 628–637. Available at: </w:t>
      </w:r>
      <w:hyperlink r:id="rId25" w:history="1">
        <w:r w:rsidRPr="00B02E22">
          <w:rPr>
            <w:rStyle w:val="Hyperlink"/>
            <w:lang w:val="en-GB"/>
          </w:rPr>
          <w:t>https://doi.org/10.1016/j.envres.2018.06.030</w:t>
        </w:r>
      </w:hyperlink>
    </w:p>
    <w:p w14:paraId="76FCF85D" w14:textId="25A77913" w:rsidR="00B02E22" w:rsidRPr="00B02E22" w:rsidRDefault="00B02E22" w:rsidP="00B02E22">
      <w:pPr>
        <w:spacing w:before="240" w:after="240" w:line="360" w:lineRule="auto"/>
        <w:jc w:val="both"/>
        <w:rPr>
          <w:lang w:val="en-GB"/>
        </w:rPr>
      </w:pPr>
      <w:r w:rsidRPr="00B02E22">
        <w:rPr>
          <w:lang w:val="en-GB"/>
        </w:rPr>
        <w:t xml:space="preserve">UNICEF (2021) </w:t>
      </w:r>
      <w:r w:rsidRPr="00B02E22">
        <w:rPr>
          <w:i/>
          <w:iCs/>
          <w:lang w:val="en-GB"/>
        </w:rPr>
        <w:t>The Climate Crisis and Child Health</w:t>
      </w:r>
      <w:r w:rsidRPr="00B02E22">
        <w:rPr>
          <w:lang w:val="en-GB"/>
        </w:rPr>
        <w:t xml:space="preserve">. New York: UNICEF. Available at: </w:t>
      </w:r>
      <w:hyperlink r:id="rId26" w:history="1">
        <w:r w:rsidRPr="00B02E22">
          <w:rPr>
            <w:rStyle w:val="Hyperlink"/>
            <w:lang w:val="en-GB"/>
          </w:rPr>
          <w:t>https://www.unicef.org/reports/climate-crisis-child-health</w:t>
        </w:r>
      </w:hyperlink>
      <w:r w:rsidRPr="00B02E22">
        <w:rPr>
          <w:lang w:val="en-GB"/>
        </w:rPr>
        <w:t xml:space="preserve"> (Accessed: 1</w:t>
      </w:r>
      <w:r w:rsidR="004C0B7E">
        <w:rPr>
          <w:lang w:val="en-GB"/>
        </w:rPr>
        <w:t>0</w:t>
      </w:r>
      <w:r w:rsidRPr="00B02E22">
        <w:rPr>
          <w:lang w:val="en-GB"/>
        </w:rPr>
        <w:t xml:space="preserve"> July 2026).</w:t>
      </w:r>
    </w:p>
    <w:p w14:paraId="61D0FFD2" w14:textId="77777777" w:rsidR="00B02E22" w:rsidRPr="00B02E22" w:rsidRDefault="00B02E22" w:rsidP="00B02E22">
      <w:pPr>
        <w:spacing w:before="240" w:after="240" w:line="360" w:lineRule="auto"/>
        <w:jc w:val="both"/>
        <w:rPr>
          <w:lang w:val="en-GB"/>
        </w:rPr>
      </w:pPr>
      <w:r w:rsidRPr="00B02E22">
        <w:rPr>
          <w:lang w:val="en-GB"/>
        </w:rPr>
        <w:t xml:space="preserve">United Nations (2015) </w:t>
      </w:r>
      <w:r w:rsidRPr="00B02E22">
        <w:rPr>
          <w:i/>
          <w:iCs/>
          <w:lang w:val="en-GB"/>
        </w:rPr>
        <w:t>Transforming Our World: The 2030 Agenda for Sustainable Development</w:t>
      </w:r>
      <w:r w:rsidRPr="00B02E22">
        <w:rPr>
          <w:lang w:val="en-GB"/>
        </w:rPr>
        <w:t xml:space="preserve">. New York: United Nations. Available at: </w:t>
      </w:r>
      <w:hyperlink r:id="rId27" w:history="1">
        <w:r w:rsidRPr="00B02E22">
          <w:rPr>
            <w:rStyle w:val="Hyperlink"/>
            <w:lang w:val="en-GB"/>
          </w:rPr>
          <w:t>https://sdgs.un.org/2030agenda</w:t>
        </w:r>
      </w:hyperlink>
      <w:r w:rsidRPr="00B02E22">
        <w:rPr>
          <w:lang w:val="en-GB"/>
        </w:rPr>
        <w:t xml:space="preserve"> (Accessed: 13 July 2026).</w:t>
      </w:r>
    </w:p>
    <w:p w14:paraId="29F2F4D4" w14:textId="5FC9BDFB" w:rsidR="00B02E22" w:rsidRPr="00B02E22" w:rsidRDefault="00B02E22" w:rsidP="00B02E22">
      <w:pPr>
        <w:spacing w:before="240" w:after="240" w:line="360" w:lineRule="auto"/>
        <w:jc w:val="both"/>
        <w:rPr>
          <w:lang w:val="en-GB"/>
        </w:rPr>
      </w:pPr>
      <w:r w:rsidRPr="00B02E22">
        <w:rPr>
          <w:lang w:val="en-GB"/>
        </w:rPr>
        <w:t xml:space="preserve">United Nations (2023) </w:t>
      </w:r>
      <w:r w:rsidRPr="00B02E22">
        <w:rPr>
          <w:i/>
          <w:iCs/>
          <w:lang w:val="en-GB"/>
        </w:rPr>
        <w:t>The Sustainable Development Goals Report 2023</w:t>
      </w:r>
      <w:r w:rsidRPr="00B02E22">
        <w:rPr>
          <w:lang w:val="en-GB"/>
        </w:rPr>
        <w:t xml:space="preserve">. New York: United Nations. Available at: </w:t>
      </w:r>
      <w:hyperlink r:id="rId28" w:history="1">
        <w:r w:rsidRPr="00B02E22">
          <w:rPr>
            <w:rStyle w:val="Hyperlink"/>
            <w:lang w:val="en-GB"/>
          </w:rPr>
          <w:t>https://unstats.un.org/sdgs/report/2023/</w:t>
        </w:r>
      </w:hyperlink>
      <w:r w:rsidRPr="00B02E22">
        <w:rPr>
          <w:lang w:val="en-GB"/>
        </w:rPr>
        <w:t xml:space="preserve"> (Accessed: </w:t>
      </w:r>
      <w:r w:rsidR="004C0B7E">
        <w:rPr>
          <w:lang w:val="en-GB"/>
        </w:rPr>
        <w:t>05</w:t>
      </w:r>
      <w:r w:rsidRPr="00B02E22">
        <w:rPr>
          <w:lang w:val="en-GB"/>
        </w:rPr>
        <w:t xml:space="preserve"> July 2026).</w:t>
      </w:r>
    </w:p>
    <w:p w14:paraId="7415B938" w14:textId="2BDE525C" w:rsidR="00B02E22" w:rsidRPr="00B02E22" w:rsidRDefault="00B02E22" w:rsidP="00B02E22">
      <w:pPr>
        <w:spacing w:before="240" w:after="240" w:line="360" w:lineRule="auto"/>
        <w:jc w:val="both"/>
        <w:rPr>
          <w:lang w:val="en-GB"/>
        </w:rPr>
      </w:pPr>
      <w:r w:rsidRPr="00B02E22">
        <w:rPr>
          <w:lang w:val="en-GB"/>
        </w:rPr>
        <w:t xml:space="preserve">UK Health Security Agency (2023) </w:t>
      </w:r>
      <w:r w:rsidRPr="00B02E22">
        <w:rPr>
          <w:i/>
          <w:iCs/>
          <w:lang w:val="en-GB"/>
        </w:rPr>
        <w:t>Health Effects of Climate Change in the UK: 2023 Report</w:t>
      </w:r>
      <w:r w:rsidRPr="00B02E22">
        <w:rPr>
          <w:lang w:val="en-GB"/>
        </w:rPr>
        <w:t xml:space="preserve">. London: UK Health Security Agency. Available at: </w:t>
      </w:r>
      <w:hyperlink r:id="rId29" w:history="1">
        <w:r w:rsidRPr="00B02E22">
          <w:rPr>
            <w:rStyle w:val="Hyperlink"/>
            <w:lang w:val="en-GB"/>
          </w:rPr>
          <w:t>https://www.gov.uk/government/organisations/uk-health-security-agency</w:t>
        </w:r>
      </w:hyperlink>
      <w:r w:rsidRPr="00B02E22">
        <w:rPr>
          <w:lang w:val="en-GB"/>
        </w:rPr>
        <w:t xml:space="preserve"> (Accessed: </w:t>
      </w:r>
      <w:r w:rsidR="004C0B7E">
        <w:rPr>
          <w:lang w:val="en-GB"/>
        </w:rPr>
        <w:t>09</w:t>
      </w:r>
      <w:r w:rsidRPr="00B02E22">
        <w:rPr>
          <w:lang w:val="en-GB"/>
        </w:rPr>
        <w:t xml:space="preserve"> July 2026).</w:t>
      </w:r>
    </w:p>
    <w:p w14:paraId="006F8C70" w14:textId="61CC8E02" w:rsidR="00B02E22" w:rsidRPr="00B02E22" w:rsidRDefault="00B02E22" w:rsidP="00B02E22">
      <w:pPr>
        <w:spacing w:before="240" w:after="240" w:line="360" w:lineRule="auto"/>
        <w:jc w:val="both"/>
        <w:rPr>
          <w:lang w:val="en-GB"/>
        </w:rPr>
      </w:pPr>
      <w:r w:rsidRPr="00B02E22">
        <w:rPr>
          <w:lang w:val="en-GB"/>
        </w:rPr>
        <w:t xml:space="preserve">UK Health Security Agency (2024) </w:t>
      </w:r>
      <w:r w:rsidRPr="00B02E22">
        <w:rPr>
          <w:i/>
          <w:iCs/>
          <w:lang w:val="en-GB"/>
        </w:rPr>
        <w:t>Adverse Weather and Health Plan</w:t>
      </w:r>
      <w:r w:rsidRPr="00B02E22">
        <w:rPr>
          <w:lang w:val="en-GB"/>
        </w:rPr>
        <w:t xml:space="preserve">. London: UK Health Security Agency. Available at: </w:t>
      </w:r>
      <w:hyperlink r:id="rId30" w:history="1">
        <w:r w:rsidRPr="00B02E22">
          <w:rPr>
            <w:rStyle w:val="Hyperlink"/>
            <w:lang w:val="en-GB"/>
          </w:rPr>
          <w:t>https://www.gov.uk/government/publications/adverse-weather-and-health-plan</w:t>
        </w:r>
      </w:hyperlink>
      <w:r w:rsidRPr="00B02E22">
        <w:rPr>
          <w:lang w:val="en-GB"/>
        </w:rPr>
        <w:t xml:space="preserve"> (Accessed: 1</w:t>
      </w:r>
      <w:r w:rsidR="004C0B7E">
        <w:rPr>
          <w:lang w:val="en-GB"/>
        </w:rPr>
        <w:t>0</w:t>
      </w:r>
      <w:r w:rsidRPr="00B02E22">
        <w:rPr>
          <w:lang w:val="en-GB"/>
        </w:rPr>
        <w:t xml:space="preserve"> July 2026).</w:t>
      </w:r>
    </w:p>
    <w:p w14:paraId="526B582A" w14:textId="2D287E1F" w:rsidR="00B02E22" w:rsidRPr="00B02E22" w:rsidRDefault="00B02E22" w:rsidP="00B02E22">
      <w:pPr>
        <w:spacing w:before="240" w:after="240" w:line="360" w:lineRule="auto"/>
        <w:jc w:val="both"/>
        <w:rPr>
          <w:lang w:val="en-GB"/>
        </w:rPr>
      </w:pPr>
      <w:r w:rsidRPr="00B02E22">
        <w:rPr>
          <w:lang w:val="en-GB"/>
        </w:rPr>
        <w:t xml:space="preserve">World Bank (2022) </w:t>
      </w:r>
      <w:r w:rsidRPr="00B02E22">
        <w:rPr>
          <w:i/>
          <w:iCs/>
          <w:lang w:val="en-GB"/>
        </w:rPr>
        <w:t>Poverty, Health and Climate Vulnerability</w:t>
      </w:r>
      <w:r w:rsidRPr="00B02E22">
        <w:rPr>
          <w:lang w:val="en-GB"/>
        </w:rPr>
        <w:t xml:space="preserve">. Washington, DC: World Bank. Available at: </w:t>
      </w:r>
      <w:hyperlink r:id="rId31" w:history="1">
        <w:r w:rsidRPr="00B02E22">
          <w:rPr>
            <w:rStyle w:val="Hyperlink"/>
            <w:lang w:val="en-GB"/>
          </w:rPr>
          <w:t>https://www.worldbank.org</w:t>
        </w:r>
      </w:hyperlink>
      <w:r w:rsidRPr="00B02E22">
        <w:rPr>
          <w:lang w:val="en-GB"/>
        </w:rPr>
        <w:t xml:space="preserve"> (Accessed: 1</w:t>
      </w:r>
      <w:r w:rsidR="004C0B7E">
        <w:rPr>
          <w:lang w:val="en-GB"/>
        </w:rPr>
        <w:t>1</w:t>
      </w:r>
      <w:r w:rsidRPr="00B02E22">
        <w:rPr>
          <w:lang w:val="en-GB"/>
        </w:rPr>
        <w:t xml:space="preserve"> July 2026).</w:t>
      </w:r>
    </w:p>
    <w:p w14:paraId="7B2214ED" w14:textId="77777777" w:rsidR="00B02E22" w:rsidRPr="00B02E22" w:rsidRDefault="00B02E22" w:rsidP="00B02E22">
      <w:pPr>
        <w:spacing w:before="240" w:after="240" w:line="360" w:lineRule="auto"/>
        <w:jc w:val="both"/>
        <w:rPr>
          <w:lang w:val="en-GB"/>
        </w:rPr>
      </w:pPr>
      <w:r w:rsidRPr="00B02E22">
        <w:rPr>
          <w:lang w:val="en-GB"/>
        </w:rPr>
        <w:lastRenderedPageBreak/>
        <w:t xml:space="preserve">World Health Organization (2021) </w:t>
      </w:r>
      <w:r w:rsidRPr="00B02E22">
        <w:rPr>
          <w:i/>
          <w:iCs/>
          <w:lang w:val="en-GB"/>
        </w:rPr>
        <w:t>Universal Health Coverage Monitoring Report</w:t>
      </w:r>
      <w:r w:rsidRPr="00B02E22">
        <w:rPr>
          <w:lang w:val="en-GB"/>
        </w:rPr>
        <w:t xml:space="preserve">. Geneva: World Health Organization. Available at: </w:t>
      </w:r>
      <w:hyperlink r:id="rId32" w:history="1">
        <w:r w:rsidRPr="00B02E22">
          <w:rPr>
            <w:rStyle w:val="Hyperlink"/>
            <w:lang w:val="en-GB"/>
          </w:rPr>
          <w:t>https://www.who.int</w:t>
        </w:r>
      </w:hyperlink>
      <w:r w:rsidRPr="00B02E22">
        <w:rPr>
          <w:lang w:val="en-GB"/>
        </w:rPr>
        <w:t xml:space="preserve"> (Accessed: 13 July 2026).</w:t>
      </w:r>
    </w:p>
    <w:p w14:paraId="6589D350" w14:textId="7CCED909" w:rsidR="00B02E22" w:rsidRPr="00B02E22" w:rsidRDefault="00B02E22" w:rsidP="00B02E22">
      <w:pPr>
        <w:spacing w:before="240" w:after="240" w:line="360" w:lineRule="auto"/>
        <w:jc w:val="both"/>
        <w:rPr>
          <w:lang w:val="en-GB"/>
        </w:rPr>
      </w:pPr>
      <w:r w:rsidRPr="00B02E22">
        <w:rPr>
          <w:lang w:val="en-GB"/>
        </w:rPr>
        <w:t xml:space="preserve">World Health Organization (2022) </w:t>
      </w:r>
      <w:r w:rsidRPr="00B02E22">
        <w:rPr>
          <w:i/>
          <w:iCs/>
          <w:lang w:val="en-GB"/>
        </w:rPr>
        <w:t>Mental Health and COVID-19: Early Evidence of the Pandemic’s Impact</w:t>
      </w:r>
      <w:r w:rsidRPr="00B02E22">
        <w:rPr>
          <w:lang w:val="en-GB"/>
        </w:rPr>
        <w:t xml:space="preserve">. Geneva: World Health Organization. Available at: </w:t>
      </w:r>
      <w:hyperlink r:id="rId33" w:history="1">
        <w:r w:rsidRPr="00B02E22">
          <w:rPr>
            <w:rStyle w:val="Hyperlink"/>
            <w:lang w:val="en-GB"/>
          </w:rPr>
          <w:t>https://www.who.int</w:t>
        </w:r>
      </w:hyperlink>
      <w:r w:rsidRPr="00B02E22">
        <w:rPr>
          <w:lang w:val="en-GB"/>
        </w:rPr>
        <w:t xml:space="preserve"> (Accessed: </w:t>
      </w:r>
      <w:r w:rsidR="004C0B7E">
        <w:rPr>
          <w:lang w:val="en-GB"/>
        </w:rPr>
        <w:t>09</w:t>
      </w:r>
      <w:r w:rsidRPr="00B02E22">
        <w:rPr>
          <w:lang w:val="en-GB"/>
        </w:rPr>
        <w:t xml:space="preserve"> July 2026).</w:t>
      </w:r>
    </w:p>
    <w:p w14:paraId="737C90C8" w14:textId="10C9C81B" w:rsidR="00B02E22" w:rsidRPr="00B02E22" w:rsidRDefault="00B02E22" w:rsidP="00B02E22">
      <w:pPr>
        <w:spacing w:before="240" w:after="240" w:line="360" w:lineRule="auto"/>
        <w:jc w:val="both"/>
        <w:rPr>
          <w:lang w:val="en-GB"/>
        </w:rPr>
      </w:pPr>
      <w:r w:rsidRPr="00B02E22">
        <w:rPr>
          <w:lang w:val="en-GB"/>
        </w:rPr>
        <w:t xml:space="preserve">World Health Organization (2023a) </w:t>
      </w:r>
      <w:r w:rsidRPr="00B02E22">
        <w:rPr>
          <w:i/>
          <w:iCs/>
          <w:lang w:val="en-GB"/>
        </w:rPr>
        <w:t>Climate Change and Health</w:t>
      </w:r>
      <w:r w:rsidRPr="00B02E22">
        <w:rPr>
          <w:lang w:val="en-GB"/>
        </w:rPr>
        <w:t xml:space="preserve">. Geneva: World Health Organization. Available at: </w:t>
      </w:r>
      <w:hyperlink r:id="rId34" w:history="1">
        <w:r w:rsidRPr="00B02E22">
          <w:rPr>
            <w:rStyle w:val="Hyperlink"/>
            <w:lang w:val="en-GB"/>
          </w:rPr>
          <w:t>https://www.who.int/news-room/fact-sheets/detail/climate-change-and-health</w:t>
        </w:r>
      </w:hyperlink>
      <w:r w:rsidRPr="00B02E22">
        <w:rPr>
          <w:lang w:val="en-GB"/>
        </w:rPr>
        <w:t xml:space="preserve"> (Accessed: </w:t>
      </w:r>
      <w:r w:rsidR="004C0B7E">
        <w:rPr>
          <w:lang w:val="en-GB"/>
        </w:rPr>
        <w:t>0</w:t>
      </w:r>
      <w:r w:rsidRPr="00B02E22">
        <w:rPr>
          <w:lang w:val="en-GB"/>
        </w:rPr>
        <w:t>3 July 2026).</w:t>
      </w:r>
    </w:p>
    <w:p w14:paraId="0CCB3801" w14:textId="489EE050" w:rsidR="00B02E22" w:rsidRPr="00B02E22" w:rsidRDefault="00B02E22" w:rsidP="00B02E22">
      <w:pPr>
        <w:spacing w:before="240" w:after="240" w:line="360" w:lineRule="auto"/>
        <w:jc w:val="both"/>
        <w:rPr>
          <w:lang w:val="en-GB"/>
        </w:rPr>
      </w:pPr>
      <w:r w:rsidRPr="00B02E22">
        <w:rPr>
          <w:lang w:val="en-GB"/>
        </w:rPr>
        <w:t xml:space="preserve">World Health Organization (2023b) </w:t>
      </w:r>
      <w:r w:rsidRPr="00B02E22">
        <w:rPr>
          <w:i/>
          <w:iCs/>
          <w:lang w:val="en-GB"/>
        </w:rPr>
        <w:t>World Health Statistics 2023</w:t>
      </w:r>
      <w:r w:rsidRPr="00B02E22">
        <w:rPr>
          <w:lang w:val="en-GB"/>
        </w:rPr>
        <w:t xml:space="preserve">. Geneva: World Health Organization. Available at: </w:t>
      </w:r>
      <w:hyperlink r:id="rId35" w:history="1">
        <w:r w:rsidRPr="00B02E22">
          <w:rPr>
            <w:rStyle w:val="Hyperlink"/>
            <w:lang w:val="en-GB"/>
          </w:rPr>
          <w:t>https://www.who.int</w:t>
        </w:r>
      </w:hyperlink>
      <w:r w:rsidRPr="00B02E22">
        <w:rPr>
          <w:lang w:val="en-GB"/>
        </w:rPr>
        <w:t xml:space="preserve"> (Accessed: 1</w:t>
      </w:r>
      <w:r w:rsidR="004C0B7E">
        <w:rPr>
          <w:lang w:val="en-GB"/>
        </w:rPr>
        <w:t>1</w:t>
      </w:r>
      <w:r w:rsidRPr="00B02E22">
        <w:rPr>
          <w:lang w:val="en-GB"/>
        </w:rPr>
        <w:t xml:space="preserve"> July 2026).</w:t>
      </w:r>
    </w:p>
    <w:p w14:paraId="6B302ED7" w14:textId="0C7B0ED9" w:rsidR="00B02E22" w:rsidRDefault="00B02E22" w:rsidP="00B02E22">
      <w:pPr>
        <w:spacing w:before="240" w:after="240" w:line="360" w:lineRule="auto"/>
        <w:jc w:val="both"/>
        <w:rPr>
          <w:lang w:val="en-GB"/>
        </w:rPr>
      </w:pPr>
      <w:r w:rsidRPr="00B02E22">
        <w:rPr>
          <w:lang w:val="en-GB"/>
        </w:rPr>
        <w:t xml:space="preserve">World Health Organization (2023c) </w:t>
      </w:r>
      <w:r w:rsidRPr="00B02E22">
        <w:rPr>
          <w:i/>
          <w:iCs/>
          <w:lang w:val="en-GB"/>
        </w:rPr>
        <w:t>Tracking Universal Health Coverage: 2023 Global Monitoring Report</w:t>
      </w:r>
      <w:r w:rsidRPr="00B02E22">
        <w:rPr>
          <w:lang w:val="en-GB"/>
        </w:rPr>
        <w:t xml:space="preserve">. Geneva: World Health Organization. Available at: </w:t>
      </w:r>
      <w:hyperlink r:id="rId36" w:history="1">
        <w:r w:rsidRPr="00B02E22">
          <w:rPr>
            <w:rStyle w:val="Hyperlink"/>
            <w:lang w:val="en-GB"/>
          </w:rPr>
          <w:t>https://www.who.int/publications/i/item/9789240080379</w:t>
        </w:r>
      </w:hyperlink>
      <w:r w:rsidRPr="00B02E22">
        <w:rPr>
          <w:lang w:val="en-GB"/>
        </w:rPr>
        <w:t xml:space="preserve"> (Accessed: </w:t>
      </w:r>
      <w:r w:rsidR="004C0B7E">
        <w:rPr>
          <w:lang w:val="en-GB"/>
        </w:rPr>
        <w:t>0</w:t>
      </w:r>
      <w:r w:rsidRPr="00B02E22">
        <w:rPr>
          <w:lang w:val="en-GB"/>
        </w:rPr>
        <w:t>3 July 2026).</w:t>
      </w:r>
    </w:p>
    <w:p w14:paraId="43B3EC21" w14:textId="15994552" w:rsidR="007B0451" w:rsidRPr="00B02E22" w:rsidRDefault="007F56BF" w:rsidP="007F56BF">
      <w:pPr>
        <w:spacing w:before="240" w:after="240" w:line="360" w:lineRule="auto"/>
        <w:jc w:val="center"/>
        <w:rPr>
          <w:lang w:val="en-GB"/>
        </w:rPr>
      </w:pPr>
      <w:r>
        <w:rPr>
          <w:noProof/>
        </w:rPr>
        <w:drawing>
          <wp:inline distT="0" distB="0" distL="0" distR="0" wp14:anchorId="33189FF7" wp14:editId="1C4E58B1">
            <wp:extent cx="2191775" cy="1229242"/>
            <wp:effectExtent l="0" t="0" r="0" b="9525"/>
            <wp:docPr id="1165101156" name="Picture 4" descr="Vine Leaf Border Images – Browse 128,57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ine Leaf Border Images – Browse 128,576 Stock Photos, Vectors, and Video | Adobe Stock"/>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230424" cy="1250918"/>
                    </a:xfrm>
                    <a:prstGeom prst="rect">
                      <a:avLst/>
                    </a:prstGeom>
                    <a:noFill/>
                    <a:ln>
                      <a:noFill/>
                    </a:ln>
                  </pic:spPr>
                </pic:pic>
              </a:graphicData>
            </a:graphic>
          </wp:inline>
        </w:drawing>
      </w:r>
    </w:p>
    <w:sectPr w:rsidR="007B0451" w:rsidRPr="00B02E22" w:rsidSect="005553BB">
      <w:headerReference w:type="even" r:id="rId38"/>
      <w:headerReference w:type="default" r:id="rId39"/>
      <w:footerReference w:type="even" r:id="rId40"/>
      <w:footerReference w:type="default" r:id="rId41"/>
      <w:headerReference w:type="first" r:id="rId42"/>
      <w:footerReference w:type="first" r:id="rId43"/>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3426EA" w14:textId="77777777" w:rsidR="00F458E3" w:rsidRDefault="00F458E3">
      <w:pPr>
        <w:spacing w:after="0" w:line="240" w:lineRule="auto"/>
      </w:pPr>
      <w:r>
        <w:separator/>
      </w:r>
    </w:p>
  </w:endnote>
  <w:endnote w:type="continuationSeparator" w:id="0">
    <w:p w14:paraId="44A99C9B" w14:textId="77777777" w:rsidR="00F458E3" w:rsidRDefault="00F45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ptos Black">
    <w:charset w:val="00"/>
    <w:family w:val="swiss"/>
    <w:pitch w:val="variable"/>
    <w:sig w:usb0="20000287" w:usb1="00000003" w:usb2="00000000" w:usb3="00000000" w:csb0="0000019F" w:csb1="00000000"/>
  </w:font>
  <w:font w:name="Cavolini">
    <w:charset w:val="00"/>
    <w:family w:val="script"/>
    <w:pitch w:val="variable"/>
    <w:sig w:usb0="A11526FF" w:usb1="8000000A" w:usb2="00010000" w:usb3="00000000" w:csb0="0000019F" w:csb1="00000000"/>
  </w:font>
  <w:font w:name="Georgia Pro Cond">
    <w:panose1 w:val="02040506050405020303"/>
    <w:charset w:val="00"/>
    <w:family w:val="roman"/>
    <w:pitch w:val="variable"/>
    <w:sig w:usb0="800002AF" w:usb1="00000003" w:usb2="00000000" w:usb3="00000000" w:csb0="0000009F" w:csb1="00000000"/>
  </w:font>
  <w:font w:name="STCaiyun">
    <w:charset w:val="86"/>
    <w:family w:val="auto"/>
    <w:pitch w:val="variable"/>
    <w:sig w:usb0="00000001" w:usb1="38CF00F8" w:usb2="00000016" w:usb3="00000000" w:csb0="00040001" w:csb1="00000000"/>
  </w:font>
  <w:font w:name="Traditional Arabic">
    <w:charset w:val="B2"/>
    <w:family w:val="roman"/>
    <w:pitch w:val="variable"/>
    <w:sig w:usb0="00002003" w:usb1="80000000" w:usb2="00000008" w:usb3="00000000" w:csb0="00000041"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F71B4F" w14:textId="77777777" w:rsidR="0031527B" w:rsidRDefault="003152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5890479"/>
      <w:docPartObj>
        <w:docPartGallery w:val="Page Numbers (Bottom of Page)"/>
        <w:docPartUnique/>
      </w:docPartObj>
    </w:sdtPr>
    <w:sdtContent>
      <w:p w14:paraId="59D52561" w14:textId="695F7D89" w:rsidR="005553BB" w:rsidRDefault="005553BB">
        <w:pPr>
          <w:pStyle w:val="Footer"/>
          <w:jc w:val="right"/>
        </w:pPr>
        <w:r>
          <w:fldChar w:fldCharType="begin"/>
        </w:r>
        <w:r>
          <w:instrText>PAGE   \* MERGEFORMAT</w:instrText>
        </w:r>
        <w:r>
          <w:fldChar w:fldCharType="separate"/>
        </w:r>
        <w:r>
          <w:rPr>
            <w:lang w:val="en-GB"/>
          </w:rPr>
          <w:t>2</w:t>
        </w:r>
        <w:r>
          <w:fldChar w:fldCharType="end"/>
        </w:r>
      </w:p>
    </w:sdtContent>
  </w:sdt>
  <w:p w14:paraId="7B9C460A" w14:textId="2CDB8F1B" w:rsidR="56A446ED" w:rsidRDefault="56A446ED" w:rsidP="56A446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8E9D3D" w14:textId="77777777" w:rsidR="0031527B" w:rsidRDefault="00315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087E3B" w14:textId="77777777" w:rsidR="00F458E3" w:rsidRDefault="00F458E3">
      <w:pPr>
        <w:spacing w:after="0" w:line="240" w:lineRule="auto"/>
      </w:pPr>
      <w:r>
        <w:separator/>
      </w:r>
    </w:p>
  </w:footnote>
  <w:footnote w:type="continuationSeparator" w:id="0">
    <w:p w14:paraId="4BFA870E" w14:textId="77777777" w:rsidR="00F458E3" w:rsidRDefault="00F458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EE3DB" w14:textId="77777777" w:rsidR="0031527B" w:rsidRDefault="003152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30F14A" w14:textId="77777777" w:rsidR="0031527B" w:rsidRDefault="003152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BFBEBE" w14:textId="77777777" w:rsidR="0031527B" w:rsidRDefault="0031527B">
    <w:pPr>
      <w:pStyle w:val="Header"/>
    </w:pPr>
  </w:p>
</w:hdr>
</file>

<file path=word/intelligence2.xml><?xml version="1.0" encoding="utf-8"?>
<int2:intelligence xmlns:int2="http://schemas.microsoft.com/office/intelligence/2020/intelligence" xmlns:oel="http://schemas.microsoft.com/office/2019/extlst">
  <int2:observations>
    <int2:textHash int2:hashCode="ni8UUdXdlt6RIo" int2:id="h5Cm89p8">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B60149"/>
    <w:multiLevelType w:val="hybridMultilevel"/>
    <w:tmpl w:val="F0883FC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9128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4BD7B5"/>
    <w:rsid w:val="000C385C"/>
    <w:rsid w:val="000F5E6F"/>
    <w:rsid w:val="0010735D"/>
    <w:rsid w:val="00122EF6"/>
    <w:rsid w:val="0014078F"/>
    <w:rsid w:val="00165903"/>
    <w:rsid w:val="001676FF"/>
    <w:rsid w:val="001D0F9D"/>
    <w:rsid w:val="002127BD"/>
    <w:rsid w:val="00246F11"/>
    <w:rsid w:val="002570A9"/>
    <w:rsid w:val="0031527B"/>
    <w:rsid w:val="0034448A"/>
    <w:rsid w:val="003B3B57"/>
    <w:rsid w:val="003C7D65"/>
    <w:rsid w:val="003E0B22"/>
    <w:rsid w:val="00435578"/>
    <w:rsid w:val="00493306"/>
    <w:rsid w:val="004C0B7E"/>
    <w:rsid w:val="004F1EC9"/>
    <w:rsid w:val="005553BB"/>
    <w:rsid w:val="00557D2E"/>
    <w:rsid w:val="00695554"/>
    <w:rsid w:val="006A0318"/>
    <w:rsid w:val="0070C277"/>
    <w:rsid w:val="007468E9"/>
    <w:rsid w:val="00757877"/>
    <w:rsid w:val="007B0451"/>
    <w:rsid w:val="007D11D1"/>
    <w:rsid w:val="007F56BF"/>
    <w:rsid w:val="008042F9"/>
    <w:rsid w:val="00865D33"/>
    <w:rsid w:val="008B68D6"/>
    <w:rsid w:val="008E3D32"/>
    <w:rsid w:val="00941C21"/>
    <w:rsid w:val="00947F2B"/>
    <w:rsid w:val="009830D9"/>
    <w:rsid w:val="009D428E"/>
    <w:rsid w:val="009F1512"/>
    <w:rsid w:val="009F38EB"/>
    <w:rsid w:val="00A50BDA"/>
    <w:rsid w:val="00AA1EBA"/>
    <w:rsid w:val="00B02E22"/>
    <w:rsid w:val="00B30CE3"/>
    <w:rsid w:val="00B46454"/>
    <w:rsid w:val="00B74830"/>
    <w:rsid w:val="00BA6316"/>
    <w:rsid w:val="00BE230A"/>
    <w:rsid w:val="00BF278B"/>
    <w:rsid w:val="00C24EE8"/>
    <w:rsid w:val="00C33036"/>
    <w:rsid w:val="00C34651"/>
    <w:rsid w:val="00C91AD2"/>
    <w:rsid w:val="00CB7CD4"/>
    <w:rsid w:val="00D065F3"/>
    <w:rsid w:val="00D4788D"/>
    <w:rsid w:val="00DA38AE"/>
    <w:rsid w:val="00DE5696"/>
    <w:rsid w:val="00E0365F"/>
    <w:rsid w:val="00E21800"/>
    <w:rsid w:val="00EF3217"/>
    <w:rsid w:val="00EF717C"/>
    <w:rsid w:val="00F37AFE"/>
    <w:rsid w:val="00F4451D"/>
    <w:rsid w:val="00F458E3"/>
    <w:rsid w:val="00F61CA8"/>
    <w:rsid w:val="00F63A79"/>
    <w:rsid w:val="010B9D84"/>
    <w:rsid w:val="010F4D6C"/>
    <w:rsid w:val="01405AEA"/>
    <w:rsid w:val="016B4102"/>
    <w:rsid w:val="02974D41"/>
    <w:rsid w:val="03CA8FF3"/>
    <w:rsid w:val="06446DAC"/>
    <w:rsid w:val="06B4130E"/>
    <w:rsid w:val="081E9C00"/>
    <w:rsid w:val="09780A9E"/>
    <w:rsid w:val="0AD2F18F"/>
    <w:rsid w:val="0AE98997"/>
    <w:rsid w:val="0C85FEC5"/>
    <w:rsid w:val="0CC99792"/>
    <w:rsid w:val="0D39732D"/>
    <w:rsid w:val="0D565EBB"/>
    <w:rsid w:val="0E3EBEA6"/>
    <w:rsid w:val="0F384917"/>
    <w:rsid w:val="0F7A061C"/>
    <w:rsid w:val="1223E886"/>
    <w:rsid w:val="14794C69"/>
    <w:rsid w:val="156B3D56"/>
    <w:rsid w:val="1684B78A"/>
    <w:rsid w:val="17FB3128"/>
    <w:rsid w:val="1C128ABC"/>
    <w:rsid w:val="1D3B6AA7"/>
    <w:rsid w:val="1D4BD7B5"/>
    <w:rsid w:val="1DC3A6D9"/>
    <w:rsid w:val="1F27E77C"/>
    <w:rsid w:val="1FE727B8"/>
    <w:rsid w:val="20A54F8F"/>
    <w:rsid w:val="218E4E5F"/>
    <w:rsid w:val="229BC565"/>
    <w:rsid w:val="2353ADE3"/>
    <w:rsid w:val="23873F2C"/>
    <w:rsid w:val="24463593"/>
    <w:rsid w:val="25E6C0E6"/>
    <w:rsid w:val="27FA4F73"/>
    <w:rsid w:val="28C5121F"/>
    <w:rsid w:val="28F030FC"/>
    <w:rsid w:val="2A93540C"/>
    <w:rsid w:val="2B5F0034"/>
    <w:rsid w:val="2B7CA9C9"/>
    <w:rsid w:val="2C078443"/>
    <w:rsid w:val="2EB512F4"/>
    <w:rsid w:val="2EBD1AD4"/>
    <w:rsid w:val="2ECB70FD"/>
    <w:rsid w:val="2F2D6A6C"/>
    <w:rsid w:val="2F37D8EF"/>
    <w:rsid w:val="2FBD2EA0"/>
    <w:rsid w:val="3020EB64"/>
    <w:rsid w:val="3056644A"/>
    <w:rsid w:val="32ABDAA3"/>
    <w:rsid w:val="338B186F"/>
    <w:rsid w:val="33DEB791"/>
    <w:rsid w:val="34E0C982"/>
    <w:rsid w:val="35C813D7"/>
    <w:rsid w:val="3663B806"/>
    <w:rsid w:val="366945F5"/>
    <w:rsid w:val="3700534A"/>
    <w:rsid w:val="37447591"/>
    <w:rsid w:val="379223BB"/>
    <w:rsid w:val="37D7A1F4"/>
    <w:rsid w:val="3946758F"/>
    <w:rsid w:val="3AD5BB03"/>
    <w:rsid w:val="3B02F3A8"/>
    <w:rsid w:val="3B5480BE"/>
    <w:rsid w:val="3C455DEC"/>
    <w:rsid w:val="3C6997FD"/>
    <w:rsid w:val="3CBDC842"/>
    <w:rsid w:val="3CF66C5A"/>
    <w:rsid w:val="3DB51D32"/>
    <w:rsid w:val="3DCF9479"/>
    <w:rsid w:val="402166F8"/>
    <w:rsid w:val="4032B6BF"/>
    <w:rsid w:val="4166A953"/>
    <w:rsid w:val="41AADA80"/>
    <w:rsid w:val="42B0CC16"/>
    <w:rsid w:val="430902C3"/>
    <w:rsid w:val="43512A05"/>
    <w:rsid w:val="43983942"/>
    <w:rsid w:val="44C646CC"/>
    <w:rsid w:val="450FC7BD"/>
    <w:rsid w:val="45FDA112"/>
    <w:rsid w:val="46352B35"/>
    <w:rsid w:val="468C5A7C"/>
    <w:rsid w:val="46A455E6"/>
    <w:rsid w:val="49A41B20"/>
    <w:rsid w:val="49B00B91"/>
    <w:rsid w:val="49D5AA7D"/>
    <w:rsid w:val="4C173011"/>
    <w:rsid w:val="4CA99840"/>
    <w:rsid w:val="4DFC63B8"/>
    <w:rsid w:val="4F28EFF1"/>
    <w:rsid w:val="501403B0"/>
    <w:rsid w:val="532D7F3B"/>
    <w:rsid w:val="54215A74"/>
    <w:rsid w:val="547E0B17"/>
    <w:rsid w:val="55619B7E"/>
    <w:rsid w:val="557D8868"/>
    <w:rsid w:val="56A446ED"/>
    <w:rsid w:val="5710819D"/>
    <w:rsid w:val="5715546B"/>
    <w:rsid w:val="5A6FDF4D"/>
    <w:rsid w:val="5A90F5AA"/>
    <w:rsid w:val="5C32141F"/>
    <w:rsid w:val="5DF40862"/>
    <w:rsid w:val="5E286621"/>
    <w:rsid w:val="5E43AFE6"/>
    <w:rsid w:val="5FA94B93"/>
    <w:rsid w:val="605F0E9D"/>
    <w:rsid w:val="6220321D"/>
    <w:rsid w:val="62A7F586"/>
    <w:rsid w:val="64051C1D"/>
    <w:rsid w:val="64243B98"/>
    <w:rsid w:val="64868D3C"/>
    <w:rsid w:val="6622B05A"/>
    <w:rsid w:val="68BD6B8B"/>
    <w:rsid w:val="69AFF849"/>
    <w:rsid w:val="69FC8FBF"/>
    <w:rsid w:val="6ABEEBF4"/>
    <w:rsid w:val="6B155FEC"/>
    <w:rsid w:val="6B2DC309"/>
    <w:rsid w:val="6B387652"/>
    <w:rsid w:val="6C8ED0CF"/>
    <w:rsid w:val="6CA2741E"/>
    <w:rsid w:val="6D45D5A8"/>
    <w:rsid w:val="6F35594A"/>
    <w:rsid w:val="71F751C1"/>
    <w:rsid w:val="72DD6AAE"/>
    <w:rsid w:val="7331C23F"/>
    <w:rsid w:val="73332209"/>
    <w:rsid w:val="740DA3CA"/>
    <w:rsid w:val="749946D3"/>
    <w:rsid w:val="753FEDDF"/>
    <w:rsid w:val="79E4BF12"/>
    <w:rsid w:val="7AC70CCD"/>
    <w:rsid w:val="7C96EAAD"/>
    <w:rsid w:val="7DE1F7CC"/>
    <w:rsid w:val="7E84C8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F91238"/>
  <w15:chartTrackingRefBased/>
  <w15:docId w15:val="{E7CB70BC-CDE0-45E5-8113-DB3F03482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6A446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6A446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527B"/>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31527B"/>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1527B"/>
    <w:pPr>
      <w:keepNext/>
      <w:keepLines/>
      <w:spacing w:before="40" w:after="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semiHidden/>
    <w:unhideWhenUsed/>
    <w:qFormat/>
    <w:rsid w:val="0031527B"/>
    <w:pPr>
      <w:keepNext/>
      <w:keepLines/>
      <w:spacing w:before="40" w:after="0"/>
      <w:outlineLvl w:val="5"/>
    </w:pPr>
    <w:rPr>
      <w:rFonts w:asciiTheme="majorHAnsi" w:eastAsiaTheme="majorEastAsia" w:hAnsiTheme="majorHAnsi" w:cstheme="majorBidi"/>
      <w:color w:val="0A2F40" w:themeColor="accent1" w:themeShade="7F"/>
    </w:rPr>
  </w:style>
  <w:style w:type="paragraph" w:styleId="Heading7">
    <w:name w:val="heading 7"/>
    <w:basedOn w:val="Normal"/>
    <w:next w:val="Normal"/>
    <w:link w:val="Heading7Char"/>
    <w:uiPriority w:val="9"/>
    <w:semiHidden/>
    <w:unhideWhenUsed/>
    <w:qFormat/>
    <w:rsid w:val="0031527B"/>
    <w:pPr>
      <w:keepNext/>
      <w:keepLines/>
      <w:spacing w:before="40" w:after="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31527B"/>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1527B"/>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56A446ED"/>
    <w:pPr>
      <w:tabs>
        <w:tab w:val="center" w:pos="4680"/>
        <w:tab w:val="right" w:pos="9360"/>
      </w:tabs>
      <w:spacing w:after="0" w:line="240" w:lineRule="auto"/>
    </w:pPr>
  </w:style>
  <w:style w:type="paragraph" w:styleId="Footer">
    <w:name w:val="footer"/>
    <w:basedOn w:val="Normal"/>
    <w:link w:val="FooterChar"/>
    <w:uiPriority w:val="99"/>
    <w:unhideWhenUsed/>
    <w:rsid w:val="56A446E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D065F3"/>
    <w:rPr>
      <w:rFonts w:ascii="Times New Roman" w:hAnsi="Times New Roman" w:cs="Times New Roman"/>
    </w:rPr>
  </w:style>
  <w:style w:type="character" w:styleId="Hyperlink">
    <w:name w:val="Hyperlink"/>
    <w:basedOn w:val="DefaultParagraphFont"/>
    <w:uiPriority w:val="99"/>
    <w:unhideWhenUsed/>
    <w:rsid w:val="007468E9"/>
    <w:rPr>
      <w:color w:val="467886" w:themeColor="hyperlink"/>
      <w:u w:val="single"/>
    </w:rPr>
  </w:style>
  <w:style w:type="character" w:styleId="UnresolvedMention">
    <w:name w:val="Unresolved Mention"/>
    <w:basedOn w:val="DefaultParagraphFont"/>
    <w:uiPriority w:val="99"/>
    <w:semiHidden/>
    <w:unhideWhenUsed/>
    <w:rsid w:val="007468E9"/>
    <w:rPr>
      <w:color w:val="605E5C"/>
      <w:shd w:val="clear" w:color="auto" w:fill="E1DFDD"/>
    </w:rPr>
  </w:style>
  <w:style w:type="paragraph" w:styleId="Revision">
    <w:name w:val="Revision"/>
    <w:hidden/>
    <w:uiPriority w:val="99"/>
    <w:semiHidden/>
    <w:rsid w:val="00E21800"/>
    <w:pPr>
      <w:spacing w:after="0" w:line="240" w:lineRule="auto"/>
    </w:pPr>
  </w:style>
  <w:style w:type="character" w:customStyle="1" w:styleId="FooterChar">
    <w:name w:val="Footer Char"/>
    <w:basedOn w:val="DefaultParagraphFont"/>
    <w:link w:val="Footer"/>
    <w:uiPriority w:val="99"/>
    <w:rsid w:val="001D0F9D"/>
  </w:style>
  <w:style w:type="character" w:styleId="BookTitle">
    <w:name w:val="Book Title"/>
    <w:basedOn w:val="DefaultParagraphFont"/>
    <w:uiPriority w:val="33"/>
    <w:qFormat/>
    <w:rsid w:val="0031527B"/>
    <w:rPr>
      <w:b/>
      <w:bCs/>
      <w:i/>
      <w:iCs/>
      <w:spacing w:val="5"/>
    </w:rPr>
  </w:style>
  <w:style w:type="paragraph" w:styleId="Caption">
    <w:name w:val="caption"/>
    <w:basedOn w:val="Normal"/>
    <w:next w:val="Normal"/>
    <w:uiPriority w:val="35"/>
    <w:semiHidden/>
    <w:unhideWhenUsed/>
    <w:qFormat/>
    <w:rsid w:val="0031527B"/>
    <w:pPr>
      <w:spacing w:after="200" w:line="240" w:lineRule="auto"/>
    </w:pPr>
    <w:rPr>
      <w:i/>
      <w:iCs/>
      <w:color w:val="0E2841" w:themeColor="text2"/>
      <w:sz w:val="18"/>
      <w:szCs w:val="18"/>
    </w:rPr>
  </w:style>
  <w:style w:type="character" w:styleId="Emphasis">
    <w:name w:val="Emphasis"/>
    <w:basedOn w:val="DefaultParagraphFont"/>
    <w:uiPriority w:val="20"/>
    <w:qFormat/>
    <w:rsid w:val="0031527B"/>
    <w:rPr>
      <w:i/>
      <w:iCs/>
    </w:rPr>
  </w:style>
  <w:style w:type="character" w:customStyle="1" w:styleId="Heading3Char">
    <w:name w:val="Heading 3 Char"/>
    <w:basedOn w:val="DefaultParagraphFont"/>
    <w:link w:val="Heading3"/>
    <w:uiPriority w:val="9"/>
    <w:semiHidden/>
    <w:rsid w:val="0031527B"/>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31527B"/>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semiHidden/>
    <w:rsid w:val="0031527B"/>
    <w:rPr>
      <w:rFonts w:asciiTheme="majorHAnsi" w:eastAsiaTheme="majorEastAsia" w:hAnsiTheme="majorHAnsi" w:cstheme="majorBidi"/>
      <w:color w:val="0F4761" w:themeColor="accent1" w:themeShade="BF"/>
    </w:rPr>
  </w:style>
  <w:style w:type="character" w:customStyle="1" w:styleId="Heading6Char">
    <w:name w:val="Heading 6 Char"/>
    <w:basedOn w:val="DefaultParagraphFont"/>
    <w:link w:val="Heading6"/>
    <w:uiPriority w:val="9"/>
    <w:semiHidden/>
    <w:rsid w:val="0031527B"/>
    <w:rPr>
      <w:rFonts w:asciiTheme="majorHAnsi" w:eastAsiaTheme="majorEastAsia" w:hAnsiTheme="majorHAnsi" w:cstheme="majorBidi"/>
      <w:color w:val="0A2F40" w:themeColor="accent1" w:themeShade="7F"/>
    </w:rPr>
  </w:style>
  <w:style w:type="character" w:customStyle="1" w:styleId="Heading7Char">
    <w:name w:val="Heading 7 Char"/>
    <w:basedOn w:val="DefaultParagraphFont"/>
    <w:link w:val="Heading7"/>
    <w:uiPriority w:val="9"/>
    <w:semiHidden/>
    <w:rsid w:val="0031527B"/>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31527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1527B"/>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31527B"/>
    <w:rPr>
      <w:i/>
      <w:iCs/>
      <w:color w:val="156082" w:themeColor="accent1"/>
    </w:rPr>
  </w:style>
  <w:style w:type="paragraph" w:styleId="IntenseQuote">
    <w:name w:val="Intense Quote"/>
    <w:basedOn w:val="Normal"/>
    <w:next w:val="Normal"/>
    <w:link w:val="IntenseQuoteChar"/>
    <w:uiPriority w:val="30"/>
    <w:qFormat/>
    <w:rsid w:val="0031527B"/>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31527B"/>
    <w:rPr>
      <w:i/>
      <w:iCs/>
      <w:color w:val="156082" w:themeColor="accent1"/>
    </w:rPr>
  </w:style>
  <w:style w:type="character" w:styleId="IntenseReference">
    <w:name w:val="Intense Reference"/>
    <w:basedOn w:val="DefaultParagraphFont"/>
    <w:uiPriority w:val="32"/>
    <w:qFormat/>
    <w:rsid w:val="0031527B"/>
    <w:rPr>
      <w:b/>
      <w:bCs/>
      <w:smallCaps/>
      <w:color w:val="156082" w:themeColor="accent1"/>
      <w:spacing w:val="5"/>
    </w:rPr>
  </w:style>
  <w:style w:type="paragraph" w:styleId="ListParagraph">
    <w:name w:val="List Paragraph"/>
    <w:basedOn w:val="Normal"/>
    <w:uiPriority w:val="34"/>
    <w:qFormat/>
    <w:rsid w:val="0031527B"/>
    <w:pPr>
      <w:ind w:left="720"/>
      <w:contextualSpacing/>
    </w:pPr>
  </w:style>
  <w:style w:type="paragraph" w:styleId="NoSpacing">
    <w:name w:val="No Spacing"/>
    <w:uiPriority w:val="1"/>
    <w:qFormat/>
    <w:rsid w:val="0031527B"/>
    <w:pPr>
      <w:spacing w:after="0" w:line="240" w:lineRule="auto"/>
    </w:pPr>
  </w:style>
  <w:style w:type="paragraph" w:styleId="Quote">
    <w:name w:val="Quote"/>
    <w:basedOn w:val="Normal"/>
    <w:next w:val="Normal"/>
    <w:link w:val="QuoteChar"/>
    <w:uiPriority w:val="29"/>
    <w:qFormat/>
    <w:rsid w:val="0031527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1527B"/>
    <w:rPr>
      <w:i/>
      <w:iCs/>
      <w:color w:val="404040" w:themeColor="text1" w:themeTint="BF"/>
    </w:rPr>
  </w:style>
  <w:style w:type="character" w:styleId="Strong">
    <w:name w:val="Strong"/>
    <w:basedOn w:val="DefaultParagraphFont"/>
    <w:uiPriority w:val="22"/>
    <w:qFormat/>
    <w:rsid w:val="0031527B"/>
    <w:rPr>
      <w:b/>
      <w:bCs/>
    </w:rPr>
  </w:style>
  <w:style w:type="paragraph" w:styleId="Subtitle">
    <w:name w:val="Subtitle"/>
    <w:basedOn w:val="Normal"/>
    <w:next w:val="Normal"/>
    <w:link w:val="SubtitleChar"/>
    <w:uiPriority w:val="11"/>
    <w:qFormat/>
    <w:rsid w:val="0031527B"/>
    <w:pPr>
      <w:numPr>
        <w:ilvl w:val="1"/>
      </w:numPr>
    </w:pPr>
    <w:rPr>
      <w:color w:val="5A5A5A" w:themeColor="text1" w:themeTint="A5"/>
      <w:spacing w:val="15"/>
      <w:sz w:val="22"/>
      <w:szCs w:val="22"/>
    </w:rPr>
  </w:style>
  <w:style w:type="character" w:customStyle="1" w:styleId="SubtitleChar">
    <w:name w:val="Subtitle Char"/>
    <w:basedOn w:val="DefaultParagraphFont"/>
    <w:link w:val="Subtitle"/>
    <w:uiPriority w:val="11"/>
    <w:rsid w:val="0031527B"/>
    <w:rPr>
      <w:color w:val="5A5A5A" w:themeColor="text1" w:themeTint="A5"/>
      <w:spacing w:val="15"/>
      <w:sz w:val="22"/>
      <w:szCs w:val="22"/>
    </w:rPr>
  </w:style>
  <w:style w:type="character" w:styleId="SubtleEmphasis">
    <w:name w:val="Subtle Emphasis"/>
    <w:basedOn w:val="DefaultParagraphFont"/>
    <w:uiPriority w:val="19"/>
    <w:qFormat/>
    <w:rsid w:val="0031527B"/>
    <w:rPr>
      <w:i/>
      <w:iCs/>
      <w:color w:val="404040" w:themeColor="text1" w:themeTint="BF"/>
    </w:rPr>
  </w:style>
  <w:style w:type="character" w:styleId="SubtleReference">
    <w:name w:val="Subtle Reference"/>
    <w:basedOn w:val="DefaultParagraphFont"/>
    <w:uiPriority w:val="31"/>
    <w:qFormat/>
    <w:rsid w:val="0031527B"/>
    <w:rPr>
      <w:smallCaps/>
      <w:color w:val="5A5A5A" w:themeColor="text1" w:themeTint="A5"/>
    </w:rPr>
  </w:style>
  <w:style w:type="paragraph" w:styleId="Title">
    <w:name w:val="Title"/>
    <w:basedOn w:val="Normal"/>
    <w:next w:val="Normal"/>
    <w:link w:val="TitleChar"/>
    <w:uiPriority w:val="10"/>
    <w:qFormat/>
    <w:rsid w:val="0031527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27B"/>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31527B"/>
    <w:pPr>
      <w:spacing w:before="240" w:after="0"/>
      <w:outlineLvl w:val="9"/>
    </w:pPr>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ongtermplan.nhs.uk/" TargetMode="External"/><Relationship Id="rId18" Type="http://schemas.openxmlformats.org/officeDocument/2006/relationships/hyperlink" Target="https://www.nice.org.uk/guidance" TargetMode="External"/><Relationship Id="rId26" Type="http://schemas.openxmlformats.org/officeDocument/2006/relationships/hyperlink" Target="https://www.unicef.org/reports/climate-crisis-child-health" TargetMode="External"/><Relationship Id="rId39" Type="http://schemas.openxmlformats.org/officeDocument/2006/relationships/header" Target="header2.xml"/><Relationship Id="rId21" Type="http://schemas.openxmlformats.org/officeDocument/2006/relationships/hyperlink" Target="https://phw.nhs.wales/" TargetMode="External"/><Relationship Id="rId34" Type="http://schemas.openxmlformats.org/officeDocument/2006/relationships/hyperlink" Target="https://www.who.int/news-room/fact-sheets/detail/climate-change-and-health" TargetMode="External"/><Relationship Id="rId42"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ngland.nhs.uk/social-prescribing/" TargetMode="External"/><Relationship Id="rId29" Type="http://schemas.openxmlformats.org/officeDocument/2006/relationships/hyperlink" Target="https://www.gov.uk/government/organisations/uk-health-security-agen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kingsfund.org.uk/publications/nhs-workforce-shortages-england" TargetMode="External"/><Relationship Id="rId32" Type="http://schemas.openxmlformats.org/officeDocument/2006/relationships/hyperlink" Target="https://www.who.int/" TargetMode="External"/><Relationship Id="rId37" Type="http://schemas.openxmlformats.org/officeDocument/2006/relationships/image" Target="media/image5.jpeg"/><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stituteofhealthequity.org/resources-reports/marmot-review-10-years-on" TargetMode="External"/><Relationship Id="rId23" Type="http://schemas.openxmlformats.org/officeDocument/2006/relationships/hyperlink" Target="https://www.health.org.uk/publications" TargetMode="External"/><Relationship Id="rId28" Type="http://schemas.openxmlformats.org/officeDocument/2006/relationships/hyperlink" Target="https://unstats.un.org/sdgs/report/2023/" TargetMode="External"/><Relationship Id="rId36" Type="http://schemas.openxmlformats.org/officeDocument/2006/relationships/hyperlink" Target="https://www.who.int/publications/i/item/9789240080379" TargetMode="External"/><Relationship Id="rId10" Type="http://schemas.openxmlformats.org/officeDocument/2006/relationships/image" Target="media/image3.jpeg"/><Relationship Id="rId19" Type="http://schemas.openxmlformats.org/officeDocument/2006/relationships/hyperlink" Target="https://www.gov.uk/government/statistics/public-health-outcomes-framework" TargetMode="External"/><Relationship Id="rId31" Type="http://schemas.openxmlformats.org/officeDocument/2006/relationships/hyperlink" Target="https://www.worldbank.org/"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pcc.ch/report/ar6/wg2/" TargetMode="External"/><Relationship Id="rId22" Type="http://schemas.openxmlformats.org/officeDocument/2006/relationships/hyperlink" Target="https://www.who.int/publications" TargetMode="External"/><Relationship Id="rId27" Type="http://schemas.openxmlformats.org/officeDocument/2006/relationships/hyperlink" Target="https://sdgs.un.org/2030agenda" TargetMode="External"/><Relationship Id="rId30" Type="http://schemas.openxmlformats.org/officeDocument/2006/relationships/hyperlink" Target="https://www.gov.uk/government/publications/adverse-weather-and-health-plan" TargetMode="External"/><Relationship Id="rId35" Type="http://schemas.openxmlformats.org/officeDocument/2006/relationships/hyperlink" Target="https://www.who.int/" TargetMode="External"/><Relationship Id="rId43"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irmingham.gov.uk/" TargetMode="External"/><Relationship Id="rId17" Type="http://schemas.openxmlformats.org/officeDocument/2006/relationships/hyperlink" Target="https://www.england.nhs.uk/greenernhs/" TargetMode="External"/><Relationship Id="rId25" Type="http://schemas.openxmlformats.org/officeDocument/2006/relationships/hyperlink" Target="https://doi.org/10.1016/j.envres.2018.06.030" TargetMode="External"/><Relationship Id="rId33" Type="http://schemas.openxmlformats.org/officeDocument/2006/relationships/hyperlink" Target="https://www.who.int/" TargetMode="External"/><Relationship Id="rId38" Type="http://schemas.openxmlformats.org/officeDocument/2006/relationships/header" Target="header1.xml"/><Relationship Id="rId46" Type="http://schemas.microsoft.com/office/2020/10/relationships/intelligence" Target="intelligence2.xml"/><Relationship Id="rId20" Type="http://schemas.openxmlformats.org/officeDocument/2006/relationships/hyperlink" Target="https://www.ons.gov.uk/" TargetMode="External"/><Relationship Id="rId4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Segoe U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748A5-25ED-4FFF-BEFE-1BB99CDAE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1</Pages>
  <Words>3071</Words>
  <Characters>22175</Characters>
  <Application>Microsoft Office Word</Application>
  <DocSecurity>0</DocSecurity>
  <Lines>341</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Ali</dc:creator>
  <cp:keywords/>
  <dc:description/>
  <cp:lastModifiedBy>Naheed Ali</cp:lastModifiedBy>
  <cp:revision>14</cp:revision>
  <dcterms:created xsi:type="dcterms:W3CDTF">2026-05-19T16:49:00Z</dcterms:created>
  <dcterms:modified xsi:type="dcterms:W3CDTF">2026-07-13T11:33:00Z</dcterms:modified>
</cp:coreProperties>
</file>