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AE201D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B1088">
              <w:rPr>
                <w:rFonts w:ascii="Tahoma" w:hAnsi="Tahoma" w:cs="Tahoma"/>
                <w:b/>
                <w:sz w:val="20"/>
                <w:szCs w:val="20"/>
              </w:rPr>
              <w:t xml:space="preserve">Kazi </w:t>
            </w:r>
            <w:proofErr w:type="spellStart"/>
            <w:r w:rsidR="00AB1088">
              <w:rPr>
                <w:rFonts w:ascii="Tahoma" w:hAnsi="Tahoma" w:cs="Tahoma"/>
                <w:b/>
                <w:sz w:val="20"/>
                <w:szCs w:val="20"/>
              </w:rPr>
              <w:t>suma</w:t>
            </w:r>
            <w:proofErr w:type="spellEnd"/>
            <w:r w:rsidR="00AB1088">
              <w:rPr>
                <w:rFonts w:ascii="Tahoma" w:hAnsi="Tahoma" w:cs="Tahoma"/>
                <w:b/>
                <w:sz w:val="20"/>
                <w:szCs w:val="20"/>
              </w:rPr>
              <w:t xml:space="preserve"> Begum </w:t>
            </w:r>
            <w:proofErr w:type="spellStart"/>
            <w:r w:rsidR="00AB1088">
              <w:rPr>
                <w:rFonts w:ascii="Tahoma" w:hAnsi="Tahoma" w:cs="Tahoma"/>
                <w:b/>
                <w:sz w:val="20"/>
                <w:szCs w:val="20"/>
              </w:rPr>
              <w:t>choudhury</w:t>
            </w:r>
            <w:proofErr w:type="spellEnd"/>
          </w:p>
          <w:p w14:paraId="498F0B10" w14:textId="77777777" w:rsidR="001B69C8" w:rsidRPr="003C3341" w:rsidRDefault="001B69C8">
            <w:pPr>
              <w:rPr>
                <w:rFonts w:ascii="Tahoma" w:hAnsi="Tahoma" w:cs="Tahoma"/>
                <w:b/>
                <w:sz w:val="20"/>
                <w:szCs w:val="20"/>
              </w:rPr>
            </w:pPr>
          </w:p>
          <w:p w14:paraId="69E1F0CF" w14:textId="548DF4B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B1088">
              <w:rPr>
                <w:rFonts w:ascii="Tahoma" w:hAnsi="Tahoma" w:cs="Tahoma"/>
                <w:b/>
                <w:sz w:val="20"/>
                <w:szCs w:val="20"/>
              </w:rPr>
              <w:t>2021655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2019D1B6" w14:textId="784FD475" w:rsidR="00B21F2E" w:rsidRPr="00AB1088" w:rsidRDefault="001B69C8" w:rsidP="00AB1088">
            <w:pPr>
              <w:pStyle w:val="NormalWeb"/>
            </w:pPr>
            <w:r>
              <w:rPr>
                <w:rFonts w:ascii="Tahoma" w:hAnsi="Tahoma" w:cs="Tahoma"/>
                <w:b/>
                <w:sz w:val="20"/>
                <w:szCs w:val="20"/>
              </w:rPr>
              <w:t>Module:</w:t>
            </w:r>
            <w:r w:rsidR="003478CE">
              <w:rPr>
                <w:rFonts w:ascii="Tahoma" w:hAnsi="Tahoma" w:cs="Tahoma"/>
                <w:b/>
                <w:sz w:val="20"/>
                <w:szCs w:val="20"/>
              </w:rPr>
              <w:t xml:space="preserve"> </w:t>
            </w:r>
            <w:r w:rsidR="00AB1088">
              <w:rPr>
                <w:rFonts w:ascii="Calibri" w:hAnsi="Calibri" w:cs="Calibri"/>
                <w:b/>
                <w:bCs/>
                <w:sz w:val="22"/>
                <w:szCs w:val="22"/>
              </w:rPr>
              <w:t xml:space="preserve">Food &amp; Beverage Operations </w:t>
            </w:r>
          </w:p>
          <w:p w14:paraId="450FE136" w14:textId="2B94338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B1088">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4A2F658" w14:textId="77777777" w:rsidR="007719BE" w:rsidRDefault="008F0D83" w:rsidP="007719BE">
            <w:pPr>
              <w:pStyle w:val="NormalWeb"/>
              <w:spacing w:line="360" w:lineRule="auto"/>
              <w:jc w:val="both"/>
              <w:rPr>
                <w:rFonts w:ascii="SymbolMT" w:hAnsi="SymbolMT"/>
              </w:rPr>
            </w:pPr>
            <w:r>
              <w:rPr>
                <w:rFonts w:ascii="Tahoma" w:hAnsi="Tahoma" w:cs="Tahoma"/>
                <w:b/>
                <w:sz w:val="20"/>
                <w:szCs w:val="20"/>
              </w:rPr>
              <w:t>Topic of choice:</w:t>
            </w:r>
            <w:r w:rsidR="00B60FDF">
              <w:rPr>
                <w:rFonts w:ascii="Tahoma" w:hAnsi="Tahoma" w:cs="Tahoma"/>
                <w:b/>
                <w:sz w:val="20"/>
                <w:szCs w:val="20"/>
              </w:rPr>
              <w:t xml:space="preserve"> </w:t>
            </w:r>
            <w:r w:rsidR="007719BE" w:rsidRPr="007719BE">
              <w:rPr>
                <w:rFonts w:ascii="Arial" w:hAnsi="Arial" w:cs="Arial"/>
              </w:rPr>
              <w:t>Allergies and Intolerances and the importance within the industry</w:t>
            </w:r>
            <w:r w:rsidR="007719BE">
              <w:rPr>
                <w:rFonts w:ascii="Calibri" w:hAnsi="Calibri" w:cs="Calibri"/>
              </w:rPr>
              <w:t xml:space="preserve"> </w:t>
            </w:r>
          </w:p>
          <w:p w14:paraId="15299B24" w14:textId="0AF919D4" w:rsidR="00B21F2E" w:rsidRPr="00946B23" w:rsidRDefault="00B21F2E" w:rsidP="007719BE">
            <w:pPr>
              <w:rPr>
                <w:rFonts w:ascii="Tahoma" w:hAnsi="Tahoma" w:cs="Tahoma"/>
                <w:b/>
                <w:sz w:val="20"/>
                <w:szCs w:val="20"/>
              </w:rPr>
            </w:pP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F9BD1BA" w14:textId="77777777" w:rsidR="00D76C0B" w:rsidRPr="00D76C0B" w:rsidRDefault="00D76C0B" w:rsidP="00D76C0B">
            <w:pPr>
              <w:spacing w:before="100" w:beforeAutospacing="1" w:after="100" w:afterAutospacing="1" w:line="360" w:lineRule="auto"/>
              <w:jc w:val="both"/>
              <w:rPr>
                <w:rFonts w:ascii="Arial" w:hAnsi="Arial" w:cs="Arial"/>
                <w:color w:val="222222"/>
              </w:rPr>
            </w:pPr>
            <w:r w:rsidRPr="00D76C0B">
              <w:rPr>
                <w:rFonts w:ascii="Arial" w:hAnsi="Arial" w:cs="Arial"/>
                <w:color w:val="222222"/>
              </w:rPr>
              <w:t xml:space="preserve">Food allergy is the discomfort derived from an immunological mechanism that affirms the immune system's reaction to harmless food. It induces respiratory, gastrointestinal, cutaneous as well as cardiovascular symptoms. On the other side of the coin, food intolerance is the non-immunological form that involves a chemical reaction from eating specific food or drink (Ortolani and Pastorello, 2016). The proposition is that mild to moderate food allergy or intolerance may drive to a similar reaction. Still, the difference is, food intolerance does not mainly involve the immune system and does not produce severe allergic reactions. </w:t>
            </w:r>
          </w:p>
          <w:p w14:paraId="77C9C67A" w14:textId="77777777" w:rsidR="00D76C0B" w:rsidRPr="00D76C0B" w:rsidRDefault="00D76C0B" w:rsidP="00D76C0B">
            <w:pPr>
              <w:spacing w:before="100" w:beforeAutospacing="1" w:after="100" w:afterAutospacing="1" w:line="360" w:lineRule="auto"/>
              <w:jc w:val="both"/>
              <w:rPr>
                <w:rFonts w:ascii="Arial" w:hAnsi="Arial" w:cs="Arial"/>
                <w:color w:val="222222"/>
              </w:rPr>
            </w:pPr>
            <w:r w:rsidRPr="00D76C0B">
              <w:rPr>
                <w:rFonts w:ascii="Arial" w:hAnsi="Arial" w:cs="Arial"/>
                <w:color w:val="222222"/>
              </w:rPr>
              <w:t xml:space="preserve">Food allergy can be defined as an </w:t>
            </w:r>
            <w:proofErr w:type="spellStart"/>
            <w:r w:rsidRPr="00D76C0B">
              <w:rPr>
                <w:rFonts w:ascii="Arial" w:hAnsi="Arial" w:cs="Arial"/>
                <w:color w:val="222222"/>
              </w:rPr>
              <w:t>unfavorable</w:t>
            </w:r>
            <w:proofErr w:type="spellEnd"/>
            <w:r w:rsidRPr="00D76C0B">
              <w:rPr>
                <w:rFonts w:ascii="Arial" w:hAnsi="Arial" w:cs="Arial"/>
                <w:color w:val="222222"/>
              </w:rPr>
              <w:t xml:space="preserve"> health impact originating from a particular immune reaction due to taking unhygienic foods (Lin, 2019). The diseases cause affection, hospitalization, and death for many adults and children in the U.K. and other parts of the world. However, people from 15-25 years are at high risk (Sicherer, 2021). People can suffer from various kinds of diseases because of food allergies, including blushing of the face, lips, and eyes, noisy breathing, abdominal pain, nausea, vomiting, and so on (Björkstén,2019). In case of intolerance, some people suffer symptoms as they eat certain foods and cannot produce antibodies against them. It can't be medically diagnosed and only </w:t>
            </w:r>
            <w:r w:rsidRPr="00D76C0B">
              <w:rPr>
                <w:rFonts w:ascii="Arial" w:hAnsi="Arial" w:cs="Arial"/>
                <w:color w:val="222222"/>
              </w:rPr>
              <w:lastRenderedPageBreak/>
              <w:t>confirmed by an elimination diet. This discomfort can be reduced by not taking allergen foods, avoiding cross-contamination, and following related laws. The elements that cause allergic reactions to the human body can be defined as allergens. There are some allergy producers, namely animal danger, foods like peanuts, milk, eggs, soy, wheat, tree nut, shellfish, fish, sesame, etc.</w:t>
            </w:r>
          </w:p>
          <w:p w14:paraId="12D02478" w14:textId="77777777" w:rsidR="00D76C0B" w:rsidRPr="00D76C0B" w:rsidRDefault="00D76C0B" w:rsidP="00D76C0B">
            <w:pPr>
              <w:spacing w:before="100" w:beforeAutospacing="1" w:after="100" w:afterAutospacing="1" w:line="360" w:lineRule="auto"/>
              <w:jc w:val="both"/>
              <w:rPr>
                <w:rFonts w:ascii="Arial" w:hAnsi="Arial" w:cs="Arial"/>
                <w:color w:val="222222"/>
              </w:rPr>
            </w:pPr>
            <w:r w:rsidRPr="00D76C0B">
              <w:rPr>
                <w:rFonts w:ascii="Arial" w:hAnsi="Arial" w:cs="Arial"/>
                <w:color w:val="222222"/>
              </w:rPr>
              <w:t xml:space="preserve">Moreover, grasses, mustard, dust as well as pollen cause allergic reactions. The Law on information and </w:t>
            </w:r>
            <w:proofErr w:type="spellStart"/>
            <w:r w:rsidRPr="00D76C0B">
              <w:rPr>
                <w:rFonts w:ascii="Arial" w:hAnsi="Arial" w:cs="Arial"/>
                <w:color w:val="222222"/>
              </w:rPr>
              <w:t>labeling</w:t>
            </w:r>
            <w:proofErr w:type="spellEnd"/>
            <w:r w:rsidRPr="00D76C0B">
              <w:rPr>
                <w:rFonts w:ascii="Arial" w:hAnsi="Arial" w:cs="Arial"/>
                <w:color w:val="222222"/>
              </w:rPr>
              <w:t xml:space="preserve"> provides essential information to the consumers to make good purchase decisions. It is considered a legal requirement and should be clear and understandable. The clarity can be determined by font size, spacing of letters, line spacing, stroke width, surface material, the </w:t>
            </w:r>
            <w:proofErr w:type="spellStart"/>
            <w:r w:rsidRPr="00D76C0B">
              <w:rPr>
                <w:rFonts w:ascii="Arial" w:hAnsi="Arial" w:cs="Arial"/>
                <w:color w:val="222222"/>
              </w:rPr>
              <w:t>color</w:t>
            </w:r>
            <w:proofErr w:type="spellEnd"/>
            <w:r w:rsidRPr="00D76C0B">
              <w:rPr>
                <w:rFonts w:ascii="Arial" w:hAnsi="Arial" w:cs="Arial"/>
                <w:color w:val="222222"/>
              </w:rPr>
              <w:t xml:space="preserve"> of type, the letters' width: height ratio, and effective combination of the print and background. Sicherer, 1999 focused on the clinical demonstration regarding food allergy. Pomeranz, 2011 is conducted to find how the </w:t>
            </w:r>
            <w:proofErr w:type="spellStart"/>
            <w:r w:rsidRPr="00D76C0B">
              <w:rPr>
                <w:rFonts w:ascii="Arial" w:hAnsi="Arial" w:cs="Arial"/>
                <w:color w:val="222222"/>
              </w:rPr>
              <w:t>labeling</w:t>
            </w:r>
            <w:proofErr w:type="spellEnd"/>
            <w:r w:rsidRPr="00D76C0B">
              <w:rPr>
                <w:rFonts w:ascii="Arial" w:hAnsi="Arial" w:cs="Arial"/>
                <w:color w:val="222222"/>
              </w:rPr>
              <w:t xml:space="preserve"> of packaged foods draws interest throughout the U.S. and internationally as the foods are concerned about obesity and other diseases (Sicherer, 2019).</w:t>
            </w:r>
          </w:p>
          <w:p w14:paraId="5613C3AB" w14:textId="77777777" w:rsidR="00D76C0B" w:rsidRPr="00D76C0B" w:rsidRDefault="00D76C0B" w:rsidP="00D76C0B">
            <w:pPr>
              <w:spacing w:before="100" w:beforeAutospacing="1" w:after="100" w:afterAutospacing="1" w:line="360" w:lineRule="auto"/>
              <w:jc w:val="both"/>
              <w:rPr>
                <w:rFonts w:ascii="Arial" w:hAnsi="Arial" w:cs="Arial"/>
                <w:color w:val="222222"/>
              </w:rPr>
            </w:pPr>
            <w:r w:rsidRPr="00D76C0B">
              <w:rPr>
                <w:rFonts w:ascii="Arial" w:hAnsi="Arial" w:cs="Arial"/>
                <w:color w:val="222222"/>
              </w:rPr>
              <w:t xml:space="preserve">Natasha's Law holds the proposition that there requires full ingredient as well as allergen </w:t>
            </w:r>
            <w:proofErr w:type="spellStart"/>
            <w:r w:rsidRPr="00D76C0B">
              <w:rPr>
                <w:rFonts w:ascii="Arial" w:hAnsi="Arial" w:cs="Arial"/>
                <w:color w:val="222222"/>
              </w:rPr>
              <w:t>labeling</w:t>
            </w:r>
            <w:proofErr w:type="spellEnd"/>
            <w:r w:rsidRPr="00D76C0B">
              <w:rPr>
                <w:rFonts w:ascii="Arial" w:hAnsi="Arial" w:cs="Arial"/>
                <w:color w:val="222222"/>
              </w:rPr>
              <w:t xml:space="preserve"> on all the made food on the premises and pre-packed for sale directly followed by the death of Natasha Ednan-Laperouse from anaphylaxis after she ate sesame in a </w:t>
            </w:r>
            <w:proofErr w:type="gramStart"/>
            <w:r w:rsidRPr="00D76C0B">
              <w:rPr>
                <w:rFonts w:ascii="Arial" w:hAnsi="Arial" w:cs="Arial"/>
                <w:color w:val="222222"/>
              </w:rPr>
              <w:t>baguette</w:t>
            </w:r>
            <w:proofErr w:type="gramEnd"/>
            <w:r w:rsidRPr="00D76C0B">
              <w:rPr>
                <w:rFonts w:ascii="Arial" w:hAnsi="Arial" w:cs="Arial"/>
                <w:color w:val="222222"/>
              </w:rPr>
              <w:t xml:space="preserve"> and it didn't require allergen </w:t>
            </w:r>
            <w:proofErr w:type="spellStart"/>
            <w:r w:rsidRPr="00D76C0B">
              <w:rPr>
                <w:rFonts w:ascii="Arial" w:hAnsi="Arial" w:cs="Arial"/>
                <w:color w:val="222222"/>
              </w:rPr>
              <w:t>leveling</w:t>
            </w:r>
            <w:proofErr w:type="spellEnd"/>
            <w:r w:rsidRPr="00D76C0B">
              <w:rPr>
                <w:rFonts w:ascii="Arial" w:hAnsi="Arial" w:cs="Arial"/>
                <w:color w:val="222222"/>
              </w:rPr>
              <w:t xml:space="preserve"> at that time. This Law was effective from October 2021 in England, Wales, and Northern Ireland (Sicherer, 2021). The Law was firstly created to increase transparency and clarity within the food industry to protect the interest of the people and business efficiently. Cross-contamination is a situation that occurs in the time of manufacturing or food production. A small amount of an allergen food gets mixed with other foods accidentally, which creates reactions to the people with food allergies.</w:t>
            </w:r>
          </w:p>
          <w:p w14:paraId="4F465A2D" w14:textId="77777777" w:rsidR="00D76C0B" w:rsidRPr="00D76C0B" w:rsidRDefault="00D76C0B" w:rsidP="00D76C0B">
            <w:pPr>
              <w:spacing w:before="100" w:beforeAutospacing="1" w:after="100" w:afterAutospacing="1" w:line="360" w:lineRule="auto"/>
              <w:jc w:val="both"/>
              <w:rPr>
                <w:rFonts w:ascii="Arial" w:hAnsi="Arial" w:cs="Arial"/>
                <w:color w:val="222222"/>
              </w:rPr>
            </w:pPr>
            <w:r w:rsidRPr="00D76C0B">
              <w:rPr>
                <w:rFonts w:ascii="Arial" w:hAnsi="Arial" w:cs="Arial"/>
                <w:color w:val="222222"/>
              </w:rPr>
              <w:t>I learned about food allergy and intolerance, the probable reasons for people's sufferings from these diseases, what initiatives can be remedies of these diseases after going through the topics. I have also learned about the initial treatment of the disorders, as some of them can be eliminated by avoiding allergen foods, cross-contaminated foods, etc. The knowledge I acquired from the topic can be applied to the welfare of both personal and other people. As I know about the sources of allergy, I can avoid them. As food allergy and intolerance symptoms are known, the treatment and medicine can be taken at the initial stage. Different laws which are known from the topics can help to protect ourselves from food allergies. A company's manufacturing process can be made more efficient to reduce cross-contamination, which involves mixing up one food with other foods.</w:t>
            </w:r>
          </w:p>
          <w:p w14:paraId="58FE4F21" w14:textId="56282FE3" w:rsidR="00D76C0B" w:rsidRPr="00D76C0B" w:rsidRDefault="00D76C0B" w:rsidP="00D76C0B">
            <w:pPr>
              <w:spacing w:before="100" w:beforeAutospacing="1" w:after="100" w:afterAutospacing="1" w:line="360" w:lineRule="auto"/>
              <w:jc w:val="both"/>
              <w:rPr>
                <w:rFonts w:ascii="Arial" w:hAnsi="Arial" w:cs="Arial"/>
                <w:color w:val="222222"/>
              </w:rPr>
            </w:pPr>
            <w:r w:rsidRPr="00D76C0B">
              <w:rPr>
                <w:rFonts w:ascii="Arial" w:hAnsi="Arial" w:cs="Arial"/>
                <w:color w:val="222222"/>
              </w:rPr>
              <w:t xml:space="preserve">Food allergy and intolerance have become one of the biggest priorities nowadays as pieces of </w:t>
            </w:r>
            <w:r w:rsidRPr="00D76C0B">
              <w:rPr>
                <w:rFonts w:ascii="Arial" w:hAnsi="Arial" w:cs="Arial"/>
                <w:color w:val="222222"/>
              </w:rPr>
              <w:lastRenderedPageBreak/>
              <w:t>evidence show the sufferings and deaths of huge people worldwide. Evidence shows the anguish of children aged 6-12 from food allergy increased dramatically in Korea in 2012. Treatment involves avoiding allergens and auto-injectors, food allergy labelling, and dietary practices (Choi and change, 2015). By assessing the factors improving the free food allergen at the restaurants and comparing food handlers and general public knowledge about the food allergens, researchers conclude that allergic people should stay alert, questioning when they take their meals. This study is helpful for the restaurant to develop policies on food allergy (Lessa, 2016). Recent studies emphasize food allergies and intolerance, how to cure these diseases by taking non-allergen foods, maintaining consciousness, and taking timely medicine. I think the worldwide sufferings of food allergy and discrimination can be dramatically reduced by increasing awareness, making people adequately educated about these diseases and symptoms and remedies of the conditions.</w:t>
            </w:r>
          </w:p>
          <w:p w14:paraId="2F2E9C93" w14:textId="77777777" w:rsidR="00D76C0B" w:rsidRPr="00D76C0B" w:rsidRDefault="00D76C0B" w:rsidP="00D76C0B">
            <w:pPr>
              <w:spacing w:before="100" w:beforeAutospacing="1" w:after="100" w:afterAutospacing="1" w:line="360" w:lineRule="auto"/>
              <w:jc w:val="both"/>
              <w:rPr>
                <w:rFonts w:ascii="Arial" w:hAnsi="Arial" w:cs="Arial"/>
                <w:color w:val="222222"/>
              </w:rPr>
            </w:pPr>
          </w:p>
          <w:p w14:paraId="2A398959" w14:textId="77777777" w:rsidR="00D76C0B" w:rsidRPr="00D76C0B" w:rsidRDefault="00D76C0B" w:rsidP="00D76C0B">
            <w:pPr>
              <w:spacing w:before="100" w:beforeAutospacing="1" w:after="100" w:afterAutospacing="1" w:line="360" w:lineRule="auto"/>
              <w:jc w:val="both"/>
              <w:rPr>
                <w:rFonts w:ascii="Arial" w:hAnsi="Arial" w:cs="Arial"/>
                <w:color w:val="222222"/>
              </w:rPr>
            </w:pPr>
          </w:p>
          <w:p w14:paraId="1C755B42" w14:textId="77777777" w:rsidR="00AB1088" w:rsidRDefault="00AB1088" w:rsidP="00D76C0B">
            <w:pPr>
              <w:jc w:val="both"/>
              <w:rPr>
                <w:rFonts w:ascii="Arial" w:hAnsi="Arial" w:cs="Arial"/>
                <w:color w:val="222222"/>
              </w:rPr>
            </w:pPr>
          </w:p>
          <w:p w14:paraId="2F4F9375" w14:textId="77777777" w:rsidR="00AB1088" w:rsidRDefault="00AB1088" w:rsidP="00D76C0B">
            <w:pPr>
              <w:jc w:val="both"/>
              <w:rPr>
                <w:rFonts w:ascii="Arial" w:hAnsi="Arial" w:cs="Arial"/>
                <w:color w:val="222222"/>
              </w:rPr>
            </w:pPr>
          </w:p>
          <w:p w14:paraId="0A0FE260" w14:textId="77777777" w:rsidR="00AB1088" w:rsidRDefault="00AB1088" w:rsidP="00D76C0B">
            <w:pPr>
              <w:jc w:val="both"/>
              <w:rPr>
                <w:rFonts w:ascii="Arial" w:hAnsi="Arial" w:cs="Arial"/>
                <w:color w:val="222222"/>
              </w:rPr>
            </w:pPr>
          </w:p>
          <w:p w14:paraId="3A144103" w14:textId="77777777" w:rsidR="00AB1088" w:rsidRDefault="00AB1088" w:rsidP="00D76C0B">
            <w:pPr>
              <w:jc w:val="both"/>
              <w:rPr>
                <w:rFonts w:ascii="Arial" w:hAnsi="Arial" w:cs="Arial"/>
                <w:color w:val="222222"/>
              </w:rPr>
            </w:pPr>
          </w:p>
          <w:p w14:paraId="72E99B62" w14:textId="77777777" w:rsidR="00AB1088" w:rsidRDefault="00AB1088" w:rsidP="00D76C0B">
            <w:pPr>
              <w:jc w:val="both"/>
              <w:rPr>
                <w:rFonts w:ascii="Arial" w:hAnsi="Arial" w:cs="Arial"/>
                <w:color w:val="222222"/>
              </w:rPr>
            </w:pPr>
          </w:p>
          <w:p w14:paraId="64E0243C" w14:textId="77777777" w:rsidR="00AB1088" w:rsidRDefault="00AB1088" w:rsidP="00D76C0B">
            <w:pPr>
              <w:jc w:val="both"/>
              <w:rPr>
                <w:rFonts w:ascii="Arial" w:hAnsi="Arial" w:cs="Arial"/>
                <w:color w:val="222222"/>
              </w:rPr>
            </w:pPr>
          </w:p>
          <w:p w14:paraId="3E2F141D" w14:textId="77777777" w:rsidR="00AB1088" w:rsidRDefault="00AB1088" w:rsidP="00D76C0B">
            <w:pPr>
              <w:jc w:val="both"/>
              <w:rPr>
                <w:rFonts w:ascii="Arial" w:hAnsi="Arial" w:cs="Arial"/>
                <w:color w:val="222222"/>
              </w:rPr>
            </w:pPr>
          </w:p>
          <w:p w14:paraId="002D5F48" w14:textId="77777777" w:rsidR="00AB1088" w:rsidRDefault="00AB1088" w:rsidP="00D76C0B">
            <w:pPr>
              <w:jc w:val="both"/>
              <w:rPr>
                <w:rFonts w:ascii="Arial" w:hAnsi="Arial" w:cs="Arial"/>
                <w:color w:val="222222"/>
              </w:rPr>
            </w:pPr>
          </w:p>
          <w:p w14:paraId="72E439B0" w14:textId="77777777" w:rsidR="00AB1088" w:rsidRDefault="00AB1088" w:rsidP="00D76C0B">
            <w:pPr>
              <w:jc w:val="both"/>
              <w:rPr>
                <w:rFonts w:ascii="Arial" w:hAnsi="Arial" w:cs="Arial"/>
                <w:color w:val="222222"/>
              </w:rPr>
            </w:pPr>
          </w:p>
          <w:p w14:paraId="070BE41D" w14:textId="77777777" w:rsidR="00AB1088" w:rsidRDefault="00AB1088" w:rsidP="00D76C0B">
            <w:pPr>
              <w:jc w:val="both"/>
              <w:rPr>
                <w:rFonts w:ascii="Arial" w:hAnsi="Arial" w:cs="Arial"/>
                <w:color w:val="222222"/>
              </w:rPr>
            </w:pPr>
          </w:p>
          <w:p w14:paraId="62BC4FC1" w14:textId="77777777" w:rsidR="00AB1088" w:rsidRDefault="00AB1088" w:rsidP="00D76C0B">
            <w:pPr>
              <w:jc w:val="both"/>
              <w:rPr>
                <w:rFonts w:ascii="Arial" w:hAnsi="Arial" w:cs="Arial"/>
                <w:color w:val="222222"/>
              </w:rPr>
            </w:pPr>
          </w:p>
          <w:p w14:paraId="2A7B324C" w14:textId="77777777" w:rsidR="00AB1088" w:rsidRDefault="00AB1088" w:rsidP="00D76C0B">
            <w:pPr>
              <w:jc w:val="both"/>
              <w:rPr>
                <w:rFonts w:ascii="Arial" w:hAnsi="Arial" w:cs="Arial"/>
                <w:color w:val="222222"/>
              </w:rPr>
            </w:pPr>
          </w:p>
          <w:p w14:paraId="24C1A4F0" w14:textId="77777777" w:rsidR="00AB1088" w:rsidRDefault="00AB1088" w:rsidP="00D76C0B">
            <w:pPr>
              <w:jc w:val="both"/>
              <w:rPr>
                <w:rFonts w:ascii="Arial" w:hAnsi="Arial" w:cs="Arial"/>
                <w:color w:val="222222"/>
              </w:rPr>
            </w:pPr>
          </w:p>
          <w:p w14:paraId="68975318" w14:textId="77777777" w:rsidR="00AB1088" w:rsidRDefault="00AB1088" w:rsidP="00D76C0B">
            <w:pPr>
              <w:jc w:val="both"/>
              <w:rPr>
                <w:rFonts w:ascii="Arial" w:hAnsi="Arial" w:cs="Arial"/>
                <w:color w:val="222222"/>
              </w:rPr>
            </w:pPr>
          </w:p>
          <w:p w14:paraId="265546A8" w14:textId="77777777" w:rsidR="00AB1088" w:rsidRDefault="00AB1088" w:rsidP="00D76C0B">
            <w:pPr>
              <w:jc w:val="both"/>
              <w:rPr>
                <w:rFonts w:ascii="Arial" w:hAnsi="Arial" w:cs="Arial"/>
                <w:color w:val="222222"/>
              </w:rPr>
            </w:pPr>
          </w:p>
          <w:p w14:paraId="60FDC94A" w14:textId="77777777" w:rsidR="00AB1088" w:rsidRDefault="00AB1088" w:rsidP="00D76C0B">
            <w:pPr>
              <w:jc w:val="both"/>
              <w:rPr>
                <w:rFonts w:ascii="Arial" w:hAnsi="Arial" w:cs="Arial"/>
                <w:color w:val="222222"/>
              </w:rPr>
            </w:pPr>
          </w:p>
          <w:p w14:paraId="00445C4B" w14:textId="77777777" w:rsidR="00AB1088" w:rsidRDefault="00AB1088" w:rsidP="00D76C0B">
            <w:pPr>
              <w:jc w:val="both"/>
              <w:rPr>
                <w:rFonts w:ascii="Arial" w:hAnsi="Arial" w:cs="Arial"/>
                <w:color w:val="222222"/>
              </w:rPr>
            </w:pPr>
          </w:p>
          <w:p w14:paraId="4EF3F1D4" w14:textId="77777777" w:rsidR="00AB1088" w:rsidRDefault="00AB1088" w:rsidP="00D76C0B">
            <w:pPr>
              <w:jc w:val="both"/>
              <w:rPr>
                <w:rFonts w:ascii="Arial" w:hAnsi="Arial" w:cs="Arial"/>
                <w:color w:val="222222"/>
              </w:rPr>
            </w:pPr>
          </w:p>
          <w:p w14:paraId="0065F590" w14:textId="77777777" w:rsidR="00AB1088" w:rsidRDefault="00AB1088" w:rsidP="00D76C0B">
            <w:pPr>
              <w:jc w:val="both"/>
              <w:rPr>
                <w:rFonts w:ascii="Arial" w:hAnsi="Arial" w:cs="Arial"/>
                <w:color w:val="222222"/>
              </w:rPr>
            </w:pPr>
          </w:p>
          <w:p w14:paraId="6AFDE2BF" w14:textId="77777777" w:rsidR="00AB1088" w:rsidRDefault="00AB1088" w:rsidP="00D76C0B">
            <w:pPr>
              <w:jc w:val="both"/>
              <w:rPr>
                <w:rFonts w:ascii="Arial" w:hAnsi="Arial" w:cs="Arial"/>
                <w:color w:val="222222"/>
              </w:rPr>
            </w:pPr>
          </w:p>
          <w:p w14:paraId="3B344F1E" w14:textId="628A341B" w:rsidR="00375882" w:rsidRPr="003C3341" w:rsidRDefault="00D76C0B" w:rsidP="00D76C0B">
            <w:pPr>
              <w:jc w:val="both"/>
              <w:rPr>
                <w:rFonts w:ascii="Tahoma" w:hAnsi="Tahoma" w:cs="Tahoma"/>
                <w:sz w:val="20"/>
                <w:szCs w:val="20"/>
              </w:rPr>
            </w:pPr>
            <w:r w:rsidRPr="00D76C0B">
              <w:rPr>
                <w:rFonts w:ascii="Arial" w:hAnsi="Arial" w:cs="Arial"/>
                <w:color w:val="222222"/>
              </w:rPr>
              <w:t xml:space="preserve"> </w:t>
            </w:r>
          </w:p>
        </w:tc>
      </w:tr>
    </w:tbl>
    <w:p w14:paraId="7D9A52CF" w14:textId="77777777" w:rsidR="00B00678" w:rsidRDefault="00B00678" w:rsidP="00B945EA">
      <w:pPr>
        <w:rPr>
          <w:rFonts w:ascii="Tahoma" w:hAnsi="Tahoma" w:cs="Tahoma"/>
          <w:b/>
        </w:rPr>
      </w:pPr>
    </w:p>
    <w:p w14:paraId="5A8A3748" w14:textId="77777777" w:rsidR="007719BE" w:rsidRDefault="007719BE" w:rsidP="00B945EA">
      <w:pPr>
        <w:rPr>
          <w:rFonts w:ascii="Tahoma" w:hAnsi="Tahoma" w:cs="Tahoma"/>
          <w:b/>
        </w:rPr>
      </w:pPr>
    </w:p>
    <w:p w14:paraId="0377ADE9" w14:textId="77777777" w:rsidR="007719BE" w:rsidRDefault="007719BE" w:rsidP="00B945EA">
      <w:pPr>
        <w:rPr>
          <w:rFonts w:ascii="Tahoma" w:hAnsi="Tahoma" w:cs="Tahoma"/>
          <w:b/>
        </w:rPr>
      </w:pPr>
    </w:p>
    <w:p w14:paraId="21577493" w14:textId="77777777" w:rsidR="007719BE" w:rsidRDefault="007719BE" w:rsidP="00B945EA">
      <w:pPr>
        <w:rPr>
          <w:rFonts w:ascii="Tahoma" w:hAnsi="Tahoma" w:cs="Tahoma"/>
          <w:b/>
        </w:rPr>
      </w:pPr>
    </w:p>
    <w:p w14:paraId="331FF655" w14:textId="77777777" w:rsidR="007719BE" w:rsidRDefault="007719BE" w:rsidP="00B945EA">
      <w:pPr>
        <w:rPr>
          <w:rFonts w:ascii="Tahoma" w:hAnsi="Tahoma" w:cs="Tahoma"/>
          <w:b/>
        </w:rPr>
      </w:pPr>
    </w:p>
    <w:p w14:paraId="6C39E6EE" w14:textId="77777777" w:rsidR="007719BE" w:rsidRDefault="007719BE" w:rsidP="00B945EA">
      <w:pPr>
        <w:rPr>
          <w:rFonts w:ascii="Tahoma" w:hAnsi="Tahoma" w:cs="Tahoma"/>
          <w:b/>
        </w:rPr>
      </w:pPr>
    </w:p>
    <w:p w14:paraId="045D2051" w14:textId="77777777" w:rsidR="007719BE" w:rsidRDefault="007719BE" w:rsidP="00B945EA">
      <w:pPr>
        <w:rPr>
          <w:rFonts w:ascii="Tahoma" w:hAnsi="Tahoma" w:cs="Tahoma"/>
          <w:b/>
        </w:rPr>
      </w:pPr>
    </w:p>
    <w:p w14:paraId="03AD6D77" w14:textId="77777777" w:rsidR="007719BE" w:rsidRDefault="007719BE" w:rsidP="00B945EA">
      <w:pPr>
        <w:rPr>
          <w:rFonts w:ascii="Tahoma" w:hAnsi="Tahoma" w:cs="Tahoma"/>
          <w:b/>
        </w:rPr>
      </w:pPr>
    </w:p>
    <w:p w14:paraId="2F4D1DE3" w14:textId="77777777" w:rsidR="007719BE" w:rsidRDefault="007719BE" w:rsidP="00B945EA">
      <w:pPr>
        <w:rPr>
          <w:rFonts w:ascii="Tahoma" w:hAnsi="Tahoma" w:cs="Tahoma"/>
          <w:b/>
        </w:rPr>
      </w:pPr>
    </w:p>
    <w:p w14:paraId="3C805506" w14:textId="77777777" w:rsidR="007719BE" w:rsidRDefault="007719BE"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122516B8" w14:textId="77777777" w:rsidR="00D76C0B" w:rsidRDefault="00D76C0B" w:rsidP="00D76C0B">
            <w:pPr>
              <w:spacing w:line="360" w:lineRule="auto"/>
              <w:jc w:val="both"/>
              <w:rPr>
                <w:rFonts w:ascii="Arial" w:hAnsi="Arial" w:cs="Arial"/>
                <w:color w:val="222222"/>
                <w:shd w:val="clear" w:color="auto" w:fill="FFFFFF"/>
              </w:rPr>
            </w:pPr>
          </w:p>
          <w:p w14:paraId="5440D89C" w14:textId="77777777" w:rsidR="00D76C0B" w:rsidRDefault="00D76C0B" w:rsidP="00D76C0B">
            <w:pPr>
              <w:spacing w:line="360" w:lineRule="auto"/>
              <w:jc w:val="both"/>
              <w:rPr>
                <w:rFonts w:ascii="Arial" w:hAnsi="Arial" w:cs="Arial"/>
                <w:color w:val="222222"/>
                <w:shd w:val="clear" w:color="auto" w:fill="FFFFFF"/>
              </w:rPr>
            </w:pPr>
          </w:p>
          <w:p w14:paraId="029C6EDA" w14:textId="15C8D284" w:rsidR="007719BE" w:rsidRPr="00D76C0B" w:rsidRDefault="007719BE" w:rsidP="00D76C0B">
            <w:pPr>
              <w:spacing w:line="360" w:lineRule="auto"/>
              <w:jc w:val="both"/>
              <w:rPr>
                <w:rFonts w:ascii="Tahoma" w:hAnsi="Tahoma" w:cs="Tahoma"/>
              </w:rPr>
            </w:pPr>
            <w:r w:rsidRPr="00D76C0B">
              <w:rPr>
                <w:rFonts w:ascii="Arial" w:hAnsi="Arial" w:cs="Arial"/>
                <w:color w:val="222222"/>
                <w:shd w:val="clear" w:color="auto" w:fill="FFFFFF"/>
              </w:rPr>
              <w:t>Ortolani, C. and Pastorello, E.A., 20</w:t>
            </w:r>
            <w:r w:rsidR="00D76C0B" w:rsidRPr="00D76C0B">
              <w:rPr>
                <w:rFonts w:ascii="Arial" w:hAnsi="Arial" w:cs="Arial"/>
                <w:color w:val="222222"/>
                <w:shd w:val="clear" w:color="auto" w:fill="FFFFFF"/>
              </w:rPr>
              <w:t>1</w:t>
            </w:r>
            <w:r w:rsidRPr="00D76C0B">
              <w:rPr>
                <w:rFonts w:ascii="Arial" w:hAnsi="Arial" w:cs="Arial"/>
                <w:color w:val="222222"/>
                <w:shd w:val="clear" w:color="auto" w:fill="FFFFFF"/>
              </w:rPr>
              <w:t>6. Food allergies and food intolerances. </w:t>
            </w:r>
            <w:r w:rsidRPr="00D76C0B">
              <w:rPr>
                <w:rFonts w:ascii="Arial" w:hAnsi="Arial" w:cs="Arial"/>
                <w:i/>
                <w:iCs/>
                <w:color w:val="222222"/>
                <w:shd w:val="clear" w:color="auto" w:fill="FFFFFF"/>
              </w:rPr>
              <w:t>Best Practice &amp; Research Clinical Gastroenterology</w:t>
            </w:r>
            <w:r w:rsidRPr="00D76C0B">
              <w:rPr>
                <w:rFonts w:ascii="Arial" w:hAnsi="Arial" w:cs="Arial"/>
                <w:color w:val="222222"/>
                <w:shd w:val="clear" w:color="auto" w:fill="FFFFFF"/>
              </w:rPr>
              <w:t>, </w:t>
            </w:r>
            <w:r w:rsidRPr="00D76C0B">
              <w:rPr>
                <w:rFonts w:ascii="Arial" w:hAnsi="Arial" w:cs="Arial"/>
                <w:i/>
                <w:iCs/>
                <w:color w:val="222222"/>
                <w:shd w:val="clear" w:color="auto" w:fill="FFFFFF"/>
              </w:rPr>
              <w:t>20</w:t>
            </w:r>
            <w:r w:rsidRPr="00D76C0B">
              <w:rPr>
                <w:rFonts w:ascii="Arial" w:hAnsi="Arial" w:cs="Arial"/>
                <w:color w:val="222222"/>
                <w:shd w:val="clear" w:color="auto" w:fill="FFFFFF"/>
              </w:rPr>
              <w:t>(3), pp.467-483.</w:t>
            </w:r>
          </w:p>
          <w:p w14:paraId="46554220" w14:textId="77777777" w:rsidR="007719BE" w:rsidRPr="00D76C0B" w:rsidRDefault="007719BE" w:rsidP="00D76C0B">
            <w:pPr>
              <w:spacing w:line="360" w:lineRule="auto"/>
              <w:jc w:val="both"/>
              <w:rPr>
                <w:rFonts w:ascii="Tahoma" w:hAnsi="Tahoma" w:cs="Tahoma"/>
              </w:rPr>
            </w:pPr>
            <w:r w:rsidRPr="00D76C0B">
              <w:rPr>
                <w:rFonts w:ascii="Arial" w:hAnsi="Arial" w:cs="Arial"/>
                <w:color w:val="222222"/>
                <w:shd w:val="clear" w:color="auto" w:fill="FFFFFF"/>
              </w:rPr>
              <w:t xml:space="preserve">Pomeranz, J.L., 2011. Front-of-package food and beverage </w:t>
            </w:r>
            <w:proofErr w:type="spellStart"/>
            <w:r w:rsidRPr="00D76C0B">
              <w:rPr>
                <w:rFonts w:ascii="Arial" w:hAnsi="Arial" w:cs="Arial"/>
                <w:color w:val="222222"/>
                <w:shd w:val="clear" w:color="auto" w:fill="FFFFFF"/>
              </w:rPr>
              <w:t>labeling</w:t>
            </w:r>
            <w:proofErr w:type="spellEnd"/>
            <w:r w:rsidRPr="00D76C0B">
              <w:rPr>
                <w:rFonts w:ascii="Arial" w:hAnsi="Arial" w:cs="Arial"/>
                <w:color w:val="222222"/>
                <w:shd w:val="clear" w:color="auto" w:fill="FFFFFF"/>
              </w:rPr>
              <w:t xml:space="preserve">: </w:t>
            </w:r>
            <w:proofErr w:type="gramStart"/>
            <w:r w:rsidRPr="00D76C0B">
              <w:rPr>
                <w:rFonts w:ascii="Arial" w:hAnsi="Arial" w:cs="Arial"/>
                <w:color w:val="222222"/>
                <w:shd w:val="clear" w:color="auto" w:fill="FFFFFF"/>
              </w:rPr>
              <w:t>New</w:t>
            </w:r>
            <w:proofErr w:type="gramEnd"/>
            <w:r w:rsidRPr="00D76C0B">
              <w:rPr>
                <w:rFonts w:ascii="Arial" w:hAnsi="Arial" w:cs="Arial"/>
                <w:color w:val="222222"/>
                <w:shd w:val="clear" w:color="auto" w:fill="FFFFFF"/>
              </w:rPr>
              <w:t xml:space="preserve"> directions for research and regulation. </w:t>
            </w:r>
            <w:r w:rsidRPr="00D76C0B">
              <w:rPr>
                <w:rFonts w:ascii="Arial" w:hAnsi="Arial" w:cs="Arial"/>
                <w:i/>
                <w:iCs/>
                <w:color w:val="222222"/>
                <w:shd w:val="clear" w:color="auto" w:fill="FFFFFF"/>
              </w:rPr>
              <w:t>American journal of preventive medicine</w:t>
            </w:r>
            <w:r w:rsidRPr="00D76C0B">
              <w:rPr>
                <w:rFonts w:ascii="Arial" w:hAnsi="Arial" w:cs="Arial"/>
                <w:color w:val="222222"/>
                <w:shd w:val="clear" w:color="auto" w:fill="FFFFFF"/>
              </w:rPr>
              <w:t>, </w:t>
            </w:r>
            <w:r w:rsidRPr="00D76C0B">
              <w:rPr>
                <w:rFonts w:ascii="Arial" w:hAnsi="Arial" w:cs="Arial"/>
                <w:i/>
                <w:iCs/>
                <w:color w:val="222222"/>
                <w:shd w:val="clear" w:color="auto" w:fill="FFFFFF"/>
              </w:rPr>
              <w:t>40</w:t>
            </w:r>
            <w:r w:rsidRPr="00D76C0B">
              <w:rPr>
                <w:rFonts w:ascii="Arial" w:hAnsi="Arial" w:cs="Arial"/>
                <w:color w:val="222222"/>
                <w:shd w:val="clear" w:color="auto" w:fill="FFFFFF"/>
              </w:rPr>
              <w:t>(3), pp.382-385.</w:t>
            </w:r>
          </w:p>
          <w:p w14:paraId="4FD6AC2B" w14:textId="77777777" w:rsidR="007719BE" w:rsidRPr="007719BE" w:rsidRDefault="007719BE" w:rsidP="007719BE">
            <w:pPr>
              <w:spacing w:line="360" w:lineRule="auto"/>
              <w:jc w:val="both"/>
              <w:rPr>
                <w:rFonts w:ascii="Tahoma" w:hAnsi="Tahoma" w:cs="Tahoma"/>
              </w:rPr>
            </w:pPr>
          </w:p>
          <w:p w14:paraId="7997BAF2" w14:textId="529EAD79" w:rsidR="007719BE" w:rsidRPr="00D76C0B" w:rsidRDefault="007719BE" w:rsidP="00D76C0B">
            <w:pPr>
              <w:spacing w:line="360" w:lineRule="auto"/>
              <w:jc w:val="both"/>
              <w:rPr>
                <w:rFonts w:ascii="Arial" w:hAnsi="Arial" w:cs="Arial"/>
                <w:color w:val="222222"/>
                <w:shd w:val="clear" w:color="auto" w:fill="FFFFFF"/>
              </w:rPr>
            </w:pPr>
            <w:r w:rsidRPr="00D76C0B">
              <w:rPr>
                <w:rFonts w:ascii="Arial" w:hAnsi="Arial" w:cs="Arial"/>
                <w:color w:val="222222"/>
                <w:shd w:val="clear" w:color="auto" w:fill="FFFFFF"/>
              </w:rPr>
              <w:t>Choi, Y., Ju, S. and Chang, H., 201</w:t>
            </w:r>
            <w:r w:rsidR="00D76C0B" w:rsidRPr="00D76C0B">
              <w:rPr>
                <w:rFonts w:ascii="Arial" w:hAnsi="Arial" w:cs="Arial"/>
                <w:color w:val="222222"/>
                <w:shd w:val="clear" w:color="auto" w:fill="FFFFFF"/>
              </w:rPr>
              <w:t>9</w:t>
            </w:r>
            <w:r w:rsidRPr="00D76C0B">
              <w:rPr>
                <w:rFonts w:ascii="Arial" w:hAnsi="Arial" w:cs="Arial"/>
                <w:color w:val="222222"/>
                <w:shd w:val="clear" w:color="auto" w:fill="FFFFFF"/>
              </w:rPr>
              <w:t xml:space="preserve">. Food allergy knowledge, perception of food allergy </w:t>
            </w:r>
            <w:proofErr w:type="spellStart"/>
            <w:r w:rsidRPr="00D76C0B">
              <w:rPr>
                <w:rFonts w:ascii="Arial" w:hAnsi="Arial" w:cs="Arial"/>
                <w:color w:val="222222"/>
                <w:shd w:val="clear" w:color="auto" w:fill="FFFFFF"/>
              </w:rPr>
              <w:t>labeling</w:t>
            </w:r>
            <w:proofErr w:type="spellEnd"/>
            <w:r w:rsidRPr="00D76C0B">
              <w:rPr>
                <w:rFonts w:ascii="Arial" w:hAnsi="Arial" w:cs="Arial"/>
                <w:color w:val="222222"/>
                <w:shd w:val="clear" w:color="auto" w:fill="FFFFFF"/>
              </w:rPr>
              <w:t>, and level of dietary practice: a comparison between children with and without food allergy experience. </w:t>
            </w:r>
            <w:r w:rsidRPr="00D76C0B">
              <w:rPr>
                <w:rFonts w:ascii="Arial" w:hAnsi="Arial" w:cs="Arial"/>
                <w:i/>
                <w:iCs/>
                <w:color w:val="222222"/>
                <w:shd w:val="clear" w:color="auto" w:fill="FFFFFF"/>
              </w:rPr>
              <w:t>Nutrition research and practice</w:t>
            </w:r>
            <w:r w:rsidRPr="00D76C0B">
              <w:rPr>
                <w:rFonts w:ascii="Arial" w:hAnsi="Arial" w:cs="Arial"/>
                <w:color w:val="222222"/>
                <w:shd w:val="clear" w:color="auto" w:fill="FFFFFF"/>
              </w:rPr>
              <w:t>, </w:t>
            </w:r>
            <w:r w:rsidRPr="00D76C0B">
              <w:rPr>
                <w:rFonts w:ascii="Arial" w:hAnsi="Arial" w:cs="Arial"/>
                <w:i/>
                <w:iCs/>
                <w:color w:val="222222"/>
                <w:shd w:val="clear" w:color="auto" w:fill="FFFFFF"/>
              </w:rPr>
              <w:t>9</w:t>
            </w:r>
            <w:r w:rsidRPr="00D76C0B">
              <w:rPr>
                <w:rFonts w:ascii="Arial" w:hAnsi="Arial" w:cs="Arial"/>
                <w:color w:val="222222"/>
                <w:shd w:val="clear" w:color="auto" w:fill="FFFFFF"/>
              </w:rPr>
              <w:t>(1), pp.92-98.</w:t>
            </w:r>
          </w:p>
          <w:p w14:paraId="4CEBC123" w14:textId="77777777" w:rsidR="007719BE" w:rsidRPr="00D76C0B" w:rsidRDefault="007719BE" w:rsidP="00D76C0B">
            <w:pPr>
              <w:spacing w:line="360" w:lineRule="auto"/>
              <w:jc w:val="both"/>
              <w:rPr>
                <w:rFonts w:ascii="Tahoma" w:hAnsi="Tahoma" w:cs="Tahoma"/>
              </w:rPr>
            </w:pPr>
            <w:r w:rsidRPr="00D76C0B">
              <w:rPr>
                <w:rFonts w:ascii="Arial" w:hAnsi="Arial" w:cs="Arial"/>
                <w:color w:val="222222"/>
                <w:shd w:val="clear" w:color="auto" w:fill="FFFFFF"/>
              </w:rPr>
              <w:t xml:space="preserve">Lessa, K., Lozano, M., Esteve, M.J. and </w:t>
            </w:r>
            <w:proofErr w:type="spellStart"/>
            <w:r w:rsidRPr="00D76C0B">
              <w:rPr>
                <w:rFonts w:ascii="Arial" w:hAnsi="Arial" w:cs="Arial"/>
                <w:color w:val="222222"/>
                <w:shd w:val="clear" w:color="auto" w:fill="FFFFFF"/>
              </w:rPr>
              <w:t>Frigola</w:t>
            </w:r>
            <w:proofErr w:type="spellEnd"/>
            <w:r w:rsidRPr="00D76C0B">
              <w:rPr>
                <w:rFonts w:ascii="Arial" w:hAnsi="Arial" w:cs="Arial"/>
                <w:color w:val="222222"/>
                <w:shd w:val="clear" w:color="auto" w:fill="FFFFFF"/>
              </w:rPr>
              <w:t>, A., 2016. Food allergy knowledge, attitudes and practices: a pilot study of the general public and food handlers. </w:t>
            </w:r>
            <w:r w:rsidRPr="00D76C0B">
              <w:rPr>
                <w:rFonts w:ascii="Arial" w:hAnsi="Arial" w:cs="Arial"/>
                <w:i/>
                <w:iCs/>
                <w:color w:val="222222"/>
                <w:shd w:val="clear" w:color="auto" w:fill="FFFFFF"/>
              </w:rPr>
              <w:t>European Journal of Nutrition &amp; Food Safety</w:t>
            </w:r>
            <w:r w:rsidRPr="00D76C0B">
              <w:rPr>
                <w:rFonts w:ascii="Arial" w:hAnsi="Arial" w:cs="Arial"/>
                <w:color w:val="222222"/>
                <w:shd w:val="clear" w:color="auto" w:fill="FFFFFF"/>
              </w:rPr>
              <w:t>, pp.58-64.</w:t>
            </w:r>
          </w:p>
          <w:p w14:paraId="0B5D32DC" w14:textId="68114144" w:rsidR="007719BE" w:rsidRPr="00D76C0B" w:rsidRDefault="007719BE" w:rsidP="00D76C0B">
            <w:pPr>
              <w:spacing w:line="360" w:lineRule="auto"/>
              <w:jc w:val="both"/>
              <w:rPr>
                <w:rFonts w:ascii="Tahoma" w:hAnsi="Tahoma" w:cs="Tahoma"/>
              </w:rPr>
            </w:pPr>
            <w:proofErr w:type="spellStart"/>
            <w:r w:rsidRPr="00D76C0B">
              <w:rPr>
                <w:rFonts w:ascii="Arial" w:hAnsi="Arial" w:cs="Arial"/>
                <w:color w:val="222222"/>
                <w:shd w:val="clear" w:color="auto" w:fill="FFFFFF"/>
              </w:rPr>
              <w:t>Björkstén</w:t>
            </w:r>
            <w:proofErr w:type="spellEnd"/>
            <w:r w:rsidRPr="00D76C0B">
              <w:rPr>
                <w:rFonts w:ascii="Arial" w:hAnsi="Arial" w:cs="Arial"/>
                <w:color w:val="222222"/>
                <w:shd w:val="clear" w:color="auto" w:fill="FFFFFF"/>
              </w:rPr>
              <w:t>, B., 20</w:t>
            </w:r>
            <w:r w:rsidR="00D76C0B" w:rsidRPr="00D76C0B">
              <w:rPr>
                <w:rFonts w:ascii="Arial" w:hAnsi="Arial" w:cs="Arial"/>
                <w:color w:val="222222"/>
                <w:shd w:val="clear" w:color="auto" w:fill="FFFFFF"/>
              </w:rPr>
              <w:t>20</w:t>
            </w:r>
            <w:r w:rsidRPr="00D76C0B">
              <w:rPr>
                <w:rFonts w:ascii="Arial" w:hAnsi="Arial" w:cs="Arial"/>
                <w:color w:val="222222"/>
                <w:shd w:val="clear" w:color="auto" w:fill="FFFFFF"/>
              </w:rPr>
              <w:t>. The epidemiology of food allergy. </w:t>
            </w:r>
            <w:r w:rsidRPr="00D76C0B">
              <w:rPr>
                <w:rFonts w:ascii="Arial" w:hAnsi="Arial" w:cs="Arial"/>
                <w:i/>
                <w:iCs/>
                <w:color w:val="222222"/>
                <w:shd w:val="clear" w:color="auto" w:fill="FFFFFF"/>
              </w:rPr>
              <w:t>Current opinion in allergy and clinical immunology</w:t>
            </w:r>
            <w:r w:rsidRPr="00D76C0B">
              <w:rPr>
                <w:rFonts w:ascii="Arial" w:hAnsi="Arial" w:cs="Arial"/>
                <w:color w:val="222222"/>
                <w:shd w:val="clear" w:color="auto" w:fill="FFFFFF"/>
              </w:rPr>
              <w:t>, </w:t>
            </w:r>
            <w:r w:rsidRPr="00D76C0B">
              <w:rPr>
                <w:rFonts w:ascii="Arial" w:hAnsi="Arial" w:cs="Arial"/>
                <w:i/>
                <w:iCs/>
                <w:color w:val="222222"/>
                <w:shd w:val="clear" w:color="auto" w:fill="FFFFFF"/>
              </w:rPr>
              <w:t>1</w:t>
            </w:r>
            <w:r w:rsidRPr="00D76C0B">
              <w:rPr>
                <w:rFonts w:ascii="Arial" w:hAnsi="Arial" w:cs="Arial"/>
                <w:color w:val="222222"/>
                <w:shd w:val="clear" w:color="auto" w:fill="FFFFFF"/>
              </w:rPr>
              <w:t>(3), pp.225-227.</w:t>
            </w:r>
          </w:p>
          <w:p w14:paraId="1174DEEB" w14:textId="43E35096" w:rsidR="007719BE" w:rsidRPr="00D76C0B" w:rsidRDefault="007719BE" w:rsidP="00D76C0B">
            <w:pPr>
              <w:spacing w:line="360" w:lineRule="auto"/>
              <w:jc w:val="both"/>
              <w:rPr>
                <w:rFonts w:ascii="Tahoma" w:hAnsi="Tahoma" w:cs="Tahoma"/>
              </w:rPr>
            </w:pPr>
            <w:r w:rsidRPr="00D76C0B">
              <w:rPr>
                <w:rFonts w:ascii="Arial" w:hAnsi="Arial" w:cs="Arial"/>
                <w:color w:val="222222"/>
                <w:shd w:val="clear" w:color="auto" w:fill="FFFFFF"/>
              </w:rPr>
              <w:t xml:space="preserve">Sicherer, S.H., </w:t>
            </w:r>
            <w:r w:rsidR="00D76C0B" w:rsidRPr="00D76C0B">
              <w:rPr>
                <w:rFonts w:ascii="Arial" w:hAnsi="Arial" w:cs="Arial"/>
                <w:color w:val="222222"/>
                <w:shd w:val="clear" w:color="auto" w:fill="FFFFFF"/>
              </w:rPr>
              <w:t>2019</w:t>
            </w:r>
            <w:r w:rsidRPr="00D76C0B">
              <w:rPr>
                <w:rFonts w:ascii="Arial" w:hAnsi="Arial" w:cs="Arial"/>
                <w:color w:val="222222"/>
                <w:shd w:val="clear" w:color="auto" w:fill="FFFFFF"/>
              </w:rPr>
              <w:t>. Manifestations of food allergy: evaluation and management. </w:t>
            </w:r>
            <w:r w:rsidRPr="00D76C0B">
              <w:rPr>
                <w:rFonts w:ascii="Arial" w:hAnsi="Arial" w:cs="Arial"/>
                <w:i/>
                <w:iCs/>
                <w:color w:val="222222"/>
                <w:shd w:val="clear" w:color="auto" w:fill="FFFFFF"/>
              </w:rPr>
              <w:t>American family physician</w:t>
            </w:r>
            <w:r w:rsidRPr="00D76C0B">
              <w:rPr>
                <w:rFonts w:ascii="Arial" w:hAnsi="Arial" w:cs="Arial"/>
                <w:color w:val="222222"/>
                <w:shd w:val="clear" w:color="auto" w:fill="FFFFFF"/>
              </w:rPr>
              <w:t>, </w:t>
            </w:r>
            <w:r w:rsidRPr="00D76C0B">
              <w:rPr>
                <w:rFonts w:ascii="Arial" w:hAnsi="Arial" w:cs="Arial"/>
                <w:i/>
                <w:iCs/>
                <w:color w:val="222222"/>
                <w:shd w:val="clear" w:color="auto" w:fill="FFFFFF"/>
              </w:rPr>
              <w:t>59</w:t>
            </w:r>
            <w:r w:rsidRPr="00D76C0B">
              <w:rPr>
                <w:rFonts w:ascii="Arial" w:hAnsi="Arial" w:cs="Arial"/>
                <w:color w:val="222222"/>
                <w:shd w:val="clear" w:color="auto" w:fill="FFFFFF"/>
              </w:rPr>
              <w:t>(2), p.415.</w:t>
            </w:r>
          </w:p>
          <w:p w14:paraId="4B988B4D" w14:textId="77777777" w:rsidR="007719BE" w:rsidRPr="00D76C0B" w:rsidRDefault="007719BE" w:rsidP="00D76C0B">
            <w:pPr>
              <w:spacing w:line="360" w:lineRule="auto"/>
              <w:jc w:val="both"/>
              <w:rPr>
                <w:rFonts w:ascii="Tahoma" w:hAnsi="Tahoma" w:cs="Tahoma"/>
              </w:rPr>
            </w:pPr>
            <w:r w:rsidRPr="00D76C0B">
              <w:rPr>
                <w:rFonts w:ascii="Arial" w:hAnsi="Arial" w:cs="Arial"/>
                <w:color w:val="222222"/>
                <w:shd w:val="clear" w:color="auto" w:fill="FFFFFF"/>
              </w:rPr>
              <w:t xml:space="preserve">Lin, C.H., 2019. Food allergy: what it is and what it is </w:t>
            </w:r>
            <w:proofErr w:type="gramStart"/>
            <w:r w:rsidRPr="00D76C0B">
              <w:rPr>
                <w:rFonts w:ascii="Arial" w:hAnsi="Arial" w:cs="Arial"/>
                <w:color w:val="222222"/>
                <w:shd w:val="clear" w:color="auto" w:fill="FFFFFF"/>
              </w:rPr>
              <w:t>not?.</w:t>
            </w:r>
            <w:proofErr w:type="gramEnd"/>
            <w:r w:rsidRPr="00D76C0B">
              <w:rPr>
                <w:rFonts w:ascii="Arial" w:hAnsi="Arial" w:cs="Arial"/>
                <w:color w:val="222222"/>
                <w:shd w:val="clear" w:color="auto" w:fill="FFFFFF"/>
              </w:rPr>
              <w:t> </w:t>
            </w:r>
            <w:r w:rsidRPr="00D76C0B">
              <w:rPr>
                <w:rFonts w:ascii="Arial" w:hAnsi="Arial" w:cs="Arial"/>
                <w:i/>
                <w:iCs/>
                <w:color w:val="222222"/>
                <w:shd w:val="clear" w:color="auto" w:fill="FFFFFF"/>
              </w:rPr>
              <w:t>Current opinion in gastroenterology</w:t>
            </w:r>
            <w:r w:rsidRPr="00D76C0B">
              <w:rPr>
                <w:rFonts w:ascii="Arial" w:hAnsi="Arial" w:cs="Arial"/>
                <w:color w:val="222222"/>
                <w:shd w:val="clear" w:color="auto" w:fill="FFFFFF"/>
              </w:rPr>
              <w:t>, </w:t>
            </w:r>
            <w:r w:rsidRPr="00D76C0B">
              <w:rPr>
                <w:rFonts w:ascii="Arial" w:hAnsi="Arial" w:cs="Arial"/>
                <w:i/>
                <w:iCs/>
                <w:color w:val="222222"/>
                <w:shd w:val="clear" w:color="auto" w:fill="FFFFFF"/>
              </w:rPr>
              <w:t>35</w:t>
            </w:r>
            <w:r w:rsidRPr="00D76C0B">
              <w:rPr>
                <w:rFonts w:ascii="Arial" w:hAnsi="Arial" w:cs="Arial"/>
                <w:color w:val="222222"/>
                <w:shd w:val="clear" w:color="auto" w:fill="FFFFFF"/>
              </w:rPr>
              <w:t>(2),</w:t>
            </w:r>
            <w:r w:rsidRPr="00D76C0B">
              <w:rPr>
                <w:rFonts w:ascii="Arial" w:hAnsi="Arial" w:cs="Arial"/>
                <w:b/>
                <w:color w:val="222222"/>
                <w:shd w:val="clear" w:color="auto" w:fill="FFFFFF"/>
              </w:rPr>
              <w:t xml:space="preserve"> </w:t>
            </w:r>
            <w:r w:rsidRPr="00D76C0B">
              <w:rPr>
                <w:rFonts w:ascii="Arial" w:hAnsi="Arial" w:cs="Arial"/>
                <w:color w:val="222222"/>
                <w:shd w:val="clear" w:color="auto" w:fill="FFFFFF"/>
              </w:rPr>
              <w:t>pp.114-118.</w:t>
            </w:r>
          </w:p>
          <w:p w14:paraId="3624F013" w14:textId="77777777" w:rsidR="007719BE" w:rsidRPr="007719BE" w:rsidRDefault="007719BE" w:rsidP="007719BE">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A3B0F" w14:textId="77777777" w:rsidR="00222643" w:rsidRDefault="00222643">
      <w:r>
        <w:separator/>
      </w:r>
    </w:p>
  </w:endnote>
  <w:endnote w:type="continuationSeparator" w:id="0">
    <w:p w14:paraId="6B10D42C" w14:textId="77777777" w:rsidR="00222643" w:rsidRDefault="00222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SymbolMT">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139C7">
          <w:rPr>
            <w:noProof/>
          </w:rPr>
          <w:t>5</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B508C" w14:textId="77777777" w:rsidR="00222643" w:rsidRDefault="00222643">
      <w:r>
        <w:separator/>
      </w:r>
    </w:p>
  </w:footnote>
  <w:footnote w:type="continuationSeparator" w:id="0">
    <w:p w14:paraId="0E9BD5E0" w14:textId="77777777" w:rsidR="00222643" w:rsidRDefault="002226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AA79B1"/>
    <w:multiLevelType w:val="hybridMultilevel"/>
    <w:tmpl w:val="6646E6F6"/>
    <w:lvl w:ilvl="0" w:tplc="31805B3C">
      <w:start w:val="1"/>
      <w:numFmt w:val="decimal"/>
      <w:lvlText w:val="%1."/>
      <w:lvlJc w:val="left"/>
      <w:pPr>
        <w:ind w:left="720" w:hanging="360"/>
      </w:pPr>
      <w:rPr>
        <w:rFonts w:ascii="Arial" w:hAnsi="Arial" w:cs="Arial" w:hint="default"/>
        <w:color w:val="2222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4B02E8"/>
    <w:multiLevelType w:val="hybridMultilevel"/>
    <w:tmpl w:val="6646E6F6"/>
    <w:lvl w:ilvl="0" w:tplc="31805B3C">
      <w:start w:val="1"/>
      <w:numFmt w:val="decimal"/>
      <w:lvlText w:val="%1."/>
      <w:lvlJc w:val="left"/>
      <w:pPr>
        <w:ind w:left="720" w:hanging="360"/>
      </w:pPr>
      <w:rPr>
        <w:rFonts w:ascii="Arial" w:hAnsi="Arial" w:cs="Arial" w:hint="default"/>
        <w:color w:val="2222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29"/>
  </w:num>
  <w:num w:numId="4">
    <w:abstractNumId w:val="6"/>
  </w:num>
  <w:num w:numId="5">
    <w:abstractNumId w:val="25"/>
  </w:num>
  <w:num w:numId="6">
    <w:abstractNumId w:val="7"/>
  </w:num>
  <w:num w:numId="7">
    <w:abstractNumId w:val="0"/>
  </w:num>
  <w:num w:numId="8">
    <w:abstractNumId w:val="28"/>
  </w:num>
  <w:num w:numId="9">
    <w:abstractNumId w:val="17"/>
  </w:num>
  <w:num w:numId="10">
    <w:abstractNumId w:val="20"/>
  </w:num>
  <w:num w:numId="11">
    <w:abstractNumId w:val="4"/>
  </w:num>
  <w:num w:numId="12">
    <w:abstractNumId w:val="15"/>
  </w:num>
  <w:num w:numId="13">
    <w:abstractNumId w:val="2"/>
  </w:num>
  <w:num w:numId="14">
    <w:abstractNumId w:val="11"/>
  </w:num>
  <w:num w:numId="15">
    <w:abstractNumId w:val="19"/>
  </w:num>
  <w:num w:numId="16">
    <w:abstractNumId w:val="21"/>
  </w:num>
  <w:num w:numId="17">
    <w:abstractNumId w:val="1"/>
  </w:num>
  <w:num w:numId="18">
    <w:abstractNumId w:val="27"/>
  </w:num>
  <w:num w:numId="19">
    <w:abstractNumId w:val="9"/>
  </w:num>
  <w:num w:numId="20">
    <w:abstractNumId w:val="22"/>
  </w:num>
  <w:num w:numId="21">
    <w:abstractNumId w:val="13"/>
  </w:num>
  <w:num w:numId="22">
    <w:abstractNumId w:val="18"/>
  </w:num>
  <w:num w:numId="23">
    <w:abstractNumId w:val="26"/>
  </w:num>
  <w:num w:numId="24">
    <w:abstractNumId w:val="12"/>
  </w:num>
  <w:num w:numId="25">
    <w:abstractNumId w:val="24"/>
  </w:num>
  <w:num w:numId="26">
    <w:abstractNumId w:val="8"/>
  </w:num>
  <w:num w:numId="27">
    <w:abstractNumId w:val="23"/>
  </w:num>
  <w:num w:numId="28">
    <w:abstractNumId w:val="16"/>
  </w:num>
  <w:num w:numId="29">
    <w:abstractNumId w:val="3"/>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23DCB"/>
    <w:rsid w:val="000304DF"/>
    <w:rsid w:val="00040CE8"/>
    <w:rsid w:val="0004729E"/>
    <w:rsid w:val="00065D3A"/>
    <w:rsid w:val="00076F40"/>
    <w:rsid w:val="00077E55"/>
    <w:rsid w:val="00085CFD"/>
    <w:rsid w:val="000A0C53"/>
    <w:rsid w:val="000B2F4F"/>
    <w:rsid w:val="000F0524"/>
    <w:rsid w:val="000F1655"/>
    <w:rsid w:val="000F2E7C"/>
    <w:rsid w:val="00112433"/>
    <w:rsid w:val="00112CE0"/>
    <w:rsid w:val="00162FE2"/>
    <w:rsid w:val="001703BD"/>
    <w:rsid w:val="00170A87"/>
    <w:rsid w:val="0018449A"/>
    <w:rsid w:val="001A59E7"/>
    <w:rsid w:val="001B69C8"/>
    <w:rsid w:val="001B6DB4"/>
    <w:rsid w:val="001C5C4E"/>
    <w:rsid w:val="001D4719"/>
    <w:rsid w:val="001E720E"/>
    <w:rsid w:val="00202878"/>
    <w:rsid w:val="00222643"/>
    <w:rsid w:val="002314D4"/>
    <w:rsid w:val="002430D4"/>
    <w:rsid w:val="00244B89"/>
    <w:rsid w:val="00244F84"/>
    <w:rsid w:val="002659F5"/>
    <w:rsid w:val="00283BE2"/>
    <w:rsid w:val="00294842"/>
    <w:rsid w:val="002E127C"/>
    <w:rsid w:val="002F69A3"/>
    <w:rsid w:val="002F7DD0"/>
    <w:rsid w:val="00301AD0"/>
    <w:rsid w:val="003036C9"/>
    <w:rsid w:val="0032684A"/>
    <w:rsid w:val="00332099"/>
    <w:rsid w:val="00340C62"/>
    <w:rsid w:val="003478CE"/>
    <w:rsid w:val="003605B1"/>
    <w:rsid w:val="003617CF"/>
    <w:rsid w:val="00362E25"/>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0CC3"/>
    <w:rsid w:val="004B113B"/>
    <w:rsid w:val="004C08E2"/>
    <w:rsid w:val="004C7E23"/>
    <w:rsid w:val="005036DE"/>
    <w:rsid w:val="00517154"/>
    <w:rsid w:val="00522B05"/>
    <w:rsid w:val="00542C5B"/>
    <w:rsid w:val="00552EED"/>
    <w:rsid w:val="00561577"/>
    <w:rsid w:val="00566333"/>
    <w:rsid w:val="005C6352"/>
    <w:rsid w:val="005D0DDE"/>
    <w:rsid w:val="005D5D0B"/>
    <w:rsid w:val="00616109"/>
    <w:rsid w:val="0062012D"/>
    <w:rsid w:val="00643CB9"/>
    <w:rsid w:val="0066732A"/>
    <w:rsid w:val="00677D1F"/>
    <w:rsid w:val="00692F0E"/>
    <w:rsid w:val="00697481"/>
    <w:rsid w:val="006A4F97"/>
    <w:rsid w:val="006C4640"/>
    <w:rsid w:val="006F4FB6"/>
    <w:rsid w:val="006F501B"/>
    <w:rsid w:val="00702077"/>
    <w:rsid w:val="007139C7"/>
    <w:rsid w:val="00725F0E"/>
    <w:rsid w:val="00734189"/>
    <w:rsid w:val="00735BB1"/>
    <w:rsid w:val="00744482"/>
    <w:rsid w:val="007451E8"/>
    <w:rsid w:val="007719BE"/>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505C"/>
    <w:rsid w:val="009C6CAE"/>
    <w:rsid w:val="009D0DDA"/>
    <w:rsid w:val="00A004CA"/>
    <w:rsid w:val="00A02728"/>
    <w:rsid w:val="00A14DA0"/>
    <w:rsid w:val="00A43B8E"/>
    <w:rsid w:val="00A44FA9"/>
    <w:rsid w:val="00A45D42"/>
    <w:rsid w:val="00A551C6"/>
    <w:rsid w:val="00A5520C"/>
    <w:rsid w:val="00A656E2"/>
    <w:rsid w:val="00A65C1D"/>
    <w:rsid w:val="00A76710"/>
    <w:rsid w:val="00A77C7A"/>
    <w:rsid w:val="00A8432F"/>
    <w:rsid w:val="00A90107"/>
    <w:rsid w:val="00A939B3"/>
    <w:rsid w:val="00AA11D8"/>
    <w:rsid w:val="00AA1309"/>
    <w:rsid w:val="00AA1380"/>
    <w:rsid w:val="00AB1088"/>
    <w:rsid w:val="00AB23B3"/>
    <w:rsid w:val="00AC67EF"/>
    <w:rsid w:val="00AD310F"/>
    <w:rsid w:val="00AE467F"/>
    <w:rsid w:val="00AE799D"/>
    <w:rsid w:val="00B00678"/>
    <w:rsid w:val="00B03469"/>
    <w:rsid w:val="00B10EAB"/>
    <w:rsid w:val="00B11E4B"/>
    <w:rsid w:val="00B2008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94A09"/>
    <w:rsid w:val="00CA1BF5"/>
    <w:rsid w:val="00CB67B6"/>
    <w:rsid w:val="00CC557E"/>
    <w:rsid w:val="00CC63E6"/>
    <w:rsid w:val="00CC6DCB"/>
    <w:rsid w:val="00CD008D"/>
    <w:rsid w:val="00CD2278"/>
    <w:rsid w:val="00CD461B"/>
    <w:rsid w:val="00D1657F"/>
    <w:rsid w:val="00D76C0B"/>
    <w:rsid w:val="00D80D6E"/>
    <w:rsid w:val="00D833FD"/>
    <w:rsid w:val="00D95816"/>
    <w:rsid w:val="00DA09FA"/>
    <w:rsid w:val="00DD00CB"/>
    <w:rsid w:val="00DE6434"/>
    <w:rsid w:val="00E00580"/>
    <w:rsid w:val="00E0269B"/>
    <w:rsid w:val="00E26639"/>
    <w:rsid w:val="00E30C3C"/>
    <w:rsid w:val="00E42568"/>
    <w:rsid w:val="00E672A4"/>
    <w:rsid w:val="00E829B4"/>
    <w:rsid w:val="00EB1AD3"/>
    <w:rsid w:val="00EB4BAF"/>
    <w:rsid w:val="00EC294D"/>
    <w:rsid w:val="00ED52B6"/>
    <w:rsid w:val="00EF41E3"/>
    <w:rsid w:val="00F007E2"/>
    <w:rsid w:val="00F118EC"/>
    <w:rsid w:val="00F34E01"/>
    <w:rsid w:val="00F37A71"/>
    <w:rsid w:val="00F43CED"/>
    <w:rsid w:val="00F51904"/>
    <w:rsid w:val="00F537E9"/>
    <w:rsid w:val="00F720CF"/>
    <w:rsid w:val="00F92274"/>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DBEDFDC0-7952-4B38-A442-9634C4BA1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24746219">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77271813">
      <w:bodyDiv w:val="1"/>
      <w:marLeft w:val="0"/>
      <w:marRight w:val="0"/>
      <w:marTop w:val="0"/>
      <w:marBottom w:val="0"/>
      <w:divBdr>
        <w:top w:val="none" w:sz="0" w:space="0" w:color="auto"/>
        <w:left w:val="none" w:sz="0" w:space="0" w:color="auto"/>
        <w:bottom w:val="none" w:sz="0" w:space="0" w:color="auto"/>
        <w:right w:val="none" w:sz="0" w:space="0" w:color="auto"/>
      </w:divBdr>
      <w:divsChild>
        <w:div w:id="1814372218">
          <w:marLeft w:val="0"/>
          <w:marRight w:val="0"/>
          <w:marTop w:val="0"/>
          <w:marBottom w:val="0"/>
          <w:divBdr>
            <w:top w:val="none" w:sz="0" w:space="0" w:color="auto"/>
            <w:left w:val="none" w:sz="0" w:space="0" w:color="auto"/>
            <w:bottom w:val="none" w:sz="0" w:space="0" w:color="auto"/>
            <w:right w:val="none" w:sz="0" w:space="0" w:color="auto"/>
          </w:divBdr>
          <w:divsChild>
            <w:div w:id="1672610008">
              <w:marLeft w:val="0"/>
              <w:marRight w:val="0"/>
              <w:marTop w:val="0"/>
              <w:marBottom w:val="0"/>
              <w:divBdr>
                <w:top w:val="none" w:sz="0" w:space="0" w:color="auto"/>
                <w:left w:val="none" w:sz="0" w:space="0" w:color="auto"/>
                <w:bottom w:val="none" w:sz="0" w:space="0" w:color="auto"/>
                <w:right w:val="none" w:sz="0" w:space="0" w:color="auto"/>
              </w:divBdr>
              <w:divsChild>
                <w:div w:id="364252417">
                  <w:marLeft w:val="0"/>
                  <w:marRight w:val="0"/>
                  <w:marTop w:val="0"/>
                  <w:marBottom w:val="0"/>
                  <w:divBdr>
                    <w:top w:val="none" w:sz="0" w:space="0" w:color="auto"/>
                    <w:left w:val="none" w:sz="0" w:space="0" w:color="auto"/>
                    <w:bottom w:val="none" w:sz="0" w:space="0" w:color="auto"/>
                    <w:right w:val="none" w:sz="0" w:space="0" w:color="auto"/>
                  </w:divBdr>
                  <w:divsChild>
                    <w:div w:id="153125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1104</Words>
  <Characters>6298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tasnia ali</cp:lastModifiedBy>
  <cp:revision>2</cp:revision>
  <cp:lastPrinted>2020-09-28T20:53:00Z</cp:lastPrinted>
  <dcterms:created xsi:type="dcterms:W3CDTF">2021-10-20T12:28:00Z</dcterms:created>
  <dcterms:modified xsi:type="dcterms:W3CDTF">2021-10-20T12:28:00Z</dcterms:modified>
</cp:coreProperties>
</file>