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371BDC" w14:textId="34C86ADA" w:rsidR="009257EB" w:rsidRDefault="00FF11BC">
      <w:pPr>
        <w:rPr>
          <w:b/>
          <w:bCs/>
          <w:sz w:val="40"/>
          <w:szCs w:val="40"/>
          <w:lang w:val="en-US"/>
        </w:rPr>
      </w:pPr>
      <w:proofErr w:type="spellStart"/>
      <w:r w:rsidRPr="00FF11BC">
        <w:rPr>
          <w:b/>
          <w:bCs/>
          <w:sz w:val="40"/>
          <w:szCs w:val="40"/>
          <w:lang w:val="en-US"/>
        </w:rPr>
        <w:t>Defences</w:t>
      </w:r>
      <w:proofErr w:type="spellEnd"/>
      <w:r w:rsidRPr="00FF11BC">
        <w:rPr>
          <w:b/>
          <w:bCs/>
          <w:sz w:val="40"/>
          <w:szCs w:val="40"/>
          <w:lang w:val="en-US"/>
        </w:rPr>
        <w:t xml:space="preserve"> – Short questions</w:t>
      </w:r>
      <w:r w:rsidR="00D40591">
        <w:rPr>
          <w:b/>
          <w:bCs/>
          <w:sz w:val="40"/>
          <w:szCs w:val="40"/>
          <w:lang w:val="en-US"/>
        </w:rPr>
        <w:t xml:space="preserve"> and answers</w:t>
      </w:r>
    </w:p>
    <w:p w14:paraId="2CBDFBB6" w14:textId="77777777" w:rsidR="00FF11BC" w:rsidRPr="00FF11BC" w:rsidRDefault="00FF11BC">
      <w:pPr>
        <w:rPr>
          <w:b/>
          <w:bCs/>
          <w:sz w:val="40"/>
          <w:szCs w:val="40"/>
          <w:lang w:val="en-US"/>
        </w:rPr>
      </w:pPr>
    </w:p>
    <w:p w14:paraId="543A2A19" w14:textId="07B80ED5" w:rsidR="00FF11BC" w:rsidRDefault="00FF11BC" w:rsidP="00FF11BC">
      <w:pPr>
        <w:pStyle w:val="ListParagraph"/>
        <w:numPr>
          <w:ilvl w:val="0"/>
          <w:numId w:val="1"/>
        </w:numPr>
        <w:rPr>
          <w:sz w:val="32"/>
          <w:szCs w:val="32"/>
          <w:lang w:val="en-US"/>
        </w:rPr>
      </w:pPr>
      <w:r w:rsidRPr="00FF11BC">
        <w:rPr>
          <w:sz w:val="32"/>
          <w:szCs w:val="32"/>
          <w:lang w:val="en-US"/>
        </w:rPr>
        <w:t>What is meant by the “agony of the moment” in the context of contributory negligence?</w:t>
      </w:r>
    </w:p>
    <w:p w14:paraId="3B1DA87E" w14:textId="30385840" w:rsidR="00D40591" w:rsidRPr="00D40591" w:rsidRDefault="00D40591" w:rsidP="00D40591">
      <w:pPr>
        <w:pStyle w:val="ListParagraph"/>
        <w:rPr>
          <w:i/>
          <w:iCs/>
          <w:sz w:val="32"/>
          <w:szCs w:val="32"/>
          <w:lang w:val="en-US"/>
        </w:rPr>
      </w:pPr>
      <w:r>
        <w:rPr>
          <w:i/>
          <w:iCs/>
          <w:sz w:val="32"/>
          <w:szCs w:val="32"/>
          <w:lang w:val="en-US"/>
        </w:rPr>
        <w:t xml:space="preserve">The negligence of the defendant may put the claimant in a difficult situation in which he does not know how best to respond.  </w:t>
      </w:r>
      <w:r>
        <w:rPr>
          <w:b/>
          <w:bCs/>
          <w:i/>
          <w:iCs/>
          <w:sz w:val="32"/>
          <w:szCs w:val="32"/>
          <w:lang w:val="en-US"/>
        </w:rPr>
        <w:t xml:space="preserve">Jones v Boyce [1861] </w:t>
      </w:r>
      <w:r>
        <w:rPr>
          <w:i/>
          <w:iCs/>
          <w:sz w:val="32"/>
          <w:szCs w:val="32"/>
          <w:lang w:val="en-US"/>
        </w:rPr>
        <w:t>provides a good example.  The principle is still good even though the case was decided many years before the Law Reform (Contributory Negligence) Act 1945 became law.  The decision to jump from the vehicle turned out to be less sensible than it appeared in the “agony of the moment” but the claimant’s decision should be judged in the context of that dilemma, created by the defendant, and it may be reasonable in the circumstances.</w:t>
      </w:r>
    </w:p>
    <w:p w14:paraId="0466A518" w14:textId="77777777" w:rsidR="00FF11BC" w:rsidRPr="00FF11BC" w:rsidRDefault="00FF11BC" w:rsidP="00FF11BC">
      <w:pPr>
        <w:pStyle w:val="ListParagraph"/>
        <w:rPr>
          <w:sz w:val="32"/>
          <w:szCs w:val="32"/>
          <w:lang w:val="en-US"/>
        </w:rPr>
      </w:pPr>
    </w:p>
    <w:p w14:paraId="321AFF90" w14:textId="7C9E589A" w:rsidR="00FF11BC" w:rsidRDefault="00FF11BC" w:rsidP="00FF11BC">
      <w:pPr>
        <w:pStyle w:val="ListParagraph"/>
        <w:numPr>
          <w:ilvl w:val="0"/>
          <w:numId w:val="1"/>
        </w:numPr>
        <w:rPr>
          <w:sz w:val="32"/>
          <w:szCs w:val="32"/>
          <w:lang w:val="en-US"/>
        </w:rPr>
      </w:pPr>
      <w:r w:rsidRPr="00FF11BC">
        <w:rPr>
          <w:sz w:val="32"/>
          <w:szCs w:val="32"/>
          <w:lang w:val="en-US"/>
        </w:rPr>
        <w:t>If a judge finds that a claimant has been contributorily negligent, how does this finding affect the claimant’s action?</w:t>
      </w:r>
    </w:p>
    <w:p w14:paraId="61BA057A" w14:textId="67F34CC6" w:rsidR="00D40591" w:rsidRPr="00D40591" w:rsidRDefault="00D40591" w:rsidP="00D40591">
      <w:pPr>
        <w:pStyle w:val="ListParagraph"/>
        <w:rPr>
          <w:i/>
          <w:iCs/>
          <w:sz w:val="32"/>
          <w:szCs w:val="32"/>
          <w:lang w:val="en-US"/>
        </w:rPr>
      </w:pPr>
      <w:r>
        <w:rPr>
          <w:i/>
          <w:iCs/>
          <w:sz w:val="32"/>
          <w:szCs w:val="32"/>
          <w:lang w:val="en-US"/>
        </w:rPr>
        <w:t xml:space="preserve">The answer can be found in the wording of s1(1) LR(CN)A 1945.  The principle is that the damages awarded to the Claimant will be reduced “to such an extent as the court thinks just and equitable”.  This reference to equity is rare in the law of tort and it is a reminder that the judges are not making a scientific or mathematical calculation.  They will have regard to the Claimant’s share in the responsibility for the damages suffered.  Blameworthiness is being assessed and this is shown by lack of care for the Claimant’s </w:t>
      </w:r>
      <w:r>
        <w:rPr>
          <w:b/>
          <w:bCs/>
          <w:i/>
          <w:iCs/>
          <w:sz w:val="32"/>
          <w:szCs w:val="32"/>
          <w:lang w:val="en-US"/>
        </w:rPr>
        <w:t xml:space="preserve">own </w:t>
      </w:r>
      <w:r>
        <w:rPr>
          <w:i/>
          <w:iCs/>
          <w:sz w:val="32"/>
          <w:szCs w:val="32"/>
          <w:lang w:val="en-US"/>
        </w:rPr>
        <w:t>safety.</w:t>
      </w:r>
    </w:p>
    <w:p w14:paraId="788D48DF" w14:textId="77777777" w:rsidR="00FF11BC" w:rsidRPr="00FF11BC" w:rsidRDefault="00FF11BC" w:rsidP="00FF11BC">
      <w:pPr>
        <w:rPr>
          <w:sz w:val="32"/>
          <w:szCs w:val="32"/>
          <w:lang w:val="en-US"/>
        </w:rPr>
      </w:pPr>
    </w:p>
    <w:p w14:paraId="553626FD" w14:textId="7BD5315A" w:rsidR="00FF11BC" w:rsidRDefault="00FF11BC" w:rsidP="00FF11BC">
      <w:pPr>
        <w:pStyle w:val="ListParagraph"/>
        <w:numPr>
          <w:ilvl w:val="0"/>
          <w:numId w:val="1"/>
        </w:numPr>
        <w:rPr>
          <w:sz w:val="32"/>
          <w:szCs w:val="32"/>
          <w:lang w:val="en-US"/>
        </w:rPr>
      </w:pPr>
      <w:r w:rsidRPr="00FF11BC">
        <w:rPr>
          <w:sz w:val="32"/>
          <w:szCs w:val="32"/>
          <w:lang w:val="en-US"/>
        </w:rPr>
        <w:t xml:space="preserve">What must the defendant prove to establish the </w:t>
      </w:r>
      <w:proofErr w:type="spellStart"/>
      <w:r w:rsidRPr="00FF11BC">
        <w:rPr>
          <w:sz w:val="32"/>
          <w:szCs w:val="32"/>
          <w:lang w:val="en-US"/>
        </w:rPr>
        <w:t>defence</w:t>
      </w:r>
      <w:proofErr w:type="spellEnd"/>
      <w:r w:rsidRPr="00FF11BC">
        <w:rPr>
          <w:sz w:val="32"/>
          <w:szCs w:val="32"/>
          <w:lang w:val="en-US"/>
        </w:rPr>
        <w:t xml:space="preserve"> of </w:t>
      </w:r>
      <w:proofErr w:type="spellStart"/>
      <w:r w:rsidRPr="00FF11BC">
        <w:rPr>
          <w:i/>
          <w:iCs/>
          <w:sz w:val="32"/>
          <w:szCs w:val="32"/>
          <w:lang w:val="en-US"/>
        </w:rPr>
        <w:t>volenti</w:t>
      </w:r>
      <w:proofErr w:type="spellEnd"/>
      <w:r w:rsidRPr="00FF11BC">
        <w:rPr>
          <w:i/>
          <w:iCs/>
          <w:sz w:val="32"/>
          <w:szCs w:val="32"/>
          <w:lang w:val="en-US"/>
        </w:rPr>
        <w:t xml:space="preserve"> </w:t>
      </w:r>
      <w:r w:rsidRPr="00FF11BC">
        <w:rPr>
          <w:sz w:val="32"/>
          <w:szCs w:val="32"/>
          <w:lang w:val="en-US"/>
        </w:rPr>
        <w:t>(consent)?</w:t>
      </w:r>
    </w:p>
    <w:p w14:paraId="3CD33957" w14:textId="7B7C6C98" w:rsidR="00D40591" w:rsidRPr="0046590D" w:rsidRDefault="0046590D" w:rsidP="00D40591">
      <w:pPr>
        <w:pStyle w:val="ListParagraph"/>
        <w:rPr>
          <w:i/>
          <w:iCs/>
          <w:sz w:val="32"/>
          <w:szCs w:val="32"/>
          <w:lang w:val="en-US"/>
        </w:rPr>
      </w:pPr>
      <w:r>
        <w:rPr>
          <w:i/>
          <w:iCs/>
          <w:sz w:val="32"/>
          <w:szCs w:val="32"/>
          <w:lang w:val="en-US"/>
        </w:rPr>
        <w:t xml:space="preserve">The </w:t>
      </w:r>
      <w:proofErr w:type="spellStart"/>
      <w:r>
        <w:rPr>
          <w:i/>
          <w:iCs/>
          <w:sz w:val="32"/>
          <w:szCs w:val="32"/>
          <w:lang w:val="en-US"/>
        </w:rPr>
        <w:t>defence</w:t>
      </w:r>
      <w:proofErr w:type="spellEnd"/>
      <w:r>
        <w:rPr>
          <w:i/>
          <w:iCs/>
          <w:sz w:val="32"/>
          <w:szCs w:val="32"/>
          <w:lang w:val="en-US"/>
        </w:rPr>
        <w:t xml:space="preserve"> can be translated to mean that someone “who has not invited or assented to an act being done towards him </w:t>
      </w:r>
      <w:r>
        <w:rPr>
          <w:i/>
          <w:iCs/>
          <w:sz w:val="32"/>
          <w:szCs w:val="32"/>
          <w:lang w:val="en-US"/>
        </w:rPr>
        <w:lastRenderedPageBreak/>
        <w:t>cannot, when he suffers from it, complain of it as wrong” (</w:t>
      </w:r>
      <w:r>
        <w:rPr>
          <w:b/>
          <w:bCs/>
          <w:i/>
          <w:iCs/>
          <w:sz w:val="32"/>
          <w:szCs w:val="32"/>
          <w:lang w:val="en-US"/>
        </w:rPr>
        <w:t>Smith v Baker [1891]</w:t>
      </w:r>
      <w:r>
        <w:rPr>
          <w:i/>
          <w:iCs/>
          <w:sz w:val="32"/>
          <w:szCs w:val="32"/>
          <w:lang w:val="en-US"/>
        </w:rPr>
        <w:t xml:space="preserve">).  The defendant must show that the claimant consented and this is rarely based upon express agreement.  The court may imply consent if there is evidence of full knowledge of the risk and voluntary submission to running the risk.  A free choice is essential for the </w:t>
      </w:r>
      <w:proofErr w:type="spellStart"/>
      <w:r>
        <w:rPr>
          <w:i/>
          <w:iCs/>
          <w:sz w:val="32"/>
          <w:szCs w:val="32"/>
          <w:lang w:val="en-US"/>
        </w:rPr>
        <w:t>defence</w:t>
      </w:r>
      <w:proofErr w:type="spellEnd"/>
      <w:r>
        <w:rPr>
          <w:i/>
          <w:iCs/>
          <w:sz w:val="32"/>
          <w:szCs w:val="32"/>
          <w:lang w:val="en-US"/>
        </w:rPr>
        <w:t xml:space="preserve"> to succeed.  It is important that knowledge alone is insufficient to raise the </w:t>
      </w:r>
      <w:proofErr w:type="spellStart"/>
      <w:r>
        <w:rPr>
          <w:i/>
          <w:iCs/>
          <w:sz w:val="32"/>
          <w:szCs w:val="32"/>
          <w:lang w:val="en-US"/>
        </w:rPr>
        <w:t>defence</w:t>
      </w:r>
      <w:proofErr w:type="spellEnd"/>
      <w:r>
        <w:rPr>
          <w:i/>
          <w:iCs/>
          <w:sz w:val="32"/>
          <w:szCs w:val="32"/>
          <w:lang w:val="en-US"/>
        </w:rPr>
        <w:t xml:space="preserve"> because, if that were the law, it would be very difficult for anyone doing inherently dangerous work ever to sue their employer.  </w:t>
      </w:r>
      <w:r>
        <w:rPr>
          <w:b/>
          <w:bCs/>
          <w:i/>
          <w:iCs/>
          <w:sz w:val="32"/>
          <w:szCs w:val="32"/>
          <w:lang w:val="en-US"/>
        </w:rPr>
        <w:t xml:space="preserve">Smith v Baker [1891] </w:t>
      </w:r>
      <w:r>
        <w:rPr>
          <w:i/>
          <w:iCs/>
          <w:sz w:val="32"/>
          <w:szCs w:val="32"/>
          <w:lang w:val="en-US"/>
        </w:rPr>
        <w:t>is a good early example of the protective stance taken by the law on this issue.</w:t>
      </w:r>
    </w:p>
    <w:p w14:paraId="0F179692" w14:textId="77777777" w:rsidR="00FF11BC" w:rsidRPr="00FF11BC" w:rsidRDefault="00FF11BC" w:rsidP="00FF11BC">
      <w:pPr>
        <w:pStyle w:val="ListParagraph"/>
        <w:rPr>
          <w:sz w:val="32"/>
          <w:szCs w:val="32"/>
          <w:lang w:val="en-US"/>
        </w:rPr>
      </w:pPr>
    </w:p>
    <w:sectPr w:rsidR="00FF11BC" w:rsidRPr="00FF11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F37E1C"/>
    <w:multiLevelType w:val="hybridMultilevel"/>
    <w:tmpl w:val="5DA63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BC"/>
    <w:rsid w:val="0046590D"/>
    <w:rsid w:val="009257EB"/>
    <w:rsid w:val="00D40591"/>
    <w:rsid w:val="00FF11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A5EA"/>
  <w15:chartTrackingRefBased/>
  <w15:docId w15:val="{915B1C5A-5CB3-4E7A-AE51-4795BBD4A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1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333</Words>
  <Characters>1902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2020-10-22T11:55:00Z</dcterms:created>
  <dcterms:modified xsi:type="dcterms:W3CDTF">2020-10-22T11:55:00Z</dcterms:modified>
</cp:coreProperties>
</file>