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90510" w14:textId="77777777" w:rsidR="00BC2F54" w:rsidRDefault="00BC2F54" w:rsidP="00497B8D">
      <w:pPr>
        <w:spacing w:before="240" w:line="360" w:lineRule="auto"/>
        <w:jc w:val="center"/>
        <w:rPr>
          <w:b/>
          <w:bCs/>
          <w:sz w:val="36"/>
          <w:szCs w:val="36"/>
        </w:rPr>
      </w:pPr>
    </w:p>
    <w:p w14:paraId="77B91E70" w14:textId="3AB525D4" w:rsidR="005A4907" w:rsidRDefault="005A4907" w:rsidP="00497B8D">
      <w:pPr>
        <w:spacing w:before="240" w:line="360" w:lineRule="auto"/>
        <w:jc w:val="center"/>
        <w:rPr>
          <w:b/>
          <w:bCs/>
          <w:sz w:val="24"/>
          <w:szCs w:val="24"/>
        </w:rPr>
      </w:pPr>
      <w:r w:rsidRPr="00BC2F54">
        <w:rPr>
          <w:b/>
          <w:bCs/>
          <w:sz w:val="36"/>
          <w:szCs w:val="36"/>
        </w:rPr>
        <w:t>Programme</w:t>
      </w:r>
      <w:r>
        <w:rPr>
          <w:b/>
          <w:bCs/>
          <w:sz w:val="24"/>
          <w:szCs w:val="24"/>
        </w:rPr>
        <w:t xml:space="preserve">: </w:t>
      </w:r>
      <w:proofErr w:type="gramStart"/>
      <w:r w:rsidRPr="00BC2F54">
        <w:rPr>
          <w:b/>
          <w:bCs/>
          <w:sz w:val="40"/>
          <w:szCs w:val="40"/>
        </w:rPr>
        <w:t>Masters of business administration</w:t>
      </w:r>
      <w:proofErr w:type="gramEnd"/>
    </w:p>
    <w:p w14:paraId="6DA81893" w14:textId="4D279BEA" w:rsidR="005A4907" w:rsidRPr="00BC2F54" w:rsidRDefault="005A4907" w:rsidP="00497B8D">
      <w:pPr>
        <w:spacing w:before="240" w:line="360" w:lineRule="auto"/>
        <w:jc w:val="center"/>
        <w:rPr>
          <w:b/>
          <w:bCs/>
          <w:sz w:val="36"/>
          <w:szCs w:val="36"/>
        </w:rPr>
      </w:pPr>
      <w:r w:rsidRPr="00BC2F54">
        <w:rPr>
          <w:b/>
          <w:bCs/>
          <w:sz w:val="36"/>
          <w:szCs w:val="36"/>
        </w:rPr>
        <w:t>Module: Marketing Management</w:t>
      </w:r>
    </w:p>
    <w:p w14:paraId="0CC26390" w14:textId="308EED3E" w:rsidR="005A4907" w:rsidRPr="00BC2F54" w:rsidRDefault="005A4907" w:rsidP="00497B8D">
      <w:pPr>
        <w:spacing w:before="240" w:line="360" w:lineRule="auto"/>
        <w:jc w:val="center"/>
        <w:rPr>
          <w:b/>
          <w:bCs/>
          <w:sz w:val="40"/>
          <w:szCs w:val="40"/>
        </w:rPr>
      </w:pPr>
      <w:r w:rsidRPr="00BC2F54">
        <w:rPr>
          <w:b/>
          <w:bCs/>
          <w:sz w:val="40"/>
          <w:szCs w:val="40"/>
        </w:rPr>
        <w:t>Module Code: LCMB7024</w:t>
      </w:r>
    </w:p>
    <w:p w14:paraId="30D7AB2D" w14:textId="5F20CAA0" w:rsidR="005A4907" w:rsidRPr="00BC2F54" w:rsidRDefault="005A4907" w:rsidP="00497B8D">
      <w:pPr>
        <w:spacing w:before="240" w:line="360" w:lineRule="auto"/>
        <w:jc w:val="center"/>
        <w:rPr>
          <w:b/>
          <w:bCs/>
          <w:sz w:val="32"/>
          <w:szCs w:val="32"/>
        </w:rPr>
      </w:pPr>
      <w:r w:rsidRPr="00BC2F54">
        <w:rPr>
          <w:b/>
          <w:bCs/>
          <w:sz w:val="32"/>
          <w:szCs w:val="32"/>
        </w:rPr>
        <w:t xml:space="preserve">Organisation Chosen: EXIDE </w:t>
      </w:r>
    </w:p>
    <w:p w14:paraId="0C23C6A1" w14:textId="66A9538E" w:rsidR="00BC2F54" w:rsidRPr="00BC2F54" w:rsidRDefault="00BC2F54" w:rsidP="00497B8D">
      <w:pPr>
        <w:spacing w:before="240" w:line="360" w:lineRule="auto"/>
        <w:jc w:val="center"/>
        <w:rPr>
          <w:b/>
          <w:bCs/>
          <w:sz w:val="40"/>
          <w:szCs w:val="40"/>
        </w:rPr>
      </w:pPr>
      <w:r w:rsidRPr="00BC2F54">
        <w:rPr>
          <w:b/>
          <w:bCs/>
          <w:sz w:val="40"/>
          <w:szCs w:val="40"/>
        </w:rPr>
        <w:t>Name of the student: Yash Pawar</w:t>
      </w:r>
    </w:p>
    <w:p w14:paraId="16371A82" w14:textId="62B661C2" w:rsidR="00BC2F54" w:rsidRPr="00BC2F54" w:rsidRDefault="00BC2F54" w:rsidP="00497B8D">
      <w:pPr>
        <w:spacing w:before="240" w:line="360" w:lineRule="auto"/>
        <w:jc w:val="center"/>
        <w:rPr>
          <w:b/>
          <w:bCs/>
          <w:sz w:val="44"/>
          <w:szCs w:val="44"/>
        </w:rPr>
      </w:pPr>
      <w:r w:rsidRPr="00BC2F54">
        <w:rPr>
          <w:b/>
          <w:bCs/>
          <w:sz w:val="44"/>
          <w:szCs w:val="44"/>
        </w:rPr>
        <w:t>STUDENT ID: 2543471</w:t>
      </w:r>
    </w:p>
    <w:p w14:paraId="4313F652" w14:textId="7D8BAB45" w:rsidR="00BC2F54" w:rsidRPr="00BC2F54" w:rsidRDefault="00BC2F54" w:rsidP="00BC2F54">
      <w:pPr>
        <w:spacing w:before="240" w:line="360" w:lineRule="auto"/>
        <w:jc w:val="center"/>
        <w:rPr>
          <w:b/>
          <w:bCs/>
          <w:sz w:val="40"/>
          <w:szCs w:val="40"/>
          <w:lang w:val="en-GB"/>
        </w:rPr>
      </w:pPr>
      <w:r w:rsidRPr="00BC2F54">
        <w:rPr>
          <w:b/>
          <w:bCs/>
          <w:sz w:val="40"/>
          <w:szCs w:val="40"/>
        </w:rPr>
        <w:t>Lecturer</w:t>
      </w:r>
      <w:r w:rsidRPr="00BC2F54">
        <w:rPr>
          <w:b/>
          <w:bCs/>
          <w:sz w:val="40"/>
          <w:szCs w:val="40"/>
        </w:rPr>
        <w:t>’s Name</w:t>
      </w:r>
      <w:r w:rsidRPr="00BC2F54">
        <w:rPr>
          <w:b/>
          <w:bCs/>
          <w:sz w:val="40"/>
          <w:szCs w:val="40"/>
        </w:rPr>
        <w:t xml:space="preserve">: </w:t>
      </w:r>
      <w:r w:rsidRPr="00BC2F54">
        <w:rPr>
          <w:b/>
          <w:bCs/>
          <w:sz w:val="40"/>
          <w:szCs w:val="40"/>
          <w:lang w:val="en-GB"/>
        </w:rPr>
        <w:t xml:space="preserve">Tushara </w:t>
      </w:r>
      <w:proofErr w:type="spellStart"/>
      <w:r w:rsidRPr="00BC2F54">
        <w:rPr>
          <w:b/>
          <w:bCs/>
          <w:sz w:val="40"/>
          <w:szCs w:val="40"/>
          <w:lang w:val="en-GB"/>
        </w:rPr>
        <w:t>Balendran</w:t>
      </w:r>
      <w:proofErr w:type="spellEnd"/>
    </w:p>
    <w:p w14:paraId="38057BC8" w14:textId="27435DEF" w:rsidR="00BC2F54" w:rsidRPr="00BC2F54" w:rsidRDefault="00BC2F54" w:rsidP="00497B8D">
      <w:pPr>
        <w:spacing w:before="240" w:line="360" w:lineRule="auto"/>
        <w:jc w:val="center"/>
        <w:rPr>
          <w:b/>
          <w:bCs/>
          <w:sz w:val="40"/>
          <w:szCs w:val="40"/>
        </w:rPr>
      </w:pPr>
    </w:p>
    <w:p w14:paraId="44D10CAC" w14:textId="77777777" w:rsidR="005A4907" w:rsidRDefault="005A4907" w:rsidP="00497B8D">
      <w:pPr>
        <w:spacing w:before="240" w:line="360" w:lineRule="auto"/>
        <w:jc w:val="center"/>
        <w:rPr>
          <w:b/>
          <w:bCs/>
          <w:sz w:val="24"/>
          <w:szCs w:val="24"/>
        </w:rPr>
      </w:pPr>
    </w:p>
    <w:p w14:paraId="07A8D944" w14:textId="77777777" w:rsidR="005A4907" w:rsidRDefault="005A4907" w:rsidP="00497B8D">
      <w:pPr>
        <w:spacing w:before="240" w:line="360" w:lineRule="auto"/>
        <w:jc w:val="center"/>
        <w:rPr>
          <w:b/>
          <w:bCs/>
          <w:sz w:val="24"/>
          <w:szCs w:val="24"/>
        </w:rPr>
      </w:pPr>
    </w:p>
    <w:p w14:paraId="365A12A6" w14:textId="2D571C5D" w:rsidR="00497B8D" w:rsidRPr="00497B8D" w:rsidRDefault="00497B8D" w:rsidP="00497B8D">
      <w:pPr>
        <w:spacing w:before="240" w:line="360" w:lineRule="auto"/>
        <w:jc w:val="center"/>
        <w:rPr>
          <w:b/>
          <w:bCs/>
          <w:sz w:val="24"/>
          <w:szCs w:val="24"/>
        </w:rPr>
      </w:pPr>
    </w:p>
    <w:p w14:paraId="5CD4ED48" w14:textId="7B71755E" w:rsidR="00AE2EBD" w:rsidRDefault="00497B8D" w:rsidP="00497B8D">
      <w:pPr>
        <w:jc w:val="left"/>
        <w:rPr>
          <w:sz w:val="24"/>
          <w:szCs w:val="24"/>
        </w:rPr>
      </w:pPr>
      <w:r>
        <w:rPr>
          <w:sz w:val="24"/>
          <w:szCs w:val="24"/>
        </w:rPr>
        <w:br w:type="page"/>
      </w:r>
    </w:p>
    <w:p w14:paraId="388A28B9" w14:textId="77777777" w:rsidR="00AE2EBD" w:rsidRDefault="00000000">
      <w:pPr>
        <w:keepNext/>
        <w:keepLines/>
        <w:pBdr>
          <w:top w:val="nil"/>
          <w:left w:val="nil"/>
          <w:bottom w:val="nil"/>
          <w:right w:val="nil"/>
          <w:between w:val="nil"/>
        </w:pBdr>
        <w:spacing w:before="240" w:line="360" w:lineRule="auto"/>
        <w:jc w:val="center"/>
        <w:rPr>
          <w:b/>
          <w:bCs/>
          <w:color w:val="000000"/>
          <w:sz w:val="24"/>
          <w:szCs w:val="24"/>
        </w:rPr>
      </w:pPr>
      <w:r>
        <w:rPr>
          <w:b/>
          <w:bCs/>
          <w:color w:val="000000"/>
          <w:sz w:val="24"/>
          <w:szCs w:val="24"/>
        </w:rPr>
        <w:lastRenderedPageBreak/>
        <w:t>Table of Contents</w:t>
      </w:r>
    </w:p>
    <w:p w14:paraId="63BA606F" w14:textId="051BC3D9" w:rsidR="00FB7642" w:rsidRDefault="00000000">
      <w:pPr>
        <w:pStyle w:val="TOC1"/>
        <w:tabs>
          <w:tab w:val="right" w:leader="dot" w:pos="9019"/>
        </w:tabs>
        <w:rPr>
          <w:noProof/>
        </w:rPr>
      </w:pPr>
      <w:r>
        <w:fldChar w:fldCharType="begin"/>
      </w:r>
      <w:r>
        <w:instrText xml:space="preserve"> TOC \h \u \z \t "Heading 1,1,Heading 2,2,Heading 3,3,"</w:instrText>
      </w:r>
      <w:r>
        <w:fldChar w:fldCharType="separate"/>
      </w:r>
      <w:hyperlink w:anchor="_Toc237277154" w:history="1">
        <w:r w:rsidR="00FB7642" w:rsidRPr="00310795">
          <w:rPr>
            <w:rStyle w:val="Hyperlink"/>
            <w:noProof/>
          </w:rPr>
          <w:t>Element 1: Sustainable Brand Extension Poster Presentation</w:t>
        </w:r>
        <w:r w:rsidR="00FB7642">
          <w:rPr>
            <w:noProof/>
            <w:webHidden/>
          </w:rPr>
          <w:tab/>
        </w:r>
        <w:r w:rsidR="00FB7642">
          <w:rPr>
            <w:noProof/>
            <w:webHidden/>
          </w:rPr>
          <w:fldChar w:fldCharType="begin"/>
        </w:r>
        <w:r w:rsidR="00FB7642">
          <w:rPr>
            <w:noProof/>
            <w:webHidden/>
          </w:rPr>
          <w:instrText xml:space="preserve"> PAGEREF _Toc237277154 \h </w:instrText>
        </w:r>
        <w:r w:rsidR="00FB7642">
          <w:rPr>
            <w:noProof/>
            <w:webHidden/>
          </w:rPr>
        </w:r>
        <w:r w:rsidR="00FB7642">
          <w:rPr>
            <w:noProof/>
            <w:webHidden/>
          </w:rPr>
          <w:fldChar w:fldCharType="separate"/>
        </w:r>
        <w:r w:rsidR="00FB7642">
          <w:rPr>
            <w:noProof/>
            <w:webHidden/>
          </w:rPr>
          <w:t>3</w:t>
        </w:r>
        <w:r w:rsidR="00FB7642">
          <w:rPr>
            <w:noProof/>
            <w:webHidden/>
          </w:rPr>
          <w:fldChar w:fldCharType="end"/>
        </w:r>
      </w:hyperlink>
    </w:p>
    <w:p w14:paraId="0012798A" w14:textId="306DDD4D" w:rsidR="00FB7642" w:rsidRDefault="00FB7642">
      <w:pPr>
        <w:pStyle w:val="TOC1"/>
        <w:tabs>
          <w:tab w:val="right" w:leader="dot" w:pos="9019"/>
        </w:tabs>
        <w:rPr>
          <w:noProof/>
        </w:rPr>
      </w:pPr>
      <w:hyperlink w:anchor="_Toc237277155" w:history="1">
        <w:r w:rsidRPr="00310795">
          <w:rPr>
            <w:rStyle w:val="Hyperlink"/>
            <w:noProof/>
          </w:rPr>
          <w:t>Element 2: Segmentation, Targeting, Differentiation, and Positioning (STDP) strategy for Exide</w:t>
        </w:r>
        <w:r>
          <w:rPr>
            <w:noProof/>
            <w:webHidden/>
          </w:rPr>
          <w:tab/>
        </w:r>
        <w:r>
          <w:rPr>
            <w:noProof/>
            <w:webHidden/>
          </w:rPr>
          <w:fldChar w:fldCharType="begin"/>
        </w:r>
        <w:r>
          <w:rPr>
            <w:noProof/>
            <w:webHidden/>
          </w:rPr>
          <w:instrText xml:space="preserve"> PAGEREF _Toc237277155 \h </w:instrText>
        </w:r>
        <w:r>
          <w:rPr>
            <w:noProof/>
            <w:webHidden/>
          </w:rPr>
        </w:r>
        <w:r>
          <w:rPr>
            <w:noProof/>
            <w:webHidden/>
          </w:rPr>
          <w:fldChar w:fldCharType="separate"/>
        </w:r>
        <w:r>
          <w:rPr>
            <w:noProof/>
            <w:webHidden/>
          </w:rPr>
          <w:t>5</w:t>
        </w:r>
        <w:r>
          <w:rPr>
            <w:noProof/>
            <w:webHidden/>
          </w:rPr>
          <w:fldChar w:fldCharType="end"/>
        </w:r>
      </w:hyperlink>
    </w:p>
    <w:p w14:paraId="5FCD563B" w14:textId="12ACB4C3" w:rsidR="00FB7642" w:rsidRDefault="00FB7642">
      <w:pPr>
        <w:pStyle w:val="TOC2"/>
        <w:tabs>
          <w:tab w:val="right" w:leader="dot" w:pos="9019"/>
        </w:tabs>
        <w:rPr>
          <w:noProof/>
        </w:rPr>
      </w:pPr>
      <w:hyperlink w:anchor="_Toc237277156" w:history="1">
        <w:r w:rsidRPr="00310795">
          <w:rPr>
            <w:rStyle w:val="Hyperlink"/>
            <w:noProof/>
          </w:rPr>
          <w:t>2.1 Segmentation</w:t>
        </w:r>
        <w:r>
          <w:rPr>
            <w:noProof/>
            <w:webHidden/>
          </w:rPr>
          <w:tab/>
        </w:r>
        <w:r>
          <w:rPr>
            <w:noProof/>
            <w:webHidden/>
          </w:rPr>
          <w:fldChar w:fldCharType="begin"/>
        </w:r>
        <w:r>
          <w:rPr>
            <w:noProof/>
            <w:webHidden/>
          </w:rPr>
          <w:instrText xml:space="preserve"> PAGEREF _Toc237277156 \h </w:instrText>
        </w:r>
        <w:r>
          <w:rPr>
            <w:noProof/>
            <w:webHidden/>
          </w:rPr>
        </w:r>
        <w:r>
          <w:rPr>
            <w:noProof/>
            <w:webHidden/>
          </w:rPr>
          <w:fldChar w:fldCharType="separate"/>
        </w:r>
        <w:r>
          <w:rPr>
            <w:noProof/>
            <w:webHidden/>
          </w:rPr>
          <w:t>5</w:t>
        </w:r>
        <w:r>
          <w:rPr>
            <w:noProof/>
            <w:webHidden/>
          </w:rPr>
          <w:fldChar w:fldCharType="end"/>
        </w:r>
      </w:hyperlink>
    </w:p>
    <w:p w14:paraId="637210FD" w14:textId="27C80863" w:rsidR="00FB7642" w:rsidRDefault="00FB7642">
      <w:pPr>
        <w:pStyle w:val="TOC2"/>
        <w:tabs>
          <w:tab w:val="right" w:leader="dot" w:pos="9019"/>
        </w:tabs>
        <w:rPr>
          <w:noProof/>
        </w:rPr>
      </w:pPr>
      <w:hyperlink w:anchor="_Toc237277157" w:history="1">
        <w:r w:rsidRPr="00310795">
          <w:rPr>
            <w:rStyle w:val="Hyperlink"/>
            <w:noProof/>
          </w:rPr>
          <w:t>2.2 Targeting</w:t>
        </w:r>
        <w:r>
          <w:rPr>
            <w:noProof/>
            <w:webHidden/>
          </w:rPr>
          <w:tab/>
        </w:r>
        <w:r>
          <w:rPr>
            <w:noProof/>
            <w:webHidden/>
          </w:rPr>
          <w:fldChar w:fldCharType="begin"/>
        </w:r>
        <w:r>
          <w:rPr>
            <w:noProof/>
            <w:webHidden/>
          </w:rPr>
          <w:instrText xml:space="preserve"> PAGEREF _Toc237277157 \h </w:instrText>
        </w:r>
        <w:r>
          <w:rPr>
            <w:noProof/>
            <w:webHidden/>
          </w:rPr>
        </w:r>
        <w:r>
          <w:rPr>
            <w:noProof/>
            <w:webHidden/>
          </w:rPr>
          <w:fldChar w:fldCharType="separate"/>
        </w:r>
        <w:r>
          <w:rPr>
            <w:noProof/>
            <w:webHidden/>
          </w:rPr>
          <w:t>7</w:t>
        </w:r>
        <w:r>
          <w:rPr>
            <w:noProof/>
            <w:webHidden/>
          </w:rPr>
          <w:fldChar w:fldCharType="end"/>
        </w:r>
      </w:hyperlink>
    </w:p>
    <w:p w14:paraId="2A02B58B" w14:textId="71EB4E5A" w:rsidR="00FB7642" w:rsidRDefault="00FB7642">
      <w:pPr>
        <w:pStyle w:val="TOC2"/>
        <w:tabs>
          <w:tab w:val="right" w:leader="dot" w:pos="9019"/>
        </w:tabs>
        <w:rPr>
          <w:noProof/>
        </w:rPr>
      </w:pPr>
      <w:hyperlink w:anchor="_Toc237277158" w:history="1">
        <w:r w:rsidRPr="00310795">
          <w:rPr>
            <w:rStyle w:val="Hyperlink"/>
            <w:noProof/>
          </w:rPr>
          <w:t>2.3 Differentiation</w:t>
        </w:r>
        <w:r>
          <w:rPr>
            <w:noProof/>
            <w:webHidden/>
          </w:rPr>
          <w:tab/>
        </w:r>
        <w:r>
          <w:rPr>
            <w:noProof/>
            <w:webHidden/>
          </w:rPr>
          <w:fldChar w:fldCharType="begin"/>
        </w:r>
        <w:r>
          <w:rPr>
            <w:noProof/>
            <w:webHidden/>
          </w:rPr>
          <w:instrText xml:space="preserve"> PAGEREF _Toc237277158 \h </w:instrText>
        </w:r>
        <w:r>
          <w:rPr>
            <w:noProof/>
            <w:webHidden/>
          </w:rPr>
        </w:r>
        <w:r>
          <w:rPr>
            <w:noProof/>
            <w:webHidden/>
          </w:rPr>
          <w:fldChar w:fldCharType="separate"/>
        </w:r>
        <w:r>
          <w:rPr>
            <w:noProof/>
            <w:webHidden/>
          </w:rPr>
          <w:t>8</w:t>
        </w:r>
        <w:r>
          <w:rPr>
            <w:noProof/>
            <w:webHidden/>
          </w:rPr>
          <w:fldChar w:fldCharType="end"/>
        </w:r>
      </w:hyperlink>
    </w:p>
    <w:p w14:paraId="44FB6419" w14:textId="3AD23E3D" w:rsidR="00FB7642" w:rsidRDefault="00FB7642">
      <w:pPr>
        <w:pStyle w:val="TOC2"/>
        <w:tabs>
          <w:tab w:val="right" w:leader="dot" w:pos="9019"/>
        </w:tabs>
        <w:rPr>
          <w:noProof/>
        </w:rPr>
      </w:pPr>
      <w:hyperlink w:anchor="_Toc237277159" w:history="1">
        <w:r w:rsidRPr="00310795">
          <w:rPr>
            <w:rStyle w:val="Hyperlink"/>
            <w:noProof/>
          </w:rPr>
          <w:t>2.4 Positioning</w:t>
        </w:r>
        <w:r>
          <w:rPr>
            <w:noProof/>
            <w:webHidden/>
          </w:rPr>
          <w:tab/>
        </w:r>
        <w:r>
          <w:rPr>
            <w:noProof/>
            <w:webHidden/>
          </w:rPr>
          <w:fldChar w:fldCharType="begin"/>
        </w:r>
        <w:r>
          <w:rPr>
            <w:noProof/>
            <w:webHidden/>
          </w:rPr>
          <w:instrText xml:space="preserve"> PAGEREF _Toc237277159 \h </w:instrText>
        </w:r>
        <w:r>
          <w:rPr>
            <w:noProof/>
            <w:webHidden/>
          </w:rPr>
        </w:r>
        <w:r>
          <w:rPr>
            <w:noProof/>
            <w:webHidden/>
          </w:rPr>
          <w:fldChar w:fldCharType="separate"/>
        </w:r>
        <w:r>
          <w:rPr>
            <w:noProof/>
            <w:webHidden/>
          </w:rPr>
          <w:t>9</w:t>
        </w:r>
        <w:r>
          <w:rPr>
            <w:noProof/>
            <w:webHidden/>
          </w:rPr>
          <w:fldChar w:fldCharType="end"/>
        </w:r>
      </w:hyperlink>
    </w:p>
    <w:p w14:paraId="7B3BDB4F" w14:textId="5DA55089" w:rsidR="00FB7642" w:rsidRDefault="00FB7642">
      <w:pPr>
        <w:pStyle w:val="TOC1"/>
        <w:tabs>
          <w:tab w:val="right" w:leader="dot" w:pos="9019"/>
        </w:tabs>
        <w:rPr>
          <w:noProof/>
        </w:rPr>
      </w:pPr>
      <w:hyperlink w:anchor="_Toc237277160" w:history="1">
        <w:r w:rsidRPr="00310795">
          <w:rPr>
            <w:rStyle w:val="Hyperlink"/>
            <w:noProof/>
          </w:rPr>
          <w:t>Element 3: Marketing Mix (7Ps)</w:t>
        </w:r>
        <w:r>
          <w:rPr>
            <w:noProof/>
            <w:webHidden/>
          </w:rPr>
          <w:tab/>
        </w:r>
        <w:r>
          <w:rPr>
            <w:noProof/>
            <w:webHidden/>
          </w:rPr>
          <w:fldChar w:fldCharType="begin"/>
        </w:r>
        <w:r>
          <w:rPr>
            <w:noProof/>
            <w:webHidden/>
          </w:rPr>
          <w:instrText xml:space="preserve"> PAGEREF _Toc237277160 \h </w:instrText>
        </w:r>
        <w:r>
          <w:rPr>
            <w:noProof/>
            <w:webHidden/>
          </w:rPr>
        </w:r>
        <w:r>
          <w:rPr>
            <w:noProof/>
            <w:webHidden/>
          </w:rPr>
          <w:fldChar w:fldCharType="separate"/>
        </w:r>
        <w:r>
          <w:rPr>
            <w:noProof/>
            <w:webHidden/>
          </w:rPr>
          <w:t>12</w:t>
        </w:r>
        <w:r>
          <w:rPr>
            <w:noProof/>
            <w:webHidden/>
          </w:rPr>
          <w:fldChar w:fldCharType="end"/>
        </w:r>
      </w:hyperlink>
    </w:p>
    <w:p w14:paraId="425969CC" w14:textId="2D977E92" w:rsidR="00FB7642" w:rsidRDefault="00FB7642">
      <w:pPr>
        <w:pStyle w:val="TOC2"/>
        <w:tabs>
          <w:tab w:val="right" w:leader="dot" w:pos="9019"/>
        </w:tabs>
        <w:rPr>
          <w:noProof/>
        </w:rPr>
      </w:pPr>
      <w:hyperlink w:anchor="_Toc237277161" w:history="1">
        <w:r w:rsidRPr="00310795">
          <w:rPr>
            <w:rStyle w:val="Hyperlink"/>
            <w:noProof/>
          </w:rPr>
          <w:t>3.1. Product Strategy</w:t>
        </w:r>
        <w:r>
          <w:rPr>
            <w:noProof/>
            <w:webHidden/>
          </w:rPr>
          <w:tab/>
        </w:r>
        <w:r>
          <w:rPr>
            <w:noProof/>
            <w:webHidden/>
          </w:rPr>
          <w:fldChar w:fldCharType="begin"/>
        </w:r>
        <w:r>
          <w:rPr>
            <w:noProof/>
            <w:webHidden/>
          </w:rPr>
          <w:instrText xml:space="preserve"> PAGEREF _Toc237277161 \h </w:instrText>
        </w:r>
        <w:r>
          <w:rPr>
            <w:noProof/>
            <w:webHidden/>
          </w:rPr>
        </w:r>
        <w:r>
          <w:rPr>
            <w:noProof/>
            <w:webHidden/>
          </w:rPr>
          <w:fldChar w:fldCharType="separate"/>
        </w:r>
        <w:r>
          <w:rPr>
            <w:noProof/>
            <w:webHidden/>
          </w:rPr>
          <w:t>12</w:t>
        </w:r>
        <w:r>
          <w:rPr>
            <w:noProof/>
            <w:webHidden/>
          </w:rPr>
          <w:fldChar w:fldCharType="end"/>
        </w:r>
      </w:hyperlink>
    </w:p>
    <w:p w14:paraId="7B3C99F0" w14:textId="409A34DD" w:rsidR="00FB7642" w:rsidRDefault="00FB7642">
      <w:pPr>
        <w:pStyle w:val="TOC3"/>
        <w:tabs>
          <w:tab w:val="right" w:leader="dot" w:pos="9019"/>
        </w:tabs>
        <w:rPr>
          <w:noProof/>
        </w:rPr>
      </w:pPr>
      <w:hyperlink w:anchor="_Toc237277162" w:history="1">
        <w:r w:rsidRPr="00310795">
          <w:rPr>
            <w:rStyle w:val="Hyperlink"/>
            <w:noProof/>
          </w:rPr>
          <w:t>3.1.1 Product Quality</w:t>
        </w:r>
        <w:r>
          <w:rPr>
            <w:noProof/>
            <w:webHidden/>
          </w:rPr>
          <w:tab/>
        </w:r>
        <w:r>
          <w:rPr>
            <w:noProof/>
            <w:webHidden/>
          </w:rPr>
          <w:fldChar w:fldCharType="begin"/>
        </w:r>
        <w:r>
          <w:rPr>
            <w:noProof/>
            <w:webHidden/>
          </w:rPr>
          <w:instrText xml:space="preserve"> PAGEREF _Toc237277162 \h </w:instrText>
        </w:r>
        <w:r>
          <w:rPr>
            <w:noProof/>
            <w:webHidden/>
          </w:rPr>
        </w:r>
        <w:r>
          <w:rPr>
            <w:noProof/>
            <w:webHidden/>
          </w:rPr>
          <w:fldChar w:fldCharType="separate"/>
        </w:r>
        <w:r>
          <w:rPr>
            <w:noProof/>
            <w:webHidden/>
          </w:rPr>
          <w:t>12</w:t>
        </w:r>
        <w:r>
          <w:rPr>
            <w:noProof/>
            <w:webHidden/>
          </w:rPr>
          <w:fldChar w:fldCharType="end"/>
        </w:r>
      </w:hyperlink>
    </w:p>
    <w:p w14:paraId="5EEA7C6E" w14:textId="2B8443DE" w:rsidR="00FB7642" w:rsidRDefault="00FB7642">
      <w:pPr>
        <w:pStyle w:val="TOC3"/>
        <w:tabs>
          <w:tab w:val="right" w:leader="dot" w:pos="9019"/>
        </w:tabs>
        <w:rPr>
          <w:noProof/>
        </w:rPr>
      </w:pPr>
      <w:hyperlink w:anchor="_Toc237277163" w:history="1">
        <w:r w:rsidRPr="00310795">
          <w:rPr>
            <w:rStyle w:val="Hyperlink"/>
            <w:noProof/>
          </w:rPr>
          <w:t>3.1.2 Product Design</w:t>
        </w:r>
        <w:r>
          <w:rPr>
            <w:noProof/>
            <w:webHidden/>
          </w:rPr>
          <w:tab/>
        </w:r>
        <w:r>
          <w:rPr>
            <w:noProof/>
            <w:webHidden/>
          </w:rPr>
          <w:fldChar w:fldCharType="begin"/>
        </w:r>
        <w:r>
          <w:rPr>
            <w:noProof/>
            <w:webHidden/>
          </w:rPr>
          <w:instrText xml:space="preserve"> PAGEREF _Toc237277163 \h </w:instrText>
        </w:r>
        <w:r>
          <w:rPr>
            <w:noProof/>
            <w:webHidden/>
          </w:rPr>
        </w:r>
        <w:r>
          <w:rPr>
            <w:noProof/>
            <w:webHidden/>
          </w:rPr>
          <w:fldChar w:fldCharType="separate"/>
        </w:r>
        <w:r>
          <w:rPr>
            <w:noProof/>
            <w:webHidden/>
          </w:rPr>
          <w:t>13</w:t>
        </w:r>
        <w:r>
          <w:rPr>
            <w:noProof/>
            <w:webHidden/>
          </w:rPr>
          <w:fldChar w:fldCharType="end"/>
        </w:r>
      </w:hyperlink>
    </w:p>
    <w:p w14:paraId="64B465B2" w14:textId="1DA1B0BE" w:rsidR="00FB7642" w:rsidRDefault="00FB7642">
      <w:pPr>
        <w:pStyle w:val="TOC3"/>
        <w:tabs>
          <w:tab w:val="right" w:leader="dot" w:pos="9019"/>
        </w:tabs>
        <w:rPr>
          <w:noProof/>
        </w:rPr>
      </w:pPr>
      <w:hyperlink w:anchor="_Toc237277164" w:history="1">
        <w:r w:rsidRPr="00310795">
          <w:rPr>
            <w:rStyle w:val="Hyperlink"/>
            <w:noProof/>
          </w:rPr>
          <w:t>3.1.3 Product Features</w:t>
        </w:r>
        <w:r>
          <w:rPr>
            <w:noProof/>
            <w:webHidden/>
          </w:rPr>
          <w:tab/>
        </w:r>
        <w:r>
          <w:rPr>
            <w:noProof/>
            <w:webHidden/>
          </w:rPr>
          <w:fldChar w:fldCharType="begin"/>
        </w:r>
        <w:r>
          <w:rPr>
            <w:noProof/>
            <w:webHidden/>
          </w:rPr>
          <w:instrText xml:space="preserve"> PAGEREF _Toc237277164 \h </w:instrText>
        </w:r>
        <w:r>
          <w:rPr>
            <w:noProof/>
            <w:webHidden/>
          </w:rPr>
        </w:r>
        <w:r>
          <w:rPr>
            <w:noProof/>
            <w:webHidden/>
          </w:rPr>
          <w:fldChar w:fldCharType="separate"/>
        </w:r>
        <w:r>
          <w:rPr>
            <w:noProof/>
            <w:webHidden/>
          </w:rPr>
          <w:t>13</w:t>
        </w:r>
        <w:r>
          <w:rPr>
            <w:noProof/>
            <w:webHidden/>
          </w:rPr>
          <w:fldChar w:fldCharType="end"/>
        </w:r>
      </w:hyperlink>
    </w:p>
    <w:p w14:paraId="77AE406B" w14:textId="0CF838B4" w:rsidR="00FB7642" w:rsidRDefault="00FB7642">
      <w:pPr>
        <w:pStyle w:val="TOC3"/>
        <w:tabs>
          <w:tab w:val="right" w:leader="dot" w:pos="9019"/>
        </w:tabs>
        <w:rPr>
          <w:noProof/>
        </w:rPr>
      </w:pPr>
      <w:hyperlink w:anchor="_Toc237277165" w:history="1">
        <w:r w:rsidRPr="00310795">
          <w:rPr>
            <w:rStyle w:val="Hyperlink"/>
            <w:noProof/>
          </w:rPr>
          <w:t>3.1.4 Packaging</w:t>
        </w:r>
        <w:r>
          <w:rPr>
            <w:noProof/>
            <w:webHidden/>
          </w:rPr>
          <w:tab/>
        </w:r>
        <w:r>
          <w:rPr>
            <w:noProof/>
            <w:webHidden/>
          </w:rPr>
          <w:fldChar w:fldCharType="begin"/>
        </w:r>
        <w:r>
          <w:rPr>
            <w:noProof/>
            <w:webHidden/>
          </w:rPr>
          <w:instrText xml:space="preserve"> PAGEREF _Toc237277165 \h </w:instrText>
        </w:r>
        <w:r>
          <w:rPr>
            <w:noProof/>
            <w:webHidden/>
          </w:rPr>
        </w:r>
        <w:r>
          <w:rPr>
            <w:noProof/>
            <w:webHidden/>
          </w:rPr>
          <w:fldChar w:fldCharType="separate"/>
        </w:r>
        <w:r>
          <w:rPr>
            <w:noProof/>
            <w:webHidden/>
          </w:rPr>
          <w:t>13</w:t>
        </w:r>
        <w:r>
          <w:rPr>
            <w:noProof/>
            <w:webHidden/>
          </w:rPr>
          <w:fldChar w:fldCharType="end"/>
        </w:r>
      </w:hyperlink>
    </w:p>
    <w:p w14:paraId="72EA3224" w14:textId="15B47ACE" w:rsidR="00FB7642" w:rsidRDefault="00FB7642">
      <w:pPr>
        <w:pStyle w:val="TOC2"/>
        <w:tabs>
          <w:tab w:val="right" w:leader="dot" w:pos="9019"/>
        </w:tabs>
        <w:rPr>
          <w:noProof/>
        </w:rPr>
      </w:pPr>
      <w:hyperlink w:anchor="_Toc237277166" w:history="1">
        <w:r w:rsidRPr="00310795">
          <w:rPr>
            <w:rStyle w:val="Hyperlink"/>
            <w:noProof/>
          </w:rPr>
          <w:t>3.2. Price Strategy</w:t>
        </w:r>
        <w:r>
          <w:rPr>
            <w:noProof/>
            <w:webHidden/>
          </w:rPr>
          <w:tab/>
        </w:r>
        <w:r>
          <w:rPr>
            <w:noProof/>
            <w:webHidden/>
          </w:rPr>
          <w:fldChar w:fldCharType="begin"/>
        </w:r>
        <w:r>
          <w:rPr>
            <w:noProof/>
            <w:webHidden/>
          </w:rPr>
          <w:instrText xml:space="preserve"> PAGEREF _Toc237277166 \h </w:instrText>
        </w:r>
        <w:r>
          <w:rPr>
            <w:noProof/>
            <w:webHidden/>
          </w:rPr>
        </w:r>
        <w:r>
          <w:rPr>
            <w:noProof/>
            <w:webHidden/>
          </w:rPr>
          <w:fldChar w:fldCharType="separate"/>
        </w:r>
        <w:r>
          <w:rPr>
            <w:noProof/>
            <w:webHidden/>
          </w:rPr>
          <w:t>13</w:t>
        </w:r>
        <w:r>
          <w:rPr>
            <w:noProof/>
            <w:webHidden/>
          </w:rPr>
          <w:fldChar w:fldCharType="end"/>
        </w:r>
      </w:hyperlink>
    </w:p>
    <w:p w14:paraId="1D92973A" w14:textId="40EE5C45" w:rsidR="00FB7642" w:rsidRDefault="00FB7642">
      <w:pPr>
        <w:pStyle w:val="TOC3"/>
        <w:tabs>
          <w:tab w:val="right" w:leader="dot" w:pos="9019"/>
        </w:tabs>
        <w:rPr>
          <w:noProof/>
        </w:rPr>
      </w:pPr>
      <w:hyperlink w:anchor="_Toc237277167" w:history="1">
        <w:r w:rsidRPr="00310795">
          <w:rPr>
            <w:rStyle w:val="Hyperlink"/>
            <w:noProof/>
          </w:rPr>
          <w:t>3.2.1 General Pricing Strategies</w:t>
        </w:r>
        <w:r>
          <w:rPr>
            <w:noProof/>
            <w:webHidden/>
          </w:rPr>
          <w:tab/>
        </w:r>
        <w:r>
          <w:rPr>
            <w:noProof/>
            <w:webHidden/>
          </w:rPr>
          <w:fldChar w:fldCharType="begin"/>
        </w:r>
        <w:r>
          <w:rPr>
            <w:noProof/>
            <w:webHidden/>
          </w:rPr>
          <w:instrText xml:space="preserve"> PAGEREF _Toc237277167 \h </w:instrText>
        </w:r>
        <w:r>
          <w:rPr>
            <w:noProof/>
            <w:webHidden/>
          </w:rPr>
        </w:r>
        <w:r>
          <w:rPr>
            <w:noProof/>
            <w:webHidden/>
          </w:rPr>
          <w:fldChar w:fldCharType="separate"/>
        </w:r>
        <w:r>
          <w:rPr>
            <w:noProof/>
            <w:webHidden/>
          </w:rPr>
          <w:t>13</w:t>
        </w:r>
        <w:r>
          <w:rPr>
            <w:noProof/>
            <w:webHidden/>
          </w:rPr>
          <w:fldChar w:fldCharType="end"/>
        </w:r>
      </w:hyperlink>
    </w:p>
    <w:p w14:paraId="1BC04132" w14:textId="7A9ADB4C" w:rsidR="00FB7642" w:rsidRDefault="00FB7642">
      <w:pPr>
        <w:pStyle w:val="TOC3"/>
        <w:tabs>
          <w:tab w:val="right" w:leader="dot" w:pos="9019"/>
        </w:tabs>
        <w:rPr>
          <w:noProof/>
        </w:rPr>
      </w:pPr>
      <w:hyperlink w:anchor="_Toc237277168" w:history="1">
        <w:r w:rsidRPr="00310795">
          <w:rPr>
            <w:rStyle w:val="Hyperlink"/>
            <w:noProof/>
          </w:rPr>
          <w:t>3.2.2 New Product Pricing Strategies</w:t>
        </w:r>
        <w:r>
          <w:rPr>
            <w:noProof/>
            <w:webHidden/>
          </w:rPr>
          <w:tab/>
        </w:r>
        <w:r>
          <w:rPr>
            <w:noProof/>
            <w:webHidden/>
          </w:rPr>
          <w:fldChar w:fldCharType="begin"/>
        </w:r>
        <w:r>
          <w:rPr>
            <w:noProof/>
            <w:webHidden/>
          </w:rPr>
          <w:instrText xml:space="preserve"> PAGEREF _Toc237277168 \h </w:instrText>
        </w:r>
        <w:r>
          <w:rPr>
            <w:noProof/>
            <w:webHidden/>
          </w:rPr>
        </w:r>
        <w:r>
          <w:rPr>
            <w:noProof/>
            <w:webHidden/>
          </w:rPr>
          <w:fldChar w:fldCharType="separate"/>
        </w:r>
        <w:r>
          <w:rPr>
            <w:noProof/>
            <w:webHidden/>
          </w:rPr>
          <w:t>14</w:t>
        </w:r>
        <w:r>
          <w:rPr>
            <w:noProof/>
            <w:webHidden/>
          </w:rPr>
          <w:fldChar w:fldCharType="end"/>
        </w:r>
      </w:hyperlink>
    </w:p>
    <w:p w14:paraId="3991ECB0" w14:textId="0E3E2478" w:rsidR="00FB7642" w:rsidRDefault="00FB7642">
      <w:pPr>
        <w:pStyle w:val="TOC3"/>
        <w:tabs>
          <w:tab w:val="right" w:leader="dot" w:pos="9019"/>
        </w:tabs>
        <w:rPr>
          <w:noProof/>
        </w:rPr>
      </w:pPr>
      <w:hyperlink w:anchor="_Toc237277169" w:history="1">
        <w:r w:rsidRPr="00310795">
          <w:rPr>
            <w:rStyle w:val="Hyperlink"/>
            <w:noProof/>
          </w:rPr>
          <w:t>3.2.3 Segmented Pricing</w:t>
        </w:r>
        <w:r>
          <w:rPr>
            <w:noProof/>
            <w:webHidden/>
          </w:rPr>
          <w:tab/>
        </w:r>
        <w:r>
          <w:rPr>
            <w:noProof/>
            <w:webHidden/>
          </w:rPr>
          <w:fldChar w:fldCharType="begin"/>
        </w:r>
        <w:r>
          <w:rPr>
            <w:noProof/>
            <w:webHidden/>
          </w:rPr>
          <w:instrText xml:space="preserve"> PAGEREF _Toc237277169 \h </w:instrText>
        </w:r>
        <w:r>
          <w:rPr>
            <w:noProof/>
            <w:webHidden/>
          </w:rPr>
        </w:r>
        <w:r>
          <w:rPr>
            <w:noProof/>
            <w:webHidden/>
          </w:rPr>
          <w:fldChar w:fldCharType="separate"/>
        </w:r>
        <w:r>
          <w:rPr>
            <w:noProof/>
            <w:webHidden/>
          </w:rPr>
          <w:t>14</w:t>
        </w:r>
        <w:r>
          <w:rPr>
            <w:noProof/>
            <w:webHidden/>
          </w:rPr>
          <w:fldChar w:fldCharType="end"/>
        </w:r>
      </w:hyperlink>
    </w:p>
    <w:p w14:paraId="2E31E764" w14:textId="6D70C803" w:rsidR="00FB7642" w:rsidRDefault="00FB7642">
      <w:pPr>
        <w:pStyle w:val="TOC3"/>
        <w:tabs>
          <w:tab w:val="right" w:leader="dot" w:pos="9019"/>
        </w:tabs>
        <w:rPr>
          <w:noProof/>
        </w:rPr>
      </w:pPr>
      <w:hyperlink w:anchor="_Toc237277170" w:history="1">
        <w:r w:rsidRPr="00310795">
          <w:rPr>
            <w:rStyle w:val="Hyperlink"/>
            <w:noProof/>
          </w:rPr>
          <w:t>3.2.3 Promotional Pricing</w:t>
        </w:r>
        <w:r>
          <w:rPr>
            <w:noProof/>
            <w:webHidden/>
          </w:rPr>
          <w:tab/>
        </w:r>
        <w:r>
          <w:rPr>
            <w:noProof/>
            <w:webHidden/>
          </w:rPr>
          <w:fldChar w:fldCharType="begin"/>
        </w:r>
        <w:r>
          <w:rPr>
            <w:noProof/>
            <w:webHidden/>
          </w:rPr>
          <w:instrText xml:space="preserve"> PAGEREF _Toc237277170 \h </w:instrText>
        </w:r>
        <w:r>
          <w:rPr>
            <w:noProof/>
            <w:webHidden/>
          </w:rPr>
        </w:r>
        <w:r>
          <w:rPr>
            <w:noProof/>
            <w:webHidden/>
          </w:rPr>
          <w:fldChar w:fldCharType="separate"/>
        </w:r>
        <w:r>
          <w:rPr>
            <w:noProof/>
            <w:webHidden/>
          </w:rPr>
          <w:t>15</w:t>
        </w:r>
        <w:r>
          <w:rPr>
            <w:noProof/>
            <w:webHidden/>
          </w:rPr>
          <w:fldChar w:fldCharType="end"/>
        </w:r>
      </w:hyperlink>
    </w:p>
    <w:p w14:paraId="4B86BDCC" w14:textId="5517226A" w:rsidR="00FB7642" w:rsidRDefault="00FB7642">
      <w:pPr>
        <w:pStyle w:val="TOC3"/>
        <w:tabs>
          <w:tab w:val="right" w:leader="dot" w:pos="9019"/>
        </w:tabs>
        <w:rPr>
          <w:noProof/>
        </w:rPr>
      </w:pPr>
      <w:hyperlink w:anchor="_Toc237277171" w:history="1">
        <w:r w:rsidRPr="00310795">
          <w:rPr>
            <w:rStyle w:val="Hyperlink"/>
            <w:noProof/>
          </w:rPr>
          <w:t>3.3. Place Strategy</w:t>
        </w:r>
        <w:r>
          <w:rPr>
            <w:noProof/>
            <w:webHidden/>
          </w:rPr>
          <w:tab/>
        </w:r>
        <w:r>
          <w:rPr>
            <w:noProof/>
            <w:webHidden/>
          </w:rPr>
          <w:fldChar w:fldCharType="begin"/>
        </w:r>
        <w:r>
          <w:rPr>
            <w:noProof/>
            <w:webHidden/>
          </w:rPr>
          <w:instrText xml:space="preserve"> PAGEREF _Toc237277171 \h </w:instrText>
        </w:r>
        <w:r>
          <w:rPr>
            <w:noProof/>
            <w:webHidden/>
          </w:rPr>
        </w:r>
        <w:r>
          <w:rPr>
            <w:noProof/>
            <w:webHidden/>
          </w:rPr>
          <w:fldChar w:fldCharType="separate"/>
        </w:r>
        <w:r>
          <w:rPr>
            <w:noProof/>
            <w:webHidden/>
          </w:rPr>
          <w:t>15</w:t>
        </w:r>
        <w:r>
          <w:rPr>
            <w:noProof/>
            <w:webHidden/>
          </w:rPr>
          <w:fldChar w:fldCharType="end"/>
        </w:r>
      </w:hyperlink>
    </w:p>
    <w:p w14:paraId="0B2C061E" w14:textId="7DB29817" w:rsidR="00FB7642" w:rsidRDefault="00FB7642">
      <w:pPr>
        <w:pStyle w:val="TOC3"/>
        <w:tabs>
          <w:tab w:val="right" w:leader="dot" w:pos="9019"/>
        </w:tabs>
        <w:rPr>
          <w:noProof/>
        </w:rPr>
      </w:pPr>
      <w:hyperlink w:anchor="_Toc237277172" w:history="1">
        <w:r w:rsidRPr="00310795">
          <w:rPr>
            <w:rStyle w:val="Hyperlink"/>
            <w:noProof/>
          </w:rPr>
          <w:t>3.3.1 Direct Marketing Channels</w:t>
        </w:r>
        <w:r>
          <w:rPr>
            <w:noProof/>
            <w:webHidden/>
          </w:rPr>
          <w:tab/>
        </w:r>
        <w:r>
          <w:rPr>
            <w:noProof/>
            <w:webHidden/>
          </w:rPr>
          <w:fldChar w:fldCharType="begin"/>
        </w:r>
        <w:r>
          <w:rPr>
            <w:noProof/>
            <w:webHidden/>
          </w:rPr>
          <w:instrText xml:space="preserve"> PAGEREF _Toc237277172 \h </w:instrText>
        </w:r>
        <w:r>
          <w:rPr>
            <w:noProof/>
            <w:webHidden/>
          </w:rPr>
        </w:r>
        <w:r>
          <w:rPr>
            <w:noProof/>
            <w:webHidden/>
          </w:rPr>
          <w:fldChar w:fldCharType="separate"/>
        </w:r>
        <w:r>
          <w:rPr>
            <w:noProof/>
            <w:webHidden/>
          </w:rPr>
          <w:t>15</w:t>
        </w:r>
        <w:r>
          <w:rPr>
            <w:noProof/>
            <w:webHidden/>
          </w:rPr>
          <w:fldChar w:fldCharType="end"/>
        </w:r>
      </w:hyperlink>
    </w:p>
    <w:p w14:paraId="32F3598F" w14:textId="53A44B44" w:rsidR="00FB7642" w:rsidRDefault="00FB7642">
      <w:pPr>
        <w:pStyle w:val="TOC2"/>
        <w:tabs>
          <w:tab w:val="right" w:leader="dot" w:pos="9019"/>
        </w:tabs>
        <w:rPr>
          <w:noProof/>
        </w:rPr>
      </w:pPr>
      <w:hyperlink w:anchor="_Toc237277173" w:history="1">
        <w:r w:rsidRPr="00310795">
          <w:rPr>
            <w:rStyle w:val="Hyperlink"/>
            <w:noProof/>
          </w:rPr>
          <w:t>3.4. Promotion Strategy</w:t>
        </w:r>
        <w:r>
          <w:rPr>
            <w:noProof/>
            <w:webHidden/>
          </w:rPr>
          <w:tab/>
        </w:r>
        <w:r>
          <w:rPr>
            <w:noProof/>
            <w:webHidden/>
          </w:rPr>
          <w:fldChar w:fldCharType="begin"/>
        </w:r>
        <w:r>
          <w:rPr>
            <w:noProof/>
            <w:webHidden/>
          </w:rPr>
          <w:instrText xml:space="preserve"> PAGEREF _Toc237277173 \h </w:instrText>
        </w:r>
        <w:r>
          <w:rPr>
            <w:noProof/>
            <w:webHidden/>
          </w:rPr>
        </w:r>
        <w:r>
          <w:rPr>
            <w:noProof/>
            <w:webHidden/>
          </w:rPr>
          <w:fldChar w:fldCharType="separate"/>
        </w:r>
        <w:r>
          <w:rPr>
            <w:noProof/>
            <w:webHidden/>
          </w:rPr>
          <w:t>16</w:t>
        </w:r>
        <w:r>
          <w:rPr>
            <w:noProof/>
            <w:webHidden/>
          </w:rPr>
          <w:fldChar w:fldCharType="end"/>
        </w:r>
      </w:hyperlink>
    </w:p>
    <w:p w14:paraId="3CBF8051" w14:textId="4B098347" w:rsidR="00FB7642" w:rsidRDefault="00FB7642">
      <w:pPr>
        <w:pStyle w:val="TOC2"/>
        <w:tabs>
          <w:tab w:val="right" w:leader="dot" w:pos="9019"/>
        </w:tabs>
        <w:rPr>
          <w:noProof/>
        </w:rPr>
      </w:pPr>
      <w:hyperlink w:anchor="_Toc237277174" w:history="1">
        <w:r w:rsidRPr="00310795">
          <w:rPr>
            <w:rStyle w:val="Hyperlink"/>
            <w:noProof/>
          </w:rPr>
          <w:t>3.5. People Strategy</w:t>
        </w:r>
        <w:r>
          <w:rPr>
            <w:noProof/>
            <w:webHidden/>
          </w:rPr>
          <w:tab/>
        </w:r>
        <w:r>
          <w:rPr>
            <w:noProof/>
            <w:webHidden/>
          </w:rPr>
          <w:fldChar w:fldCharType="begin"/>
        </w:r>
        <w:r>
          <w:rPr>
            <w:noProof/>
            <w:webHidden/>
          </w:rPr>
          <w:instrText xml:space="preserve"> PAGEREF _Toc237277174 \h </w:instrText>
        </w:r>
        <w:r>
          <w:rPr>
            <w:noProof/>
            <w:webHidden/>
          </w:rPr>
        </w:r>
        <w:r>
          <w:rPr>
            <w:noProof/>
            <w:webHidden/>
          </w:rPr>
          <w:fldChar w:fldCharType="separate"/>
        </w:r>
        <w:r>
          <w:rPr>
            <w:noProof/>
            <w:webHidden/>
          </w:rPr>
          <w:t>18</w:t>
        </w:r>
        <w:r>
          <w:rPr>
            <w:noProof/>
            <w:webHidden/>
          </w:rPr>
          <w:fldChar w:fldCharType="end"/>
        </w:r>
      </w:hyperlink>
    </w:p>
    <w:p w14:paraId="19AA7433" w14:textId="1EEB5FB0" w:rsidR="00FB7642" w:rsidRDefault="00FB7642">
      <w:pPr>
        <w:pStyle w:val="TOC3"/>
        <w:tabs>
          <w:tab w:val="right" w:leader="dot" w:pos="9019"/>
        </w:tabs>
        <w:rPr>
          <w:noProof/>
        </w:rPr>
      </w:pPr>
      <w:hyperlink w:anchor="_Toc237277175" w:history="1">
        <w:r w:rsidRPr="00310795">
          <w:rPr>
            <w:rStyle w:val="Hyperlink"/>
            <w:noProof/>
          </w:rPr>
          <w:t>3.5.1 Staff skills and training</w:t>
        </w:r>
        <w:r>
          <w:rPr>
            <w:noProof/>
            <w:webHidden/>
          </w:rPr>
          <w:tab/>
        </w:r>
        <w:r>
          <w:rPr>
            <w:noProof/>
            <w:webHidden/>
          </w:rPr>
          <w:fldChar w:fldCharType="begin"/>
        </w:r>
        <w:r>
          <w:rPr>
            <w:noProof/>
            <w:webHidden/>
          </w:rPr>
          <w:instrText xml:space="preserve"> PAGEREF _Toc237277175 \h </w:instrText>
        </w:r>
        <w:r>
          <w:rPr>
            <w:noProof/>
            <w:webHidden/>
          </w:rPr>
        </w:r>
        <w:r>
          <w:rPr>
            <w:noProof/>
            <w:webHidden/>
          </w:rPr>
          <w:fldChar w:fldCharType="separate"/>
        </w:r>
        <w:r>
          <w:rPr>
            <w:noProof/>
            <w:webHidden/>
          </w:rPr>
          <w:t>18</w:t>
        </w:r>
        <w:r>
          <w:rPr>
            <w:noProof/>
            <w:webHidden/>
          </w:rPr>
          <w:fldChar w:fldCharType="end"/>
        </w:r>
      </w:hyperlink>
    </w:p>
    <w:p w14:paraId="3B389B06" w14:textId="32420FFB" w:rsidR="00FB7642" w:rsidRDefault="00FB7642">
      <w:pPr>
        <w:pStyle w:val="TOC3"/>
        <w:tabs>
          <w:tab w:val="right" w:leader="dot" w:pos="9019"/>
        </w:tabs>
        <w:rPr>
          <w:noProof/>
        </w:rPr>
      </w:pPr>
      <w:hyperlink w:anchor="_Toc237277176" w:history="1">
        <w:r w:rsidRPr="00310795">
          <w:rPr>
            <w:rStyle w:val="Hyperlink"/>
            <w:noProof/>
          </w:rPr>
          <w:t>3.5.2 Customer service tools</w:t>
        </w:r>
        <w:r>
          <w:rPr>
            <w:noProof/>
            <w:webHidden/>
          </w:rPr>
          <w:tab/>
        </w:r>
        <w:r>
          <w:rPr>
            <w:noProof/>
            <w:webHidden/>
          </w:rPr>
          <w:fldChar w:fldCharType="begin"/>
        </w:r>
        <w:r>
          <w:rPr>
            <w:noProof/>
            <w:webHidden/>
          </w:rPr>
          <w:instrText xml:space="preserve"> PAGEREF _Toc237277176 \h </w:instrText>
        </w:r>
        <w:r>
          <w:rPr>
            <w:noProof/>
            <w:webHidden/>
          </w:rPr>
        </w:r>
        <w:r>
          <w:rPr>
            <w:noProof/>
            <w:webHidden/>
          </w:rPr>
          <w:fldChar w:fldCharType="separate"/>
        </w:r>
        <w:r>
          <w:rPr>
            <w:noProof/>
            <w:webHidden/>
          </w:rPr>
          <w:t>18</w:t>
        </w:r>
        <w:r>
          <w:rPr>
            <w:noProof/>
            <w:webHidden/>
          </w:rPr>
          <w:fldChar w:fldCharType="end"/>
        </w:r>
      </w:hyperlink>
    </w:p>
    <w:p w14:paraId="05A00E80" w14:textId="66EC4F1E" w:rsidR="00FB7642" w:rsidRDefault="00FB7642">
      <w:pPr>
        <w:pStyle w:val="TOC2"/>
        <w:tabs>
          <w:tab w:val="right" w:leader="dot" w:pos="9019"/>
        </w:tabs>
        <w:rPr>
          <w:noProof/>
        </w:rPr>
      </w:pPr>
      <w:hyperlink w:anchor="_Toc237277177" w:history="1">
        <w:r w:rsidRPr="00310795">
          <w:rPr>
            <w:rStyle w:val="Hyperlink"/>
            <w:noProof/>
          </w:rPr>
          <w:t>3.6. Process Strategy</w:t>
        </w:r>
        <w:r>
          <w:rPr>
            <w:noProof/>
            <w:webHidden/>
          </w:rPr>
          <w:tab/>
        </w:r>
        <w:r>
          <w:rPr>
            <w:noProof/>
            <w:webHidden/>
          </w:rPr>
          <w:fldChar w:fldCharType="begin"/>
        </w:r>
        <w:r>
          <w:rPr>
            <w:noProof/>
            <w:webHidden/>
          </w:rPr>
          <w:instrText xml:space="preserve"> PAGEREF _Toc237277177 \h </w:instrText>
        </w:r>
        <w:r>
          <w:rPr>
            <w:noProof/>
            <w:webHidden/>
          </w:rPr>
        </w:r>
        <w:r>
          <w:rPr>
            <w:noProof/>
            <w:webHidden/>
          </w:rPr>
          <w:fldChar w:fldCharType="separate"/>
        </w:r>
        <w:r>
          <w:rPr>
            <w:noProof/>
            <w:webHidden/>
          </w:rPr>
          <w:t>19</w:t>
        </w:r>
        <w:r>
          <w:rPr>
            <w:noProof/>
            <w:webHidden/>
          </w:rPr>
          <w:fldChar w:fldCharType="end"/>
        </w:r>
      </w:hyperlink>
    </w:p>
    <w:p w14:paraId="6858E564" w14:textId="3ACD7E8C" w:rsidR="00FB7642" w:rsidRDefault="00FB7642">
      <w:pPr>
        <w:pStyle w:val="TOC3"/>
        <w:tabs>
          <w:tab w:val="right" w:leader="dot" w:pos="9019"/>
        </w:tabs>
        <w:rPr>
          <w:noProof/>
        </w:rPr>
      </w:pPr>
      <w:hyperlink w:anchor="_Toc237277178" w:history="1">
        <w:r w:rsidRPr="00310795">
          <w:rPr>
            <w:rStyle w:val="Hyperlink"/>
            <w:noProof/>
          </w:rPr>
          <w:t>3.6.1 Customer Relationship Management (CRM)</w:t>
        </w:r>
        <w:r>
          <w:rPr>
            <w:noProof/>
            <w:webHidden/>
          </w:rPr>
          <w:tab/>
        </w:r>
        <w:r>
          <w:rPr>
            <w:noProof/>
            <w:webHidden/>
          </w:rPr>
          <w:fldChar w:fldCharType="begin"/>
        </w:r>
        <w:r>
          <w:rPr>
            <w:noProof/>
            <w:webHidden/>
          </w:rPr>
          <w:instrText xml:space="preserve"> PAGEREF _Toc237277178 \h </w:instrText>
        </w:r>
        <w:r>
          <w:rPr>
            <w:noProof/>
            <w:webHidden/>
          </w:rPr>
        </w:r>
        <w:r>
          <w:rPr>
            <w:noProof/>
            <w:webHidden/>
          </w:rPr>
          <w:fldChar w:fldCharType="separate"/>
        </w:r>
        <w:r>
          <w:rPr>
            <w:noProof/>
            <w:webHidden/>
          </w:rPr>
          <w:t>19</w:t>
        </w:r>
        <w:r>
          <w:rPr>
            <w:noProof/>
            <w:webHidden/>
          </w:rPr>
          <w:fldChar w:fldCharType="end"/>
        </w:r>
      </w:hyperlink>
    </w:p>
    <w:p w14:paraId="35652391" w14:textId="5F5BB5CB" w:rsidR="00FB7642" w:rsidRDefault="00FB7642">
      <w:pPr>
        <w:pStyle w:val="TOC3"/>
        <w:tabs>
          <w:tab w:val="right" w:leader="dot" w:pos="9019"/>
        </w:tabs>
        <w:rPr>
          <w:noProof/>
        </w:rPr>
      </w:pPr>
      <w:hyperlink w:anchor="_Toc237277179" w:history="1">
        <w:r w:rsidRPr="00310795">
          <w:rPr>
            <w:rStyle w:val="Hyperlink"/>
            <w:noProof/>
          </w:rPr>
          <w:t>3.6.2 Tools and processes that impact service efficiency</w:t>
        </w:r>
        <w:r>
          <w:rPr>
            <w:noProof/>
            <w:webHidden/>
          </w:rPr>
          <w:tab/>
        </w:r>
        <w:r>
          <w:rPr>
            <w:noProof/>
            <w:webHidden/>
          </w:rPr>
          <w:fldChar w:fldCharType="begin"/>
        </w:r>
        <w:r>
          <w:rPr>
            <w:noProof/>
            <w:webHidden/>
          </w:rPr>
          <w:instrText xml:space="preserve"> PAGEREF _Toc237277179 \h </w:instrText>
        </w:r>
        <w:r>
          <w:rPr>
            <w:noProof/>
            <w:webHidden/>
          </w:rPr>
        </w:r>
        <w:r>
          <w:rPr>
            <w:noProof/>
            <w:webHidden/>
          </w:rPr>
          <w:fldChar w:fldCharType="separate"/>
        </w:r>
        <w:r>
          <w:rPr>
            <w:noProof/>
            <w:webHidden/>
          </w:rPr>
          <w:t>20</w:t>
        </w:r>
        <w:r>
          <w:rPr>
            <w:noProof/>
            <w:webHidden/>
          </w:rPr>
          <w:fldChar w:fldCharType="end"/>
        </w:r>
      </w:hyperlink>
    </w:p>
    <w:p w14:paraId="04123D48" w14:textId="061A2A64" w:rsidR="00FB7642" w:rsidRDefault="00FB7642">
      <w:pPr>
        <w:pStyle w:val="TOC2"/>
        <w:tabs>
          <w:tab w:val="right" w:leader="dot" w:pos="9019"/>
        </w:tabs>
        <w:rPr>
          <w:noProof/>
        </w:rPr>
      </w:pPr>
      <w:hyperlink w:anchor="_Toc237277180" w:history="1">
        <w:r w:rsidRPr="00310795">
          <w:rPr>
            <w:rStyle w:val="Hyperlink"/>
            <w:noProof/>
          </w:rPr>
          <w:t>3.7. Physical Evidence</w:t>
        </w:r>
        <w:r>
          <w:rPr>
            <w:noProof/>
            <w:webHidden/>
          </w:rPr>
          <w:tab/>
        </w:r>
        <w:r>
          <w:rPr>
            <w:noProof/>
            <w:webHidden/>
          </w:rPr>
          <w:fldChar w:fldCharType="begin"/>
        </w:r>
        <w:r>
          <w:rPr>
            <w:noProof/>
            <w:webHidden/>
          </w:rPr>
          <w:instrText xml:space="preserve"> PAGEREF _Toc237277180 \h </w:instrText>
        </w:r>
        <w:r>
          <w:rPr>
            <w:noProof/>
            <w:webHidden/>
          </w:rPr>
        </w:r>
        <w:r>
          <w:rPr>
            <w:noProof/>
            <w:webHidden/>
          </w:rPr>
          <w:fldChar w:fldCharType="separate"/>
        </w:r>
        <w:r>
          <w:rPr>
            <w:noProof/>
            <w:webHidden/>
          </w:rPr>
          <w:t>20</w:t>
        </w:r>
        <w:r>
          <w:rPr>
            <w:noProof/>
            <w:webHidden/>
          </w:rPr>
          <w:fldChar w:fldCharType="end"/>
        </w:r>
      </w:hyperlink>
    </w:p>
    <w:p w14:paraId="4AC5B132" w14:textId="0114C546" w:rsidR="00FB7642" w:rsidRDefault="00FB7642">
      <w:pPr>
        <w:pStyle w:val="TOC1"/>
        <w:tabs>
          <w:tab w:val="right" w:leader="dot" w:pos="9019"/>
        </w:tabs>
        <w:rPr>
          <w:noProof/>
        </w:rPr>
      </w:pPr>
      <w:hyperlink w:anchor="_Toc237277181" w:history="1">
        <w:r w:rsidRPr="00310795">
          <w:rPr>
            <w:rStyle w:val="Hyperlink"/>
            <w:noProof/>
          </w:rPr>
          <w:t>Element 4: Reflection</w:t>
        </w:r>
        <w:r>
          <w:rPr>
            <w:noProof/>
            <w:webHidden/>
          </w:rPr>
          <w:tab/>
        </w:r>
        <w:r>
          <w:rPr>
            <w:noProof/>
            <w:webHidden/>
          </w:rPr>
          <w:fldChar w:fldCharType="begin"/>
        </w:r>
        <w:r>
          <w:rPr>
            <w:noProof/>
            <w:webHidden/>
          </w:rPr>
          <w:instrText xml:space="preserve"> PAGEREF _Toc237277181 \h </w:instrText>
        </w:r>
        <w:r>
          <w:rPr>
            <w:noProof/>
            <w:webHidden/>
          </w:rPr>
        </w:r>
        <w:r>
          <w:rPr>
            <w:noProof/>
            <w:webHidden/>
          </w:rPr>
          <w:fldChar w:fldCharType="separate"/>
        </w:r>
        <w:r>
          <w:rPr>
            <w:noProof/>
            <w:webHidden/>
          </w:rPr>
          <w:t>21</w:t>
        </w:r>
        <w:r>
          <w:rPr>
            <w:noProof/>
            <w:webHidden/>
          </w:rPr>
          <w:fldChar w:fldCharType="end"/>
        </w:r>
      </w:hyperlink>
    </w:p>
    <w:p w14:paraId="1D2BB44A" w14:textId="0A3A1876" w:rsidR="00FB7642" w:rsidRDefault="00FB7642">
      <w:pPr>
        <w:pStyle w:val="TOC1"/>
        <w:tabs>
          <w:tab w:val="right" w:leader="dot" w:pos="9019"/>
        </w:tabs>
        <w:rPr>
          <w:noProof/>
        </w:rPr>
      </w:pPr>
      <w:hyperlink w:anchor="_Toc237277182" w:history="1">
        <w:r w:rsidRPr="00310795">
          <w:rPr>
            <w:rStyle w:val="Hyperlink"/>
            <w:noProof/>
          </w:rPr>
          <w:t>References</w:t>
        </w:r>
        <w:r>
          <w:rPr>
            <w:noProof/>
            <w:webHidden/>
          </w:rPr>
          <w:tab/>
        </w:r>
        <w:r>
          <w:rPr>
            <w:noProof/>
            <w:webHidden/>
          </w:rPr>
          <w:fldChar w:fldCharType="begin"/>
        </w:r>
        <w:r>
          <w:rPr>
            <w:noProof/>
            <w:webHidden/>
          </w:rPr>
          <w:instrText xml:space="preserve"> PAGEREF _Toc237277182 \h </w:instrText>
        </w:r>
        <w:r>
          <w:rPr>
            <w:noProof/>
            <w:webHidden/>
          </w:rPr>
        </w:r>
        <w:r>
          <w:rPr>
            <w:noProof/>
            <w:webHidden/>
          </w:rPr>
          <w:fldChar w:fldCharType="separate"/>
        </w:r>
        <w:r>
          <w:rPr>
            <w:noProof/>
            <w:webHidden/>
          </w:rPr>
          <w:t>23</w:t>
        </w:r>
        <w:r>
          <w:rPr>
            <w:noProof/>
            <w:webHidden/>
          </w:rPr>
          <w:fldChar w:fldCharType="end"/>
        </w:r>
      </w:hyperlink>
    </w:p>
    <w:p w14:paraId="4FDE6E39" w14:textId="30B04EA7" w:rsidR="00AE2EBD" w:rsidRDefault="00000000">
      <w:pPr>
        <w:spacing w:line="360" w:lineRule="auto"/>
        <w:rPr>
          <w:sz w:val="24"/>
          <w:szCs w:val="24"/>
        </w:rPr>
      </w:pPr>
      <w:r>
        <w:fldChar w:fldCharType="end"/>
      </w:r>
    </w:p>
    <w:p w14:paraId="23375D05" w14:textId="77777777" w:rsidR="00AE2EBD" w:rsidRDefault="00AE2EBD">
      <w:pPr>
        <w:spacing w:before="240" w:line="360" w:lineRule="auto"/>
        <w:rPr>
          <w:sz w:val="24"/>
          <w:szCs w:val="24"/>
        </w:rPr>
      </w:pPr>
    </w:p>
    <w:p w14:paraId="1DF85A44" w14:textId="77777777" w:rsidR="00AE2EBD" w:rsidRDefault="00000000">
      <w:pPr>
        <w:pStyle w:val="Heading1"/>
      </w:pPr>
      <w:bookmarkStart w:id="0" w:name="_Toc237277154"/>
      <w:r>
        <w:lastRenderedPageBreak/>
        <w:t>Element 1: Sustainable Brand Extension Poster Presentation</w:t>
      </w:r>
      <w:bookmarkEnd w:id="0"/>
    </w:p>
    <w:p w14:paraId="5BABA730" w14:textId="77777777" w:rsidR="00AE2EBD" w:rsidRDefault="00000000">
      <w:pPr>
        <w:pStyle w:val="Normal1"/>
        <w:rPr>
          <w:color w:val="000000"/>
          <w:sz w:val="24"/>
          <w:szCs w:val="24"/>
        </w:rPr>
      </w:pPr>
      <w:r>
        <w:rPr>
          <w:noProof/>
        </w:rPr>
        <w:drawing>
          <wp:inline distT="0" distB="0" distL="114300" distR="114300" wp14:anchorId="35127CF1" wp14:editId="525F8C49">
            <wp:extent cx="5679440" cy="8295640"/>
            <wp:effectExtent l="0" t="0" r="0" b="0"/>
            <wp:docPr id="1042"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pic:cNvPicPr/>
                  </pic:nvPicPr>
                  <pic:blipFill>
                    <a:blip r:embed="rId7" cstate="print"/>
                    <a:srcRect/>
                    <a:stretch/>
                  </pic:blipFill>
                  <pic:spPr>
                    <a:xfrm>
                      <a:off x="0" y="0"/>
                      <a:ext cx="5679832" cy="8296213"/>
                    </a:xfrm>
                    <a:prstGeom prst="rect">
                      <a:avLst/>
                    </a:prstGeom>
                  </pic:spPr>
                </pic:pic>
              </a:graphicData>
            </a:graphic>
          </wp:inline>
        </w:drawing>
      </w:r>
    </w:p>
    <w:p w14:paraId="382F522C" w14:textId="77777777" w:rsidR="00AE2EBD" w:rsidRDefault="00000000">
      <w:pPr>
        <w:pStyle w:val="Heading1"/>
      </w:pPr>
      <w:bookmarkStart w:id="1" w:name="_f43td5yengto" w:colFirst="0" w:colLast="0"/>
      <w:bookmarkStart w:id="2" w:name="_Toc237277155"/>
      <w:bookmarkEnd w:id="1"/>
      <w:r>
        <w:lastRenderedPageBreak/>
        <w:t>Element 2: Segmentation, Targeting, Differentiation, and Positioning (STDP) strategy for Exide</w:t>
      </w:r>
      <w:bookmarkEnd w:id="2"/>
    </w:p>
    <w:p w14:paraId="0A703888" w14:textId="77777777" w:rsidR="00AE2EBD" w:rsidRDefault="00000000">
      <w:pPr>
        <w:pBdr>
          <w:top w:val="nil"/>
          <w:left w:val="nil"/>
          <w:bottom w:val="nil"/>
          <w:right w:val="nil"/>
          <w:between w:val="nil"/>
        </w:pBdr>
        <w:spacing w:line="360" w:lineRule="auto"/>
        <w:rPr>
          <w:b/>
          <w:bCs/>
          <w:i/>
          <w:iCs/>
          <w:color w:val="000000"/>
          <w:sz w:val="24"/>
          <w:szCs w:val="24"/>
          <w:u w:val="single"/>
        </w:rPr>
      </w:pPr>
      <w:r>
        <w:rPr>
          <w:b/>
          <w:bCs/>
          <w:i/>
          <w:iCs/>
          <w:color w:val="000000"/>
          <w:sz w:val="24"/>
          <w:szCs w:val="24"/>
          <w:u w:val="single"/>
        </w:rPr>
        <w:t>Value-driven marketing strategy</w:t>
      </w:r>
    </w:p>
    <w:p w14:paraId="0E356505" w14:textId="77777777" w:rsidR="00AE2EBD" w:rsidRDefault="00000000">
      <w:pPr>
        <w:pBdr>
          <w:top w:val="nil"/>
          <w:left w:val="nil"/>
          <w:bottom w:val="nil"/>
          <w:right w:val="nil"/>
          <w:between w:val="nil"/>
        </w:pBdr>
        <w:spacing w:line="360" w:lineRule="auto"/>
        <w:rPr>
          <w:color w:val="000000"/>
          <w:sz w:val="24"/>
          <w:szCs w:val="24"/>
        </w:rPr>
      </w:pPr>
      <w:r>
        <w:rPr>
          <w:color w:val="000000"/>
          <w:sz w:val="24"/>
          <w:szCs w:val="24"/>
        </w:rPr>
        <w:t>The Exide Semiconductor Solutions adopts a value-driven marketing for B2B approach as it specialises in semiconductor wafers (</w:t>
      </w:r>
      <w:proofErr w:type="spellStart"/>
      <w:r>
        <w:rPr>
          <w:color w:val="000000"/>
          <w:sz w:val="24"/>
          <w:szCs w:val="24"/>
        </w:rPr>
        <w:t>Konstari</w:t>
      </w:r>
      <w:proofErr w:type="spellEnd"/>
      <w:r>
        <w:rPr>
          <w:color w:val="000000"/>
          <w:sz w:val="24"/>
          <w:szCs w:val="24"/>
        </w:rPr>
        <w:t xml:space="preserve"> and </w:t>
      </w:r>
      <w:proofErr w:type="spellStart"/>
      <w:r>
        <w:rPr>
          <w:color w:val="000000"/>
          <w:sz w:val="24"/>
          <w:szCs w:val="24"/>
        </w:rPr>
        <w:t>Valkokari</w:t>
      </w:r>
      <w:proofErr w:type="spellEnd"/>
      <w:r>
        <w:rPr>
          <w:color w:val="000000"/>
          <w:sz w:val="24"/>
          <w:szCs w:val="24"/>
        </w:rPr>
        <w:t xml:space="preserve">, 2025). </w:t>
      </w:r>
    </w:p>
    <w:p w14:paraId="3171195B" w14:textId="77777777" w:rsidR="00AE2EBD" w:rsidRDefault="00000000">
      <w:pPr>
        <w:pStyle w:val="Heading2"/>
      </w:pPr>
      <w:bookmarkStart w:id="3" w:name="_Toc237277156"/>
      <w:r>
        <w:t>2.1 Segmentation</w:t>
      </w:r>
      <w:bookmarkEnd w:id="3"/>
    </w:p>
    <w:tbl>
      <w:tblPr>
        <w:tblStyle w:val="a0"/>
        <w:tblW w:w="10491"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8941"/>
      </w:tblGrid>
      <w:tr w:rsidR="00AE2EBD" w:rsidRPr="00AA16BE" w14:paraId="3E08CB76" w14:textId="77777777" w:rsidTr="006E6B6F">
        <w:trPr>
          <w:jc w:val="center"/>
        </w:trPr>
        <w:tc>
          <w:tcPr>
            <w:tcW w:w="1550" w:type="dxa"/>
            <w:tcMar>
              <w:top w:w="100" w:type="dxa"/>
              <w:left w:w="100" w:type="dxa"/>
              <w:bottom w:w="100" w:type="dxa"/>
              <w:right w:w="100" w:type="dxa"/>
            </w:tcMar>
          </w:tcPr>
          <w:p w14:paraId="5AE675CC" w14:textId="77777777" w:rsidR="00AE2EBD" w:rsidRPr="00AA16BE" w:rsidRDefault="00000000">
            <w:pPr>
              <w:widowControl w:val="0"/>
              <w:pBdr>
                <w:top w:val="nil"/>
                <w:left w:val="nil"/>
                <w:bottom w:val="nil"/>
                <w:right w:val="nil"/>
                <w:between w:val="nil"/>
              </w:pBdr>
              <w:spacing w:line="240" w:lineRule="auto"/>
              <w:rPr>
                <w:b/>
                <w:bCs/>
                <w:color w:val="000000"/>
                <w:sz w:val="24"/>
                <w:szCs w:val="24"/>
              </w:rPr>
            </w:pPr>
            <w:r w:rsidRPr="00AA16BE">
              <w:rPr>
                <w:b/>
                <w:bCs/>
                <w:color w:val="000000"/>
                <w:sz w:val="24"/>
                <w:szCs w:val="24"/>
              </w:rPr>
              <w:t>Segmentation variables</w:t>
            </w:r>
          </w:p>
        </w:tc>
        <w:tc>
          <w:tcPr>
            <w:tcW w:w="8941" w:type="dxa"/>
            <w:tcMar>
              <w:top w:w="100" w:type="dxa"/>
              <w:left w:w="100" w:type="dxa"/>
              <w:bottom w:w="100" w:type="dxa"/>
              <w:right w:w="100" w:type="dxa"/>
            </w:tcMar>
          </w:tcPr>
          <w:p w14:paraId="564206B9" w14:textId="77777777" w:rsidR="00AE2EBD" w:rsidRPr="00AA16BE" w:rsidRDefault="00000000">
            <w:pPr>
              <w:widowControl w:val="0"/>
              <w:pBdr>
                <w:top w:val="nil"/>
                <w:left w:val="nil"/>
                <w:bottom w:val="nil"/>
                <w:right w:val="nil"/>
                <w:between w:val="nil"/>
              </w:pBdr>
              <w:spacing w:line="240" w:lineRule="auto"/>
              <w:rPr>
                <w:b/>
                <w:bCs/>
                <w:color w:val="000000"/>
                <w:sz w:val="24"/>
                <w:szCs w:val="24"/>
              </w:rPr>
            </w:pPr>
            <w:r w:rsidRPr="00AA16BE">
              <w:rPr>
                <w:b/>
                <w:bCs/>
                <w:color w:val="000000"/>
                <w:sz w:val="24"/>
                <w:szCs w:val="24"/>
              </w:rPr>
              <w:t>Inferences</w:t>
            </w:r>
          </w:p>
        </w:tc>
      </w:tr>
      <w:tr w:rsidR="00AE2EBD" w:rsidRPr="00AA16BE" w14:paraId="2BFAADC9" w14:textId="77777777" w:rsidTr="006E6B6F">
        <w:trPr>
          <w:jc w:val="center"/>
        </w:trPr>
        <w:tc>
          <w:tcPr>
            <w:tcW w:w="1550" w:type="dxa"/>
            <w:tcMar>
              <w:top w:w="100" w:type="dxa"/>
              <w:left w:w="100" w:type="dxa"/>
              <w:bottom w:w="100" w:type="dxa"/>
              <w:right w:w="100" w:type="dxa"/>
            </w:tcMar>
          </w:tcPr>
          <w:p w14:paraId="7272490D"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color w:val="000000"/>
                <w:sz w:val="24"/>
                <w:szCs w:val="24"/>
              </w:rPr>
              <w:t>Geographic</w:t>
            </w:r>
          </w:p>
        </w:tc>
        <w:tc>
          <w:tcPr>
            <w:tcW w:w="8941" w:type="dxa"/>
            <w:tcMar>
              <w:top w:w="100" w:type="dxa"/>
              <w:left w:w="100" w:type="dxa"/>
              <w:bottom w:w="100" w:type="dxa"/>
              <w:right w:w="100" w:type="dxa"/>
            </w:tcMar>
          </w:tcPr>
          <w:p w14:paraId="25697A1A"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b/>
                <w:bCs/>
                <w:i/>
                <w:iCs/>
                <w:color w:val="000000"/>
                <w:sz w:val="24"/>
                <w:szCs w:val="24"/>
              </w:rPr>
              <w:t xml:space="preserve">Phase 1: </w:t>
            </w:r>
            <w:r w:rsidRPr="00AA16BE">
              <w:rPr>
                <w:color w:val="000000"/>
                <w:sz w:val="24"/>
                <w:szCs w:val="24"/>
              </w:rPr>
              <w:t xml:space="preserve">India’s technological hubs, such as Gujarat, Noida, and Karnataka </w:t>
            </w:r>
          </w:p>
          <w:p w14:paraId="5A7DED05"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b/>
                <w:bCs/>
                <w:i/>
                <w:iCs/>
                <w:color w:val="000000"/>
                <w:sz w:val="24"/>
                <w:szCs w:val="24"/>
              </w:rPr>
              <w:t>Phase 2:</w:t>
            </w:r>
            <w:r w:rsidRPr="00AA16BE">
              <w:rPr>
                <w:color w:val="000000"/>
                <w:sz w:val="24"/>
                <w:szCs w:val="24"/>
              </w:rPr>
              <w:t xml:space="preserve"> Main tech clusters in Southeast Asia, i.e., Malaysia, Thailand, Singapore, and Vietnam, considering semiconductor sector’s 10.60% CAGR till 2034.</w:t>
            </w:r>
            <w:r w:rsidRPr="00AA16BE">
              <w:rPr>
                <w:color w:val="000000"/>
                <w:sz w:val="24"/>
                <w:szCs w:val="24"/>
              </w:rPr>
              <w:br/>
            </w:r>
            <w:r w:rsidRPr="00AA16BE">
              <w:rPr>
                <w:b/>
                <w:bCs/>
                <w:i/>
                <w:iCs/>
                <w:color w:val="000000"/>
                <w:sz w:val="24"/>
                <w:szCs w:val="24"/>
              </w:rPr>
              <w:t>Phase 3:</w:t>
            </w:r>
            <w:r w:rsidRPr="00AA16BE">
              <w:rPr>
                <w:color w:val="000000"/>
                <w:sz w:val="24"/>
                <w:szCs w:val="24"/>
              </w:rPr>
              <w:t xml:space="preserve"> Entering Europe, specifically Germany</w:t>
            </w:r>
          </w:p>
        </w:tc>
      </w:tr>
      <w:tr w:rsidR="00AE2EBD" w:rsidRPr="00AA16BE" w14:paraId="197A309D" w14:textId="77777777" w:rsidTr="006E6B6F">
        <w:trPr>
          <w:jc w:val="center"/>
        </w:trPr>
        <w:tc>
          <w:tcPr>
            <w:tcW w:w="1550" w:type="dxa"/>
            <w:tcMar>
              <w:top w:w="100" w:type="dxa"/>
              <w:left w:w="100" w:type="dxa"/>
              <w:bottom w:w="100" w:type="dxa"/>
              <w:right w:w="100" w:type="dxa"/>
            </w:tcMar>
          </w:tcPr>
          <w:p w14:paraId="4AE9D11C"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color w:val="000000"/>
                <w:sz w:val="24"/>
                <w:szCs w:val="24"/>
              </w:rPr>
              <w:t>Demographic</w:t>
            </w:r>
          </w:p>
        </w:tc>
        <w:tc>
          <w:tcPr>
            <w:tcW w:w="8941" w:type="dxa"/>
            <w:tcMar>
              <w:top w:w="100" w:type="dxa"/>
              <w:left w:w="100" w:type="dxa"/>
              <w:bottom w:w="100" w:type="dxa"/>
              <w:right w:w="100" w:type="dxa"/>
            </w:tcMar>
          </w:tcPr>
          <w:p w14:paraId="0707F7E4"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color w:val="000000"/>
                <w:sz w:val="24"/>
                <w:szCs w:val="24"/>
              </w:rPr>
              <w:t xml:space="preserve">EV manufacturers, automotive firms, battery producers, industrial electronics/automation companies (producers of healthcare automation devices), renewable energy firms (especially solar energy converters), global OSAT firms, consumer tech OEMs, and premium automotive suppliers. </w:t>
            </w:r>
          </w:p>
          <w:p w14:paraId="57BD9BB3"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b/>
                <w:bCs/>
                <w:i/>
                <w:iCs/>
                <w:color w:val="000000"/>
                <w:sz w:val="24"/>
                <w:szCs w:val="24"/>
              </w:rPr>
              <w:t>Phase 1:</w:t>
            </w:r>
            <w:r w:rsidRPr="00AA16BE">
              <w:rPr>
                <w:color w:val="000000"/>
                <w:sz w:val="24"/>
                <w:szCs w:val="24"/>
              </w:rPr>
              <w:t xml:space="preserve"> Fast-paced start-ups with $10 million annual revenue</w:t>
            </w:r>
          </w:p>
          <w:p w14:paraId="200B12DF"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b/>
                <w:bCs/>
                <w:i/>
                <w:iCs/>
                <w:color w:val="000000"/>
                <w:sz w:val="24"/>
                <w:szCs w:val="24"/>
              </w:rPr>
              <w:t>Phase 2:</w:t>
            </w:r>
            <w:r w:rsidRPr="00AA16BE">
              <w:rPr>
                <w:color w:val="000000"/>
                <w:sz w:val="24"/>
                <w:szCs w:val="24"/>
              </w:rPr>
              <w:t xml:space="preserve"> Large-scale MNCs with $500 million annual revenue</w:t>
            </w:r>
          </w:p>
          <w:p w14:paraId="63DFBD9E"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b/>
                <w:bCs/>
                <w:i/>
                <w:iCs/>
                <w:color w:val="000000"/>
                <w:sz w:val="24"/>
                <w:szCs w:val="24"/>
              </w:rPr>
              <w:t>Phase 3:</w:t>
            </w:r>
            <w:r w:rsidRPr="00AA16BE">
              <w:rPr>
                <w:color w:val="000000"/>
                <w:sz w:val="24"/>
                <w:szCs w:val="24"/>
              </w:rPr>
              <w:t xml:space="preserve"> Industry stalwarts with legacy heritage, annual revenue exceeding $1 billion</w:t>
            </w:r>
          </w:p>
        </w:tc>
      </w:tr>
      <w:tr w:rsidR="00AE2EBD" w:rsidRPr="00AA16BE" w14:paraId="460135FF" w14:textId="77777777" w:rsidTr="006E6B6F">
        <w:trPr>
          <w:jc w:val="center"/>
        </w:trPr>
        <w:tc>
          <w:tcPr>
            <w:tcW w:w="1550" w:type="dxa"/>
            <w:tcMar>
              <w:top w:w="100" w:type="dxa"/>
              <w:left w:w="100" w:type="dxa"/>
              <w:bottom w:w="100" w:type="dxa"/>
              <w:right w:w="100" w:type="dxa"/>
            </w:tcMar>
          </w:tcPr>
          <w:p w14:paraId="7FA7C52F"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color w:val="000000"/>
                <w:sz w:val="24"/>
                <w:szCs w:val="24"/>
              </w:rPr>
              <w:t>Psychographic</w:t>
            </w:r>
          </w:p>
        </w:tc>
        <w:tc>
          <w:tcPr>
            <w:tcW w:w="8941" w:type="dxa"/>
            <w:tcMar>
              <w:top w:w="100" w:type="dxa"/>
              <w:left w:w="100" w:type="dxa"/>
              <w:bottom w:w="100" w:type="dxa"/>
              <w:right w:w="100" w:type="dxa"/>
            </w:tcMar>
          </w:tcPr>
          <w:p w14:paraId="62448738"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b/>
                <w:bCs/>
                <w:i/>
                <w:iCs/>
                <w:color w:val="000000"/>
                <w:sz w:val="24"/>
                <w:szCs w:val="24"/>
              </w:rPr>
              <w:t>Phase 1:</w:t>
            </w:r>
            <w:r w:rsidRPr="00AA16BE">
              <w:rPr>
                <w:color w:val="000000"/>
                <w:sz w:val="24"/>
                <w:szCs w:val="24"/>
              </w:rPr>
              <w:t xml:space="preserve"> Companies looking to procure raw materials from local manufacturers (prioritises Make-in-India initiatives) to combat global supply chain vulnerability</w:t>
            </w:r>
          </w:p>
          <w:p w14:paraId="7A0465F4"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b/>
                <w:bCs/>
                <w:color w:val="000000"/>
                <w:sz w:val="24"/>
                <w:szCs w:val="24"/>
                <w:u w:val="single"/>
              </w:rPr>
              <w:t>Risk appetite:</w:t>
            </w:r>
            <w:r w:rsidRPr="00AA16BE">
              <w:rPr>
                <w:color w:val="000000"/>
                <w:sz w:val="24"/>
                <w:szCs w:val="24"/>
              </w:rPr>
              <w:t xml:space="preserve"> High</w:t>
            </w:r>
          </w:p>
          <w:p w14:paraId="15C83016"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b/>
                <w:bCs/>
                <w:i/>
                <w:iCs/>
                <w:color w:val="000000"/>
                <w:sz w:val="24"/>
                <w:szCs w:val="24"/>
              </w:rPr>
              <w:t>Phase 2:</w:t>
            </w:r>
            <w:r w:rsidRPr="00AA16BE">
              <w:rPr>
                <w:color w:val="000000"/>
                <w:sz w:val="24"/>
                <w:szCs w:val="24"/>
              </w:rPr>
              <w:t xml:space="preserve"> Companies that prioritise operational continuity, </w:t>
            </w:r>
            <w:proofErr w:type="gramStart"/>
            <w:r w:rsidRPr="00AA16BE">
              <w:rPr>
                <w:color w:val="000000"/>
                <w:sz w:val="24"/>
                <w:szCs w:val="24"/>
              </w:rPr>
              <w:t>hence</w:t>
            </w:r>
            <w:proofErr w:type="gramEnd"/>
            <w:r w:rsidRPr="00AA16BE">
              <w:rPr>
                <w:color w:val="000000"/>
                <w:sz w:val="24"/>
                <w:szCs w:val="24"/>
              </w:rPr>
              <w:t xml:space="preserve"> tie up with semiconductor wafer manufacturers operating in </w:t>
            </w:r>
            <w:proofErr w:type="gramStart"/>
            <w:r w:rsidRPr="00AA16BE">
              <w:rPr>
                <w:color w:val="000000"/>
                <w:sz w:val="24"/>
                <w:szCs w:val="24"/>
              </w:rPr>
              <w:t>close proximity</w:t>
            </w:r>
            <w:proofErr w:type="gramEnd"/>
            <w:r w:rsidRPr="00AA16BE">
              <w:rPr>
                <w:color w:val="000000"/>
                <w:sz w:val="24"/>
                <w:szCs w:val="24"/>
              </w:rPr>
              <w:t xml:space="preserve">. </w:t>
            </w:r>
          </w:p>
          <w:p w14:paraId="3BE98BF1"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b/>
                <w:bCs/>
                <w:color w:val="000000"/>
                <w:sz w:val="24"/>
                <w:szCs w:val="24"/>
                <w:u w:val="single"/>
              </w:rPr>
              <w:t>Risk appetite:</w:t>
            </w:r>
            <w:r w:rsidRPr="00AA16BE">
              <w:rPr>
                <w:color w:val="000000"/>
                <w:sz w:val="24"/>
                <w:szCs w:val="24"/>
              </w:rPr>
              <w:t xml:space="preserve"> Moderate</w:t>
            </w:r>
          </w:p>
          <w:p w14:paraId="09AA6F20"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b/>
                <w:bCs/>
                <w:i/>
                <w:iCs/>
                <w:color w:val="000000"/>
                <w:sz w:val="24"/>
                <w:szCs w:val="24"/>
              </w:rPr>
              <w:t xml:space="preserve">Phase 3: </w:t>
            </w:r>
            <w:r w:rsidRPr="00AA16BE">
              <w:rPr>
                <w:color w:val="000000"/>
                <w:sz w:val="24"/>
                <w:szCs w:val="24"/>
              </w:rPr>
              <w:t>Globally reputed companies that value sustainable operations with outstanding engineering competencies and superior quality, while looking for long-term partnership</w:t>
            </w:r>
          </w:p>
          <w:p w14:paraId="6A75D88B"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b/>
                <w:bCs/>
                <w:color w:val="000000"/>
                <w:sz w:val="24"/>
                <w:szCs w:val="24"/>
                <w:u w:val="single"/>
              </w:rPr>
              <w:t>Risk appetite:</w:t>
            </w:r>
            <w:r w:rsidRPr="00AA16BE">
              <w:rPr>
                <w:color w:val="000000"/>
                <w:sz w:val="24"/>
                <w:szCs w:val="24"/>
              </w:rPr>
              <w:t xml:space="preserve"> Low </w:t>
            </w:r>
          </w:p>
        </w:tc>
      </w:tr>
      <w:tr w:rsidR="00AE2EBD" w:rsidRPr="00AA16BE" w14:paraId="04871A04" w14:textId="77777777" w:rsidTr="006E6B6F">
        <w:trPr>
          <w:trHeight w:val="680"/>
          <w:jc w:val="center"/>
        </w:trPr>
        <w:tc>
          <w:tcPr>
            <w:tcW w:w="1550" w:type="dxa"/>
            <w:tcMar>
              <w:top w:w="100" w:type="dxa"/>
              <w:left w:w="100" w:type="dxa"/>
              <w:bottom w:w="100" w:type="dxa"/>
              <w:right w:w="100" w:type="dxa"/>
            </w:tcMar>
          </w:tcPr>
          <w:p w14:paraId="378147E3"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color w:val="000000"/>
                <w:sz w:val="24"/>
                <w:szCs w:val="24"/>
              </w:rPr>
              <w:t>Behavioural</w:t>
            </w:r>
          </w:p>
        </w:tc>
        <w:tc>
          <w:tcPr>
            <w:tcW w:w="8941" w:type="dxa"/>
            <w:tcMar>
              <w:top w:w="100" w:type="dxa"/>
              <w:left w:w="100" w:type="dxa"/>
              <w:bottom w:w="100" w:type="dxa"/>
              <w:right w:w="100" w:type="dxa"/>
            </w:tcMar>
          </w:tcPr>
          <w:p w14:paraId="75AF978B"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b/>
                <w:bCs/>
                <w:i/>
                <w:iCs/>
                <w:color w:val="000000"/>
                <w:sz w:val="24"/>
                <w:szCs w:val="24"/>
              </w:rPr>
              <w:t>Phase 1:</w:t>
            </w:r>
            <w:r w:rsidRPr="00AA16BE">
              <w:rPr>
                <w:color w:val="000000"/>
                <w:sz w:val="24"/>
                <w:szCs w:val="24"/>
              </w:rPr>
              <w:t xml:space="preserve"> Companies willing to exploit government subsidiary, looking for low-cost locally manufactured but high-quality wafers</w:t>
            </w:r>
          </w:p>
          <w:p w14:paraId="6C55A5A8"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b/>
                <w:bCs/>
                <w:i/>
                <w:iCs/>
                <w:color w:val="000000"/>
                <w:sz w:val="24"/>
                <w:szCs w:val="24"/>
              </w:rPr>
              <w:t>Phase 2:</w:t>
            </w:r>
            <w:r w:rsidRPr="00AA16BE">
              <w:rPr>
                <w:color w:val="000000"/>
                <w:sz w:val="24"/>
                <w:szCs w:val="24"/>
              </w:rPr>
              <w:t xml:space="preserve"> Companies seeking competent JIT integration capacity, strict with regulatory compliance, willing to increase order volumes when satisfied with quality criteria; intentional buyers, looking for convenience</w:t>
            </w:r>
          </w:p>
          <w:p w14:paraId="2CC1091B" w14:textId="77777777" w:rsidR="00AE2EBD" w:rsidRPr="00AA16BE" w:rsidRDefault="00000000">
            <w:pPr>
              <w:widowControl w:val="0"/>
              <w:pBdr>
                <w:top w:val="nil"/>
                <w:left w:val="nil"/>
                <w:bottom w:val="nil"/>
                <w:right w:val="nil"/>
                <w:between w:val="nil"/>
              </w:pBdr>
              <w:spacing w:line="240" w:lineRule="auto"/>
              <w:rPr>
                <w:color w:val="000000"/>
                <w:sz w:val="24"/>
                <w:szCs w:val="24"/>
              </w:rPr>
            </w:pPr>
            <w:r w:rsidRPr="00AA16BE">
              <w:rPr>
                <w:b/>
                <w:bCs/>
                <w:i/>
                <w:iCs/>
                <w:color w:val="000000"/>
                <w:sz w:val="24"/>
                <w:szCs w:val="24"/>
              </w:rPr>
              <w:t>Phase 3:</w:t>
            </w:r>
            <w:r w:rsidRPr="00AA16BE">
              <w:rPr>
                <w:color w:val="000000"/>
                <w:sz w:val="24"/>
                <w:szCs w:val="24"/>
              </w:rPr>
              <w:t xml:space="preserve"> Global companies that seek 100% ESG compliance certificates, first-rate and zero-defect quality wafers, difficult to satisfy but extremely loyal, </w:t>
            </w:r>
          </w:p>
        </w:tc>
      </w:tr>
    </w:tbl>
    <w:p w14:paraId="4DFDD0B0" w14:textId="77777777" w:rsidR="00AE2EBD" w:rsidRDefault="00000000">
      <w:pPr>
        <w:pBdr>
          <w:top w:val="nil"/>
          <w:left w:val="nil"/>
          <w:bottom w:val="nil"/>
          <w:right w:val="nil"/>
          <w:between w:val="nil"/>
        </w:pBdr>
        <w:spacing w:line="360" w:lineRule="auto"/>
        <w:jc w:val="center"/>
        <w:rPr>
          <w:b/>
          <w:bCs/>
          <w:color w:val="000000"/>
          <w:sz w:val="24"/>
          <w:szCs w:val="24"/>
        </w:rPr>
      </w:pPr>
      <w:r>
        <w:rPr>
          <w:b/>
          <w:bCs/>
          <w:color w:val="000000"/>
          <w:sz w:val="24"/>
          <w:szCs w:val="24"/>
        </w:rPr>
        <w:t>Table 1: Segmentation strategy for Exide</w:t>
      </w:r>
    </w:p>
    <w:p w14:paraId="1D3BC37C" w14:textId="77777777" w:rsidR="00AE2EBD" w:rsidRDefault="00000000">
      <w:pPr>
        <w:pBdr>
          <w:top w:val="nil"/>
          <w:left w:val="nil"/>
          <w:bottom w:val="nil"/>
          <w:right w:val="nil"/>
          <w:between w:val="nil"/>
        </w:pBdr>
        <w:spacing w:line="360" w:lineRule="auto"/>
        <w:jc w:val="center"/>
        <w:rPr>
          <w:color w:val="000000"/>
          <w:sz w:val="24"/>
          <w:szCs w:val="24"/>
        </w:rPr>
      </w:pPr>
      <w:r>
        <w:rPr>
          <w:color w:val="000000"/>
          <w:sz w:val="24"/>
          <w:szCs w:val="24"/>
        </w:rPr>
        <w:t>(Source: Adapted from Week 3, Slide 7)</w:t>
      </w:r>
    </w:p>
    <w:p w14:paraId="18C733D5" w14:textId="77777777" w:rsidR="00AE2EBD" w:rsidRDefault="00000000">
      <w:pPr>
        <w:pBdr>
          <w:top w:val="nil"/>
          <w:left w:val="nil"/>
          <w:bottom w:val="nil"/>
          <w:right w:val="nil"/>
          <w:between w:val="nil"/>
        </w:pBdr>
        <w:spacing w:line="360" w:lineRule="auto"/>
        <w:rPr>
          <w:b/>
          <w:bCs/>
          <w:i/>
          <w:iCs/>
          <w:color w:val="000000"/>
          <w:sz w:val="24"/>
          <w:szCs w:val="24"/>
          <w:u w:val="single"/>
        </w:rPr>
      </w:pPr>
      <w:r>
        <w:rPr>
          <w:b/>
          <w:bCs/>
          <w:i/>
          <w:iCs/>
          <w:color w:val="000000"/>
          <w:sz w:val="24"/>
          <w:szCs w:val="24"/>
          <w:u w:val="single"/>
        </w:rPr>
        <w:lastRenderedPageBreak/>
        <w:t>Explanation</w:t>
      </w:r>
    </w:p>
    <w:p w14:paraId="2D1C264E" w14:textId="77777777" w:rsidR="00AE2EBD" w:rsidRDefault="00000000">
      <w:pPr>
        <w:pBdr>
          <w:top w:val="nil"/>
          <w:left w:val="nil"/>
          <w:bottom w:val="nil"/>
          <w:right w:val="nil"/>
          <w:between w:val="nil"/>
        </w:pBdr>
        <w:spacing w:line="360" w:lineRule="auto"/>
        <w:rPr>
          <w:color w:val="000000"/>
          <w:sz w:val="24"/>
          <w:szCs w:val="24"/>
        </w:rPr>
      </w:pPr>
      <w:r>
        <w:rPr>
          <w:b/>
          <w:bCs/>
          <w:color w:val="000000"/>
          <w:sz w:val="24"/>
          <w:szCs w:val="24"/>
          <w:u w:val="single"/>
        </w:rPr>
        <w:t xml:space="preserve">Measurable /Accessible: </w:t>
      </w:r>
      <w:r>
        <w:rPr>
          <w:color w:val="000000"/>
          <w:sz w:val="24"/>
          <w:szCs w:val="24"/>
        </w:rPr>
        <w:t xml:space="preserve">In the first phase, Exide should target Indian start-up automotive firms seeking reliable semiconductor wafers to avoid global supply chain delays. </w:t>
      </w:r>
    </w:p>
    <w:p w14:paraId="2BF65375" w14:textId="77777777" w:rsidR="00AE2EBD" w:rsidRDefault="00000000">
      <w:pPr>
        <w:pBdr>
          <w:top w:val="nil"/>
          <w:left w:val="nil"/>
          <w:bottom w:val="nil"/>
          <w:right w:val="nil"/>
          <w:between w:val="nil"/>
        </w:pBdr>
        <w:spacing w:line="360" w:lineRule="auto"/>
        <w:rPr>
          <w:color w:val="000000"/>
          <w:sz w:val="24"/>
          <w:szCs w:val="24"/>
        </w:rPr>
      </w:pPr>
      <w:r>
        <w:rPr>
          <w:b/>
          <w:bCs/>
          <w:color w:val="000000"/>
          <w:sz w:val="24"/>
          <w:szCs w:val="24"/>
          <w:u w:val="single"/>
        </w:rPr>
        <w:t>Differentiable:</w:t>
      </w:r>
      <w:r>
        <w:rPr>
          <w:color w:val="000000"/>
          <w:sz w:val="24"/>
          <w:szCs w:val="24"/>
        </w:rPr>
        <w:t xml:space="preserve"> In the second phase, Exide should establish itself as an agile regional alternative to global firms, including TSMC and NVIDIA. (Companies </w:t>
      </w:r>
      <w:proofErr w:type="spellStart"/>
      <w:r>
        <w:rPr>
          <w:color w:val="000000"/>
          <w:sz w:val="24"/>
          <w:szCs w:val="24"/>
        </w:rPr>
        <w:t>Marketcap</w:t>
      </w:r>
      <w:proofErr w:type="spellEnd"/>
      <w:r>
        <w:rPr>
          <w:color w:val="000000"/>
          <w:sz w:val="24"/>
          <w:szCs w:val="24"/>
        </w:rPr>
        <w:t xml:space="preserve">, 2026) </w:t>
      </w:r>
    </w:p>
    <w:p w14:paraId="23EC702B" w14:textId="77777777" w:rsidR="00AE2EBD" w:rsidRDefault="00000000">
      <w:pPr>
        <w:pBdr>
          <w:top w:val="nil"/>
          <w:left w:val="nil"/>
          <w:bottom w:val="nil"/>
          <w:right w:val="nil"/>
          <w:between w:val="nil"/>
        </w:pBdr>
        <w:spacing w:line="360" w:lineRule="auto"/>
        <w:rPr>
          <w:color w:val="000000"/>
          <w:sz w:val="24"/>
          <w:szCs w:val="24"/>
        </w:rPr>
      </w:pPr>
      <w:r>
        <w:rPr>
          <w:b/>
          <w:bCs/>
          <w:color w:val="000000"/>
          <w:sz w:val="24"/>
          <w:szCs w:val="24"/>
          <w:u w:val="single"/>
        </w:rPr>
        <w:t>Actionable:</w:t>
      </w:r>
      <w:r>
        <w:rPr>
          <w:color w:val="000000"/>
          <w:sz w:val="24"/>
          <w:szCs w:val="24"/>
        </w:rPr>
        <w:t xml:space="preserve"> In the third phase, Exide will position itself as a premium, ESG-certified semiconductor solutions provider in Germany. </w:t>
      </w:r>
    </w:p>
    <w:p w14:paraId="4097F218" w14:textId="77777777" w:rsidR="00AE2EBD" w:rsidRDefault="00000000">
      <w:pPr>
        <w:pBdr>
          <w:top w:val="nil"/>
          <w:left w:val="nil"/>
          <w:bottom w:val="nil"/>
          <w:right w:val="nil"/>
          <w:between w:val="nil"/>
        </w:pBdr>
        <w:spacing w:line="360" w:lineRule="auto"/>
        <w:rPr>
          <w:color w:val="000000"/>
          <w:sz w:val="24"/>
          <w:szCs w:val="24"/>
        </w:rPr>
      </w:pPr>
      <w:r>
        <w:rPr>
          <w:b/>
          <w:bCs/>
          <w:color w:val="000000"/>
          <w:sz w:val="24"/>
          <w:szCs w:val="24"/>
          <w:u w:val="single"/>
        </w:rPr>
        <w:t>Substantial:</w:t>
      </w:r>
      <w:r>
        <w:rPr>
          <w:color w:val="000000"/>
          <w:sz w:val="24"/>
          <w:szCs w:val="24"/>
        </w:rPr>
        <w:t xml:space="preserve"> Overall, the segmentation strategy for Exide Semiconductor Solutions should prioritise </w:t>
      </w:r>
      <w:r>
        <w:rPr>
          <w:b/>
          <w:bCs/>
          <w:i/>
          <w:iCs/>
          <w:color w:val="000000"/>
          <w:sz w:val="24"/>
          <w:szCs w:val="24"/>
        </w:rPr>
        <w:t>“sustainability-oriented tech-savvy”</w:t>
      </w:r>
      <w:r>
        <w:rPr>
          <w:color w:val="000000"/>
          <w:sz w:val="24"/>
          <w:szCs w:val="24"/>
        </w:rPr>
        <w:t xml:space="preserve"> buyers (Week 3, Slide 6). </w:t>
      </w:r>
    </w:p>
    <w:p w14:paraId="202F5FB5" w14:textId="77777777" w:rsidR="00AE2EBD" w:rsidRDefault="00000000">
      <w:pPr>
        <w:pBdr>
          <w:top w:val="nil"/>
          <w:left w:val="nil"/>
          <w:bottom w:val="nil"/>
          <w:right w:val="nil"/>
          <w:between w:val="nil"/>
        </w:pBdr>
        <w:spacing w:line="360" w:lineRule="auto"/>
        <w:jc w:val="center"/>
        <w:rPr>
          <w:color w:val="000000"/>
          <w:sz w:val="24"/>
          <w:szCs w:val="24"/>
        </w:rPr>
      </w:pPr>
      <w:r>
        <w:rPr>
          <w:noProof/>
          <w:color w:val="000000"/>
          <w:sz w:val="24"/>
          <w:szCs w:val="24"/>
        </w:rPr>
        <w:drawing>
          <wp:inline distT="0" distB="0" distL="0" distR="0" wp14:anchorId="137F9D72" wp14:editId="21C7DD0E">
            <wp:extent cx="5731200" cy="3822699"/>
            <wp:effectExtent l="0" t="0" r="0" b="0"/>
            <wp:docPr id="1027"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8" cstate="print"/>
                    <a:srcRect/>
                    <a:stretch/>
                  </pic:blipFill>
                  <pic:spPr>
                    <a:xfrm>
                      <a:off x="0" y="0"/>
                      <a:ext cx="5731200" cy="3822699"/>
                    </a:xfrm>
                    <a:prstGeom prst="rect">
                      <a:avLst/>
                    </a:prstGeom>
                    <a:ln w="9525" cap="flat" cmpd="sng">
                      <a:solidFill>
                        <a:srgbClr val="000000"/>
                      </a:solidFill>
                      <a:prstDash val="solid"/>
                      <a:round/>
                      <a:headEnd/>
                      <a:tailEnd/>
                    </a:ln>
                  </pic:spPr>
                </pic:pic>
              </a:graphicData>
            </a:graphic>
          </wp:inline>
        </w:drawing>
      </w:r>
    </w:p>
    <w:p w14:paraId="54776630" w14:textId="77777777" w:rsidR="00AE2EBD" w:rsidRDefault="00000000">
      <w:pPr>
        <w:pBdr>
          <w:top w:val="nil"/>
          <w:left w:val="nil"/>
          <w:bottom w:val="nil"/>
          <w:right w:val="nil"/>
          <w:between w:val="nil"/>
        </w:pBdr>
        <w:spacing w:line="360" w:lineRule="auto"/>
        <w:jc w:val="center"/>
        <w:rPr>
          <w:b/>
          <w:bCs/>
          <w:color w:val="000000"/>
          <w:sz w:val="24"/>
          <w:szCs w:val="24"/>
        </w:rPr>
      </w:pPr>
      <w:r>
        <w:rPr>
          <w:b/>
          <w:bCs/>
          <w:color w:val="000000"/>
          <w:sz w:val="24"/>
          <w:szCs w:val="24"/>
        </w:rPr>
        <w:t>Figure 1: Overview of Segmentation strategy</w:t>
      </w:r>
    </w:p>
    <w:p w14:paraId="03982B90" w14:textId="77777777" w:rsidR="00AE2EBD" w:rsidRDefault="00000000">
      <w:pPr>
        <w:pBdr>
          <w:top w:val="nil"/>
          <w:left w:val="nil"/>
          <w:bottom w:val="nil"/>
          <w:right w:val="nil"/>
          <w:between w:val="nil"/>
        </w:pBdr>
        <w:spacing w:line="360" w:lineRule="auto"/>
        <w:jc w:val="center"/>
        <w:rPr>
          <w:color w:val="000000"/>
          <w:sz w:val="24"/>
          <w:szCs w:val="24"/>
        </w:rPr>
      </w:pPr>
      <w:r>
        <w:rPr>
          <w:color w:val="000000"/>
          <w:sz w:val="24"/>
          <w:szCs w:val="24"/>
        </w:rPr>
        <w:t>(Source: Adapted from Week 3, Slide 11)</w:t>
      </w:r>
    </w:p>
    <w:p w14:paraId="7FCBEAE8" w14:textId="77777777" w:rsidR="00AE2EBD" w:rsidRDefault="00000000">
      <w:pPr>
        <w:pBdr>
          <w:top w:val="nil"/>
          <w:left w:val="nil"/>
          <w:bottom w:val="nil"/>
          <w:right w:val="nil"/>
          <w:between w:val="nil"/>
        </w:pBdr>
        <w:spacing w:line="360" w:lineRule="auto"/>
        <w:jc w:val="center"/>
        <w:rPr>
          <w:b/>
          <w:bCs/>
          <w:color w:val="000000"/>
          <w:sz w:val="24"/>
          <w:szCs w:val="24"/>
        </w:rPr>
      </w:pPr>
      <w:r>
        <w:rPr>
          <w:noProof/>
          <w:color w:val="000000"/>
          <w:sz w:val="24"/>
          <w:szCs w:val="24"/>
        </w:rPr>
        <w:lastRenderedPageBreak/>
        <w:drawing>
          <wp:inline distT="0" distB="0" distL="0" distR="0" wp14:anchorId="0B78363C" wp14:editId="1DC54E9A">
            <wp:extent cx="5731200" cy="1778000"/>
            <wp:effectExtent l="12700" t="12700" r="12700" b="12700"/>
            <wp:docPr id="1028"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rcRect/>
                    <a:stretch/>
                  </pic:blipFill>
                  <pic:spPr>
                    <a:xfrm>
                      <a:off x="0" y="0"/>
                      <a:ext cx="5731200" cy="1778000"/>
                    </a:xfrm>
                    <a:prstGeom prst="rect">
                      <a:avLst/>
                    </a:prstGeom>
                    <a:ln w="12700" cap="flat" cmpd="sng">
                      <a:solidFill>
                        <a:srgbClr val="000000"/>
                      </a:solidFill>
                      <a:prstDash val="solid"/>
                      <a:round/>
                      <a:headEnd/>
                      <a:tailEnd/>
                    </a:ln>
                  </pic:spPr>
                </pic:pic>
              </a:graphicData>
            </a:graphic>
          </wp:inline>
        </w:drawing>
      </w:r>
    </w:p>
    <w:p w14:paraId="4CFFBDF1" w14:textId="77777777" w:rsidR="00AE2EBD" w:rsidRDefault="00000000">
      <w:pPr>
        <w:pBdr>
          <w:top w:val="nil"/>
          <w:left w:val="nil"/>
          <w:bottom w:val="nil"/>
          <w:right w:val="nil"/>
          <w:between w:val="nil"/>
        </w:pBdr>
        <w:spacing w:line="360" w:lineRule="auto"/>
        <w:jc w:val="center"/>
        <w:rPr>
          <w:b/>
          <w:bCs/>
          <w:color w:val="000000"/>
          <w:sz w:val="24"/>
          <w:szCs w:val="24"/>
        </w:rPr>
      </w:pPr>
      <w:r>
        <w:rPr>
          <w:b/>
          <w:bCs/>
          <w:color w:val="000000"/>
          <w:sz w:val="24"/>
          <w:szCs w:val="24"/>
        </w:rPr>
        <w:t>Figure 2: Leading semiconductor chip companies</w:t>
      </w:r>
    </w:p>
    <w:p w14:paraId="0A26A38A" w14:textId="77777777" w:rsidR="00AE2EBD" w:rsidRDefault="00000000">
      <w:pPr>
        <w:pBdr>
          <w:top w:val="nil"/>
          <w:left w:val="nil"/>
          <w:bottom w:val="nil"/>
          <w:right w:val="nil"/>
          <w:between w:val="nil"/>
        </w:pBdr>
        <w:spacing w:line="360" w:lineRule="auto"/>
        <w:jc w:val="center"/>
        <w:rPr>
          <w:color w:val="000000"/>
          <w:sz w:val="24"/>
          <w:szCs w:val="24"/>
        </w:rPr>
      </w:pPr>
      <w:r>
        <w:rPr>
          <w:color w:val="000000"/>
          <w:sz w:val="24"/>
          <w:szCs w:val="24"/>
        </w:rPr>
        <w:t xml:space="preserve">(Source: Companies </w:t>
      </w:r>
      <w:proofErr w:type="spellStart"/>
      <w:r>
        <w:rPr>
          <w:color w:val="000000"/>
          <w:sz w:val="24"/>
          <w:szCs w:val="24"/>
        </w:rPr>
        <w:t>Marketcap</w:t>
      </w:r>
      <w:proofErr w:type="spellEnd"/>
      <w:r>
        <w:rPr>
          <w:color w:val="000000"/>
          <w:sz w:val="24"/>
          <w:szCs w:val="24"/>
        </w:rPr>
        <w:t>, 2026)</w:t>
      </w:r>
    </w:p>
    <w:p w14:paraId="075CA892" w14:textId="77777777" w:rsidR="00AE2EBD" w:rsidRDefault="00000000">
      <w:pPr>
        <w:pBdr>
          <w:top w:val="nil"/>
          <w:left w:val="nil"/>
          <w:bottom w:val="nil"/>
          <w:right w:val="nil"/>
          <w:between w:val="nil"/>
        </w:pBdr>
        <w:spacing w:line="360" w:lineRule="auto"/>
        <w:jc w:val="center"/>
        <w:rPr>
          <w:color w:val="000000"/>
          <w:sz w:val="24"/>
          <w:szCs w:val="24"/>
        </w:rPr>
      </w:pPr>
      <w:r>
        <w:rPr>
          <w:noProof/>
          <w:color w:val="000000"/>
          <w:sz w:val="24"/>
          <w:szCs w:val="24"/>
        </w:rPr>
        <w:drawing>
          <wp:inline distT="0" distB="0" distL="0" distR="0" wp14:anchorId="35652344" wp14:editId="0406BFD3">
            <wp:extent cx="5731200" cy="2692400"/>
            <wp:effectExtent l="0" t="0" r="0" b="0"/>
            <wp:docPr id="1029"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10" cstate="print"/>
                    <a:srcRect/>
                    <a:stretch/>
                  </pic:blipFill>
                  <pic:spPr>
                    <a:xfrm>
                      <a:off x="0" y="0"/>
                      <a:ext cx="5731200" cy="2692400"/>
                    </a:xfrm>
                    <a:prstGeom prst="rect">
                      <a:avLst/>
                    </a:prstGeom>
                    <a:ln w="9525" cap="flat" cmpd="sng">
                      <a:solidFill>
                        <a:srgbClr val="000000"/>
                      </a:solidFill>
                      <a:prstDash val="solid"/>
                      <a:round/>
                      <a:headEnd/>
                      <a:tailEnd/>
                    </a:ln>
                  </pic:spPr>
                </pic:pic>
              </a:graphicData>
            </a:graphic>
          </wp:inline>
        </w:drawing>
      </w:r>
    </w:p>
    <w:p w14:paraId="08BBAECD" w14:textId="77777777" w:rsidR="00AE2EBD" w:rsidRDefault="00000000">
      <w:pPr>
        <w:pBdr>
          <w:top w:val="nil"/>
          <w:left w:val="nil"/>
          <w:bottom w:val="nil"/>
          <w:right w:val="nil"/>
          <w:between w:val="nil"/>
        </w:pBdr>
        <w:spacing w:line="360" w:lineRule="auto"/>
        <w:jc w:val="center"/>
        <w:rPr>
          <w:b/>
          <w:bCs/>
          <w:color w:val="000000"/>
          <w:sz w:val="24"/>
          <w:szCs w:val="24"/>
        </w:rPr>
      </w:pPr>
      <w:r>
        <w:rPr>
          <w:b/>
          <w:bCs/>
          <w:color w:val="000000"/>
          <w:sz w:val="24"/>
          <w:szCs w:val="24"/>
        </w:rPr>
        <w:t>Figure 3: Semiconductor sector growth scope</w:t>
      </w:r>
    </w:p>
    <w:p w14:paraId="232DA612" w14:textId="77777777" w:rsidR="00AE2EBD" w:rsidRDefault="00000000">
      <w:pPr>
        <w:pBdr>
          <w:top w:val="nil"/>
          <w:left w:val="nil"/>
          <w:bottom w:val="nil"/>
          <w:right w:val="nil"/>
          <w:between w:val="nil"/>
        </w:pBdr>
        <w:spacing w:line="360" w:lineRule="auto"/>
        <w:jc w:val="center"/>
        <w:rPr>
          <w:color w:val="000000"/>
          <w:sz w:val="24"/>
          <w:szCs w:val="24"/>
        </w:rPr>
      </w:pPr>
      <w:r>
        <w:rPr>
          <w:color w:val="000000"/>
          <w:sz w:val="24"/>
          <w:szCs w:val="24"/>
        </w:rPr>
        <w:t>(Source: Fortune Business Insights, 2026)</w:t>
      </w:r>
    </w:p>
    <w:p w14:paraId="2948D1D7" w14:textId="77777777" w:rsidR="00AE2EBD" w:rsidRDefault="00000000">
      <w:pPr>
        <w:pStyle w:val="Heading2"/>
      </w:pPr>
      <w:bookmarkStart w:id="4" w:name="_Toc237277157"/>
      <w:r>
        <w:t>2.2 Targeting</w:t>
      </w:r>
      <w:bookmarkEnd w:id="4"/>
    </w:p>
    <w:p w14:paraId="69A6DBA7" w14:textId="77777777" w:rsidR="00AE2EBD" w:rsidRDefault="00000000">
      <w:pPr>
        <w:pBdr>
          <w:top w:val="nil"/>
          <w:left w:val="nil"/>
          <w:bottom w:val="nil"/>
          <w:right w:val="nil"/>
          <w:between w:val="nil"/>
        </w:pBdr>
        <w:spacing w:line="360" w:lineRule="auto"/>
        <w:rPr>
          <w:color w:val="000000"/>
          <w:sz w:val="24"/>
          <w:szCs w:val="24"/>
        </w:rPr>
      </w:pPr>
      <w:r>
        <w:rPr>
          <w:color w:val="000000"/>
          <w:sz w:val="24"/>
          <w:szCs w:val="24"/>
        </w:rPr>
        <w:t xml:space="preserve">Exide Semiconductor Solutions will adopt a differentiated strategy for its B2B operations, as it will offer a selective and specialised targeting strategy. </w:t>
      </w:r>
    </w:p>
    <w:p w14:paraId="41457880" w14:textId="77777777" w:rsidR="00AE2EBD" w:rsidRDefault="00000000">
      <w:pPr>
        <w:pBdr>
          <w:top w:val="nil"/>
          <w:left w:val="nil"/>
          <w:bottom w:val="nil"/>
          <w:right w:val="nil"/>
          <w:between w:val="nil"/>
        </w:pBdr>
        <w:spacing w:line="360" w:lineRule="auto"/>
        <w:rPr>
          <w:b/>
          <w:bCs/>
          <w:i/>
          <w:iCs/>
          <w:color w:val="000000"/>
          <w:sz w:val="24"/>
          <w:szCs w:val="24"/>
          <w:u w:val="single"/>
        </w:rPr>
      </w:pPr>
      <w:r>
        <w:rPr>
          <w:b/>
          <w:bCs/>
          <w:i/>
          <w:iCs/>
          <w:color w:val="000000"/>
          <w:sz w:val="24"/>
          <w:szCs w:val="24"/>
          <w:u w:val="single"/>
        </w:rPr>
        <w:t>Explanation</w:t>
      </w:r>
    </w:p>
    <w:p w14:paraId="212C9062" w14:textId="77777777" w:rsidR="00AE2EBD" w:rsidRDefault="00000000">
      <w:pPr>
        <w:pBdr>
          <w:top w:val="nil"/>
          <w:left w:val="nil"/>
          <w:bottom w:val="nil"/>
          <w:right w:val="nil"/>
          <w:between w:val="nil"/>
        </w:pBdr>
        <w:spacing w:line="360" w:lineRule="auto"/>
        <w:rPr>
          <w:color w:val="000000"/>
          <w:sz w:val="24"/>
          <w:szCs w:val="24"/>
        </w:rPr>
      </w:pPr>
      <w:r>
        <w:rPr>
          <w:b/>
          <w:bCs/>
          <w:i/>
          <w:iCs/>
          <w:color w:val="000000"/>
          <w:sz w:val="24"/>
          <w:szCs w:val="24"/>
        </w:rPr>
        <w:t xml:space="preserve">Phase 1: </w:t>
      </w:r>
      <w:r>
        <w:rPr>
          <w:color w:val="000000"/>
          <w:sz w:val="24"/>
          <w:szCs w:val="24"/>
        </w:rPr>
        <w:t>Targeting specific high-growth potential start-ups in EV, solar energy converters, and clean energy solutions, leveraging India’s green economy, which is growing at a CAGR of 20% (ET Energy World, 2026).</w:t>
      </w:r>
      <w:r>
        <w:rPr>
          <w:color w:val="000000"/>
          <w:sz w:val="24"/>
          <w:szCs w:val="24"/>
        </w:rPr>
        <w:br/>
      </w:r>
      <w:r>
        <w:rPr>
          <w:b/>
          <w:bCs/>
          <w:i/>
          <w:iCs/>
          <w:color w:val="000000"/>
          <w:sz w:val="24"/>
          <w:szCs w:val="24"/>
        </w:rPr>
        <w:t>Phase 2:</w:t>
      </w:r>
      <w:r>
        <w:rPr>
          <w:color w:val="000000"/>
          <w:sz w:val="24"/>
          <w:szCs w:val="24"/>
        </w:rPr>
        <w:t xml:space="preserve"> Targeting Tier-2 OEMs based in Southeast Asia to avoid direct competition, while leveraging wafer sales, which are expected to reach $122.1 billion, indicating strong momentum for Exide (ISI, 2026). </w:t>
      </w:r>
    </w:p>
    <w:p w14:paraId="45ABB6D3" w14:textId="77777777" w:rsidR="00AE2EBD" w:rsidRDefault="00000000">
      <w:pPr>
        <w:pBdr>
          <w:top w:val="nil"/>
          <w:left w:val="nil"/>
          <w:bottom w:val="nil"/>
          <w:right w:val="nil"/>
          <w:between w:val="nil"/>
        </w:pBdr>
        <w:spacing w:line="360" w:lineRule="auto"/>
        <w:jc w:val="center"/>
        <w:rPr>
          <w:color w:val="000000"/>
          <w:sz w:val="24"/>
          <w:szCs w:val="24"/>
        </w:rPr>
      </w:pPr>
      <w:r>
        <w:rPr>
          <w:noProof/>
          <w:color w:val="000000"/>
          <w:sz w:val="24"/>
          <w:szCs w:val="24"/>
        </w:rPr>
        <w:lastRenderedPageBreak/>
        <w:drawing>
          <wp:inline distT="0" distB="0" distL="0" distR="0" wp14:anchorId="11F9A625" wp14:editId="31679E87">
            <wp:extent cx="5731200" cy="1904999"/>
            <wp:effectExtent l="12700" t="12700" r="12700" b="12700"/>
            <wp:docPr id="1030"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1" cstate="print"/>
                    <a:srcRect/>
                    <a:stretch/>
                  </pic:blipFill>
                  <pic:spPr>
                    <a:xfrm>
                      <a:off x="0" y="0"/>
                      <a:ext cx="5731200" cy="1904999"/>
                    </a:xfrm>
                    <a:prstGeom prst="rect">
                      <a:avLst/>
                    </a:prstGeom>
                    <a:ln w="12700" cap="flat" cmpd="sng">
                      <a:solidFill>
                        <a:srgbClr val="000000"/>
                      </a:solidFill>
                      <a:prstDash val="solid"/>
                      <a:round/>
                      <a:headEnd/>
                      <a:tailEnd/>
                    </a:ln>
                  </pic:spPr>
                </pic:pic>
              </a:graphicData>
            </a:graphic>
          </wp:inline>
        </w:drawing>
      </w:r>
    </w:p>
    <w:p w14:paraId="67919178" w14:textId="77777777" w:rsidR="00AE2EBD" w:rsidRDefault="00000000">
      <w:pPr>
        <w:pBdr>
          <w:top w:val="nil"/>
          <w:left w:val="nil"/>
          <w:bottom w:val="nil"/>
          <w:right w:val="nil"/>
          <w:between w:val="nil"/>
        </w:pBdr>
        <w:spacing w:line="360" w:lineRule="auto"/>
        <w:jc w:val="center"/>
        <w:rPr>
          <w:b/>
          <w:bCs/>
          <w:color w:val="000000"/>
          <w:sz w:val="24"/>
          <w:szCs w:val="24"/>
        </w:rPr>
      </w:pPr>
      <w:r>
        <w:rPr>
          <w:b/>
          <w:bCs/>
          <w:color w:val="000000"/>
          <w:sz w:val="24"/>
          <w:szCs w:val="24"/>
        </w:rPr>
        <w:t>Figure 4: Semiconductor manufacturing equipment sales growth</w:t>
      </w:r>
    </w:p>
    <w:p w14:paraId="56869A1C" w14:textId="77777777" w:rsidR="00AE2EBD" w:rsidRDefault="00000000">
      <w:pPr>
        <w:pBdr>
          <w:top w:val="nil"/>
          <w:left w:val="nil"/>
          <w:bottom w:val="nil"/>
          <w:right w:val="nil"/>
          <w:between w:val="nil"/>
        </w:pBdr>
        <w:spacing w:line="360" w:lineRule="auto"/>
        <w:jc w:val="center"/>
        <w:rPr>
          <w:color w:val="000000"/>
          <w:sz w:val="24"/>
          <w:szCs w:val="24"/>
        </w:rPr>
      </w:pPr>
      <w:r>
        <w:rPr>
          <w:color w:val="000000"/>
          <w:sz w:val="24"/>
          <w:szCs w:val="24"/>
        </w:rPr>
        <w:t>(Source: ISI, 2026)</w:t>
      </w:r>
    </w:p>
    <w:p w14:paraId="04D30522" w14:textId="77777777" w:rsidR="00AE2EBD" w:rsidRDefault="00000000">
      <w:pPr>
        <w:pBdr>
          <w:top w:val="nil"/>
          <w:left w:val="nil"/>
          <w:bottom w:val="nil"/>
          <w:right w:val="nil"/>
          <w:between w:val="nil"/>
        </w:pBdr>
        <w:spacing w:line="360" w:lineRule="auto"/>
        <w:rPr>
          <w:color w:val="000000"/>
          <w:sz w:val="24"/>
          <w:szCs w:val="24"/>
        </w:rPr>
      </w:pPr>
      <w:r>
        <w:rPr>
          <w:b/>
          <w:bCs/>
          <w:i/>
          <w:iCs/>
          <w:color w:val="000000"/>
          <w:sz w:val="24"/>
          <w:szCs w:val="24"/>
        </w:rPr>
        <w:t xml:space="preserve">Phase 3: </w:t>
      </w:r>
      <w:r>
        <w:rPr>
          <w:color w:val="000000"/>
          <w:sz w:val="24"/>
          <w:szCs w:val="24"/>
        </w:rPr>
        <w:t xml:space="preserve">Targeting premium EV and industrial automation firms leveraging Exide’s pre-existing brand value in the automotive battery sector. </w:t>
      </w:r>
    </w:p>
    <w:p w14:paraId="2E789E7A" w14:textId="77777777" w:rsidR="00AE2EBD" w:rsidRDefault="00000000">
      <w:pPr>
        <w:pStyle w:val="Heading2"/>
      </w:pPr>
      <w:bookmarkStart w:id="5" w:name="_Toc237277158"/>
      <w:r>
        <w:t>2.3 Differentiation</w:t>
      </w:r>
      <w:bookmarkEnd w:id="5"/>
    </w:p>
    <w:p w14:paraId="64647FD7" w14:textId="77777777" w:rsidR="00AE2EBD" w:rsidRDefault="00000000">
      <w:pPr>
        <w:pBdr>
          <w:top w:val="nil"/>
          <w:left w:val="nil"/>
          <w:bottom w:val="nil"/>
          <w:right w:val="nil"/>
          <w:between w:val="nil"/>
        </w:pBdr>
        <w:spacing w:line="360" w:lineRule="auto"/>
        <w:rPr>
          <w:color w:val="000000"/>
          <w:sz w:val="24"/>
          <w:szCs w:val="24"/>
        </w:rPr>
      </w:pPr>
      <w:r>
        <w:rPr>
          <w:b/>
          <w:bCs/>
          <w:i/>
          <w:iCs/>
          <w:color w:val="000000"/>
          <w:sz w:val="24"/>
          <w:szCs w:val="24"/>
        </w:rPr>
        <w:t>Phase 1:</w:t>
      </w:r>
      <w:r>
        <w:rPr>
          <w:color w:val="000000"/>
          <w:sz w:val="24"/>
          <w:szCs w:val="24"/>
        </w:rPr>
        <w:t xml:space="preserve"> Differentiating customer value </w:t>
      </w:r>
      <w:proofErr w:type="gramStart"/>
      <w:r>
        <w:rPr>
          <w:color w:val="000000"/>
          <w:sz w:val="24"/>
          <w:szCs w:val="24"/>
        </w:rPr>
        <w:t>on the basis of</w:t>
      </w:r>
      <w:proofErr w:type="gramEnd"/>
      <w:r>
        <w:rPr>
          <w:color w:val="000000"/>
          <w:sz w:val="24"/>
          <w:szCs w:val="24"/>
        </w:rPr>
        <w:t xml:space="preserve"> cost-effectiveness and offering supply chain resilience</w:t>
      </w:r>
    </w:p>
    <w:p w14:paraId="7E894CEB" w14:textId="77777777" w:rsidR="00AE2EBD" w:rsidRDefault="00000000">
      <w:pPr>
        <w:pBdr>
          <w:top w:val="nil"/>
          <w:left w:val="nil"/>
          <w:bottom w:val="nil"/>
          <w:right w:val="nil"/>
          <w:between w:val="nil"/>
        </w:pBdr>
        <w:spacing w:line="360" w:lineRule="auto"/>
        <w:rPr>
          <w:color w:val="000000"/>
          <w:sz w:val="24"/>
          <w:szCs w:val="24"/>
        </w:rPr>
      </w:pPr>
      <w:r>
        <w:rPr>
          <w:b/>
          <w:bCs/>
          <w:i/>
          <w:iCs/>
          <w:color w:val="000000"/>
          <w:sz w:val="24"/>
          <w:szCs w:val="24"/>
        </w:rPr>
        <w:t xml:space="preserve">Phase 2: </w:t>
      </w:r>
      <w:r>
        <w:rPr>
          <w:color w:val="000000"/>
          <w:sz w:val="24"/>
          <w:szCs w:val="24"/>
        </w:rPr>
        <w:t>Customer-centric and agile approach with JIT integration capacity.</w:t>
      </w:r>
    </w:p>
    <w:p w14:paraId="7458D033" w14:textId="77777777" w:rsidR="00AE2EBD" w:rsidRDefault="00000000">
      <w:pPr>
        <w:pBdr>
          <w:top w:val="nil"/>
          <w:left w:val="nil"/>
          <w:bottom w:val="nil"/>
          <w:right w:val="nil"/>
          <w:between w:val="nil"/>
        </w:pBdr>
        <w:spacing w:line="360" w:lineRule="auto"/>
        <w:rPr>
          <w:color w:val="000000"/>
          <w:sz w:val="24"/>
          <w:szCs w:val="24"/>
        </w:rPr>
      </w:pPr>
      <w:r>
        <w:rPr>
          <w:b/>
          <w:bCs/>
          <w:i/>
          <w:iCs/>
          <w:color w:val="000000"/>
          <w:sz w:val="24"/>
          <w:szCs w:val="24"/>
        </w:rPr>
        <w:t>Phase 3:</w:t>
      </w:r>
      <w:r>
        <w:rPr>
          <w:color w:val="000000"/>
          <w:sz w:val="24"/>
          <w:szCs w:val="24"/>
        </w:rPr>
        <w:t xml:space="preserve"> Zero-defect, high-quality products, standing out </w:t>
      </w:r>
      <w:proofErr w:type="gramStart"/>
      <w:r>
        <w:rPr>
          <w:color w:val="000000"/>
          <w:sz w:val="24"/>
          <w:szCs w:val="24"/>
        </w:rPr>
        <w:t>on the basis of</w:t>
      </w:r>
      <w:proofErr w:type="gramEnd"/>
      <w:r>
        <w:rPr>
          <w:color w:val="000000"/>
          <w:sz w:val="24"/>
          <w:szCs w:val="24"/>
        </w:rPr>
        <w:t xml:space="preserve"> carbon-neutral certifications, 100% compliance with EU regulations, and engineering superiority.</w:t>
      </w:r>
    </w:p>
    <w:p w14:paraId="0E38260C" w14:textId="77777777" w:rsidR="00AE2EBD" w:rsidRDefault="00000000">
      <w:pPr>
        <w:pBdr>
          <w:top w:val="nil"/>
          <w:left w:val="nil"/>
          <w:bottom w:val="nil"/>
          <w:right w:val="nil"/>
          <w:between w:val="nil"/>
        </w:pBdr>
        <w:spacing w:line="360" w:lineRule="auto"/>
        <w:jc w:val="center"/>
        <w:rPr>
          <w:color w:val="000000"/>
          <w:sz w:val="24"/>
          <w:szCs w:val="24"/>
        </w:rPr>
      </w:pPr>
      <w:r>
        <w:rPr>
          <w:noProof/>
          <w:color w:val="000000"/>
          <w:sz w:val="24"/>
          <w:szCs w:val="24"/>
        </w:rPr>
        <w:lastRenderedPageBreak/>
        <w:drawing>
          <wp:inline distT="0" distB="0" distL="0" distR="0" wp14:anchorId="6F3966A6" wp14:editId="0823E4B2">
            <wp:extent cx="5731200" cy="3822699"/>
            <wp:effectExtent l="0" t="0" r="0" b="0"/>
            <wp:docPr id="1031"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7.png"/>
                    <pic:cNvPicPr/>
                  </pic:nvPicPr>
                  <pic:blipFill>
                    <a:blip r:embed="rId12" cstate="print"/>
                    <a:srcRect/>
                    <a:stretch/>
                  </pic:blipFill>
                  <pic:spPr>
                    <a:xfrm>
                      <a:off x="0" y="0"/>
                      <a:ext cx="5731200" cy="3822699"/>
                    </a:xfrm>
                    <a:prstGeom prst="rect">
                      <a:avLst/>
                    </a:prstGeom>
                    <a:ln w="9525" cap="flat" cmpd="sng">
                      <a:solidFill>
                        <a:srgbClr val="000000"/>
                      </a:solidFill>
                      <a:prstDash val="solid"/>
                      <a:round/>
                      <a:headEnd/>
                      <a:tailEnd/>
                    </a:ln>
                  </pic:spPr>
                </pic:pic>
              </a:graphicData>
            </a:graphic>
          </wp:inline>
        </w:drawing>
      </w:r>
    </w:p>
    <w:p w14:paraId="1B185508" w14:textId="77777777" w:rsidR="00AE2EBD" w:rsidRDefault="00000000">
      <w:pPr>
        <w:pBdr>
          <w:top w:val="nil"/>
          <w:left w:val="nil"/>
          <w:bottom w:val="nil"/>
          <w:right w:val="nil"/>
          <w:between w:val="nil"/>
        </w:pBdr>
        <w:spacing w:line="360" w:lineRule="auto"/>
        <w:jc w:val="center"/>
        <w:rPr>
          <w:b/>
          <w:bCs/>
          <w:color w:val="000000"/>
          <w:sz w:val="24"/>
          <w:szCs w:val="24"/>
        </w:rPr>
      </w:pPr>
      <w:r>
        <w:rPr>
          <w:b/>
          <w:bCs/>
          <w:color w:val="000000"/>
          <w:sz w:val="24"/>
          <w:szCs w:val="24"/>
        </w:rPr>
        <w:t>Figure 5: Exide’s brand development strategy</w:t>
      </w:r>
    </w:p>
    <w:p w14:paraId="0F82D001" w14:textId="77777777" w:rsidR="00AE2EBD" w:rsidRDefault="00000000">
      <w:pPr>
        <w:pBdr>
          <w:top w:val="nil"/>
          <w:left w:val="nil"/>
          <w:bottom w:val="nil"/>
          <w:right w:val="nil"/>
          <w:between w:val="nil"/>
        </w:pBdr>
        <w:spacing w:line="360" w:lineRule="auto"/>
        <w:jc w:val="center"/>
        <w:rPr>
          <w:color w:val="000000"/>
          <w:sz w:val="24"/>
          <w:szCs w:val="24"/>
        </w:rPr>
      </w:pPr>
      <w:r>
        <w:rPr>
          <w:color w:val="000000"/>
          <w:sz w:val="24"/>
          <w:szCs w:val="24"/>
        </w:rPr>
        <w:t>(Source: Kotler et al., 2020)</w:t>
      </w:r>
    </w:p>
    <w:p w14:paraId="28725D67" w14:textId="77777777" w:rsidR="00AE2EBD" w:rsidRDefault="00000000">
      <w:pPr>
        <w:pStyle w:val="Heading2"/>
      </w:pPr>
      <w:bookmarkStart w:id="6" w:name="_Toc237277159"/>
      <w:r>
        <w:t>2.4 Positioning</w:t>
      </w:r>
      <w:bookmarkEnd w:id="6"/>
    </w:p>
    <w:p w14:paraId="4676043F" w14:textId="77777777" w:rsidR="00AE2EBD" w:rsidRDefault="00000000">
      <w:pPr>
        <w:pBdr>
          <w:top w:val="nil"/>
          <w:left w:val="nil"/>
          <w:bottom w:val="nil"/>
          <w:right w:val="nil"/>
          <w:between w:val="nil"/>
        </w:pBdr>
        <w:spacing w:line="360" w:lineRule="auto"/>
        <w:rPr>
          <w:b/>
          <w:bCs/>
          <w:color w:val="000000"/>
          <w:sz w:val="24"/>
          <w:szCs w:val="24"/>
          <w:u w:val="single"/>
        </w:rPr>
      </w:pPr>
      <w:r>
        <w:rPr>
          <w:b/>
          <w:bCs/>
          <w:color w:val="000000"/>
          <w:sz w:val="24"/>
          <w:szCs w:val="24"/>
          <w:u w:val="single"/>
        </w:rPr>
        <w:t>Step 1: Determine the competition: Established</w:t>
      </w:r>
    </w:p>
    <w:p w14:paraId="388DB7D5" w14:textId="77777777" w:rsidR="00AE2EBD" w:rsidRDefault="00000000">
      <w:pPr>
        <w:pBdr>
          <w:top w:val="nil"/>
          <w:left w:val="nil"/>
          <w:bottom w:val="nil"/>
          <w:right w:val="nil"/>
          <w:between w:val="nil"/>
        </w:pBdr>
        <w:spacing w:line="360" w:lineRule="auto"/>
        <w:rPr>
          <w:color w:val="000000"/>
          <w:sz w:val="24"/>
          <w:szCs w:val="24"/>
        </w:rPr>
      </w:pPr>
      <w:r>
        <w:rPr>
          <w:b/>
          <w:bCs/>
          <w:i/>
          <w:iCs/>
          <w:color w:val="000000"/>
          <w:sz w:val="24"/>
          <w:szCs w:val="24"/>
        </w:rPr>
        <w:t>Phase 1</w:t>
      </w:r>
      <w:r>
        <w:rPr>
          <w:color w:val="000000"/>
          <w:sz w:val="24"/>
          <w:szCs w:val="24"/>
        </w:rPr>
        <w:t>- TSMC, Tata</w:t>
      </w:r>
    </w:p>
    <w:p w14:paraId="2FD24324" w14:textId="77777777" w:rsidR="00AE2EBD" w:rsidRDefault="00000000">
      <w:pPr>
        <w:pBdr>
          <w:top w:val="nil"/>
          <w:left w:val="nil"/>
          <w:bottom w:val="nil"/>
          <w:right w:val="nil"/>
          <w:between w:val="nil"/>
        </w:pBdr>
        <w:spacing w:line="360" w:lineRule="auto"/>
        <w:rPr>
          <w:color w:val="000000"/>
          <w:sz w:val="24"/>
          <w:szCs w:val="24"/>
        </w:rPr>
      </w:pPr>
      <w:r>
        <w:rPr>
          <w:b/>
          <w:bCs/>
          <w:i/>
          <w:iCs/>
          <w:color w:val="000000"/>
          <w:sz w:val="24"/>
          <w:szCs w:val="24"/>
        </w:rPr>
        <w:t>Phase 2</w:t>
      </w:r>
      <w:r>
        <w:rPr>
          <w:color w:val="000000"/>
          <w:sz w:val="24"/>
          <w:szCs w:val="24"/>
        </w:rPr>
        <w:t xml:space="preserve">- Established companies, such as </w:t>
      </w:r>
      <w:proofErr w:type="spellStart"/>
      <w:r>
        <w:rPr>
          <w:color w:val="000000"/>
          <w:sz w:val="24"/>
          <w:szCs w:val="24"/>
        </w:rPr>
        <w:t>Silterra</w:t>
      </w:r>
      <w:proofErr w:type="spellEnd"/>
      <w:r>
        <w:rPr>
          <w:color w:val="000000"/>
          <w:sz w:val="24"/>
          <w:szCs w:val="24"/>
        </w:rPr>
        <w:t xml:space="preserve"> </w:t>
      </w:r>
    </w:p>
    <w:p w14:paraId="306690F9" w14:textId="77777777" w:rsidR="00AE2EBD" w:rsidRDefault="00000000">
      <w:pPr>
        <w:pBdr>
          <w:top w:val="nil"/>
          <w:left w:val="nil"/>
          <w:bottom w:val="nil"/>
          <w:right w:val="nil"/>
          <w:between w:val="nil"/>
        </w:pBdr>
        <w:spacing w:line="360" w:lineRule="auto"/>
        <w:rPr>
          <w:color w:val="000000"/>
          <w:sz w:val="24"/>
          <w:szCs w:val="24"/>
        </w:rPr>
      </w:pPr>
      <w:r>
        <w:rPr>
          <w:b/>
          <w:bCs/>
          <w:i/>
          <w:iCs/>
          <w:color w:val="000000"/>
          <w:sz w:val="24"/>
          <w:szCs w:val="24"/>
        </w:rPr>
        <w:t>Phase 3</w:t>
      </w:r>
      <w:r>
        <w:rPr>
          <w:color w:val="000000"/>
          <w:sz w:val="24"/>
          <w:szCs w:val="24"/>
        </w:rPr>
        <w:t>- Companies with legacy values, such as Infineon, NXP (</w:t>
      </w:r>
      <w:r>
        <w:rPr>
          <w:color w:val="000000"/>
          <w:sz w:val="22"/>
        </w:rPr>
        <w:t>Congruence Market Insights, 2026</w:t>
      </w:r>
      <w:r>
        <w:rPr>
          <w:color w:val="000000"/>
          <w:sz w:val="24"/>
          <w:szCs w:val="24"/>
        </w:rPr>
        <w:t xml:space="preserve">). </w:t>
      </w:r>
    </w:p>
    <w:p w14:paraId="69D47294" w14:textId="77777777" w:rsidR="00AE2EBD" w:rsidRDefault="00000000">
      <w:pPr>
        <w:pBdr>
          <w:top w:val="nil"/>
          <w:left w:val="nil"/>
          <w:bottom w:val="nil"/>
          <w:right w:val="nil"/>
          <w:between w:val="nil"/>
        </w:pBdr>
        <w:spacing w:line="360" w:lineRule="auto"/>
        <w:rPr>
          <w:b/>
          <w:bCs/>
          <w:color w:val="000000"/>
          <w:sz w:val="24"/>
          <w:szCs w:val="24"/>
          <w:u w:val="single"/>
        </w:rPr>
      </w:pPr>
      <w:r>
        <w:rPr>
          <w:b/>
          <w:bCs/>
          <w:color w:val="000000"/>
          <w:sz w:val="24"/>
          <w:szCs w:val="24"/>
          <w:u w:val="single"/>
        </w:rPr>
        <w:t xml:space="preserve">Step 2: Determine Competitive Dimensions/Determine Competitors' Positions/ Determine Customers' Positions </w:t>
      </w:r>
    </w:p>
    <w:p w14:paraId="163C749B" w14:textId="77777777" w:rsidR="00AE2EBD" w:rsidRDefault="00000000">
      <w:pPr>
        <w:pBdr>
          <w:top w:val="nil"/>
          <w:left w:val="nil"/>
          <w:bottom w:val="nil"/>
          <w:right w:val="nil"/>
          <w:between w:val="nil"/>
        </w:pBdr>
        <w:spacing w:line="360" w:lineRule="auto"/>
        <w:rPr>
          <w:color w:val="000000"/>
          <w:sz w:val="24"/>
          <w:szCs w:val="24"/>
        </w:rPr>
      </w:pPr>
      <w:r>
        <w:rPr>
          <w:color w:val="000000"/>
          <w:sz w:val="24"/>
          <w:szCs w:val="24"/>
        </w:rPr>
        <w:t xml:space="preserve">In </w:t>
      </w:r>
      <w:r>
        <w:rPr>
          <w:b/>
          <w:bCs/>
          <w:i/>
          <w:iCs/>
          <w:color w:val="000000"/>
          <w:sz w:val="24"/>
          <w:szCs w:val="24"/>
        </w:rPr>
        <w:t>Phase 1</w:t>
      </w:r>
      <w:r>
        <w:rPr>
          <w:color w:val="000000"/>
          <w:sz w:val="24"/>
          <w:szCs w:val="24"/>
        </w:rPr>
        <w:t xml:space="preserve">, Exide should focus on highlighting its abilities, such as localised manufacturing, supply chain resilience, and ability to leverage PLI subsidies. Competitors are global imports, and the customers are local EV manufacturers, clean energy, and solar energy converters. </w:t>
      </w:r>
    </w:p>
    <w:p w14:paraId="285213CF" w14:textId="77777777" w:rsidR="00AE2EBD" w:rsidRDefault="00000000">
      <w:pPr>
        <w:pBdr>
          <w:top w:val="nil"/>
          <w:left w:val="nil"/>
          <w:bottom w:val="nil"/>
          <w:right w:val="nil"/>
          <w:between w:val="nil"/>
        </w:pBdr>
        <w:spacing w:line="360" w:lineRule="auto"/>
        <w:rPr>
          <w:color w:val="000000"/>
          <w:sz w:val="24"/>
          <w:szCs w:val="24"/>
        </w:rPr>
      </w:pPr>
      <w:r>
        <w:rPr>
          <w:color w:val="000000"/>
          <w:sz w:val="24"/>
          <w:szCs w:val="24"/>
        </w:rPr>
        <w:t xml:space="preserve">In </w:t>
      </w:r>
      <w:r>
        <w:rPr>
          <w:b/>
          <w:bCs/>
          <w:i/>
          <w:iCs/>
          <w:color w:val="000000"/>
          <w:sz w:val="24"/>
          <w:szCs w:val="24"/>
        </w:rPr>
        <w:t>Phase 2</w:t>
      </w:r>
      <w:r>
        <w:rPr>
          <w:color w:val="000000"/>
          <w:sz w:val="24"/>
          <w:szCs w:val="24"/>
        </w:rPr>
        <w:t xml:space="preserve">, Exide should focus on advertising its high-volume JIT integration capabilities. Its clients will be electronics assemblers, and competitors will be already-established semiconductor equipment producers. </w:t>
      </w:r>
    </w:p>
    <w:p w14:paraId="6FCEBA32" w14:textId="77777777" w:rsidR="00AE2EBD" w:rsidRDefault="00000000">
      <w:pPr>
        <w:pBdr>
          <w:top w:val="nil"/>
          <w:left w:val="nil"/>
          <w:bottom w:val="nil"/>
          <w:right w:val="nil"/>
          <w:between w:val="nil"/>
        </w:pBdr>
        <w:spacing w:line="360" w:lineRule="auto"/>
        <w:rPr>
          <w:color w:val="000000"/>
          <w:sz w:val="24"/>
          <w:szCs w:val="24"/>
        </w:rPr>
      </w:pPr>
      <w:r>
        <w:rPr>
          <w:color w:val="000000"/>
          <w:sz w:val="24"/>
          <w:szCs w:val="24"/>
        </w:rPr>
        <w:lastRenderedPageBreak/>
        <w:t xml:space="preserve">In </w:t>
      </w:r>
      <w:r>
        <w:rPr>
          <w:b/>
          <w:bCs/>
          <w:i/>
          <w:iCs/>
          <w:color w:val="000000"/>
          <w:sz w:val="24"/>
          <w:szCs w:val="24"/>
        </w:rPr>
        <w:t>Phase 3</w:t>
      </w:r>
      <w:r>
        <w:rPr>
          <w:color w:val="000000"/>
          <w:sz w:val="24"/>
          <w:szCs w:val="24"/>
        </w:rPr>
        <w:t xml:space="preserve">, Exide should advertise its carbon-neutrality certifications, zero-defect products, and Exide’s clients will be premium automotive OEMs and industrial automation service providers, and competition will be industry leaders, such as NXP or Infineon (NMSC, 2026). </w:t>
      </w:r>
    </w:p>
    <w:p w14:paraId="68CA13BC" w14:textId="77777777" w:rsidR="00AE2EBD" w:rsidRDefault="00000000">
      <w:pPr>
        <w:pBdr>
          <w:top w:val="nil"/>
          <w:left w:val="nil"/>
          <w:bottom w:val="nil"/>
          <w:right w:val="nil"/>
          <w:between w:val="nil"/>
        </w:pBdr>
        <w:spacing w:line="360" w:lineRule="auto"/>
        <w:rPr>
          <w:b/>
          <w:bCs/>
          <w:color w:val="000000"/>
          <w:sz w:val="24"/>
          <w:szCs w:val="24"/>
          <w:u w:val="single"/>
        </w:rPr>
      </w:pPr>
      <w:r>
        <w:rPr>
          <w:b/>
          <w:bCs/>
          <w:color w:val="000000"/>
          <w:sz w:val="24"/>
          <w:szCs w:val="24"/>
          <w:u w:val="single"/>
        </w:rPr>
        <w:t>Step 3: Decide on the Positioning to Adopt</w:t>
      </w:r>
    </w:p>
    <w:p w14:paraId="2B641201" w14:textId="77777777" w:rsidR="00AE2EBD" w:rsidRDefault="00000000">
      <w:pPr>
        <w:pBdr>
          <w:top w:val="nil"/>
          <w:left w:val="nil"/>
          <w:bottom w:val="nil"/>
          <w:right w:val="nil"/>
          <w:between w:val="nil"/>
        </w:pBdr>
        <w:spacing w:line="360" w:lineRule="auto"/>
        <w:rPr>
          <w:color w:val="000000"/>
          <w:sz w:val="24"/>
          <w:szCs w:val="24"/>
        </w:rPr>
      </w:pPr>
      <w:r>
        <w:rPr>
          <w:color w:val="000000"/>
          <w:sz w:val="24"/>
          <w:szCs w:val="24"/>
        </w:rPr>
        <w:t xml:space="preserve">In </w:t>
      </w:r>
      <w:r>
        <w:rPr>
          <w:b/>
          <w:bCs/>
          <w:i/>
          <w:iCs/>
          <w:color w:val="000000"/>
          <w:sz w:val="24"/>
          <w:szCs w:val="24"/>
        </w:rPr>
        <w:t>Phase 1</w:t>
      </w:r>
      <w:r>
        <w:rPr>
          <w:color w:val="000000"/>
          <w:sz w:val="24"/>
          <w:szCs w:val="24"/>
        </w:rPr>
        <w:t xml:space="preserve">, Exide is to be positioned as a fully localised, adaptable, supply-chain-resilient semiconductor chip equipment </w:t>
      </w:r>
      <w:hyperlink r:id="rId13" w:history="1">
        <w:r w:rsidR="00AE2EBD">
          <w:rPr>
            <w:color w:val="000000"/>
            <w:sz w:val="24"/>
            <w:szCs w:val="24"/>
          </w:rPr>
          <w:t>manufacturer</w:t>
        </w:r>
      </w:hyperlink>
      <w:r>
        <w:rPr>
          <w:color w:val="000000"/>
          <w:sz w:val="24"/>
          <w:szCs w:val="24"/>
        </w:rPr>
        <w:t>.</w:t>
      </w:r>
    </w:p>
    <w:p w14:paraId="391369C2" w14:textId="77777777" w:rsidR="00AE2EBD" w:rsidRDefault="00000000">
      <w:pPr>
        <w:pBdr>
          <w:top w:val="nil"/>
          <w:left w:val="nil"/>
          <w:bottom w:val="nil"/>
          <w:right w:val="nil"/>
          <w:between w:val="nil"/>
        </w:pBdr>
        <w:spacing w:line="360" w:lineRule="auto"/>
        <w:rPr>
          <w:color w:val="000000"/>
          <w:sz w:val="24"/>
          <w:szCs w:val="24"/>
        </w:rPr>
      </w:pPr>
      <w:r>
        <w:rPr>
          <w:color w:val="000000"/>
          <w:sz w:val="24"/>
          <w:szCs w:val="24"/>
        </w:rPr>
        <w:t xml:space="preserve">In </w:t>
      </w:r>
      <w:r>
        <w:rPr>
          <w:b/>
          <w:bCs/>
          <w:i/>
          <w:iCs/>
          <w:color w:val="000000"/>
          <w:sz w:val="24"/>
          <w:szCs w:val="24"/>
        </w:rPr>
        <w:t>Phase 2</w:t>
      </w:r>
      <w:r>
        <w:rPr>
          <w:color w:val="000000"/>
          <w:sz w:val="24"/>
          <w:szCs w:val="24"/>
        </w:rPr>
        <w:t xml:space="preserve">, Exide positions itself as an agile, high-volume manufacturer with customer-centric adaptability. </w:t>
      </w:r>
    </w:p>
    <w:p w14:paraId="38CD1690" w14:textId="77777777" w:rsidR="00AE2EBD" w:rsidRDefault="00000000">
      <w:pPr>
        <w:pBdr>
          <w:top w:val="nil"/>
          <w:left w:val="nil"/>
          <w:bottom w:val="nil"/>
          <w:right w:val="nil"/>
          <w:between w:val="nil"/>
        </w:pBdr>
        <w:spacing w:line="360" w:lineRule="auto"/>
        <w:rPr>
          <w:color w:val="000000"/>
          <w:sz w:val="24"/>
          <w:szCs w:val="24"/>
        </w:rPr>
      </w:pPr>
      <w:r>
        <w:rPr>
          <w:color w:val="000000"/>
          <w:sz w:val="24"/>
          <w:szCs w:val="24"/>
        </w:rPr>
        <w:t xml:space="preserve">In </w:t>
      </w:r>
      <w:r>
        <w:rPr>
          <w:b/>
          <w:bCs/>
          <w:i/>
          <w:iCs/>
          <w:color w:val="000000"/>
          <w:sz w:val="24"/>
          <w:szCs w:val="24"/>
        </w:rPr>
        <w:t>Phase 3</w:t>
      </w:r>
      <w:r>
        <w:rPr>
          <w:color w:val="000000"/>
          <w:sz w:val="24"/>
          <w:szCs w:val="24"/>
        </w:rPr>
        <w:t xml:space="preserve">, Exide positions itself as a premium ESG-certified, high-quality, zero-defect semiconductor chip equipment producer to collaborate with heritage EU-based companies. </w:t>
      </w:r>
    </w:p>
    <w:p w14:paraId="2EE7590C" w14:textId="77777777" w:rsidR="00AE2EBD" w:rsidRDefault="00000000">
      <w:pPr>
        <w:pBdr>
          <w:top w:val="nil"/>
          <w:left w:val="nil"/>
          <w:bottom w:val="nil"/>
          <w:right w:val="nil"/>
          <w:between w:val="nil"/>
        </w:pBdr>
        <w:spacing w:line="360" w:lineRule="auto"/>
        <w:rPr>
          <w:b/>
          <w:bCs/>
          <w:color w:val="000000"/>
          <w:sz w:val="24"/>
          <w:szCs w:val="24"/>
        </w:rPr>
      </w:pPr>
      <w:r>
        <w:rPr>
          <w:b/>
          <w:bCs/>
          <w:color w:val="000000"/>
          <w:sz w:val="24"/>
          <w:szCs w:val="24"/>
        </w:rPr>
        <w:t>Step 4: Track the Position</w:t>
      </w:r>
    </w:p>
    <w:p w14:paraId="7C4FE6D1" w14:textId="77777777" w:rsidR="00AE2EBD" w:rsidRDefault="00000000">
      <w:pPr>
        <w:pBdr>
          <w:top w:val="nil"/>
          <w:left w:val="nil"/>
          <w:bottom w:val="nil"/>
          <w:right w:val="nil"/>
          <w:between w:val="nil"/>
        </w:pBdr>
        <w:spacing w:line="360" w:lineRule="auto"/>
        <w:rPr>
          <w:color w:val="000000"/>
          <w:sz w:val="24"/>
          <w:szCs w:val="24"/>
        </w:rPr>
      </w:pPr>
      <w:r>
        <w:rPr>
          <w:color w:val="000000"/>
          <w:sz w:val="24"/>
          <w:szCs w:val="24"/>
        </w:rPr>
        <w:t xml:space="preserve">Establishing different tracking metrics and KPIs, such as “Market Share”, “Revenue Growth”, “Supply Lead Times”, “Contract Acquisition Velocity”, and “Defect Parts Per Million”, to assess brand viability and ensure Exide meets strategic growth phases accordingly. </w:t>
      </w:r>
    </w:p>
    <w:p w14:paraId="2056C861" w14:textId="77777777" w:rsidR="00AE2EBD" w:rsidRDefault="00000000">
      <w:pPr>
        <w:pBdr>
          <w:top w:val="nil"/>
          <w:left w:val="nil"/>
          <w:bottom w:val="nil"/>
          <w:right w:val="nil"/>
          <w:between w:val="nil"/>
        </w:pBdr>
        <w:spacing w:line="360" w:lineRule="auto"/>
        <w:jc w:val="center"/>
        <w:rPr>
          <w:color w:val="000000"/>
          <w:sz w:val="24"/>
          <w:szCs w:val="24"/>
        </w:rPr>
      </w:pPr>
      <w:r>
        <w:rPr>
          <w:noProof/>
          <w:color w:val="000000"/>
          <w:sz w:val="24"/>
          <w:szCs w:val="24"/>
        </w:rPr>
        <w:lastRenderedPageBreak/>
        <w:drawing>
          <wp:inline distT="0" distB="0" distL="0" distR="0" wp14:anchorId="640933D7" wp14:editId="50169B44">
            <wp:extent cx="5731200" cy="6858000"/>
            <wp:effectExtent l="0" t="0" r="0" b="0"/>
            <wp:docPr id="1032"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4" cstate="print"/>
                    <a:srcRect/>
                    <a:stretch/>
                  </pic:blipFill>
                  <pic:spPr>
                    <a:xfrm>
                      <a:off x="0" y="0"/>
                      <a:ext cx="5731200" cy="6858000"/>
                    </a:xfrm>
                    <a:prstGeom prst="rect">
                      <a:avLst/>
                    </a:prstGeom>
                    <a:ln w="9525" cap="flat" cmpd="sng">
                      <a:solidFill>
                        <a:srgbClr val="000000"/>
                      </a:solidFill>
                      <a:prstDash val="solid"/>
                      <a:round/>
                      <a:headEnd/>
                      <a:tailEnd/>
                    </a:ln>
                  </pic:spPr>
                </pic:pic>
              </a:graphicData>
            </a:graphic>
          </wp:inline>
        </w:drawing>
      </w:r>
    </w:p>
    <w:p w14:paraId="3C51ECCF" w14:textId="77777777" w:rsidR="00AE2EBD" w:rsidRDefault="00000000">
      <w:pPr>
        <w:pBdr>
          <w:top w:val="nil"/>
          <w:left w:val="nil"/>
          <w:bottom w:val="nil"/>
          <w:right w:val="nil"/>
          <w:between w:val="nil"/>
        </w:pBdr>
        <w:spacing w:line="360" w:lineRule="auto"/>
        <w:jc w:val="center"/>
        <w:rPr>
          <w:b/>
          <w:bCs/>
          <w:color w:val="000000"/>
          <w:sz w:val="24"/>
          <w:szCs w:val="24"/>
        </w:rPr>
      </w:pPr>
      <w:r>
        <w:rPr>
          <w:b/>
          <w:bCs/>
          <w:color w:val="000000"/>
          <w:sz w:val="24"/>
          <w:szCs w:val="24"/>
        </w:rPr>
        <w:t>Figure 6: Positioning strategy of Exide</w:t>
      </w:r>
    </w:p>
    <w:p w14:paraId="2DF68430" w14:textId="77777777" w:rsidR="00AE2EBD" w:rsidRDefault="00000000">
      <w:pPr>
        <w:pBdr>
          <w:top w:val="nil"/>
          <w:left w:val="nil"/>
          <w:bottom w:val="nil"/>
          <w:right w:val="nil"/>
          <w:between w:val="nil"/>
        </w:pBdr>
        <w:spacing w:line="360" w:lineRule="auto"/>
        <w:jc w:val="center"/>
        <w:rPr>
          <w:color w:val="000000"/>
          <w:sz w:val="24"/>
          <w:szCs w:val="24"/>
        </w:rPr>
      </w:pPr>
      <w:r>
        <w:rPr>
          <w:color w:val="000000"/>
          <w:sz w:val="24"/>
          <w:szCs w:val="24"/>
        </w:rPr>
        <w:t>(Source: Adapted from Week 3, Slide 20)</w:t>
      </w:r>
    </w:p>
    <w:p w14:paraId="6539E7BF" w14:textId="77777777" w:rsidR="00AE2EBD" w:rsidRDefault="00000000">
      <w:pPr>
        <w:pStyle w:val="Heading1"/>
      </w:pPr>
      <w:bookmarkStart w:id="7" w:name="_57un60m8qp01" w:colFirst="0" w:colLast="0"/>
      <w:bookmarkEnd w:id="7"/>
      <w:r>
        <w:br w:type="page"/>
      </w:r>
    </w:p>
    <w:p w14:paraId="797C8112" w14:textId="77777777" w:rsidR="00AE2EBD" w:rsidRDefault="00000000">
      <w:pPr>
        <w:pStyle w:val="Heading1"/>
      </w:pPr>
      <w:bookmarkStart w:id="8" w:name="_Toc237277160"/>
      <w:r>
        <w:lastRenderedPageBreak/>
        <w:t>Element 3: Marketing Mix (7Ps)</w:t>
      </w:r>
      <w:bookmarkEnd w:id="8"/>
    </w:p>
    <w:p w14:paraId="387084F4" w14:textId="77777777" w:rsidR="00AE2EBD" w:rsidRDefault="00000000">
      <w:pPr>
        <w:pStyle w:val="Heading2"/>
      </w:pPr>
      <w:bookmarkStart w:id="9" w:name="_Toc237277161"/>
      <w:r>
        <w:t>3.1. Product Strategy</w:t>
      </w:r>
      <w:bookmarkEnd w:id="9"/>
      <w:r>
        <w:t xml:space="preserve"> </w:t>
      </w:r>
    </w:p>
    <w:p w14:paraId="4FA95064" w14:textId="77777777" w:rsidR="00AE2EBD" w:rsidRDefault="00000000">
      <w:pPr>
        <w:spacing w:before="240" w:line="360" w:lineRule="auto"/>
        <w:rPr>
          <w:sz w:val="24"/>
          <w:szCs w:val="24"/>
        </w:rPr>
      </w:pPr>
      <w:r>
        <w:rPr>
          <w:sz w:val="24"/>
          <w:szCs w:val="24"/>
        </w:rPr>
        <w:t xml:space="preserve">As per Week 4, season 1 module, the "Product Life Cycle (PLC) is the most suitable framework to develop marketing strategies for a new product. Exide Semiconductor Solutions is a sustainable brand that extends to semiconductor silicon wafers. </w:t>
      </w:r>
    </w:p>
    <w:p w14:paraId="2D7DFEAC" w14:textId="77777777" w:rsidR="00AE2EBD" w:rsidRDefault="00000000">
      <w:pPr>
        <w:spacing w:before="240" w:line="360" w:lineRule="auto"/>
        <w:jc w:val="center"/>
        <w:rPr>
          <w:sz w:val="24"/>
          <w:szCs w:val="24"/>
        </w:rPr>
      </w:pPr>
      <w:r>
        <w:rPr>
          <w:noProof/>
          <w:sz w:val="24"/>
          <w:szCs w:val="24"/>
        </w:rPr>
        <w:drawing>
          <wp:inline distT="0" distB="0" distL="0" distR="0" wp14:anchorId="0E4F6995" wp14:editId="17921F7F">
            <wp:extent cx="5731200" cy="3822699"/>
            <wp:effectExtent l="0" t="0" r="0" b="0"/>
            <wp:docPr id="1033" name="image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9.png"/>
                    <pic:cNvPicPr/>
                  </pic:nvPicPr>
                  <pic:blipFill>
                    <a:blip r:embed="rId15" cstate="print"/>
                    <a:srcRect/>
                    <a:stretch/>
                  </pic:blipFill>
                  <pic:spPr>
                    <a:xfrm>
                      <a:off x="0" y="0"/>
                      <a:ext cx="5731200" cy="3822699"/>
                    </a:xfrm>
                    <a:prstGeom prst="rect">
                      <a:avLst/>
                    </a:prstGeom>
                    <a:ln w="9525" cap="flat" cmpd="sng">
                      <a:solidFill>
                        <a:srgbClr val="000000"/>
                      </a:solidFill>
                      <a:prstDash val="solid"/>
                      <a:round/>
                      <a:headEnd/>
                      <a:tailEnd/>
                    </a:ln>
                  </pic:spPr>
                </pic:pic>
              </a:graphicData>
            </a:graphic>
          </wp:inline>
        </w:drawing>
      </w:r>
    </w:p>
    <w:p w14:paraId="559FC701" w14:textId="77777777" w:rsidR="00AE2EBD" w:rsidRDefault="00000000">
      <w:pPr>
        <w:spacing w:before="240" w:line="360" w:lineRule="auto"/>
        <w:jc w:val="center"/>
        <w:rPr>
          <w:b/>
          <w:bCs/>
          <w:sz w:val="24"/>
          <w:szCs w:val="24"/>
        </w:rPr>
      </w:pPr>
      <w:r>
        <w:rPr>
          <w:b/>
          <w:bCs/>
          <w:sz w:val="24"/>
          <w:szCs w:val="24"/>
        </w:rPr>
        <w:t>Figure 7: The overview of Exide’s Product life cycle</w:t>
      </w:r>
    </w:p>
    <w:p w14:paraId="6DA245E1" w14:textId="77777777" w:rsidR="00AE2EBD" w:rsidRDefault="00000000">
      <w:pPr>
        <w:spacing w:before="240" w:line="360" w:lineRule="auto"/>
        <w:jc w:val="center"/>
        <w:rPr>
          <w:sz w:val="24"/>
          <w:szCs w:val="24"/>
        </w:rPr>
      </w:pPr>
      <w:r>
        <w:rPr>
          <w:sz w:val="24"/>
          <w:szCs w:val="24"/>
        </w:rPr>
        <w:t>(Source: Self-developed; Week 4, Session 1)</w:t>
      </w:r>
    </w:p>
    <w:p w14:paraId="055FC4C0" w14:textId="77777777" w:rsidR="00AE2EBD" w:rsidRDefault="00000000">
      <w:pPr>
        <w:pStyle w:val="Heading3"/>
      </w:pPr>
      <w:bookmarkStart w:id="10" w:name="_Toc237277162"/>
      <w:r>
        <w:t>3.1.1 Product Quality</w:t>
      </w:r>
      <w:bookmarkEnd w:id="10"/>
    </w:p>
    <w:p w14:paraId="460B9E8A" w14:textId="77777777" w:rsidR="00AE2EBD" w:rsidRDefault="00000000">
      <w:pPr>
        <w:spacing w:before="240" w:line="360" w:lineRule="auto"/>
        <w:rPr>
          <w:sz w:val="24"/>
          <w:szCs w:val="24"/>
        </w:rPr>
      </w:pPr>
      <w:r>
        <w:rPr>
          <w:sz w:val="24"/>
          <w:szCs w:val="24"/>
        </w:rPr>
        <w:t xml:space="preserve">Exide needs to position the semiconductor wafers as automotive-grade, high-quality products, characterised by low defect rates, excellent energy efficiency, and high thermal stability. The product complies with the international standards of IATF 16949 and ISO 9001. </w:t>
      </w:r>
    </w:p>
    <w:p w14:paraId="46CDF517" w14:textId="77777777" w:rsidR="00AE2EBD" w:rsidRDefault="00000000">
      <w:pPr>
        <w:pStyle w:val="Heading3"/>
      </w:pPr>
      <w:bookmarkStart w:id="11" w:name="_Toc237277163"/>
      <w:r>
        <w:lastRenderedPageBreak/>
        <w:t>3.1.2 Product Design</w:t>
      </w:r>
      <w:bookmarkEnd w:id="11"/>
    </w:p>
    <w:p w14:paraId="66404ED7" w14:textId="77777777" w:rsidR="00AE2EBD" w:rsidRDefault="00000000">
      <w:pPr>
        <w:spacing w:before="240" w:line="360" w:lineRule="auto"/>
        <w:rPr>
          <w:sz w:val="24"/>
          <w:szCs w:val="24"/>
        </w:rPr>
      </w:pPr>
      <w:r>
        <w:rPr>
          <w:sz w:val="24"/>
          <w:szCs w:val="24"/>
        </w:rPr>
        <w:t>As consistency with the data-driven design thinking approach is mentioned in Week 4, Session 1, Exide needs to collaborate with the battery producers to develop customer-centric waters. This approach ensures innovations by developing long-term business relationships.</w:t>
      </w:r>
    </w:p>
    <w:p w14:paraId="4C1D85FE" w14:textId="77777777" w:rsidR="00AE2EBD" w:rsidRDefault="00000000">
      <w:pPr>
        <w:pStyle w:val="Heading3"/>
      </w:pPr>
      <w:bookmarkStart w:id="12" w:name="_Toc237277164"/>
      <w:r>
        <w:t>3.1.3 Product Features</w:t>
      </w:r>
      <w:bookmarkEnd w:id="12"/>
    </w:p>
    <w:p w14:paraId="23AA2CBA" w14:textId="77777777" w:rsidR="00AE2EBD" w:rsidRDefault="00000000">
      <w:pPr>
        <w:spacing w:before="240" w:line="360" w:lineRule="auto"/>
        <w:rPr>
          <w:sz w:val="24"/>
          <w:szCs w:val="24"/>
        </w:rPr>
      </w:pPr>
      <w:r>
        <w:rPr>
          <w:sz w:val="24"/>
          <w:szCs w:val="24"/>
        </w:rPr>
        <w:t>The semiconductor wafers need to use advanced features like high thermal resistance, high processing efficiency, AI compatibility and the BMS integrations (</w:t>
      </w:r>
      <w:r>
        <w:rPr>
          <w:color w:val="222222"/>
          <w:sz w:val="24"/>
          <w:szCs w:val="24"/>
        </w:rPr>
        <w:t>Nandi, 2025</w:t>
      </w:r>
      <w:r>
        <w:rPr>
          <w:sz w:val="24"/>
          <w:szCs w:val="24"/>
        </w:rPr>
        <w:t xml:space="preserve">). These factors support the higher demand for semiconductor components in India's expanding EV and renewable energy sectors. </w:t>
      </w:r>
    </w:p>
    <w:p w14:paraId="5282B209" w14:textId="77777777" w:rsidR="00AE2EBD" w:rsidRDefault="00000000">
      <w:pPr>
        <w:pStyle w:val="Heading3"/>
      </w:pPr>
      <w:bookmarkStart w:id="13" w:name="_Toc237277165"/>
      <w:r>
        <w:t>3.1.4 Packaging</w:t>
      </w:r>
      <w:bookmarkEnd w:id="13"/>
      <w:r>
        <w:t xml:space="preserve"> </w:t>
      </w:r>
    </w:p>
    <w:p w14:paraId="7AF4F4A2" w14:textId="77777777" w:rsidR="00AE2EBD" w:rsidRDefault="00000000">
      <w:pPr>
        <w:spacing w:before="240" w:line="360" w:lineRule="auto"/>
        <w:rPr>
          <w:sz w:val="24"/>
          <w:szCs w:val="24"/>
        </w:rPr>
      </w:pPr>
      <w:r>
        <w:rPr>
          <w:sz w:val="24"/>
          <w:szCs w:val="24"/>
        </w:rPr>
        <w:t xml:space="preserve">Exide need to adopt anti-static, moisture-resistant, recyclable packaging with QR code access. </w:t>
      </w:r>
    </w:p>
    <w:p w14:paraId="2259E43D" w14:textId="77777777" w:rsidR="00AE2EBD" w:rsidRDefault="00000000">
      <w:pPr>
        <w:pStyle w:val="Heading2"/>
      </w:pPr>
      <w:bookmarkStart w:id="14" w:name="_Toc237277166"/>
      <w:r>
        <w:t>3.2. Price Strategy</w:t>
      </w:r>
      <w:bookmarkEnd w:id="14"/>
      <w:r>
        <w:t xml:space="preserve"> </w:t>
      </w:r>
    </w:p>
    <w:p w14:paraId="6D95B586" w14:textId="77777777" w:rsidR="00AE2EBD" w:rsidRDefault="00000000">
      <w:pPr>
        <w:pStyle w:val="Heading3"/>
      </w:pPr>
      <w:bookmarkStart w:id="15" w:name="_Toc237277167"/>
      <w:r>
        <w:t>3.2.1 General Pricing Strategies</w:t>
      </w:r>
      <w:bookmarkEnd w:id="15"/>
    </w:p>
    <w:p w14:paraId="2361CCD1" w14:textId="77777777" w:rsidR="00AE2EBD" w:rsidRDefault="00000000">
      <w:pPr>
        <w:spacing w:before="240" w:line="360" w:lineRule="auto"/>
        <w:rPr>
          <w:sz w:val="24"/>
          <w:szCs w:val="24"/>
        </w:rPr>
      </w:pPr>
      <w:r>
        <w:rPr>
          <w:sz w:val="24"/>
          <w:szCs w:val="24"/>
        </w:rPr>
        <w:t>Exide need to adopt Value</w:t>
      </w:r>
      <w:r>
        <w:rPr>
          <w:b/>
          <w:bCs/>
          <w:i/>
          <w:iCs/>
          <w:sz w:val="24"/>
          <w:szCs w:val="24"/>
        </w:rPr>
        <w:t>-Based Pricing</w:t>
      </w:r>
      <w:r>
        <w:rPr>
          <w:sz w:val="24"/>
          <w:szCs w:val="24"/>
        </w:rPr>
        <w:t xml:space="preserve">, which reflects on the quality, reliability and efficiency. </w:t>
      </w:r>
      <w:proofErr w:type="spellStart"/>
      <w:r>
        <w:rPr>
          <w:sz w:val="24"/>
          <w:szCs w:val="24"/>
        </w:rPr>
        <w:t>Alsmot</w:t>
      </w:r>
      <w:proofErr w:type="spellEnd"/>
      <w:r>
        <w:rPr>
          <w:sz w:val="24"/>
          <w:szCs w:val="24"/>
        </w:rPr>
        <w:t xml:space="preserve"> 39% of the brands choose a value-based pricing strategy in India (Breadcrumbs, 2023). </w:t>
      </w:r>
    </w:p>
    <w:p w14:paraId="79FB4092" w14:textId="77777777" w:rsidR="00AE2EBD" w:rsidRDefault="00000000">
      <w:pPr>
        <w:spacing w:before="240" w:line="360" w:lineRule="auto"/>
        <w:jc w:val="center"/>
        <w:rPr>
          <w:sz w:val="24"/>
          <w:szCs w:val="24"/>
        </w:rPr>
      </w:pPr>
      <w:r>
        <w:rPr>
          <w:noProof/>
          <w:sz w:val="24"/>
          <w:szCs w:val="24"/>
        </w:rPr>
        <w:lastRenderedPageBreak/>
        <w:drawing>
          <wp:inline distT="0" distB="0" distL="0" distR="0" wp14:anchorId="5BCEFE9C" wp14:editId="2F0A9EB5">
            <wp:extent cx="5662613" cy="4606374"/>
            <wp:effectExtent l="0" t="0" r="0" b="0"/>
            <wp:docPr id="1034" name="image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16" cstate="print"/>
                    <a:srcRect r="35880" b="5290"/>
                    <a:stretch/>
                  </pic:blipFill>
                  <pic:spPr>
                    <a:xfrm>
                      <a:off x="0" y="0"/>
                      <a:ext cx="5662613" cy="4606374"/>
                    </a:xfrm>
                    <a:prstGeom prst="rect">
                      <a:avLst/>
                    </a:prstGeom>
                    <a:ln w="9525" cap="flat" cmpd="sng">
                      <a:solidFill>
                        <a:srgbClr val="000000"/>
                      </a:solidFill>
                      <a:prstDash val="solid"/>
                      <a:round/>
                      <a:headEnd/>
                      <a:tailEnd/>
                    </a:ln>
                  </pic:spPr>
                </pic:pic>
              </a:graphicData>
            </a:graphic>
          </wp:inline>
        </w:drawing>
      </w:r>
    </w:p>
    <w:p w14:paraId="36E9084B" w14:textId="77777777" w:rsidR="00AE2EBD" w:rsidRDefault="00000000">
      <w:pPr>
        <w:spacing w:before="240" w:line="360" w:lineRule="auto"/>
        <w:jc w:val="center"/>
        <w:rPr>
          <w:b/>
          <w:bCs/>
          <w:sz w:val="24"/>
          <w:szCs w:val="24"/>
        </w:rPr>
      </w:pPr>
      <w:r>
        <w:rPr>
          <w:b/>
          <w:bCs/>
          <w:sz w:val="24"/>
          <w:szCs w:val="24"/>
        </w:rPr>
        <w:t>Figure 8: Value-Based Pricing</w:t>
      </w:r>
    </w:p>
    <w:p w14:paraId="24EFE46A" w14:textId="77777777" w:rsidR="00AE2EBD" w:rsidRDefault="00000000">
      <w:pPr>
        <w:spacing w:before="240" w:line="360" w:lineRule="auto"/>
        <w:jc w:val="center"/>
        <w:rPr>
          <w:sz w:val="24"/>
          <w:szCs w:val="24"/>
        </w:rPr>
      </w:pPr>
      <w:r>
        <w:rPr>
          <w:sz w:val="24"/>
          <w:szCs w:val="24"/>
        </w:rPr>
        <w:t>(Source: Breadcrumbs, 2023)</w:t>
      </w:r>
    </w:p>
    <w:p w14:paraId="221A6EB5" w14:textId="77777777" w:rsidR="00AE2EBD" w:rsidRDefault="00000000">
      <w:pPr>
        <w:pStyle w:val="Heading3"/>
      </w:pPr>
      <w:bookmarkStart w:id="16" w:name="_Toc237277168"/>
      <w:r>
        <w:t>3.2.2 New Product Pricing Strategies</w:t>
      </w:r>
      <w:bookmarkEnd w:id="16"/>
      <w:r>
        <w:t xml:space="preserve"> </w:t>
      </w:r>
    </w:p>
    <w:p w14:paraId="6B15D212" w14:textId="77777777" w:rsidR="00AE2EBD" w:rsidRDefault="00000000">
      <w:pPr>
        <w:spacing w:before="240" w:line="360" w:lineRule="auto"/>
        <w:rPr>
          <w:sz w:val="24"/>
          <w:szCs w:val="24"/>
        </w:rPr>
      </w:pPr>
      <w:r>
        <w:rPr>
          <w:sz w:val="24"/>
          <w:szCs w:val="24"/>
        </w:rPr>
        <w:t>As Excide ide is the new entrant in the semiconductor industry, it needs to use</w:t>
      </w:r>
      <w:r>
        <w:rPr>
          <w:b/>
          <w:bCs/>
          <w:i/>
          <w:iCs/>
          <w:sz w:val="24"/>
          <w:szCs w:val="24"/>
        </w:rPr>
        <w:t xml:space="preserve"> market penetration pricing. </w:t>
      </w:r>
      <w:r>
        <w:rPr>
          <w:sz w:val="24"/>
          <w:szCs w:val="24"/>
        </w:rPr>
        <w:t xml:space="preserve">The competitive introductory pricing will help the adoption among the EV manufacturers (Week 4, Session 2). </w:t>
      </w:r>
    </w:p>
    <w:p w14:paraId="3F28DED8" w14:textId="77777777" w:rsidR="00AE2EBD" w:rsidRDefault="00000000">
      <w:pPr>
        <w:pStyle w:val="Heading3"/>
      </w:pPr>
      <w:bookmarkStart w:id="17" w:name="_Toc237277169"/>
      <w:r>
        <w:t>3.2.3 Segmented Pricing</w:t>
      </w:r>
      <w:bookmarkEnd w:id="17"/>
    </w:p>
    <w:p w14:paraId="1DF9EA4C" w14:textId="77777777" w:rsidR="00AE2EBD" w:rsidRDefault="00000000">
      <w:pPr>
        <w:spacing w:before="240" w:line="360" w:lineRule="auto"/>
        <w:rPr>
          <w:sz w:val="24"/>
          <w:szCs w:val="24"/>
        </w:rPr>
      </w:pPr>
      <w:r>
        <w:rPr>
          <w:sz w:val="24"/>
          <w:szCs w:val="24"/>
        </w:rPr>
        <w:t xml:space="preserve">Exide needs to apply the </w:t>
      </w:r>
      <w:r>
        <w:rPr>
          <w:b/>
          <w:bCs/>
          <w:i/>
          <w:iCs/>
          <w:sz w:val="24"/>
          <w:szCs w:val="24"/>
        </w:rPr>
        <w:t xml:space="preserve">customer segment pricing </w:t>
      </w:r>
      <w:r>
        <w:rPr>
          <w:sz w:val="24"/>
          <w:szCs w:val="24"/>
        </w:rPr>
        <w:t xml:space="preserve">by providing the customised prices based on the purchasing volume process. Large battery manufacturers and the renewable company can get volume discounts. Over 70% of Indian customers prioritise price above all in their purchasing decisions (ZGC, 2025). </w:t>
      </w:r>
    </w:p>
    <w:p w14:paraId="179E39AF" w14:textId="77777777" w:rsidR="00AE2EBD" w:rsidRDefault="00000000">
      <w:pPr>
        <w:spacing w:before="240" w:line="360" w:lineRule="auto"/>
        <w:jc w:val="center"/>
        <w:rPr>
          <w:sz w:val="24"/>
          <w:szCs w:val="24"/>
        </w:rPr>
      </w:pPr>
      <w:r>
        <w:rPr>
          <w:noProof/>
          <w:sz w:val="24"/>
          <w:szCs w:val="24"/>
        </w:rPr>
        <w:lastRenderedPageBreak/>
        <w:drawing>
          <wp:inline distT="0" distB="0" distL="0" distR="0" wp14:anchorId="45775F25" wp14:editId="0F89DCAB">
            <wp:extent cx="5731200" cy="2133600"/>
            <wp:effectExtent l="0" t="0" r="0" b="0"/>
            <wp:docPr id="1035" name="image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12.png"/>
                    <pic:cNvPicPr/>
                  </pic:nvPicPr>
                  <pic:blipFill>
                    <a:blip r:embed="rId17" cstate="print"/>
                    <a:srcRect/>
                    <a:stretch/>
                  </pic:blipFill>
                  <pic:spPr>
                    <a:xfrm>
                      <a:off x="0" y="0"/>
                      <a:ext cx="5731200" cy="2133600"/>
                    </a:xfrm>
                    <a:prstGeom prst="rect">
                      <a:avLst/>
                    </a:prstGeom>
                    <a:ln w="9525" cap="flat" cmpd="sng">
                      <a:solidFill>
                        <a:srgbClr val="000000"/>
                      </a:solidFill>
                      <a:prstDash val="solid"/>
                      <a:round/>
                      <a:headEnd/>
                      <a:tailEnd/>
                    </a:ln>
                  </pic:spPr>
                </pic:pic>
              </a:graphicData>
            </a:graphic>
          </wp:inline>
        </w:drawing>
      </w:r>
    </w:p>
    <w:p w14:paraId="2C179A69" w14:textId="77777777" w:rsidR="00AE2EBD" w:rsidRDefault="00000000">
      <w:pPr>
        <w:spacing w:before="240" w:line="360" w:lineRule="auto"/>
        <w:jc w:val="center"/>
        <w:rPr>
          <w:b/>
          <w:bCs/>
          <w:sz w:val="24"/>
          <w:szCs w:val="24"/>
        </w:rPr>
      </w:pPr>
      <w:r>
        <w:rPr>
          <w:b/>
          <w:bCs/>
          <w:sz w:val="24"/>
          <w:szCs w:val="24"/>
        </w:rPr>
        <w:t>Figure 9: Cost-Based Pricing vs Value-Based Pricing</w:t>
      </w:r>
    </w:p>
    <w:p w14:paraId="208B6B97" w14:textId="77777777" w:rsidR="00AE2EBD" w:rsidRDefault="00000000">
      <w:pPr>
        <w:spacing w:before="240" w:line="360" w:lineRule="auto"/>
        <w:jc w:val="center"/>
        <w:rPr>
          <w:sz w:val="24"/>
          <w:szCs w:val="24"/>
        </w:rPr>
      </w:pPr>
      <w:r>
        <w:rPr>
          <w:sz w:val="24"/>
          <w:szCs w:val="24"/>
        </w:rPr>
        <w:t>(Source: Kotler et al., 2020; Week 4, Session 2)</w:t>
      </w:r>
    </w:p>
    <w:p w14:paraId="1FAB313C" w14:textId="77777777" w:rsidR="00AE2EBD" w:rsidRDefault="00000000">
      <w:pPr>
        <w:pStyle w:val="Heading3"/>
      </w:pPr>
      <w:bookmarkStart w:id="18" w:name="_Toc237277170"/>
      <w:r>
        <w:t>3.2.3 Promotional Pricing</w:t>
      </w:r>
      <w:bookmarkEnd w:id="18"/>
    </w:p>
    <w:p w14:paraId="058C992D" w14:textId="77777777" w:rsidR="00AE2EBD" w:rsidRDefault="00000000">
      <w:pPr>
        <w:spacing w:before="240" w:line="360" w:lineRule="auto"/>
        <w:rPr>
          <w:sz w:val="24"/>
          <w:szCs w:val="24"/>
        </w:rPr>
      </w:pPr>
      <w:r>
        <w:rPr>
          <w:sz w:val="24"/>
          <w:szCs w:val="24"/>
        </w:rPr>
        <w:t xml:space="preserve">Promotional Pricing is less suitable for Exide’s B2B marketing. </w:t>
      </w:r>
    </w:p>
    <w:p w14:paraId="7DDD06AC" w14:textId="77777777" w:rsidR="00AE2EBD" w:rsidRDefault="00000000">
      <w:pPr>
        <w:pStyle w:val="Heading3"/>
      </w:pPr>
      <w:bookmarkStart w:id="19" w:name="_Toc237277171"/>
      <w:r>
        <w:t>3.3. Place Strategy</w:t>
      </w:r>
      <w:bookmarkEnd w:id="19"/>
      <w:r>
        <w:t xml:space="preserve"> </w:t>
      </w:r>
    </w:p>
    <w:p w14:paraId="2355DE96" w14:textId="77777777" w:rsidR="00AE2EBD" w:rsidRDefault="00000000">
      <w:pPr>
        <w:pStyle w:val="Heading3"/>
      </w:pPr>
      <w:bookmarkStart w:id="20" w:name="_Toc237277172"/>
      <w:r>
        <w:t>3.3.1 Direct Marketing Channels</w:t>
      </w:r>
      <w:bookmarkEnd w:id="20"/>
    </w:p>
    <w:p w14:paraId="3048DBC3" w14:textId="77777777" w:rsidR="00AE2EBD" w:rsidRDefault="00000000">
      <w:pPr>
        <w:spacing w:before="240" w:line="360" w:lineRule="auto"/>
        <w:rPr>
          <w:sz w:val="24"/>
          <w:szCs w:val="24"/>
        </w:rPr>
      </w:pPr>
      <w:r>
        <w:rPr>
          <w:sz w:val="24"/>
          <w:szCs w:val="24"/>
        </w:rPr>
        <w:t xml:space="preserve">Exide should choose Direct Marketing Channels </w:t>
      </w:r>
      <w:proofErr w:type="gramStart"/>
      <w:r>
        <w:rPr>
          <w:sz w:val="24"/>
          <w:szCs w:val="24"/>
        </w:rPr>
        <w:t>over</w:t>
      </w:r>
      <w:proofErr w:type="gramEnd"/>
      <w:r>
        <w:rPr>
          <w:sz w:val="24"/>
          <w:szCs w:val="24"/>
        </w:rPr>
        <w:t xml:space="preserve"> Indirect marketing channels and multi-channel marketing for its business strategy in India. As mentioned in Week 5 (Slide 12), direct marketing helps organisations to build customer relationships by improving communications (Kotler </w:t>
      </w:r>
      <w:r>
        <w:rPr>
          <w:i/>
          <w:iCs/>
          <w:sz w:val="24"/>
          <w:szCs w:val="24"/>
        </w:rPr>
        <w:t xml:space="preserve">et al., </w:t>
      </w:r>
      <w:r>
        <w:rPr>
          <w:sz w:val="24"/>
          <w:szCs w:val="24"/>
        </w:rPr>
        <w:t xml:space="preserve">2020; </w:t>
      </w:r>
      <w:r>
        <w:rPr>
          <w:color w:val="222222"/>
          <w:sz w:val="24"/>
          <w:szCs w:val="24"/>
        </w:rPr>
        <w:t>RK, 2026</w:t>
      </w:r>
      <w:r>
        <w:rPr>
          <w:sz w:val="24"/>
          <w:szCs w:val="24"/>
        </w:rPr>
        <w:t>). Exide need to adopt a direct distribution strategy by supplying semiconductor wafers directly to EV manufacturers. This approach helps customised product solutions and faster sales support. In India, the direct marketing market generated revenue of USD 13.6 billion in 2025 (GVR, 2026).</w:t>
      </w:r>
    </w:p>
    <w:p w14:paraId="76239550" w14:textId="77777777" w:rsidR="00AE2EBD" w:rsidRDefault="00000000">
      <w:pPr>
        <w:spacing w:before="240" w:line="360" w:lineRule="auto"/>
        <w:jc w:val="center"/>
        <w:rPr>
          <w:sz w:val="24"/>
          <w:szCs w:val="24"/>
        </w:rPr>
      </w:pPr>
      <w:r>
        <w:rPr>
          <w:noProof/>
          <w:sz w:val="24"/>
          <w:szCs w:val="24"/>
        </w:rPr>
        <w:lastRenderedPageBreak/>
        <w:drawing>
          <wp:inline distT="0" distB="0" distL="0" distR="0" wp14:anchorId="36E357E0" wp14:editId="4AAEF85A">
            <wp:extent cx="5731200" cy="3225800"/>
            <wp:effectExtent l="0" t="0" r="0" b="0"/>
            <wp:docPr id="1036" name="image1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10.png"/>
                    <pic:cNvPicPr/>
                  </pic:nvPicPr>
                  <pic:blipFill>
                    <a:blip r:embed="rId18" cstate="print"/>
                    <a:srcRect/>
                    <a:stretch/>
                  </pic:blipFill>
                  <pic:spPr>
                    <a:xfrm>
                      <a:off x="0" y="0"/>
                      <a:ext cx="5731200" cy="3225800"/>
                    </a:xfrm>
                    <a:prstGeom prst="rect">
                      <a:avLst/>
                    </a:prstGeom>
                    <a:ln w="9525" cap="flat" cmpd="sng">
                      <a:solidFill>
                        <a:srgbClr val="000000"/>
                      </a:solidFill>
                      <a:prstDash val="solid"/>
                      <a:round/>
                      <a:headEnd/>
                      <a:tailEnd/>
                    </a:ln>
                  </pic:spPr>
                </pic:pic>
              </a:graphicData>
            </a:graphic>
          </wp:inline>
        </w:drawing>
      </w:r>
    </w:p>
    <w:p w14:paraId="4E241739" w14:textId="77777777" w:rsidR="00AE2EBD" w:rsidRDefault="00000000">
      <w:pPr>
        <w:spacing w:before="240" w:line="360" w:lineRule="auto"/>
        <w:jc w:val="center"/>
        <w:rPr>
          <w:b/>
          <w:bCs/>
          <w:sz w:val="24"/>
          <w:szCs w:val="24"/>
        </w:rPr>
      </w:pPr>
      <w:r>
        <w:rPr>
          <w:b/>
          <w:bCs/>
          <w:sz w:val="24"/>
          <w:szCs w:val="24"/>
        </w:rPr>
        <w:t>Figure 10: India Direct Selling Market Size</w:t>
      </w:r>
    </w:p>
    <w:p w14:paraId="599BB49B" w14:textId="77777777" w:rsidR="00AE2EBD" w:rsidRDefault="00000000">
      <w:pPr>
        <w:spacing w:before="240" w:line="360" w:lineRule="auto"/>
        <w:jc w:val="center"/>
        <w:rPr>
          <w:sz w:val="24"/>
          <w:szCs w:val="24"/>
        </w:rPr>
      </w:pPr>
      <w:r>
        <w:rPr>
          <w:sz w:val="24"/>
          <w:szCs w:val="24"/>
        </w:rPr>
        <w:t>(Source: GVR, 2026)</w:t>
      </w:r>
    </w:p>
    <w:p w14:paraId="456C826A" w14:textId="77777777" w:rsidR="00AE2EBD" w:rsidRDefault="00000000">
      <w:pPr>
        <w:pStyle w:val="Heading2"/>
      </w:pPr>
      <w:bookmarkStart w:id="21" w:name="_Toc237277173"/>
      <w:r>
        <w:t>3.4. Promotion Strategy</w:t>
      </w:r>
      <w:bookmarkEnd w:id="21"/>
    </w:p>
    <w:p w14:paraId="6ED3E9C2" w14:textId="77777777" w:rsidR="00AE2EBD" w:rsidRDefault="00000000">
      <w:pPr>
        <w:spacing w:before="240" w:line="360" w:lineRule="auto"/>
        <w:rPr>
          <w:sz w:val="24"/>
          <w:szCs w:val="24"/>
        </w:rPr>
      </w:pPr>
      <w:r>
        <w:rPr>
          <w:sz w:val="24"/>
          <w:szCs w:val="24"/>
        </w:rPr>
        <w:t xml:space="preserve">Among all the promotional strategies, direct marketing is the most suitable promotional strategy for Exide Semiconductor Solutions. As wafers are sold in the business-to-business (B2B) market, the purchasing decision involves long sale cycles and the relationship-building process (Kotler </w:t>
      </w:r>
      <w:r>
        <w:rPr>
          <w:i/>
          <w:iCs/>
          <w:sz w:val="24"/>
          <w:szCs w:val="24"/>
        </w:rPr>
        <w:t>et al.,</w:t>
      </w:r>
      <w:r>
        <w:rPr>
          <w:sz w:val="24"/>
          <w:szCs w:val="24"/>
        </w:rPr>
        <w:t xml:space="preserve"> 2020; Week 5). Rather than being based on mass advertising, Exide needs to communicate directly with battery producers, EV manufacturers and the electronic firms. These offline and personalised interactions help Exide to understand the customer requirements and provide technical solutions. </w:t>
      </w:r>
    </w:p>
    <w:p w14:paraId="52BB9BBB" w14:textId="77777777" w:rsidR="00AE2EBD" w:rsidRDefault="00000000">
      <w:pPr>
        <w:spacing w:before="240" w:line="360" w:lineRule="auto"/>
        <w:jc w:val="center"/>
        <w:rPr>
          <w:sz w:val="24"/>
          <w:szCs w:val="24"/>
        </w:rPr>
      </w:pPr>
      <w:r>
        <w:rPr>
          <w:noProof/>
          <w:sz w:val="24"/>
          <w:szCs w:val="24"/>
        </w:rPr>
        <w:lastRenderedPageBreak/>
        <w:drawing>
          <wp:inline distT="0" distB="0" distL="0" distR="0" wp14:anchorId="357A7594" wp14:editId="35FD8349">
            <wp:extent cx="5731200" cy="3517900"/>
            <wp:effectExtent l="0" t="0" r="0" b="0"/>
            <wp:docPr id="1037" name="image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11.png"/>
                    <pic:cNvPicPr/>
                  </pic:nvPicPr>
                  <pic:blipFill>
                    <a:blip r:embed="rId19" cstate="print"/>
                    <a:srcRect/>
                    <a:stretch/>
                  </pic:blipFill>
                  <pic:spPr>
                    <a:xfrm>
                      <a:off x="0" y="0"/>
                      <a:ext cx="5731200" cy="3517900"/>
                    </a:xfrm>
                    <a:prstGeom prst="rect">
                      <a:avLst/>
                    </a:prstGeom>
                    <a:ln w="9525" cap="flat" cmpd="sng">
                      <a:solidFill>
                        <a:srgbClr val="000000"/>
                      </a:solidFill>
                      <a:prstDash val="solid"/>
                      <a:round/>
                      <a:headEnd/>
                      <a:tailEnd/>
                    </a:ln>
                  </pic:spPr>
                </pic:pic>
              </a:graphicData>
            </a:graphic>
          </wp:inline>
        </w:drawing>
      </w:r>
    </w:p>
    <w:p w14:paraId="02523046" w14:textId="77777777" w:rsidR="00AE2EBD" w:rsidRDefault="00000000">
      <w:pPr>
        <w:spacing w:before="240" w:line="360" w:lineRule="auto"/>
        <w:jc w:val="center"/>
        <w:rPr>
          <w:b/>
          <w:bCs/>
          <w:sz w:val="24"/>
          <w:szCs w:val="24"/>
        </w:rPr>
      </w:pPr>
      <w:r>
        <w:rPr>
          <w:b/>
          <w:bCs/>
          <w:sz w:val="24"/>
          <w:szCs w:val="24"/>
        </w:rPr>
        <w:t>Figure 11: The stages of an IMC campaign</w:t>
      </w:r>
    </w:p>
    <w:p w14:paraId="2612B104" w14:textId="77777777" w:rsidR="00AE2EBD" w:rsidRDefault="00000000">
      <w:pPr>
        <w:spacing w:before="240" w:line="360" w:lineRule="auto"/>
        <w:jc w:val="center"/>
        <w:rPr>
          <w:sz w:val="24"/>
          <w:szCs w:val="24"/>
        </w:rPr>
      </w:pPr>
      <w:r>
        <w:rPr>
          <w:sz w:val="24"/>
          <w:szCs w:val="24"/>
        </w:rPr>
        <w:t xml:space="preserve">(Source: Kotler </w:t>
      </w:r>
      <w:r>
        <w:rPr>
          <w:i/>
          <w:iCs/>
          <w:sz w:val="24"/>
          <w:szCs w:val="24"/>
        </w:rPr>
        <w:t>et al.,</w:t>
      </w:r>
      <w:r>
        <w:rPr>
          <w:sz w:val="24"/>
          <w:szCs w:val="24"/>
        </w:rPr>
        <w:t xml:space="preserve"> 2020; Week 5)</w:t>
      </w:r>
    </w:p>
    <w:p w14:paraId="361DBA27" w14:textId="77777777" w:rsidR="00AE2EBD" w:rsidRDefault="00000000">
      <w:pPr>
        <w:spacing w:before="240" w:line="360" w:lineRule="auto"/>
        <w:rPr>
          <w:sz w:val="24"/>
          <w:szCs w:val="24"/>
        </w:rPr>
      </w:pPr>
      <w:r>
        <w:rPr>
          <w:sz w:val="24"/>
          <w:szCs w:val="24"/>
        </w:rPr>
        <w:t xml:space="preserve">Moreover, the Integrated Marketing Communications (IMC) process of direct marketing helps customers from awareness to conviction and ultimately to purchase. In 2025, the direct selling and direct marketing industry of India reached ₹23,000 crore with 93.2 lakh active direct sellers. (IDSA, 2026). </w:t>
      </w:r>
    </w:p>
    <w:p w14:paraId="2D7B3087" w14:textId="77777777" w:rsidR="00AE2EBD" w:rsidRDefault="00000000">
      <w:pPr>
        <w:spacing w:before="240" w:line="360" w:lineRule="auto"/>
        <w:jc w:val="center"/>
        <w:rPr>
          <w:sz w:val="24"/>
          <w:szCs w:val="24"/>
        </w:rPr>
      </w:pPr>
      <w:r>
        <w:rPr>
          <w:noProof/>
          <w:sz w:val="24"/>
          <w:szCs w:val="24"/>
        </w:rPr>
        <w:drawing>
          <wp:inline distT="0" distB="0" distL="0" distR="0" wp14:anchorId="59A25D29" wp14:editId="324D1559">
            <wp:extent cx="5334000" cy="2133600"/>
            <wp:effectExtent l="19050" t="19050" r="19050" b="19050"/>
            <wp:docPr id="1038" name="image1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13.png"/>
                    <pic:cNvPicPr/>
                  </pic:nvPicPr>
                  <pic:blipFill>
                    <a:blip r:embed="rId20" cstate="print"/>
                    <a:srcRect/>
                    <a:stretch/>
                  </pic:blipFill>
                  <pic:spPr>
                    <a:xfrm>
                      <a:off x="0" y="0"/>
                      <a:ext cx="5334305" cy="2133722"/>
                    </a:xfrm>
                    <a:prstGeom prst="rect">
                      <a:avLst/>
                    </a:prstGeom>
                    <a:ln w="9525" cap="flat" cmpd="sng">
                      <a:solidFill>
                        <a:srgbClr val="000000"/>
                      </a:solidFill>
                      <a:prstDash val="solid"/>
                      <a:round/>
                      <a:headEnd/>
                      <a:tailEnd/>
                    </a:ln>
                  </pic:spPr>
                </pic:pic>
              </a:graphicData>
            </a:graphic>
          </wp:inline>
        </w:drawing>
      </w:r>
    </w:p>
    <w:p w14:paraId="6A017405" w14:textId="77777777" w:rsidR="00AE2EBD" w:rsidRDefault="00000000">
      <w:pPr>
        <w:spacing w:before="240" w:line="360" w:lineRule="auto"/>
        <w:jc w:val="center"/>
        <w:rPr>
          <w:b/>
          <w:bCs/>
          <w:sz w:val="24"/>
          <w:szCs w:val="24"/>
        </w:rPr>
      </w:pPr>
      <w:r>
        <w:rPr>
          <w:b/>
          <w:bCs/>
          <w:sz w:val="24"/>
          <w:szCs w:val="24"/>
        </w:rPr>
        <w:t>Figure 12: India Direct Selling Industry Size FY 2019-20 to FY 2024-2025</w:t>
      </w:r>
    </w:p>
    <w:p w14:paraId="54CCE0DF" w14:textId="77777777" w:rsidR="00AE2EBD" w:rsidRDefault="00000000">
      <w:pPr>
        <w:spacing w:before="240" w:line="360" w:lineRule="auto"/>
        <w:jc w:val="center"/>
        <w:rPr>
          <w:sz w:val="24"/>
          <w:szCs w:val="24"/>
        </w:rPr>
      </w:pPr>
      <w:r>
        <w:rPr>
          <w:sz w:val="24"/>
          <w:szCs w:val="24"/>
        </w:rPr>
        <w:t>(Source: IDSA, 2026)</w:t>
      </w:r>
    </w:p>
    <w:p w14:paraId="52DBAAEB" w14:textId="77777777" w:rsidR="00AE2EBD" w:rsidRDefault="00000000">
      <w:pPr>
        <w:pStyle w:val="Heading2"/>
      </w:pPr>
      <w:bookmarkStart w:id="22" w:name="_Toc237277174"/>
      <w:r>
        <w:lastRenderedPageBreak/>
        <w:t>3.5. People Strategy</w:t>
      </w:r>
      <w:bookmarkEnd w:id="22"/>
      <w:r>
        <w:t xml:space="preserve"> </w:t>
      </w:r>
    </w:p>
    <w:p w14:paraId="5038E664" w14:textId="77777777" w:rsidR="00AE2EBD" w:rsidRDefault="00000000">
      <w:pPr>
        <w:pStyle w:val="Heading3"/>
      </w:pPr>
      <w:bookmarkStart w:id="23" w:name="_Toc237277175"/>
      <w:r>
        <w:t>3.5.1 Staff skills and training</w:t>
      </w:r>
      <w:bookmarkEnd w:id="23"/>
      <w:r>
        <w:t xml:space="preserve"> </w:t>
      </w:r>
    </w:p>
    <w:p w14:paraId="31EB6F2F" w14:textId="77777777" w:rsidR="00AE2EBD" w:rsidRDefault="00000000">
      <w:pPr>
        <w:spacing w:before="240" w:line="360" w:lineRule="auto"/>
        <w:rPr>
          <w:sz w:val="24"/>
          <w:szCs w:val="24"/>
        </w:rPr>
      </w:pPr>
      <w:r>
        <w:rPr>
          <w:sz w:val="24"/>
          <w:szCs w:val="24"/>
        </w:rPr>
        <w:t xml:space="preserve">Exide needs to invest in proper staff training to improve the expertise in semiconductor manufacturing. The technical sales engineers also need to get the training in solution selling. This also support the sustainability to support B2B customers (Week 5; </w:t>
      </w:r>
      <w:r>
        <w:rPr>
          <w:color w:val="222222"/>
          <w:sz w:val="24"/>
          <w:szCs w:val="24"/>
        </w:rPr>
        <w:t>Chinta, 2025</w:t>
      </w:r>
      <w:r>
        <w:rPr>
          <w:sz w:val="24"/>
          <w:szCs w:val="24"/>
        </w:rPr>
        <w:t xml:space="preserve">). This alignment changes the India’s semiconductor talent initiatives within the sector. Here, the Government aims to develop 85,000 skilled semiconductor professionals within 2026 (PIB, 2025). Here, 45,000+ students were developed across 100 institutions under national programmes (PIB, 2025). </w:t>
      </w:r>
    </w:p>
    <w:p w14:paraId="30152449" w14:textId="77777777" w:rsidR="00AE2EBD" w:rsidRDefault="00000000">
      <w:pPr>
        <w:pStyle w:val="Heading3"/>
      </w:pPr>
      <w:bookmarkStart w:id="24" w:name="_Toc237277176"/>
      <w:r>
        <w:t>3.5.2 Customer service tools</w:t>
      </w:r>
      <w:bookmarkEnd w:id="24"/>
      <w:r>
        <w:t xml:space="preserve"> </w:t>
      </w:r>
    </w:p>
    <w:p w14:paraId="361DBF90" w14:textId="77777777" w:rsidR="00AE2EBD" w:rsidRDefault="00000000">
      <w:pPr>
        <w:spacing w:before="240" w:line="360" w:lineRule="auto"/>
        <w:rPr>
          <w:sz w:val="24"/>
          <w:szCs w:val="24"/>
        </w:rPr>
      </w:pPr>
      <w:r>
        <w:rPr>
          <w:sz w:val="24"/>
          <w:szCs w:val="24"/>
        </w:rPr>
        <w:t xml:space="preserve">Exide needs to use the customer-facing teams with Customer Relationship Management (CRM) systems. The Indian customer experience management market generated revenue of USD 690.9 million in 2025 (GVR, 2026). Similarly, as per IESA (2025), workforce development initiatives target engagement with more than 100,000 students. This shows the increasing emphasis of the industry. </w:t>
      </w:r>
    </w:p>
    <w:p w14:paraId="2E4AD640" w14:textId="77777777" w:rsidR="00AE2EBD" w:rsidRDefault="00000000">
      <w:pPr>
        <w:spacing w:before="240" w:line="360" w:lineRule="auto"/>
        <w:jc w:val="center"/>
        <w:rPr>
          <w:sz w:val="24"/>
          <w:szCs w:val="24"/>
        </w:rPr>
      </w:pPr>
      <w:r>
        <w:rPr>
          <w:noProof/>
          <w:sz w:val="24"/>
          <w:szCs w:val="24"/>
        </w:rPr>
        <w:drawing>
          <wp:inline distT="0" distB="0" distL="0" distR="0" wp14:anchorId="6870C03B" wp14:editId="5F6C6AAC">
            <wp:extent cx="5505450" cy="2914650"/>
            <wp:effectExtent l="19050" t="19050" r="19050" b="19050"/>
            <wp:docPr id="1039" name="image1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14.png"/>
                    <pic:cNvPicPr/>
                  </pic:nvPicPr>
                  <pic:blipFill>
                    <a:blip r:embed="rId21" cstate="print"/>
                    <a:srcRect/>
                    <a:stretch/>
                  </pic:blipFill>
                  <pic:spPr>
                    <a:xfrm>
                      <a:off x="0" y="0"/>
                      <a:ext cx="5505764" cy="2914816"/>
                    </a:xfrm>
                    <a:prstGeom prst="rect">
                      <a:avLst/>
                    </a:prstGeom>
                    <a:ln w="9525" cap="flat" cmpd="sng">
                      <a:solidFill>
                        <a:srgbClr val="000000"/>
                      </a:solidFill>
                      <a:prstDash val="solid"/>
                      <a:round/>
                      <a:headEnd/>
                      <a:tailEnd/>
                    </a:ln>
                  </pic:spPr>
                </pic:pic>
              </a:graphicData>
            </a:graphic>
          </wp:inline>
        </w:drawing>
      </w:r>
    </w:p>
    <w:p w14:paraId="080A0E0D" w14:textId="77777777" w:rsidR="00AE2EBD" w:rsidRDefault="00000000">
      <w:pPr>
        <w:spacing w:before="240" w:line="360" w:lineRule="auto"/>
        <w:jc w:val="center"/>
        <w:rPr>
          <w:b/>
          <w:bCs/>
          <w:sz w:val="24"/>
          <w:szCs w:val="24"/>
        </w:rPr>
      </w:pPr>
      <w:r>
        <w:rPr>
          <w:b/>
          <w:bCs/>
          <w:sz w:val="24"/>
          <w:szCs w:val="24"/>
        </w:rPr>
        <w:t>Figure 13: India Customer Experience Management Market</w:t>
      </w:r>
    </w:p>
    <w:p w14:paraId="04C9B010" w14:textId="77777777" w:rsidR="00AE2EBD" w:rsidRDefault="00000000">
      <w:pPr>
        <w:spacing w:before="240" w:line="360" w:lineRule="auto"/>
        <w:jc w:val="center"/>
        <w:rPr>
          <w:sz w:val="24"/>
          <w:szCs w:val="24"/>
        </w:rPr>
      </w:pPr>
      <w:r>
        <w:rPr>
          <w:sz w:val="24"/>
          <w:szCs w:val="24"/>
        </w:rPr>
        <w:t>(Source: GVR, 2026)</w:t>
      </w:r>
    </w:p>
    <w:p w14:paraId="48741726" w14:textId="77777777" w:rsidR="00AE2EBD" w:rsidRDefault="00000000">
      <w:pPr>
        <w:pStyle w:val="Heading2"/>
      </w:pPr>
      <w:bookmarkStart w:id="25" w:name="_Toc237277177"/>
      <w:r>
        <w:lastRenderedPageBreak/>
        <w:t>3.6. Process Strategy</w:t>
      </w:r>
      <w:bookmarkEnd w:id="25"/>
      <w:r>
        <w:t xml:space="preserve"> </w:t>
      </w:r>
    </w:p>
    <w:p w14:paraId="28A8F5A2" w14:textId="77777777" w:rsidR="00AE2EBD" w:rsidRDefault="00000000">
      <w:pPr>
        <w:pStyle w:val="Heading3"/>
      </w:pPr>
      <w:bookmarkStart w:id="26" w:name="_Toc237277178"/>
      <w:r>
        <w:t>3.6.1 Customer Relationship Management (CRM)</w:t>
      </w:r>
      <w:bookmarkEnd w:id="26"/>
      <w:r>
        <w:t xml:space="preserve"> </w:t>
      </w:r>
    </w:p>
    <w:p w14:paraId="74E3FFBF" w14:textId="77777777" w:rsidR="00AE2EBD" w:rsidRDefault="00000000">
      <w:pPr>
        <w:spacing w:before="240" w:line="360" w:lineRule="auto"/>
        <w:rPr>
          <w:sz w:val="24"/>
          <w:szCs w:val="24"/>
        </w:rPr>
      </w:pPr>
      <w:r>
        <w:rPr>
          <w:sz w:val="24"/>
          <w:szCs w:val="24"/>
        </w:rPr>
        <w:t>As mentioned in the Week 5 module, CRM is effective in developing long-term relationships in the B2B semiconductor market (Hooley</w:t>
      </w:r>
      <w:r>
        <w:rPr>
          <w:i/>
          <w:iCs/>
          <w:sz w:val="24"/>
          <w:szCs w:val="24"/>
        </w:rPr>
        <w:t xml:space="preserve"> et al.,</w:t>
      </w:r>
      <w:r>
        <w:rPr>
          <w:sz w:val="24"/>
          <w:szCs w:val="24"/>
        </w:rPr>
        <w:t xml:space="preserve"> 2020). Exide needs to implement the integrated CRM system to manage customer interactions, track orders and provide personalised after-sales service. As suggested by </w:t>
      </w:r>
      <w:r>
        <w:rPr>
          <w:color w:val="222222"/>
          <w:sz w:val="24"/>
          <w:szCs w:val="24"/>
        </w:rPr>
        <w:t xml:space="preserve">Henna </w:t>
      </w:r>
      <w:r>
        <w:rPr>
          <w:i/>
          <w:iCs/>
          <w:color w:val="222222"/>
          <w:sz w:val="24"/>
          <w:szCs w:val="24"/>
        </w:rPr>
        <w:t>et al.</w:t>
      </w:r>
      <w:r>
        <w:rPr>
          <w:color w:val="222222"/>
          <w:sz w:val="24"/>
          <w:szCs w:val="24"/>
        </w:rPr>
        <w:t xml:space="preserve"> (2025</w:t>
      </w:r>
      <w:r>
        <w:rPr>
          <w:sz w:val="24"/>
          <w:szCs w:val="24"/>
        </w:rPr>
        <w:t>), CRM analytics also help to identify customer needs and improve the decision-making process. The CRM market in India reached $2.5 billion to $3.5 billion in 2025 and is projected to reach $5.46 billion in 2026 (The Business Research Company, 2026).</w:t>
      </w:r>
    </w:p>
    <w:p w14:paraId="69D72F8E" w14:textId="77777777" w:rsidR="00AE2EBD" w:rsidRDefault="00000000">
      <w:pPr>
        <w:spacing w:before="240" w:line="360" w:lineRule="auto"/>
        <w:jc w:val="center"/>
        <w:rPr>
          <w:sz w:val="24"/>
          <w:szCs w:val="24"/>
        </w:rPr>
      </w:pPr>
      <w:r>
        <w:rPr>
          <w:noProof/>
          <w:sz w:val="24"/>
          <w:szCs w:val="24"/>
        </w:rPr>
        <w:drawing>
          <wp:inline distT="0" distB="0" distL="0" distR="0" wp14:anchorId="2962B225" wp14:editId="4A59046A">
            <wp:extent cx="5731200" cy="4292600"/>
            <wp:effectExtent l="0" t="0" r="0" b="0"/>
            <wp:docPr id="1040" name="image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15.png"/>
                    <pic:cNvPicPr/>
                  </pic:nvPicPr>
                  <pic:blipFill>
                    <a:blip r:embed="rId22" cstate="print"/>
                    <a:srcRect/>
                    <a:stretch/>
                  </pic:blipFill>
                  <pic:spPr>
                    <a:xfrm>
                      <a:off x="0" y="0"/>
                      <a:ext cx="5731200" cy="4292600"/>
                    </a:xfrm>
                    <a:prstGeom prst="rect">
                      <a:avLst/>
                    </a:prstGeom>
                    <a:ln w="9525" cap="flat" cmpd="sng">
                      <a:solidFill>
                        <a:srgbClr val="000000"/>
                      </a:solidFill>
                      <a:prstDash val="solid"/>
                      <a:round/>
                      <a:headEnd/>
                      <a:tailEnd/>
                    </a:ln>
                  </pic:spPr>
                </pic:pic>
              </a:graphicData>
            </a:graphic>
          </wp:inline>
        </w:drawing>
      </w:r>
    </w:p>
    <w:p w14:paraId="7F484D73" w14:textId="77777777" w:rsidR="00AE2EBD" w:rsidRDefault="00000000">
      <w:pPr>
        <w:spacing w:before="240" w:line="360" w:lineRule="auto"/>
        <w:jc w:val="center"/>
        <w:rPr>
          <w:b/>
          <w:bCs/>
          <w:sz w:val="24"/>
          <w:szCs w:val="24"/>
        </w:rPr>
      </w:pPr>
      <w:r>
        <w:rPr>
          <w:b/>
          <w:bCs/>
          <w:sz w:val="24"/>
          <w:szCs w:val="24"/>
        </w:rPr>
        <w:t>Figure 14: Customer Relationship Management Market Report</w:t>
      </w:r>
    </w:p>
    <w:p w14:paraId="13D02014" w14:textId="77777777" w:rsidR="00AE2EBD" w:rsidRDefault="00000000">
      <w:pPr>
        <w:spacing w:before="240" w:line="360" w:lineRule="auto"/>
        <w:jc w:val="center"/>
        <w:rPr>
          <w:sz w:val="24"/>
          <w:szCs w:val="24"/>
        </w:rPr>
      </w:pPr>
      <w:r>
        <w:rPr>
          <w:sz w:val="24"/>
          <w:szCs w:val="24"/>
        </w:rPr>
        <w:t>(Source: The Business Research Company, 2026)</w:t>
      </w:r>
    </w:p>
    <w:p w14:paraId="326B56F0" w14:textId="77777777" w:rsidR="00AE2EBD" w:rsidRDefault="00000000">
      <w:pPr>
        <w:pStyle w:val="Heading3"/>
      </w:pPr>
      <w:bookmarkStart w:id="27" w:name="_Toc237277179"/>
      <w:r>
        <w:lastRenderedPageBreak/>
        <w:t>3.6.2 Tools and processes that impact service efficiency</w:t>
      </w:r>
      <w:bookmarkEnd w:id="27"/>
      <w:r>
        <w:t xml:space="preserve">  </w:t>
      </w:r>
    </w:p>
    <w:p w14:paraId="5AF30D74" w14:textId="77777777" w:rsidR="00AE2EBD" w:rsidRDefault="00000000">
      <w:pPr>
        <w:spacing w:before="240" w:line="360" w:lineRule="auto"/>
        <w:rPr>
          <w:sz w:val="24"/>
          <w:szCs w:val="24"/>
        </w:rPr>
      </w:pPr>
      <w:r>
        <w:rPr>
          <w:sz w:val="24"/>
          <w:szCs w:val="24"/>
        </w:rPr>
        <w:t xml:space="preserve">This improves service efficiency. Exide needs to integrate the ERP, AI-enabled demand forecasting and the real-time supply chain management. As suggested by </w:t>
      </w:r>
      <w:r>
        <w:rPr>
          <w:color w:val="222222"/>
          <w:sz w:val="24"/>
          <w:szCs w:val="24"/>
        </w:rPr>
        <w:t>Olan</w:t>
      </w:r>
      <w:r>
        <w:rPr>
          <w:sz w:val="24"/>
          <w:szCs w:val="24"/>
        </w:rPr>
        <w:t xml:space="preserve"> </w:t>
      </w:r>
      <w:r>
        <w:rPr>
          <w:i/>
          <w:iCs/>
          <w:sz w:val="24"/>
          <w:szCs w:val="24"/>
        </w:rPr>
        <w:t>et al.</w:t>
      </w:r>
      <w:r>
        <w:rPr>
          <w:sz w:val="24"/>
          <w:szCs w:val="24"/>
        </w:rPr>
        <w:t xml:space="preserve"> (2026), the digital customer platform, order tracking, and technical documentation will reduce the response time. </w:t>
      </w:r>
    </w:p>
    <w:p w14:paraId="3957F3EE" w14:textId="77777777" w:rsidR="00AE2EBD" w:rsidRDefault="00000000">
      <w:pPr>
        <w:pStyle w:val="Heading2"/>
      </w:pPr>
      <w:bookmarkStart w:id="28" w:name="_Toc237277180"/>
      <w:r>
        <w:t>3.7. Physical Evidence</w:t>
      </w:r>
      <w:bookmarkEnd w:id="28"/>
    </w:p>
    <w:p w14:paraId="7E35D4AA" w14:textId="77777777" w:rsidR="00AE2EBD" w:rsidRDefault="00000000">
      <w:pPr>
        <w:spacing w:before="240" w:line="360" w:lineRule="auto"/>
        <w:rPr>
          <w:sz w:val="24"/>
          <w:szCs w:val="24"/>
        </w:rPr>
      </w:pPr>
      <w:r>
        <w:rPr>
          <w:sz w:val="24"/>
          <w:szCs w:val="24"/>
        </w:rPr>
        <w:t xml:space="preserve">Exide should adopt </w:t>
      </w:r>
      <w:r>
        <w:rPr>
          <w:b/>
          <w:bCs/>
          <w:i/>
          <w:iCs/>
          <w:sz w:val="24"/>
          <w:szCs w:val="24"/>
        </w:rPr>
        <w:t>Service encounter experience</w:t>
      </w:r>
      <w:r>
        <w:rPr>
          <w:sz w:val="24"/>
          <w:szCs w:val="24"/>
        </w:rPr>
        <w:t xml:space="preserve"> over Marketing and retail design, Storefront and window displays and Packaging as a signal of quality. In week 5, this shows key account managers, technical consultations, and support for the sales process. This can reduce the perceived risks and develop trust with B2B customers. India's national customer experience index stood at 3.17 out of 5 in 2025 (Persistence Market Research, 2026). The market size is valued at US$1,137.5 million in 2025 to US$3,496.2 million by 2032 (Persistence Market Research, 2026). </w:t>
      </w:r>
    </w:p>
    <w:p w14:paraId="722C6A7A" w14:textId="77777777" w:rsidR="00AE2EBD" w:rsidRDefault="00000000">
      <w:pPr>
        <w:spacing w:before="240" w:line="360" w:lineRule="auto"/>
        <w:jc w:val="center"/>
        <w:rPr>
          <w:sz w:val="24"/>
          <w:szCs w:val="24"/>
        </w:rPr>
      </w:pPr>
      <w:r>
        <w:rPr>
          <w:noProof/>
          <w:sz w:val="24"/>
          <w:szCs w:val="24"/>
        </w:rPr>
        <w:drawing>
          <wp:inline distT="0" distB="0" distL="0" distR="0" wp14:anchorId="540B4194" wp14:editId="28CB2BE9">
            <wp:extent cx="5305425" cy="3333750"/>
            <wp:effectExtent l="19050" t="19050" r="28575" b="19050"/>
            <wp:docPr id="1041" name="image1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16.png"/>
                    <pic:cNvPicPr/>
                  </pic:nvPicPr>
                  <pic:blipFill>
                    <a:blip r:embed="rId23" cstate="print"/>
                    <a:srcRect b="6148"/>
                    <a:stretch/>
                  </pic:blipFill>
                  <pic:spPr>
                    <a:xfrm>
                      <a:off x="0" y="0"/>
                      <a:ext cx="5305778" cy="3333972"/>
                    </a:xfrm>
                    <a:prstGeom prst="rect">
                      <a:avLst/>
                    </a:prstGeom>
                    <a:ln w="9525" cap="flat" cmpd="sng">
                      <a:solidFill>
                        <a:srgbClr val="000000"/>
                      </a:solidFill>
                      <a:prstDash val="solid"/>
                      <a:round/>
                      <a:headEnd/>
                      <a:tailEnd/>
                    </a:ln>
                  </pic:spPr>
                </pic:pic>
              </a:graphicData>
            </a:graphic>
          </wp:inline>
        </w:drawing>
      </w:r>
    </w:p>
    <w:p w14:paraId="2CFDB9BD" w14:textId="77777777" w:rsidR="00AE2EBD" w:rsidRDefault="00000000">
      <w:pPr>
        <w:spacing w:before="240" w:line="360" w:lineRule="auto"/>
        <w:jc w:val="center"/>
        <w:rPr>
          <w:b/>
          <w:bCs/>
          <w:sz w:val="24"/>
          <w:szCs w:val="24"/>
        </w:rPr>
      </w:pPr>
      <w:r>
        <w:rPr>
          <w:b/>
          <w:bCs/>
          <w:sz w:val="24"/>
          <w:szCs w:val="24"/>
        </w:rPr>
        <w:t>Figure 15: India Customer Experience Management Market Size</w:t>
      </w:r>
    </w:p>
    <w:p w14:paraId="1CCB6566" w14:textId="77777777" w:rsidR="00AE2EBD" w:rsidRDefault="00000000">
      <w:pPr>
        <w:spacing w:before="240" w:line="360" w:lineRule="auto"/>
        <w:jc w:val="center"/>
        <w:rPr>
          <w:sz w:val="24"/>
          <w:szCs w:val="24"/>
        </w:rPr>
      </w:pPr>
      <w:r>
        <w:rPr>
          <w:sz w:val="24"/>
          <w:szCs w:val="24"/>
        </w:rPr>
        <w:t>(Source: Persistence Market Research, 2026)</w:t>
      </w:r>
    </w:p>
    <w:p w14:paraId="41FDB672" w14:textId="77777777" w:rsidR="00AE2EBD" w:rsidRDefault="00000000">
      <w:pPr>
        <w:rPr>
          <w:b/>
          <w:bCs/>
          <w:sz w:val="24"/>
          <w:szCs w:val="24"/>
        </w:rPr>
      </w:pPr>
      <w:r>
        <w:br w:type="page"/>
      </w:r>
    </w:p>
    <w:p w14:paraId="3D4D1CB0" w14:textId="77777777" w:rsidR="00AE2EBD" w:rsidRDefault="00000000">
      <w:pPr>
        <w:pStyle w:val="Heading1"/>
      </w:pPr>
      <w:bookmarkStart w:id="29" w:name="_Toc237277181"/>
      <w:r>
        <w:lastRenderedPageBreak/>
        <w:t>Element 4: Reflection</w:t>
      </w:r>
      <w:bookmarkEnd w:id="29"/>
    </w:p>
    <w:p w14:paraId="52526DA5" w14:textId="77777777" w:rsidR="00AE2EBD" w:rsidRDefault="00000000">
      <w:pPr>
        <w:spacing w:before="240" w:line="360" w:lineRule="auto"/>
        <w:rPr>
          <w:sz w:val="24"/>
          <w:szCs w:val="24"/>
        </w:rPr>
      </w:pPr>
      <w:r>
        <w:rPr>
          <w:sz w:val="24"/>
          <w:szCs w:val="24"/>
        </w:rPr>
        <w:t xml:space="preserve">Development of the sustainable brand extensions strategy for Exide Semiconductor Solutions, which helped me apply the theoretical marketing concepts. The project needed me to design a sustainable B2B marketing strategy by integrating Segmentation, Targeting, Differentiation and Positioning (STDP) with the 7Ps Marketing Mix. While doing Element 2, I developed value-driven marketing strategies by identifying the rapidly growing semiconductor industry. </w:t>
      </w:r>
    </w:p>
    <w:p w14:paraId="3F452763" w14:textId="77777777" w:rsidR="00AE2EBD" w:rsidRDefault="00000000">
      <w:pPr>
        <w:spacing w:before="240" w:line="360" w:lineRule="auto"/>
        <w:rPr>
          <w:sz w:val="24"/>
          <w:szCs w:val="24"/>
        </w:rPr>
      </w:pPr>
      <w:r>
        <w:rPr>
          <w:sz w:val="24"/>
          <w:szCs w:val="24"/>
        </w:rPr>
        <w:t>At first, I found it challenging to develop Exide from a battery manufacturer into the semiconductor wafer industry. This needed an understanding of the unfamiliar B2B market and applied the sustainable concept (</w:t>
      </w:r>
      <w:r>
        <w:rPr>
          <w:color w:val="222222"/>
          <w:sz w:val="24"/>
          <w:szCs w:val="24"/>
        </w:rPr>
        <w:t xml:space="preserve">Zhuo </w:t>
      </w:r>
      <w:r>
        <w:rPr>
          <w:i/>
          <w:iCs/>
          <w:color w:val="222222"/>
          <w:sz w:val="24"/>
          <w:szCs w:val="24"/>
        </w:rPr>
        <w:t xml:space="preserve">et al., </w:t>
      </w:r>
      <w:r>
        <w:rPr>
          <w:color w:val="222222"/>
          <w:sz w:val="24"/>
          <w:szCs w:val="24"/>
        </w:rPr>
        <w:t>2025)</w:t>
      </w:r>
      <w:r>
        <w:rPr>
          <w:sz w:val="24"/>
          <w:szCs w:val="24"/>
        </w:rPr>
        <w:t xml:space="preserve">. I was also not sure about the selection of the marketing strategies and the segmentations. However, after studying the materials from week 3, week 4 and week 5 modules, I became more confident in applications of "value-driven marketing, Product Life Cycle (PLC), direct marketing". Along with that, CRM strategies have also been determined in the study. </w:t>
      </w:r>
    </w:p>
    <w:p w14:paraId="5B04CFA3" w14:textId="77777777" w:rsidR="00AE2EBD" w:rsidRDefault="00000000">
      <w:pPr>
        <w:spacing w:before="240" w:line="360" w:lineRule="auto"/>
        <w:rPr>
          <w:sz w:val="24"/>
          <w:szCs w:val="24"/>
        </w:rPr>
      </w:pPr>
      <w:r>
        <w:rPr>
          <w:sz w:val="24"/>
          <w:szCs w:val="24"/>
        </w:rPr>
        <w:t>One of the main aspects of this project was the integration of theory and practice. The STDP framework helped me to justify why Exide needed to adopt a B2B niche marketing strategy rather than mass marketing. The positioning map showed how Exide could differentiate itself with the help of sustainability and the long-term partnership process. However, I found it difficult to identify reliable and up-to-date semiconductor market data. This required extensive research as well as critical evaluations of the multiple sources. This enhances the operational efficiency and develops the long-term partnership process.</w:t>
      </w:r>
    </w:p>
    <w:p w14:paraId="629E95C7" w14:textId="77777777" w:rsidR="00AE2EBD" w:rsidRDefault="00000000">
      <w:pPr>
        <w:spacing w:before="240" w:line="360" w:lineRule="auto"/>
        <w:rPr>
          <w:sz w:val="24"/>
          <w:szCs w:val="24"/>
        </w:rPr>
      </w:pPr>
      <w:r>
        <w:rPr>
          <w:sz w:val="24"/>
          <w:szCs w:val="24"/>
        </w:rPr>
        <w:t xml:space="preserve">This assignment has effectively developed my understanding of strategic marketing within the industrial markets. I recognised that B2B marketing is different from customer marketing because the purchasing decisions are based on the technical performance process. The week 3 STDP framework showed the effectiveness of selecting the proper market segments to develop the marketing strategies (Kotler </w:t>
      </w:r>
      <w:r>
        <w:rPr>
          <w:i/>
          <w:iCs/>
          <w:sz w:val="24"/>
          <w:szCs w:val="24"/>
        </w:rPr>
        <w:t xml:space="preserve">et al., </w:t>
      </w:r>
      <w:r>
        <w:rPr>
          <w:sz w:val="24"/>
          <w:szCs w:val="24"/>
        </w:rPr>
        <w:t>2021). Whereas in week 4, the PLC cycle shows how marketing decisions need to change with the help of proper marketing stages. Moreover, in Week 5, the IMC framework helped to analyse the effectiveness of the direct marketing and relationship-building process for the customers (</w:t>
      </w:r>
      <w:r>
        <w:rPr>
          <w:color w:val="222222"/>
          <w:sz w:val="24"/>
          <w:szCs w:val="24"/>
        </w:rPr>
        <w:t>Murta and Santos, 2025</w:t>
      </w:r>
      <w:r>
        <w:rPr>
          <w:sz w:val="24"/>
          <w:szCs w:val="24"/>
        </w:rPr>
        <w:t xml:space="preserve">). </w:t>
      </w:r>
    </w:p>
    <w:p w14:paraId="78E4CCE7" w14:textId="77777777" w:rsidR="00AE2EBD" w:rsidRDefault="00000000">
      <w:pPr>
        <w:spacing w:before="240" w:line="360" w:lineRule="auto"/>
        <w:rPr>
          <w:sz w:val="24"/>
          <w:szCs w:val="24"/>
        </w:rPr>
      </w:pPr>
      <w:r>
        <w:rPr>
          <w:sz w:val="24"/>
          <w:szCs w:val="24"/>
        </w:rPr>
        <w:lastRenderedPageBreak/>
        <w:t>Overall, this project has enhanced both my academic and professional skills. I developed a stronger analytical and research penetration process. The experiences also enhanced my confidence in evaluating the market opportunities by using evidence-based decision-making. With the help of this, the analytical and strategic planning skills have been developed. The digital customer portals and clear technical documentation show the service quality.</w:t>
      </w:r>
    </w:p>
    <w:p w14:paraId="7C95C368" w14:textId="77777777" w:rsidR="00AE2EBD" w:rsidRDefault="00000000">
      <w:pPr>
        <w:spacing w:before="240" w:line="360" w:lineRule="auto"/>
        <w:rPr>
          <w:sz w:val="24"/>
          <w:szCs w:val="24"/>
        </w:rPr>
      </w:pPr>
      <w:r>
        <w:rPr>
          <w:sz w:val="24"/>
          <w:szCs w:val="24"/>
        </w:rPr>
        <w:t xml:space="preserve">For future projects, I will develop my research skills by using a range of academic journals, industry reports and government publications. This helped more in the comprehensive market intelligence. I also plan to enhance my data visualisations and presentation skills by creating more professional strategic maps. Along with that, I will develop more knowledge of emerging technologies and the sustainability strategies to provide evidence-based marketing recommendations for the academic work. </w:t>
      </w:r>
    </w:p>
    <w:p w14:paraId="187678FA" w14:textId="77777777" w:rsidR="00AE2EBD" w:rsidRDefault="00000000">
      <w:pPr>
        <w:spacing w:before="240" w:line="360" w:lineRule="auto"/>
        <w:rPr>
          <w:sz w:val="24"/>
          <w:szCs w:val="24"/>
        </w:rPr>
      </w:pPr>
      <w:r>
        <w:br w:type="page"/>
      </w:r>
    </w:p>
    <w:p w14:paraId="140BBC9B" w14:textId="77777777" w:rsidR="00AE2EBD" w:rsidRDefault="00000000">
      <w:pPr>
        <w:pStyle w:val="Heading1"/>
      </w:pPr>
      <w:bookmarkStart w:id="30" w:name="_Toc237277182"/>
      <w:r>
        <w:lastRenderedPageBreak/>
        <w:t>References</w:t>
      </w:r>
      <w:bookmarkEnd w:id="30"/>
      <w:r>
        <w:t xml:space="preserve"> </w:t>
      </w:r>
    </w:p>
    <w:p w14:paraId="214F391D" w14:textId="77777777" w:rsidR="00AE2EBD" w:rsidRDefault="00000000">
      <w:pPr>
        <w:spacing w:before="240" w:line="360" w:lineRule="auto"/>
        <w:rPr>
          <w:sz w:val="24"/>
          <w:szCs w:val="24"/>
        </w:rPr>
      </w:pPr>
      <w:r>
        <w:rPr>
          <w:sz w:val="24"/>
          <w:szCs w:val="24"/>
        </w:rPr>
        <w:t xml:space="preserve">Breadcrumbs (2023). </w:t>
      </w:r>
      <w:r>
        <w:rPr>
          <w:i/>
          <w:iCs/>
          <w:sz w:val="24"/>
          <w:szCs w:val="24"/>
        </w:rPr>
        <w:t>Why a Value-Based Pricing Strategy Works Best for SaaS</w:t>
      </w:r>
      <w:r>
        <w:rPr>
          <w:sz w:val="24"/>
          <w:szCs w:val="24"/>
        </w:rPr>
        <w:t xml:space="preserve">. Available at: </w:t>
      </w:r>
      <w:hyperlink r:id="rId24" w:history="1">
        <w:r w:rsidR="00AE2EBD">
          <w:rPr>
            <w:color w:val="0000FF"/>
            <w:sz w:val="24"/>
            <w:szCs w:val="24"/>
            <w:u w:val="single"/>
          </w:rPr>
          <w:t>https://breadcrumbs.io/blog/value-based-pricing-strategy-saas/</w:t>
        </w:r>
      </w:hyperlink>
      <w:r>
        <w:rPr>
          <w:sz w:val="24"/>
          <w:szCs w:val="24"/>
        </w:rPr>
        <w:t xml:space="preserve"> [Accessed on: 06/08/2026]</w:t>
      </w:r>
    </w:p>
    <w:p w14:paraId="774EC6DA" w14:textId="77777777" w:rsidR="00AE2EBD" w:rsidRDefault="00000000">
      <w:pPr>
        <w:spacing w:before="240" w:line="360" w:lineRule="auto"/>
        <w:rPr>
          <w:sz w:val="24"/>
          <w:szCs w:val="24"/>
        </w:rPr>
      </w:pPr>
      <w:bookmarkStart w:id="31" w:name="_v2vrdmcla3sc" w:colFirst="0" w:colLast="0"/>
      <w:bookmarkEnd w:id="31"/>
      <w:r>
        <w:rPr>
          <w:color w:val="222222"/>
          <w:sz w:val="24"/>
          <w:szCs w:val="24"/>
          <w:highlight w:val="white"/>
        </w:rPr>
        <w:t>Chinta, S., (2025). India's Semiconductor Growth: Opportunities, Comparisons, and the Case for Local Manufacturing. </w:t>
      </w:r>
      <w:r>
        <w:rPr>
          <w:i/>
          <w:iCs/>
          <w:color w:val="222222"/>
          <w:sz w:val="24"/>
          <w:szCs w:val="24"/>
          <w:highlight w:val="white"/>
        </w:rPr>
        <w:t>Comparisons, and the Case for Local Manufacturing (January 29, 2025)</w:t>
      </w:r>
      <w:r>
        <w:rPr>
          <w:color w:val="222222"/>
          <w:sz w:val="24"/>
          <w:szCs w:val="24"/>
          <w:highlight w:val="white"/>
        </w:rPr>
        <w:t xml:space="preserve">. </w:t>
      </w:r>
      <w:hyperlink r:id="rId25" w:history="1">
        <w:r w:rsidR="00AE2EBD">
          <w:rPr>
            <w:color w:val="0000FF"/>
            <w:sz w:val="24"/>
            <w:szCs w:val="24"/>
            <w:highlight w:val="white"/>
            <w:u w:val="single"/>
          </w:rPr>
          <w:t>https://papers.ssrn.com/sol3/Delivery.cfm?abstractid=5116567</w:t>
        </w:r>
      </w:hyperlink>
    </w:p>
    <w:p w14:paraId="242F97AD" w14:textId="77777777" w:rsidR="00AE2EBD" w:rsidRDefault="00000000">
      <w:pPr>
        <w:pBdr>
          <w:top w:val="nil"/>
          <w:left w:val="nil"/>
          <w:bottom w:val="nil"/>
          <w:right w:val="nil"/>
          <w:between w:val="nil"/>
        </w:pBdr>
        <w:spacing w:before="280" w:after="280" w:line="360" w:lineRule="auto"/>
        <w:rPr>
          <w:color w:val="000000"/>
          <w:sz w:val="24"/>
          <w:szCs w:val="24"/>
        </w:rPr>
      </w:pPr>
      <w:r>
        <w:rPr>
          <w:color w:val="000000"/>
          <w:sz w:val="24"/>
          <w:szCs w:val="24"/>
        </w:rPr>
        <w:t xml:space="preserve">Companies </w:t>
      </w:r>
      <w:proofErr w:type="spellStart"/>
      <w:r>
        <w:rPr>
          <w:color w:val="000000"/>
          <w:sz w:val="24"/>
          <w:szCs w:val="24"/>
        </w:rPr>
        <w:t>Marketcap</w:t>
      </w:r>
      <w:proofErr w:type="spellEnd"/>
      <w:r>
        <w:rPr>
          <w:color w:val="000000"/>
          <w:sz w:val="24"/>
          <w:szCs w:val="24"/>
        </w:rPr>
        <w:t xml:space="preserve">, (2026). </w:t>
      </w:r>
      <w:r>
        <w:rPr>
          <w:i/>
          <w:iCs/>
          <w:color w:val="000000"/>
          <w:sz w:val="24"/>
          <w:szCs w:val="24"/>
        </w:rPr>
        <w:t>Largest semiconductor companies by market cap</w:t>
      </w:r>
      <w:r>
        <w:rPr>
          <w:color w:val="000000"/>
          <w:sz w:val="24"/>
          <w:szCs w:val="24"/>
        </w:rPr>
        <w:t xml:space="preserve">. [Online]. Available at: </w:t>
      </w:r>
      <w:hyperlink r:id="rId26" w:history="1">
        <w:r w:rsidR="00AE2EBD">
          <w:rPr>
            <w:color w:val="0000FF"/>
            <w:sz w:val="24"/>
            <w:szCs w:val="24"/>
            <w:u w:val="single"/>
          </w:rPr>
          <w:t>https://companiesmarketcap.com/inr/semiconductors/largest-semiconductor-companies-by-market-cap/</w:t>
        </w:r>
      </w:hyperlink>
      <w:r>
        <w:rPr>
          <w:color w:val="000000"/>
          <w:sz w:val="24"/>
          <w:szCs w:val="24"/>
        </w:rPr>
        <w:t xml:space="preserve"> [Accessed on: 03/08/2026].</w:t>
      </w:r>
    </w:p>
    <w:p w14:paraId="50DA92B3" w14:textId="77777777" w:rsidR="00AE2EBD" w:rsidRDefault="00000000">
      <w:pPr>
        <w:pBdr>
          <w:top w:val="nil"/>
          <w:left w:val="nil"/>
          <w:bottom w:val="nil"/>
          <w:right w:val="nil"/>
          <w:between w:val="nil"/>
        </w:pBdr>
        <w:spacing w:before="280" w:after="280" w:line="360" w:lineRule="auto"/>
        <w:rPr>
          <w:color w:val="000000"/>
          <w:sz w:val="24"/>
          <w:szCs w:val="24"/>
        </w:rPr>
      </w:pPr>
      <w:r>
        <w:rPr>
          <w:color w:val="000000"/>
          <w:sz w:val="24"/>
          <w:szCs w:val="24"/>
        </w:rPr>
        <w:t xml:space="preserve">Congruence Market Insights, (2026). </w:t>
      </w:r>
      <w:r>
        <w:rPr>
          <w:i/>
          <w:iCs/>
          <w:color w:val="000000"/>
          <w:sz w:val="24"/>
          <w:szCs w:val="24"/>
        </w:rPr>
        <w:t>Global</w:t>
      </w:r>
      <w:r>
        <w:rPr>
          <w:color w:val="000000"/>
          <w:sz w:val="24"/>
          <w:szCs w:val="24"/>
        </w:rPr>
        <w:t xml:space="preserve"> </w:t>
      </w:r>
      <w:r>
        <w:rPr>
          <w:i/>
          <w:iCs/>
          <w:color w:val="000000"/>
          <w:sz w:val="24"/>
          <w:szCs w:val="24"/>
        </w:rPr>
        <w:t xml:space="preserve">Automotive Semiconductor Marke Report </w:t>
      </w:r>
      <w:proofErr w:type="spellStart"/>
      <w:r>
        <w:rPr>
          <w:i/>
          <w:iCs/>
          <w:color w:val="000000"/>
          <w:sz w:val="24"/>
          <w:szCs w:val="24"/>
        </w:rPr>
        <w:t>Overviewt</w:t>
      </w:r>
      <w:proofErr w:type="spellEnd"/>
      <w:r>
        <w:rPr>
          <w:color w:val="000000"/>
          <w:sz w:val="24"/>
          <w:szCs w:val="24"/>
        </w:rPr>
        <w:t xml:space="preserve">. [Online]. Available at: </w:t>
      </w:r>
      <w:hyperlink r:id="rId27" w:history="1">
        <w:r w:rsidR="00AE2EBD">
          <w:rPr>
            <w:color w:val="0000FF"/>
            <w:sz w:val="24"/>
            <w:szCs w:val="24"/>
            <w:u w:val="single"/>
          </w:rPr>
          <w:t>https://www.congruencemarketinsights.com/report/automotive-semiconductor-market</w:t>
        </w:r>
      </w:hyperlink>
      <w:r>
        <w:rPr>
          <w:color w:val="000000"/>
          <w:sz w:val="24"/>
          <w:szCs w:val="24"/>
        </w:rPr>
        <w:t xml:space="preserve"> [Accessed on: 05/08/2026].</w:t>
      </w:r>
    </w:p>
    <w:p w14:paraId="6C3AC879" w14:textId="77777777" w:rsidR="00AE2EBD" w:rsidRDefault="00000000">
      <w:pPr>
        <w:pBdr>
          <w:top w:val="nil"/>
          <w:left w:val="nil"/>
          <w:bottom w:val="nil"/>
          <w:right w:val="nil"/>
          <w:between w:val="nil"/>
        </w:pBdr>
        <w:spacing w:before="280" w:after="280" w:line="360" w:lineRule="auto"/>
        <w:rPr>
          <w:color w:val="000000"/>
          <w:sz w:val="24"/>
          <w:szCs w:val="24"/>
        </w:rPr>
      </w:pPr>
      <w:r>
        <w:rPr>
          <w:color w:val="000000"/>
          <w:sz w:val="24"/>
          <w:szCs w:val="24"/>
        </w:rPr>
        <w:t xml:space="preserve">ET Energy World, (2026). </w:t>
      </w:r>
      <w:r>
        <w:rPr>
          <w:i/>
          <w:iCs/>
          <w:color w:val="000000"/>
          <w:sz w:val="24"/>
          <w:szCs w:val="24"/>
        </w:rPr>
        <w:t>India among Asia’s fastest-growing green economies, clocks $110 billion revenue in 2025: LSEG report</w:t>
      </w:r>
      <w:r>
        <w:rPr>
          <w:color w:val="000000"/>
          <w:sz w:val="24"/>
          <w:szCs w:val="24"/>
        </w:rPr>
        <w:t xml:space="preserve">. [Online]. Available at: </w:t>
      </w:r>
      <w:hyperlink r:id="rId28" w:history="1">
        <w:r w:rsidR="00AE2EBD">
          <w:rPr>
            <w:color w:val="0000FF"/>
            <w:sz w:val="24"/>
            <w:szCs w:val="24"/>
            <w:u w:val="single"/>
          </w:rPr>
          <w:t>https://energy.economictimes.indiatimes.com/news/renewable/india-among-asias-fastest-growing-green-economies-clocks-110-bn-revenue-in-2025-lseg-report/131996898</w:t>
        </w:r>
      </w:hyperlink>
      <w:r>
        <w:rPr>
          <w:color w:val="000000"/>
          <w:sz w:val="24"/>
          <w:szCs w:val="24"/>
        </w:rPr>
        <w:t xml:space="preserve"> [Accessed on: 04/08/2026].</w:t>
      </w:r>
    </w:p>
    <w:p w14:paraId="2629B5EE" w14:textId="77777777" w:rsidR="00AE2EBD" w:rsidRDefault="00000000">
      <w:pPr>
        <w:pBdr>
          <w:top w:val="nil"/>
          <w:left w:val="nil"/>
          <w:bottom w:val="nil"/>
          <w:right w:val="nil"/>
          <w:between w:val="nil"/>
        </w:pBdr>
        <w:spacing w:before="280" w:after="280" w:line="360" w:lineRule="auto"/>
        <w:rPr>
          <w:color w:val="000000"/>
          <w:sz w:val="24"/>
          <w:szCs w:val="24"/>
        </w:rPr>
      </w:pPr>
      <w:r>
        <w:rPr>
          <w:color w:val="000000"/>
          <w:sz w:val="24"/>
          <w:szCs w:val="24"/>
        </w:rPr>
        <w:t xml:space="preserve">Fortune Business Insights, (2026). </w:t>
      </w:r>
      <w:r>
        <w:rPr>
          <w:i/>
          <w:iCs/>
          <w:color w:val="000000"/>
          <w:sz w:val="24"/>
          <w:szCs w:val="24"/>
        </w:rPr>
        <w:t xml:space="preserve">Semiconductor Market Size, Share &amp; Industry Analysis, By Component (Memory Devices, Logic Devices, Analog IC, MPU, Discrete Power Devices, MCU, Sensors, &amp; Others), By Application (Networking &amp; Communications(Ethernet Controllers, Adapters &amp; Switches, &amp; Routers &amp; Others), Data </w:t>
      </w:r>
      <w:proofErr w:type="spellStart"/>
      <w:r>
        <w:rPr>
          <w:i/>
          <w:iCs/>
          <w:color w:val="000000"/>
          <w:sz w:val="24"/>
          <w:szCs w:val="24"/>
        </w:rPr>
        <w:t>Centers</w:t>
      </w:r>
      <w:proofErr w:type="spellEnd"/>
      <w:r>
        <w:rPr>
          <w:i/>
          <w:iCs/>
          <w:color w:val="000000"/>
          <w:sz w:val="24"/>
          <w:szCs w:val="24"/>
        </w:rPr>
        <w:t>, Industrial (Power Controls &amp; Motor Drives, Intelligent Systems, &amp; Industrial Automation &amp; Others), Consumer Electronics (Home Appliances, Personal Devices, &amp; Other Devices), Automotive (Telematics &amp; Infotainment, Safety Electronics, Chassis, and Others), &amp; Government) &amp; Regional Forecast, 2026-2034</w:t>
      </w:r>
      <w:r>
        <w:rPr>
          <w:color w:val="000000"/>
          <w:sz w:val="24"/>
          <w:szCs w:val="24"/>
        </w:rPr>
        <w:t xml:space="preserve">. [Online]. Available at: </w:t>
      </w:r>
      <w:hyperlink r:id="rId29" w:history="1">
        <w:r w:rsidR="00AE2EBD">
          <w:rPr>
            <w:color w:val="0000FF"/>
            <w:sz w:val="24"/>
            <w:szCs w:val="24"/>
            <w:u w:val="single"/>
          </w:rPr>
          <w:t>https://www.fortunebusinessinsights.com/semiconductor-market-102365</w:t>
        </w:r>
      </w:hyperlink>
      <w:r>
        <w:rPr>
          <w:color w:val="000000"/>
          <w:sz w:val="24"/>
          <w:szCs w:val="24"/>
        </w:rPr>
        <w:t xml:space="preserve"> [Accessed on: 02/08/2026].</w:t>
      </w:r>
    </w:p>
    <w:p w14:paraId="29353B90" w14:textId="77777777" w:rsidR="00AE2EBD" w:rsidRDefault="00000000">
      <w:pPr>
        <w:spacing w:before="240" w:line="360" w:lineRule="auto"/>
        <w:rPr>
          <w:sz w:val="24"/>
          <w:szCs w:val="24"/>
        </w:rPr>
      </w:pPr>
      <w:r>
        <w:rPr>
          <w:sz w:val="24"/>
          <w:szCs w:val="24"/>
        </w:rPr>
        <w:lastRenderedPageBreak/>
        <w:t xml:space="preserve">GVR (2026). </w:t>
      </w:r>
      <w:r>
        <w:rPr>
          <w:i/>
          <w:iCs/>
          <w:sz w:val="24"/>
          <w:szCs w:val="24"/>
        </w:rPr>
        <w:t>India Direct Selling Market Size &amp; Outlook, 2026-2033</w:t>
      </w:r>
      <w:r>
        <w:rPr>
          <w:sz w:val="24"/>
          <w:szCs w:val="24"/>
        </w:rPr>
        <w:t xml:space="preserve">. Available at: </w:t>
      </w:r>
      <w:hyperlink r:id="rId30" w:history="1">
        <w:r w:rsidR="00AE2EBD">
          <w:rPr>
            <w:color w:val="0000FF"/>
            <w:sz w:val="24"/>
            <w:szCs w:val="24"/>
            <w:u w:val="single"/>
          </w:rPr>
          <w:t>https://www.grandviewresearch.com/horizon/outlook/direct-selling-market/india</w:t>
        </w:r>
      </w:hyperlink>
      <w:r>
        <w:rPr>
          <w:sz w:val="24"/>
          <w:szCs w:val="24"/>
        </w:rPr>
        <w:t xml:space="preserve">  [Accessed on: 02/08/2026]</w:t>
      </w:r>
    </w:p>
    <w:p w14:paraId="7A3ABD74" w14:textId="77777777" w:rsidR="00AE2EBD" w:rsidRDefault="00000000">
      <w:pPr>
        <w:spacing w:before="240" w:line="360" w:lineRule="auto"/>
        <w:rPr>
          <w:sz w:val="24"/>
          <w:szCs w:val="24"/>
        </w:rPr>
      </w:pPr>
      <w:r>
        <w:rPr>
          <w:color w:val="222222"/>
          <w:sz w:val="24"/>
          <w:szCs w:val="24"/>
          <w:highlight w:val="white"/>
        </w:rPr>
        <w:t xml:space="preserve">Henna, S., </w:t>
      </w:r>
      <w:proofErr w:type="spellStart"/>
      <w:r>
        <w:rPr>
          <w:color w:val="222222"/>
          <w:sz w:val="24"/>
          <w:szCs w:val="24"/>
          <w:highlight w:val="white"/>
        </w:rPr>
        <w:t>Kalliadan</w:t>
      </w:r>
      <w:proofErr w:type="spellEnd"/>
      <w:r>
        <w:rPr>
          <w:color w:val="222222"/>
          <w:sz w:val="24"/>
          <w:szCs w:val="24"/>
          <w:highlight w:val="white"/>
        </w:rPr>
        <w:t xml:space="preserve">, S.K. and </w:t>
      </w:r>
      <w:proofErr w:type="spellStart"/>
      <w:r>
        <w:rPr>
          <w:color w:val="222222"/>
          <w:sz w:val="24"/>
          <w:szCs w:val="24"/>
          <w:highlight w:val="white"/>
        </w:rPr>
        <w:t>Amjath</w:t>
      </w:r>
      <w:proofErr w:type="spellEnd"/>
      <w:r>
        <w:rPr>
          <w:color w:val="222222"/>
          <w:sz w:val="24"/>
          <w:szCs w:val="24"/>
          <w:highlight w:val="white"/>
        </w:rPr>
        <w:t>, M., (2025). Optimizing B2B customer relationship management and sales forecasting with spectral graph convolutional networks: A quantitative approach. </w:t>
      </w:r>
      <w:r>
        <w:rPr>
          <w:i/>
          <w:iCs/>
          <w:color w:val="222222"/>
          <w:sz w:val="24"/>
          <w:szCs w:val="24"/>
          <w:highlight w:val="white"/>
        </w:rPr>
        <w:t>Quantitative Finance and Economics</w:t>
      </w:r>
      <w:r>
        <w:rPr>
          <w:color w:val="222222"/>
          <w:sz w:val="24"/>
          <w:szCs w:val="24"/>
          <w:highlight w:val="white"/>
        </w:rPr>
        <w:t>, </w:t>
      </w:r>
      <w:r>
        <w:rPr>
          <w:i/>
          <w:iCs/>
          <w:color w:val="222222"/>
          <w:sz w:val="24"/>
          <w:szCs w:val="24"/>
          <w:highlight w:val="white"/>
        </w:rPr>
        <w:t>9</w:t>
      </w:r>
      <w:r>
        <w:rPr>
          <w:color w:val="222222"/>
          <w:sz w:val="24"/>
          <w:szCs w:val="24"/>
          <w:highlight w:val="white"/>
        </w:rPr>
        <w:t xml:space="preserve">(2), p.449. </w:t>
      </w:r>
      <w:hyperlink r:id="rId31" w:history="1">
        <w:r w:rsidR="00AE2EBD">
          <w:rPr>
            <w:color w:val="0000FF"/>
            <w:sz w:val="24"/>
            <w:szCs w:val="24"/>
            <w:highlight w:val="white"/>
            <w:u w:val="single"/>
          </w:rPr>
          <w:t>https://www.aimspress.com/aimspress-data/qfe/2025/2/PDF/QFE-09-02-015.pdf</w:t>
        </w:r>
      </w:hyperlink>
    </w:p>
    <w:p w14:paraId="3A83098C" w14:textId="77777777" w:rsidR="00AE2EBD" w:rsidRDefault="00000000">
      <w:pPr>
        <w:spacing w:before="240" w:line="360" w:lineRule="auto"/>
        <w:rPr>
          <w:sz w:val="24"/>
          <w:szCs w:val="24"/>
        </w:rPr>
      </w:pPr>
      <w:r>
        <w:rPr>
          <w:sz w:val="24"/>
          <w:szCs w:val="24"/>
        </w:rPr>
        <w:t xml:space="preserve">IDSA (2026). </w:t>
      </w:r>
      <w:r>
        <w:rPr>
          <w:i/>
          <w:iCs/>
          <w:sz w:val="24"/>
          <w:szCs w:val="24"/>
        </w:rPr>
        <w:t>IDSA (Indian Direct Selling Association).</w:t>
      </w:r>
      <w:r>
        <w:rPr>
          <w:sz w:val="24"/>
          <w:szCs w:val="24"/>
        </w:rPr>
        <w:t xml:space="preserve"> Available at: chrome-extension://efaidnbmnnnibpcajpcglclefindmkaj/https://idsa.co.in/wp-content/uploads/2026/05/Ipsos_IDSA_India-Direct-Selling-Report_v10.pdf [Accessed on: 03/08/2026]</w:t>
      </w:r>
    </w:p>
    <w:p w14:paraId="501203D2" w14:textId="77777777" w:rsidR="00AE2EBD" w:rsidRDefault="00000000">
      <w:pPr>
        <w:spacing w:before="240" w:line="360" w:lineRule="auto"/>
        <w:rPr>
          <w:sz w:val="24"/>
          <w:szCs w:val="24"/>
        </w:rPr>
      </w:pPr>
      <w:r>
        <w:rPr>
          <w:color w:val="000000"/>
          <w:sz w:val="24"/>
          <w:szCs w:val="24"/>
        </w:rPr>
        <w:t xml:space="preserve">IESA, (2026). </w:t>
      </w:r>
      <w:r>
        <w:rPr>
          <w:i/>
          <w:iCs/>
          <w:sz w:val="24"/>
          <w:szCs w:val="24"/>
        </w:rPr>
        <w:t>IESA and ESSCI Get Together to Roll out IESA Innovation Initiative</w:t>
      </w:r>
      <w:r>
        <w:rPr>
          <w:sz w:val="24"/>
          <w:szCs w:val="24"/>
        </w:rPr>
        <w:t xml:space="preserve">. Available at: </w:t>
      </w:r>
      <w:hyperlink r:id="rId32" w:history="1">
        <w:r w:rsidR="00AE2EBD">
          <w:rPr>
            <w:color w:val="0000FF"/>
            <w:sz w:val="24"/>
            <w:szCs w:val="24"/>
            <w:u w:val="single"/>
          </w:rPr>
          <w:t>https://www.electronicsmedia.info/2017/12/08/iesa-essci-get-together-roll-iesa-innovation-initiative/</w:t>
        </w:r>
      </w:hyperlink>
      <w:r>
        <w:rPr>
          <w:sz w:val="24"/>
          <w:szCs w:val="24"/>
        </w:rPr>
        <w:t xml:space="preserve">  [Accessed on: 01/08/2026]</w:t>
      </w:r>
    </w:p>
    <w:p w14:paraId="5E295F76" w14:textId="77777777" w:rsidR="00AE2EBD" w:rsidRDefault="00000000">
      <w:pPr>
        <w:pBdr>
          <w:top w:val="nil"/>
          <w:left w:val="nil"/>
          <w:bottom w:val="nil"/>
          <w:right w:val="nil"/>
          <w:between w:val="nil"/>
        </w:pBdr>
        <w:spacing w:before="280" w:after="280" w:line="360" w:lineRule="auto"/>
        <w:rPr>
          <w:color w:val="000000"/>
          <w:sz w:val="24"/>
          <w:szCs w:val="24"/>
        </w:rPr>
      </w:pPr>
      <w:r>
        <w:rPr>
          <w:color w:val="000000"/>
          <w:sz w:val="24"/>
          <w:szCs w:val="24"/>
        </w:rPr>
        <w:t xml:space="preserve">ISI, (2026). </w:t>
      </w:r>
      <w:r>
        <w:rPr>
          <w:i/>
          <w:iCs/>
          <w:color w:val="000000"/>
          <w:sz w:val="24"/>
          <w:szCs w:val="24"/>
        </w:rPr>
        <w:t>ASEAN’s Strategic Convergence: Powering Green Mobility and Electronics</w:t>
      </w:r>
      <w:r>
        <w:rPr>
          <w:color w:val="000000"/>
          <w:sz w:val="24"/>
          <w:szCs w:val="24"/>
        </w:rPr>
        <w:t xml:space="preserve">. [Online]. Available at: </w:t>
      </w:r>
      <w:hyperlink r:id="rId33" w:history="1">
        <w:r w:rsidR="00AE2EBD">
          <w:rPr>
            <w:color w:val="0000FF"/>
            <w:sz w:val="24"/>
            <w:szCs w:val="24"/>
            <w:u w:val="single"/>
          </w:rPr>
          <w:t>https://isimarkets.com/press-releases/aseans-strategic-convergence-powering-green-mobility-and-electronics-2/</w:t>
        </w:r>
      </w:hyperlink>
      <w:r>
        <w:rPr>
          <w:color w:val="000000"/>
          <w:sz w:val="24"/>
          <w:szCs w:val="24"/>
        </w:rPr>
        <w:t xml:space="preserve"> [Accessed on: 06/08/2026].</w:t>
      </w:r>
    </w:p>
    <w:p w14:paraId="74401957" w14:textId="77777777" w:rsidR="00AE2EBD" w:rsidRDefault="00000000">
      <w:pPr>
        <w:pBdr>
          <w:top w:val="nil"/>
          <w:left w:val="nil"/>
          <w:bottom w:val="nil"/>
          <w:right w:val="nil"/>
          <w:between w:val="nil"/>
        </w:pBdr>
        <w:spacing w:before="280" w:after="280" w:line="360" w:lineRule="auto"/>
        <w:rPr>
          <w:color w:val="000000"/>
          <w:sz w:val="24"/>
          <w:szCs w:val="24"/>
        </w:rPr>
      </w:pPr>
      <w:proofErr w:type="spellStart"/>
      <w:r>
        <w:rPr>
          <w:color w:val="000000"/>
          <w:sz w:val="24"/>
          <w:szCs w:val="24"/>
        </w:rPr>
        <w:t>Konstari</w:t>
      </w:r>
      <w:proofErr w:type="spellEnd"/>
      <w:r>
        <w:rPr>
          <w:color w:val="000000"/>
          <w:sz w:val="24"/>
          <w:szCs w:val="24"/>
        </w:rPr>
        <w:t xml:space="preserve">, P. and </w:t>
      </w:r>
      <w:proofErr w:type="spellStart"/>
      <w:r>
        <w:rPr>
          <w:color w:val="000000"/>
          <w:sz w:val="24"/>
          <w:szCs w:val="24"/>
        </w:rPr>
        <w:t>Valkokari</w:t>
      </w:r>
      <w:proofErr w:type="spellEnd"/>
      <w:r>
        <w:rPr>
          <w:color w:val="000000"/>
          <w:sz w:val="24"/>
          <w:szCs w:val="24"/>
        </w:rPr>
        <w:t>, K., (2025). Value creation and capture from sustainability-oriented innovations in a shared semiconductor infrastructure. </w:t>
      </w:r>
      <w:r>
        <w:rPr>
          <w:i/>
          <w:iCs/>
          <w:color w:val="000000"/>
          <w:sz w:val="24"/>
          <w:szCs w:val="24"/>
        </w:rPr>
        <w:t>Sustainable Technology and Entrepreneurship</w:t>
      </w:r>
      <w:r>
        <w:rPr>
          <w:color w:val="000000"/>
          <w:sz w:val="24"/>
          <w:szCs w:val="24"/>
        </w:rPr>
        <w:t>, </w:t>
      </w:r>
      <w:r>
        <w:rPr>
          <w:i/>
          <w:iCs/>
          <w:color w:val="000000"/>
          <w:sz w:val="24"/>
          <w:szCs w:val="24"/>
        </w:rPr>
        <w:t>4</w:t>
      </w:r>
      <w:r>
        <w:rPr>
          <w:color w:val="000000"/>
          <w:sz w:val="24"/>
          <w:szCs w:val="24"/>
        </w:rPr>
        <w:t xml:space="preserve">(2), p.100104. </w:t>
      </w:r>
      <w:hyperlink r:id="rId34" w:history="1">
        <w:r w:rsidR="00AE2EBD">
          <w:rPr>
            <w:color w:val="0000FF"/>
            <w:sz w:val="24"/>
            <w:szCs w:val="24"/>
            <w:u w:val="single"/>
          </w:rPr>
          <w:t>https://doi.org/10.1016/j.stae.2025.100104</w:t>
        </w:r>
      </w:hyperlink>
    </w:p>
    <w:p w14:paraId="5A1918E3" w14:textId="77777777" w:rsidR="00AE2EBD" w:rsidRDefault="00000000">
      <w:pPr>
        <w:spacing w:before="240" w:line="360" w:lineRule="auto"/>
        <w:rPr>
          <w:sz w:val="24"/>
          <w:szCs w:val="24"/>
        </w:rPr>
      </w:pPr>
      <w:r>
        <w:rPr>
          <w:color w:val="222222"/>
          <w:sz w:val="24"/>
          <w:szCs w:val="24"/>
          <w:highlight w:val="white"/>
        </w:rPr>
        <w:t>Murta, R. and Santos, V., (2025). Impact of artificial intelligence on customer relationship management. In </w:t>
      </w:r>
      <w:r>
        <w:rPr>
          <w:i/>
          <w:iCs/>
          <w:color w:val="222222"/>
          <w:sz w:val="24"/>
          <w:szCs w:val="24"/>
          <w:highlight w:val="white"/>
        </w:rPr>
        <w:t>Proceedings of The International Conference on Modern Research in Management, Economics and Accounting</w:t>
      </w:r>
      <w:r>
        <w:rPr>
          <w:color w:val="222222"/>
          <w:sz w:val="24"/>
          <w:szCs w:val="24"/>
          <w:highlight w:val="white"/>
        </w:rPr>
        <w:t xml:space="preserve"> (Vol. 2, No. 1, pp. 18-31). </w:t>
      </w:r>
      <w:hyperlink r:id="rId35" w:history="1">
        <w:r w:rsidR="00AE2EBD">
          <w:rPr>
            <w:color w:val="0000FF"/>
            <w:sz w:val="24"/>
            <w:szCs w:val="24"/>
            <w:highlight w:val="white"/>
            <w:u w:val="single"/>
          </w:rPr>
          <w:t>https://www.researchgate.net/profile/Victor-Santos-61/publication/389811656_Impact_of_Artificial_Intelligence_on_Customer_Relationship_Management/links/67e3392e35f7044c9287a3eb/Impact-of-Artificial-Intelligence-on-Customer-Relationship-Management.pdf</w:t>
        </w:r>
      </w:hyperlink>
      <w:r>
        <w:rPr>
          <w:color w:val="222222"/>
          <w:sz w:val="24"/>
          <w:szCs w:val="24"/>
          <w:highlight w:val="white"/>
        </w:rPr>
        <w:t xml:space="preserve"> </w:t>
      </w:r>
    </w:p>
    <w:p w14:paraId="0FDCA717" w14:textId="77777777" w:rsidR="00AE2EBD" w:rsidRDefault="00000000">
      <w:pPr>
        <w:spacing w:before="240" w:line="360" w:lineRule="auto"/>
        <w:rPr>
          <w:sz w:val="24"/>
          <w:szCs w:val="24"/>
        </w:rPr>
      </w:pPr>
      <w:r>
        <w:rPr>
          <w:color w:val="222222"/>
          <w:sz w:val="24"/>
          <w:szCs w:val="24"/>
          <w:highlight w:val="white"/>
        </w:rPr>
        <w:lastRenderedPageBreak/>
        <w:t>Nandi, A., (2025). India's semiconductor ambitions and global competitiveness: confronting the China challenge. In </w:t>
      </w:r>
      <w:r>
        <w:rPr>
          <w:i/>
          <w:iCs/>
          <w:color w:val="222222"/>
          <w:sz w:val="24"/>
          <w:szCs w:val="24"/>
          <w:highlight w:val="white"/>
        </w:rPr>
        <w:t>India's semiconductor ambitions and global competitiveness: confronting the China challenge: Nandi, Anulekha</w:t>
      </w:r>
      <w:r>
        <w:rPr>
          <w:color w:val="222222"/>
          <w:sz w:val="24"/>
          <w:szCs w:val="24"/>
          <w:highlight w:val="white"/>
        </w:rPr>
        <w:t xml:space="preserve">. New Delhi, India: ORF, Observer Research Foundation. </w:t>
      </w:r>
      <w:hyperlink r:id="rId36" w:history="1">
        <w:r w:rsidR="00AE2EBD">
          <w:rPr>
            <w:color w:val="0000FF"/>
            <w:sz w:val="24"/>
            <w:szCs w:val="24"/>
            <w:highlight w:val="white"/>
            <w:u w:val="single"/>
          </w:rPr>
          <w:t>https://savearchive.zbw.eu/bitstream/11159/1105675/1/1939685575_0.pdf</w:t>
        </w:r>
      </w:hyperlink>
    </w:p>
    <w:p w14:paraId="1F02E30B" w14:textId="77777777" w:rsidR="00AE2EBD" w:rsidRDefault="00000000">
      <w:pPr>
        <w:pBdr>
          <w:top w:val="nil"/>
          <w:left w:val="nil"/>
          <w:bottom w:val="nil"/>
          <w:right w:val="nil"/>
          <w:between w:val="nil"/>
        </w:pBdr>
        <w:spacing w:before="280" w:after="280" w:line="360" w:lineRule="auto"/>
        <w:rPr>
          <w:color w:val="000000"/>
          <w:sz w:val="24"/>
          <w:szCs w:val="24"/>
        </w:rPr>
      </w:pPr>
      <w:r>
        <w:rPr>
          <w:color w:val="000000"/>
          <w:sz w:val="24"/>
          <w:szCs w:val="24"/>
        </w:rPr>
        <w:t xml:space="preserve">NMSC, (2026). </w:t>
      </w:r>
      <w:r>
        <w:rPr>
          <w:i/>
          <w:iCs/>
          <w:color w:val="000000"/>
          <w:sz w:val="24"/>
          <w:szCs w:val="24"/>
        </w:rPr>
        <w:t>Automotive Semiconductor Market</w:t>
      </w:r>
      <w:r>
        <w:rPr>
          <w:color w:val="000000"/>
          <w:sz w:val="24"/>
          <w:szCs w:val="24"/>
        </w:rPr>
        <w:t xml:space="preserve">. [Online]. Available at: </w:t>
      </w:r>
      <w:hyperlink r:id="rId37" w:history="1">
        <w:r w:rsidR="00AE2EBD">
          <w:rPr>
            <w:color w:val="0000FF"/>
            <w:sz w:val="24"/>
            <w:szCs w:val="24"/>
            <w:u w:val="single"/>
          </w:rPr>
          <w:t>https://www.nextmsc.com/report/automotive-semiconductor-market-se4314</w:t>
        </w:r>
      </w:hyperlink>
      <w:r>
        <w:rPr>
          <w:color w:val="000000"/>
          <w:sz w:val="24"/>
          <w:szCs w:val="24"/>
        </w:rPr>
        <w:t xml:space="preserve"> [Accessed on: 05/08/2026].</w:t>
      </w:r>
    </w:p>
    <w:p w14:paraId="4CCCCDA0" w14:textId="77777777" w:rsidR="00AE2EBD" w:rsidRDefault="00000000">
      <w:pPr>
        <w:spacing w:before="240" w:line="360" w:lineRule="auto"/>
        <w:rPr>
          <w:color w:val="222222"/>
          <w:sz w:val="24"/>
          <w:szCs w:val="24"/>
          <w:highlight w:val="white"/>
        </w:rPr>
      </w:pPr>
      <w:r>
        <w:rPr>
          <w:color w:val="222222"/>
          <w:sz w:val="24"/>
          <w:szCs w:val="24"/>
          <w:highlight w:val="white"/>
        </w:rPr>
        <w:t xml:space="preserve">Olan, F., Papadopoulos, T., </w:t>
      </w:r>
      <w:proofErr w:type="spellStart"/>
      <w:r>
        <w:rPr>
          <w:color w:val="222222"/>
          <w:sz w:val="24"/>
          <w:szCs w:val="24"/>
          <w:highlight w:val="white"/>
        </w:rPr>
        <w:t>Spanaki</w:t>
      </w:r>
      <w:proofErr w:type="spellEnd"/>
      <w:r>
        <w:rPr>
          <w:color w:val="222222"/>
          <w:sz w:val="24"/>
          <w:szCs w:val="24"/>
          <w:highlight w:val="white"/>
        </w:rPr>
        <w:t>, K. and Jayawickrama, U., (2026). Social entrepreneurial marketing and innovation in B2B services: building resilience with explainable artificial intelligence. </w:t>
      </w:r>
      <w:r>
        <w:rPr>
          <w:i/>
          <w:iCs/>
          <w:color w:val="222222"/>
          <w:sz w:val="24"/>
          <w:szCs w:val="24"/>
          <w:highlight w:val="white"/>
        </w:rPr>
        <w:t>Information Systems Frontiers</w:t>
      </w:r>
      <w:r>
        <w:rPr>
          <w:color w:val="222222"/>
          <w:sz w:val="24"/>
          <w:szCs w:val="24"/>
          <w:highlight w:val="white"/>
        </w:rPr>
        <w:t>, </w:t>
      </w:r>
      <w:r>
        <w:rPr>
          <w:i/>
          <w:iCs/>
          <w:color w:val="222222"/>
          <w:sz w:val="24"/>
          <w:szCs w:val="24"/>
          <w:highlight w:val="white"/>
        </w:rPr>
        <w:t>28</w:t>
      </w:r>
      <w:r>
        <w:rPr>
          <w:color w:val="222222"/>
          <w:sz w:val="24"/>
          <w:szCs w:val="24"/>
          <w:highlight w:val="white"/>
        </w:rPr>
        <w:t>(1), pp.47-60.</w:t>
      </w:r>
      <w:r>
        <w:rPr>
          <w:sz w:val="24"/>
          <w:szCs w:val="24"/>
        </w:rPr>
        <w:t xml:space="preserve"> </w:t>
      </w:r>
      <w:hyperlink r:id="rId38" w:history="1">
        <w:r w:rsidR="00AE2EBD">
          <w:rPr>
            <w:color w:val="0000FF"/>
            <w:sz w:val="24"/>
            <w:szCs w:val="24"/>
            <w:highlight w:val="white"/>
            <w:u w:val="single"/>
          </w:rPr>
          <w:t>https://link.springer.com/content/pdf/10.1007/s10796-025-10583-5.pdf</w:t>
        </w:r>
      </w:hyperlink>
      <w:r>
        <w:rPr>
          <w:color w:val="222222"/>
          <w:sz w:val="24"/>
          <w:szCs w:val="24"/>
          <w:highlight w:val="white"/>
        </w:rPr>
        <w:t xml:space="preserve"> </w:t>
      </w:r>
    </w:p>
    <w:p w14:paraId="67F9488B" w14:textId="77777777" w:rsidR="00AE2EBD" w:rsidRDefault="00000000">
      <w:pPr>
        <w:spacing w:before="240" w:line="360" w:lineRule="auto"/>
        <w:rPr>
          <w:sz w:val="24"/>
          <w:szCs w:val="24"/>
        </w:rPr>
      </w:pPr>
      <w:r>
        <w:rPr>
          <w:color w:val="000000"/>
          <w:sz w:val="24"/>
          <w:szCs w:val="24"/>
        </w:rPr>
        <w:t xml:space="preserve">Persistence Market Research, (2026). </w:t>
      </w:r>
      <w:r>
        <w:rPr>
          <w:i/>
          <w:iCs/>
          <w:sz w:val="24"/>
          <w:szCs w:val="24"/>
        </w:rPr>
        <w:t>India Customer Experience Management Market Size, Share, and Growth Forecast, 2025 – 2032</w:t>
      </w:r>
      <w:r>
        <w:rPr>
          <w:sz w:val="24"/>
          <w:szCs w:val="24"/>
        </w:rPr>
        <w:t xml:space="preserve">. Available at: </w:t>
      </w:r>
      <w:hyperlink r:id="rId39" w:history="1">
        <w:r w:rsidR="00AE2EBD">
          <w:rPr>
            <w:color w:val="0000FF"/>
            <w:sz w:val="24"/>
            <w:szCs w:val="24"/>
            <w:u w:val="single"/>
          </w:rPr>
          <w:t>https://www.persistencemarketresearch.com/market-research/india-customer-experience-management-market.asp</w:t>
        </w:r>
      </w:hyperlink>
      <w:r>
        <w:rPr>
          <w:sz w:val="24"/>
          <w:szCs w:val="24"/>
        </w:rPr>
        <w:t xml:space="preserve">  [Accessed on: 06/08/2026]</w:t>
      </w:r>
    </w:p>
    <w:p w14:paraId="6160D908" w14:textId="77777777" w:rsidR="00AE2EBD" w:rsidRDefault="00000000">
      <w:pPr>
        <w:spacing w:before="240" w:line="360" w:lineRule="auto"/>
        <w:rPr>
          <w:sz w:val="24"/>
          <w:szCs w:val="24"/>
        </w:rPr>
      </w:pPr>
      <w:r>
        <w:rPr>
          <w:color w:val="000000"/>
          <w:sz w:val="24"/>
          <w:szCs w:val="24"/>
        </w:rPr>
        <w:t xml:space="preserve">PIB, (2026). </w:t>
      </w:r>
      <w:r>
        <w:rPr>
          <w:i/>
          <w:iCs/>
          <w:sz w:val="24"/>
          <w:szCs w:val="24"/>
        </w:rPr>
        <w:t>Government strengthens semiconductor talent pipeline through national skill development initiatives. Government of India.</w:t>
      </w:r>
      <w:r>
        <w:rPr>
          <w:sz w:val="24"/>
          <w:szCs w:val="24"/>
        </w:rPr>
        <w:t xml:space="preserve"> Available at: </w:t>
      </w:r>
      <w:hyperlink r:id="rId40" w:history="1">
        <w:r w:rsidR="00AE2EBD">
          <w:rPr>
            <w:color w:val="0000FF"/>
            <w:sz w:val="24"/>
            <w:szCs w:val="24"/>
            <w:u w:val="single"/>
          </w:rPr>
          <w:t>https://www.pib.gov.in/PressReleaseIframePage.aspx?PRID=2148393&amp;reg=48&amp;lang=2</w:t>
        </w:r>
      </w:hyperlink>
      <w:proofErr w:type="gramStart"/>
      <w:r>
        <w:rPr>
          <w:sz w:val="24"/>
          <w:szCs w:val="24"/>
        </w:rPr>
        <w:t xml:space="preserve">   [</w:t>
      </w:r>
      <w:proofErr w:type="gramEnd"/>
      <w:r>
        <w:rPr>
          <w:sz w:val="24"/>
          <w:szCs w:val="24"/>
        </w:rPr>
        <w:t>Accessed on: 01/08/2026]</w:t>
      </w:r>
    </w:p>
    <w:p w14:paraId="5B72EE42" w14:textId="77777777" w:rsidR="00AE2EBD" w:rsidRDefault="00000000">
      <w:pPr>
        <w:spacing w:before="240" w:line="360" w:lineRule="auto"/>
        <w:rPr>
          <w:sz w:val="24"/>
          <w:szCs w:val="24"/>
        </w:rPr>
      </w:pPr>
      <w:r>
        <w:rPr>
          <w:color w:val="222222"/>
          <w:sz w:val="24"/>
          <w:szCs w:val="24"/>
          <w:highlight w:val="white"/>
        </w:rPr>
        <w:t xml:space="preserve">RK, H.N., (2026). The Semiconductors Race-Understanding the Challenges in India’s Technology and Industrial </w:t>
      </w:r>
      <w:proofErr w:type="gramStart"/>
      <w:r>
        <w:rPr>
          <w:color w:val="222222"/>
          <w:sz w:val="24"/>
          <w:szCs w:val="24"/>
          <w:highlight w:val="white"/>
        </w:rPr>
        <w:t>Ecosystem, and</w:t>
      </w:r>
      <w:proofErr w:type="gramEnd"/>
      <w:r>
        <w:rPr>
          <w:color w:val="222222"/>
          <w:sz w:val="24"/>
          <w:szCs w:val="24"/>
          <w:highlight w:val="white"/>
        </w:rPr>
        <w:t xml:space="preserve"> Learning </w:t>
      </w:r>
      <w:proofErr w:type="gramStart"/>
      <w:r>
        <w:rPr>
          <w:color w:val="222222"/>
          <w:sz w:val="24"/>
          <w:szCs w:val="24"/>
          <w:highlight w:val="white"/>
        </w:rPr>
        <w:t>From</w:t>
      </w:r>
      <w:proofErr w:type="gramEnd"/>
      <w:r>
        <w:rPr>
          <w:color w:val="222222"/>
          <w:sz w:val="24"/>
          <w:szCs w:val="24"/>
          <w:highlight w:val="white"/>
        </w:rPr>
        <w:t xml:space="preserve"> Global Strategies. </w:t>
      </w:r>
      <w:r>
        <w:rPr>
          <w:i/>
          <w:iCs/>
          <w:color w:val="222222"/>
          <w:sz w:val="24"/>
          <w:szCs w:val="24"/>
          <w:highlight w:val="white"/>
        </w:rPr>
        <w:t>Available at SSRN 6917460</w:t>
      </w:r>
      <w:r>
        <w:rPr>
          <w:color w:val="222222"/>
          <w:sz w:val="24"/>
          <w:szCs w:val="24"/>
          <w:highlight w:val="white"/>
        </w:rPr>
        <w:t xml:space="preserve">. </w:t>
      </w:r>
      <w:hyperlink r:id="rId41" w:history="1">
        <w:r w:rsidR="00AE2EBD">
          <w:rPr>
            <w:color w:val="0000FF"/>
            <w:sz w:val="24"/>
            <w:szCs w:val="24"/>
            <w:highlight w:val="white"/>
            <w:u w:val="single"/>
          </w:rPr>
          <w:t>https://papers.ssrn.com/sol3/Delivery.cfm?abstractid=6917460</w:t>
        </w:r>
      </w:hyperlink>
    </w:p>
    <w:p w14:paraId="632B3876" w14:textId="77777777" w:rsidR="00AE2EBD" w:rsidRDefault="00000000">
      <w:pPr>
        <w:spacing w:before="240" w:line="360" w:lineRule="auto"/>
        <w:rPr>
          <w:sz w:val="24"/>
          <w:szCs w:val="24"/>
        </w:rPr>
      </w:pPr>
      <w:r>
        <w:rPr>
          <w:color w:val="000000"/>
          <w:sz w:val="24"/>
          <w:szCs w:val="24"/>
        </w:rPr>
        <w:t xml:space="preserve">The Business Research Company (2026). </w:t>
      </w:r>
      <w:r>
        <w:rPr>
          <w:i/>
          <w:iCs/>
          <w:sz w:val="24"/>
          <w:szCs w:val="24"/>
        </w:rPr>
        <w:t>Customer Relationship Management Market Report 2026</w:t>
      </w:r>
      <w:r>
        <w:rPr>
          <w:sz w:val="24"/>
          <w:szCs w:val="24"/>
        </w:rPr>
        <w:t xml:space="preserve">. Available at: </w:t>
      </w:r>
      <w:hyperlink r:id="rId42" w:history="1">
        <w:r w:rsidR="00AE2EBD">
          <w:rPr>
            <w:color w:val="0000FF"/>
            <w:sz w:val="24"/>
            <w:szCs w:val="24"/>
            <w:u w:val="single"/>
          </w:rPr>
          <w:t>https://www.thebusinessresearchcompany.com/report/customer-relationship-management-global-market-report</w:t>
        </w:r>
      </w:hyperlink>
      <w:r>
        <w:rPr>
          <w:sz w:val="24"/>
          <w:szCs w:val="24"/>
        </w:rPr>
        <w:t xml:space="preserve">  [Accessed on: 03/08/2026]</w:t>
      </w:r>
    </w:p>
    <w:p w14:paraId="0C21E295" w14:textId="77777777" w:rsidR="00AE2EBD" w:rsidRDefault="00000000">
      <w:pPr>
        <w:spacing w:before="240" w:line="360" w:lineRule="auto"/>
        <w:rPr>
          <w:sz w:val="24"/>
          <w:szCs w:val="24"/>
        </w:rPr>
      </w:pPr>
      <w:r>
        <w:rPr>
          <w:sz w:val="24"/>
          <w:szCs w:val="24"/>
        </w:rPr>
        <w:lastRenderedPageBreak/>
        <w:t xml:space="preserve">ZGC (2025). </w:t>
      </w:r>
      <w:r>
        <w:rPr>
          <w:i/>
          <w:iCs/>
          <w:sz w:val="24"/>
          <w:szCs w:val="24"/>
        </w:rPr>
        <w:t>India’s Economic Growth and Price-Sensitive Consumer Market</w:t>
      </w:r>
      <w:r>
        <w:rPr>
          <w:sz w:val="24"/>
          <w:szCs w:val="24"/>
        </w:rPr>
        <w:t xml:space="preserve">. Available at: </w:t>
      </w:r>
      <w:hyperlink r:id="rId43" w:history="1">
        <w:r w:rsidR="00AE2EBD">
          <w:rPr>
            <w:color w:val="0000FF"/>
            <w:sz w:val="24"/>
            <w:szCs w:val="24"/>
            <w:u w:val="single"/>
          </w:rPr>
          <w:t>https://zerogravitycommunications.com/changing-consumer-behavior-in-india-price-meets-digital/</w:t>
        </w:r>
      </w:hyperlink>
      <w:r>
        <w:rPr>
          <w:sz w:val="24"/>
          <w:szCs w:val="24"/>
        </w:rPr>
        <w:t xml:space="preserve"> [Accessed on: 06/08/2026]</w:t>
      </w:r>
    </w:p>
    <w:p w14:paraId="0AFE2E32" w14:textId="77777777" w:rsidR="00AE2EBD" w:rsidRDefault="00000000">
      <w:pPr>
        <w:spacing w:before="240" w:line="360" w:lineRule="auto"/>
        <w:rPr>
          <w:sz w:val="24"/>
          <w:szCs w:val="24"/>
        </w:rPr>
      </w:pPr>
      <w:r>
        <w:rPr>
          <w:color w:val="222222"/>
          <w:sz w:val="24"/>
          <w:szCs w:val="24"/>
          <w:highlight w:val="white"/>
        </w:rPr>
        <w:t xml:space="preserve">Zhuo, L., Zhao, L., Paul, S., Liao, Y., Zhang, R., Xin, Y., Gao, P., </w:t>
      </w:r>
      <w:proofErr w:type="spellStart"/>
      <w:r>
        <w:rPr>
          <w:color w:val="222222"/>
          <w:sz w:val="24"/>
          <w:szCs w:val="24"/>
          <w:highlight w:val="white"/>
        </w:rPr>
        <w:t>Elhoseiny</w:t>
      </w:r>
      <w:proofErr w:type="spellEnd"/>
      <w:r>
        <w:rPr>
          <w:color w:val="222222"/>
          <w:sz w:val="24"/>
          <w:szCs w:val="24"/>
          <w:highlight w:val="white"/>
        </w:rPr>
        <w:t>, M. and Li, H. (2025). October. From reflection to perfection: Scaling inference-time optimisation for text-to-image diffusion models via reflection tuning. In </w:t>
      </w:r>
      <w:r>
        <w:rPr>
          <w:i/>
          <w:iCs/>
          <w:color w:val="222222"/>
          <w:sz w:val="24"/>
          <w:szCs w:val="24"/>
          <w:highlight w:val="white"/>
        </w:rPr>
        <w:t>2025 IEEE/CVF International Conference on Computer Vision (ICCV)</w:t>
      </w:r>
      <w:r>
        <w:rPr>
          <w:color w:val="222222"/>
          <w:sz w:val="24"/>
          <w:szCs w:val="24"/>
          <w:highlight w:val="white"/>
        </w:rPr>
        <w:t xml:space="preserve"> (pp. 15329-15339). IEEE. </w:t>
      </w:r>
      <w:hyperlink r:id="rId44" w:history="1">
        <w:r w:rsidR="00AE2EBD">
          <w:rPr>
            <w:color w:val="0000FF"/>
            <w:sz w:val="24"/>
            <w:szCs w:val="24"/>
            <w:highlight w:val="white"/>
            <w:u w:val="single"/>
          </w:rPr>
          <w:t>https://openaccess.thecvf.com/content/ICCV2025/papers/Zhuo_From_Reflection_to_Perfection_Scaling_Inference-Time_Optimization_for_Text-to-Image_Diffusion_ICCV_2025_paper.pdf</w:t>
        </w:r>
      </w:hyperlink>
    </w:p>
    <w:p w14:paraId="543EF341" w14:textId="77777777" w:rsidR="00AE2EBD" w:rsidRDefault="00000000">
      <w:pPr>
        <w:spacing w:before="240" w:line="360" w:lineRule="auto"/>
        <w:rPr>
          <w:b/>
          <w:bCs/>
          <w:i/>
          <w:iCs/>
          <w:sz w:val="24"/>
          <w:szCs w:val="24"/>
        </w:rPr>
      </w:pPr>
      <w:r>
        <w:rPr>
          <w:b/>
          <w:bCs/>
          <w:i/>
          <w:iCs/>
          <w:sz w:val="24"/>
          <w:szCs w:val="24"/>
        </w:rPr>
        <w:t xml:space="preserve">Provided </w:t>
      </w:r>
    </w:p>
    <w:p w14:paraId="0E06DC35" w14:textId="77777777" w:rsidR="00AE2EBD" w:rsidRDefault="00000000">
      <w:pPr>
        <w:spacing w:before="240" w:line="360" w:lineRule="auto"/>
        <w:rPr>
          <w:sz w:val="24"/>
          <w:szCs w:val="24"/>
        </w:rPr>
      </w:pPr>
      <w:r>
        <w:rPr>
          <w:sz w:val="24"/>
          <w:szCs w:val="24"/>
        </w:rPr>
        <w:t xml:space="preserve">Hooley, G.J. et al. (2020) Marketing strategy and competitive positioning. Seventh edition. Harlow, </w:t>
      </w:r>
      <w:proofErr w:type="gramStart"/>
      <w:r>
        <w:rPr>
          <w:sz w:val="24"/>
          <w:szCs w:val="24"/>
        </w:rPr>
        <w:t>England ;</w:t>
      </w:r>
      <w:proofErr w:type="gramEnd"/>
      <w:r>
        <w:rPr>
          <w:sz w:val="24"/>
          <w:szCs w:val="24"/>
        </w:rPr>
        <w:t xml:space="preserve"> Pearson.</w:t>
      </w:r>
    </w:p>
    <w:p w14:paraId="383A9DB1" w14:textId="77777777" w:rsidR="00AE2EBD" w:rsidRDefault="00000000">
      <w:pPr>
        <w:spacing w:before="240" w:line="360" w:lineRule="auto"/>
        <w:rPr>
          <w:sz w:val="24"/>
          <w:szCs w:val="24"/>
        </w:rPr>
      </w:pPr>
      <w:r>
        <w:rPr>
          <w:sz w:val="24"/>
          <w:szCs w:val="24"/>
        </w:rPr>
        <w:t xml:space="preserve">Kotler, P. et al. (2020) Principles of marketing. Eighth European Edition. </w:t>
      </w:r>
      <w:proofErr w:type="gramStart"/>
      <w:r>
        <w:rPr>
          <w:sz w:val="24"/>
          <w:szCs w:val="24"/>
        </w:rPr>
        <w:t>Harlow ;</w:t>
      </w:r>
      <w:proofErr w:type="gramEnd"/>
      <w:r>
        <w:rPr>
          <w:sz w:val="24"/>
          <w:szCs w:val="24"/>
        </w:rPr>
        <w:t xml:space="preserve"> Pearson.</w:t>
      </w:r>
    </w:p>
    <w:p w14:paraId="3BC0713C" w14:textId="77777777" w:rsidR="00AE2EBD" w:rsidRDefault="00000000">
      <w:pPr>
        <w:spacing w:before="240" w:line="360" w:lineRule="auto"/>
        <w:rPr>
          <w:sz w:val="24"/>
          <w:szCs w:val="24"/>
        </w:rPr>
      </w:pPr>
      <w:r>
        <w:rPr>
          <w:sz w:val="24"/>
          <w:szCs w:val="24"/>
        </w:rPr>
        <w:t>Kotler, P., Keller, K. and Chernev, A. (2021) Marketing management. 16th ed.</w:t>
      </w:r>
    </w:p>
    <w:p w14:paraId="60C4CDC8" w14:textId="77777777" w:rsidR="00AE2EBD" w:rsidRDefault="00AE2EBD">
      <w:pPr>
        <w:spacing w:before="240" w:line="360" w:lineRule="auto"/>
        <w:rPr>
          <w:sz w:val="24"/>
          <w:szCs w:val="24"/>
        </w:rPr>
      </w:pPr>
    </w:p>
    <w:p w14:paraId="79175A54" w14:textId="77777777" w:rsidR="00AE2EBD" w:rsidRDefault="00AE2EBD">
      <w:pPr>
        <w:spacing w:before="240" w:line="360" w:lineRule="auto"/>
        <w:rPr>
          <w:sz w:val="24"/>
          <w:szCs w:val="24"/>
        </w:rPr>
      </w:pPr>
    </w:p>
    <w:p w14:paraId="0FF13F35" w14:textId="77777777" w:rsidR="00AE2EBD" w:rsidRDefault="00AE2EBD">
      <w:pPr>
        <w:spacing w:before="240" w:line="360" w:lineRule="auto"/>
        <w:rPr>
          <w:sz w:val="24"/>
          <w:szCs w:val="24"/>
        </w:rPr>
      </w:pPr>
    </w:p>
    <w:sectPr w:rsidR="00AE2EBD">
      <w:footerReference w:type="default" r:id="rId45"/>
      <w:headerReference w:type="first" r:id="rId46"/>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1DEE4" w14:textId="77777777" w:rsidR="003A28D1" w:rsidRDefault="003A28D1">
      <w:pPr>
        <w:spacing w:line="240" w:lineRule="auto"/>
      </w:pPr>
      <w:r>
        <w:separator/>
      </w:r>
    </w:p>
  </w:endnote>
  <w:endnote w:type="continuationSeparator" w:id="0">
    <w:p w14:paraId="3A89B75C" w14:textId="77777777" w:rsidR="003A28D1" w:rsidRDefault="003A28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2BE1A909-A5D8-4F64-A53F-611B271133EE}"/>
  </w:font>
  <w:font w:name="Shruti">
    <w:panose1 w:val="02000500000000000000"/>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2" w:fontKey="{1A34C564-15A5-40D1-A060-621722E97DF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BC408" w14:textId="77777777" w:rsidR="00AE2EBD" w:rsidRDefault="00000000">
    <w:pPr>
      <w:pBdr>
        <w:top w:val="nil"/>
        <w:left w:val="nil"/>
        <w:bottom w:val="nil"/>
        <w:right w:val="nil"/>
        <w:between w:val="nil"/>
      </w:pBdr>
      <w:tabs>
        <w:tab w:val="center" w:pos="4513"/>
        <w:tab w:val="right" w:pos="9026"/>
      </w:tabs>
      <w:spacing w:line="240" w:lineRule="auto"/>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AA16BE">
      <w:rPr>
        <w:noProof/>
        <w:color w:val="000000"/>
        <w:sz w:val="24"/>
        <w:szCs w:val="24"/>
      </w:rPr>
      <w:t>2</w:t>
    </w:r>
    <w:r>
      <w:rPr>
        <w:color w:val="000000"/>
        <w:sz w:val="24"/>
        <w:szCs w:val="24"/>
      </w:rPr>
      <w:fldChar w:fldCharType="end"/>
    </w:r>
  </w:p>
  <w:p w14:paraId="415C470A" w14:textId="77777777" w:rsidR="00AE2EBD" w:rsidRDefault="00AE2EBD">
    <w:pPr>
      <w:pBdr>
        <w:top w:val="nil"/>
        <w:left w:val="nil"/>
        <w:bottom w:val="nil"/>
        <w:right w:val="nil"/>
        <w:between w:val="nil"/>
      </w:pBdr>
      <w:tabs>
        <w:tab w:val="center" w:pos="4513"/>
        <w:tab w:val="right" w:pos="9026"/>
      </w:tabs>
      <w:spacing w:line="240" w:lineRule="auto"/>
      <w:jc w:val="left"/>
      <w:rPr>
        <w:color w:val="000000"/>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F643A" w14:textId="77777777" w:rsidR="003A28D1" w:rsidRDefault="003A28D1">
      <w:pPr>
        <w:spacing w:line="240" w:lineRule="auto"/>
      </w:pPr>
      <w:r>
        <w:separator/>
      </w:r>
    </w:p>
  </w:footnote>
  <w:footnote w:type="continuationSeparator" w:id="0">
    <w:p w14:paraId="6E0B3388" w14:textId="77777777" w:rsidR="003A28D1" w:rsidRDefault="003A28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C24A7" w14:textId="77777777" w:rsidR="00AE2EBD" w:rsidRDefault="00000000">
    <w:pPr>
      <w:pBdr>
        <w:top w:val="nil"/>
        <w:left w:val="nil"/>
        <w:bottom w:val="nil"/>
        <w:right w:val="nil"/>
        <w:between w:val="nil"/>
      </w:pBdr>
      <w:tabs>
        <w:tab w:val="center" w:pos="4513"/>
        <w:tab w:val="right" w:pos="9026"/>
      </w:tabs>
      <w:spacing w:line="240" w:lineRule="auto"/>
      <w:jc w:val="left"/>
      <w:rPr>
        <w:color w:val="000000"/>
        <w:sz w:val="22"/>
      </w:rPr>
    </w:pPr>
    <w:r>
      <w:rPr>
        <w:noProof/>
        <w:color w:val="000000"/>
        <w:sz w:val="22"/>
      </w:rPr>
      <w:drawing>
        <wp:inline distT="0" distB="0" distL="0" distR="0" wp14:anchorId="61B01DF8" wp14:editId="3C7A97DF">
          <wp:extent cx="2377646" cy="1158340"/>
          <wp:effectExtent l="0" t="0" r="0" b="0"/>
          <wp:docPr id="4097" name="image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17.png"/>
                  <pic:cNvPicPr/>
                </pic:nvPicPr>
                <pic:blipFill>
                  <a:blip r:embed="rId1" cstate="print"/>
                  <a:srcRect/>
                  <a:stretch/>
                </pic:blipFill>
                <pic:spPr>
                  <a:xfrm>
                    <a:off x="0" y="0"/>
                    <a:ext cx="2377646" cy="1158340"/>
                  </a:xfrm>
                  <a:prstGeom prst="rect">
                    <a:avLst/>
                  </a:prstGeom>
                  <a:ln w="9525" cap="flat" cmpd="sng">
                    <a:solidFill>
                      <a:srgbClr val="000000"/>
                    </a:solidFill>
                    <a:prstDash val="solid"/>
                    <a:round/>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7B0675"/>
    <w:multiLevelType w:val="multilevel"/>
    <w:tmpl w:val="FFFFFFFF"/>
    <w:lvl w:ilvl="0">
      <w:numFmt w:val="bullet"/>
      <w:lvlText w:val="●"/>
      <w:lvlJc w:val="left"/>
      <w:pPr>
        <w:ind w:left="777" w:hanging="340"/>
      </w:pPr>
      <w:rPr>
        <w:rFonts w:ascii="Noto Sans Symbols" w:eastAsia="Noto Sans Symbols" w:hAnsi="Noto Sans Symbols" w:cs="Noto Sans Symbols"/>
        <w:b w:val="0"/>
        <w:bCs w:val="0"/>
        <w:i w:val="0"/>
        <w:iCs w:val="0"/>
        <w:sz w:val="20"/>
        <w:szCs w:val="20"/>
      </w:rPr>
    </w:lvl>
    <w:lvl w:ilvl="1">
      <w:numFmt w:val="bullet"/>
      <w:lvlText w:val="•"/>
      <w:lvlJc w:val="left"/>
      <w:pPr>
        <w:ind w:left="1011" w:hanging="340"/>
      </w:pPr>
    </w:lvl>
    <w:lvl w:ilvl="2">
      <w:numFmt w:val="bullet"/>
      <w:lvlText w:val="•"/>
      <w:lvlJc w:val="left"/>
      <w:pPr>
        <w:ind w:left="1242" w:hanging="340"/>
      </w:pPr>
    </w:lvl>
    <w:lvl w:ilvl="3">
      <w:numFmt w:val="bullet"/>
      <w:lvlText w:val="•"/>
      <w:lvlJc w:val="left"/>
      <w:pPr>
        <w:ind w:left="1473" w:hanging="340"/>
      </w:pPr>
    </w:lvl>
    <w:lvl w:ilvl="4">
      <w:numFmt w:val="bullet"/>
      <w:lvlText w:val="•"/>
      <w:lvlJc w:val="left"/>
      <w:pPr>
        <w:ind w:left="1704" w:hanging="340"/>
      </w:pPr>
    </w:lvl>
    <w:lvl w:ilvl="5">
      <w:numFmt w:val="bullet"/>
      <w:lvlText w:val="•"/>
      <w:lvlJc w:val="left"/>
      <w:pPr>
        <w:ind w:left="1935" w:hanging="340"/>
      </w:pPr>
    </w:lvl>
    <w:lvl w:ilvl="6">
      <w:numFmt w:val="bullet"/>
      <w:lvlText w:val="•"/>
      <w:lvlJc w:val="left"/>
      <w:pPr>
        <w:ind w:left="2166" w:hanging="340"/>
      </w:pPr>
    </w:lvl>
    <w:lvl w:ilvl="7">
      <w:numFmt w:val="bullet"/>
      <w:lvlText w:val="•"/>
      <w:lvlJc w:val="left"/>
      <w:pPr>
        <w:ind w:left="2397" w:hanging="340"/>
      </w:pPr>
    </w:lvl>
    <w:lvl w:ilvl="8">
      <w:numFmt w:val="bullet"/>
      <w:lvlText w:val="•"/>
      <w:lvlJc w:val="left"/>
      <w:pPr>
        <w:ind w:left="2628" w:hanging="340"/>
      </w:pPr>
    </w:lvl>
  </w:abstractNum>
  <w:num w:numId="1" w16cid:durableId="268202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EBD"/>
    <w:rsid w:val="001F061E"/>
    <w:rsid w:val="002A6006"/>
    <w:rsid w:val="003A28D1"/>
    <w:rsid w:val="003A6993"/>
    <w:rsid w:val="00497B8D"/>
    <w:rsid w:val="00546C21"/>
    <w:rsid w:val="005A4907"/>
    <w:rsid w:val="005B319D"/>
    <w:rsid w:val="006E6B6F"/>
    <w:rsid w:val="00AA16BE"/>
    <w:rsid w:val="00AE2EBD"/>
    <w:rsid w:val="00BC2F54"/>
    <w:rsid w:val="00C75B17"/>
    <w:rsid w:val="00CD10EB"/>
    <w:rsid w:val="00FB7642"/>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30B91"/>
  <w15:docId w15:val="{F07468CA-2741-43AA-9BDB-3F1B83D61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gu-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1"/>
    </w:rPr>
  </w:style>
  <w:style w:type="paragraph" w:styleId="Heading1">
    <w:name w:val="heading 1"/>
    <w:basedOn w:val="Normal1"/>
    <w:next w:val="Normal1"/>
    <w:uiPriority w:val="9"/>
    <w:qFormat/>
    <w:pPr>
      <w:keepNext/>
      <w:keepLines/>
      <w:spacing w:before="400" w:after="120" w:line="360" w:lineRule="auto"/>
      <w:jc w:val="both"/>
      <w:outlineLvl w:val="0"/>
    </w:pPr>
    <w:rPr>
      <w:b/>
      <w:bCs/>
      <w:sz w:val="24"/>
      <w:szCs w:val="24"/>
    </w:rPr>
  </w:style>
  <w:style w:type="paragraph" w:styleId="Heading2">
    <w:name w:val="heading 2"/>
    <w:basedOn w:val="Normal1"/>
    <w:next w:val="Normal1"/>
    <w:uiPriority w:val="9"/>
    <w:unhideWhenUsed/>
    <w:qFormat/>
    <w:pPr>
      <w:keepNext/>
      <w:keepLines/>
      <w:spacing w:before="360" w:after="120" w:line="360" w:lineRule="auto"/>
      <w:jc w:val="both"/>
      <w:outlineLvl w:val="1"/>
    </w:pPr>
    <w:rPr>
      <w:b/>
      <w:bCs/>
      <w:sz w:val="24"/>
      <w:szCs w:val="24"/>
    </w:rPr>
  </w:style>
  <w:style w:type="paragraph" w:styleId="Heading3">
    <w:name w:val="heading 3"/>
    <w:basedOn w:val="Normal1"/>
    <w:next w:val="Normal1"/>
    <w:uiPriority w:val="9"/>
    <w:unhideWhenUsed/>
    <w:qFormat/>
    <w:pPr>
      <w:keepNext/>
      <w:keepLines/>
      <w:spacing w:before="320" w:after="80" w:line="360" w:lineRule="auto"/>
      <w:jc w:val="both"/>
      <w:outlineLvl w:val="2"/>
    </w:pPr>
    <w:rPr>
      <w:b/>
      <w:bCs/>
      <w:color w:val="0D0D0D"/>
      <w:sz w:val="24"/>
      <w:szCs w:val="24"/>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customStyle="1" w:styleId="Normal1">
    <w:name w:val="Normal1"/>
  </w:style>
  <w:style w:type="paragraph" w:styleId="Title">
    <w:name w:val="Title"/>
    <w:basedOn w:val="Normal1"/>
    <w:next w:val="Normal1"/>
    <w:uiPriority w:val="10"/>
    <w:qFormat/>
    <w:pPr>
      <w:keepNext/>
      <w:keepLines/>
      <w:spacing w:after="60"/>
    </w:pPr>
    <w:rPr>
      <w:sz w:val="52"/>
      <w:szCs w:val="52"/>
    </w:rPr>
  </w:style>
  <w:style w:type="paragraph" w:styleId="Subtitle">
    <w:name w:val="Subtitle"/>
    <w:basedOn w:val="Normal1"/>
    <w:next w:val="Normal1"/>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paragraph" w:styleId="TOC1">
    <w:name w:val="toc 1"/>
    <w:basedOn w:val="Normal"/>
    <w:next w:val="Normal"/>
    <w:autoRedefine/>
    <w:uiPriority w:val="39"/>
    <w:unhideWhenUsed/>
    <w:rsid w:val="00FB7642"/>
    <w:pPr>
      <w:spacing w:after="100"/>
    </w:pPr>
  </w:style>
  <w:style w:type="paragraph" w:styleId="TOC2">
    <w:name w:val="toc 2"/>
    <w:basedOn w:val="Normal"/>
    <w:next w:val="Normal"/>
    <w:autoRedefine/>
    <w:uiPriority w:val="39"/>
    <w:unhideWhenUsed/>
    <w:rsid w:val="00FB7642"/>
    <w:pPr>
      <w:spacing w:after="100"/>
      <w:ind w:left="210"/>
    </w:pPr>
  </w:style>
  <w:style w:type="paragraph" w:styleId="TOC3">
    <w:name w:val="toc 3"/>
    <w:basedOn w:val="Normal"/>
    <w:next w:val="Normal"/>
    <w:autoRedefine/>
    <w:uiPriority w:val="39"/>
    <w:unhideWhenUsed/>
    <w:rsid w:val="00FB7642"/>
    <w:pPr>
      <w:spacing w:after="100"/>
      <w:ind w:left="420"/>
    </w:pPr>
  </w:style>
  <w:style w:type="character" w:styleId="Hyperlink">
    <w:name w:val="Hyperlink"/>
    <w:basedOn w:val="DefaultParagraphFont"/>
    <w:uiPriority w:val="99"/>
    <w:unhideWhenUsed/>
    <w:rsid w:val="00FB76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manufacturer.in" TargetMode="External"/><Relationship Id="rId18" Type="http://schemas.openxmlformats.org/officeDocument/2006/relationships/image" Target="media/image11.png"/><Relationship Id="rId26" Type="http://schemas.openxmlformats.org/officeDocument/2006/relationships/hyperlink" Target="https://companiesmarketcap.com/inr/semiconductors/largest-semiconductor-companies-by-market-cap/" TargetMode="External"/><Relationship Id="rId39" Type="http://schemas.openxmlformats.org/officeDocument/2006/relationships/hyperlink" Target="https://www.persistencemarketresearch.com/market-research/india-customer-experience-management-market.asp" TargetMode="External"/><Relationship Id="rId21" Type="http://schemas.openxmlformats.org/officeDocument/2006/relationships/image" Target="media/image14.png"/><Relationship Id="rId34" Type="http://schemas.openxmlformats.org/officeDocument/2006/relationships/hyperlink" Target="https://doi.org/10.1016/j.stae.2025.100104" TargetMode="External"/><Relationship Id="rId42" Type="http://schemas.openxmlformats.org/officeDocument/2006/relationships/hyperlink" Target="https://www.thebusinessresearchcompany.com/report/customer-relationship-management-global-market-report"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www.fortunebusinessinsights.com/semiconductor-market-10236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breadcrumbs.io/blog/value-based-pricing-strategy-saas/" TargetMode="External"/><Relationship Id="rId32" Type="http://schemas.openxmlformats.org/officeDocument/2006/relationships/hyperlink" Target="https://www.electronicsmedia.info/2017/12/08/iesa-essci-get-together-roll-iesa-innovation-initiative/" TargetMode="External"/><Relationship Id="rId37" Type="http://schemas.openxmlformats.org/officeDocument/2006/relationships/hyperlink" Target="https://www.nextmsc.com/report/automotive-semiconductor-market-se4314" TargetMode="External"/><Relationship Id="rId40" Type="http://schemas.openxmlformats.org/officeDocument/2006/relationships/hyperlink" Target="https://www.pib.gov.in/PressReleaseIframePage.aspx?PRID=2148393&amp;reg=48&amp;lang=2"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energy.economictimes.indiatimes.com/news/renewable/india-among-asias-fastest-growing-green-economies-clocks-110-bn-revenue-in-2025-lseg-report/131996898" TargetMode="External"/><Relationship Id="rId36" Type="http://schemas.openxmlformats.org/officeDocument/2006/relationships/hyperlink" Target="https://savearchive.zbw.eu/bitstream/11159/1105675/1/1939685575_0.pdf" TargetMode="Externa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hyperlink" Target="https://www.aimspress.com/aimspress-data/qfe/2025/2/PDF/QFE-09-02-015.pdf" TargetMode="External"/><Relationship Id="rId44" Type="http://schemas.openxmlformats.org/officeDocument/2006/relationships/hyperlink" Target="https://openaccess.thecvf.com/content/ICCV2025/papers/Zhuo_From_Reflection_to_Perfection_Scaling_Inference-Time_Optimization_for_Text-to-Image_Diffusion_ICCV_2025_paper.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congruencemarketinsights.com/report/automotive-semiconductor-market" TargetMode="External"/><Relationship Id="rId30" Type="http://schemas.openxmlformats.org/officeDocument/2006/relationships/hyperlink" Target="https://www.grandviewresearch.com/horizon/outlook/direct-selling-market/india" TargetMode="External"/><Relationship Id="rId35" Type="http://schemas.openxmlformats.org/officeDocument/2006/relationships/hyperlink" Target="https://www.researchgate.net/profile/Victor-Santos-61/publication/389811656_Impact_of_Artificial_Intelligence_on_Customer_Relationship_Management/links/67e3392e35f7044c9287a3eb/Impact-of-Artificial-Intelligence-on-Customer-Relationship-Management.pdf" TargetMode="External"/><Relationship Id="rId43" Type="http://schemas.openxmlformats.org/officeDocument/2006/relationships/hyperlink" Target="https://zerogravitycommunications.com/changing-consumer-behavior-in-india-price-meets-digital/"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hyperlink" Target="https://papers.ssrn.com/sol3/Delivery.cfm?abstractid=5116567" TargetMode="External"/><Relationship Id="rId33" Type="http://schemas.openxmlformats.org/officeDocument/2006/relationships/hyperlink" Target="https://isimarkets.com/press-releases/aseans-strategic-convergence-powering-green-mobility-and-electronics-2/" TargetMode="External"/><Relationship Id="rId38" Type="http://schemas.openxmlformats.org/officeDocument/2006/relationships/hyperlink" Target="https://link.springer.com/content/pdf/10.1007/s10796-025-10583-5.pdf" TargetMode="External"/><Relationship Id="rId46" Type="http://schemas.openxmlformats.org/officeDocument/2006/relationships/header" Target="header1.xml"/><Relationship Id="rId20" Type="http://schemas.openxmlformats.org/officeDocument/2006/relationships/image" Target="media/image13.png"/><Relationship Id="rId41" Type="http://schemas.openxmlformats.org/officeDocument/2006/relationships/hyperlink" Target="https://papers.ssrn.com/sol3/Delivery.cfm?abstractid=6917460"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25</Pages>
  <Words>4351</Words>
  <Characters>24804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Yash Pawar (2543471)</cp:lastModifiedBy>
  <cp:revision>14</cp:revision>
  <dcterms:created xsi:type="dcterms:W3CDTF">2026-08-09T15:32:00Z</dcterms:created>
  <dcterms:modified xsi:type="dcterms:W3CDTF">2026-08-13T10:08:00Z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192acf50cfc74575a778b29e7d19fb4e_23</vt:lpwstr>
  </property>
</Properties>
</file>