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CADB98" w14:textId="77777777" w:rsidR="00A351BC" w:rsidRDefault="00A351BC">
      <w:pPr>
        <w:spacing w:after="0" w:line="360" w:lineRule="auto"/>
        <w:jc w:val="both"/>
        <w:rPr>
          <w:rFonts w:ascii="Arial" w:hAnsi="Arial" w:cs="Arial"/>
          <w:b/>
          <w:sz w:val="24"/>
          <w:szCs w:val="24"/>
          <w:u w:val="single"/>
        </w:rPr>
      </w:pPr>
    </w:p>
    <w:p w14:paraId="73571322" w14:textId="77777777" w:rsidR="00A351BC" w:rsidRDefault="00A351BC">
      <w:pPr>
        <w:spacing w:after="0" w:line="360" w:lineRule="auto"/>
        <w:jc w:val="both"/>
        <w:rPr>
          <w:rFonts w:ascii="Arial" w:hAnsi="Arial" w:cs="Arial"/>
          <w:b/>
          <w:sz w:val="24"/>
          <w:szCs w:val="24"/>
          <w:u w:val="single"/>
        </w:rPr>
      </w:pPr>
    </w:p>
    <w:p w14:paraId="6E85F30A" w14:textId="77777777" w:rsidR="00A351BC" w:rsidRDefault="00A351BC">
      <w:pPr>
        <w:spacing w:after="0" w:line="360" w:lineRule="auto"/>
        <w:jc w:val="both"/>
        <w:rPr>
          <w:rFonts w:ascii="Arial" w:hAnsi="Arial" w:cs="Arial"/>
          <w:b/>
          <w:sz w:val="24"/>
          <w:szCs w:val="24"/>
          <w:u w:val="single"/>
        </w:rPr>
      </w:pPr>
    </w:p>
    <w:p w14:paraId="23C9B1DB" w14:textId="77777777" w:rsidR="00A351BC" w:rsidRDefault="00A351BC">
      <w:pPr>
        <w:spacing w:after="0" w:line="360" w:lineRule="auto"/>
        <w:jc w:val="both"/>
        <w:rPr>
          <w:rFonts w:ascii="Arial" w:hAnsi="Arial" w:cs="Arial"/>
          <w:b/>
          <w:sz w:val="24"/>
          <w:szCs w:val="24"/>
          <w:u w:val="single"/>
        </w:rPr>
      </w:pPr>
    </w:p>
    <w:p w14:paraId="0BB8F5B4" w14:textId="77777777" w:rsidR="00A351BC" w:rsidRDefault="00A351BC">
      <w:pPr>
        <w:spacing w:after="0" w:line="360" w:lineRule="auto"/>
        <w:jc w:val="both"/>
        <w:rPr>
          <w:rFonts w:ascii="Arial" w:hAnsi="Arial" w:cs="Arial"/>
          <w:b/>
          <w:sz w:val="24"/>
          <w:szCs w:val="24"/>
          <w:u w:val="single"/>
        </w:rPr>
      </w:pPr>
    </w:p>
    <w:p w14:paraId="51B6B762" w14:textId="77777777" w:rsidR="00A351BC" w:rsidRDefault="00A351BC">
      <w:pPr>
        <w:spacing w:after="0" w:line="360" w:lineRule="auto"/>
        <w:jc w:val="both"/>
        <w:rPr>
          <w:rFonts w:ascii="Arial" w:hAnsi="Arial" w:cs="Arial"/>
          <w:b/>
          <w:sz w:val="24"/>
          <w:szCs w:val="24"/>
          <w:u w:val="single"/>
        </w:rPr>
      </w:pPr>
    </w:p>
    <w:p w14:paraId="69A5FEE5" w14:textId="77777777" w:rsidR="00A351BC" w:rsidRDefault="00A351BC">
      <w:pPr>
        <w:spacing w:after="0" w:line="360" w:lineRule="auto"/>
        <w:jc w:val="both"/>
        <w:rPr>
          <w:rFonts w:ascii="Arial" w:hAnsi="Arial" w:cs="Arial"/>
          <w:b/>
          <w:sz w:val="24"/>
          <w:szCs w:val="24"/>
          <w:u w:val="single"/>
        </w:rPr>
      </w:pPr>
    </w:p>
    <w:p w14:paraId="20307E4C" w14:textId="77777777" w:rsidR="00A351BC" w:rsidRDefault="00A351BC">
      <w:pPr>
        <w:spacing w:after="0" w:line="360" w:lineRule="auto"/>
        <w:jc w:val="both"/>
        <w:rPr>
          <w:rFonts w:ascii="Arial" w:hAnsi="Arial" w:cs="Arial"/>
          <w:b/>
          <w:sz w:val="24"/>
          <w:szCs w:val="24"/>
          <w:u w:val="single"/>
        </w:rPr>
      </w:pPr>
    </w:p>
    <w:p w14:paraId="7F69DAAF" w14:textId="77777777" w:rsidR="00A351BC" w:rsidRDefault="00A351BC">
      <w:pPr>
        <w:spacing w:after="0" w:line="360" w:lineRule="auto"/>
        <w:jc w:val="both"/>
        <w:rPr>
          <w:rFonts w:ascii="Arial" w:hAnsi="Arial" w:cs="Arial"/>
          <w:b/>
          <w:sz w:val="24"/>
          <w:szCs w:val="24"/>
          <w:u w:val="single"/>
        </w:rPr>
      </w:pPr>
    </w:p>
    <w:p w14:paraId="1AF76ACE" w14:textId="77777777" w:rsidR="00A351BC" w:rsidRDefault="00A351BC">
      <w:pPr>
        <w:spacing w:after="0" w:line="360" w:lineRule="auto"/>
        <w:jc w:val="both"/>
        <w:rPr>
          <w:rFonts w:ascii="Arial" w:hAnsi="Arial" w:cs="Arial"/>
          <w:b/>
          <w:sz w:val="24"/>
          <w:szCs w:val="24"/>
          <w:u w:val="single"/>
        </w:rPr>
      </w:pPr>
    </w:p>
    <w:p w14:paraId="20C924CC" w14:textId="77777777" w:rsidR="00A351BC" w:rsidRDefault="00000000">
      <w:pPr>
        <w:spacing w:line="360" w:lineRule="auto"/>
        <w:jc w:val="center"/>
        <w:rPr>
          <w:rFonts w:ascii="Arial" w:hAnsi="Arial" w:cs="Arial"/>
          <w:b/>
          <w:sz w:val="24"/>
          <w:szCs w:val="24"/>
        </w:rPr>
      </w:pPr>
      <w:r>
        <w:rPr>
          <w:rFonts w:ascii="Arial" w:hAnsi="Arial" w:cs="Arial"/>
          <w:b/>
          <w:sz w:val="24"/>
          <w:szCs w:val="24"/>
        </w:rPr>
        <w:t xml:space="preserve">Does the required skill set of a Food &amp; Beverage employee change, based on the type of service that the food and beverage operation </w:t>
      </w:r>
      <w:proofErr w:type="gramStart"/>
      <w:r>
        <w:rPr>
          <w:rFonts w:ascii="Arial" w:hAnsi="Arial" w:cs="Arial"/>
          <w:b/>
          <w:sz w:val="24"/>
          <w:szCs w:val="24"/>
        </w:rPr>
        <w:t>utilises</w:t>
      </w:r>
      <w:proofErr w:type="gramEnd"/>
      <w:r>
        <w:rPr>
          <w:rFonts w:ascii="Arial" w:hAnsi="Arial" w:cs="Arial"/>
          <w:b/>
          <w:sz w:val="24"/>
          <w:szCs w:val="24"/>
        </w:rPr>
        <w:t>?</w:t>
      </w:r>
    </w:p>
    <w:p w14:paraId="5F957648" w14:textId="77777777" w:rsidR="00A351BC" w:rsidRDefault="00A351BC">
      <w:pPr>
        <w:spacing w:after="0" w:line="360" w:lineRule="auto"/>
        <w:jc w:val="center"/>
        <w:rPr>
          <w:rFonts w:ascii="Arial" w:hAnsi="Arial" w:cs="Arial"/>
          <w:b/>
          <w:sz w:val="24"/>
          <w:szCs w:val="24"/>
          <w:u w:val="single"/>
        </w:rPr>
      </w:pPr>
    </w:p>
    <w:p w14:paraId="03E78FA3" w14:textId="77777777" w:rsidR="00A351BC" w:rsidRDefault="00A351BC">
      <w:pPr>
        <w:spacing w:after="0" w:line="360" w:lineRule="auto"/>
        <w:jc w:val="both"/>
        <w:rPr>
          <w:rFonts w:ascii="Arial" w:hAnsi="Arial" w:cs="Arial"/>
          <w:b/>
          <w:sz w:val="24"/>
          <w:szCs w:val="24"/>
          <w:u w:val="single"/>
        </w:rPr>
      </w:pPr>
    </w:p>
    <w:p w14:paraId="657E0DC5" w14:textId="77777777" w:rsidR="00A351BC" w:rsidRDefault="00A351BC">
      <w:pPr>
        <w:spacing w:after="0" w:line="360" w:lineRule="auto"/>
        <w:jc w:val="both"/>
        <w:rPr>
          <w:rFonts w:ascii="Arial" w:hAnsi="Arial" w:cs="Arial"/>
          <w:b/>
          <w:sz w:val="24"/>
          <w:szCs w:val="24"/>
          <w:u w:val="single"/>
        </w:rPr>
      </w:pPr>
    </w:p>
    <w:p w14:paraId="2FE32931" w14:textId="77777777" w:rsidR="00A351BC" w:rsidRDefault="00A351BC">
      <w:pPr>
        <w:spacing w:after="0" w:line="360" w:lineRule="auto"/>
        <w:jc w:val="both"/>
        <w:rPr>
          <w:rFonts w:ascii="Arial" w:hAnsi="Arial" w:cs="Arial"/>
          <w:b/>
          <w:sz w:val="24"/>
          <w:szCs w:val="24"/>
          <w:u w:val="single"/>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38"/>
        <w:gridCol w:w="6055"/>
      </w:tblGrid>
      <w:tr w:rsidR="00A351BC" w14:paraId="112C230E" w14:textId="77777777">
        <w:tc>
          <w:tcPr>
            <w:tcW w:w="3438" w:type="dxa"/>
            <w:shd w:val="clear" w:color="auto" w:fill="D9D9D9"/>
          </w:tcPr>
          <w:p w14:paraId="38B0027C" w14:textId="77777777" w:rsidR="00A351BC" w:rsidRDefault="00000000">
            <w:pPr>
              <w:spacing w:before="120" w:after="120" w:line="360" w:lineRule="auto"/>
              <w:rPr>
                <w:rFonts w:ascii="Tahoma" w:hAnsi="Tahoma" w:cs="Tahoma"/>
                <w:sz w:val="24"/>
                <w:szCs w:val="24"/>
              </w:rPr>
            </w:pPr>
            <w:r>
              <w:rPr>
                <w:rFonts w:ascii="Tahoma" w:hAnsi="Tahoma" w:cs="Tahoma"/>
                <w:sz w:val="24"/>
                <w:szCs w:val="24"/>
              </w:rPr>
              <w:t>Assignment Title:</w:t>
            </w:r>
          </w:p>
        </w:tc>
        <w:tc>
          <w:tcPr>
            <w:tcW w:w="6055" w:type="dxa"/>
          </w:tcPr>
          <w:p w14:paraId="535C260A" w14:textId="6F9DC62C" w:rsidR="00A351BC" w:rsidRDefault="00755918" w:rsidP="00755918">
            <w:pPr>
              <w:rPr>
                <w:rFonts w:ascii="Tahoma" w:hAnsi="Tahoma" w:cs="Tahoma"/>
                <w:sz w:val="24"/>
                <w:szCs w:val="24"/>
              </w:rPr>
            </w:pPr>
            <w:r>
              <w:rPr>
                <w:rFonts w:ascii="Tahoma" w:hAnsi="Tahoma" w:cs="Tahoma"/>
                <w:sz w:val="24"/>
                <w:szCs w:val="24"/>
              </w:rPr>
              <w:t>Student Journal</w:t>
            </w:r>
          </w:p>
        </w:tc>
      </w:tr>
      <w:tr w:rsidR="00A351BC" w14:paraId="1D050D01" w14:textId="77777777">
        <w:tc>
          <w:tcPr>
            <w:tcW w:w="3438" w:type="dxa"/>
            <w:shd w:val="clear" w:color="auto" w:fill="D9D9D9"/>
          </w:tcPr>
          <w:p w14:paraId="65498642" w14:textId="77777777" w:rsidR="00A351BC" w:rsidRDefault="00000000">
            <w:pPr>
              <w:spacing w:before="120" w:after="120" w:line="360" w:lineRule="auto"/>
              <w:rPr>
                <w:rFonts w:ascii="Tahoma" w:hAnsi="Tahoma" w:cs="Tahoma"/>
                <w:sz w:val="24"/>
                <w:szCs w:val="24"/>
              </w:rPr>
            </w:pPr>
            <w:r>
              <w:rPr>
                <w:rFonts w:ascii="Tahoma" w:hAnsi="Tahoma" w:cs="Tahoma"/>
                <w:sz w:val="24"/>
                <w:szCs w:val="24"/>
              </w:rPr>
              <w:t>Student Name:</w:t>
            </w:r>
          </w:p>
        </w:tc>
        <w:tc>
          <w:tcPr>
            <w:tcW w:w="6055" w:type="dxa"/>
          </w:tcPr>
          <w:p w14:paraId="50B07854" w14:textId="469FA89F" w:rsidR="00A351BC" w:rsidRDefault="00755918">
            <w:pPr>
              <w:spacing w:before="120" w:after="120" w:line="360" w:lineRule="auto"/>
              <w:rPr>
                <w:rFonts w:ascii="Tahoma" w:hAnsi="Tahoma" w:cs="Tahoma"/>
                <w:sz w:val="24"/>
                <w:szCs w:val="24"/>
              </w:rPr>
            </w:pPr>
            <w:r>
              <w:rPr>
                <w:rFonts w:ascii="Tahoma" w:hAnsi="Tahoma" w:cs="Tahoma"/>
                <w:sz w:val="24"/>
                <w:szCs w:val="24"/>
              </w:rPr>
              <w:t>Simona Militaru</w:t>
            </w:r>
          </w:p>
        </w:tc>
      </w:tr>
      <w:tr w:rsidR="00A351BC" w14:paraId="4949E9F3" w14:textId="77777777">
        <w:tc>
          <w:tcPr>
            <w:tcW w:w="3438" w:type="dxa"/>
            <w:shd w:val="clear" w:color="auto" w:fill="D9D9D9"/>
          </w:tcPr>
          <w:p w14:paraId="65D094B6" w14:textId="77777777" w:rsidR="00A351BC" w:rsidRDefault="00000000">
            <w:pPr>
              <w:spacing w:before="120" w:after="120" w:line="360" w:lineRule="auto"/>
              <w:rPr>
                <w:rFonts w:ascii="Tahoma" w:hAnsi="Tahoma" w:cs="Tahoma"/>
                <w:sz w:val="24"/>
                <w:szCs w:val="24"/>
              </w:rPr>
            </w:pPr>
            <w:r>
              <w:rPr>
                <w:rFonts w:ascii="Tahoma" w:hAnsi="Tahoma" w:cs="Tahoma"/>
                <w:sz w:val="24"/>
                <w:szCs w:val="24"/>
              </w:rPr>
              <w:t>Student Number:</w:t>
            </w:r>
          </w:p>
        </w:tc>
        <w:tc>
          <w:tcPr>
            <w:tcW w:w="6055" w:type="dxa"/>
          </w:tcPr>
          <w:p w14:paraId="0DE5F08C" w14:textId="549AE5E0" w:rsidR="00A351BC" w:rsidRDefault="00755918">
            <w:pPr>
              <w:spacing w:before="120" w:after="120" w:line="360" w:lineRule="auto"/>
              <w:rPr>
                <w:rFonts w:ascii="Tahoma" w:hAnsi="Tahoma" w:cs="Tahoma"/>
                <w:sz w:val="24"/>
                <w:szCs w:val="24"/>
              </w:rPr>
            </w:pPr>
            <w:r>
              <w:rPr>
                <w:rFonts w:ascii="Tahoma" w:hAnsi="Tahoma" w:cs="Tahoma"/>
                <w:sz w:val="24"/>
                <w:szCs w:val="24"/>
              </w:rPr>
              <w:t>2214268</w:t>
            </w:r>
          </w:p>
        </w:tc>
      </w:tr>
      <w:tr w:rsidR="00A351BC" w14:paraId="426852B5" w14:textId="77777777">
        <w:tc>
          <w:tcPr>
            <w:tcW w:w="3438" w:type="dxa"/>
            <w:shd w:val="clear" w:color="auto" w:fill="D9D9D9"/>
          </w:tcPr>
          <w:p w14:paraId="33A0E6DF" w14:textId="77777777" w:rsidR="00A351BC" w:rsidRDefault="00000000">
            <w:pPr>
              <w:spacing w:before="120" w:after="120" w:line="360" w:lineRule="auto"/>
              <w:rPr>
                <w:rFonts w:ascii="Tahoma" w:hAnsi="Tahoma" w:cs="Tahoma"/>
                <w:sz w:val="24"/>
                <w:szCs w:val="24"/>
              </w:rPr>
            </w:pPr>
            <w:r>
              <w:rPr>
                <w:rFonts w:ascii="Tahoma" w:hAnsi="Tahoma" w:cs="Tahoma"/>
                <w:sz w:val="24"/>
                <w:szCs w:val="24"/>
              </w:rPr>
              <w:t>Module Code:</w:t>
            </w:r>
          </w:p>
        </w:tc>
        <w:tc>
          <w:tcPr>
            <w:tcW w:w="6055" w:type="dxa"/>
          </w:tcPr>
          <w:p w14:paraId="3EC5B973" w14:textId="72CA145E" w:rsidR="00A351BC" w:rsidRDefault="00755918">
            <w:pPr>
              <w:spacing w:before="120" w:after="120" w:line="360" w:lineRule="auto"/>
              <w:rPr>
                <w:rFonts w:ascii="Tahoma" w:hAnsi="Tahoma" w:cs="Tahoma"/>
                <w:sz w:val="24"/>
                <w:szCs w:val="24"/>
              </w:rPr>
            </w:pPr>
            <w:r>
              <w:rPr>
                <w:rFonts w:ascii="Tahoma" w:hAnsi="Tahoma" w:cs="Tahoma"/>
                <w:sz w:val="24"/>
                <w:szCs w:val="24"/>
              </w:rPr>
              <w:t>BMIH4002</w:t>
            </w:r>
          </w:p>
        </w:tc>
      </w:tr>
      <w:tr w:rsidR="00A351BC" w14:paraId="68EDF695" w14:textId="77777777">
        <w:trPr>
          <w:trHeight w:val="413"/>
        </w:trPr>
        <w:tc>
          <w:tcPr>
            <w:tcW w:w="3438" w:type="dxa"/>
            <w:shd w:val="clear" w:color="auto" w:fill="D9D9D9"/>
          </w:tcPr>
          <w:p w14:paraId="3739D31B" w14:textId="77777777" w:rsidR="00A351BC" w:rsidRDefault="00000000">
            <w:pPr>
              <w:spacing w:before="120" w:after="120" w:line="360" w:lineRule="auto"/>
              <w:rPr>
                <w:rFonts w:ascii="Tahoma" w:hAnsi="Tahoma" w:cs="Tahoma"/>
                <w:sz w:val="24"/>
                <w:szCs w:val="24"/>
              </w:rPr>
            </w:pPr>
            <w:r>
              <w:rPr>
                <w:rFonts w:ascii="Tahoma" w:hAnsi="Tahoma" w:cs="Tahoma"/>
                <w:sz w:val="24"/>
                <w:szCs w:val="24"/>
              </w:rPr>
              <w:t>Module Title:</w:t>
            </w:r>
          </w:p>
        </w:tc>
        <w:tc>
          <w:tcPr>
            <w:tcW w:w="6055" w:type="dxa"/>
          </w:tcPr>
          <w:p w14:paraId="4064751F" w14:textId="1A721744" w:rsidR="00A351BC" w:rsidRDefault="00755918">
            <w:pPr>
              <w:spacing w:before="120" w:after="120" w:line="360" w:lineRule="auto"/>
              <w:rPr>
                <w:rFonts w:ascii="Tahoma" w:hAnsi="Tahoma" w:cs="Tahoma"/>
                <w:sz w:val="24"/>
                <w:szCs w:val="24"/>
              </w:rPr>
            </w:pPr>
            <w:r>
              <w:rPr>
                <w:rFonts w:ascii="Tahoma" w:hAnsi="Tahoma" w:cs="Tahoma"/>
                <w:sz w:val="24"/>
                <w:szCs w:val="24"/>
              </w:rPr>
              <w:t>Food &amp; Beverage Operations</w:t>
            </w:r>
          </w:p>
        </w:tc>
      </w:tr>
      <w:tr w:rsidR="00A351BC" w14:paraId="7D79C25A" w14:textId="77777777">
        <w:trPr>
          <w:trHeight w:val="413"/>
        </w:trPr>
        <w:tc>
          <w:tcPr>
            <w:tcW w:w="3438" w:type="dxa"/>
            <w:shd w:val="clear" w:color="auto" w:fill="D9D9D9"/>
          </w:tcPr>
          <w:p w14:paraId="0C19A78C" w14:textId="77777777" w:rsidR="00A351BC" w:rsidRDefault="00000000">
            <w:pPr>
              <w:spacing w:before="120" w:after="120" w:line="360" w:lineRule="auto"/>
              <w:rPr>
                <w:rFonts w:ascii="Tahoma" w:hAnsi="Tahoma" w:cs="Tahoma"/>
                <w:sz w:val="24"/>
                <w:szCs w:val="24"/>
              </w:rPr>
            </w:pPr>
            <w:r>
              <w:rPr>
                <w:rFonts w:ascii="Tahoma" w:hAnsi="Tahoma" w:cs="Tahoma"/>
                <w:sz w:val="24"/>
                <w:szCs w:val="24"/>
              </w:rPr>
              <w:t>Lecturer Name:</w:t>
            </w:r>
          </w:p>
        </w:tc>
        <w:tc>
          <w:tcPr>
            <w:tcW w:w="6055" w:type="dxa"/>
          </w:tcPr>
          <w:p w14:paraId="4F3D4B2C" w14:textId="7AE544A0" w:rsidR="00A351BC" w:rsidRDefault="00755918">
            <w:pPr>
              <w:spacing w:before="120" w:after="120" w:line="360" w:lineRule="auto"/>
              <w:rPr>
                <w:rFonts w:ascii="Tahoma" w:hAnsi="Tahoma" w:cs="Tahoma"/>
                <w:sz w:val="24"/>
                <w:szCs w:val="24"/>
              </w:rPr>
            </w:pPr>
            <w:r>
              <w:rPr>
                <w:rFonts w:ascii="Tahoma" w:hAnsi="Tahoma" w:cs="Tahoma"/>
                <w:sz w:val="24"/>
                <w:szCs w:val="24"/>
              </w:rPr>
              <w:t>Ffion Cumberpatch</w:t>
            </w:r>
          </w:p>
        </w:tc>
      </w:tr>
      <w:tr w:rsidR="00A351BC" w14:paraId="015CD72C" w14:textId="77777777">
        <w:trPr>
          <w:trHeight w:val="413"/>
        </w:trPr>
        <w:tc>
          <w:tcPr>
            <w:tcW w:w="3438" w:type="dxa"/>
            <w:shd w:val="clear" w:color="auto" w:fill="D9D9D9"/>
          </w:tcPr>
          <w:p w14:paraId="43220210" w14:textId="77777777" w:rsidR="00A351BC" w:rsidRDefault="00000000">
            <w:pPr>
              <w:spacing w:before="120" w:after="120" w:line="360" w:lineRule="auto"/>
              <w:rPr>
                <w:rFonts w:ascii="Tahoma" w:hAnsi="Tahoma" w:cs="Tahoma"/>
                <w:sz w:val="24"/>
                <w:szCs w:val="24"/>
              </w:rPr>
            </w:pPr>
            <w:r>
              <w:rPr>
                <w:rFonts w:ascii="Tahoma" w:hAnsi="Tahoma" w:cs="Tahoma"/>
                <w:sz w:val="24"/>
                <w:szCs w:val="24"/>
              </w:rPr>
              <w:t>Assignment Wordcount:</w:t>
            </w:r>
          </w:p>
        </w:tc>
        <w:tc>
          <w:tcPr>
            <w:tcW w:w="6055" w:type="dxa"/>
          </w:tcPr>
          <w:p w14:paraId="0AB5F3F6" w14:textId="77777777" w:rsidR="00A351BC" w:rsidRDefault="00000000">
            <w:pPr>
              <w:spacing w:before="120" w:after="120" w:line="360" w:lineRule="auto"/>
              <w:rPr>
                <w:rFonts w:ascii="Tahoma" w:hAnsi="Tahoma" w:cs="Tahoma"/>
                <w:color w:val="FF0000"/>
                <w:sz w:val="24"/>
                <w:szCs w:val="24"/>
              </w:rPr>
            </w:pPr>
            <w:r>
              <w:rPr>
                <w:rFonts w:ascii="Tahoma" w:hAnsi="Tahoma" w:cs="Tahoma"/>
                <w:color w:val="000000" w:themeColor="text1"/>
                <w:sz w:val="24"/>
                <w:szCs w:val="24"/>
              </w:rPr>
              <w:t>751</w:t>
            </w:r>
          </w:p>
        </w:tc>
      </w:tr>
    </w:tbl>
    <w:p w14:paraId="61B76C4E" w14:textId="77777777" w:rsidR="00A351BC" w:rsidRDefault="00A351BC">
      <w:pPr>
        <w:spacing w:after="0" w:line="360" w:lineRule="auto"/>
        <w:jc w:val="both"/>
        <w:rPr>
          <w:rFonts w:ascii="Arial" w:hAnsi="Arial" w:cs="Arial"/>
          <w:b/>
          <w:sz w:val="24"/>
          <w:szCs w:val="24"/>
          <w:u w:val="single"/>
        </w:rPr>
      </w:pPr>
    </w:p>
    <w:p w14:paraId="54C2C474" w14:textId="77777777" w:rsidR="00A351BC" w:rsidRDefault="00A351BC">
      <w:pPr>
        <w:spacing w:after="0" w:line="360" w:lineRule="auto"/>
        <w:jc w:val="both"/>
        <w:rPr>
          <w:rFonts w:ascii="Arial" w:hAnsi="Arial" w:cs="Arial"/>
          <w:b/>
          <w:sz w:val="24"/>
          <w:szCs w:val="24"/>
          <w:u w:val="single"/>
        </w:rPr>
      </w:pPr>
    </w:p>
    <w:p w14:paraId="4EF76C75" w14:textId="77777777" w:rsidR="00A351BC" w:rsidRDefault="00A351BC">
      <w:pPr>
        <w:spacing w:after="0" w:line="360" w:lineRule="auto"/>
        <w:jc w:val="both"/>
        <w:rPr>
          <w:rFonts w:ascii="Arial" w:hAnsi="Arial" w:cs="Arial"/>
          <w:b/>
          <w:sz w:val="24"/>
          <w:szCs w:val="24"/>
          <w:u w:val="single"/>
        </w:rPr>
      </w:pPr>
    </w:p>
    <w:p w14:paraId="0508A7F0" w14:textId="77777777" w:rsidR="00A351BC" w:rsidRDefault="00A351BC">
      <w:pPr>
        <w:spacing w:after="0" w:line="360" w:lineRule="auto"/>
        <w:jc w:val="both"/>
        <w:rPr>
          <w:rFonts w:ascii="Arial" w:hAnsi="Arial" w:cs="Arial"/>
          <w:b/>
          <w:sz w:val="24"/>
          <w:szCs w:val="24"/>
          <w:u w:val="single"/>
        </w:rPr>
      </w:pPr>
    </w:p>
    <w:p w14:paraId="381F5716" w14:textId="77777777" w:rsidR="00A351BC" w:rsidRDefault="00A351BC">
      <w:pPr>
        <w:spacing w:after="0" w:line="360" w:lineRule="auto"/>
        <w:jc w:val="both"/>
        <w:rPr>
          <w:rFonts w:ascii="Arial" w:hAnsi="Arial" w:cs="Arial"/>
          <w:b/>
          <w:sz w:val="24"/>
          <w:szCs w:val="24"/>
          <w:u w:val="single"/>
        </w:rPr>
      </w:pPr>
    </w:p>
    <w:p w14:paraId="255CC9F9" w14:textId="77777777" w:rsidR="00A351BC" w:rsidRDefault="00A351BC">
      <w:pPr>
        <w:spacing w:after="0" w:line="360" w:lineRule="auto"/>
        <w:jc w:val="both"/>
        <w:rPr>
          <w:rFonts w:ascii="Arial" w:hAnsi="Arial" w:cs="Arial"/>
          <w:b/>
          <w:sz w:val="24"/>
          <w:szCs w:val="24"/>
          <w:u w:val="single"/>
        </w:rPr>
      </w:pPr>
    </w:p>
    <w:p w14:paraId="73BD2D45" w14:textId="77777777" w:rsidR="00A351BC" w:rsidRDefault="00000000">
      <w:pPr>
        <w:spacing w:after="0" w:line="360" w:lineRule="auto"/>
        <w:jc w:val="both"/>
        <w:rPr>
          <w:rFonts w:ascii="Arial" w:hAnsi="Arial" w:cs="Arial"/>
          <w:b/>
          <w:sz w:val="24"/>
          <w:szCs w:val="24"/>
          <w:u w:val="single"/>
        </w:rPr>
      </w:pPr>
      <w:r>
        <w:rPr>
          <w:rFonts w:ascii="Arial" w:hAnsi="Arial" w:cs="Arial"/>
          <w:b/>
          <w:sz w:val="24"/>
          <w:szCs w:val="24"/>
          <w:u w:val="single"/>
        </w:rPr>
        <w:lastRenderedPageBreak/>
        <w:t>Introduction/Summary</w:t>
      </w:r>
    </w:p>
    <w:p w14:paraId="3B7EABC6" w14:textId="77777777" w:rsidR="00A351BC" w:rsidRDefault="00000000">
      <w:pPr>
        <w:spacing w:after="0" w:line="360" w:lineRule="auto"/>
        <w:jc w:val="both"/>
        <w:rPr>
          <w:rFonts w:ascii="Arial" w:hAnsi="Arial" w:cs="Arial"/>
          <w:sz w:val="24"/>
          <w:szCs w:val="24"/>
        </w:rPr>
      </w:pPr>
      <w:r>
        <w:rPr>
          <w:rFonts w:ascii="Arial" w:hAnsi="Arial" w:cs="Arial"/>
          <w:sz w:val="24"/>
          <w:szCs w:val="24"/>
        </w:rPr>
        <w:t xml:space="preserve">This journal will explore, based on prior personal experience and research inferences, how I believe service types within the Food &amp; Beverage industry can influence required employee skill sets. </w:t>
      </w:r>
    </w:p>
    <w:p w14:paraId="0590A094" w14:textId="77777777" w:rsidR="00A351BC" w:rsidRDefault="00A351BC">
      <w:pPr>
        <w:spacing w:after="0" w:line="360" w:lineRule="auto"/>
        <w:jc w:val="both"/>
        <w:rPr>
          <w:rFonts w:ascii="Arial" w:hAnsi="Arial" w:cs="Arial"/>
          <w:sz w:val="24"/>
          <w:szCs w:val="24"/>
          <w:u w:val="single"/>
        </w:rPr>
      </w:pPr>
    </w:p>
    <w:p w14:paraId="186CF27C" w14:textId="77777777" w:rsidR="00A351BC" w:rsidRDefault="00000000">
      <w:pPr>
        <w:spacing w:after="0" w:line="360" w:lineRule="auto"/>
        <w:jc w:val="both"/>
        <w:rPr>
          <w:rFonts w:ascii="Arial" w:hAnsi="Arial" w:cs="Arial"/>
          <w:b/>
          <w:sz w:val="24"/>
          <w:szCs w:val="24"/>
          <w:u w:val="single"/>
        </w:rPr>
      </w:pPr>
      <w:r>
        <w:rPr>
          <w:rFonts w:ascii="Arial" w:hAnsi="Arial" w:cs="Arial"/>
          <w:b/>
          <w:sz w:val="24"/>
          <w:szCs w:val="24"/>
          <w:u w:val="single"/>
        </w:rPr>
        <w:t>Main Body</w:t>
      </w:r>
    </w:p>
    <w:p w14:paraId="269F32AD" w14:textId="77777777" w:rsidR="00A351BC" w:rsidRDefault="00000000">
      <w:pPr>
        <w:spacing w:after="0" w:line="360" w:lineRule="auto"/>
        <w:jc w:val="both"/>
        <w:rPr>
          <w:rFonts w:ascii="Arial" w:hAnsi="Arial" w:cs="Arial"/>
          <w:sz w:val="24"/>
          <w:szCs w:val="24"/>
        </w:rPr>
      </w:pPr>
      <w:r>
        <w:rPr>
          <w:rFonts w:ascii="Arial" w:hAnsi="Arial" w:cs="Arial"/>
          <w:sz w:val="24"/>
          <w:szCs w:val="24"/>
        </w:rPr>
        <w:t xml:space="preserve">My analysis first starts with the type of product(s)/services offered; for instance, does a business have a license to serve alcohol? I was previously aware, as part of the 11million people asked, since the scheme was revised in 2009 (Retail of Alcohol Standards Group, 2009), that UK employees require to ask for “I.D.” of customers that look below the age of 25 (“Challenge 25”). Not doing </w:t>
      </w:r>
      <w:proofErr w:type="gramStart"/>
      <w:r>
        <w:rPr>
          <w:rFonts w:ascii="Arial" w:hAnsi="Arial" w:cs="Arial"/>
          <w:sz w:val="24"/>
          <w:szCs w:val="24"/>
        </w:rPr>
        <w:t>so, and</w:t>
      </w:r>
      <w:proofErr w:type="gramEnd"/>
      <w:r>
        <w:rPr>
          <w:rFonts w:ascii="Arial" w:hAnsi="Arial" w:cs="Arial"/>
          <w:sz w:val="24"/>
          <w:szCs w:val="24"/>
        </w:rPr>
        <w:t xml:space="preserve"> selling alcohol to a minor (below 18), could lead to convictions resulting in both fines and criminal records for all involved parties (</w:t>
      </w:r>
      <w:proofErr w:type="spellStart"/>
      <w:r>
        <w:rPr>
          <w:rFonts w:ascii="Arial" w:hAnsi="Arial" w:cs="Arial"/>
          <w:sz w:val="24"/>
          <w:szCs w:val="24"/>
        </w:rPr>
        <w:t>drinkaware</w:t>
      </w:r>
      <w:proofErr w:type="spellEnd"/>
      <w:r>
        <w:rPr>
          <w:rFonts w:ascii="Arial" w:hAnsi="Arial" w:cs="Arial"/>
          <w:sz w:val="24"/>
          <w:szCs w:val="24"/>
        </w:rPr>
        <w:t xml:space="preserve">, 2022). Upon undertaking further study, I’ve learned that a food &amp; beverage business selling alcohol requires </w:t>
      </w:r>
      <w:r>
        <w:rPr>
          <w:rFonts w:ascii="Arial" w:hAnsi="Arial" w:cs="Arial"/>
          <w:sz w:val="24"/>
          <w:szCs w:val="24"/>
          <w:u w:val="single"/>
        </w:rPr>
        <w:t>both</w:t>
      </w:r>
      <w:r>
        <w:rPr>
          <w:rFonts w:ascii="Arial" w:hAnsi="Arial" w:cs="Arial"/>
          <w:sz w:val="24"/>
          <w:szCs w:val="24"/>
        </w:rPr>
        <w:t xml:space="preserve"> a “premise license” and a “premise supervisor” (who is specified within the terms of the license). This premise supervisor is required to enable the supply of alcohol to a business, as stated in the Licensing Act: (supply must be) “made or authorised by a person who holds a personal license” (UK Parliament, 2003).</w:t>
      </w:r>
      <w:r>
        <w:t xml:space="preserve"> </w:t>
      </w:r>
      <w:r>
        <w:rPr>
          <w:rFonts w:ascii="Arial" w:hAnsi="Arial" w:cs="Arial"/>
          <w:sz w:val="24"/>
          <w:szCs w:val="24"/>
        </w:rPr>
        <w:t>I now understand that this increase of liability when selling alcohol is a key factor (alongside “soft skill” people management requirements) for justifying the higher skillset needs and subsequent pay for supervisory roles in food and beverage establishments. In hindsight, I also realise that alcohol is not the only product/service that requires greater regulation (and thus employee skills) due to liability. For example, food and beverage companies with children/elderly as targeted consumers are also increasingly liable (“Meals on wheels” services) (</w:t>
      </w:r>
      <w:proofErr w:type="spellStart"/>
      <w:r>
        <w:rPr>
          <w:rFonts w:ascii="Arial" w:hAnsi="Arial" w:cs="Arial"/>
          <w:sz w:val="24"/>
          <w:szCs w:val="24"/>
        </w:rPr>
        <w:t>Papadaki</w:t>
      </w:r>
      <w:proofErr w:type="spellEnd"/>
      <w:r>
        <w:rPr>
          <w:rFonts w:ascii="Arial" w:hAnsi="Arial" w:cs="Arial"/>
          <w:sz w:val="24"/>
          <w:szCs w:val="24"/>
        </w:rPr>
        <w:t>, 2021).</w:t>
      </w:r>
    </w:p>
    <w:p w14:paraId="4467D018" w14:textId="77777777" w:rsidR="00A351BC" w:rsidRDefault="00A351BC">
      <w:pPr>
        <w:spacing w:after="0" w:line="360" w:lineRule="auto"/>
        <w:jc w:val="both"/>
        <w:rPr>
          <w:rFonts w:ascii="Arial" w:hAnsi="Arial" w:cs="Arial"/>
          <w:sz w:val="24"/>
          <w:szCs w:val="24"/>
        </w:rPr>
      </w:pPr>
    </w:p>
    <w:p w14:paraId="5DA6F9DD" w14:textId="77777777" w:rsidR="00A351BC" w:rsidRDefault="00000000">
      <w:pPr>
        <w:spacing w:after="0" w:line="360" w:lineRule="auto"/>
        <w:jc w:val="both"/>
        <w:rPr>
          <w:rFonts w:ascii="Arial" w:hAnsi="Arial" w:cs="Arial"/>
          <w:sz w:val="24"/>
          <w:szCs w:val="24"/>
        </w:rPr>
      </w:pPr>
      <w:r>
        <w:rPr>
          <w:rFonts w:ascii="Arial" w:hAnsi="Arial" w:cs="Arial"/>
          <w:sz w:val="24"/>
          <w:szCs w:val="24"/>
        </w:rPr>
        <w:t>Second key “service-skill” consideration: between businesses, what is the comparative size and Unique Selling Point (USP)? I’m aware that a local restaurant chef for instance will require more culinary skills (i.e. prepping vegetables with a knife) in comparison to McDonald’s kitchen employees where “staff simply have to put their food in oil.” (</w:t>
      </w:r>
      <w:proofErr w:type="spellStart"/>
      <w:r>
        <w:rPr>
          <w:rFonts w:ascii="Arial" w:hAnsi="Arial" w:cs="Arial"/>
          <w:sz w:val="24"/>
          <w:szCs w:val="24"/>
        </w:rPr>
        <w:t>Rajawat</w:t>
      </w:r>
      <w:proofErr w:type="spellEnd"/>
      <w:r>
        <w:rPr>
          <w:rFonts w:ascii="Arial" w:hAnsi="Arial" w:cs="Arial"/>
          <w:sz w:val="24"/>
          <w:szCs w:val="24"/>
        </w:rPr>
        <w:t xml:space="preserve"> </w:t>
      </w:r>
      <w:r>
        <w:rPr>
          <w:rFonts w:ascii="Arial" w:hAnsi="Arial" w:cs="Arial"/>
          <w:i/>
          <w:iCs/>
          <w:sz w:val="24"/>
          <w:szCs w:val="24"/>
        </w:rPr>
        <w:t>et</w:t>
      </w:r>
      <w:r>
        <w:rPr>
          <w:rFonts w:ascii="Arial" w:hAnsi="Arial" w:cs="Arial"/>
          <w:sz w:val="24"/>
          <w:szCs w:val="24"/>
        </w:rPr>
        <w:t xml:space="preserve"> al.,2020) Larger Franchise business models like McDonald’s benefit from this comparative production efficiency both in reducing overhead costs, by needing less skilled workers, and by increasing the speed of their fast-food customer facing model, a USP for the business (Wu, 2020). Businesses offering a more unique product/service (like an artisanal coffee shop) will require a higher skilled </w:t>
      </w:r>
      <w:r>
        <w:rPr>
          <w:rFonts w:ascii="Arial" w:hAnsi="Arial" w:cs="Arial"/>
          <w:sz w:val="24"/>
          <w:szCs w:val="24"/>
        </w:rPr>
        <w:lastRenderedPageBreak/>
        <w:t xml:space="preserve">workforce. AI/robotics that can mimic such skills are consequently receiving higher investment and consumer analyses in recent years (Hwang, 2021). </w:t>
      </w:r>
    </w:p>
    <w:p w14:paraId="69CC889F" w14:textId="77777777" w:rsidR="00A351BC" w:rsidRDefault="00A351BC">
      <w:pPr>
        <w:spacing w:after="0" w:line="360" w:lineRule="auto"/>
        <w:jc w:val="both"/>
        <w:rPr>
          <w:rFonts w:ascii="Arial" w:hAnsi="Arial" w:cs="Arial"/>
          <w:sz w:val="24"/>
          <w:szCs w:val="24"/>
        </w:rPr>
      </w:pPr>
    </w:p>
    <w:p w14:paraId="66A226D5" w14:textId="77777777" w:rsidR="00A351BC" w:rsidRDefault="00000000">
      <w:pPr>
        <w:spacing w:after="0" w:line="360" w:lineRule="auto"/>
        <w:jc w:val="both"/>
        <w:rPr>
          <w:rFonts w:ascii="Arial" w:hAnsi="Arial" w:cs="Arial"/>
          <w:sz w:val="24"/>
          <w:szCs w:val="24"/>
        </w:rPr>
      </w:pPr>
      <w:r>
        <w:rPr>
          <w:rFonts w:ascii="Arial" w:hAnsi="Arial" w:cs="Arial"/>
          <w:sz w:val="24"/>
          <w:szCs w:val="24"/>
        </w:rPr>
        <w:t>Finally, the different role requirements across an individual workforce are an integral aspect of employee skill set. In a busy Costa Coffee for example, Front Of House (FOH) staff may take my coffee order, but a separate, more skilled, Back Of House (BOH) barista may make it. This skill divide (particularly in restaurants) has led to a wider UK cultural impact regarding ‘tipping.’ Tip pooling/sharing across different work roles in premises has increased (Azar, 2020) and 2021 UK legislation now protects workers, ensuring they receive all tips - previously withheld by some employers (Paul Scully, 2021).</w:t>
      </w:r>
    </w:p>
    <w:p w14:paraId="75B8A8DF" w14:textId="77777777" w:rsidR="00A351BC" w:rsidRDefault="00A351BC">
      <w:pPr>
        <w:spacing w:after="0" w:line="360" w:lineRule="auto"/>
        <w:jc w:val="both"/>
        <w:rPr>
          <w:rFonts w:ascii="Arial" w:hAnsi="Arial" w:cs="Arial"/>
          <w:sz w:val="24"/>
          <w:szCs w:val="24"/>
        </w:rPr>
      </w:pPr>
    </w:p>
    <w:p w14:paraId="483357A4" w14:textId="77777777" w:rsidR="00A351BC" w:rsidRDefault="00000000">
      <w:pPr>
        <w:spacing w:after="0" w:line="360" w:lineRule="auto"/>
        <w:jc w:val="both"/>
        <w:rPr>
          <w:rFonts w:ascii="Arial" w:hAnsi="Arial" w:cs="Arial"/>
          <w:sz w:val="24"/>
          <w:szCs w:val="24"/>
        </w:rPr>
      </w:pPr>
      <w:r>
        <w:rPr>
          <w:rFonts w:ascii="Arial" w:hAnsi="Arial"/>
          <w:sz w:val="24"/>
          <w:szCs w:val="24"/>
        </w:rPr>
        <w:t>The best way to perfect your hard and soft skills, as well as improve your communication skills in particular, is to take training in this area, complemented by the necessary practice, so that you can interact with as many people as possible I think it will be. We aim to not only describe customer types as much as possible, but also to better understand the details of some business models in the food and beverage industry. In particular, assisting with company inventory and audit activity details will help you fully understand this area, as there is a link between legal documents, required notices and permits, and the activity itself.</w:t>
      </w:r>
    </w:p>
    <w:p w14:paraId="74B60651" w14:textId="77777777" w:rsidR="00A351BC" w:rsidRDefault="00A351BC">
      <w:pPr>
        <w:spacing w:after="0" w:line="360" w:lineRule="auto"/>
        <w:jc w:val="both"/>
        <w:rPr>
          <w:rFonts w:ascii="Arial" w:hAnsi="Arial" w:cs="Arial"/>
          <w:sz w:val="24"/>
          <w:szCs w:val="24"/>
        </w:rPr>
      </w:pPr>
    </w:p>
    <w:p w14:paraId="061D462B" w14:textId="77777777" w:rsidR="00A351BC" w:rsidRDefault="00000000">
      <w:pPr>
        <w:spacing w:after="0" w:line="360" w:lineRule="auto"/>
        <w:jc w:val="both"/>
        <w:rPr>
          <w:rFonts w:ascii="Arial" w:hAnsi="Arial" w:cs="Arial"/>
          <w:b/>
          <w:bCs/>
          <w:sz w:val="24"/>
          <w:szCs w:val="24"/>
          <w:u w:val="single"/>
        </w:rPr>
      </w:pPr>
      <w:r>
        <w:rPr>
          <w:rFonts w:ascii="Arial" w:hAnsi="Arial" w:cs="Arial"/>
          <w:b/>
          <w:bCs/>
          <w:sz w:val="24"/>
          <w:szCs w:val="24"/>
          <w:u w:val="single"/>
        </w:rPr>
        <w:t>Conclusion</w:t>
      </w:r>
    </w:p>
    <w:p w14:paraId="2C199319" w14:textId="77777777" w:rsidR="00A351BC" w:rsidRDefault="00000000">
      <w:pPr>
        <w:spacing w:after="0" w:line="360" w:lineRule="auto"/>
        <w:jc w:val="both"/>
        <w:rPr>
          <w:rFonts w:ascii="Arial" w:hAnsi="Arial" w:cs="Arial"/>
          <w:sz w:val="24"/>
          <w:szCs w:val="24"/>
        </w:rPr>
      </w:pPr>
      <w:r>
        <w:rPr>
          <w:rFonts w:ascii="Arial" w:hAnsi="Arial" w:cs="Arial"/>
          <w:sz w:val="24"/>
          <w:szCs w:val="24"/>
        </w:rPr>
        <w:t>Overall, I believe that required skill sets of Food &amp; Beverage employees do change based the types of service the operations utilise. Three key drivers for this conclusion are: 1) which product(s)/services are being sold by the business? 2) between businesses, what is the comparative size and unique selling point (USP)? and 3) what are the different employee roles across the workforce?</w:t>
      </w:r>
    </w:p>
    <w:p w14:paraId="6C2CF7C0" w14:textId="77777777" w:rsidR="00A351BC" w:rsidRDefault="00A351BC">
      <w:pPr>
        <w:spacing w:after="0" w:line="360" w:lineRule="auto"/>
        <w:jc w:val="both"/>
        <w:rPr>
          <w:rFonts w:ascii="Arial" w:hAnsi="Arial" w:cs="Arial"/>
          <w:sz w:val="24"/>
          <w:szCs w:val="24"/>
        </w:rPr>
      </w:pPr>
    </w:p>
    <w:p w14:paraId="14298081" w14:textId="77777777" w:rsidR="00A351BC" w:rsidRDefault="00000000">
      <w:pPr>
        <w:spacing w:after="0" w:line="360" w:lineRule="auto"/>
        <w:jc w:val="both"/>
        <w:rPr>
          <w:rFonts w:ascii="Arial" w:hAnsi="Arial" w:cs="Arial"/>
          <w:sz w:val="24"/>
          <w:szCs w:val="24"/>
        </w:rPr>
      </w:pPr>
      <w:r>
        <w:rPr>
          <w:rFonts w:ascii="Arial" w:hAnsi="Arial"/>
          <w:sz w:val="24"/>
          <w:szCs w:val="24"/>
        </w:rPr>
        <w:t xml:space="preserve">I was able to find the answers to these questions. And a very essential first aspect to examine is the type of product or service offered by a particular company, a separate aspect is characterized by the size of the company compared to its own point of sale. The last aspect </w:t>
      </w:r>
      <w:proofErr w:type="spellStart"/>
      <w:r>
        <w:rPr>
          <w:rFonts w:ascii="Arial" w:hAnsi="Arial"/>
          <w:sz w:val="24"/>
          <w:szCs w:val="24"/>
        </w:rPr>
        <w:t>analyzed</w:t>
      </w:r>
      <w:proofErr w:type="spellEnd"/>
      <w:r>
        <w:rPr>
          <w:rFonts w:ascii="Arial" w:hAnsi="Arial"/>
          <w:sz w:val="24"/>
          <w:szCs w:val="24"/>
        </w:rPr>
        <w:t xml:space="preserve"> relates to the role employees play in each type of business and their degree of complexity. For example, a cashier employee and a cook employee.</w:t>
      </w:r>
    </w:p>
    <w:p w14:paraId="1733A32B" w14:textId="77777777" w:rsidR="00A351BC" w:rsidRDefault="00A351BC">
      <w:pPr>
        <w:spacing w:after="0" w:line="360" w:lineRule="auto"/>
        <w:jc w:val="both"/>
        <w:rPr>
          <w:rFonts w:ascii="Arial" w:hAnsi="Arial" w:cs="Arial"/>
          <w:sz w:val="24"/>
          <w:szCs w:val="24"/>
        </w:rPr>
      </w:pPr>
    </w:p>
    <w:p w14:paraId="330754FB" w14:textId="77777777" w:rsidR="00A351BC" w:rsidRDefault="00A351BC">
      <w:pPr>
        <w:spacing w:after="0" w:line="360" w:lineRule="auto"/>
        <w:jc w:val="both"/>
        <w:rPr>
          <w:rFonts w:ascii="Arial" w:hAnsi="Arial" w:cs="Arial"/>
          <w:sz w:val="24"/>
          <w:szCs w:val="24"/>
        </w:rPr>
      </w:pPr>
    </w:p>
    <w:p w14:paraId="3B53E90A" w14:textId="77777777" w:rsidR="00A351BC" w:rsidRDefault="00A351BC">
      <w:pPr>
        <w:spacing w:after="0" w:line="360" w:lineRule="auto"/>
        <w:jc w:val="both"/>
        <w:rPr>
          <w:rFonts w:ascii="Arial" w:hAnsi="Arial" w:cs="Arial"/>
          <w:sz w:val="24"/>
          <w:szCs w:val="24"/>
        </w:rPr>
      </w:pPr>
    </w:p>
    <w:p w14:paraId="1D2005E4" w14:textId="77777777" w:rsidR="00A351BC" w:rsidRDefault="00000000">
      <w:pPr>
        <w:spacing w:after="0" w:line="360" w:lineRule="auto"/>
        <w:jc w:val="both"/>
        <w:rPr>
          <w:rFonts w:ascii="Arial" w:hAnsi="Arial" w:cs="Arial"/>
          <w:b/>
          <w:bCs/>
          <w:sz w:val="24"/>
          <w:szCs w:val="24"/>
          <w:u w:val="single"/>
        </w:rPr>
      </w:pPr>
      <w:r>
        <w:rPr>
          <w:rFonts w:ascii="Arial" w:hAnsi="Arial" w:cs="Arial"/>
          <w:b/>
          <w:bCs/>
          <w:sz w:val="24"/>
          <w:szCs w:val="24"/>
          <w:u w:val="single"/>
        </w:rPr>
        <w:t>Reference List</w:t>
      </w:r>
    </w:p>
    <w:p w14:paraId="708ECCD3" w14:textId="77777777" w:rsidR="00A351BC" w:rsidRDefault="00A351BC">
      <w:pPr>
        <w:spacing w:after="0" w:line="360" w:lineRule="auto"/>
        <w:jc w:val="both"/>
        <w:rPr>
          <w:rFonts w:ascii="Arial" w:hAnsi="Arial" w:cs="Arial"/>
          <w:sz w:val="24"/>
          <w:szCs w:val="24"/>
        </w:rPr>
      </w:pPr>
    </w:p>
    <w:p w14:paraId="3154A20E" w14:textId="77777777" w:rsidR="00A351BC" w:rsidRDefault="00A351BC">
      <w:pPr>
        <w:spacing w:after="0" w:line="360" w:lineRule="auto"/>
        <w:jc w:val="both"/>
        <w:rPr>
          <w:rFonts w:ascii="Arial" w:hAnsi="Arial" w:cs="Arial"/>
          <w:sz w:val="24"/>
          <w:szCs w:val="24"/>
        </w:rPr>
      </w:pPr>
    </w:p>
    <w:p w14:paraId="16D9C00A" w14:textId="77777777" w:rsidR="00A351BC" w:rsidRDefault="00000000">
      <w:pPr>
        <w:pStyle w:val="EndnoteText"/>
        <w:numPr>
          <w:ilvl w:val="0"/>
          <w:numId w:val="1"/>
        </w:numPr>
        <w:spacing w:line="360" w:lineRule="auto"/>
        <w:jc w:val="both"/>
        <w:rPr>
          <w:rFonts w:ascii="Arial" w:hAnsi="Arial" w:cs="Arial"/>
          <w:sz w:val="24"/>
          <w:szCs w:val="24"/>
        </w:rPr>
      </w:pPr>
      <w:r>
        <w:rPr>
          <w:rFonts w:ascii="Arial" w:hAnsi="Arial" w:cs="Arial"/>
          <w:sz w:val="24"/>
          <w:szCs w:val="24"/>
        </w:rPr>
        <w:t xml:space="preserve">Azar, O H. (2020). The Economics of Tipping. </w:t>
      </w:r>
      <w:r>
        <w:rPr>
          <w:rFonts w:ascii="Arial" w:hAnsi="Arial" w:cs="Arial"/>
          <w:i/>
          <w:iCs/>
          <w:sz w:val="24"/>
          <w:szCs w:val="24"/>
        </w:rPr>
        <w:t>American Economic Association</w:t>
      </w:r>
      <w:r>
        <w:rPr>
          <w:rFonts w:ascii="Arial" w:hAnsi="Arial" w:cs="Arial"/>
          <w:sz w:val="24"/>
          <w:szCs w:val="24"/>
        </w:rPr>
        <w:t>. 34(2), pp.215-236. [Online]. Available at: DOI: 10.1257/jep.34.2.215 [Accessed 12 January 2023].</w:t>
      </w:r>
    </w:p>
    <w:p w14:paraId="3AA90804" w14:textId="77777777" w:rsidR="00A351BC" w:rsidRDefault="00000000">
      <w:pPr>
        <w:pStyle w:val="EndnoteText"/>
        <w:numPr>
          <w:ilvl w:val="0"/>
          <w:numId w:val="1"/>
        </w:numPr>
        <w:spacing w:line="360" w:lineRule="auto"/>
        <w:jc w:val="both"/>
        <w:rPr>
          <w:rFonts w:ascii="Arial" w:hAnsi="Arial" w:cs="Arial"/>
          <w:sz w:val="24"/>
          <w:szCs w:val="24"/>
        </w:rPr>
      </w:pPr>
      <w:proofErr w:type="spellStart"/>
      <w:r>
        <w:rPr>
          <w:rFonts w:ascii="Arial" w:hAnsi="Arial" w:cs="Arial"/>
          <w:sz w:val="24"/>
          <w:szCs w:val="24"/>
        </w:rPr>
        <w:t>drinkaware</w:t>
      </w:r>
      <w:proofErr w:type="spellEnd"/>
      <w:r>
        <w:rPr>
          <w:rFonts w:ascii="Arial" w:hAnsi="Arial" w:cs="Arial"/>
          <w:sz w:val="24"/>
          <w:szCs w:val="24"/>
        </w:rPr>
        <w:t xml:space="preserve">. (2022). </w:t>
      </w:r>
      <w:r>
        <w:rPr>
          <w:rFonts w:ascii="Arial" w:hAnsi="Arial" w:cs="Arial"/>
          <w:i/>
          <w:iCs/>
          <w:sz w:val="24"/>
          <w:szCs w:val="24"/>
        </w:rPr>
        <w:t>The law on alcohol and under-18s</w:t>
      </w:r>
      <w:r>
        <w:rPr>
          <w:rFonts w:ascii="Arial" w:hAnsi="Arial" w:cs="Arial"/>
          <w:sz w:val="24"/>
          <w:szCs w:val="24"/>
        </w:rPr>
        <w:t>. [Online]. Alcohol and the law. Last Updated: 28 April 2022. Available at: https://www.drinkaware.co.uk/facts/alcohol-and-the-law/the-law-on-alcohol-and-under-18s [Accessed 5 January 2023].</w:t>
      </w:r>
    </w:p>
    <w:p w14:paraId="01A546C4" w14:textId="77777777" w:rsidR="00A351BC" w:rsidRDefault="00000000">
      <w:pPr>
        <w:pStyle w:val="EndnoteText"/>
        <w:numPr>
          <w:ilvl w:val="0"/>
          <w:numId w:val="1"/>
        </w:numPr>
        <w:spacing w:line="360" w:lineRule="auto"/>
        <w:jc w:val="both"/>
        <w:rPr>
          <w:rFonts w:ascii="Arial" w:hAnsi="Arial" w:cs="Arial"/>
          <w:sz w:val="24"/>
          <w:szCs w:val="24"/>
        </w:rPr>
      </w:pPr>
      <w:r>
        <w:rPr>
          <w:rFonts w:ascii="Arial" w:hAnsi="Arial" w:cs="Arial"/>
          <w:sz w:val="24"/>
          <w:szCs w:val="24"/>
        </w:rPr>
        <w:t xml:space="preserve">Hwang, J et al. (2021). Human baristas and robot baristas: How </w:t>
      </w:r>
      <w:proofErr w:type="gramStart"/>
      <w:r>
        <w:rPr>
          <w:rFonts w:ascii="Arial" w:hAnsi="Arial" w:cs="Arial"/>
          <w:sz w:val="24"/>
          <w:szCs w:val="24"/>
        </w:rPr>
        <w:t>does</w:t>
      </w:r>
      <w:proofErr w:type="gramEnd"/>
      <w:r>
        <w:rPr>
          <w:rFonts w:ascii="Arial" w:hAnsi="Arial" w:cs="Arial"/>
          <w:sz w:val="24"/>
          <w:szCs w:val="24"/>
        </w:rPr>
        <w:t xml:space="preserve"> brand experience affect brand satisfaction, brand attitude, brand attachment. </w:t>
      </w:r>
      <w:r>
        <w:rPr>
          <w:rFonts w:ascii="Arial" w:hAnsi="Arial" w:cs="Arial"/>
          <w:i/>
          <w:iCs/>
          <w:sz w:val="24"/>
          <w:szCs w:val="24"/>
        </w:rPr>
        <w:t xml:space="preserve">International Journal </w:t>
      </w:r>
      <w:proofErr w:type="gramStart"/>
      <w:r>
        <w:rPr>
          <w:rFonts w:ascii="Arial" w:hAnsi="Arial" w:cs="Arial"/>
          <w:i/>
          <w:iCs/>
          <w:sz w:val="24"/>
          <w:szCs w:val="24"/>
        </w:rPr>
        <w:t>Of</w:t>
      </w:r>
      <w:proofErr w:type="gramEnd"/>
      <w:r>
        <w:rPr>
          <w:rFonts w:ascii="Arial" w:hAnsi="Arial" w:cs="Arial"/>
          <w:i/>
          <w:iCs/>
          <w:sz w:val="24"/>
          <w:szCs w:val="24"/>
        </w:rPr>
        <w:t xml:space="preserve"> Hospitality Management</w:t>
      </w:r>
      <w:r>
        <w:rPr>
          <w:rFonts w:ascii="Arial" w:hAnsi="Arial" w:cs="Arial"/>
          <w:sz w:val="24"/>
          <w:szCs w:val="24"/>
        </w:rPr>
        <w:t>. 99(103050). [Online]. Available at: https://doi.org/10.1016/j.ijhm.2021.103050 [Accessed 8 January 2023].</w:t>
      </w:r>
    </w:p>
    <w:p w14:paraId="3C98815B" w14:textId="77777777" w:rsidR="00A351BC" w:rsidRDefault="00000000">
      <w:pPr>
        <w:pStyle w:val="EndnoteText"/>
        <w:numPr>
          <w:ilvl w:val="0"/>
          <w:numId w:val="1"/>
        </w:numPr>
        <w:spacing w:line="360" w:lineRule="auto"/>
        <w:jc w:val="both"/>
        <w:rPr>
          <w:rFonts w:ascii="Arial" w:hAnsi="Arial" w:cs="Arial"/>
          <w:sz w:val="24"/>
          <w:szCs w:val="24"/>
        </w:rPr>
      </w:pPr>
      <w:proofErr w:type="spellStart"/>
      <w:r>
        <w:rPr>
          <w:rFonts w:ascii="Arial" w:hAnsi="Arial" w:cs="Arial"/>
          <w:sz w:val="24"/>
          <w:szCs w:val="24"/>
        </w:rPr>
        <w:t>Papadaki</w:t>
      </w:r>
      <w:proofErr w:type="spellEnd"/>
      <w:r>
        <w:rPr>
          <w:rFonts w:ascii="Arial" w:hAnsi="Arial" w:cs="Arial"/>
          <w:sz w:val="24"/>
          <w:szCs w:val="24"/>
        </w:rPr>
        <w:t xml:space="preserve">, A. (2021). A qualitative study exploring how Meals on Wheels meet the needs of self-isolating adults during COVID-19. </w:t>
      </w:r>
      <w:r>
        <w:rPr>
          <w:rFonts w:ascii="Arial" w:hAnsi="Arial" w:cs="Arial"/>
          <w:i/>
          <w:iCs/>
          <w:sz w:val="24"/>
          <w:szCs w:val="24"/>
        </w:rPr>
        <w:t>Health and Social Care in the Community</w:t>
      </w:r>
      <w:r>
        <w:rPr>
          <w:rFonts w:ascii="Arial" w:hAnsi="Arial" w:cs="Arial"/>
          <w:sz w:val="24"/>
          <w:szCs w:val="24"/>
        </w:rPr>
        <w:t>. 30(5), pp.2012-2021. [Online]. Available at: https://doi.org/10.1111/hsc.13634 [Accessed 7 January 2023].</w:t>
      </w:r>
    </w:p>
    <w:p w14:paraId="41A743B8" w14:textId="77777777" w:rsidR="00A351BC" w:rsidRDefault="00000000">
      <w:pPr>
        <w:pStyle w:val="EndnoteText"/>
        <w:numPr>
          <w:ilvl w:val="0"/>
          <w:numId w:val="1"/>
        </w:numPr>
        <w:spacing w:line="360" w:lineRule="auto"/>
        <w:jc w:val="both"/>
        <w:rPr>
          <w:rFonts w:ascii="Arial" w:hAnsi="Arial" w:cs="Arial"/>
          <w:sz w:val="24"/>
          <w:szCs w:val="24"/>
        </w:rPr>
      </w:pPr>
      <w:r>
        <w:rPr>
          <w:rFonts w:ascii="Arial" w:hAnsi="Arial" w:cs="Arial"/>
          <w:sz w:val="24"/>
          <w:szCs w:val="24"/>
        </w:rPr>
        <w:t xml:space="preserve">Paul Scully MP. (2021). </w:t>
      </w:r>
      <w:r>
        <w:rPr>
          <w:rFonts w:ascii="Arial" w:hAnsi="Arial" w:cs="Arial"/>
          <w:i/>
          <w:iCs/>
          <w:sz w:val="24"/>
          <w:szCs w:val="24"/>
        </w:rPr>
        <w:t>All tips to go to staff under government plans to enhance rights of 2 million workers</w:t>
      </w:r>
      <w:r>
        <w:rPr>
          <w:rFonts w:ascii="Arial" w:hAnsi="Arial" w:cs="Arial"/>
          <w:sz w:val="24"/>
          <w:szCs w:val="24"/>
        </w:rPr>
        <w:t>. [Online]. Gov.uk. Last Updated: 24 September 2021. Available at: https://www.gov.uk/government/news/all-tips-to-go-to-staff-under-government-plans-to-enhance-rights- [Accessed 10 January 2023].</w:t>
      </w:r>
    </w:p>
    <w:p w14:paraId="48DDCFF9" w14:textId="77777777" w:rsidR="00A351BC" w:rsidRDefault="00000000">
      <w:pPr>
        <w:pStyle w:val="EndnoteText"/>
        <w:numPr>
          <w:ilvl w:val="0"/>
          <w:numId w:val="1"/>
        </w:numPr>
        <w:spacing w:line="360" w:lineRule="auto"/>
        <w:jc w:val="both"/>
        <w:rPr>
          <w:rFonts w:ascii="Arial" w:hAnsi="Arial" w:cs="Arial"/>
          <w:sz w:val="24"/>
          <w:szCs w:val="24"/>
        </w:rPr>
      </w:pPr>
      <w:proofErr w:type="spellStart"/>
      <w:r>
        <w:rPr>
          <w:rFonts w:ascii="Arial" w:hAnsi="Arial" w:cs="Arial"/>
          <w:sz w:val="24"/>
          <w:szCs w:val="24"/>
        </w:rPr>
        <w:t>Rajawat</w:t>
      </w:r>
      <w:proofErr w:type="spellEnd"/>
      <w:r>
        <w:rPr>
          <w:rFonts w:ascii="Arial" w:hAnsi="Arial" w:cs="Arial"/>
          <w:sz w:val="24"/>
          <w:szCs w:val="24"/>
        </w:rPr>
        <w:t xml:space="preserve">, A. et al. (2020). Factors: Responsible for McDonald's Performance. </w:t>
      </w:r>
      <w:proofErr w:type="spellStart"/>
      <w:r>
        <w:rPr>
          <w:rFonts w:ascii="Arial" w:hAnsi="Arial" w:cs="Arial"/>
          <w:i/>
          <w:iCs/>
          <w:sz w:val="24"/>
          <w:szCs w:val="24"/>
        </w:rPr>
        <w:t>Journel</w:t>
      </w:r>
      <w:proofErr w:type="spellEnd"/>
      <w:r>
        <w:rPr>
          <w:rFonts w:ascii="Arial" w:hAnsi="Arial" w:cs="Arial"/>
          <w:i/>
          <w:iCs/>
          <w:sz w:val="24"/>
          <w:szCs w:val="24"/>
        </w:rPr>
        <w:t xml:space="preserve"> of The Community Development in Asia</w:t>
      </w:r>
      <w:r>
        <w:rPr>
          <w:rFonts w:ascii="Arial" w:hAnsi="Arial" w:cs="Arial"/>
          <w:sz w:val="24"/>
          <w:szCs w:val="24"/>
        </w:rPr>
        <w:t>. 3(2), pp.11-17. [Online]. Available at: https://doi.org/10.32535/jcda.v3i2.806 [Accessed 28 January 2023].</w:t>
      </w:r>
    </w:p>
    <w:p w14:paraId="00804D0A" w14:textId="77777777" w:rsidR="00A351BC" w:rsidRDefault="00000000">
      <w:pPr>
        <w:numPr>
          <w:ilvl w:val="0"/>
          <w:numId w:val="1"/>
        </w:numPr>
        <w:spacing w:line="360" w:lineRule="auto"/>
        <w:jc w:val="both"/>
        <w:rPr>
          <w:rFonts w:ascii="Arial" w:eastAsia="Times New Roman" w:hAnsi="Arial" w:cs="Arial"/>
          <w:sz w:val="24"/>
          <w:szCs w:val="24"/>
          <w:lang w:eastAsia="en-GB"/>
        </w:rPr>
      </w:pPr>
      <w:r>
        <w:rPr>
          <w:rFonts w:ascii="Arial" w:hAnsi="Arial" w:cs="Arial"/>
          <w:sz w:val="24"/>
          <w:szCs w:val="24"/>
        </w:rPr>
        <w:t xml:space="preserve">Retail of Alcohol Standards Group. (2009). </w:t>
      </w:r>
      <w:r>
        <w:rPr>
          <w:rFonts w:ascii="Arial" w:hAnsi="Arial" w:cs="Arial"/>
          <w:i/>
          <w:iCs/>
          <w:sz w:val="24"/>
          <w:szCs w:val="24"/>
        </w:rPr>
        <w:t>About Challenge 25</w:t>
      </w:r>
      <w:r>
        <w:rPr>
          <w:rFonts w:ascii="Arial" w:hAnsi="Arial" w:cs="Arial"/>
          <w:sz w:val="24"/>
          <w:szCs w:val="24"/>
        </w:rPr>
        <w:t>. [Online]. RASG. Last Updated: 25 May 2018. Available at: https://rasg.org.uk/about/ [Accessed 30 January 2023].</w:t>
      </w:r>
    </w:p>
    <w:p w14:paraId="55183A58" w14:textId="77777777" w:rsidR="00A351BC" w:rsidRDefault="00000000">
      <w:pPr>
        <w:pStyle w:val="EndnoteText"/>
        <w:numPr>
          <w:ilvl w:val="0"/>
          <w:numId w:val="1"/>
        </w:numPr>
        <w:spacing w:line="360" w:lineRule="auto"/>
        <w:jc w:val="both"/>
        <w:rPr>
          <w:rFonts w:ascii="Arial" w:hAnsi="Arial" w:cs="Arial"/>
          <w:sz w:val="24"/>
          <w:szCs w:val="24"/>
        </w:rPr>
      </w:pPr>
      <w:r>
        <w:rPr>
          <w:rFonts w:ascii="Arial" w:hAnsi="Arial" w:cs="Arial"/>
          <w:sz w:val="24"/>
          <w:szCs w:val="24"/>
        </w:rPr>
        <w:t xml:space="preserve">UK Parliament. (2003). </w:t>
      </w:r>
      <w:r>
        <w:rPr>
          <w:rFonts w:ascii="Arial" w:hAnsi="Arial" w:cs="Arial"/>
          <w:i/>
          <w:iCs/>
          <w:sz w:val="24"/>
          <w:szCs w:val="24"/>
        </w:rPr>
        <w:t>Licensing Act 2003 (section 19: Mandatory conditions where licence authorises supply of alcohol)</w:t>
      </w:r>
      <w:r>
        <w:rPr>
          <w:rFonts w:ascii="Arial" w:hAnsi="Arial" w:cs="Arial"/>
          <w:sz w:val="24"/>
          <w:szCs w:val="24"/>
        </w:rPr>
        <w:t xml:space="preserve">. [Online]. legislation.gov.uk. Available </w:t>
      </w:r>
      <w:r>
        <w:rPr>
          <w:rFonts w:ascii="Arial" w:hAnsi="Arial" w:cs="Arial"/>
          <w:sz w:val="24"/>
          <w:szCs w:val="24"/>
        </w:rPr>
        <w:lastRenderedPageBreak/>
        <w:t>at: https://www.legislation.gov.uk/ukpga/2003/17/contents [Accessed 20 December 2022].</w:t>
      </w:r>
    </w:p>
    <w:p w14:paraId="1D832747" w14:textId="77777777" w:rsidR="00A351BC" w:rsidRDefault="00000000">
      <w:pPr>
        <w:pStyle w:val="EndnoteText"/>
        <w:numPr>
          <w:ilvl w:val="0"/>
          <w:numId w:val="1"/>
        </w:numPr>
        <w:spacing w:line="360" w:lineRule="auto"/>
        <w:jc w:val="both"/>
        <w:rPr>
          <w:rFonts w:ascii="Arial" w:hAnsi="Arial" w:cs="Arial"/>
          <w:sz w:val="24"/>
          <w:szCs w:val="24"/>
        </w:rPr>
      </w:pPr>
      <w:r>
        <w:rPr>
          <w:rFonts w:ascii="Arial" w:hAnsi="Arial" w:cs="Arial"/>
          <w:sz w:val="24"/>
          <w:szCs w:val="24"/>
        </w:rPr>
        <w:t xml:space="preserve">Wu, F. (2020). An Analysis of McDonald’s Business Model Based on Business Ecosystem Theory. </w:t>
      </w:r>
      <w:r>
        <w:rPr>
          <w:rFonts w:ascii="Arial" w:hAnsi="Arial" w:cs="Arial"/>
          <w:i/>
          <w:iCs/>
          <w:sz w:val="24"/>
          <w:szCs w:val="24"/>
        </w:rPr>
        <w:t>RSU International Research Conference 2020</w:t>
      </w:r>
      <w:r>
        <w:rPr>
          <w:rFonts w:ascii="Arial" w:hAnsi="Arial" w:cs="Arial"/>
          <w:sz w:val="24"/>
          <w:szCs w:val="24"/>
        </w:rPr>
        <w:t>. 5(2020), pp.1756-1763. [Online]. Available at: https://rsucon.rsu.ac.th/proceeding/14, ISBN: 978-616-421-104-9 [Accessed 8 January 2023].</w:t>
      </w:r>
    </w:p>
    <w:p w14:paraId="4B867D8C" w14:textId="77777777" w:rsidR="00A351BC" w:rsidRDefault="00A351BC">
      <w:pPr>
        <w:spacing w:after="0" w:line="360" w:lineRule="auto"/>
        <w:jc w:val="both"/>
        <w:rPr>
          <w:rFonts w:ascii="Arial" w:hAnsi="Arial" w:cs="Arial"/>
          <w:sz w:val="24"/>
          <w:szCs w:val="24"/>
        </w:rPr>
      </w:pPr>
    </w:p>
    <w:sectPr w:rsidR="00A351BC">
      <w:headerReference w:type="first" r:id="rId8"/>
      <w:endnotePr>
        <w:numFmt w:val="decimal"/>
      </w:endnotePr>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3E5E9B" w14:textId="77777777" w:rsidR="00FF5594" w:rsidRDefault="00FF5594">
      <w:pPr>
        <w:spacing w:line="240" w:lineRule="auto"/>
      </w:pPr>
      <w:r>
        <w:separator/>
      </w:r>
    </w:p>
  </w:endnote>
  <w:endnote w:type="continuationSeparator" w:id="0">
    <w:p w14:paraId="1621D9E0" w14:textId="77777777" w:rsidR="00FF5594" w:rsidRDefault="00FF559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9EDD9" w14:textId="77777777" w:rsidR="00FF5594" w:rsidRDefault="00FF5594">
      <w:pPr>
        <w:spacing w:after="0"/>
      </w:pPr>
      <w:r>
        <w:separator/>
      </w:r>
    </w:p>
  </w:footnote>
  <w:footnote w:type="continuationSeparator" w:id="0">
    <w:p w14:paraId="50686245" w14:textId="77777777" w:rsidR="00FF5594" w:rsidRDefault="00FF5594">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E2931B" w14:textId="77777777" w:rsidR="00A351BC" w:rsidRDefault="00A351BC">
    <w:pPr>
      <w:spacing w:line="360" w:lineRule="auto"/>
      <w:rPr>
        <w:rFonts w:ascii="Arial" w:hAnsi="Arial" w:cs="Arial"/>
        <w:b/>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DFE425D2"/>
    <w:multiLevelType w:val="singleLevel"/>
    <w:tmpl w:val="DFE425D2"/>
    <w:lvl w:ilvl="0">
      <w:start w:val="1"/>
      <w:numFmt w:val="decimal"/>
      <w:lvlText w:val="%1."/>
      <w:lvlJc w:val="left"/>
      <w:pPr>
        <w:tabs>
          <w:tab w:val="left" w:pos="425"/>
        </w:tabs>
        <w:ind w:left="425" w:hanging="425"/>
      </w:pPr>
      <w:rPr>
        <w:rFonts w:hint="default"/>
      </w:rPr>
    </w:lvl>
  </w:abstractNum>
  <w:num w:numId="1" w16cid:durableId="2666921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3071"/>
    <w:rsid w:val="00001102"/>
    <w:rsid w:val="00005BA9"/>
    <w:rsid w:val="000067D7"/>
    <w:rsid w:val="000120CB"/>
    <w:rsid w:val="00013098"/>
    <w:rsid w:val="0002274F"/>
    <w:rsid w:val="00031519"/>
    <w:rsid w:val="0004357A"/>
    <w:rsid w:val="00056F7E"/>
    <w:rsid w:val="00066843"/>
    <w:rsid w:val="00096219"/>
    <w:rsid w:val="000A4A97"/>
    <w:rsid w:val="000B2B48"/>
    <w:rsid w:val="000D3071"/>
    <w:rsid w:val="000D68A8"/>
    <w:rsid w:val="000D7D9D"/>
    <w:rsid w:val="000E4223"/>
    <w:rsid w:val="000E66A1"/>
    <w:rsid w:val="00100EAE"/>
    <w:rsid w:val="001023D7"/>
    <w:rsid w:val="00103AE9"/>
    <w:rsid w:val="00126912"/>
    <w:rsid w:val="00150C25"/>
    <w:rsid w:val="00163339"/>
    <w:rsid w:val="0017173E"/>
    <w:rsid w:val="001934AA"/>
    <w:rsid w:val="001B2C44"/>
    <w:rsid w:val="001C358F"/>
    <w:rsid w:val="001D6837"/>
    <w:rsid w:val="001E13CD"/>
    <w:rsid w:val="001F3EF7"/>
    <w:rsid w:val="00205432"/>
    <w:rsid w:val="00217248"/>
    <w:rsid w:val="00257B18"/>
    <w:rsid w:val="00272CCC"/>
    <w:rsid w:val="002B024E"/>
    <w:rsid w:val="002F3BE8"/>
    <w:rsid w:val="00313293"/>
    <w:rsid w:val="003445DB"/>
    <w:rsid w:val="00344F3B"/>
    <w:rsid w:val="003455BB"/>
    <w:rsid w:val="00360BF1"/>
    <w:rsid w:val="003921B8"/>
    <w:rsid w:val="003A4226"/>
    <w:rsid w:val="003A564C"/>
    <w:rsid w:val="003C1BF7"/>
    <w:rsid w:val="003C2DAA"/>
    <w:rsid w:val="003D7BA9"/>
    <w:rsid w:val="003E3CE6"/>
    <w:rsid w:val="004125B8"/>
    <w:rsid w:val="004142F8"/>
    <w:rsid w:val="0044574E"/>
    <w:rsid w:val="00476464"/>
    <w:rsid w:val="004A15C1"/>
    <w:rsid w:val="004A55A9"/>
    <w:rsid w:val="004B44A3"/>
    <w:rsid w:val="004B5CB1"/>
    <w:rsid w:val="004E33F7"/>
    <w:rsid w:val="004E508D"/>
    <w:rsid w:val="004F0CAE"/>
    <w:rsid w:val="004F5318"/>
    <w:rsid w:val="005344C5"/>
    <w:rsid w:val="0055731F"/>
    <w:rsid w:val="00580041"/>
    <w:rsid w:val="005934D9"/>
    <w:rsid w:val="005A1C37"/>
    <w:rsid w:val="005B73F3"/>
    <w:rsid w:val="005D1E21"/>
    <w:rsid w:val="00601245"/>
    <w:rsid w:val="00601857"/>
    <w:rsid w:val="00606EAB"/>
    <w:rsid w:val="00627D15"/>
    <w:rsid w:val="006558E9"/>
    <w:rsid w:val="0068385C"/>
    <w:rsid w:val="00685708"/>
    <w:rsid w:val="006940D5"/>
    <w:rsid w:val="006C4396"/>
    <w:rsid w:val="006D08E3"/>
    <w:rsid w:val="00717F5B"/>
    <w:rsid w:val="00755918"/>
    <w:rsid w:val="0076013B"/>
    <w:rsid w:val="00795E7B"/>
    <w:rsid w:val="00821220"/>
    <w:rsid w:val="00841C38"/>
    <w:rsid w:val="00845284"/>
    <w:rsid w:val="00892AD0"/>
    <w:rsid w:val="008A0624"/>
    <w:rsid w:val="008E3216"/>
    <w:rsid w:val="00917F09"/>
    <w:rsid w:val="0096014F"/>
    <w:rsid w:val="00971872"/>
    <w:rsid w:val="00991F05"/>
    <w:rsid w:val="009B0052"/>
    <w:rsid w:val="009D3769"/>
    <w:rsid w:val="009D3CDF"/>
    <w:rsid w:val="009D5A19"/>
    <w:rsid w:val="009F2B2D"/>
    <w:rsid w:val="00A01B77"/>
    <w:rsid w:val="00A02076"/>
    <w:rsid w:val="00A119BB"/>
    <w:rsid w:val="00A351BC"/>
    <w:rsid w:val="00A46E1E"/>
    <w:rsid w:val="00A66803"/>
    <w:rsid w:val="00A72547"/>
    <w:rsid w:val="00A7569E"/>
    <w:rsid w:val="00A977F0"/>
    <w:rsid w:val="00A97C57"/>
    <w:rsid w:val="00AA2A2E"/>
    <w:rsid w:val="00AC0F2A"/>
    <w:rsid w:val="00AF603B"/>
    <w:rsid w:val="00B2626C"/>
    <w:rsid w:val="00B26447"/>
    <w:rsid w:val="00B274C5"/>
    <w:rsid w:val="00B33151"/>
    <w:rsid w:val="00B3648B"/>
    <w:rsid w:val="00B41714"/>
    <w:rsid w:val="00B809B7"/>
    <w:rsid w:val="00B87F57"/>
    <w:rsid w:val="00B9233D"/>
    <w:rsid w:val="00BB2073"/>
    <w:rsid w:val="00BB5F0A"/>
    <w:rsid w:val="00BE0EA3"/>
    <w:rsid w:val="00BF0A86"/>
    <w:rsid w:val="00C17777"/>
    <w:rsid w:val="00C44A62"/>
    <w:rsid w:val="00C459FE"/>
    <w:rsid w:val="00C57B28"/>
    <w:rsid w:val="00C761D9"/>
    <w:rsid w:val="00C83004"/>
    <w:rsid w:val="00C85179"/>
    <w:rsid w:val="00C85EBB"/>
    <w:rsid w:val="00CA37E0"/>
    <w:rsid w:val="00CC592A"/>
    <w:rsid w:val="00CC6A25"/>
    <w:rsid w:val="00CF111F"/>
    <w:rsid w:val="00D07E99"/>
    <w:rsid w:val="00D65D29"/>
    <w:rsid w:val="00D926B3"/>
    <w:rsid w:val="00DA141F"/>
    <w:rsid w:val="00DA5E85"/>
    <w:rsid w:val="00E15101"/>
    <w:rsid w:val="00E3743E"/>
    <w:rsid w:val="00E474C0"/>
    <w:rsid w:val="00E51A54"/>
    <w:rsid w:val="00E539C6"/>
    <w:rsid w:val="00E63243"/>
    <w:rsid w:val="00ED01FB"/>
    <w:rsid w:val="00EE03FD"/>
    <w:rsid w:val="00EE3156"/>
    <w:rsid w:val="00EF5077"/>
    <w:rsid w:val="00F12F52"/>
    <w:rsid w:val="00F30D3A"/>
    <w:rsid w:val="00F41267"/>
    <w:rsid w:val="00F46E20"/>
    <w:rsid w:val="00F47FF9"/>
    <w:rsid w:val="00F66475"/>
    <w:rsid w:val="00F81B30"/>
    <w:rsid w:val="00F81FE0"/>
    <w:rsid w:val="00F830DA"/>
    <w:rsid w:val="00F945B9"/>
    <w:rsid w:val="00FA134A"/>
    <w:rsid w:val="00FA2FF9"/>
    <w:rsid w:val="00FA72EA"/>
    <w:rsid w:val="00FE1E37"/>
    <w:rsid w:val="00FF5594"/>
    <w:rsid w:val="17C74C3C"/>
    <w:rsid w:val="1BB429EA"/>
    <w:rsid w:val="2D900F87"/>
    <w:rsid w:val="32F81DE5"/>
    <w:rsid w:val="34D66156"/>
    <w:rsid w:val="386C4A91"/>
    <w:rsid w:val="39613F76"/>
    <w:rsid w:val="426254CD"/>
    <w:rsid w:val="4B2F6C6B"/>
    <w:rsid w:val="55C20305"/>
    <w:rsid w:val="68B57B96"/>
    <w:rsid w:val="6AC72E8A"/>
    <w:rsid w:val="7E8678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4C8B4"/>
  <w15:docId w15:val="{F77FF3F5-7859-4A4C-8C76-9BFDE3B61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qFormat="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basedOn w:val="DefaultParagraphFont"/>
    <w:uiPriority w:val="99"/>
    <w:semiHidden/>
    <w:unhideWhenUsed/>
    <w:qFormat/>
    <w:rPr>
      <w:vertAlign w:val="superscript"/>
    </w:rPr>
  </w:style>
  <w:style w:type="paragraph" w:styleId="EndnoteText">
    <w:name w:val="endnote text"/>
    <w:basedOn w:val="Normal"/>
    <w:link w:val="EndnoteTextChar"/>
    <w:uiPriority w:val="99"/>
    <w:semiHidden/>
    <w:unhideWhenUsed/>
    <w:qFormat/>
    <w:pPr>
      <w:spacing w:after="0" w:line="240" w:lineRule="auto"/>
    </w:pPr>
    <w:rPr>
      <w:sz w:val="20"/>
      <w:szCs w:val="20"/>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character" w:styleId="FootnoteReference">
    <w:name w:val="footnote reference"/>
    <w:basedOn w:val="DefaultParagraphFont"/>
    <w:uiPriority w:val="99"/>
    <w:semiHidden/>
    <w:unhideWhenUsed/>
    <w:qFormat/>
    <w:rPr>
      <w:vertAlign w:val="superscript"/>
    </w:rPr>
  </w:style>
  <w:style w:type="paragraph" w:styleId="FootnoteText">
    <w:name w:val="footnote text"/>
    <w:basedOn w:val="Normal"/>
    <w:link w:val="FootnoteTextChar"/>
    <w:uiPriority w:val="99"/>
    <w:semiHidden/>
    <w:unhideWhenUsed/>
    <w:qFormat/>
    <w:pPr>
      <w:spacing w:after="0" w:line="240" w:lineRule="auto"/>
    </w:pPr>
    <w:rPr>
      <w:sz w:val="20"/>
      <w:szCs w:val="20"/>
    </w:rPr>
  </w:style>
  <w:style w:type="paragraph" w:styleId="Header">
    <w:name w:val="header"/>
    <w:basedOn w:val="Normal"/>
    <w:link w:val="HeaderChar"/>
    <w:uiPriority w:val="99"/>
    <w:unhideWhenUsed/>
    <w:qFormat/>
    <w:pPr>
      <w:tabs>
        <w:tab w:val="center" w:pos="4513"/>
        <w:tab w:val="right" w:pos="9026"/>
      </w:tabs>
      <w:spacing w:after="0" w:line="240" w:lineRule="auto"/>
    </w:pPr>
  </w:style>
  <w:style w:type="character" w:customStyle="1" w:styleId="EndnoteTextChar">
    <w:name w:val="Endnote Text Char"/>
    <w:basedOn w:val="DefaultParagraphFont"/>
    <w:link w:val="EndnoteText"/>
    <w:uiPriority w:val="99"/>
    <w:semiHidden/>
    <w:qFormat/>
    <w:rPr>
      <w:sz w:val="20"/>
      <w:szCs w:val="20"/>
    </w:rPr>
  </w:style>
  <w:style w:type="character" w:customStyle="1" w:styleId="FootnoteTextChar">
    <w:name w:val="Footnote Text Char"/>
    <w:basedOn w:val="DefaultParagraphFont"/>
    <w:link w:val="FootnoteText"/>
    <w:uiPriority w:val="99"/>
    <w:semiHidden/>
    <w:qFormat/>
    <w:rPr>
      <w:sz w:val="20"/>
      <w:szCs w:val="20"/>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Ret18</b:Tag>
    <b:SourceType>InternetSite</b:SourceType>
    <b:Guid>{3BA6D74A-8A35-45D5-8159-7BB1F262DEE4}</b:Guid>
    <b:Author>
      <b:Author>
        <b:NameList>
          <b:Person>
            <b:Last>Group</b:Last>
            <b:First>Retail</b:First>
            <b:Middle>of Alcohol Standards</b:Middle>
          </b:Person>
        </b:NameList>
      </b:Author>
    </b:Author>
    <b:Title>About Challenge 25</b:Title>
    <b:Year>2018</b:Year>
    <b:YearAccessed>2023</b:YearAccessed>
    <b:MonthAccessed>January</b:MonthAccessed>
    <b:DayAccessed>3</b:DayAccessed>
    <b:URL>https://rasg.org.uk/about/</b:URL>
    <b:RefOrder>1</b:RefOrder>
  </b:Source>
</b:Sources>
</file>

<file path=customXml/itemProps1.xml><?xml version="1.0" encoding="utf-8"?>
<ds:datastoreItem xmlns:ds="http://schemas.openxmlformats.org/officeDocument/2006/customXml" ds:itemID="{288FBFE3-4A08-43AD-AE14-EA53171ED7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1103</Words>
  <Characters>6290</Characters>
  <Application>Microsoft Office Word</Application>
  <DocSecurity>0</DocSecurity>
  <Lines>52</Lines>
  <Paragraphs>14</Paragraphs>
  <ScaleCrop>false</ScaleCrop>
  <Company/>
  <LinksUpToDate>false</LinksUpToDate>
  <CharactersWithSpaces>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harma</dc:creator>
  <cp:lastModifiedBy>Cristina Bancu</cp:lastModifiedBy>
  <cp:revision>2</cp:revision>
  <dcterms:created xsi:type="dcterms:W3CDTF">2023-02-03T09:12:00Z</dcterms:created>
  <dcterms:modified xsi:type="dcterms:W3CDTF">2023-02-03T09:12:00Z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2057-11.2.0.11440</vt:lpwstr>
  </property>
  <property fmtid="{D5CDD505-2E9C-101B-9397-08002B2CF9AE}" pid="3" name="ICV">
    <vt:lpwstr>E198776683824117B49AD320A6AE95ED</vt:lpwstr>
  </property>
</Properties>
</file>