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napToGrid w:val="0"/>
        <w:spacing w:line="480" w:lineRule="auto"/>
        <w:jc w:val="center"/>
        <w:outlineLvl w:val="0"/>
        <w:rPr>
          <w:rFonts w:hint="eastAsia"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Strategic Management</w:t>
      </w:r>
    </w:p>
    <w:p>
      <w:pPr>
        <w:pStyle w:val="2"/>
        <w:jc w:val="cente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Meeting </w:t>
      </w:r>
      <w:r>
        <w:rPr>
          <w:rFonts w:hint="eastAsia" w:ascii="Times New Roman Regular" w:hAnsi="Times New Roman Regular" w:cs="Times New Roman Regular"/>
          <w:b/>
          <w:bCs/>
          <w:sz w:val="28"/>
          <w:szCs w:val="28"/>
          <w:lang w:val="en-US" w:eastAsia="zh-Hans"/>
        </w:rPr>
        <w:t>C</w:t>
      </w:r>
      <w:r>
        <w:rPr>
          <w:rFonts w:hint="default" w:ascii="Times New Roman Regular" w:hAnsi="Times New Roman Regular" w:cs="Times New Roman Regular"/>
          <w:b/>
          <w:bCs/>
          <w:sz w:val="28"/>
          <w:szCs w:val="28"/>
        </w:rPr>
        <w:t xml:space="preserve">ustomers </w:t>
      </w:r>
      <w:r>
        <w:rPr>
          <w:rFonts w:hint="eastAsia" w:ascii="Times New Roman Regular" w:hAnsi="Times New Roman Regular" w:cs="Times New Roman Regular"/>
          <w:b/>
          <w:bCs/>
          <w:sz w:val="28"/>
          <w:szCs w:val="28"/>
          <w:lang w:val="en-US" w:eastAsia="zh-Hans"/>
        </w:rPr>
        <w:t>i</w:t>
      </w:r>
      <w:r>
        <w:rPr>
          <w:rFonts w:hint="default" w:ascii="Times New Roman Regular" w:hAnsi="Times New Roman Regular" w:cs="Times New Roman Regular"/>
          <w:b/>
          <w:bCs/>
          <w:sz w:val="28"/>
          <w:szCs w:val="28"/>
        </w:rPr>
        <w:t xml:space="preserve">s </w:t>
      </w:r>
      <w:r>
        <w:rPr>
          <w:rFonts w:hint="eastAsia" w:ascii="Times New Roman Regular" w:hAnsi="Times New Roman Regular" w:cs="Times New Roman Regular"/>
          <w:b/>
          <w:bCs/>
          <w:sz w:val="28"/>
          <w:szCs w:val="28"/>
          <w:lang w:val="en-US" w:eastAsia="zh-Hans"/>
        </w:rPr>
        <w:t>T</w:t>
      </w:r>
      <w:r>
        <w:rPr>
          <w:rFonts w:hint="default" w:ascii="Times New Roman Regular" w:hAnsi="Times New Roman Regular" w:cs="Times New Roman Regular"/>
          <w:b/>
          <w:bCs/>
          <w:sz w:val="28"/>
          <w:szCs w:val="28"/>
        </w:rPr>
        <w:t xml:space="preserve">he </w:t>
      </w:r>
      <w:r>
        <w:rPr>
          <w:rFonts w:hint="eastAsia" w:ascii="Times New Roman Regular" w:hAnsi="Times New Roman Regular" w:cs="Times New Roman Regular"/>
          <w:b/>
          <w:bCs/>
          <w:sz w:val="28"/>
          <w:szCs w:val="28"/>
          <w:lang w:val="en-US" w:eastAsia="zh-Hans"/>
        </w:rPr>
        <w:t>F</w:t>
      </w:r>
      <w:r>
        <w:rPr>
          <w:rFonts w:hint="default" w:ascii="Times New Roman Regular" w:hAnsi="Times New Roman Regular" w:cs="Times New Roman Regular"/>
          <w:b/>
          <w:bCs/>
          <w:sz w:val="28"/>
          <w:szCs w:val="28"/>
        </w:rPr>
        <w:t xml:space="preserve">oundation of </w:t>
      </w:r>
      <w:r>
        <w:rPr>
          <w:rFonts w:hint="eastAsia" w:ascii="Times New Roman Regular" w:hAnsi="Times New Roman Regular" w:cs="Times New Roman Regular"/>
          <w:b/>
          <w:bCs/>
          <w:sz w:val="28"/>
          <w:szCs w:val="28"/>
          <w:lang w:val="en-US" w:eastAsia="zh-Hans"/>
        </w:rPr>
        <w:t>T</w:t>
      </w:r>
      <w:r>
        <w:rPr>
          <w:rFonts w:hint="default" w:ascii="Times New Roman Regular" w:hAnsi="Times New Roman Regular" w:cs="Times New Roman Regular"/>
          <w:b/>
          <w:bCs/>
          <w:sz w:val="28"/>
          <w:szCs w:val="28"/>
        </w:rPr>
        <w:t>he Mi phones</w:t>
      </w:r>
    </w:p>
    <w:p>
      <w:pPr>
        <w:widowControl/>
        <w:snapToGrid w:val="0"/>
        <w:spacing w:line="480" w:lineRule="auto"/>
        <w:jc w:val="center"/>
        <w:rPr>
          <w:sz w:val="24"/>
        </w:rPr>
      </w:pPr>
      <w:r>
        <w:rPr>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8"/>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sz w:val="28"/>
          <w:szCs w:val="28"/>
        </w:rPr>
      </w:pPr>
      <w:bookmarkStart w:id="0" w:name="_Toc1783892249"/>
      <w:bookmarkStart w:id="1" w:name="_Toc819848233"/>
      <w:r>
        <w:rPr>
          <w:sz w:val="28"/>
          <w:szCs w:val="28"/>
        </w:rPr>
        <w:t>December 2022</w:t>
      </w:r>
      <w:bookmarkEnd w:id="0"/>
      <w:bookmarkEnd w:id="1"/>
    </w:p>
    <w:p>
      <w:pPr>
        <w:pStyle w:val="2"/>
      </w:pPr>
    </w:p>
    <w:p>
      <w:pPr>
        <w:pStyle w:val="2"/>
      </w:pPr>
    </w:p>
    <w:p>
      <w:pPr>
        <w:pStyle w:val="2"/>
      </w:pPr>
    </w:p>
    <w:p>
      <w:pPr>
        <w:pStyle w:val="2"/>
      </w:pPr>
    </w:p>
    <w:p>
      <w:pPr>
        <w:pStyle w:val="2"/>
        <w:widowControl/>
        <w:snapToGrid w:val="0"/>
        <w:spacing w:line="480" w:lineRule="auto"/>
        <w:rPr>
          <w:sz w:val="24"/>
        </w:rPr>
      </w:pPr>
    </w:p>
    <w:p>
      <w:pPr>
        <w:pStyle w:val="2"/>
        <w:widowControl/>
        <w:snapToGrid w:val="0"/>
        <w:spacing w:line="276" w:lineRule="auto"/>
        <w:rPr>
          <w:sz w:val="24"/>
        </w:rPr>
      </w:pPr>
      <w:r>
        <w:rPr>
          <w:sz w:val="24"/>
        </w:rPr>
        <w:t xml:space="preserve">MOUDLE NAME: </w:t>
      </w:r>
      <w:r>
        <w:rPr>
          <w:rFonts w:hint="eastAsia" w:eastAsia="宋体"/>
          <w:sz w:val="24"/>
          <w:lang w:val="en-US" w:eastAsia="zh-CN"/>
        </w:rPr>
        <w:t xml:space="preserve">    </w:t>
      </w:r>
      <w:r>
        <w:rPr>
          <w:sz w:val="24"/>
        </w:rPr>
        <w:t>Strategic Management (</w:t>
      </w:r>
      <w:r>
        <w:rPr>
          <w:bCs/>
          <w:sz w:val="24"/>
        </w:rPr>
        <w:t>BMMB7013</w:t>
      </w:r>
      <w:r>
        <w:rPr>
          <w:sz w:val="24"/>
        </w:rPr>
        <w:t>)</w:t>
      </w:r>
    </w:p>
    <w:p>
      <w:pPr>
        <w:pStyle w:val="2"/>
        <w:widowControl/>
        <w:snapToGrid w:val="0"/>
        <w:spacing w:line="276" w:lineRule="auto"/>
        <w:rPr>
          <w:rFonts w:hint="default" w:eastAsia="宋体"/>
          <w:sz w:val="24"/>
          <w:lang w:val="en-US" w:eastAsia="zh-CN"/>
        </w:rPr>
      </w:pPr>
      <w:r>
        <w:rPr>
          <w:sz w:val="24"/>
        </w:rPr>
        <w:t xml:space="preserve">STUDENT NAME: </w:t>
      </w:r>
      <w:r>
        <w:rPr>
          <w:rFonts w:hint="eastAsia" w:eastAsia="宋体"/>
          <w:sz w:val="24"/>
          <w:lang w:val="en-US" w:eastAsia="zh-CN"/>
        </w:rPr>
        <w:t xml:space="preserve">    Zhenjiang Lin</w:t>
      </w:r>
    </w:p>
    <w:p>
      <w:pPr>
        <w:pStyle w:val="2"/>
        <w:widowControl/>
        <w:snapToGrid w:val="0"/>
        <w:spacing w:line="276" w:lineRule="auto"/>
        <w:rPr>
          <w:rFonts w:hint="default" w:eastAsia="宋体"/>
          <w:sz w:val="24"/>
          <w:lang w:val="en-US" w:eastAsia="zh-CN"/>
        </w:rPr>
      </w:pPr>
      <w:r>
        <w:rPr>
          <w:sz w:val="24"/>
        </w:rPr>
        <w:t>STUDENT NUMBER:</w:t>
      </w:r>
      <w:r>
        <w:rPr>
          <w:rFonts w:hint="eastAsia" w:eastAsia="宋体"/>
          <w:sz w:val="24"/>
          <w:lang w:val="en-US" w:eastAsia="zh-CN"/>
        </w:rPr>
        <w:t xml:space="preserve">   2216879</w:t>
      </w:r>
    </w:p>
    <w:p>
      <w:pPr>
        <w:pStyle w:val="3"/>
        <w:bidi w:val="0"/>
        <w:jc w:val="both"/>
        <w:rPr>
          <w:rFonts w:hint="default" w:ascii="Times New Roman Regular" w:hAnsi="Times New Roman Regular" w:cs="Times New Roman Regular"/>
        </w:rPr>
      </w:pPr>
      <w:bookmarkStart w:id="2" w:name="_Toc1934877834"/>
    </w:p>
    <w:p>
      <w:pPr>
        <w:pStyle w:val="3"/>
        <w:bidi w:val="0"/>
        <w:jc w:val="center"/>
        <w:rPr>
          <w:rFonts w:hint="default" w:ascii="Times New Roman Regular" w:hAnsi="Times New Roman Regular" w:cs="Times New Roman Regular"/>
        </w:rPr>
        <w:sectPr>
          <w:footerReference r:id="rId5" w:type="default"/>
          <w:pgSz w:w="11906" w:h="16838"/>
          <w:pgMar w:top="1440" w:right="1800" w:bottom="1440" w:left="1800" w:header="851" w:footer="992" w:gutter="0"/>
          <w:cols w:space="425" w:num="1"/>
          <w:docGrid w:type="lines" w:linePitch="312" w:charSpace="0"/>
        </w:sectPr>
      </w:pPr>
    </w:p>
    <w:p>
      <w:pPr>
        <w:pStyle w:val="3"/>
        <w:bidi w:val="0"/>
        <w:jc w:val="center"/>
        <w:rPr>
          <w:rFonts w:hint="default" w:ascii="Times New Roman Regular" w:hAnsi="Times New Roman Regular" w:cs="Times New Roman Regular"/>
        </w:rPr>
      </w:pPr>
      <w:r>
        <w:rPr>
          <w:rFonts w:hint="default" w:ascii="Times New Roman Regular" w:hAnsi="Times New Roman Regular" w:cs="Times New Roman Regular"/>
        </w:rPr>
        <w:t>Executive summary</w:t>
      </w:r>
      <w:bookmarkEnd w:id="2"/>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Driven by the times, the Internet is developing rapidly, which makes the updating and iteration speed of relevant network products faster and faster, among which smart phones are a topic that cannot be bypassed. The technological attributes of smart phones have led to the continuous innovation of technology, which has brought about the upgrading of mobile phones. This requires mobile phone enterprises to accurately control the market and clarify their next plan and future direction. The enterprise with the largest number of local smartphone fanatics in the Chinese market is Xiaomi Mobile. Its early hunger marketing strategy has made potential users of the smartphone market feel more and more demand for Xiaomi Mobile. The mobile phone hardware launched by Xiaomi Mobile is highly equipped, which has shaped consumers' trust in the Xiaomi brand, so that Xiaomi Mobile can use the brand effect to generate more profits from other products.Most consumers will make a purchase decision based on the results of these evaluations. This article takes Xiaomi mobile phone as an example to introduce the development of Xiaomi, analyze the content of Xiaomi brand marketing strategy, point out the shortcomings of Xiaomi mobile phone brand marketing, and propose effective measures to improve Xiaomi brand marketing, hoping to promote the development of Xiaomi mobile phone in the future brand marketing.</w:t>
      </w:r>
    </w:p>
    <w:p>
      <w:pPr>
        <w:rPr>
          <w:rFonts w:hint="default" w:ascii="Times New Roman Regular" w:hAnsi="Times New Roman Regular" w:cs="Times New Roman Regular"/>
        </w:rPr>
      </w:pPr>
      <w:r>
        <w:rPr>
          <w:rFonts w:hint="default" w:ascii="Times New Roman Regular" w:hAnsi="Times New Roman Regular" w:cs="Times New Roman Regular"/>
        </w:rPr>
        <w:br w:type="page"/>
      </w:r>
    </w:p>
    <w:p>
      <w:pPr>
        <w:rPr>
          <w:rFonts w:hint="default" w:ascii="Times New Roman Regular" w:hAnsi="Times New Roman Regular" w:cs="Times New Roman Regular"/>
        </w:rPr>
      </w:pPr>
    </w:p>
    <w:sdt>
      <w:sdtPr>
        <w:rPr>
          <w:rFonts w:ascii="宋体" w:hAnsi="宋体" w:eastAsia="宋体" w:cstheme="minorBidi"/>
          <w:sz w:val="21"/>
          <w:szCs w:val="22"/>
          <w:lang w:val="en-GB" w:eastAsia="en-US" w:bidi="ar-SA"/>
        </w:rPr>
        <w:id w:val="724024912"/>
        <w15:color w:val="DBDBDB"/>
        <w:docPartObj>
          <w:docPartGallery w:val="Table of Contents"/>
          <w:docPartUnique/>
        </w:docPartObj>
      </w:sdtPr>
      <w:sdtEndPr>
        <w:rPr>
          <w:rFonts w:ascii="宋体" w:hAnsi="宋体" w:eastAsia="宋体" w:cstheme="minorBidi"/>
          <w:sz w:val="21"/>
          <w:szCs w:val="22"/>
          <w:lang w:val="en-GB" w:eastAsia="en-US" w:bidi="ar-SA"/>
        </w:rPr>
      </w:sdtEndPr>
      <w:sdtContent>
        <w:p>
          <w:pPr>
            <w:spacing w:before="0" w:beforeLines="0" w:after="0" w:afterLines="0" w:line="240" w:lineRule="auto"/>
            <w:ind w:left="0" w:leftChars="0" w:right="0" w:rightChars="0" w:firstLine="0" w:firstLineChars="0"/>
            <w:jc w:val="center"/>
          </w:pPr>
          <w:r>
            <w:rPr>
              <w:rFonts w:hint="default" w:ascii="Times New Roman Regular" w:hAnsi="Times New Roman Regular" w:cs="Times New Roman Regular"/>
              <w:b w:val="0"/>
              <w:bCs/>
              <w:sz w:val="28"/>
              <w:szCs w:val="36"/>
              <w:lang w:eastAsia="en-US" w:bidi="ar-SA"/>
            </w:rPr>
            <w:t>C</w:t>
          </w:r>
          <w:r>
            <w:rPr>
              <w:rFonts w:hint="eastAsia" w:ascii="Times New Roman Regular" w:hAnsi="Times New Roman Regular" w:cs="Times New Roman Regular"/>
              <w:b w:val="0"/>
              <w:bCs/>
              <w:sz w:val="28"/>
              <w:szCs w:val="36"/>
              <w:lang w:val="en-US" w:eastAsia="zh-Hans" w:bidi="ar-SA"/>
            </w:rPr>
            <w:t>ONTENTS</w:t>
          </w:r>
          <w:r>
            <w:fldChar w:fldCharType="begin"/>
          </w:r>
          <w:r>
            <w:instrText xml:space="preserve">TOC \o "1-1" \h \u </w:instrText>
          </w:r>
          <w:r>
            <w:fldChar w:fldCharType="separate"/>
          </w:r>
        </w:p>
        <w:p>
          <w:pPr>
            <w:pStyle w:val="10"/>
            <w:tabs>
              <w:tab w:val="right" w:leader="dot" w:pos="8306"/>
            </w:tabs>
            <w:rPr>
              <w:sz w:val="24"/>
              <w:szCs w:val="24"/>
            </w:rPr>
          </w:pPr>
          <w:r>
            <w:rPr>
              <w:sz w:val="24"/>
              <w:szCs w:val="24"/>
            </w:rPr>
            <w:fldChar w:fldCharType="begin"/>
          </w:r>
          <w:r>
            <w:rPr>
              <w:sz w:val="24"/>
              <w:szCs w:val="24"/>
            </w:rPr>
            <w:instrText xml:space="preserve"> HYPERLINK \l _Toc1934877834 </w:instrText>
          </w:r>
          <w:r>
            <w:rPr>
              <w:sz w:val="24"/>
              <w:szCs w:val="24"/>
            </w:rPr>
            <w:fldChar w:fldCharType="separate"/>
          </w:r>
          <w:r>
            <w:rPr>
              <w:rFonts w:hint="default" w:ascii="Times New Roman Regular" w:hAnsi="Times New Roman Regular" w:cs="Times New Roman Regular"/>
              <w:sz w:val="24"/>
              <w:szCs w:val="24"/>
            </w:rPr>
            <w:t>Executive summary</w:t>
          </w:r>
          <w:r>
            <w:rPr>
              <w:sz w:val="24"/>
              <w:szCs w:val="24"/>
            </w:rPr>
            <w:tab/>
          </w:r>
          <w:r>
            <w:rPr>
              <w:sz w:val="24"/>
              <w:szCs w:val="24"/>
            </w:rPr>
            <w:fldChar w:fldCharType="begin"/>
          </w:r>
          <w:r>
            <w:rPr>
              <w:sz w:val="24"/>
              <w:szCs w:val="24"/>
            </w:rPr>
            <w:instrText xml:space="preserve"> PAGEREF _Toc1934877834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0"/>
            <w:tabs>
              <w:tab w:val="right" w:leader="dot" w:pos="8306"/>
            </w:tabs>
            <w:rPr>
              <w:sz w:val="24"/>
              <w:szCs w:val="24"/>
            </w:rPr>
          </w:pPr>
          <w:r>
            <w:rPr>
              <w:sz w:val="24"/>
              <w:szCs w:val="24"/>
            </w:rPr>
            <w:fldChar w:fldCharType="begin"/>
          </w:r>
          <w:r>
            <w:rPr>
              <w:sz w:val="24"/>
              <w:szCs w:val="24"/>
            </w:rPr>
            <w:instrText xml:space="preserve"> HYPERLINK \l _Toc146889517 </w:instrText>
          </w:r>
          <w:r>
            <w:rPr>
              <w:sz w:val="24"/>
              <w:szCs w:val="24"/>
            </w:rPr>
            <w:fldChar w:fldCharType="separate"/>
          </w:r>
          <w:r>
            <w:rPr>
              <w:rFonts w:hint="default" w:ascii="Times New Roman Regular" w:hAnsi="Times New Roman Regular" w:cs="Times New Roman Regular"/>
              <w:sz w:val="24"/>
              <w:szCs w:val="24"/>
            </w:rPr>
            <w:t>1 Introduction</w:t>
          </w:r>
          <w:r>
            <w:rPr>
              <w:sz w:val="24"/>
              <w:szCs w:val="24"/>
            </w:rPr>
            <w:tab/>
          </w:r>
          <w:r>
            <w:rPr>
              <w:sz w:val="24"/>
              <w:szCs w:val="24"/>
            </w:rPr>
            <w:fldChar w:fldCharType="begin"/>
          </w:r>
          <w:r>
            <w:rPr>
              <w:sz w:val="24"/>
              <w:szCs w:val="24"/>
            </w:rPr>
            <w:instrText xml:space="preserve"> PAGEREF _Toc146889517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10"/>
            <w:tabs>
              <w:tab w:val="right" w:leader="dot" w:pos="8306"/>
            </w:tabs>
            <w:rPr>
              <w:sz w:val="24"/>
              <w:szCs w:val="24"/>
            </w:rPr>
          </w:pPr>
          <w:r>
            <w:rPr>
              <w:sz w:val="24"/>
              <w:szCs w:val="24"/>
            </w:rPr>
            <w:fldChar w:fldCharType="begin"/>
          </w:r>
          <w:r>
            <w:rPr>
              <w:sz w:val="24"/>
              <w:szCs w:val="24"/>
            </w:rPr>
            <w:instrText xml:space="preserve"> HYPERLINK \l _Toc1313401816 </w:instrText>
          </w:r>
          <w:r>
            <w:rPr>
              <w:sz w:val="24"/>
              <w:szCs w:val="24"/>
            </w:rPr>
            <w:fldChar w:fldCharType="separate"/>
          </w:r>
          <w:r>
            <w:rPr>
              <w:rFonts w:hint="default"/>
              <w:sz w:val="24"/>
              <w:szCs w:val="24"/>
            </w:rPr>
            <w:t>2 Comprehensive strategic analysis including internal and external</w:t>
          </w:r>
          <w:r>
            <w:rPr>
              <w:sz w:val="24"/>
              <w:szCs w:val="24"/>
            </w:rPr>
            <w:tab/>
          </w:r>
          <w:r>
            <w:rPr>
              <w:sz w:val="24"/>
              <w:szCs w:val="24"/>
            </w:rPr>
            <w:fldChar w:fldCharType="begin"/>
          </w:r>
          <w:r>
            <w:rPr>
              <w:sz w:val="24"/>
              <w:szCs w:val="24"/>
            </w:rPr>
            <w:instrText xml:space="preserve"> PAGEREF _Toc1313401816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10"/>
            <w:tabs>
              <w:tab w:val="right" w:leader="dot" w:pos="8306"/>
            </w:tabs>
            <w:rPr>
              <w:sz w:val="24"/>
              <w:szCs w:val="24"/>
            </w:rPr>
          </w:pPr>
          <w:r>
            <w:rPr>
              <w:sz w:val="24"/>
              <w:szCs w:val="24"/>
            </w:rPr>
            <w:fldChar w:fldCharType="begin"/>
          </w:r>
          <w:r>
            <w:rPr>
              <w:sz w:val="24"/>
              <w:szCs w:val="24"/>
            </w:rPr>
            <w:instrText xml:space="preserve"> HYPERLINK \l _Toc359913999 </w:instrText>
          </w:r>
          <w:r>
            <w:rPr>
              <w:sz w:val="24"/>
              <w:szCs w:val="24"/>
            </w:rPr>
            <w:fldChar w:fldCharType="separate"/>
          </w:r>
          <w:r>
            <w:rPr>
              <w:rFonts w:hint="default"/>
              <w:sz w:val="24"/>
              <w:szCs w:val="24"/>
            </w:rPr>
            <w:t>3 Assessment of strategic options</w:t>
          </w:r>
          <w:r>
            <w:rPr>
              <w:sz w:val="24"/>
              <w:szCs w:val="24"/>
            </w:rPr>
            <w:tab/>
          </w:r>
          <w:r>
            <w:rPr>
              <w:sz w:val="24"/>
              <w:szCs w:val="24"/>
            </w:rPr>
            <w:fldChar w:fldCharType="begin"/>
          </w:r>
          <w:r>
            <w:rPr>
              <w:sz w:val="24"/>
              <w:szCs w:val="24"/>
            </w:rPr>
            <w:instrText xml:space="preserve"> PAGEREF _Toc359913999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10"/>
            <w:tabs>
              <w:tab w:val="right" w:leader="dot" w:pos="8306"/>
            </w:tabs>
            <w:rPr>
              <w:rFonts w:hint="default" w:eastAsia="宋体"/>
              <w:sz w:val="24"/>
              <w:szCs w:val="24"/>
              <w:lang w:val="en-US" w:eastAsia="zh-CN"/>
            </w:rPr>
          </w:pPr>
          <w:r>
            <w:rPr>
              <w:rFonts w:hint="eastAsia"/>
              <w:sz w:val="24"/>
              <w:szCs w:val="24"/>
              <w:lang w:val="en-US" w:eastAsia="zh-CN"/>
            </w:rPr>
            <w:t xml:space="preserve">4 </w:t>
          </w:r>
          <w:r>
            <w:rPr>
              <w:rFonts w:hint="default"/>
              <w:sz w:val="24"/>
              <w:szCs w:val="24"/>
            </w:rPr>
            <w:t>Influence and Strategy of Strategic Organization</w:t>
          </w:r>
          <w:r>
            <w:rPr>
              <w:sz w:val="24"/>
              <w:szCs w:val="24"/>
            </w:rPr>
            <w:tab/>
          </w:r>
          <w:r>
            <w:rPr>
              <w:rFonts w:hint="eastAsia"/>
              <w:sz w:val="24"/>
              <w:szCs w:val="24"/>
              <w:lang w:val="en-US" w:eastAsia="zh-CN"/>
            </w:rPr>
            <w:t>10</w:t>
          </w:r>
        </w:p>
        <w:p>
          <w:pPr>
            <w:pStyle w:val="10"/>
            <w:tabs>
              <w:tab w:val="right" w:leader="dot" w:pos="8306"/>
            </w:tabs>
            <w:rPr>
              <w:rFonts w:hint="default" w:eastAsia="宋体"/>
              <w:sz w:val="24"/>
              <w:szCs w:val="24"/>
              <w:lang w:val="en-US" w:eastAsia="zh-CN"/>
            </w:rPr>
          </w:pPr>
          <w:r>
            <w:rPr>
              <w:rFonts w:hint="eastAsia"/>
              <w:sz w:val="24"/>
              <w:szCs w:val="24"/>
              <w:lang w:val="en-US" w:eastAsia="zh-CN"/>
            </w:rPr>
            <w:t xml:space="preserve">5 </w:t>
          </w:r>
          <w:r>
            <w:rPr>
              <w:rFonts w:hint="default"/>
              <w:sz w:val="24"/>
              <w:szCs w:val="24"/>
            </w:rPr>
            <w:t>Conclusion</w:t>
          </w:r>
          <w:r>
            <w:rPr>
              <w:sz w:val="24"/>
              <w:szCs w:val="24"/>
            </w:rPr>
            <w:tab/>
          </w:r>
          <w:r>
            <w:rPr>
              <w:rFonts w:hint="eastAsia"/>
              <w:sz w:val="24"/>
              <w:szCs w:val="24"/>
              <w:lang w:val="en-US" w:eastAsia="zh-CN"/>
            </w:rPr>
            <w:t>10</w:t>
          </w:r>
        </w:p>
        <w:p>
          <w:pPr>
            <w:pStyle w:val="10"/>
            <w:tabs>
              <w:tab w:val="right" w:leader="dot" w:pos="8306"/>
            </w:tabs>
          </w:pPr>
          <w:r>
            <w:rPr>
              <w:sz w:val="24"/>
              <w:szCs w:val="24"/>
            </w:rPr>
            <w:fldChar w:fldCharType="begin"/>
          </w:r>
          <w:r>
            <w:rPr>
              <w:sz w:val="24"/>
              <w:szCs w:val="24"/>
            </w:rPr>
            <w:instrText xml:space="preserve"> HYPERLINK \l _Toc1760631241 </w:instrText>
          </w:r>
          <w:r>
            <w:rPr>
              <w:sz w:val="24"/>
              <w:szCs w:val="24"/>
            </w:rPr>
            <w:fldChar w:fldCharType="separate"/>
          </w:r>
          <w:r>
            <w:rPr>
              <w:rFonts w:hint="default"/>
              <w:sz w:val="24"/>
              <w:szCs w:val="24"/>
            </w:rPr>
            <w:t>6 References</w:t>
          </w:r>
          <w:r>
            <w:rPr>
              <w:sz w:val="24"/>
              <w:szCs w:val="24"/>
            </w:rPr>
            <w:tab/>
          </w:r>
          <w:r>
            <w:rPr>
              <w:sz w:val="24"/>
              <w:szCs w:val="24"/>
            </w:rPr>
            <w:fldChar w:fldCharType="begin"/>
          </w:r>
          <w:r>
            <w:rPr>
              <w:sz w:val="24"/>
              <w:szCs w:val="24"/>
            </w:rPr>
            <w:instrText xml:space="preserve"> PAGEREF _Toc1760631241 \h </w:instrText>
          </w:r>
          <w:r>
            <w:rPr>
              <w:sz w:val="24"/>
              <w:szCs w:val="24"/>
            </w:rPr>
            <w:fldChar w:fldCharType="separate"/>
          </w:r>
          <w:r>
            <w:rPr>
              <w:sz w:val="24"/>
              <w:szCs w:val="24"/>
            </w:rPr>
            <w:t>12</w:t>
          </w:r>
          <w:r>
            <w:rPr>
              <w:sz w:val="24"/>
              <w:szCs w:val="24"/>
            </w:rPr>
            <w:fldChar w:fldCharType="end"/>
          </w:r>
          <w:r>
            <w:rPr>
              <w:sz w:val="24"/>
              <w:szCs w:val="24"/>
            </w:rPr>
            <w:fldChar w:fldCharType="end"/>
          </w:r>
        </w:p>
        <w:p>
          <w:r>
            <w:fldChar w:fldCharType="end"/>
          </w:r>
        </w:p>
      </w:sdtContent>
    </w:sdt>
    <w:p>
      <w:pPr>
        <w:rPr>
          <w:rFonts w:hint="default" w:ascii="Times New Roman Regular" w:hAnsi="Times New Roman Regular" w:cs="Times New Roman Regular"/>
        </w:rPr>
      </w:pPr>
      <w:bookmarkStart w:id="3" w:name="_Toc146889517"/>
      <w:r>
        <w:rPr>
          <w:rFonts w:hint="default" w:ascii="Times New Roman Regular" w:hAnsi="Times New Roman Regular" w:cs="Times New Roman Regular"/>
        </w:rPr>
        <w:br w:type="page"/>
      </w:r>
    </w:p>
    <w:p>
      <w:pPr>
        <w:pStyle w:val="3"/>
        <w:bidi w:val="0"/>
        <w:rPr>
          <w:rFonts w:hint="default" w:ascii="Times New Roman Regular" w:hAnsi="Times New Roman Regular" w:cs="Times New Roman Regular"/>
        </w:rPr>
      </w:pPr>
      <w:r>
        <w:rPr>
          <w:rFonts w:hint="default" w:ascii="Times New Roman Regular" w:hAnsi="Times New Roman Regular" w:cs="Times New Roman Regular"/>
        </w:rPr>
        <w:t>1 Introduction</w:t>
      </w:r>
      <w:bookmarkEnd w:id="3"/>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Beijing Xiaomi Technology Co., Ltd. (hereinafter referred to as "Xiaomi") is an Internet innovation technology company. It was founded in Beijing in April 2010, mainly engaged in high-end smart phones, Internet TV, LoT platform, smart hardware and smart home ecological chain construction. It was listed on the Hong Kong Stock Exchange on July 9, 2018.</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first generation Xiaomi mobile phone was released in 2011. It adopts the sales method of hunger marketing to link the reservation number with the purchase opportunity, so as to achieve the effect of "short-term high sales". In 2020, Xiaomi will be the fourth smartphone manufacturer in the world and the fourth to develop mobile phone chips after Apple, Samsung and Huawei Company.</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Compared with other mobile phone manufacturers, the core competitiveness of Xiaomi lies in its high configuration and low price, positioning the low-end mobile phone market, cost leadership strategy and "hunger marketing" sales method, so that Xiaomi's mobile phone business has a place in the economic market. The latest financial data of Xiaomi fully reflects the impact of the downturn in the global smartphone market in the second quarter of 2022. The company's revenue in the quarter fell 20.1% year on year to 70.2 billion yuan (or 10.3 billion dollars). Most of the decline came from the company's smartphone division, which declined 28.5% to 42.3 billion yuan (US $6.2 billion). According to Counterpoint's market monitoring service, Xiaomi's shipment decreased by 25% in the second quarter of 2022, with a market share of 13.4%, second only to Apple and Samsung.</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Due to the small decline of non smartphone sector in the second quarter of 2022, Xiaomi's income distribution in the second quarter of 2022 seems to be more diversified than the same period last year.</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Commenting on Xiaomi's smartphone business in the second quarter of 2022, Ivan Lam, a senior analyst, said: "In the second quarter, Xiaomi's smartphone business was squeezed overseas by the glory of Samsung and China's local market. After the" 618 "shopping festival in the middle of the year, Xiaomi's inventory in China eased to a normal level. However, due to global inflation and the imminent macroeconomic recession, customers cannot buy or replace smartphones, and inventory problems still plague Xiaomi in other regional markets. In China, the strong momentum of glory also put pressure on Xiaomi's smartphone sales in the second quarter. Xiaomi's share of shipments ranked fourth in China, while Glory ranked first. Looking ahead, we believe that China's smartphone market is bottoming out and rebounding, but the global market will also shrink before achieving a double-digit decline in 2022. Xiaomi is slowing down its offline expansion, which will weaken its competitiveness in China.</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inventory problem faced by smart phone OEMs, including Xiaomi, has always been a concern. It is reported that OEM manufacturers cut production orders, cancelled parts procurement and adjusted the shipment target in 2022. According to Counterpoint's analysis of Xiaomi's financial report, the company's inventory turnover days rose slightly in the second quarter of 2022. However, with the reduction of China's inventory level, we believe that Xiaomi may carry out relatively active promotional activities in other regional markets.</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Xiaomi continues to make long-term investments. The Company's R&amp;D expenditure in the second quarter increased by 22.8% year on year to 3.8 billion yuan (560 million dollars). Electric vehicles and other new businesses exceeded 611 million yuan.</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Lei Jun, the founder and CEO, said that Xiaomi's electric vehicle will be mass produced in the first half of 2024. This means that it will take another year and a half for the company to see its new growth engine running. Commenting on Xiaomi's electric vehicle ambition, Archie Zhang, research analyst, said: "EV is a new business for Xiaomi. Therefore, its smartphone business needs to generate enough profits to maintain the growing ADAS and digital cockpit research and development expenditure. Compared with the automobile original equipment manufacturers, Xiaomi has great advantages, especially because it knows what technology savvy customers are looking for. However, our research shows that electric vehicle customers still give priority to safety rather than in car entertainment Other factors. According to our data, this is why the old brand OEMs such as BYD and Volkswagen still dominate the sales of electric vehicles in China. Xiaomi may need several years to prove the stability and safety of its electric vehicles to win a considerable market share. "</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Only by returning to the strategy of customer service can Xiaomi further develop and survive.</w:t>
      </w:r>
    </w:p>
    <w:p>
      <w:pPr>
        <w:pStyle w:val="3"/>
        <w:bidi w:val="0"/>
        <w:rPr>
          <w:rFonts w:hint="default"/>
        </w:rPr>
      </w:pPr>
      <w:bookmarkStart w:id="4" w:name="_Toc1313401816"/>
      <w:r>
        <w:rPr>
          <w:rFonts w:hint="default"/>
        </w:rPr>
        <w:t>2 Comprehensive strategic analysis including internal and external</w:t>
      </w:r>
      <w:bookmarkEnd w:id="4"/>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first quarter of 2022, Xiaomi's revenue fell 4.6% year on year and 14.3% month on month, which is expected. The result is mainly attributed to the decline of its global smartphone sales. The company's largest smartphone business fell 11.1% year on year. According to the latest Counterpoint Market Monitor data, Xiaomi's share of global smartphone shipments has been declining in the past three quarters, from a peak of 16% in the second quarter of 2021 to 12% in the first quarter of 2022. The shipment volume has reached the lowest point since the third quarter of 2020.</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Due to the continuous shortage of key components such as 4G SoC, the resurgence of COVID-19 in some regions, and the global macroeconomic headwind, the shipment of Xiaomi smart phones in the first quarter of 2022 fell by 20.6% year on year, while the global decline was 8.1%, and the Chinese market fell by 18.1%, according to the market monitoring data of Counterpoint.</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commenting on Xiaomi's smartphone sales, Ivan Lam, a senior analyst, said: "Q1 is usually the seasonal low point for all OEMs. However, the decline of Xiaomi's smartphone sales is greater than the market. Historically, Xiaomi is based on entry-level and budget mid-range smartphones such as Redmi 9A/9C and Redmi Note series. Therefore, the shortage of LTE chipsets has affected Xiaomi's performance in the low-end market. However, we can also see the ASP (average selling price) of Xiaomi's phones The rise to 1189 yuan (about 176 US dollars) may be the only thing worth cheering in the first quarter data of 2022. "</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cost of sales of Xiaomi smart phones decreased by 8.1%, mainly due to the decline in sales, partly offset by the increase in average cost of sales due to the increase in the proportion of mid end and high-end smartphones shipped. Review the sales campaign, Lin said: "Xiaomi's offline channel expansion in China has experienced a period of ups and downs. After spending a lot with offline partners, Xiaomi's offline sales share has not changed. What's worse, Xiaomi's inventory is now very high, especially in high-end and high-end smartphones. This has prompted Xiaomi to spend more on promotional activities. We observed that its inventory turnover days at the end of the first quarter of 2022 are far higher than the first quarter of 2021. The high inventory is The danger signal in the second quarter of 2022 is that some major cities in China are implementing COVID-19 blockade, reducing people's ability to buy new smartphones. "</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first quarter of 2022, Xiaomi's Internet of Things and life products sector grew 6.8% year on year, down 22.3% month on month. The sales volume of the company's TV products in China led the sector, and kept the first place in the domestic market for 13 consecutive quarters. Wang Yang, a senior analyst, commented on the performance of the sector, "The Internet of Things and lifestyle products account for 26.6% of the group's total revenue, which is the main source of revenue. However, compared with the smartphone field, this field does not make much money. The increase in profits is mainly due to the decline in the price of key components such as display panels. In terms of wearable products, Xiaomi has also seen disappointing results. Although it is India's leading smartphone brand, its TWS and smart watch models are not Can enter the top five brands list. In the first quarter of 2022, India's TWS and smart watch shipments increased by 66% and 173% year on year respectively, but Xiaomi was still excluded. It could have done better in terms of its second largest revenue contributor. "</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Xiaomi's Internet service business grew to 9.7% of the company's total revenue in the first quarter of 2022, up 8.2% year on year and down 2.2% month on month. The month on month decline was due to poor smartphone sales. When commenting on Xiaomi's Internet service department, Archie Zhang, a research analyst, said: "Against the background that Google has seized a large part of such revenue in overseas markets, Xiaomi's Internet service department has constantly brought good news. Xiaomi has just broken through the 500 million installation base and joined Samsung and Apple, but it needs to take innovative methods to monetize the traffic of its overseas products."</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view of the industry competition environment, this paper uses Porter's five forces model to analyze, that is, potential new competitors, suppliers' bargaining power, buyers' bargaining power, competitors in the same industry, and threats of alternative products.</w:t>
      </w:r>
    </w:p>
    <w:p>
      <w:pPr>
        <w:pStyle w:val="4"/>
        <w:bidi w:val="0"/>
        <w:rPr>
          <w:rFonts w:hint="default"/>
        </w:rPr>
      </w:pPr>
      <w:r>
        <w:rPr>
          <w:rFonts w:hint="default"/>
        </w:rPr>
        <w:t>2.1 Potential new competitors</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rPr>
      </w:pPr>
      <w:r>
        <w:rPr>
          <w:rFonts w:hint="default" w:ascii="Times New Roman Regular" w:hAnsi="Times New Roman Regular" w:cs="Times New Roman Regular"/>
          <w:sz w:val="24"/>
          <w:szCs w:val="24"/>
        </w:rPr>
        <w:t>The scientific and technological attributes of smart phones have created its own profit space, which needs to be large enough to maintain the development and innovation of new products. The high profit of the product has led potential competitors outside the industry to have a stronger willingness to enter the industry and seize resources, which poses a great potential threat to Xiaomi's mobile phone, and urges Xiaomi to constantly strengthen its core competitiveness to stabilize its market share and further develop.</w:t>
      </w:r>
    </w:p>
    <w:p>
      <w:pPr>
        <w:pStyle w:val="4"/>
        <w:bidi w:val="0"/>
        <w:rPr>
          <w:rFonts w:hint="default"/>
        </w:rPr>
      </w:pPr>
      <w:r>
        <w:rPr>
          <w:rFonts w:hint="default"/>
        </w:rPr>
        <w:t>2.2 Supplier bargaining power</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Xiaomi mobile phones started with assembly machines and highly relied on external suppliers. The hardware suppliers of Xiaomi mobile phones include more than 30 companies, including Inventec, Foxconn, Sharp, SONY, LG, PHILIPS and Samsung. In terms of processors, Xiaomi relies more than 90% on Qualcomm processors. Xiaomi is an assembly machine. Most of the spare parts need to be purchased externally, which makes it weak in bargaining power with suppliers. Xiaomi mobile phones have been expanding in scale, achieving "scale effect" in the mobile phone market, and their external bargaining power has also been improved. In addition, the e-commerce sales model helps Xiaomi quickly collect funds. Its brand effect also drives the sales volume of suppliers' products. If both parties achieve mutual benefit, they can obtain bargaining chips with suppliers.</w:t>
      </w:r>
    </w:p>
    <w:p>
      <w:pPr>
        <w:pStyle w:val="4"/>
        <w:bidi w:val="0"/>
        <w:rPr>
          <w:rFonts w:hint="default"/>
        </w:rPr>
      </w:pPr>
      <w:r>
        <w:rPr>
          <w:rFonts w:hint="default"/>
        </w:rPr>
        <w:t>2.3 Buyer bargaining power</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Xiaomi mobile phone adopts the cost leading strategy and the "hunger marketing" mode to achieve the effect of "short-term high sales". At present, there are more and more personalized mobile phones of niche brands. Although Meitu Xiuxiu can only occupy a few markets by creating unique mobile phones based on the characteristics of its own software, the mobile phone market is gradually subdivided with the segmentation of personalized brands. In addition, global informatization makes Internet channels integrate with each other, making it easier for consumers to obtain comprehensive product information, so as to compare various products in terms of price and function; The emergence of customized mobile phones may lead to new mobile phone development trends. Therefore, the bargaining power of buyers is enhanced.</w:t>
      </w:r>
    </w:p>
    <w:p>
      <w:pPr>
        <w:pStyle w:val="4"/>
        <w:bidi w:val="0"/>
        <w:rPr>
          <w:rFonts w:hint="default"/>
        </w:rPr>
      </w:pPr>
      <w:r>
        <w:rPr>
          <w:rFonts w:hint="default"/>
        </w:rPr>
        <w:t>2.4 Competitors in the same industry</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2011 was a period of rapid development of smart phone industry, and famous brands such as Apple, Xiaomi, HTC and Meizu became the main players in the industry at that time. With the development of the industry and consumers' recognition of smart phones, the shipment of smart phones has increased dramatically. 2017 is the peak of global smartphone development, and the smartphone market has gradually reached saturation. After 2018, the annual shipment data began to decline slowly. In 2020, the global smartphone shipment volume was only 1.331 billion, a year-on-year decrease of 10%. In addition, in the mobile phone industry, consumers can buy smart phones for about 1000 yuan, largely because of Lei Jun's cost leadership strategy for Xiaomi mobile phones. In order to snipe at Xiaomi, competitors have launched sub brands with similar configurations but lower prices to seize the market.</w:t>
      </w:r>
    </w:p>
    <w:p>
      <w:pPr>
        <w:pStyle w:val="3"/>
        <w:bidi w:val="0"/>
        <w:rPr>
          <w:rFonts w:hint="default"/>
        </w:rPr>
      </w:pPr>
      <w:bookmarkStart w:id="5" w:name="_Toc359913999"/>
      <w:r>
        <w:rPr>
          <w:rFonts w:hint="default"/>
        </w:rPr>
        <w:t>3 Assessment of strategic options</w:t>
      </w:r>
      <w:bookmarkEnd w:id="5"/>
    </w:p>
    <w:p>
      <w:pPr>
        <w:pStyle w:val="4"/>
        <w:bidi w:val="0"/>
        <w:rPr>
          <w:rFonts w:hint="default"/>
        </w:rPr>
      </w:pPr>
      <w:r>
        <w:rPr>
          <w:rFonts w:hint="default"/>
        </w:rPr>
        <w:t>3.1 Improve product positioning image and create high-end brand</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Although Xiaomi's mobile phone started with a "price friendly" route, it attracted a large number of loyal rice noodles and brought benefits to its own brand. But in the long run, it is not an appropriate marketing strategy. Low prices can only bring temporary benefits to Xiaomi's mobile phone and affect its brand image. The low price positioning is suitable for the development of Xiaomi in the initial market, and it can win the demand of the mobile phone market by relying on small profits and quick turnover. With the continuous development of Xiaomi mobile phones, it has begun to occupy the top of the top several domestic mobile phones, so we should consider building a high-end brand image of Xiaomi mobile phones. Nowadays, because the price friendly route has gone deep into user psychology, it gives the audience the stereotype of low-end and cheap Xiaomi mobile phones, which is not conducive to the establishment of high-end brand image of Xiaomi mobile phones in the long run. Because the price positioning of Xiaomi's mobile phone is too user-friendly, users often regard the Xiaomi brand as a transitional period for purchasing mobile phones. When purchasing high-end models, they will give priority to Apple, Huawei, Samsung and other brands. The high-end image of Xiaomi has not been established in the minds of users, resulting in insufficient high-end image building of the Xiaomi brand.</w:t>
      </w:r>
    </w:p>
    <w:p>
      <w:pPr>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rPr>
      </w:pPr>
      <w:r>
        <w:rPr>
          <w:rFonts w:hint="default" w:ascii="Times New Roman Regular" w:hAnsi="Times New Roman Regular" w:cs="Times New Roman Regular"/>
          <w:sz w:val="24"/>
          <w:szCs w:val="24"/>
        </w:rPr>
        <w:t>The high-end transformation of smart phones requires the brand to upgrade its product positioning, meet the needs of more high-end users for mobile phones, and create its own unique advantages in order to occupy the market. Huawei's mobile phone development plan started from the low-end market at the beginning, and gained initial market share through the technical dimension reduction attack. After constant integration with the international market, Huawei finally achieved some success worldwide, and gradually moved towards high-end. The same route is also followed by Xiaomi mobile phones. Xiaomi mobile phones started from the low-end market and have always maintained the update iteration of low-end phones. Xiaomi mobile phones start with the high cost performance of low-end mobile phones, consolidate consumers' trust and love for Xiaomi mobile phones, and use sufficient cash flow to promote the process of high-end mobile phones after accumulating enough low-end users to meet the survival needs of Xiaomi mobile phones. In the development direction of high-end computers, we gradually captured the minds of consumers through effective advertising, and bravely tried the international market, obtaining good feedback.</w:t>
      </w:r>
    </w:p>
    <w:p>
      <w:pPr>
        <w:pStyle w:val="4"/>
        <w:bidi w:val="0"/>
        <w:rPr>
          <w:rFonts w:hint="default"/>
        </w:rPr>
      </w:pPr>
      <w:r>
        <w:rPr>
          <w:rFonts w:hint="default"/>
        </w:rPr>
        <w:t>3.2 Innovate the development of core technology and create scientific and technological products</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Although Xiaomi mobile phone has become one of the domestic mobile phone brands, there are still core technical problems unsolved. For the development of mobile phone brand, its own innovative technology is the key element of sustainable development. When Xiaomi mobile phones first entered the market, they mainly focused on the brand positioning of "fever level". Xiaomi's slogan for fever was catchy and popular. But now it has become a prophecy. Xiaomi has really become a "fever machine". First of all, the Xiaomi mobile phone runs very fast in the early stage of use, and its feel is liked by the audience. However, the frequency of using the mobile phone for a long time will make the Xiaomi mobile phone hot during operation for a long time, and even the black screen will crash. Even in the ordinary use of users, the phenomenon of "stuck machine" often occurs, which makes users feel uncomfortable. Secondly, Xiaomi does not have a separate processor, relying on the development of Qualcomm Snapdragon processors, and lacks technological innovation. Among the domestic mobile phones, Xiaomi and Huawei are competing fiercely. The two have been competing for more audience markets. The reason why the audience chose Huawei is that Huawei has strong innovative technology capabilities, independently develops Qilin processors, and the mobile phone system is more perfect. In contrast, Xiaomi's mobile phone technology capabilities need to be improved. Finally, the era continues to develop, from the 4G era to the 5G era, which is a challenge and opportunity for the mobile phone industry.</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quality and sense of use of products are the most direct factors affecting brand marketing. The resistance of product quality has an impact on the number of brand sales, and the most important is to pave the way for the long-term development of brand image. For Xiaomi, the key to directly improve the sales volume of its products is its own excellent technology. Taking the mobile phone business as an example, Yu Chengdong, an executive of Huawei, said in 2017 that Huawei's R&amp;D investment has exceeded that of all other domestic mobile phone manufacturers combined. Therefore, Xiaomi mobile phones should learn from Huawei's spirit of scientific research. Innovation is the driving force to constantly promote brand development. Xiaomi should increase the research and development of mobile phone technology and invest more energy and money in technology. Xiaomi has always focused on marketing, with a small proportion of technology investment. To strengthen the study and research of core technology, only mastering core technology is the king's way. Xiaomi's primary solution is to solve the problem that the mobile phone is hot and dead. The shell material is made of materials with better heat dissipation, which is inherently to improve its own configuration and solve the problem of excessive power consumption. The most important thing is to develop their own operating processors, with their own independent core technology. In addition, facing the arrival of the 5G era, Xiaomi should seize the opportunities for innovation. We should pay attention to the training and introduction of scientific and technological talents to bring innovation vitality to the improvement of Xiaomi's core technology. We should not only limit ourselves to domestic high-tech talents, but also increase funds to find global talents, so as to absorb more scientific research experience and achievements.</w:t>
      </w:r>
    </w:p>
    <w:p>
      <w:pPr>
        <w:pStyle w:val="4"/>
        <w:bidi w:val="0"/>
        <w:rPr>
          <w:rFonts w:hint="default"/>
        </w:rPr>
      </w:pPr>
      <w:r>
        <w:rPr>
          <w:rFonts w:hint="default"/>
        </w:rPr>
        <w:t>3.3 Transform brand marketing methods and create diversified content</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Under the traditional marketing mode, many enterprises have weak awareness of marketing management, simple setup of relevant institutions, relatively single marketing methods and marketing strategies, and obvious lack of innovation, which leads to low level of enterprise marketing management and affects its function and role. In those years, Xiaomi mobile phones were popular with "hunger marketing".</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mind of consumers is the key to the enterprise's profit, and it is also the key to product R&amp;D and marketing. Enterprises need to fully evaluate consumers' preferences for products and future demand orientation, so that they can firmly grasp consumers' psychology and let consumers continue to pay the bill, so that more profits can be invested in the research and development of higher level products. However, using consumers' minds should not be used frequently. Instead, it will make consumers establish a sense of vigilance, which is not conducive to the positive image of the brand, thus creating the possibility of investing in competitive brands and causing the loss of corporate customers.</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marketing mode of Xiaomi mobile phone focuses on online marketing, and the few offline stores of Xiaomi mobile phone lead to the failure to fully meet the customer's maintenance needs, which will have a bad impact on the customer's after-sales experience and damage the long-term interests of the enterprise. With the rapid growth of enterprises in the smart phone industry, the competition in the mobile phone market is becoming more and more fierce. Enterprises need to pay special attention to the public image to facilitate the promotion of new products and maintain the loyalty of purchased users. Xiaomi mobile phone needs to pay special attention to the analysis of brand marketing concepts and ideas. Xiaomi Mobile should seize every opportunity that can effectively promote its brand. By creating a high-quality brand to reduce the communication cost between enterprises and consumers, it can effectively improve the marketing cost of enterprises, thereby improving the overall resource utilization of enterprises, and constantly consolidate the leading position of enterprises in the industry.</w:t>
      </w:r>
    </w:p>
    <w:p>
      <w:pPr>
        <w:pStyle w:val="4"/>
        <w:bidi w:val="0"/>
        <w:rPr>
          <w:rFonts w:hint="default"/>
        </w:rPr>
      </w:pPr>
      <w:r>
        <w:rPr>
          <w:rFonts w:hint="default"/>
        </w:rPr>
        <w:t>4 Influence and Strategy of Strategic Organization</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marketing strategy, Xiaomi mobile phones are more inclined to launch cost-effective products, and at the same time, create their own grounded image to close the relationship with consumers, so as to facilitate the sales of products. Xiaomi launched new products very quickly, which can meet the market and consumer demand relatively quickly, and impact the mobile phone market with high cost performance. The recently launched Xiaomi note3 features face recognition and the comprehensive screen of Xiaomi NIX2. These two functions were originally the highlights of Apple's upcoming iPhone X, which was released by Xiaomi first, which can be said to occupy a good time point. The price of Xiaomi mobile phones is basically in the range of 2000~3000, meeting the price range acceptable to most consumers. From the launch of Xiaomi mobile phones to online on time shopping and offline queuing appointments, there were so-called "second killing", "long lines" and "scalpers selling high prices". As a result, Xiaomi's promotion strategy is still to adopt hunger marketing to keep consumers fresh and satisfied.</w:t>
      </w:r>
    </w:p>
    <w:p>
      <w:pPr>
        <w:pStyle w:val="4"/>
        <w:bidi w:val="0"/>
        <w:rPr>
          <w:rFonts w:hint="default"/>
        </w:rPr>
      </w:pPr>
      <w:r>
        <w:rPr>
          <w:rFonts w:hint="default"/>
        </w:rPr>
        <w:t>5 Conclusion</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Xiaomi is an Internet company with mobile phones, smart hardware and IoT platform as its core, and rich products and services such as smart phones, smart TVs and laptops. We are committed to enabling everyone in the world to enjoy the wonderful life brought by technology. "Born for fever" is Xiaomi's product philosophy. "Let everyone enjoy the fun of technology" is Xiaomi's vision. Xiaomi has applied the Internet development model to develop products, using the geek spirit to make products, and using the Internet model to eliminate the intermediate links, so that everyone in the world can enjoy high-quality scientific and technological products from China.</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main marketing strategy of Xiaomi mobile phone promotion is hunger marketing. Hunger marketing plays the role of consumer psychology, product innovation and mystery. Although it has many advantages for enterprises, such as strengthening the purchase desire of consumers, increasing the appeal and dependence of product brands, increasing brand publicity and maintaining brand image, it is also a double-edged sword, which needs to be mastered when using, and not every product is applicable, The applicable products should also adapt to the market and consumers according to the changes of the times. However, the repeated use of hunger marketing will reduce the effect and damage the long-term profits of the enterprise. The following six points should be paid attention to when using:</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The product has been recognized by the public, and has a stable customer base and competitiveness;</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The product quality and reputation are always good, and consumers are willing to take risks to buy new products;</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The price is close to the people, can afford to consume and meet the demand of customization;</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Product quality must be refined and unique;</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"Hunger" should be moderate, and the quantity and price should be balanced to ensure the satisfaction of the user market;</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 Be fresh and innovative.</w:t>
      </w:r>
    </w:p>
    <w:p>
      <w:pPr>
        <w:pStyle w:val="2"/>
        <w:keepNext w:val="0"/>
        <w:keepLines w:val="0"/>
        <w:pageBreakBefore w:val="0"/>
        <w:widowControl/>
        <w:kinsoku/>
        <w:wordWrap/>
        <w:overflowPunct/>
        <w:topLinePunct w:val="0"/>
        <w:autoSpaceDE/>
        <w:autoSpaceDN/>
        <w:bidi w:val="0"/>
        <w:adjustRightInd/>
        <w:snapToGrid/>
        <w:spacing w:line="26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future development strategy of Xiaomi mobile phone should choose to build an intensive strategy and innovative network marketing model with high-end model layout as the core and user segmentation. First, increase the layout of Xiaomi high-end flagship models. In view of the current difficulties of competitors, accelerate to enter the ranks of high-end models. The high-end models in the market represent the brand image, which can help the company establish a good brand. The higher the market share of a company's high-end mobile phones, the more recognized the brand consumers are. Because the market technology is updated quickly, if the company does not do high-end market, it will inevitably be eliminated by the times. Second, innovate the network marketing mode. The low price strategy of hunger marketing can not meet the future development needs of Xiaomi. We can use new media, such as Tiktok, live streaming and other ways that young people like to create "Xiaomi ecological chain", cultivate user habits and improve customer dependence.</w:t>
      </w:r>
    </w:p>
    <w:p>
      <w:pPr>
        <w:pStyle w:val="3"/>
        <w:bidi w:val="0"/>
        <w:rPr>
          <w:rFonts w:hint="default"/>
        </w:rPr>
      </w:pPr>
      <w:bookmarkStart w:id="6" w:name="_Toc1760631241"/>
      <w:r>
        <w:rPr>
          <w:rFonts w:hint="default"/>
        </w:rPr>
        <w:t>6 References</w:t>
      </w:r>
      <w:bookmarkEnd w:id="6"/>
    </w:p>
    <w:p>
      <w:pPr>
        <w:pStyle w:val="7"/>
        <w:keepNext w:val="0"/>
        <w:keepLines w:val="0"/>
        <w:widowControl/>
        <w:suppressLineNumbers w:val="0"/>
        <w:ind w:left="567" w:hanging="567"/>
        <w:rPr>
          <w:b w:val="0"/>
          <w:bCs w:val="0"/>
          <w:i w:val="0"/>
          <w:iCs w:val="0"/>
          <w:caps w:val="0"/>
          <w:color w:val="000000"/>
          <w:spacing w:val="0"/>
          <w:u w:val="none"/>
        </w:rPr>
      </w:pPr>
      <w:r>
        <w:rPr>
          <w:b w:val="0"/>
          <w:bCs w:val="0"/>
          <w:i w:val="0"/>
          <w:iCs w:val="0"/>
          <w:caps w:val="0"/>
          <w:color w:val="000000"/>
          <w:spacing w:val="0"/>
          <w:u w:val="none"/>
        </w:rPr>
        <w:t>Ghose, A. (2017) “Mobile phones: A truly transformative technology,” </w:t>
      </w:r>
      <w:r>
        <w:rPr>
          <w:b w:val="0"/>
          <w:bCs w:val="0"/>
          <w:i/>
          <w:iCs/>
          <w:caps w:val="0"/>
          <w:color w:val="000000"/>
          <w:spacing w:val="0"/>
          <w:u w:val="none"/>
        </w:rPr>
        <w:t>Tap</w:t>
      </w:r>
      <w:r>
        <w:rPr>
          <w:b w:val="0"/>
          <w:bCs w:val="0"/>
          <w:i w:val="0"/>
          <w:iCs w:val="0"/>
          <w:caps w:val="0"/>
          <w:color w:val="000000"/>
          <w:spacing w:val="0"/>
          <w:u w:val="none"/>
        </w:rPr>
        <w:t> [Preprint]. Available at: https://doi.org/10.7551/mitpress/9780262036276.003.0002. </w:t>
      </w:r>
    </w:p>
    <w:p>
      <w:pPr>
        <w:pStyle w:val="7"/>
        <w:keepNext w:val="0"/>
        <w:keepLines w:val="0"/>
        <w:widowControl/>
        <w:suppressLineNumbers w:val="0"/>
        <w:ind w:left="567" w:hanging="567"/>
        <w:rPr>
          <w:b w:val="0"/>
          <w:bCs w:val="0"/>
          <w:i w:val="0"/>
          <w:iCs w:val="0"/>
          <w:caps w:val="0"/>
          <w:color w:val="000000"/>
          <w:spacing w:val="0"/>
          <w:u w:val="none"/>
        </w:rPr>
      </w:pPr>
      <w:r>
        <w:rPr>
          <w:b w:val="0"/>
          <w:bCs w:val="0"/>
          <w:i w:val="0"/>
          <w:iCs w:val="0"/>
          <w:caps w:val="0"/>
          <w:color w:val="000000"/>
          <w:spacing w:val="0"/>
          <w:u w:val="none"/>
        </w:rPr>
        <w:t>Gunter, B. (2019) “Chapter 7 Health Risks and mobile phones,” </w:t>
      </w:r>
      <w:r>
        <w:rPr>
          <w:b w:val="0"/>
          <w:bCs w:val="0"/>
          <w:i/>
          <w:iCs/>
          <w:caps w:val="0"/>
          <w:color w:val="000000"/>
          <w:spacing w:val="0"/>
          <w:u w:val="none"/>
        </w:rPr>
        <w:t>Children and Mobile Phones: Adoption, Use, Impact, and Control</w:t>
      </w:r>
      <w:r>
        <w:rPr>
          <w:b w:val="0"/>
          <w:bCs w:val="0"/>
          <w:i w:val="0"/>
          <w:iCs w:val="0"/>
          <w:caps w:val="0"/>
          <w:color w:val="000000"/>
          <w:spacing w:val="0"/>
          <w:u w:val="none"/>
        </w:rPr>
        <w:t>, pp. 79–97. Available at: https://doi.org/10.1108/978-1-78973-035-720191010. </w:t>
      </w:r>
    </w:p>
    <w:p>
      <w:pPr>
        <w:pStyle w:val="7"/>
        <w:keepNext w:val="0"/>
        <w:keepLines w:val="0"/>
        <w:widowControl/>
        <w:suppressLineNumbers w:val="0"/>
        <w:ind w:left="567" w:hanging="567"/>
        <w:rPr>
          <w:b w:val="0"/>
          <w:bCs w:val="0"/>
          <w:i w:val="0"/>
          <w:iCs w:val="0"/>
          <w:caps w:val="0"/>
          <w:color w:val="000000"/>
          <w:spacing w:val="0"/>
          <w:u w:val="none"/>
        </w:rPr>
      </w:pPr>
      <w:r>
        <w:rPr>
          <w:b w:val="0"/>
          <w:bCs w:val="0"/>
          <w:i w:val="0"/>
          <w:iCs w:val="0"/>
          <w:caps w:val="0"/>
          <w:color w:val="000000"/>
          <w:spacing w:val="0"/>
          <w:u w:val="none"/>
        </w:rPr>
        <w:t>Lee, S.-H. (2015) “Mobile phone culture: The impacts of mobile phone use,” </w:t>
      </w:r>
      <w:r>
        <w:rPr>
          <w:b w:val="0"/>
          <w:bCs w:val="0"/>
          <w:i/>
          <w:iCs/>
          <w:caps w:val="0"/>
          <w:color w:val="000000"/>
          <w:spacing w:val="0"/>
          <w:u w:val="none"/>
        </w:rPr>
        <w:t>Encyclopedia of Mobile Phone Behavior</w:t>
      </w:r>
      <w:r>
        <w:rPr>
          <w:b w:val="0"/>
          <w:bCs w:val="0"/>
          <w:i w:val="0"/>
          <w:iCs w:val="0"/>
          <w:caps w:val="0"/>
          <w:color w:val="000000"/>
          <w:spacing w:val="0"/>
          <w:u w:val="none"/>
        </w:rPr>
        <w:t>, pp. 658–672. Available at: https://doi.org/10.4018/978-1-4666-8239-9.ch055. </w:t>
      </w:r>
    </w:p>
    <w:p>
      <w:pPr>
        <w:pStyle w:val="7"/>
        <w:keepNext w:val="0"/>
        <w:keepLines w:val="0"/>
        <w:widowControl/>
        <w:suppressLineNumbers w:val="0"/>
        <w:ind w:left="567" w:hanging="567"/>
        <w:rPr>
          <w:b w:val="0"/>
          <w:bCs w:val="0"/>
          <w:i w:val="0"/>
          <w:iCs w:val="0"/>
          <w:caps w:val="0"/>
          <w:color w:val="000000"/>
          <w:spacing w:val="0"/>
          <w:u w:val="none"/>
        </w:rPr>
      </w:pPr>
      <w:r>
        <w:rPr>
          <w:b w:val="0"/>
          <w:bCs w:val="0"/>
          <w:i w:val="0"/>
          <w:iCs w:val="0"/>
          <w:caps w:val="0"/>
          <w:color w:val="000000"/>
          <w:spacing w:val="0"/>
          <w:u w:val="none"/>
        </w:rPr>
        <w:t>Martin, C. (2017) “Children, mobile phones and outdoor play,” </w:t>
      </w:r>
      <w:r>
        <w:rPr>
          <w:b w:val="0"/>
          <w:bCs w:val="0"/>
          <w:i/>
          <w:iCs/>
          <w:caps w:val="0"/>
          <w:color w:val="000000"/>
          <w:spacing w:val="0"/>
          <w:u w:val="none"/>
        </w:rPr>
        <w:t>Practice-based Research in Children's Play</w:t>
      </w:r>
      <w:r>
        <w:rPr>
          <w:b w:val="0"/>
          <w:bCs w:val="0"/>
          <w:i w:val="0"/>
          <w:iCs w:val="0"/>
          <w:caps w:val="0"/>
          <w:color w:val="000000"/>
          <w:spacing w:val="0"/>
          <w:u w:val="none"/>
        </w:rPr>
        <w:t> [Preprint]. Available at: https://doi.org/10.1332/policypress/9781447330035.003.0010. </w:t>
      </w:r>
    </w:p>
    <w:p>
      <w:pPr>
        <w:pStyle w:val="7"/>
        <w:keepNext w:val="0"/>
        <w:keepLines w:val="0"/>
        <w:widowControl/>
        <w:suppressLineNumbers w:val="0"/>
        <w:ind w:left="567" w:hanging="567"/>
        <w:rPr>
          <w:b w:val="0"/>
          <w:bCs w:val="0"/>
          <w:i w:val="0"/>
          <w:iCs w:val="0"/>
          <w:caps w:val="0"/>
          <w:color w:val="000000"/>
          <w:spacing w:val="0"/>
          <w:u w:val="none"/>
        </w:rPr>
      </w:pPr>
      <w:r>
        <w:rPr>
          <w:b w:val="0"/>
          <w:bCs w:val="0"/>
          <w:i w:val="0"/>
          <w:iCs w:val="0"/>
          <w:caps w:val="0"/>
          <w:color w:val="000000"/>
          <w:spacing w:val="0"/>
          <w:u w:val="none"/>
        </w:rPr>
        <w:t>Weilenmann, A. and Hillman, T. (2018) “Curating visual experiences through mobile phones,” </w:t>
      </w:r>
      <w:r>
        <w:rPr>
          <w:b w:val="0"/>
          <w:bCs w:val="0"/>
          <w:i/>
          <w:iCs/>
          <w:caps w:val="0"/>
          <w:color w:val="000000"/>
          <w:spacing w:val="0"/>
          <w:u w:val="none"/>
        </w:rPr>
        <w:t>Linguistic and Material Intimacies of Cell Phones</w:t>
      </w:r>
      <w:r>
        <w:rPr>
          <w:b w:val="0"/>
          <w:bCs w:val="0"/>
          <w:i w:val="0"/>
          <w:iCs w:val="0"/>
          <w:caps w:val="0"/>
          <w:color w:val="000000"/>
          <w:spacing w:val="0"/>
          <w:u w:val="none"/>
        </w:rPr>
        <w:t>, pp. 209–232. Available at: https://doi.org/10.4324/9781315388380-10.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“Conclusion. the mobile assemblage and social change in China” (2020) </w:t>
      </w:r>
      <w:r>
        <w:rPr>
          <w:rFonts w:hint="default" w:ascii="Times New Roman Regular" w:hAnsi="Times New Roman Regular" w:cs="Times New Roman Regular"/>
          <w:b w:val="0"/>
          <w:bCs w:val="0"/>
          <w:i/>
          <w:iCs/>
          <w:caps w:val="0"/>
          <w:color w:val="000000"/>
          <w:spacing w:val="0"/>
          <w:sz w:val="24"/>
          <w:szCs w:val="24"/>
          <w:u w:val="none"/>
        </w:rPr>
        <w:t>Technomobility in China</w:t>
      </w:r>
      <w:r>
        <w:rPr>
          <w:rFonts w:hint="default" w:ascii="Times New Roman Regular" w:hAnsi="Times New Roman Regular" w:cs="Times New Roman Regular"/>
          <w:b w:val="0"/>
          <w:bCs w:val="0"/>
          <w:i w:val="0"/>
          <w:iCs w:val="0"/>
          <w:caps w:val="0"/>
          <w:color w:val="000000"/>
          <w:spacing w:val="0"/>
          <w:sz w:val="24"/>
          <w:szCs w:val="24"/>
          <w:u w:val="none"/>
        </w:rPr>
        <w:t>, pp. 177–188. Available at: https://doi.org/10.18574/nyu/9780814795262.003.0006.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“Introduction. mobile bodies, mobile technologies, and immobile mobility” (2020) </w:t>
      </w:r>
      <w:r>
        <w:rPr>
          <w:rFonts w:hint="default" w:ascii="Times New Roman Regular" w:hAnsi="Times New Roman Regular" w:cs="Times New Roman Regular"/>
          <w:b w:val="0"/>
          <w:bCs w:val="0"/>
          <w:i/>
          <w:iCs/>
          <w:caps w:val="0"/>
          <w:color w:val="000000"/>
          <w:spacing w:val="0"/>
          <w:sz w:val="24"/>
          <w:szCs w:val="24"/>
          <w:u w:val="none"/>
        </w:rPr>
        <w:t>Technomobility in China</w:t>
      </w:r>
      <w:r>
        <w:rPr>
          <w:rFonts w:hint="default" w:ascii="Times New Roman Regular" w:hAnsi="Times New Roman Regular" w:cs="Times New Roman Regular"/>
          <w:b w:val="0"/>
          <w:bCs w:val="0"/>
          <w:i w:val="0"/>
          <w:iCs w:val="0"/>
          <w:caps w:val="0"/>
          <w:color w:val="000000"/>
          <w:spacing w:val="0"/>
          <w:sz w:val="24"/>
          <w:szCs w:val="24"/>
          <w:u w:val="none"/>
        </w:rPr>
        <w:t>, pp. 1–28. Available at: https://doi.org/10.18574/nyu/9780814795262.003.0007.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“Mobile people, mobile disease” (2021) </w:t>
      </w:r>
      <w:r>
        <w:rPr>
          <w:rFonts w:hint="default" w:ascii="Times New Roman Regular" w:hAnsi="Times New Roman Regular" w:cs="Times New Roman Regular"/>
          <w:b w:val="0"/>
          <w:bCs w:val="0"/>
          <w:i/>
          <w:iCs/>
          <w:caps w:val="0"/>
          <w:color w:val="000000"/>
          <w:spacing w:val="0"/>
          <w:sz w:val="24"/>
          <w:szCs w:val="24"/>
          <w:u w:val="none"/>
        </w:rPr>
        <w:t>China and the Cholera Pandemic</w:t>
      </w:r>
      <w:r>
        <w:rPr>
          <w:rFonts w:hint="default" w:ascii="Times New Roman Regular" w:hAnsi="Times New Roman Regular" w:cs="Times New Roman Regular"/>
          <w:b w:val="0"/>
          <w:bCs w:val="0"/>
          <w:i w:val="0"/>
          <w:iCs w:val="0"/>
          <w:caps w:val="0"/>
          <w:color w:val="000000"/>
          <w:spacing w:val="0"/>
          <w:sz w:val="24"/>
          <w:szCs w:val="24"/>
          <w:u w:val="none"/>
        </w:rPr>
        <w:t>, pp. 48–78. Available at: https://doi.org/10.2307/j.ctv1kwxfn0.7.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Yihong, J. (2011) “Mobile patriarchy: Changes in the Mobile Rural Family,” </w:t>
      </w:r>
      <w:r>
        <w:rPr>
          <w:rFonts w:hint="default" w:ascii="Times New Roman Regular" w:hAnsi="Times New Roman Regular" w:cs="Times New Roman Regular"/>
          <w:b w:val="0"/>
          <w:bCs w:val="0"/>
          <w:i/>
          <w:iCs/>
          <w:caps w:val="0"/>
          <w:color w:val="000000"/>
          <w:spacing w:val="0"/>
          <w:sz w:val="24"/>
          <w:szCs w:val="24"/>
          <w:u w:val="none"/>
        </w:rPr>
        <w:t>Social Sciences in China</w:t>
      </w:r>
      <w:r>
        <w:rPr>
          <w:rFonts w:hint="default" w:ascii="Times New Roman Regular" w:hAnsi="Times New Roman Regular" w:cs="Times New Roman Regular"/>
          <w:b w:val="0"/>
          <w:bCs w:val="0"/>
          <w:i w:val="0"/>
          <w:iCs w:val="0"/>
          <w:caps w:val="0"/>
          <w:color w:val="000000"/>
          <w:spacing w:val="0"/>
          <w:sz w:val="24"/>
          <w:szCs w:val="24"/>
          <w:u w:val="none"/>
        </w:rPr>
        <w:t>, 32(1), pp. 26–43. Available at: https://doi.org/10.1080/02529203.2011.548917.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Zhang, G. (2022) “Mobile media in China: media practice as a research orientation,” </w:t>
      </w:r>
      <w:r>
        <w:rPr>
          <w:rFonts w:hint="default" w:ascii="Times New Roman Regular" w:hAnsi="Times New Roman Regular" w:cs="Times New Roman Regular"/>
          <w:b w:val="0"/>
          <w:bCs w:val="0"/>
          <w:i/>
          <w:iCs/>
          <w:caps w:val="0"/>
          <w:color w:val="000000"/>
          <w:spacing w:val="0"/>
          <w:sz w:val="24"/>
          <w:szCs w:val="24"/>
          <w:u w:val="none"/>
        </w:rPr>
        <w:t>Mobile Media &amp; Communication</w:t>
      </w:r>
      <w:r>
        <w:rPr>
          <w:rFonts w:hint="default" w:ascii="Times New Roman Regular" w:hAnsi="Times New Roman Regular" w:cs="Times New Roman Regular"/>
          <w:b w:val="0"/>
          <w:bCs w:val="0"/>
          <w:i w:val="0"/>
          <w:iCs w:val="0"/>
          <w:caps w:val="0"/>
          <w:color w:val="000000"/>
          <w:spacing w:val="0"/>
          <w:sz w:val="24"/>
          <w:szCs w:val="24"/>
          <w:u w:val="none"/>
        </w:rPr>
        <w:t>, p. 205015792211349. Available at: https://doi.org/10.1177/20501579221134947.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Durand, A. (2018) “Mobile marketing,” </w:t>
      </w:r>
      <w:r>
        <w:rPr>
          <w:rFonts w:hint="default" w:ascii="Times New Roman Regular" w:hAnsi="Times New Roman Regular" w:cs="Times New Roman Regular"/>
          <w:b w:val="0"/>
          <w:bCs w:val="0"/>
          <w:i/>
          <w:iCs/>
          <w:caps w:val="0"/>
          <w:color w:val="000000"/>
          <w:spacing w:val="0"/>
          <w:sz w:val="24"/>
          <w:szCs w:val="24"/>
          <w:u w:val="none"/>
        </w:rPr>
        <w:t>Marketing and Globalization</w:t>
      </w:r>
      <w:r>
        <w:rPr>
          <w:rFonts w:hint="default" w:ascii="Times New Roman Regular" w:hAnsi="Times New Roman Regular" w:cs="Times New Roman Regular"/>
          <w:b w:val="0"/>
          <w:bCs w:val="0"/>
          <w:i w:val="0"/>
          <w:iCs w:val="0"/>
          <w:caps w:val="0"/>
          <w:color w:val="000000"/>
          <w:spacing w:val="0"/>
          <w:sz w:val="24"/>
          <w:szCs w:val="24"/>
          <w:u w:val="none"/>
        </w:rPr>
        <w:t>, pp. 376–430. Available at: https://doi.org/10.4324/9781315474175-10.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Hua, H. (2019) “Marketing space 4.0 - mobile end-to-end marketing,” </w:t>
      </w:r>
      <w:r>
        <w:rPr>
          <w:rFonts w:hint="default" w:ascii="Times New Roman Regular" w:hAnsi="Times New Roman Regular" w:cs="Times New Roman Regular"/>
          <w:b w:val="0"/>
          <w:bCs w:val="0"/>
          <w:i/>
          <w:iCs/>
          <w:caps w:val="0"/>
          <w:color w:val="000000"/>
          <w:spacing w:val="0"/>
          <w:sz w:val="24"/>
          <w:szCs w:val="24"/>
          <w:u w:val="none"/>
        </w:rPr>
        <w:t>Mobile Marketing Management</w:t>
      </w:r>
      <w:r>
        <w:rPr>
          <w:rFonts w:hint="default" w:ascii="Times New Roman Regular" w:hAnsi="Times New Roman Regular" w:cs="Times New Roman Regular"/>
          <w:b w:val="0"/>
          <w:bCs w:val="0"/>
          <w:i w:val="0"/>
          <w:iCs w:val="0"/>
          <w:caps w:val="0"/>
          <w:color w:val="000000"/>
          <w:spacing w:val="0"/>
          <w:sz w:val="24"/>
          <w:szCs w:val="24"/>
          <w:u w:val="none"/>
        </w:rPr>
        <w:t>, pp. 320–345. Available at: https://doi.org/10.4324/9780429030871-17.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Lee, S.-H. (2015) “Mobile phone culture: The impacts of mobile phone use,” </w:t>
      </w:r>
      <w:r>
        <w:rPr>
          <w:rFonts w:hint="default" w:ascii="Times New Roman Regular" w:hAnsi="Times New Roman Regular" w:cs="Times New Roman Regular"/>
          <w:b w:val="0"/>
          <w:bCs w:val="0"/>
          <w:i/>
          <w:iCs/>
          <w:caps w:val="0"/>
          <w:color w:val="000000"/>
          <w:spacing w:val="0"/>
          <w:sz w:val="24"/>
          <w:szCs w:val="24"/>
          <w:u w:val="none"/>
        </w:rPr>
        <w:t>Encyclopedia of Mobile Phone Behavior</w:t>
      </w:r>
      <w:r>
        <w:rPr>
          <w:rFonts w:hint="default" w:ascii="Times New Roman Regular" w:hAnsi="Times New Roman Regular" w:cs="Times New Roman Regular"/>
          <w:b w:val="0"/>
          <w:bCs w:val="0"/>
          <w:i w:val="0"/>
          <w:iCs w:val="0"/>
          <w:caps w:val="0"/>
          <w:color w:val="000000"/>
          <w:spacing w:val="0"/>
          <w:sz w:val="24"/>
          <w:szCs w:val="24"/>
          <w:u w:val="none"/>
        </w:rPr>
        <w:t>, pp. 658–672. Available at: https://doi.org/10.4018/978-1-4666-8239-9.ch055.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Rieber, D. (2017) “Mobile marketing,” </w:t>
      </w:r>
      <w:r>
        <w:rPr>
          <w:rFonts w:hint="default" w:ascii="Times New Roman Regular" w:hAnsi="Times New Roman Regular" w:cs="Times New Roman Regular"/>
          <w:b w:val="0"/>
          <w:bCs w:val="0"/>
          <w:i/>
          <w:iCs/>
          <w:caps w:val="0"/>
          <w:color w:val="000000"/>
          <w:spacing w:val="0"/>
          <w:sz w:val="24"/>
          <w:szCs w:val="24"/>
          <w:u w:val="none"/>
        </w:rPr>
        <w:t>Mobile Marketing</w:t>
      </w:r>
      <w:r>
        <w:rPr>
          <w:rFonts w:hint="default" w:ascii="Times New Roman Regular" w:hAnsi="Times New Roman Regular" w:cs="Times New Roman Regular"/>
          <w:b w:val="0"/>
          <w:bCs w:val="0"/>
          <w:i w:val="0"/>
          <w:iCs w:val="0"/>
          <w:caps w:val="0"/>
          <w:color w:val="000000"/>
          <w:spacing w:val="0"/>
          <w:sz w:val="24"/>
          <w:szCs w:val="24"/>
          <w:u w:val="none"/>
        </w:rPr>
        <w:t>, pp. 25–45. Available at: https://doi.org/10.1007/978-3-658-14777-8_2.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S, B. (2019) “Marketing, mobile and future of Mobile Advertisement: Life Changing Through Mobile,” </w:t>
      </w:r>
      <w:r>
        <w:rPr>
          <w:rFonts w:hint="default" w:ascii="Times New Roman Regular" w:hAnsi="Times New Roman Regular" w:cs="Times New Roman Regular"/>
          <w:b w:val="0"/>
          <w:bCs w:val="0"/>
          <w:i/>
          <w:iCs/>
          <w:caps w:val="0"/>
          <w:color w:val="000000"/>
          <w:spacing w:val="0"/>
          <w:sz w:val="24"/>
          <w:szCs w:val="24"/>
          <w:u w:val="none"/>
        </w:rPr>
        <w:t>International Journal of Psychosocial Rehabilitation</w:t>
      </w:r>
      <w:r>
        <w:rPr>
          <w:rFonts w:hint="default" w:ascii="Times New Roman Regular" w:hAnsi="Times New Roman Regular" w:cs="Times New Roman Regular"/>
          <w:b w:val="0"/>
          <w:bCs w:val="0"/>
          <w:i w:val="0"/>
          <w:iCs w:val="0"/>
          <w:caps w:val="0"/>
          <w:color w:val="000000"/>
          <w:spacing w:val="0"/>
          <w:sz w:val="24"/>
          <w:szCs w:val="24"/>
          <w:u w:val="none"/>
        </w:rPr>
        <w:t>, 23(4), pp. 1623–1630. Available at: https://doi.org/10.37200/ijpr/v23i4/pr190487.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Alleva, C. (2021) “A mobile mapping system utilizing a spherical camera.” Available at: https://doi.org/10.32920/ryerson.14643951.v1.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Androulidakis, I.I. (2016) “Mobile Phone Forensics,” </w:t>
      </w:r>
      <w:r>
        <w:rPr>
          <w:rFonts w:hint="default" w:ascii="Times New Roman Regular" w:hAnsi="Times New Roman Regular" w:cs="Times New Roman Regular"/>
          <w:b w:val="0"/>
          <w:bCs w:val="0"/>
          <w:i/>
          <w:iCs/>
          <w:caps w:val="0"/>
          <w:color w:val="000000"/>
          <w:spacing w:val="0"/>
          <w:sz w:val="24"/>
          <w:szCs w:val="24"/>
          <w:u w:val="none"/>
        </w:rPr>
        <w:t>Mobile Phone Security and Forensics</w:t>
      </w:r>
      <w:r>
        <w:rPr>
          <w:rFonts w:hint="default" w:ascii="Times New Roman Regular" w:hAnsi="Times New Roman Regular" w:cs="Times New Roman Regular"/>
          <w:b w:val="0"/>
          <w:bCs w:val="0"/>
          <w:i w:val="0"/>
          <w:iCs w:val="0"/>
          <w:caps w:val="0"/>
          <w:color w:val="000000"/>
          <w:spacing w:val="0"/>
          <w:sz w:val="24"/>
          <w:szCs w:val="24"/>
          <w:u w:val="none"/>
        </w:rPr>
        <w:t>, pp. 87–109. Available at: https://doi.org/10.1007/978-3-319-29742-2_6.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Lee, S.-H. (2015) “Mobile phone culture: The impacts of mobile phone use,” </w:t>
      </w:r>
      <w:r>
        <w:rPr>
          <w:rFonts w:hint="default" w:ascii="Times New Roman Regular" w:hAnsi="Times New Roman Regular" w:cs="Times New Roman Regular"/>
          <w:b w:val="0"/>
          <w:bCs w:val="0"/>
          <w:i/>
          <w:iCs/>
          <w:caps w:val="0"/>
          <w:color w:val="000000"/>
          <w:spacing w:val="0"/>
          <w:sz w:val="24"/>
          <w:szCs w:val="24"/>
          <w:u w:val="none"/>
        </w:rPr>
        <w:t>Encyclopedia of Mobile Phone Behavior</w:t>
      </w:r>
      <w:r>
        <w:rPr>
          <w:rFonts w:hint="default" w:ascii="Times New Roman Regular" w:hAnsi="Times New Roman Regular" w:cs="Times New Roman Regular"/>
          <w:b w:val="0"/>
          <w:bCs w:val="0"/>
          <w:i w:val="0"/>
          <w:iCs w:val="0"/>
          <w:caps w:val="0"/>
          <w:color w:val="000000"/>
          <w:spacing w:val="0"/>
          <w:sz w:val="24"/>
          <w:szCs w:val="24"/>
          <w:u w:val="none"/>
        </w:rPr>
        <w:t>, pp. 658–672. Available at: https://doi.org/10.4018/978-1-4666-8239-9.ch055.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Udell, C. (2014) “Using a mobile camera as a powerful learning tool,” </w:t>
      </w:r>
      <w:r>
        <w:rPr>
          <w:rFonts w:hint="default" w:ascii="Times New Roman Regular" w:hAnsi="Times New Roman Regular" w:cs="Times New Roman Regular"/>
          <w:b w:val="0"/>
          <w:bCs w:val="0"/>
          <w:i/>
          <w:iCs/>
          <w:caps w:val="0"/>
          <w:color w:val="000000"/>
          <w:spacing w:val="0"/>
          <w:sz w:val="24"/>
          <w:szCs w:val="24"/>
          <w:u w:val="none"/>
        </w:rPr>
        <w:t>Mastering Mobile Learning</w:t>
      </w:r>
      <w:r>
        <w:rPr>
          <w:rFonts w:hint="default" w:ascii="Times New Roman Regular" w:hAnsi="Times New Roman Regular" w:cs="Times New Roman Regular"/>
          <w:b w:val="0"/>
          <w:bCs w:val="0"/>
          <w:i w:val="0"/>
          <w:iCs w:val="0"/>
          <w:caps w:val="0"/>
          <w:color w:val="000000"/>
          <w:spacing w:val="0"/>
          <w:sz w:val="24"/>
          <w:szCs w:val="24"/>
          <w:u w:val="none"/>
        </w:rPr>
        <w:t>, pp. 141–143. Available at: https://doi.org/10.1002/9781119036883.ch19. </w:t>
      </w:r>
    </w:p>
    <w:p>
      <w:pPr>
        <w:pStyle w:val="7"/>
        <w:keepNext w:val="0"/>
        <w:keepLines w:val="0"/>
        <w:pageBreakBefore w:val="0"/>
        <w:widowControl/>
        <w:suppressLineNumbers w:val="0"/>
        <w:kinsoku/>
        <w:wordWrap/>
        <w:overflowPunct/>
        <w:topLinePunct w:val="0"/>
        <w:autoSpaceDE/>
        <w:autoSpaceDN/>
        <w:bidi w:val="0"/>
        <w:adjustRightInd/>
        <w:spacing w:line="480" w:lineRule="auto"/>
        <w:ind w:left="567" w:hanging="567"/>
        <w:textAlignment w:val="auto"/>
        <w:rPr>
          <w:rFonts w:hint="default" w:ascii="Times New Roman Regular" w:hAnsi="Times New Roman Regular" w:cs="Times New Roman Regular"/>
          <w:b w:val="0"/>
          <w:bCs w:val="0"/>
          <w:i w:val="0"/>
          <w:iCs w:val="0"/>
          <w:caps w:val="0"/>
          <w:color w:val="000000"/>
          <w:spacing w:val="0"/>
          <w:sz w:val="24"/>
          <w:szCs w:val="24"/>
          <w:u w:val="none"/>
        </w:rPr>
      </w:pPr>
      <w:r>
        <w:rPr>
          <w:rFonts w:hint="default" w:ascii="Times New Roman Regular" w:hAnsi="Times New Roman Regular" w:cs="Times New Roman Regular"/>
          <w:b w:val="0"/>
          <w:bCs w:val="0"/>
          <w:i w:val="0"/>
          <w:iCs w:val="0"/>
          <w:caps w:val="0"/>
          <w:color w:val="000000"/>
          <w:spacing w:val="0"/>
          <w:sz w:val="24"/>
          <w:szCs w:val="24"/>
          <w:u w:val="none"/>
        </w:rPr>
        <w:t>Chunli, W., Yuchen, L. and Huaiwei, L. (2019) “Speech enhancement algorithms in vehicle environment,” </w:t>
      </w:r>
      <w:r>
        <w:rPr>
          <w:rFonts w:hint="default" w:ascii="Times New Roman Regular" w:hAnsi="Times New Roman Regular" w:cs="Times New Roman Regular"/>
          <w:b w:val="0"/>
          <w:bCs w:val="0"/>
          <w:i/>
          <w:iCs/>
          <w:caps w:val="0"/>
          <w:color w:val="000000"/>
          <w:spacing w:val="0"/>
          <w:sz w:val="24"/>
          <w:szCs w:val="24"/>
          <w:u w:val="none"/>
        </w:rPr>
        <w:t>International Journal of Performability Engineering</w:t>
      </w:r>
      <w:r>
        <w:rPr>
          <w:rFonts w:hint="default" w:ascii="Times New Roman Regular" w:hAnsi="Times New Roman Regular" w:cs="Times New Roman Regular"/>
          <w:b w:val="0"/>
          <w:bCs w:val="0"/>
          <w:i w:val="0"/>
          <w:iCs w:val="0"/>
          <w:caps w:val="0"/>
          <w:color w:val="000000"/>
          <w:spacing w:val="0"/>
          <w:sz w:val="24"/>
          <w:szCs w:val="24"/>
          <w:u w:val="none"/>
        </w:rPr>
        <w:t>, 15(11), p. 3081. Available at: https://doi.org/10.23940/ijpe.19.11.p28.30813089. </w:t>
      </w:r>
    </w:p>
    <w:p>
      <w:pPr>
        <w:pStyle w:val="2"/>
        <w:pageBreakBefore w:val="0"/>
        <w:widowControl/>
        <w:kinsoku/>
        <w:wordWrap/>
        <w:overflowPunct/>
        <w:topLinePunct w:val="0"/>
        <w:autoSpaceDE/>
        <w:autoSpaceDN/>
        <w:bidi w:val="0"/>
        <w:adjustRightInd/>
        <w:spacing w:line="480" w:lineRule="auto"/>
        <w:textAlignment w:val="auto"/>
        <w:rPr>
          <w:rFonts w:hint="default" w:ascii="Times New Roman Regular" w:hAnsi="Times New Roman Regular" w:cs="Times New Roman Regular"/>
          <w:sz w:val="24"/>
          <w:szCs w:val="24"/>
        </w:rPr>
      </w:pPr>
      <w:bookmarkStart w:id="7" w:name="_GoBack"/>
      <w:bookmarkEnd w:id="7"/>
    </w:p>
    <w:p>
      <w:pPr>
        <w:pStyle w:val="7"/>
        <w:keepNext w:val="0"/>
        <w:keepLines w:val="0"/>
        <w:widowControl/>
        <w:suppressLineNumbers w:val="0"/>
        <w:ind w:left="567" w:hanging="567"/>
        <w:rPr>
          <w:b w:val="0"/>
          <w:bCs w:val="0"/>
          <w:i w:val="0"/>
          <w:iCs w:val="0"/>
          <w:caps w:val="0"/>
          <w:color w:val="000000"/>
          <w:spacing w:val="0"/>
          <w:u w:val="none"/>
        </w:rPr>
      </w:pPr>
    </w:p>
    <w:p>
      <w:pPr>
        <w:rPr>
          <w:rFonts w:hint="default"/>
        </w:rPr>
      </w:pPr>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sectPr>
      <w:footerReference r:id="rId6" w:type="default"/>
      <w:pgSz w:w="11906" w:h="16838"/>
      <w:pgMar w:top="1440" w:right="1800" w:bottom="1440" w:left="180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k2Zjc0MGZlOTgyMTNjYzYwN2IxYjc1ZTdhYmFkM2MifQ=="/>
  </w:docVars>
  <w:rsids>
    <w:rsidRoot w:val="3FFBEFB4"/>
    <w:rsid w:val="0D9D5EE1"/>
    <w:rsid w:val="35F17908"/>
    <w:rsid w:val="3FFBEFB4"/>
    <w:rsid w:val="4B7B7947"/>
    <w:rsid w:val="56FF92EE"/>
    <w:rsid w:val="5F7D7EA4"/>
    <w:rsid w:val="5FA1572D"/>
    <w:rsid w:val="5FCFE1B4"/>
    <w:rsid w:val="6687DECD"/>
    <w:rsid w:val="6DA70E05"/>
    <w:rsid w:val="736FD6AD"/>
    <w:rsid w:val="7B6B6B95"/>
    <w:rsid w:val="7FD76354"/>
    <w:rsid w:val="7FEA3F8F"/>
    <w:rsid w:val="BF6B4841"/>
    <w:rsid w:val="BF75438C"/>
    <w:rsid w:val="EBFF64E8"/>
    <w:rsid w:val="F3FF2639"/>
    <w:rsid w:val="F5FF91EA"/>
    <w:rsid w:val="F9F51ECC"/>
    <w:rsid w:val="FFBF7A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3">
    <w:name w:val="heading 1"/>
    <w:basedOn w:val="1"/>
    <w:next w:val="1"/>
    <w:qFormat/>
    <w:uiPriority w:val="0"/>
    <w:pPr>
      <w:keepNext/>
      <w:keepLines/>
      <w:spacing w:beforeLines="0" w:beforeAutospacing="0" w:afterLines="0" w:afterAutospacing="0"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beforeLines="0" w:beforeAutospacing="0" w:afterLines="0" w:afterAutospacing="0" w:line="480" w:lineRule="auto"/>
      <w:outlineLvl w:val="1"/>
    </w:pPr>
    <w:rPr>
      <w:rFonts w:ascii="Times New Roman" w:hAnsi="Times New Roman" w:eastAsia="Times New Roman"/>
      <w:b/>
      <w:sz w:val="28"/>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5">
    <w:name w:val="footer"/>
    <w:basedOn w:val="1"/>
    <w:semiHidden/>
    <w:unhideWhenUsed/>
    <w:qFormat/>
    <w:uiPriority w:val="99"/>
    <w:pPr>
      <w:tabs>
        <w:tab w:val="center" w:pos="4153"/>
        <w:tab w:val="right" w:pos="8306"/>
      </w:tabs>
      <w:snapToGrid w:val="0"/>
      <w:jc w:val="left"/>
    </w:pPr>
    <w:rPr>
      <w:sz w:val="18"/>
    </w:rPr>
  </w:style>
  <w:style w:type="paragraph" w:styleId="6">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10">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4660</Words>
  <Characters>26100</Characters>
  <Lines>0</Lines>
  <Paragraphs>0</Paragraphs>
  <TotalTime>9</TotalTime>
  <ScaleCrop>false</ScaleCrop>
  <LinksUpToDate>false</LinksUpToDate>
  <CharactersWithSpaces>30707</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2018-12-14T23:06:00Z</dcterms:created>
  <dc:creator> </dc:creator>
  <cp:lastModifiedBy>CIB</cp:lastModifiedBy>
  <dcterms:modified xsi:type="dcterms:W3CDTF">2022-12-16T02:08:55Z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1C6D13268F8046612A099963A5C69725</vt:lpwstr>
  </property>
</Properties>
</file>