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xml" ContentType="application/vnd.ms-office.intelligence+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xmlns:wp14="http://schemas.microsoft.com/office/word/2010/wordml" w14:paraId="2C078E63" wp14:textId="539B7616">
      <w:bookmarkStart w:name="_GoBack" w:id="0"/>
      <w:bookmarkEnd w:id="0"/>
      <w:r w:rsidR="4C3C6AF6">
        <w:rPr/>
        <w:t>HPAH6058</w:t>
      </w:r>
    </w:p>
    <w:p w:rsidR="1A49070C" w:rsidP="1A49070C" w:rsidRDefault="1A49070C" w14:paraId="593C862B" w14:textId="47BC3595">
      <w:pPr>
        <w:pStyle w:val="Normal"/>
        <w:rPr>
          <w:rFonts w:ascii="Calibri" w:hAnsi="Calibri" w:eastAsia="Calibri" w:cs="Calibri"/>
          <w:noProof w:val="0"/>
          <w:sz w:val="22"/>
          <w:szCs w:val="22"/>
          <w:lang w:val="en-US"/>
        </w:rPr>
      </w:pPr>
      <w:r w:rsidRPr="1A49070C" w:rsidR="1A49070C">
        <w:rPr>
          <w:rFonts w:ascii="Calibri" w:hAnsi="Calibri" w:eastAsia="Calibri" w:cs="Calibri"/>
          <w:noProof w:val="0"/>
          <w:sz w:val="22"/>
          <w:szCs w:val="22"/>
          <w:lang w:val="en-US"/>
        </w:rPr>
        <w:t xml:space="preserve">Assessment 1 (sources) [1000 words] </w:t>
      </w:r>
    </w:p>
    <w:p w:rsidR="4C3C6AF6" w:rsidP="1A49070C" w:rsidRDefault="4C3C6AF6" w14:paraId="3C005424" w14:textId="54DF9605">
      <w:pPr>
        <w:pStyle w:val="Normal"/>
        <w:rPr>
          <w:rFonts w:ascii="Calibri" w:hAnsi="Calibri" w:eastAsia="Calibri" w:cs="Calibri"/>
          <w:noProof w:val="0"/>
          <w:sz w:val="22"/>
          <w:szCs w:val="22"/>
          <w:lang w:val="en-US"/>
        </w:rPr>
      </w:pPr>
      <w:r w:rsidRPr="1A49070C" w:rsidR="4C3C6AF6">
        <w:rPr>
          <w:rFonts w:ascii="Calibri" w:hAnsi="Calibri" w:eastAsia="Calibri" w:cs="Calibri"/>
          <w:noProof w:val="0"/>
          <w:sz w:val="22"/>
          <w:szCs w:val="22"/>
          <w:lang w:val="en-GB"/>
        </w:rPr>
        <w:t xml:space="preserve">Quintus Curtius Rufus’ account of Alexander's meeting with Thalestris begins with the Amazonian queen sending envoys to the young king, detailing her imminent arrival, here at the beginning is the first diversion between this version and Walter of Chatillon's’. In Walter of Chatillon's version, Alexander's army on the march and then met with the sudden appearance of Thalestris and her retinue. </w:t>
      </w:r>
    </w:p>
    <w:p w:rsidR="4C3C6AF6" w:rsidP="1A49070C" w:rsidRDefault="4C3C6AF6" w14:paraId="210D06BD" w14:textId="03700B65">
      <w:pPr>
        <w:pStyle w:val="Normal"/>
        <w:rPr>
          <w:noProof w:val="0"/>
          <w:lang w:val="en-GB"/>
        </w:rPr>
      </w:pPr>
      <w:r w:rsidRPr="1A49070C" w:rsidR="4C3C6AF6">
        <w:rPr>
          <w:rFonts w:ascii="Calibri" w:hAnsi="Calibri" w:eastAsia="Calibri" w:cs="Calibri"/>
          <w:noProof w:val="0"/>
          <w:sz w:val="22"/>
          <w:szCs w:val="22"/>
          <w:lang w:val="en-GB"/>
        </w:rPr>
        <w:t>The difference is small however paints Thalestris in a different light as in Quintus’ account Thalestris still appears to maintain the demeanour of a ruler here by sending an envoy as would be expected before a royal visit, whereas Chatillon immediately conjures the image of an uncouth queen interested in only the king's offspring “</w:t>
      </w:r>
      <w:r w:rsidRPr="1A49070C" w:rsidR="4C3C6AF6">
        <w:rPr>
          <w:rFonts w:ascii="Calibri" w:hAnsi="Calibri" w:eastAsia="Calibri" w:cs="Calibri"/>
          <w:i w:val="1"/>
          <w:iCs w:val="1"/>
          <w:noProof w:val="0"/>
          <w:sz w:val="22"/>
          <w:szCs w:val="22"/>
          <w:lang w:val="en-GB"/>
        </w:rPr>
        <w:t xml:space="preserve">Aflame with her desire to see the king, </w:t>
      </w:r>
      <w:r w:rsidRPr="1A49070C" w:rsidR="4C3C6AF6">
        <w:rPr>
          <w:rFonts w:ascii="Calibri" w:hAnsi="Calibri" w:eastAsia="Calibri" w:cs="Calibri"/>
          <w:i w:val="1"/>
          <w:iCs w:val="1"/>
          <w:noProof w:val="0"/>
          <w:sz w:val="22"/>
          <w:szCs w:val="22"/>
          <w:lang w:val="en-GB"/>
        </w:rPr>
        <w:t xml:space="preserve">Approached the camp with virgin retinue. </w:t>
      </w:r>
      <w:r w:rsidRPr="1A49070C" w:rsidR="4C3C6AF6">
        <w:rPr>
          <w:rFonts w:ascii="Calibri" w:hAnsi="Calibri" w:eastAsia="Calibri" w:cs="Calibri"/>
          <w:i w:val="1"/>
          <w:iCs w:val="1"/>
          <w:noProof w:val="0"/>
          <w:sz w:val="22"/>
          <w:szCs w:val="22"/>
          <w:lang w:val="en-GB"/>
        </w:rPr>
        <w:t xml:space="preserve">All </w:t>
      </w:r>
      <w:r w:rsidRPr="1A49070C" w:rsidR="4C3C6AF6">
        <w:rPr>
          <w:rFonts w:ascii="Calibri" w:hAnsi="Calibri" w:eastAsia="Calibri" w:cs="Calibri"/>
          <w:i w:val="1"/>
          <w:iCs w:val="1"/>
          <w:noProof w:val="0"/>
          <w:sz w:val="22"/>
          <w:szCs w:val="22"/>
          <w:lang w:val="en-GB"/>
        </w:rPr>
        <w:t>peoples</w:t>
      </w:r>
      <w:r w:rsidRPr="1A49070C" w:rsidR="4C3C6AF6">
        <w:rPr>
          <w:rFonts w:ascii="Calibri" w:hAnsi="Calibri" w:eastAsia="Calibri" w:cs="Calibri"/>
          <w:i w:val="1"/>
          <w:iCs w:val="1"/>
          <w:noProof w:val="0"/>
          <w:sz w:val="22"/>
          <w:szCs w:val="22"/>
          <w:lang w:val="en-GB"/>
        </w:rPr>
        <w:t xml:space="preserve"> dwelling from </w:t>
      </w:r>
      <w:r w:rsidRPr="1A49070C" w:rsidR="4C3C6AF6">
        <w:rPr>
          <w:rFonts w:ascii="Calibri" w:hAnsi="Calibri" w:eastAsia="Calibri" w:cs="Calibri"/>
          <w:i w:val="1"/>
          <w:iCs w:val="1"/>
          <w:noProof w:val="0"/>
          <w:sz w:val="22"/>
          <w:szCs w:val="22"/>
          <w:lang w:val="en-GB"/>
        </w:rPr>
        <w:t xml:space="preserve">Caucasus </w:t>
      </w:r>
      <w:r w:rsidRPr="1A49070C" w:rsidR="4C3C6AF6">
        <w:rPr>
          <w:rFonts w:ascii="Calibri" w:hAnsi="Calibri" w:eastAsia="Calibri" w:cs="Calibri"/>
          <w:i w:val="1"/>
          <w:iCs w:val="1"/>
          <w:noProof w:val="0"/>
          <w:sz w:val="22"/>
          <w:szCs w:val="22"/>
          <w:lang w:val="en-GB"/>
        </w:rPr>
        <w:t xml:space="preserve">to rushing phasis’ wide-encircling stream </w:t>
      </w:r>
      <w:r w:rsidRPr="1A49070C" w:rsidR="4C3C6AF6">
        <w:rPr>
          <w:rFonts w:ascii="Calibri" w:hAnsi="Calibri" w:eastAsia="Calibri" w:cs="Calibri"/>
          <w:i w:val="1"/>
          <w:iCs w:val="1"/>
          <w:noProof w:val="0"/>
          <w:sz w:val="22"/>
          <w:szCs w:val="22"/>
          <w:lang w:val="en-GB"/>
        </w:rPr>
        <w:t xml:space="preserve">Received this woman’s laws. When once an audience </w:t>
      </w:r>
      <w:r w:rsidRPr="1A49070C" w:rsidR="4C3C6AF6">
        <w:rPr>
          <w:rFonts w:ascii="Calibri" w:hAnsi="Calibri" w:eastAsia="Calibri" w:cs="Calibri"/>
          <w:i w:val="1"/>
          <w:iCs w:val="1"/>
          <w:noProof w:val="0"/>
          <w:sz w:val="16"/>
          <w:szCs w:val="16"/>
          <w:lang w:val="en-GB"/>
        </w:rPr>
        <w:t xml:space="preserve">15 </w:t>
      </w:r>
      <w:r w:rsidRPr="1A49070C" w:rsidR="4C3C6AF6">
        <w:rPr>
          <w:rFonts w:ascii="Calibri" w:hAnsi="Calibri" w:eastAsia="Calibri" w:cs="Calibri"/>
          <w:i w:val="1"/>
          <w:iCs w:val="1"/>
          <w:noProof w:val="0"/>
          <w:sz w:val="22"/>
          <w:szCs w:val="22"/>
          <w:lang w:val="en-GB"/>
        </w:rPr>
        <w:t xml:space="preserve">was granted to her with the king, she swiftly </w:t>
      </w:r>
      <w:r w:rsidRPr="1A49070C" w:rsidR="4C3C6AF6">
        <w:rPr>
          <w:rFonts w:ascii="Calibri" w:hAnsi="Calibri" w:eastAsia="Calibri" w:cs="Calibri"/>
          <w:i w:val="1"/>
          <w:iCs w:val="1"/>
          <w:noProof w:val="0"/>
          <w:sz w:val="22"/>
          <w:szCs w:val="22"/>
          <w:lang w:val="en-GB"/>
        </w:rPr>
        <w:t>Descended from her horse</w:t>
      </w:r>
      <w:r w:rsidRPr="1A49070C" w:rsidR="4C3C6AF6">
        <w:rPr>
          <w:rFonts w:ascii="Calibri" w:hAnsi="Calibri" w:eastAsia="Calibri" w:cs="Calibri"/>
          <w:noProof w:val="0"/>
          <w:sz w:val="22"/>
          <w:szCs w:val="22"/>
          <w:lang w:val="en-GB"/>
        </w:rPr>
        <w:t xml:space="preserve">” this offset in the immediate description does not cause either version to diverge from the overall point of Thalestris’ visit merely sets the scene for the reader to create their interpretation of the queen. </w:t>
      </w:r>
      <w:r w:rsidRPr="1A49070C" w:rsidR="4C3C6AF6">
        <w:rPr>
          <w:rFonts w:ascii="Calibri" w:hAnsi="Calibri" w:eastAsia="Calibri" w:cs="Calibri"/>
          <w:noProof w:val="0"/>
          <w:sz w:val="22"/>
          <w:szCs w:val="22"/>
          <w:lang w:val="en-GB"/>
        </w:rPr>
        <w:t>They both detail the unique garb and ritual searing of the right breast to aid in the use of their bows. Both Quintus’ and Chatillon’s accounts re-align when recounting how the queen watches the king, with Quintus’ phrasing being more of caution, and Chatillon’s being more of disbelief at Alexander's frame, as the worth of an individual was commonly believed to be associated with their worldly beauty but only Chatillon, allows the concession of an ‘inner power’ or as he describes “</w:t>
      </w:r>
      <w:r w:rsidRPr="1A49070C" w:rsidR="4C3C6AF6">
        <w:rPr>
          <w:rFonts w:ascii="Calibri" w:hAnsi="Calibri" w:eastAsia="Calibri" w:cs="Calibri"/>
          <w:i w:val="1"/>
          <w:iCs w:val="1"/>
          <w:noProof w:val="0"/>
          <w:sz w:val="22"/>
          <w:szCs w:val="22"/>
          <w:lang w:val="en-GB"/>
        </w:rPr>
        <w:t>But sometimes mightier courage dwells within a middling body”</w:t>
      </w:r>
      <w:r w:rsidRPr="1A49070C" w:rsidR="4C3C6AF6">
        <w:rPr>
          <w:rFonts w:ascii="Calibri" w:hAnsi="Calibri" w:eastAsia="Calibri" w:cs="Calibri"/>
          <w:i w:val="0"/>
          <w:iCs w:val="0"/>
          <w:noProof w:val="0"/>
          <w:sz w:val="22"/>
          <w:szCs w:val="22"/>
          <w:lang w:val="en-GB"/>
        </w:rPr>
        <w:t xml:space="preserve"> which is offset by Quintus’ account which maintains that Thalestris was not in veneration of Alexander’s physical attractiveness. </w:t>
      </w:r>
    </w:p>
    <w:p w:rsidR="4C3C6AF6" w:rsidP="1A49070C" w:rsidRDefault="4C3C6AF6" w14:paraId="02085BD8" w14:textId="186BFBE2">
      <w:pPr>
        <w:pStyle w:val="Normal"/>
        <w:rPr>
          <w:rFonts w:ascii="Calibri" w:hAnsi="Calibri" w:eastAsia="Calibri" w:cs="Calibri"/>
          <w:i w:val="0"/>
          <w:iCs w:val="0"/>
          <w:noProof w:val="0"/>
          <w:color w:val="FF0000"/>
          <w:sz w:val="22"/>
          <w:szCs w:val="22"/>
          <w:lang w:val="en-GB"/>
        </w:rPr>
      </w:pPr>
      <w:r w:rsidRPr="1A49070C" w:rsidR="4C3C6AF6">
        <w:rPr>
          <w:rFonts w:ascii="Calibri" w:hAnsi="Calibri" w:eastAsia="Calibri" w:cs="Calibri"/>
          <w:noProof w:val="0"/>
          <w:color w:val="auto"/>
          <w:sz w:val="22"/>
          <w:szCs w:val="22"/>
          <w:lang w:val="en-GB"/>
        </w:rPr>
        <w:t>The key reasons for these two differences would obviously be a result of the background of the two writers, with Quintus Curtius Rufus being of the first-century ad, having a much closer relation to the source material, that of the legends of Alexander and his exploits, even if used as a way to comment on or exemplify events during his own time, whereas Chatillon’s translation of the work is heavily influenced by his own ideals, like Rufus’  version of the work better represents his worldview Chatillon’s better reflects the worldview of the 12</w:t>
      </w:r>
      <w:r w:rsidRPr="1A49070C" w:rsidR="4C3C6AF6">
        <w:rPr>
          <w:rFonts w:ascii="Calibri" w:hAnsi="Calibri" w:eastAsia="Calibri" w:cs="Calibri"/>
          <w:noProof w:val="0"/>
          <w:color w:val="auto"/>
          <w:sz w:val="22"/>
          <w:szCs w:val="22"/>
          <w:vertAlign w:val="superscript"/>
          <w:lang w:val="en-GB"/>
        </w:rPr>
        <w:t>th</w:t>
      </w:r>
      <w:r w:rsidRPr="1A49070C" w:rsidR="4C3C6AF6">
        <w:rPr>
          <w:rFonts w:ascii="Calibri" w:hAnsi="Calibri" w:eastAsia="Calibri" w:cs="Calibri"/>
          <w:noProof w:val="0"/>
          <w:color w:val="auto"/>
          <w:sz w:val="22"/>
          <w:szCs w:val="22"/>
          <w:lang w:val="en-GB"/>
        </w:rPr>
        <w:t xml:space="preserve"> century. And that of their respective ideas of the regions in which Alexander and Thalestris are considered to have been from. Thalestris being a woman is considered by the two very different, with the idea of a female monarch being out of the ordinary and belonging in the idea of a fantasy, in the case of Chatillon, it is much more likely, but still a rarity for Quintus’ interpretation of Alexanders meeting. This is evident in the subtle differences in how Thalestris’ initial appearance is shown, with more care and detail placed upon her description by Quintus. As opposed to Chatillon’s which gives the interpretation that she is more aggressive and interested in only what she can attain from Alexander as opposed to offering a deal with conditions for both members of the transaction</w:t>
      </w:r>
      <w:r w:rsidRPr="1A49070C" w:rsidR="4C3C6AF6">
        <w:rPr>
          <w:rFonts w:ascii="Calibri" w:hAnsi="Calibri" w:eastAsia="Calibri" w:cs="Calibri"/>
          <w:noProof w:val="0"/>
          <w:color w:val="auto"/>
          <w:sz w:val="22"/>
          <w:szCs w:val="22"/>
          <w:lang w:val="en-GB"/>
        </w:rPr>
        <w:t xml:space="preserve"> as well as omitting the timeframe in which this exchange takes place.</w:t>
      </w:r>
      <w:r w:rsidRPr="1A49070C" w:rsidR="4C3C6AF6">
        <w:rPr>
          <w:rFonts w:ascii="Calibri" w:hAnsi="Calibri" w:eastAsia="Calibri" w:cs="Calibri"/>
          <w:noProof w:val="0"/>
          <w:color w:val="FF0000"/>
          <w:sz w:val="22"/>
          <w:szCs w:val="22"/>
          <w:lang w:val="en-GB"/>
        </w:rPr>
        <w:t xml:space="preserve"> </w:t>
      </w:r>
    </w:p>
    <w:p w:rsidR="4C3C6AF6" w:rsidP="1A49070C" w:rsidRDefault="4C3C6AF6" w14:paraId="4058FA1A" w14:textId="2A0CE138">
      <w:pPr>
        <w:pStyle w:val="Normal"/>
        <w:rPr>
          <w:noProof w:val="0"/>
          <w:lang w:val="en-GB"/>
        </w:rPr>
      </w:pPr>
      <w:r w:rsidRPr="1A49070C" w:rsidR="4C3C6AF6">
        <w:rPr>
          <w:rFonts w:ascii="Calibri" w:hAnsi="Calibri" w:eastAsia="Calibri" w:cs="Calibri"/>
          <w:i w:val="0"/>
          <w:iCs w:val="0"/>
          <w:noProof w:val="0"/>
          <w:color w:val="auto"/>
          <w:sz w:val="22"/>
          <w:szCs w:val="22"/>
          <w:lang w:val="en-GB"/>
        </w:rPr>
        <w:t xml:space="preserve">Chatillon does give credit to Thalestris giving her the authority to demand such a thing from alexander, although this could be due to the original text and it being a translation rather than an original work there is only so much Chatillon can change as a result of his own interpretation of what he thinks would be the actual translation of the work. </w:t>
      </w:r>
      <w:r w:rsidRPr="1A49070C" w:rsidR="4C3C6AF6">
        <w:rPr>
          <w:rFonts w:ascii="Calibri" w:hAnsi="Calibri" w:eastAsia="Calibri" w:cs="Calibri"/>
          <w:i w:val="0"/>
          <w:iCs w:val="0"/>
          <w:noProof w:val="0"/>
          <w:color w:val="FF0000"/>
          <w:sz w:val="22"/>
          <w:szCs w:val="22"/>
          <w:lang w:val="en-GB"/>
        </w:rPr>
        <w:t xml:space="preserve"> </w:t>
      </w:r>
      <w:r w:rsidRPr="1A49070C" w:rsidR="4C3C6AF6">
        <w:rPr>
          <w:rFonts w:ascii="Calibri" w:hAnsi="Calibri" w:eastAsia="Calibri" w:cs="Calibri"/>
          <w:i w:val="0"/>
          <w:iCs w:val="0"/>
          <w:noProof w:val="0"/>
          <w:sz w:val="22"/>
          <w:szCs w:val="22"/>
          <w:lang w:val="en-GB"/>
        </w:rPr>
        <w:t xml:space="preserve">However, based on the wording the reader creates two different Thalestris’ in their mind, one which is </w:t>
      </w:r>
      <w:proofErr w:type="gramStart"/>
      <w:r w:rsidRPr="1A49070C" w:rsidR="4C3C6AF6">
        <w:rPr>
          <w:rFonts w:ascii="Calibri" w:hAnsi="Calibri" w:eastAsia="Calibri" w:cs="Calibri"/>
          <w:i w:val="0"/>
          <w:iCs w:val="0"/>
          <w:noProof w:val="0"/>
          <w:sz w:val="22"/>
          <w:szCs w:val="22"/>
          <w:lang w:val="en-GB"/>
        </w:rPr>
        <w:t>more regal and decisive</w:t>
      </w:r>
      <w:proofErr w:type="gramEnd"/>
      <w:r w:rsidRPr="1A49070C" w:rsidR="4C3C6AF6">
        <w:rPr>
          <w:rFonts w:ascii="Calibri" w:hAnsi="Calibri" w:eastAsia="Calibri" w:cs="Calibri"/>
          <w:i w:val="0"/>
          <w:iCs w:val="0"/>
          <w:noProof w:val="0"/>
          <w:sz w:val="22"/>
          <w:szCs w:val="22"/>
          <w:lang w:val="en-GB"/>
        </w:rPr>
        <w:t>, Quintus’ variant. And Chatillon’s variant who comes across as more animalistic in her demeanour than her counterpart. This may have been due to the different nature in the authors opinions on how the amazon’s may have presented themselves.</w:t>
      </w:r>
      <w:r w:rsidRPr="1A49070C" w:rsidR="1A49070C">
        <w:rPr>
          <w:rFonts w:ascii="Calibri" w:hAnsi="Calibri" w:eastAsia="Calibri" w:cs="Calibri"/>
          <w:i w:val="0"/>
          <w:iCs w:val="0"/>
          <w:noProof w:val="0"/>
          <w:color w:val="FF0000"/>
          <w:sz w:val="22"/>
          <w:szCs w:val="22"/>
          <w:lang w:val="en-GB"/>
        </w:rPr>
        <w:t xml:space="preserve"> </w:t>
      </w:r>
      <w:r w:rsidRPr="1A49070C" w:rsidR="4C3C6AF6">
        <w:rPr>
          <w:rFonts w:ascii="Calibri" w:hAnsi="Calibri" w:eastAsia="Calibri" w:cs="Calibri"/>
          <w:i w:val="0"/>
          <w:iCs w:val="0"/>
          <w:noProof w:val="0"/>
          <w:sz w:val="22"/>
          <w:szCs w:val="22"/>
          <w:lang w:val="en-GB"/>
        </w:rPr>
        <w:t xml:space="preserve">However, he was still dubbed worthy of begetting heirs to either of their realms. By which Thalestris stated that dependent on whether the child was either a boy or a girl, should it be a girl she would inherit the kingdom of the Amazons, and should the child be a boy they would inherit the kingdom of Alexander’s creation. Both Chatillon and Quintus agree on this declaration, but Quintus’ adds onto this with the passion of Thalestris and that this allowed her to compel Alexander and his army to maintain position for thirteen days while she satisfied herself before returning to her kingdom, having already declined Alexanders proposition to join with him in his conquest, citing the need to defend her kingdom. Overall, the two accounts collaborate with each other </w:t>
      </w:r>
      <w:r w:rsidRPr="1A49070C" w:rsidR="4C3C6AF6">
        <w:rPr>
          <w:rFonts w:ascii="Calibri" w:hAnsi="Calibri" w:eastAsia="Calibri" w:cs="Calibri"/>
          <w:i w:val="0"/>
          <w:iCs w:val="0"/>
          <w:noProof w:val="0"/>
          <w:sz w:val="22"/>
          <w:szCs w:val="22"/>
          <w:lang w:val="en-GB"/>
        </w:rPr>
        <w:t>on the whole</w:t>
      </w:r>
      <w:r w:rsidRPr="1A49070C" w:rsidR="4C3C6AF6">
        <w:rPr>
          <w:rFonts w:ascii="Calibri" w:hAnsi="Calibri" w:eastAsia="Calibri" w:cs="Calibri"/>
          <w:i w:val="0"/>
          <w:iCs w:val="0"/>
          <w:noProof w:val="0"/>
          <w:sz w:val="22"/>
          <w:szCs w:val="22"/>
          <w:lang w:val="en-GB"/>
        </w:rPr>
        <w:t>.</w:t>
      </w:r>
    </w:p>
    <w:p w:rsidR="1A49070C" w:rsidP="1A49070C" w:rsidRDefault="1A49070C" w14:paraId="45A8EC01" w14:textId="20141CBA">
      <w:pPr>
        <w:pStyle w:val="Normal"/>
        <w:rPr>
          <w:rFonts w:ascii="Calibri" w:hAnsi="Calibri" w:eastAsia="Calibri" w:cs="Calibri"/>
          <w:i w:val="0"/>
          <w:iCs w:val="0"/>
          <w:noProof w:val="0"/>
          <w:sz w:val="22"/>
          <w:szCs w:val="22"/>
          <w:lang w:val="en-GB"/>
        </w:rPr>
      </w:pPr>
      <w:r w:rsidRPr="1A49070C" w:rsidR="1A49070C">
        <w:rPr>
          <w:rFonts w:ascii="Calibri" w:hAnsi="Calibri" w:eastAsia="Calibri" w:cs="Calibri"/>
          <w:i w:val="0"/>
          <w:iCs w:val="0"/>
          <w:noProof w:val="0"/>
          <w:sz w:val="22"/>
          <w:szCs w:val="22"/>
          <w:lang w:val="en-GB"/>
        </w:rPr>
        <w:t>The two writers here have the interesting dynamic of providing an example of an interpretation of an event that may have been only a few hundred years prior and creating an interpretation of it to satisfy Quintus’ own needs and the perspective of a twelfth-century translator attempting to discern a history that makes sense when considering his own culture, and then compared to what Chatillon's beliefs and their impact on the writings by Quintus’. This explains the subtle differences between the writing as every translation isn't one hundred precent correct due to different writing conventions, we can only get a supposed translation. And as a result, we can use Chatillon’s version to analyse how the interpretation of Alexander and Thalestris has evolved over the centuries. (922 words)</w:t>
      </w:r>
    </w:p>
    <w:p w:rsidR="1A49070C" w:rsidP="1A49070C" w:rsidRDefault="1A49070C" w14:paraId="61002DFB" w14:textId="7E916F2B">
      <w:pPr>
        <w:pStyle w:val="Normal"/>
        <w:rPr>
          <w:noProof w:val="0"/>
          <w:lang w:val="en-GB"/>
        </w:rPr>
      </w:pPr>
      <w:r>
        <w:br/>
      </w: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intelligence.xml><?xml version="1.0" encoding="utf-8"?>
<int:Intelligence xmlns:int="http://schemas.microsoft.com/office/intelligence/2019/intelligence">
  <int:IntelligenceSettings/>
  <int:Manifest>
    <int:WordHash hashCode="XemCztRGn1blRY" id="bV9YYf9X"/>
    <int:WordHash hashCode="oLEIBJhcbyJ0eV" id="tYcnIfPi"/>
    <int:ParagraphRange paragraphId="1627401723" textId="732192915" start="10" length="9" invalidationStart="10" invalidationLength="9" id="9GkxMzaj"/>
    <int:ParagraphRange paragraphId="1627401723" textId="2135801538" start="265" length="9" invalidationStart="265" invalidationLength="9" id="PGHxBJ4z"/>
    <int:ParagraphRange paragraphId="1627401723" textId="994760300" start="2013" length="9" invalidationStart="2013" invalidationLength="9" id="iMcSdPTX"/>
    <int:ParagraphRange paragraphId="1627401723" textId="280844726" start="2783" length="23" invalidationStart="2783" invalidationLength="23" id="xkRX74gx"/>
    <int:ParagraphRange paragraphId="1627401723" textId="1053471885" start="2786" length="23" invalidationStart="2786" invalidationLength="23" id="nlI6ID5O"/>
    <int:ParagraphRange paragraphId="1627401723" textId="1053471885" start="2669" length="12" invalidationStart="2669" invalidationLength="12" id="k6fm1rpU"/>
    <int:ParagraphRange paragraphId="1627401723" textId="322499973" start="2013" length="9" invalidationStart="2013" invalidationLength="9" id="b7vWHoTw"/>
    <int:ParagraphRange paragraphId="1627401723" textId="1794443056" start="2671" length="12" invalidationStart="2671" invalidationLength="12" id="HkgCHk9q"/>
  </int:Manifest>
  <int:Observations>
    <int:Content id="bV9YYf9X">
      <int:Rejection type="LegacyProofing"/>
    </int:Content>
    <int:Content id="tYcnIfPi">
      <int:Rejection type="LegacyProofing"/>
    </int:Content>
    <int:Content id="9GkxMzaj">
      <int:Rejection type="LegacyProofing"/>
    </int:Content>
    <int:Content id="PGHxBJ4z">
      <int:Rejection type="LegacyProofing"/>
    </int:Content>
    <int:Content id="iMcSdPTX">
      <int:Rejection type="LegacyProofing"/>
    </int:Content>
    <int:Content id="xkRX74gx">
      <int:Rejection type="LegacyProofing"/>
    </int:Content>
    <int:Content id="nlI6ID5O">
      <int:Rejection type="LegacyProofing"/>
    </int:Content>
    <int:Content id="k6fm1rpU">
      <int:Rejection type="LegacyProofing"/>
    </int:Content>
    <int:Content id="b7vWHoTw">
      <int:Rejection type="LegacyProofing"/>
    </int:Content>
    <int:Content id="HkgCHk9q">
      <int:Rejection type="LegacyProofing"/>
    </int:Content>
  </int:Observations>
</int: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742FE9F5"/>
    <w:rsid w:val="0098FF33"/>
    <w:rsid w:val="01FD31BB"/>
    <w:rsid w:val="0234CF94"/>
    <w:rsid w:val="02D70303"/>
    <w:rsid w:val="03B522F3"/>
    <w:rsid w:val="0454E9C7"/>
    <w:rsid w:val="05F0BA28"/>
    <w:rsid w:val="05F0BA28"/>
    <w:rsid w:val="086741C5"/>
    <w:rsid w:val="086741C5"/>
    <w:rsid w:val="08A3F895"/>
    <w:rsid w:val="08A3F895"/>
    <w:rsid w:val="08A41118"/>
    <w:rsid w:val="0A26B91C"/>
    <w:rsid w:val="0BDB9957"/>
    <w:rsid w:val="0C05365F"/>
    <w:rsid w:val="0D33F452"/>
    <w:rsid w:val="0DA106C0"/>
    <w:rsid w:val="0DA106C0"/>
    <w:rsid w:val="0DE2A3B0"/>
    <w:rsid w:val="13E6C3BF"/>
    <w:rsid w:val="1489C07C"/>
    <w:rsid w:val="15829420"/>
    <w:rsid w:val="15C3CA11"/>
    <w:rsid w:val="15EF012B"/>
    <w:rsid w:val="162590DD"/>
    <w:rsid w:val="195D319F"/>
    <w:rsid w:val="1A49070C"/>
    <w:rsid w:val="1A560543"/>
    <w:rsid w:val="1C1D59DD"/>
    <w:rsid w:val="1C9E2F62"/>
    <w:rsid w:val="1CF006ED"/>
    <w:rsid w:val="1D6DD960"/>
    <w:rsid w:val="1D8DA605"/>
    <w:rsid w:val="1D8DA605"/>
    <w:rsid w:val="1FEAE89F"/>
    <w:rsid w:val="20885ACE"/>
    <w:rsid w:val="21E044C5"/>
    <w:rsid w:val="25B10198"/>
    <w:rsid w:val="26735280"/>
    <w:rsid w:val="27F5FA84"/>
    <w:rsid w:val="27F5FA84"/>
    <w:rsid w:val="29AAF342"/>
    <w:rsid w:val="29AAF342"/>
    <w:rsid w:val="2A372A9A"/>
    <w:rsid w:val="308E8F57"/>
    <w:rsid w:val="31B60527"/>
    <w:rsid w:val="326E3DE2"/>
    <w:rsid w:val="326E3DE2"/>
    <w:rsid w:val="357A4863"/>
    <w:rsid w:val="3590A2A6"/>
    <w:rsid w:val="3715ADA2"/>
    <w:rsid w:val="3A4D4E64"/>
    <w:rsid w:val="3A4D4E64"/>
    <w:rsid w:val="3C0FAD28"/>
    <w:rsid w:val="3DAB7D89"/>
    <w:rsid w:val="3EA6E40B"/>
    <w:rsid w:val="3EA6E40B"/>
    <w:rsid w:val="4356A5F8"/>
    <w:rsid w:val="43C32B86"/>
    <w:rsid w:val="43C32B86"/>
    <w:rsid w:val="455EFBE7"/>
    <w:rsid w:val="49A2A785"/>
    <w:rsid w:val="49A2A785"/>
    <w:rsid w:val="4B8B54E5"/>
    <w:rsid w:val="4C3C6AF6"/>
    <w:rsid w:val="4D3ED6B2"/>
    <w:rsid w:val="4F740BB8"/>
    <w:rsid w:val="4F740BB8"/>
    <w:rsid w:val="5011E909"/>
    <w:rsid w:val="5011E909"/>
    <w:rsid w:val="50767774"/>
    <w:rsid w:val="5112EB1A"/>
    <w:rsid w:val="52456C75"/>
    <w:rsid w:val="52456C75"/>
    <w:rsid w:val="52C4D4D7"/>
    <w:rsid w:val="532FF64C"/>
    <w:rsid w:val="534989CB"/>
    <w:rsid w:val="542BFFD9"/>
    <w:rsid w:val="5445E6EC"/>
    <w:rsid w:val="553A24B1"/>
    <w:rsid w:val="553A24B1"/>
    <w:rsid w:val="557D0D37"/>
    <w:rsid w:val="55FC7599"/>
    <w:rsid w:val="5718DD98"/>
    <w:rsid w:val="577F1D9D"/>
    <w:rsid w:val="5871C573"/>
    <w:rsid w:val="5AA0A503"/>
    <w:rsid w:val="5BEC4EBB"/>
    <w:rsid w:val="5C92F228"/>
    <w:rsid w:val="5D881F1C"/>
    <w:rsid w:val="5DCB06A7"/>
    <w:rsid w:val="5F666BE6"/>
    <w:rsid w:val="5F666BE6"/>
    <w:rsid w:val="602FFA59"/>
    <w:rsid w:val="610B4197"/>
    <w:rsid w:val="610B4197"/>
    <w:rsid w:val="61B2373B"/>
    <w:rsid w:val="6364CD01"/>
    <w:rsid w:val="6364CD01"/>
    <w:rsid w:val="649ED696"/>
    <w:rsid w:val="64CA0DB0"/>
    <w:rsid w:val="64E9D7FD"/>
    <w:rsid w:val="65009D62"/>
    <w:rsid w:val="6594107A"/>
    <w:rsid w:val="65D6188C"/>
    <w:rsid w:val="66B59620"/>
    <w:rsid w:val="6781B1EB"/>
    <w:rsid w:val="6781B1EB"/>
    <w:rsid w:val="67A82A23"/>
    <w:rsid w:val="693111C8"/>
    <w:rsid w:val="693111C8"/>
    <w:rsid w:val="696283D3"/>
    <w:rsid w:val="699D7ED3"/>
    <w:rsid w:val="699D7ED3"/>
    <w:rsid w:val="6AA91E8D"/>
    <w:rsid w:val="6AC5F9FD"/>
    <w:rsid w:val="6AFE5434"/>
    <w:rsid w:val="6CDD0D1B"/>
    <w:rsid w:val="6E0482EB"/>
    <w:rsid w:val="6ED4ED64"/>
    <w:rsid w:val="6F21CA63"/>
    <w:rsid w:val="6FCBD785"/>
    <w:rsid w:val="6FD1C557"/>
    <w:rsid w:val="70435009"/>
    <w:rsid w:val="70435009"/>
    <w:rsid w:val="7100834A"/>
    <w:rsid w:val="7100834A"/>
    <w:rsid w:val="710741E0"/>
    <w:rsid w:val="7167A7E6"/>
    <w:rsid w:val="7216BE43"/>
    <w:rsid w:val="742FE9F5"/>
    <w:rsid w:val="7458597B"/>
    <w:rsid w:val="754E5F05"/>
    <w:rsid w:val="754E5F05"/>
    <w:rsid w:val="7610DE0E"/>
    <w:rsid w:val="7610DE0E"/>
    <w:rsid w:val="77ACAE6F"/>
    <w:rsid w:val="7CBD417E"/>
    <w:rsid w:val="7DC5A3DF"/>
    <w:rsid w:val="7EC590F8"/>
    <w:rsid w:val="7EC590F8"/>
    <w:rsid w:val="7F9B0C22"/>
    <w:rsid w:val="7FAC34E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42FE9F5"/>
  <w15:chartTrackingRefBased/>
  <w15:docId w15:val="{70CE8366-6848-4E18-9E50-73A8009C01A5}"/>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microsoft.com/office/2019/09/relationships/intelligence" Target="intelligence.xml" Id="R56dc4a764fee431a"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2022-05-15T18:16:25.1360235Z</dcterms:created>
  <dcterms:modified xsi:type="dcterms:W3CDTF">2022-05-16T21:56:20.8569992Z</dcterms:modified>
  <dc:creator>Callum Fielding (1902732)</dc:creator>
  <lastModifiedBy>Callum Fielding (1902732)</lastModifiedBy>
</coreProperties>
</file>