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15457" w14:textId="77777777" w:rsidR="00584013" w:rsidRDefault="00584013" w:rsidP="00584013">
      <w:pPr>
        <w:rPr>
          <w:rStyle w:val="normaltextrun"/>
          <w:rFonts w:asciiTheme="majorBidi" w:hAnsiTheme="majorBidi" w:cstheme="majorBidi"/>
          <w:b/>
          <w:bCs/>
          <w:color w:val="000000"/>
          <w:sz w:val="36"/>
          <w:szCs w:val="36"/>
          <w:shd w:val="clear" w:color="auto" w:fill="FFFFFF"/>
        </w:rPr>
      </w:pPr>
      <w:r>
        <w:rPr>
          <w:rStyle w:val="normaltextrun"/>
          <w:rFonts w:asciiTheme="majorBidi" w:hAnsiTheme="majorBidi" w:cstheme="majorBidi"/>
          <w:b/>
          <w:bCs/>
          <w:color w:val="000000"/>
          <w:sz w:val="36"/>
          <w:szCs w:val="36"/>
          <w:shd w:val="clear" w:color="auto" w:fill="FFFFFF"/>
        </w:rPr>
        <w:t xml:space="preserve">                        </w:t>
      </w:r>
    </w:p>
    <w:p w14:paraId="3ADD10BD" w14:textId="77777777" w:rsidR="00584013" w:rsidRDefault="00584013" w:rsidP="00584013">
      <w:pPr>
        <w:rPr>
          <w:rStyle w:val="normaltextrun"/>
          <w:rFonts w:asciiTheme="majorBidi" w:hAnsiTheme="majorBidi" w:cstheme="majorBidi"/>
          <w:b/>
          <w:bCs/>
          <w:color w:val="000000"/>
          <w:sz w:val="36"/>
          <w:szCs w:val="36"/>
          <w:shd w:val="clear" w:color="auto" w:fill="FFFFFF"/>
        </w:rPr>
      </w:pPr>
    </w:p>
    <w:p w14:paraId="3373CDF8" w14:textId="04F68DCF" w:rsidR="00584013" w:rsidRPr="00FE5A23" w:rsidRDefault="00584013" w:rsidP="00584013">
      <w:pPr>
        <w:rPr>
          <w:rStyle w:val="normaltextrun"/>
          <w:rFonts w:ascii="Arial" w:hAnsi="Arial" w:cs="Arial"/>
          <w:b/>
          <w:bCs/>
          <w:color w:val="000000"/>
          <w:sz w:val="32"/>
          <w:szCs w:val="32"/>
          <w:shd w:val="clear" w:color="auto" w:fill="FFFFFF"/>
        </w:rPr>
      </w:pPr>
      <w:r w:rsidRPr="00FE5A23">
        <w:rPr>
          <w:rStyle w:val="normaltextrun"/>
          <w:rFonts w:ascii="Arial" w:hAnsi="Arial" w:cs="Arial"/>
          <w:b/>
          <w:bCs/>
          <w:color w:val="000000"/>
          <w:sz w:val="32"/>
          <w:szCs w:val="32"/>
          <w:shd w:val="clear" w:color="auto" w:fill="FFFFFF"/>
        </w:rPr>
        <w:t xml:space="preserve">                           </w:t>
      </w:r>
      <w:r w:rsidR="0032389F" w:rsidRPr="00FE5A23">
        <w:rPr>
          <w:rStyle w:val="normaltextrun"/>
          <w:rFonts w:ascii="Arial" w:hAnsi="Arial" w:cs="Arial"/>
          <w:b/>
          <w:bCs/>
          <w:color w:val="000000"/>
          <w:sz w:val="32"/>
          <w:szCs w:val="32"/>
          <w:shd w:val="clear" w:color="auto" w:fill="FFFFFF"/>
        </w:rPr>
        <w:t>Accounting Fundamental</w:t>
      </w:r>
      <w:r w:rsidR="00E17874" w:rsidRPr="00FE5A23">
        <w:rPr>
          <w:rStyle w:val="normaltextrun"/>
          <w:rFonts w:ascii="Arial" w:hAnsi="Arial" w:cs="Arial"/>
          <w:b/>
          <w:bCs/>
          <w:color w:val="000000"/>
          <w:sz w:val="32"/>
          <w:szCs w:val="32"/>
          <w:shd w:val="clear" w:color="auto" w:fill="FFFFFF"/>
        </w:rPr>
        <w:t>s</w:t>
      </w:r>
      <w:r w:rsidRPr="00FE5A23">
        <w:rPr>
          <w:rStyle w:val="normaltextrun"/>
          <w:rFonts w:ascii="Arial" w:hAnsi="Arial" w:cs="Arial"/>
          <w:b/>
          <w:bCs/>
          <w:color w:val="000000"/>
          <w:sz w:val="32"/>
          <w:szCs w:val="32"/>
          <w:shd w:val="clear" w:color="auto" w:fill="FFFFFF"/>
        </w:rPr>
        <w:t xml:space="preserve">  </w:t>
      </w:r>
    </w:p>
    <w:p w14:paraId="420D6B5E" w14:textId="14B406BD" w:rsidR="00204572" w:rsidRPr="00FE5A23" w:rsidRDefault="00204572" w:rsidP="00584013">
      <w:pPr>
        <w:rPr>
          <w:rFonts w:ascii="Arial" w:hAnsi="Arial" w:cs="Arial"/>
          <w:sz w:val="32"/>
          <w:szCs w:val="32"/>
          <w:shd w:val="clear" w:color="auto" w:fill="FFFFFF"/>
        </w:rPr>
      </w:pPr>
      <w:r w:rsidRPr="00FE5A23">
        <w:rPr>
          <w:rStyle w:val="normaltextrun"/>
          <w:rFonts w:ascii="Arial" w:hAnsi="Arial" w:cs="Arial"/>
          <w:b/>
          <w:bCs/>
          <w:color w:val="000000"/>
          <w:sz w:val="32"/>
          <w:szCs w:val="32"/>
          <w:shd w:val="clear" w:color="auto" w:fill="FFFFFF"/>
        </w:rPr>
        <w:t xml:space="preserve">                             </w:t>
      </w:r>
      <w:r w:rsidR="001614D9" w:rsidRPr="00FE5A23">
        <w:rPr>
          <w:rStyle w:val="normaltextrun"/>
          <w:rFonts w:ascii="Arial" w:hAnsi="Arial" w:cs="Arial"/>
          <w:b/>
          <w:bCs/>
          <w:color w:val="000000"/>
          <w:sz w:val="32"/>
          <w:szCs w:val="32"/>
          <w:shd w:val="clear" w:color="auto" w:fill="FFFFFF"/>
        </w:rPr>
        <w:t xml:space="preserve">       </w:t>
      </w:r>
      <w:r w:rsidRPr="00FE5A23">
        <w:rPr>
          <w:rStyle w:val="normaltextrun"/>
          <w:rFonts w:ascii="Arial" w:hAnsi="Arial" w:cs="Arial"/>
          <w:b/>
          <w:bCs/>
          <w:color w:val="000000"/>
          <w:sz w:val="32"/>
          <w:szCs w:val="32"/>
          <w:shd w:val="clear" w:color="auto" w:fill="FFFFFF"/>
        </w:rPr>
        <w:t xml:space="preserve"> Assignment A</w:t>
      </w:r>
      <w:r w:rsidR="001614D9" w:rsidRPr="00FE5A23">
        <w:rPr>
          <w:rStyle w:val="normaltextrun"/>
          <w:rFonts w:ascii="Arial" w:hAnsi="Arial" w:cs="Arial"/>
          <w:b/>
          <w:bCs/>
          <w:color w:val="000000"/>
          <w:sz w:val="32"/>
          <w:szCs w:val="32"/>
          <w:shd w:val="clear" w:color="auto" w:fill="FFFFFF"/>
        </w:rPr>
        <w:t xml:space="preserve">1 </w:t>
      </w:r>
    </w:p>
    <w:p w14:paraId="6804E81C" w14:textId="77777777" w:rsidR="006E31D0" w:rsidRDefault="006E31D0">
      <w:pPr>
        <w:spacing w:line="259" w:lineRule="auto"/>
        <w:jc w:val="left"/>
      </w:pPr>
    </w:p>
    <w:p w14:paraId="6010F03F" w14:textId="77777777" w:rsidR="006E31D0" w:rsidRDefault="006E31D0">
      <w:pPr>
        <w:spacing w:line="259" w:lineRule="auto"/>
        <w:jc w:val="left"/>
      </w:pPr>
    </w:p>
    <w:p w14:paraId="3FFC2045" w14:textId="77777777" w:rsidR="006E31D0" w:rsidRDefault="006E31D0">
      <w:pPr>
        <w:spacing w:line="259" w:lineRule="auto"/>
        <w:jc w:val="left"/>
      </w:pPr>
    </w:p>
    <w:p w14:paraId="218B25E6" w14:textId="564D183F" w:rsidR="006E31D0" w:rsidRPr="00FE5A23" w:rsidRDefault="00EB145B">
      <w:pPr>
        <w:spacing w:line="259" w:lineRule="auto"/>
        <w:jc w:val="left"/>
        <w:rPr>
          <w:rFonts w:ascii="Arial" w:hAnsi="Arial" w:cs="Arial"/>
          <w:b/>
          <w:bCs/>
          <w:sz w:val="28"/>
          <w:szCs w:val="28"/>
        </w:rPr>
      </w:pPr>
      <w:r w:rsidRPr="00FE5A23">
        <w:rPr>
          <w:rFonts w:ascii="Arial" w:hAnsi="Arial" w:cs="Arial"/>
          <w:b/>
          <w:bCs/>
          <w:sz w:val="28"/>
          <w:szCs w:val="28"/>
        </w:rPr>
        <w:t>Student name:</w:t>
      </w:r>
      <w:r w:rsidR="00FE5A23">
        <w:rPr>
          <w:rFonts w:ascii="Arial" w:hAnsi="Arial" w:cs="Arial"/>
          <w:b/>
          <w:bCs/>
          <w:sz w:val="28"/>
          <w:szCs w:val="28"/>
        </w:rPr>
        <w:t xml:space="preserve"> Ana-Maria Ciobanu</w:t>
      </w:r>
    </w:p>
    <w:p w14:paraId="544C5B5F" w14:textId="6AA5E7C6" w:rsidR="00EB145B" w:rsidRPr="00FE5A23" w:rsidRDefault="00FE5A23">
      <w:pPr>
        <w:spacing w:line="259" w:lineRule="auto"/>
        <w:jc w:val="left"/>
        <w:rPr>
          <w:rFonts w:ascii="Arial" w:hAnsi="Arial" w:cs="Arial"/>
          <w:b/>
          <w:bCs/>
          <w:sz w:val="28"/>
          <w:szCs w:val="28"/>
        </w:rPr>
      </w:pPr>
      <w:r w:rsidRPr="00FE5A23">
        <w:rPr>
          <w:rFonts w:ascii="Arial" w:hAnsi="Arial" w:cs="Arial"/>
          <w:b/>
          <w:bCs/>
          <w:sz w:val="28"/>
          <w:szCs w:val="28"/>
        </w:rPr>
        <w:t xml:space="preserve">Student ID: </w:t>
      </w:r>
      <w:r>
        <w:rPr>
          <w:rFonts w:ascii="Arial" w:hAnsi="Arial" w:cs="Arial"/>
          <w:b/>
          <w:bCs/>
          <w:sz w:val="28"/>
          <w:szCs w:val="28"/>
        </w:rPr>
        <w:t>2123843</w:t>
      </w:r>
    </w:p>
    <w:p w14:paraId="638C4CBC" w14:textId="11D9DEB8" w:rsidR="00FE5A23" w:rsidRPr="00FE5A23" w:rsidRDefault="00FE5A23">
      <w:pPr>
        <w:spacing w:line="259" w:lineRule="auto"/>
        <w:jc w:val="left"/>
        <w:rPr>
          <w:rFonts w:ascii="Arial" w:hAnsi="Arial" w:cs="Arial"/>
          <w:b/>
          <w:bCs/>
          <w:sz w:val="28"/>
          <w:szCs w:val="28"/>
        </w:rPr>
      </w:pPr>
      <w:r w:rsidRPr="00FE5A23">
        <w:rPr>
          <w:rFonts w:ascii="Arial" w:hAnsi="Arial" w:cs="Arial"/>
          <w:b/>
          <w:bCs/>
          <w:sz w:val="28"/>
          <w:szCs w:val="28"/>
        </w:rPr>
        <w:t>Module code:</w:t>
      </w:r>
      <w:r>
        <w:rPr>
          <w:rFonts w:ascii="Arial" w:hAnsi="Arial" w:cs="Arial"/>
          <w:b/>
          <w:bCs/>
          <w:sz w:val="28"/>
          <w:szCs w:val="28"/>
        </w:rPr>
        <w:t xml:space="preserve"> LCBB4001 </w:t>
      </w:r>
    </w:p>
    <w:p w14:paraId="2194E2BE" w14:textId="10F9C422" w:rsidR="00FE5A23" w:rsidRPr="00FE5A23" w:rsidRDefault="00FE5A23">
      <w:pPr>
        <w:spacing w:line="259" w:lineRule="auto"/>
        <w:jc w:val="left"/>
        <w:rPr>
          <w:rFonts w:ascii="Arial" w:hAnsi="Arial" w:cs="Arial"/>
          <w:b/>
          <w:bCs/>
          <w:sz w:val="28"/>
          <w:szCs w:val="28"/>
        </w:rPr>
      </w:pPr>
      <w:r w:rsidRPr="00FE5A23">
        <w:rPr>
          <w:rFonts w:ascii="Arial" w:hAnsi="Arial" w:cs="Arial"/>
          <w:b/>
          <w:bCs/>
          <w:sz w:val="28"/>
          <w:szCs w:val="28"/>
        </w:rPr>
        <w:t>Lecturer:</w:t>
      </w:r>
      <w:r>
        <w:rPr>
          <w:rFonts w:ascii="Arial" w:hAnsi="Arial" w:cs="Arial"/>
          <w:b/>
          <w:bCs/>
          <w:sz w:val="28"/>
          <w:szCs w:val="28"/>
        </w:rPr>
        <w:t xml:space="preserve"> Nadeem Mirza</w:t>
      </w:r>
    </w:p>
    <w:p w14:paraId="2A232E0D" w14:textId="77777777" w:rsidR="006E31D0" w:rsidRDefault="006E31D0">
      <w:pPr>
        <w:spacing w:line="259" w:lineRule="auto"/>
        <w:jc w:val="left"/>
      </w:pPr>
    </w:p>
    <w:p w14:paraId="6309A3B2" w14:textId="7239B009" w:rsidR="0032389F" w:rsidRDefault="0032389F">
      <w:pPr>
        <w:spacing w:line="259" w:lineRule="auto"/>
        <w:jc w:val="left"/>
        <w:rPr>
          <w:rFonts w:eastAsiaTheme="majorEastAsia" w:cstheme="majorBidi"/>
          <w:b/>
          <w:color w:val="1F3864" w:themeColor="accent1" w:themeShade="80"/>
          <w:sz w:val="32"/>
          <w:szCs w:val="32"/>
        </w:rPr>
      </w:pPr>
      <w:r>
        <w:br w:type="page"/>
      </w:r>
    </w:p>
    <w:sdt>
      <w:sdtPr>
        <w:rPr>
          <w:rFonts w:ascii="Times New Roman" w:eastAsiaTheme="minorHAnsi" w:hAnsi="Times New Roman" w:cstheme="minorBidi"/>
          <w:color w:val="auto"/>
          <w:sz w:val="24"/>
          <w:szCs w:val="22"/>
          <w:lang w:val="en-GB"/>
        </w:rPr>
        <w:id w:val="-419106863"/>
        <w:docPartObj>
          <w:docPartGallery w:val="Table of Contents"/>
          <w:docPartUnique/>
        </w:docPartObj>
      </w:sdtPr>
      <w:sdtEndPr>
        <w:rPr>
          <w:b/>
          <w:bCs/>
          <w:noProof/>
        </w:rPr>
      </w:sdtEndPr>
      <w:sdtContent>
        <w:p w14:paraId="03D9D481" w14:textId="77777777" w:rsidR="0032389F" w:rsidRPr="001239DA" w:rsidRDefault="0032389F">
          <w:pPr>
            <w:pStyle w:val="TOCHeading"/>
            <w:rPr>
              <w:rFonts w:ascii="Arial" w:hAnsi="Arial" w:cs="Arial"/>
              <w:sz w:val="24"/>
              <w:szCs w:val="24"/>
            </w:rPr>
          </w:pPr>
          <w:r w:rsidRPr="001239DA">
            <w:rPr>
              <w:rFonts w:ascii="Arial" w:hAnsi="Arial" w:cs="Arial"/>
              <w:sz w:val="24"/>
              <w:szCs w:val="24"/>
            </w:rPr>
            <w:t>Contents</w:t>
          </w:r>
        </w:p>
        <w:p w14:paraId="56BA19D3" w14:textId="77777777" w:rsidR="00D80012" w:rsidRPr="001239DA" w:rsidRDefault="0032389F">
          <w:pPr>
            <w:pStyle w:val="TOC1"/>
            <w:tabs>
              <w:tab w:val="right" w:leader="dot" w:pos="9350"/>
            </w:tabs>
            <w:rPr>
              <w:rFonts w:ascii="Arial" w:eastAsiaTheme="minorEastAsia" w:hAnsi="Arial" w:cs="Arial"/>
              <w:noProof/>
              <w:szCs w:val="24"/>
              <w:lang w:val="en-US"/>
            </w:rPr>
          </w:pPr>
          <w:r w:rsidRPr="001239DA">
            <w:rPr>
              <w:rFonts w:ascii="Arial" w:hAnsi="Arial" w:cs="Arial"/>
              <w:szCs w:val="24"/>
            </w:rPr>
            <w:fldChar w:fldCharType="begin"/>
          </w:r>
          <w:r w:rsidRPr="001239DA">
            <w:rPr>
              <w:rFonts w:ascii="Arial" w:hAnsi="Arial" w:cs="Arial"/>
              <w:szCs w:val="24"/>
            </w:rPr>
            <w:instrText xml:space="preserve"> TOC \o "1-3" \h \z \u </w:instrText>
          </w:r>
          <w:r w:rsidRPr="001239DA">
            <w:rPr>
              <w:rFonts w:ascii="Arial" w:hAnsi="Arial" w:cs="Arial"/>
              <w:szCs w:val="24"/>
            </w:rPr>
            <w:fldChar w:fldCharType="separate"/>
          </w:r>
          <w:hyperlink w:anchor="_Toc120132699" w:history="1">
            <w:r w:rsidR="00D80012" w:rsidRPr="001239DA">
              <w:rPr>
                <w:rStyle w:val="Hyperlink"/>
                <w:rFonts w:ascii="Arial" w:hAnsi="Arial" w:cs="Arial"/>
                <w:noProof/>
                <w:szCs w:val="24"/>
              </w:rPr>
              <w:t>Introduction</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_Toc120132699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3</w:t>
            </w:r>
            <w:r w:rsidR="00D80012" w:rsidRPr="001239DA">
              <w:rPr>
                <w:rFonts w:ascii="Arial" w:hAnsi="Arial" w:cs="Arial"/>
                <w:noProof/>
                <w:webHidden/>
                <w:szCs w:val="24"/>
              </w:rPr>
              <w:fldChar w:fldCharType="end"/>
            </w:r>
          </w:hyperlink>
        </w:p>
        <w:p w14:paraId="3C7DA000" w14:textId="77777777" w:rsidR="00D80012" w:rsidRPr="001239DA" w:rsidRDefault="00471098">
          <w:pPr>
            <w:pStyle w:val="TOC1"/>
            <w:tabs>
              <w:tab w:val="right" w:leader="dot" w:pos="9350"/>
            </w:tabs>
            <w:rPr>
              <w:rFonts w:ascii="Arial" w:eastAsiaTheme="minorEastAsia" w:hAnsi="Arial" w:cs="Arial"/>
              <w:noProof/>
              <w:szCs w:val="24"/>
              <w:lang w:val="en-US"/>
            </w:rPr>
          </w:pPr>
          <w:hyperlink w:anchor="_Toc120132700" w:history="1">
            <w:r w:rsidR="00D80012" w:rsidRPr="001239DA">
              <w:rPr>
                <w:rStyle w:val="Hyperlink"/>
                <w:rFonts w:ascii="Arial" w:hAnsi="Arial" w:cs="Arial"/>
                <w:noProof/>
                <w:szCs w:val="24"/>
              </w:rPr>
              <w:t>Answer to Question no 1</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_Toc120132700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3</w:t>
            </w:r>
            <w:r w:rsidR="00D80012" w:rsidRPr="001239DA">
              <w:rPr>
                <w:rFonts w:ascii="Arial" w:hAnsi="Arial" w:cs="Arial"/>
                <w:noProof/>
                <w:webHidden/>
                <w:szCs w:val="24"/>
              </w:rPr>
              <w:fldChar w:fldCharType="end"/>
            </w:r>
          </w:hyperlink>
        </w:p>
        <w:p w14:paraId="3A6FEC81" w14:textId="77777777" w:rsidR="00D80012" w:rsidRPr="001239DA" w:rsidRDefault="00471098">
          <w:pPr>
            <w:pStyle w:val="TOC2"/>
            <w:tabs>
              <w:tab w:val="right" w:leader="dot" w:pos="9350"/>
            </w:tabs>
            <w:rPr>
              <w:rFonts w:ascii="Arial" w:eastAsiaTheme="minorEastAsia" w:hAnsi="Arial" w:cs="Arial"/>
              <w:noProof/>
              <w:szCs w:val="24"/>
              <w:lang w:val="en-US"/>
            </w:rPr>
          </w:pPr>
          <w:hyperlink w:anchor="_Toc120132701" w:history="1">
            <w:r w:rsidR="00D80012" w:rsidRPr="001239DA">
              <w:rPr>
                <w:rStyle w:val="Hyperlink"/>
                <w:rFonts w:ascii="Arial" w:hAnsi="Arial" w:cs="Arial"/>
                <w:noProof/>
                <w:szCs w:val="24"/>
              </w:rPr>
              <w:t>Requirement A</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_Toc120132701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3</w:t>
            </w:r>
            <w:r w:rsidR="00D80012" w:rsidRPr="001239DA">
              <w:rPr>
                <w:rFonts w:ascii="Arial" w:hAnsi="Arial" w:cs="Arial"/>
                <w:noProof/>
                <w:webHidden/>
                <w:szCs w:val="24"/>
              </w:rPr>
              <w:fldChar w:fldCharType="end"/>
            </w:r>
          </w:hyperlink>
        </w:p>
        <w:p w14:paraId="72D0D5CB" w14:textId="77777777" w:rsidR="00D80012" w:rsidRPr="001239DA" w:rsidRDefault="00471098">
          <w:pPr>
            <w:pStyle w:val="TOC2"/>
            <w:tabs>
              <w:tab w:val="right" w:leader="dot" w:pos="9350"/>
            </w:tabs>
            <w:rPr>
              <w:rFonts w:ascii="Arial" w:eastAsiaTheme="minorEastAsia" w:hAnsi="Arial" w:cs="Arial"/>
              <w:noProof/>
              <w:szCs w:val="24"/>
              <w:lang w:val="en-US"/>
            </w:rPr>
          </w:pPr>
          <w:hyperlink w:anchor="_Toc120132702" w:history="1">
            <w:r w:rsidR="00D80012" w:rsidRPr="001239DA">
              <w:rPr>
                <w:rStyle w:val="Hyperlink"/>
                <w:rFonts w:ascii="Arial" w:hAnsi="Arial" w:cs="Arial"/>
                <w:noProof/>
                <w:szCs w:val="24"/>
              </w:rPr>
              <w:t>Requirement B</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_Toc120132702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5</w:t>
            </w:r>
            <w:r w:rsidR="00D80012" w:rsidRPr="001239DA">
              <w:rPr>
                <w:rFonts w:ascii="Arial" w:hAnsi="Arial" w:cs="Arial"/>
                <w:noProof/>
                <w:webHidden/>
                <w:szCs w:val="24"/>
              </w:rPr>
              <w:fldChar w:fldCharType="end"/>
            </w:r>
          </w:hyperlink>
        </w:p>
        <w:p w14:paraId="50A6D125" w14:textId="77777777" w:rsidR="00D80012" w:rsidRPr="001239DA" w:rsidRDefault="00471098">
          <w:pPr>
            <w:pStyle w:val="TOC1"/>
            <w:tabs>
              <w:tab w:val="right" w:leader="dot" w:pos="9350"/>
            </w:tabs>
            <w:rPr>
              <w:rFonts w:ascii="Arial" w:eastAsiaTheme="minorEastAsia" w:hAnsi="Arial" w:cs="Arial"/>
              <w:noProof/>
              <w:szCs w:val="24"/>
              <w:lang w:val="en-US"/>
            </w:rPr>
          </w:pPr>
          <w:hyperlink w:anchor="_Toc120132703" w:history="1">
            <w:r w:rsidR="00D80012" w:rsidRPr="001239DA">
              <w:rPr>
                <w:rStyle w:val="Hyperlink"/>
                <w:rFonts w:ascii="Arial" w:hAnsi="Arial" w:cs="Arial"/>
                <w:noProof/>
                <w:szCs w:val="24"/>
              </w:rPr>
              <w:t>Answer to Question no 2</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_Toc120132703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6</w:t>
            </w:r>
            <w:r w:rsidR="00D80012" w:rsidRPr="001239DA">
              <w:rPr>
                <w:rFonts w:ascii="Arial" w:hAnsi="Arial" w:cs="Arial"/>
                <w:noProof/>
                <w:webHidden/>
                <w:szCs w:val="24"/>
              </w:rPr>
              <w:fldChar w:fldCharType="end"/>
            </w:r>
          </w:hyperlink>
        </w:p>
        <w:p w14:paraId="2AB250C9" w14:textId="186B1043" w:rsidR="00D80012" w:rsidRPr="001239DA" w:rsidRDefault="00471098">
          <w:pPr>
            <w:pStyle w:val="TOC2"/>
            <w:tabs>
              <w:tab w:val="right" w:leader="dot" w:pos="9350"/>
            </w:tabs>
            <w:rPr>
              <w:rFonts w:ascii="Arial" w:eastAsiaTheme="minorEastAsia" w:hAnsi="Arial" w:cs="Arial"/>
              <w:noProof/>
              <w:szCs w:val="24"/>
              <w:lang w:val="en-US"/>
            </w:rPr>
          </w:pPr>
          <w:hyperlink w:anchor="_Toc120132704" w:history="1">
            <w:r w:rsidR="00D80012" w:rsidRPr="001239DA">
              <w:rPr>
                <w:rStyle w:val="Hyperlink"/>
                <w:rFonts w:ascii="Arial" w:hAnsi="Arial" w:cs="Arial"/>
                <w:noProof/>
                <w:szCs w:val="24"/>
              </w:rPr>
              <w:t xml:space="preserve">Requirement </w:t>
            </w:r>
            <w:r w:rsidR="001239DA" w:rsidRPr="001239DA">
              <w:rPr>
                <w:rStyle w:val="Hyperlink"/>
                <w:rFonts w:ascii="Arial" w:hAnsi="Arial" w:cs="Arial"/>
                <w:noProof/>
                <w:szCs w:val="24"/>
              </w:rPr>
              <w:t>A</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_Toc120132704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6</w:t>
            </w:r>
            <w:r w:rsidR="00D80012" w:rsidRPr="001239DA">
              <w:rPr>
                <w:rFonts w:ascii="Arial" w:hAnsi="Arial" w:cs="Arial"/>
                <w:noProof/>
                <w:webHidden/>
                <w:szCs w:val="24"/>
              </w:rPr>
              <w:fldChar w:fldCharType="end"/>
            </w:r>
          </w:hyperlink>
        </w:p>
        <w:p w14:paraId="15D1E86B" w14:textId="77777777" w:rsidR="00D80012" w:rsidRPr="001239DA" w:rsidRDefault="00471098">
          <w:pPr>
            <w:pStyle w:val="TOC2"/>
            <w:tabs>
              <w:tab w:val="right" w:leader="dot" w:pos="9350"/>
            </w:tabs>
            <w:rPr>
              <w:rFonts w:ascii="Arial" w:eastAsiaTheme="minorEastAsia" w:hAnsi="Arial" w:cs="Arial"/>
              <w:noProof/>
              <w:szCs w:val="24"/>
              <w:lang w:val="en-US"/>
            </w:rPr>
          </w:pPr>
          <w:hyperlink w:anchor="_Toc120132705" w:history="1">
            <w:r w:rsidR="00D80012" w:rsidRPr="001239DA">
              <w:rPr>
                <w:rStyle w:val="Hyperlink"/>
                <w:rFonts w:ascii="Arial" w:hAnsi="Arial" w:cs="Arial"/>
                <w:noProof/>
                <w:szCs w:val="24"/>
              </w:rPr>
              <w:t>Requirement B</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_Toc120132705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13</w:t>
            </w:r>
            <w:r w:rsidR="00D80012" w:rsidRPr="001239DA">
              <w:rPr>
                <w:rFonts w:ascii="Arial" w:hAnsi="Arial" w:cs="Arial"/>
                <w:noProof/>
                <w:webHidden/>
                <w:szCs w:val="24"/>
              </w:rPr>
              <w:fldChar w:fldCharType="end"/>
            </w:r>
          </w:hyperlink>
        </w:p>
        <w:p w14:paraId="30CE0998" w14:textId="77777777" w:rsidR="00D80012" w:rsidRPr="001239DA" w:rsidRDefault="00471098">
          <w:pPr>
            <w:pStyle w:val="TOC1"/>
            <w:tabs>
              <w:tab w:val="right" w:leader="dot" w:pos="9350"/>
            </w:tabs>
            <w:rPr>
              <w:rFonts w:ascii="Arial" w:eastAsiaTheme="minorEastAsia" w:hAnsi="Arial" w:cs="Arial"/>
              <w:noProof/>
              <w:szCs w:val="24"/>
              <w:lang w:val="en-US"/>
            </w:rPr>
          </w:pPr>
          <w:hyperlink w:anchor="_Toc120132706" w:history="1">
            <w:r w:rsidR="00D80012" w:rsidRPr="001239DA">
              <w:rPr>
                <w:rStyle w:val="Hyperlink"/>
                <w:rFonts w:ascii="Arial" w:hAnsi="Arial" w:cs="Arial"/>
                <w:noProof/>
                <w:szCs w:val="24"/>
              </w:rPr>
              <w:t>References</w:t>
            </w:r>
            <w:r w:rsidR="00D80012" w:rsidRPr="001239DA">
              <w:rPr>
                <w:rFonts w:ascii="Arial" w:hAnsi="Arial" w:cs="Arial"/>
                <w:noProof/>
                <w:webHidden/>
                <w:szCs w:val="24"/>
              </w:rPr>
              <w:tab/>
            </w:r>
            <w:r w:rsidR="00D80012" w:rsidRPr="001239DA">
              <w:rPr>
                <w:rFonts w:ascii="Arial" w:hAnsi="Arial" w:cs="Arial"/>
                <w:noProof/>
                <w:webHidden/>
                <w:szCs w:val="24"/>
              </w:rPr>
              <w:fldChar w:fldCharType="begin"/>
            </w:r>
            <w:r w:rsidR="00D80012" w:rsidRPr="001239DA">
              <w:rPr>
                <w:rFonts w:ascii="Arial" w:hAnsi="Arial" w:cs="Arial"/>
                <w:noProof/>
                <w:webHidden/>
                <w:szCs w:val="24"/>
              </w:rPr>
              <w:instrText xml:space="preserve"> PAGEREF _Toc120132706 \h </w:instrText>
            </w:r>
            <w:r w:rsidR="00D80012" w:rsidRPr="001239DA">
              <w:rPr>
                <w:rFonts w:ascii="Arial" w:hAnsi="Arial" w:cs="Arial"/>
                <w:noProof/>
                <w:webHidden/>
                <w:szCs w:val="24"/>
              </w:rPr>
            </w:r>
            <w:r w:rsidR="00D80012" w:rsidRPr="001239DA">
              <w:rPr>
                <w:rFonts w:ascii="Arial" w:hAnsi="Arial" w:cs="Arial"/>
                <w:noProof/>
                <w:webHidden/>
                <w:szCs w:val="24"/>
              </w:rPr>
              <w:fldChar w:fldCharType="separate"/>
            </w:r>
            <w:r w:rsidR="00D80012" w:rsidRPr="001239DA">
              <w:rPr>
                <w:rFonts w:ascii="Arial" w:hAnsi="Arial" w:cs="Arial"/>
                <w:noProof/>
                <w:webHidden/>
                <w:szCs w:val="24"/>
              </w:rPr>
              <w:t>14</w:t>
            </w:r>
            <w:r w:rsidR="00D80012" w:rsidRPr="001239DA">
              <w:rPr>
                <w:rFonts w:ascii="Arial" w:hAnsi="Arial" w:cs="Arial"/>
                <w:noProof/>
                <w:webHidden/>
                <w:szCs w:val="24"/>
              </w:rPr>
              <w:fldChar w:fldCharType="end"/>
            </w:r>
          </w:hyperlink>
        </w:p>
        <w:p w14:paraId="6B52D2F3" w14:textId="77777777" w:rsidR="0032389F" w:rsidRDefault="0032389F">
          <w:r w:rsidRPr="001239DA">
            <w:rPr>
              <w:rFonts w:ascii="Arial" w:hAnsi="Arial" w:cs="Arial"/>
              <w:b/>
              <w:bCs/>
              <w:noProof/>
              <w:szCs w:val="24"/>
            </w:rPr>
            <w:fldChar w:fldCharType="end"/>
          </w:r>
        </w:p>
      </w:sdtContent>
    </w:sdt>
    <w:p w14:paraId="6373A019" w14:textId="77777777" w:rsidR="0032389F" w:rsidRDefault="0032389F">
      <w:pPr>
        <w:spacing w:line="259" w:lineRule="auto"/>
        <w:jc w:val="left"/>
        <w:rPr>
          <w:rFonts w:eastAsiaTheme="majorEastAsia" w:cstheme="majorBidi"/>
          <w:b/>
          <w:color w:val="1F3864" w:themeColor="accent1" w:themeShade="80"/>
          <w:sz w:val="32"/>
          <w:szCs w:val="32"/>
        </w:rPr>
      </w:pPr>
      <w:r>
        <w:br w:type="page"/>
      </w:r>
    </w:p>
    <w:p w14:paraId="65D1C79B" w14:textId="77777777" w:rsidR="00353D96" w:rsidRPr="001239DA" w:rsidRDefault="009E7CEF" w:rsidP="009E7CEF">
      <w:pPr>
        <w:pStyle w:val="Heading1"/>
        <w:rPr>
          <w:rFonts w:ascii="Arial" w:hAnsi="Arial" w:cs="Arial"/>
          <w:sz w:val="24"/>
          <w:szCs w:val="24"/>
        </w:rPr>
      </w:pPr>
      <w:bookmarkStart w:id="0" w:name="_Toc120132699"/>
      <w:r w:rsidRPr="001239DA">
        <w:rPr>
          <w:rFonts w:ascii="Arial" w:hAnsi="Arial" w:cs="Arial"/>
          <w:sz w:val="24"/>
          <w:szCs w:val="24"/>
        </w:rPr>
        <w:lastRenderedPageBreak/>
        <w:t>Introduction</w:t>
      </w:r>
      <w:bookmarkEnd w:id="0"/>
      <w:r w:rsidRPr="001239DA">
        <w:rPr>
          <w:rFonts w:ascii="Arial" w:hAnsi="Arial" w:cs="Arial"/>
          <w:sz w:val="24"/>
          <w:szCs w:val="24"/>
        </w:rPr>
        <w:t xml:space="preserve"> </w:t>
      </w:r>
    </w:p>
    <w:p w14:paraId="3BE36E0F" w14:textId="77777777" w:rsidR="009E7CEF" w:rsidRPr="001239DA" w:rsidRDefault="009E7CEF">
      <w:pPr>
        <w:rPr>
          <w:rFonts w:ascii="Arial" w:hAnsi="Arial" w:cs="Arial"/>
          <w:szCs w:val="24"/>
        </w:rPr>
      </w:pPr>
      <w:r w:rsidRPr="001239DA">
        <w:rPr>
          <w:rFonts w:ascii="Arial" w:hAnsi="Arial" w:cs="Arial"/>
          <w:szCs w:val="24"/>
        </w:rPr>
        <w:t>Accounting is necessary for any business since it permits the identification of economic actions (such sales and purchases) and the consequences that these activities have on the economic entity that is the firm (</w:t>
      </w:r>
      <w:r w:rsidR="00EC3384" w:rsidRPr="001239DA">
        <w:rPr>
          <w:rFonts w:ascii="Arial" w:hAnsi="Arial" w:cs="Arial"/>
          <w:szCs w:val="24"/>
          <w:shd w:val="clear" w:color="auto" w:fill="FFFFFF"/>
        </w:rPr>
        <w:t>Senior, 2009</w:t>
      </w:r>
      <w:r w:rsidRPr="001239DA">
        <w:rPr>
          <w:rFonts w:ascii="Arial" w:hAnsi="Arial" w:cs="Arial"/>
          <w:szCs w:val="24"/>
        </w:rPr>
        <w:t xml:space="preserve">). Accounting also makes it simpler for businesses to create financial statements, which helps to ensure that consumers of accounting information get accurate financial information. This module will cover both the process of producing financial statements as well as the use of </w:t>
      </w:r>
      <w:proofErr w:type="gramStart"/>
      <w:r w:rsidRPr="001239DA">
        <w:rPr>
          <w:rFonts w:ascii="Arial" w:hAnsi="Arial" w:cs="Arial"/>
          <w:szCs w:val="24"/>
        </w:rPr>
        <w:t>a number of</w:t>
      </w:r>
      <w:proofErr w:type="gramEnd"/>
      <w:r w:rsidRPr="001239DA">
        <w:rPr>
          <w:rFonts w:ascii="Arial" w:hAnsi="Arial" w:cs="Arial"/>
          <w:szCs w:val="24"/>
        </w:rPr>
        <w:t xml:space="preserve"> financial ratios in order to evaluate the financial health and performance of a company. </w:t>
      </w:r>
    </w:p>
    <w:p w14:paraId="1F020CBE" w14:textId="77777777" w:rsidR="009E7CEF" w:rsidRPr="00C416C9" w:rsidRDefault="009E7CEF" w:rsidP="009E7CEF">
      <w:pPr>
        <w:pStyle w:val="Heading1"/>
        <w:rPr>
          <w:rFonts w:ascii="Arial" w:hAnsi="Arial" w:cs="Arial"/>
          <w:sz w:val="24"/>
          <w:szCs w:val="24"/>
        </w:rPr>
      </w:pPr>
      <w:bookmarkStart w:id="1" w:name="_Toc120132700"/>
      <w:r w:rsidRPr="00C416C9">
        <w:rPr>
          <w:rFonts w:ascii="Arial" w:hAnsi="Arial" w:cs="Arial"/>
          <w:sz w:val="24"/>
          <w:szCs w:val="24"/>
        </w:rPr>
        <w:t>Answer to Question no 1</w:t>
      </w:r>
      <w:bookmarkEnd w:id="1"/>
      <w:r w:rsidRPr="00C416C9">
        <w:rPr>
          <w:rFonts w:ascii="Arial" w:hAnsi="Arial" w:cs="Arial"/>
          <w:sz w:val="24"/>
          <w:szCs w:val="24"/>
        </w:rPr>
        <w:t xml:space="preserve"> </w:t>
      </w:r>
    </w:p>
    <w:p w14:paraId="2CAF9FF4" w14:textId="77777777" w:rsidR="009E7CEF" w:rsidRPr="00C416C9" w:rsidRDefault="0032389F" w:rsidP="009E7CEF">
      <w:pPr>
        <w:pStyle w:val="Heading2"/>
        <w:rPr>
          <w:rFonts w:ascii="Arial" w:hAnsi="Arial" w:cs="Arial"/>
          <w:sz w:val="24"/>
          <w:szCs w:val="24"/>
        </w:rPr>
      </w:pPr>
      <w:bookmarkStart w:id="2" w:name="_Toc120132701"/>
      <w:r w:rsidRPr="00C416C9">
        <w:rPr>
          <w:rFonts w:ascii="Arial" w:hAnsi="Arial" w:cs="Arial"/>
          <w:sz w:val="24"/>
          <w:szCs w:val="24"/>
        </w:rPr>
        <w:t xml:space="preserve">Requirement </w:t>
      </w:r>
      <w:r w:rsidR="009E7CEF" w:rsidRPr="00C416C9">
        <w:rPr>
          <w:rFonts w:ascii="Arial" w:hAnsi="Arial" w:cs="Arial"/>
          <w:sz w:val="24"/>
          <w:szCs w:val="24"/>
        </w:rPr>
        <w:t>A</w:t>
      </w:r>
      <w:bookmarkEnd w:id="2"/>
      <w:r w:rsidR="009E7CEF" w:rsidRPr="00C416C9">
        <w:rPr>
          <w:rFonts w:ascii="Arial" w:hAnsi="Arial" w:cs="Arial"/>
          <w:sz w:val="24"/>
          <w:szCs w:val="24"/>
        </w:rPr>
        <w:t xml:space="preserve"> </w:t>
      </w:r>
    </w:p>
    <w:p w14:paraId="7AEB8D0D" w14:textId="3DF18BFC" w:rsidR="009E7CEF" w:rsidRPr="0033105F" w:rsidRDefault="0033105F">
      <w:pPr>
        <w:rPr>
          <w:b/>
          <w:bCs/>
        </w:rPr>
      </w:pPr>
      <w:r w:rsidRPr="00C416C9">
        <w:rPr>
          <w:rFonts w:ascii="Arial" w:hAnsi="Arial" w:cs="Arial"/>
          <w:b/>
          <w:bCs/>
          <w:szCs w:val="24"/>
        </w:rPr>
        <w:t>Income statement</w:t>
      </w:r>
    </w:p>
    <w:tbl>
      <w:tblPr>
        <w:tblStyle w:val="PlainTable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2"/>
        <w:gridCol w:w="1472"/>
        <w:gridCol w:w="1449"/>
        <w:gridCol w:w="1447"/>
      </w:tblGrid>
      <w:tr w:rsidR="0033105F" w:rsidRPr="00C416C9" w14:paraId="1DC30BCE" w14:textId="77777777" w:rsidTr="0033105F">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664" w:type="pct"/>
            <w:tcBorders>
              <w:bottom w:val="none" w:sz="0" w:space="0" w:color="auto"/>
              <w:right w:val="none" w:sz="0" w:space="0" w:color="auto"/>
            </w:tcBorders>
            <w:noWrap/>
            <w:hideMark/>
          </w:tcPr>
          <w:p w14:paraId="2E281DF2" w14:textId="77777777" w:rsidR="0033105F" w:rsidRPr="00C416C9" w:rsidRDefault="0033105F" w:rsidP="00971DEE">
            <w:pPr>
              <w:rPr>
                <w:rFonts w:ascii="Arial" w:eastAsia="Times New Roman" w:hAnsi="Arial" w:cs="Arial"/>
                <w:b/>
                <w:bCs/>
                <w:color w:val="000000"/>
                <w:szCs w:val="24"/>
                <w:lang w:val="en-US"/>
              </w:rPr>
            </w:pPr>
            <w:r w:rsidRPr="00C416C9">
              <w:rPr>
                <w:rFonts w:ascii="Arial" w:eastAsia="Times New Roman" w:hAnsi="Arial" w:cs="Arial"/>
                <w:b/>
                <w:bCs/>
                <w:color w:val="000000"/>
                <w:szCs w:val="24"/>
              </w:rPr>
              <w:t>Particulars</w:t>
            </w:r>
          </w:p>
        </w:tc>
        <w:tc>
          <w:tcPr>
            <w:tcW w:w="787" w:type="pct"/>
            <w:tcBorders>
              <w:bottom w:val="none" w:sz="0" w:space="0" w:color="auto"/>
            </w:tcBorders>
            <w:noWrap/>
            <w:hideMark/>
          </w:tcPr>
          <w:p w14:paraId="54119764" w14:textId="77777777" w:rsidR="0033105F" w:rsidRPr="00C416C9" w:rsidRDefault="0033105F" w:rsidP="00971DE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000000"/>
                <w:szCs w:val="24"/>
                <w:lang w:val="en-US"/>
              </w:rPr>
            </w:pPr>
            <w:r w:rsidRPr="00C416C9">
              <w:rPr>
                <w:rFonts w:ascii="Arial" w:eastAsia="Times New Roman" w:hAnsi="Arial" w:cs="Arial"/>
                <w:b/>
                <w:bCs/>
                <w:color w:val="000000"/>
                <w:szCs w:val="24"/>
              </w:rPr>
              <w:t>Amount</w:t>
            </w:r>
          </w:p>
        </w:tc>
        <w:tc>
          <w:tcPr>
            <w:tcW w:w="775" w:type="pct"/>
            <w:tcBorders>
              <w:bottom w:val="none" w:sz="0" w:space="0" w:color="auto"/>
            </w:tcBorders>
            <w:noWrap/>
            <w:hideMark/>
          </w:tcPr>
          <w:p w14:paraId="41E9C64C" w14:textId="77777777" w:rsidR="0033105F" w:rsidRPr="00C416C9" w:rsidRDefault="0033105F" w:rsidP="00971DE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000000"/>
                <w:szCs w:val="24"/>
                <w:lang w:val="en-US"/>
              </w:rPr>
            </w:pPr>
            <w:r w:rsidRPr="00C416C9">
              <w:rPr>
                <w:rFonts w:ascii="Arial" w:eastAsia="Times New Roman" w:hAnsi="Arial" w:cs="Arial"/>
                <w:b/>
                <w:bCs/>
                <w:color w:val="000000"/>
                <w:szCs w:val="24"/>
              </w:rPr>
              <w:t>Amount</w:t>
            </w:r>
          </w:p>
        </w:tc>
        <w:tc>
          <w:tcPr>
            <w:tcW w:w="774" w:type="pct"/>
            <w:tcBorders>
              <w:bottom w:val="none" w:sz="0" w:space="0" w:color="auto"/>
            </w:tcBorders>
            <w:noWrap/>
            <w:hideMark/>
          </w:tcPr>
          <w:p w14:paraId="40692BD3" w14:textId="77777777" w:rsidR="0033105F" w:rsidRPr="00C416C9" w:rsidRDefault="0033105F" w:rsidP="00971DE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000000"/>
                <w:szCs w:val="24"/>
                <w:lang w:val="en-US"/>
              </w:rPr>
            </w:pPr>
            <w:r w:rsidRPr="00C416C9">
              <w:rPr>
                <w:rFonts w:ascii="Arial" w:eastAsia="Times New Roman" w:hAnsi="Arial" w:cs="Arial"/>
                <w:b/>
                <w:bCs/>
                <w:color w:val="000000"/>
                <w:szCs w:val="24"/>
              </w:rPr>
              <w:t>Amount</w:t>
            </w:r>
          </w:p>
        </w:tc>
      </w:tr>
      <w:tr w:rsidR="0033105F" w:rsidRPr="00E22F29" w14:paraId="078C7741"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5EA8A29E"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 xml:space="preserve">Sales </w:t>
            </w:r>
          </w:p>
        </w:tc>
        <w:tc>
          <w:tcPr>
            <w:tcW w:w="787" w:type="pct"/>
            <w:noWrap/>
            <w:hideMark/>
          </w:tcPr>
          <w:p w14:paraId="06737DDD"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£800,000</w:t>
            </w:r>
          </w:p>
        </w:tc>
        <w:tc>
          <w:tcPr>
            <w:tcW w:w="775" w:type="pct"/>
            <w:noWrap/>
            <w:hideMark/>
          </w:tcPr>
          <w:p w14:paraId="17B0416F"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c>
          <w:tcPr>
            <w:tcW w:w="774" w:type="pct"/>
            <w:noWrap/>
            <w:hideMark/>
          </w:tcPr>
          <w:p w14:paraId="5FCAF100"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r>
      <w:tr w:rsidR="0033105F" w:rsidRPr="00E22F29" w14:paraId="627A4A8E"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32C79B75"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Add: Credit sales</w:t>
            </w:r>
          </w:p>
        </w:tc>
        <w:tc>
          <w:tcPr>
            <w:tcW w:w="787" w:type="pct"/>
            <w:noWrap/>
            <w:hideMark/>
          </w:tcPr>
          <w:p w14:paraId="2EA39CBD"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£980</w:t>
            </w:r>
          </w:p>
        </w:tc>
        <w:tc>
          <w:tcPr>
            <w:tcW w:w="775" w:type="pct"/>
            <w:noWrap/>
            <w:hideMark/>
          </w:tcPr>
          <w:p w14:paraId="55C0D234"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c>
          <w:tcPr>
            <w:tcW w:w="774" w:type="pct"/>
            <w:noWrap/>
            <w:hideMark/>
          </w:tcPr>
          <w:p w14:paraId="614D0309"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r>
      <w:tr w:rsidR="0033105F" w:rsidRPr="00E22F29" w14:paraId="046CB25E"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088B2512" w14:textId="77777777" w:rsidR="0033105F" w:rsidRPr="00C416C9" w:rsidRDefault="0033105F" w:rsidP="00971DEE">
            <w:pPr>
              <w:jc w:val="right"/>
              <w:rPr>
                <w:rFonts w:ascii="Arial" w:eastAsia="Times New Roman" w:hAnsi="Arial" w:cs="Arial"/>
                <w:b/>
                <w:bCs/>
                <w:color w:val="000000"/>
                <w:szCs w:val="24"/>
                <w:lang w:val="en-US"/>
              </w:rPr>
            </w:pPr>
            <w:r w:rsidRPr="00C416C9">
              <w:rPr>
                <w:rFonts w:ascii="Arial" w:eastAsia="Times New Roman" w:hAnsi="Arial" w:cs="Arial"/>
                <w:b/>
                <w:bCs/>
                <w:color w:val="000000"/>
                <w:szCs w:val="24"/>
              </w:rPr>
              <w:t>Net Sales Revenue</w:t>
            </w:r>
          </w:p>
        </w:tc>
        <w:tc>
          <w:tcPr>
            <w:tcW w:w="787" w:type="pct"/>
            <w:noWrap/>
            <w:hideMark/>
          </w:tcPr>
          <w:p w14:paraId="5D19E433"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rPr>
            </w:pPr>
          </w:p>
        </w:tc>
        <w:tc>
          <w:tcPr>
            <w:tcW w:w="775" w:type="pct"/>
            <w:noWrap/>
            <w:hideMark/>
          </w:tcPr>
          <w:p w14:paraId="45546F5D"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rPr>
            </w:pPr>
            <w:r w:rsidRPr="00E22F29">
              <w:rPr>
                <w:rFonts w:eastAsia="Times New Roman" w:cs="Times New Roman"/>
                <w:b/>
                <w:bCs/>
                <w:color w:val="000000"/>
                <w:szCs w:val="24"/>
              </w:rPr>
              <w:t>£800,980</w:t>
            </w:r>
          </w:p>
        </w:tc>
        <w:tc>
          <w:tcPr>
            <w:tcW w:w="774" w:type="pct"/>
            <w:noWrap/>
            <w:hideMark/>
          </w:tcPr>
          <w:p w14:paraId="53411FC5"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rPr>
            </w:pPr>
          </w:p>
        </w:tc>
      </w:tr>
      <w:tr w:rsidR="0033105F" w:rsidRPr="00E22F29" w14:paraId="44FB3A3A"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590385E8" w14:textId="77777777" w:rsidR="0033105F" w:rsidRPr="00C416C9" w:rsidRDefault="0033105F" w:rsidP="00971DEE">
            <w:pPr>
              <w:rPr>
                <w:rFonts w:ascii="Arial" w:eastAsia="Times New Roman" w:hAnsi="Arial" w:cs="Arial"/>
                <w:b/>
                <w:bCs/>
                <w:color w:val="000000"/>
                <w:szCs w:val="24"/>
                <w:lang w:val="en-US"/>
              </w:rPr>
            </w:pPr>
            <w:r w:rsidRPr="00C416C9">
              <w:rPr>
                <w:rFonts w:ascii="Arial" w:eastAsia="Times New Roman" w:hAnsi="Arial" w:cs="Arial"/>
                <w:b/>
                <w:bCs/>
                <w:color w:val="000000"/>
                <w:szCs w:val="24"/>
              </w:rPr>
              <w:t>Less: Cost of sales</w:t>
            </w:r>
          </w:p>
        </w:tc>
        <w:tc>
          <w:tcPr>
            <w:tcW w:w="787" w:type="pct"/>
            <w:noWrap/>
            <w:hideMark/>
          </w:tcPr>
          <w:p w14:paraId="7734F33D"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456462D2"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£578,650</w:t>
            </w:r>
          </w:p>
        </w:tc>
        <w:tc>
          <w:tcPr>
            <w:tcW w:w="774" w:type="pct"/>
            <w:noWrap/>
            <w:hideMark/>
          </w:tcPr>
          <w:p w14:paraId="372FEF47"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r>
      <w:tr w:rsidR="0033105F" w:rsidRPr="00E22F29" w14:paraId="067541BE"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74F5AF30" w14:textId="77777777" w:rsidR="0033105F" w:rsidRPr="00C416C9" w:rsidRDefault="0033105F" w:rsidP="00971DEE">
            <w:pPr>
              <w:jc w:val="right"/>
              <w:rPr>
                <w:rFonts w:ascii="Arial" w:eastAsia="Times New Roman" w:hAnsi="Arial" w:cs="Arial"/>
                <w:b/>
                <w:bCs/>
                <w:color w:val="000000"/>
                <w:szCs w:val="24"/>
                <w:lang w:val="en-US"/>
              </w:rPr>
            </w:pPr>
            <w:r w:rsidRPr="00C416C9">
              <w:rPr>
                <w:rFonts w:ascii="Arial" w:eastAsia="Times New Roman" w:hAnsi="Arial" w:cs="Arial"/>
                <w:b/>
                <w:bCs/>
                <w:color w:val="000000"/>
                <w:szCs w:val="24"/>
              </w:rPr>
              <w:t>Gross Profit</w:t>
            </w:r>
          </w:p>
        </w:tc>
        <w:tc>
          <w:tcPr>
            <w:tcW w:w="787" w:type="pct"/>
            <w:noWrap/>
            <w:hideMark/>
          </w:tcPr>
          <w:p w14:paraId="104EC8C4"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rPr>
            </w:pPr>
          </w:p>
        </w:tc>
        <w:tc>
          <w:tcPr>
            <w:tcW w:w="775" w:type="pct"/>
            <w:noWrap/>
            <w:hideMark/>
          </w:tcPr>
          <w:p w14:paraId="3978B24A"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c>
          <w:tcPr>
            <w:tcW w:w="774" w:type="pct"/>
            <w:noWrap/>
            <w:hideMark/>
          </w:tcPr>
          <w:p w14:paraId="665C855E"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u w:val="single"/>
                <w:lang w:val="en-US"/>
              </w:rPr>
            </w:pPr>
            <w:r w:rsidRPr="00E22F29">
              <w:rPr>
                <w:rFonts w:eastAsia="Times New Roman" w:cs="Times New Roman"/>
                <w:b/>
                <w:bCs/>
                <w:color w:val="000000"/>
                <w:szCs w:val="24"/>
                <w:u w:val="single"/>
              </w:rPr>
              <w:t>£222,330</w:t>
            </w:r>
          </w:p>
        </w:tc>
      </w:tr>
      <w:tr w:rsidR="0033105F" w:rsidRPr="00E22F29" w14:paraId="3097884B"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5B67BA4A" w14:textId="77777777" w:rsidR="0033105F" w:rsidRPr="00C416C9" w:rsidRDefault="0033105F" w:rsidP="00971DEE">
            <w:pPr>
              <w:rPr>
                <w:rFonts w:ascii="Arial" w:eastAsia="Times New Roman" w:hAnsi="Arial" w:cs="Arial"/>
                <w:b/>
                <w:bCs/>
                <w:color w:val="000000"/>
                <w:szCs w:val="24"/>
                <w:lang w:val="en-US"/>
              </w:rPr>
            </w:pPr>
            <w:r w:rsidRPr="00C416C9">
              <w:rPr>
                <w:rFonts w:ascii="Arial" w:eastAsia="Times New Roman" w:hAnsi="Arial" w:cs="Arial"/>
                <w:b/>
                <w:bCs/>
                <w:color w:val="000000"/>
                <w:szCs w:val="24"/>
              </w:rPr>
              <w:t>Less: Operating Expenses</w:t>
            </w:r>
          </w:p>
        </w:tc>
        <w:tc>
          <w:tcPr>
            <w:tcW w:w="787" w:type="pct"/>
            <w:noWrap/>
            <w:hideMark/>
          </w:tcPr>
          <w:p w14:paraId="35627F6D"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1EBF4A92"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c>
          <w:tcPr>
            <w:tcW w:w="774" w:type="pct"/>
            <w:noWrap/>
            <w:hideMark/>
          </w:tcPr>
          <w:p w14:paraId="2B9C91F1"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r>
      <w:tr w:rsidR="0033105F" w:rsidRPr="00E22F29" w14:paraId="48A4AAAC"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4054727F"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 xml:space="preserve"> Administrative expenses</w:t>
            </w:r>
          </w:p>
        </w:tc>
        <w:tc>
          <w:tcPr>
            <w:tcW w:w="787" w:type="pct"/>
            <w:noWrap/>
            <w:hideMark/>
          </w:tcPr>
          <w:p w14:paraId="02B95665"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1B341585"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£30,000</w:t>
            </w:r>
          </w:p>
        </w:tc>
        <w:tc>
          <w:tcPr>
            <w:tcW w:w="774" w:type="pct"/>
            <w:noWrap/>
            <w:hideMark/>
          </w:tcPr>
          <w:p w14:paraId="382A44F8"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r>
      <w:tr w:rsidR="0033105F" w:rsidRPr="00E22F29" w14:paraId="39AB7EFA"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70345462"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 xml:space="preserve">  Directors’ remuneration</w:t>
            </w:r>
          </w:p>
        </w:tc>
        <w:tc>
          <w:tcPr>
            <w:tcW w:w="787" w:type="pct"/>
            <w:noWrap/>
            <w:hideMark/>
          </w:tcPr>
          <w:p w14:paraId="229633E2"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77511760"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£5,000</w:t>
            </w:r>
          </w:p>
        </w:tc>
        <w:tc>
          <w:tcPr>
            <w:tcW w:w="774" w:type="pct"/>
            <w:noWrap/>
            <w:hideMark/>
          </w:tcPr>
          <w:p w14:paraId="7CFAB981"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r>
      <w:tr w:rsidR="0033105F" w:rsidRPr="00E22F29" w14:paraId="1211E442"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03331311"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 xml:space="preserve">  Distribution costs</w:t>
            </w:r>
          </w:p>
        </w:tc>
        <w:tc>
          <w:tcPr>
            <w:tcW w:w="787" w:type="pct"/>
            <w:noWrap/>
            <w:hideMark/>
          </w:tcPr>
          <w:p w14:paraId="596F2946"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188F41D2"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£28,000</w:t>
            </w:r>
          </w:p>
        </w:tc>
        <w:tc>
          <w:tcPr>
            <w:tcW w:w="774" w:type="pct"/>
            <w:noWrap/>
            <w:hideMark/>
          </w:tcPr>
          <w:p w14:paraId="4ADCC22C"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r>
      <w:tr w:rsidR="0033105F" w:rsidRPr="00E22F29" w14:paraId="0D33D5CC"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536E7C63"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 xml:space="preserve">  Commission expense </w:t>
            </w:r>
          </w:p>
        </w:tc>
        <w:tc>
          <w:tcPr>
            <w:tcW w:w="787" w:type="pct"/>
            <w:noWrap/>
            <w:hideMark/>
          </w:tcPr>
          <w:p w14:paraId="50A6B596"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26910A3E"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£3,000</w:t>
            </w:r>
          </w:p>
        </w:tc>
        <w:tc>
          <w:tcPr>
            <w:tcW w:w="774" w:type="pct"/>
            <w:noWrap/>
            <w:hideMark/>
          </w:tcPr>
          <w:p w14:paraId="2542C2B1"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r>
      <w:tr w:rsidR="0033105F" w:rsidRPr="00E22F29" w14:paraId="2BE1EF81"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189DB041" w14:textId="77777777" w:rsidR="0033105F" w:rsidRPr="00C416C9" w:rsidRDefault="0033105F" w:rsidP="00971DEE">
            <w:pPr>
              <w:rPr>
                <w:rFonts w:ascii="Arial" w:eastAsia="Times New Roman" w:hAnsi="Arial" w:cs="Arial"/>
                <w:b/>
                <w:bCs/>
                <w:color w:val="000000"/>
                <w:szCs w:val="24"/>
                <w:lang w:val="en-US"/>
              </w:rPr>
            </w:pPr>
            <w:r w:rsidRPr="00C416C9">
              <w:rPr>
                <w:rFonts w:ascii="Arial" w:eastAsia="Times New Roman" w:hAnsi="Arial" w:cs="Arial"/>
                <w:b/>
                <w:bCs/>
                <w:color w:val="000000"/>
                <w:szCs w:val="24"/>
              </w:rPr>
              <w:t>Total Operating Expenses</w:t>
            </w:r>
          </w:p>
        </w:tc>
        <w:tc>
          <w:tcPr>
            <w:tcW w:w="787" w:type="pct"/>
            <w:noWrap/>
            <w:hideMark/>
          </w:tcPr>
          <w:p w14:paraId="747F697A"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56FE728B"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c>
          <w:tcPr>
            <w:tcW w:w="774" w:type="pct"/>
            <w:noWrap/>
            <w:hideMark/>
          </w:tcPr>
          <w:p w14:paraId="7A7D16D5"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£66,000</w:t>
            </w:r>
          </w:p>
        </w:tc>
      </w:tr>
      <w:tr w:rsidR="0033105F" w:rsidRPr="00E22F29" w14:paraId="6220F44B"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15ADE0BD" w14:textId="77777777" w:rsidR="0033105F" w:rsidRPr="00C416C9" w:rsidRDefault="0033105F" w:rsidP="00971DEE">
            <w:pPr>
              <w:jc w:val="right"/>
              <w:rPr>
                <w:rFonts w:ascii="Arial" w:eastAsia="Times New Roman" w:hAnsi="Arial" w:cs="Arial"/>
                <w:b/>
                <w:bCs/>
                <w:color w:val="000000"/>
                <w:szCs w:val="24"/>
                <w:lang w:val="en-US"/>
              </w:rPr>
            </w:pPr>
            <w:r w:rsidRPr="00C416C9">
              <w:rPr>
                <w:rFonts w:ascii="Arial" w:eastAsia="Times New Roman" w:hAnsi="Arial" w:cs="Arial"/>
                <w:b/>
                <w:bCs/>
                <w:color w:val="000000"/>
                <w:szCs w:val="24"/>
              </w:rPr>
              <w:t>Operating Profit</w:t>
            </w:r>
          </w:p>
        </w:tc>
        <w:tc>
          <w:tcPr>
            <w:tcW w:w="787" w:type="pct"/>
            <w:noWrap/>
            <w:hideMark/>
          </w:tcPr>
          <w:p w14:paraId="4A9360F7"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rPr>
            </w:pPr>
          </w:p>
        </w:tc>
        <w:tc>
          <w:tcPr>
            <w:tcW w:w="775" w:type="pct"/>
            <w:noWrap/>
            <w:hideMark/>
          </w:tcPr>
          <w:p w14:paraId="12FBC750"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c>
          <w:tcPr>
            <w:tcW w:w="774" w:type="pct"/>
            <w:noWrap/>
            <w:hideMark/>
          </w:tcPr>
          <w:p w14:paraId="601A0AE6"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u w:val="single"/>
                <w:lang w:val="en-US"/>
              </w:rPr>
            </w:pPr>
            <w:r w:rsidRPr="00E22F29">
              <w:rPr>
                <w:rFonts w:eastAsia="Times New Roman" w:cs="Times New Roman"/>
                <w:b/>
                <w:bCs/>
                <w:color w:val="000000"/>
                <w:szCs w:val="24"/>
                <w:u w:val="single"/>
              </w:rPr>
              <w:t>£156,330</w:t>
            </w:r>
          </w:p>
        </w:tc>
      </w:tr>
      <w:tr w:rsidR="0033105F" w:rsidRPr="00E22F29" w14:paraId="610C9876"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2548B9D0" w14:textId="77777777" w:rsidR="0033105F" w:rsidRPr="00C416C9" w:rsidRDefault="0033105F" w:rsidP="00971DEE">
            <w:pPr>
              <w:rPr>
                <w:rFonts w:ascii="Arial" w:eastAsia="Times New Roman" w:hAnsi="Arial" w:cs="Arial"/>
                <w:b/>
                <w:bCs/>
                <w:color w:val="000000"/>
                <w:szCs w:val="24"/>
                <w:lang w:val="en-US"/>
              </w:rPr>
            </w:pPr>
            <w:r w:rsidRPr="00C416C9">
              <w:rPr>
                <w:rFonts w:ascii="Arial" w:eastAsia="Times New Roman" w:hAnsi="Arial" w:cs="Arial"/>
                <w:b/>
                <w:bCs/>
                <w:color w:val="000000"/>
                <w:szCs w:val="24"/>
              </w:rPr>
              <w:t>Less: Non-operating expenses</w:t>
            </w:r>
          </w:p>
        </w:tc>
        <w:tc>
          <w:tcPr>
            <w:tcW w:w="787" w:type="pct"/>
            <w:noWrap/>
            <w:hideMark/>
          </w:tcPr>
          <w:p w14:paraId="720D2EDC"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c>
          <w:tcPr>
            <w:tcW w:w="775" w:type="pct"/>
            <w:noWrap/>
            <w:hideMark/>
          </w:tcPr>
          <w:p w14:paraId="7ECBA701"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c>
          <w:tcPr>
            <w:tcW w:w="774" w:type="pct"/>
            <w:noWrap/>
            <w:hideMark/>
          </w:tcPr>
          <w:p w14:paraId="65D2BF95"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r>
      <w:tr w:rsidR="0033105F" w:rsidRPr="00E22F29" w14:paraId="38F66D51"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tcPr>
          <w:p w14:paraId="3B41BED5" w14:textId="77777777" w:rsidR="0033105F" w:rsidRPr="00C416C9" w:rsidRDefault="0033105F" w:rsidP="00971DEE">
            <w:pPr>
              <w:rPr>
                <w:rFonts w:ascii="Arial" w:eastAsia="Times New Roman" w:hAnsi="Arial" w:cs="Arial"/>
                <w:color w:val="000000"/>
                <w:szCs w:val="24"/>
              </w:rPr>
            </w:pPr>
            <w:r w:rsidRPr="00C416C9">
              <w:rPr>
                <w:rFonts w:ascii="Arial" w:eastAsia="Times New Roman" w:hAnsi="Arial" w:cs="Arial"/>
                <w:color w:val="000000"/>
                <w:szCs w:val="24"/>
              </w:rPr>
              <w:t xml:space="preserve">    Interest Expense</w:t>
            </w:r>
          </w:p>
        </w:tc>
        <w:tc>
          <w:tcPr>
            <w:tcW w:w="787" w:type="pct"/>
            <w:noWrap/>
          </w:tcPr>
          <w:p w14:paraId="6442D4A8"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rPr>
            </w:pPr>
          </w:p>
        </w:tc>
        <w:tc>
          <w:tcPr>
            <w:tcW w:w="775" w:type="pct"/>
            <w:noWrap/>
          </w:tcPr>
          <w:p w14:paraId="72E524B8"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E22F29">
              <w:rPr>
                <w:rFonts w:eastAsia="Times New Roman" w:cs="Times New Roman"/>
                <w:color w:val="000000"/>
                <w:szCs w:val="24"/>
              </w:rPr>
              <w:t>£2,000</w:t>
            </w:r>
          </w:p>
        </w:tc>
        <w:tc>
          <w:tcPr>
            <w:tcW w:w="774" w:type="pct"/>
            <w:noWrap/>
          </w:tcPr>
          <w:p w14:paraId="5BBE9211"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33105F" w:rsidRPr="00E22F29" w14:paraId="0C1B3014"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tcPr>
          <w:p w14:paraId="60CC9FC7"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lang w:val="en-US"/>
              </w:rPr>
              <w:t xml:space="preserve">    Add: accrued [(</w:t>
            </w:r>
            <w:r w:rsidRPr="00C416C9">
              <w:rPr>
                <w:rFonts w:ascii="Arial" w:eastAsia="Times New Roman" w:hAnsi="Arial" w:cs="Arial"/>
                <w:color w:val="000000"/>
                <w:szCs w:val="24"/>
              </w:rPr>
              <w:t>£200,000*4%)-£2,000]</w:t>
            </w:r>
            <w:r w:rsidRPr="00C416C9">
              <w:rPr>
                <w:rFonts w:ascii="Arial" w:eastAsia="Times New Roman" w:hAnsi="Arial" w:cs="Arial"/>
                <w:color w:val="000000"/>
                <w:szCs w:val="24"/>
                <w:lang w:val="en-US"/>
              </w:rPr>
              <w:t xml:space="preserve"> </w:t>
            </w:r>
          </w:p>
        </w:tc>
        <w:tc>
          <w:tcPr>
            <w:tcW w:w="787" w:type="pct"/>
            <w:noWrap/>
          </w:tcPr>
          <w:p w14:paraId="251A8FF4"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p>
        </w:tc>
        <w:tc>
          <w:tcPr>
            <w:tcW w:w="775" w:type="pct"/>
            <w:noWrap/>
          </w:tcPr>
          <w:p w14:paraId="07114462"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E22F29">
              <w:rPr>
                <w:rFonts w:eastAsia="Times New Roman" w:cs="Times New Roman"/>
                <w:color w:val="000000"/>
                <w:szCs w:val="24"/>
              </w:rPr>
              <w:t>£6,000</w:t>
            </w:r>
          </w:p>
        </w:tc>
        <w:tc>
          <w:tcPr>
            <w:tcW w:w="774" w:type="pct"/>
            <w:noWrap/>
            <w:hideMark/>
          </w:tcPr>
          <w:p w14:paraId="3C7914AE"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£8,000</w:t>
            </w:r>
          </w:p>
        </w:tc>
      </w:tr>
      <w:tr w:rsidR="0033105F" w:rsidRPr="00E22F29" w14:paraId="01328443"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0A103314" w14:textId="77777777" w:rsidR="0033105F" w:rsidRPr="00C416C9" w:rsidRDefault="0033105F" w:rsidP="00971DEE">
            <w:pPr>
              <w:jc w:val="right"/>
              <w:rPr>
                <w:rFonts w:ascii="Arial" w:eastAsia="Times New Roman" w:hAnsi="Arial" w:cs="Arial"/>
                <w:b/>
                <w:bCs/>
                <w:color w:val="000000"/>
                <w:szCs w:val="24"/>
                <w:lang w:val="en-US"/>
              </w:rPr>
            </w:pPr>
            <w:r w:rsidRPr="00C416C9">
              <w:rPr>
                <w:rFonts w:ascii="Arial" w:eastAsia="Times New Roman" w:hAnsi="Arial" w:cs="Arial"/>
                <w:b/>
                <w:bCs/>
                <w:color w:val="000000"/>
                <w:szCs w:val="24"/>
              </w:rPr>
              <w:t>Profit Before Taxation</w:t>
            </w:r>
          </w:p>
        </w:tc>
        <w:tc>
          <w:tcPr>
            <w:tcW w:w="787" w:type="pct"/>
            <w:noWrap/>
            <w:hideMark/>
          </w:tcPr>
          <w:p w14:paraId="2A844881"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rPr>
            </w:pPr>
          </w:p>
        </w:tc>
        <w:tc>
          <w:tcPr>
            <w:tcW w:w="775" w:type="pct"/>
            <w:noWrap/>
            <w:hideMark/>
          </w:tcPr>
          <w:p w14:paraId="2FDE4638"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p>
        </w:tc>
        <w:tc>
          <w:tcPr>
            <w:tcW w:w="774" w:type="pct"/>
            <w:noWrap/>
            <w:hideMark/>
          </w:tcPr>
          <w:p w14:paraId="7D38A583"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u w:val="single"/>
                <w:lang w:val="en-US"/>
              </w:rPr>
            </w:pPr>
            <w:r w:rsidRPr="00E22F29">
              <w:rPr>
                <w:rFonts w:eastAsia="Times New Roman" w:cs="Times New Roman"/>
                <w:b/>
                <w:bCs/>
                <w:color w:val="000000"/>
                <w:szCs w:val="24"/>
                <w:u w:val="single"/>
              </w:rPr>
              <w:t>£148,330</w:t>
            </w:r>
          </w:p>
        </w:tc>
      </w:tr>
      <w:tr w:rsidR="0033105F" w:rsidRPr="00E22F29" w14:paraId="364F90A3"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0A08A096"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lastRenderedPageBreak/>
              <w:t>Less: Tax expense for the year</w:t>
            </w:r>
          </w:p>
        </w:tc>
        <w:tc>
          <w:tcPr>
            <w:tcW w:w="787" w:type="pct"/>
            <w:noWrap/>
            <w:hideMark/>
          </w:tcPr>
          <w:p w14:paraId="08054E59" w14:textId="77777777" w:rsidR="0033105F" w:rsidRPr="00C416C9" w:rsidRDefault="0033105F" w:rsidP="00971DE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val="en-US"/>
              </w:rPr>
            </w:pPr>
          </w:p>
        </w:tc>
        <w:tc>
          <w:tcPr>
            <w:tcW w:w="775" w:type="pct"/>
            <w:noWrap/>
            <w:hideMark/>
          </w:tcPr>
          <w:p w14:paraId="4E9B5F9F" w14:textId="77777777" w:rsidR="0033105F" w:rsidRPr="00C416C9" w:rsidRDefault="0033105F" w:rsidP="00971DE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val="en-US"/>
              </w:rPr>
            </w:pPr>
          </w:p>
        </w:tc>
        <w:tc>
          <w:tcPr>
            <w:tcW w:w="774" w:type="pct"/>
            <w:noWrap/>
            <w:hideMark/>
          </w:tcPr>
          <w:p w14:paraId="39B02A32"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£100,000</w:t>
            </w:r>
          </w:p>
        </w:tc>
      </w:tr>
      <w:tr w:rsidR="0033105F" w:rsidRPr="00E22F29" w14:paraId="2DE598C7"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256C9A34" w14:textId="77777777" w:rsidR="0033105F" w:rsidRPr="00C416C9" w:rsidRDefault="0033105F" w:rsidP="00971DEE">
            <w:pPr>
              <w:jc w:val="right"/>
              <w:rPr>
                <w:rFonts w:ascii="Arial" w:eastAsia="Times New Roman" w:hAnsi="Arial" w:cs="Arial"/>
                <w:b/>
                <w:bCs/>
                <w:color w:val="000000"/>
                <w:szCs w:val="24"/>
                <w:lang w:val="en-US"/>
              </w:rPr>
            </w:pPr>
            <w:r w:rsidRPr="00C416C9">
              <w:rPr>
                <w:rFonts w:ascii="Arial" w:eastAsia="Times New Roman" w:hAnsi="Arial" w:cs="Arial"/>
                <w:b/>
                <w:bCs/>
                <w:color w:val="000000"/>
                <w:szCs w:val="24"/>
              </w:rPr>
              <w:t xml:space="preserve"> Net Profit </w:t>
            </w:r>
          </w:p>
        </w:tc>
        <w:tc>
          <w:tcPr>
            <w:tcW w:w="787" w:type="pct"/>
            <w:noWrap/>
            <w:hideMark/>
          </w:tcPr>
          <w:p w14:paraId="52648053" w14:textId="77777777" w:rsidR="0033105F" w:rsidRPr="00C416C9" w:rsidRDefault="0033105F" w:rsidP="00971DE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4"/>
                <w:lang w:val="en-US"/>
              </w:rPr>
            </w:pPr>
          </w:p>
        </w:tc>
        <w:tc>
          <w:tcPr>
            <w:tcW w:w="775" w:type="pct"/>
            <w:noWrap/>
            <w:hideMark/>
          </w:tcPr>
          <w:p w14:paraId="749BDC45" w14:textId="77777777" w:rsidR="0033105F" w:rsidRPr="00C416C9" w:rsidRDefault="0033105F" w:rsidP="00971DE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val="en-US"/>
              </w:rPr>
            </w:pPr>
          </w:p>
        </w:tc>
        <w:tc>
          <w:tcPr>
            <w:tcW w:w="774" w:type="pct"/>
            <w:noWrap/>
            <w:hideMark/>
          </w:tcPr>
          <w:p w14:paraId="1A5E4764"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rPr>
            </w:pPr>
            <w:r w:rsidRPr="00E22F29">
              <w:rPr>
                <w:rFonts w:eastAsia="Times New Roman" w:cs="Times New Roman"/>
                <w:b/>
                <w:bCs/>
                <w:color w:val="000000"/>
                <w:szCs w:val="24"/>
              </w:rPr>
              <w:t>£48,330</w:t>
            </w:r>
          </w:p>
        </w:tc>
      </w:tr>
      <w:tr w:rsidR="0033105F" w:rsidRPr="00E22F29" w14:paraId="46CA784B"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64" w:type="pct"/>
            <w:tcBorders>
              <w:right w:val="none" w:sz="0" w:space="0" w:color="auto"/>
            </w:tcBorders>
            <w:noWrap/>
            <w:hideMark/>
          </w:tcPr>
          <w:p w14:paraId="5C22CEC7" w14:textId="77777777" w:rsidR="0033105F" w:rsidRPr="00C416C9" w:rsidRDefault="0033105F" w:rsidP="00971DEE">
            <w:pPr>
              <w:rPr>
                <w:rFonts w:ascii="Arial" w:eastAsia="Times New Roman" w:hAnsi="Arial" w:cs="Arial"/>
                <w:color w:val="000000"/>
                <w:szCs w:val="24"/>
                <w:lang w:val="en-US"/>
              </w:rPr>
            </w:pPr>
            <w:r w:rsidRPr="00C416C9">
              <w:rPr>
                <w:rFonts w:ascii="Arial" w:eastAsia="Times New Roman" w:hAnsi="Arial" w:cs="Arial"/>
                <w:color w:val="000000"/>
                <w:szCs w:val="24"/>
              </w:rPr>
              <w:t xml:space="preserve">Less: Preference stock dividend </w:t>
            </w:r>
          </w:p>
        </w:tc>
        <w:tc>
          <w:tcPr>
            <w:tcW w:w="787" w:type="pct"/>
            <w:noWrap/>
            <w:hideMark/>
          </w:tcPr>
          <w:p w14:paraId="3E6382E2" w14:textId="77777777" w:rsidR="0033105F" w:rsidRPr="00C416C9" w:rsidRDefault="0033105F" w:rsidP="00971DE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val="en-US"/>
              </w:rPr>
            </w:pPr>
          </w:p>
        </w:tc>
        <w:tc>
          <w:tcPr>
            <w:tcW w:w="775" w:type="pct"/>
            <w:noWrap/>
            <w:hideMark/>
          </w:tcPr>
          <w:p w14:paraId="0AA0E2BC" w14:textId="77777777" w:rsidR="0033105F" w:rsidRPr="00C416C9" w:rsidRDefault="0033105F" w:rsidP="00971DE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val="en-US"/>
              </w:rPr>
            </w:pPr>
          </w:p>
        </w:tc>
        <w:tc>
          <w:tcPr>
            <w:tcW w:w="774" w:type="pct"/>
            <w:noWrap/>
            <w:hideMark/>
          </w:tcPr>
          <w:p w14:paraId="5926F679" w14:textId="77777777" w:rsidR="0033105F" w:rsidRPr="00E22F29" w:rsidRDefault="0033105F" w:rsidP="00971DEE">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rPr>
            </w:pPr>
            <w:r w:rsidRPr="00E22F29">
              <w:rPr>
                <w:rFonts w:eastAsia="Times New Roman" w:cs="Times New Roman"/>
                <w:color w:val="000000"/>
                <w:szCs w:val="24"/>
              </w:rPr>
              <w:t>£40,000</w:t>
            </w:r>
          </w:p>
        </w:tc>
      </w:tr>
      <w:tr w:rsidR="0033105F" w:rsidRPr="00E22F29" w14:paraId="1FBFDF1D"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4226" w:type="pct"/>
            <w:gridSpan w:val="3"/>
            <w:tcBorders>
              <w:right w:val="none" w:sz="0" w:space="0" w:color="auto"/>
            </w:tcBorders>
            <w:noWrap/>
            <w:hideMark/>
          </w:tcPr>
          <w:p w14:paraId="6075A425" w14:textId="77777777" w:rsidR="0033105F" w:rsidRPr="00C416C9" w:rsidRDefault="0033105F" w:rsidP="00971DEE">
            <w:pPr>
              <w:jc w:val="right"/>
              <w:rPr>
                <w:rFonts w:ascii="Arial" w:eastAsia="Times New Roman" w:hAnsi="Arial" w:cs="Arial"/>
                <w:b/>
                <w:bCs/>
                <w:color w:val="000000"/>
                <w:szCs w:val="24"/>
              </w:rPr>
            </w:pPr>
            <w:r w:rsidRPr="00C416C9">
              <w:rPr>
                <w:rFonts w:ascii="Arial" w:eastAsia="Times New Roman" w:hAnsi="Arial" w:cs="Arial"/>
                <w:b/>
                <w:bCs/>
                <w:color w:val="000000"/>
                <w:szCs w:val="24"/>
              </w:rPr>
              <w:t>Net Profit Available for common equity holders</w:t>
            </w:r>
          </w:p>
        </w:tc>
        <w:tc>
          <w:tcPr>
            <w:tcW w:w="774" w:type="pct"/>
            <w:noWrap/>
            <w:hideMark/>
          </w:tcPr>
          <w:p w14:paraId="1C27038C" w14:textId="77777777" w:rsidR="0033105F" w:rsidRPr="00E22F29" w:rsidRDefault="0033105F" w:rsidP="00971DEE">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u w:val="double"/>
                <w:lang w:val="en-US"/>
              </w:rPr>
            </w:pPr>
            <w:r w:rsidRPr="00E22F29">
              <w:rPr>
                <w:rFonts w:eastAsia="Times New Roman" w:cs="Times New Roman"/>
                <w:b/>
                <w:bCs/>
                <w:color w:val="000000"/>
                <w:szCs w:val="24"/>
                <w:u w:val="double"/>
              </w:rPr>
              <w:t>8,330</w:t>
            </w:r>
          </w:p>
        </w:tc>
      </w:tr>
    </w:tbl>
    <w:p w14:paraId="074D5635" w14:textId="16765101" w:rsidR="009E7CEF" w:rsidRDefault="009E7CEF"/>
    <w:p w14:paraId="540E4617" w14:textId="01ECBE91" w:rsidR="0033105F" w:rsidRPr="00C416C9" w:rsidRDefault="0033105F">
      <w:pPr>
        <w:rPr>
          <w:rFonts w:ascii="Arial" w:hAnsi="Arial" w:cs="Arial"/>
          <w:b/>
          <w:bCs/>
        </w:rPr>
      </w:pPr>
      <w:r w:rsidRPr="00C416C9">
        <w:rPr>
          <w:rFonts w:ascii="Arial" w:hAnsi="Arial" w:cs="Arial"/>
          <w:b/>
          <w:bCs/>
        </w:rPr>
        <w:t xml:space="preserve">Financial position’s statement </w:t>
      </w:r>
    </w:p>
    <w:tbl>
      <w:tblPr>
        <w:tblStyle w:val="PlainTable5"/>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1300"/>
        <w:gridCol w:w="1520"/>
        <w:gridCol w:w="1500"/>
      </w:tblGrid>
      <w:tr w:rsidR="0033105F" w:rsidRPr="00E22F29" w14:paraId="6868E797" w14:textId="77777777" w:rsidTr="0033105F">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5085" w:type="dxa"/>
            <w:noWrap/>
            <w:hideMark/>
          </w:tcPr>
          <w:p w14:paraId="45B5C35D"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Particulars</w:t>
            </w:r>
          </w:p>
        </w:tc>
        <w:tc>
          <w:tcPr>
            <w:tcW w:w="1300" w:type="dxa"/>
            <w:noWrap/>
            <w:hideMark/>
          </w:tcPr>
          <w:p w14:paraId="69149229" w14:textId="77777777" w:rsidR="0033105F" w:rsidRPr="00E22F29" w:rsidRDefault="0033105F" w:rsidP="0033105F">
            <w:pP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E22F29">
              <w:rPr>
                <w:rFonts w:eastAsia="Times New Roman"/>
              </w:rPr>
              <w:t xml:space="preserve">Amount </w:t>
            </w:r>
          </w:p>
        </w:tc>
        <w:tc>
          <w:tcPr>
            <w:tcW w:w="1520" w:type="dxa"/>
            <w:noWrap/>
            <w:hideMark/>
          </w:tcPr>
          <w:p w14:paraId="553824C1" w14:textId="77777777" w:rsidR="0033105F" w:rsidRPr="00E22F29" w:rsidRDefault="0033105F" w:rsidP="0033105F">
            <w:pP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E22F29">
              <w:rPr>
                <w:rFonts w:eastAsia="Times New Roman"/>
              </w:rPr>
              <w:t xml:space="preserve">Amount </w:t>
            </w:r>
          </w:p>
        </w:tc>
        <w:tc>
          <w:tcPr>
            <w:tcW w:w="1500" w:type="dxa"/>
            <w:noWrap/>
            <w:hideMark/>
          </w:tcPr>
          <w:p w14:paraId="65E6F599" w14:textId="77777777" w:rsidR="0033105F" w:rsidRPr="00E22F29" w:rsidRDefault="0033105F" w:rsidP="0033105F">
            <w:pPr>
              <w:cnfStyle w:val="100000000000" w:firstRow="1" w:lastRow="0" w:firstColumn="0" w:lastColumn="0" w:oddVBand="0" w:evenVBand="0" w:oddHBand="0" w:evenHBand="0" w:firstRowFirstColumn="0" w:firstRowLastColumn="0" w:lastRowFirstColumn="0" w:lastRowLastColumn="0"/>
              <w:rPr>
                <w:rFonts w:eastAsia="Times New Roman"/>
                <w:lang w:val="en-US"/>
              </w:rPr>
            </w:pPr>
            <w:r w:rsidRPr="00E22F29">
              <w:rPr>
                <w:rFonts w:eastAsia="Times New Roman"/>
              </w:rPr>
              <w:t xml:space="preserve">Amount </w:t>
            </w:r>
          </w:p>
        </w:tc>
      </w:tr>
      <w:tr w:rsidR="0033105F" w:rsidRPr="00E22F29" w14:paraId="4521A112"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1B89731C"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Non-Current Assets:</w:t>
            </w:r>
          </w:p>
        </w:tc>
        <w:tc>
          <w:tcPr>
            <w:tcW w:w="1300" w:type="dxa"/>
            <w:noWrap/>
            <w:hideMark/>
          </w:tcPr>
          <w:p w14:paraId="0311B831"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59D3DA0F"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hideMark/>
          </w:tcPr>
          <w:p w14:paraId="2F615C60"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6014A1B5"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362D1358"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Plant &amp; Equipment</w:t>
            </w:r>
          </w:p>
        </w:tc>
        <w:tc>
          <w:tcPr>
            <w:tcW w:w="1300" w:type="dxa"/>
            <w:noWrap/>
            <w:hideMark/>
          </w:tcPr>
          <w:p w14:paraId="7A4BEEB5"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4E118A7E"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rPr>
                <w:lang w:val="en-US"/>
              </w:rPr>
              <w:t>£1,250,000</w:t>
            </w:r>
          </w:p>
        </w:tc>
        <w:tc>
          <w:tcPr>
            <w:tcW w:w="1500" w:type="dxa"/>
            <w:noWrap/>
            <w:hideMark/>
          </w:tcPr>
          <w:p w14:paraId="11FADD9E"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7FF33CB9"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85" w:type="dxa"/>
            <w:noWrap/>
            <w:hideMark/>
          </w:tcPr>
          <w:p w14:paraId="128C7625"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Total Non-Current Asset</w:t>
            </w:r>
          </w:p>
        </w:tc>
        <w:tc>
          <w:tcPr>
            <w:tcW w:w="1300" w:type="dxa"/>
            <w:noWrap/>
            <w:hideMark/>
          </w:tcPr>
          <w:p w14:paraId="319D37AB"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776D66DF"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hideMark/>
          </w:tcPr>
          <w:p w14:paraId="3B106B5A"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£1,250,000</w:t>
            </w:r>
          </w:p>
        </w:tc>
      </w:tr>
      <w:tr w:rsidR="0033105F" w:rsidRPr="00E22F29" w14:paraId="45E4D843"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316D8E07"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Current Asset:</w:t>
            </w:r>
          </w:p>
        </w:tc>
        <w:tc>
          <w:tcPr>
            <w:tcW w:w="1300" w:type="dxa"/>
            <w:noWrap/>
            <w:hideMark/>
          </w:tcPr>
          <w:p w14:paraId="52EE7018"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204F227C"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16EAB9C1"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2C154AFF"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77495030"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Closing stock</w:t>
            </w:r>
          </w:p>
        </w:tc>
        <w:tc>
          <w:tcPr>
            <w:tcW w:w="1300" w:type="dxa"/>
            <w:noWrap/>
            <w:hideMark/>
          </w:tcPr>
          <w:p w14:paraId="52963713"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67CBB4A2"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£430,600</w:t>
            </w:r>
          </w:p>
        </w:tc>
        <w:tc>
          <w:tcPr>
            <w:tcW w:w="1500" w:type="dxa"/>
            <w:noWrap/>
            <w:hideMark/>
          </w:tcPr>
          <w:p w14:paraId="0CDD97CD"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7EE534EA"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47EAE2F7"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Trade receivable</w:t>
            </w:r>
          </w:p>
        </w:tc>
        <w:tc>
          <w:tcPr>
            <w:tcW w:w="1300" w:type="dxa"/>
            <w:noWrap/>
            <w:hideMark/>
          </w:tcPr>
          <w:p w14:paraId="1911FEC4"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£170,125</w:t>
            </w:r>
          </w:p>
        </w:tc>
        <w:tc>
          <w:tcPr>
            <w:tcW w:w="1520" w:type="dxa"/>
            <w:noWrap/>
          </w:tcPr>
          <w:p w14:paraId="6267614B"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330C6E03"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411F240A"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tcPr>
          <w:p w14:paraId="3A2BEE51" w14:textId="77777777" w:rsidR="0033105F" w:rsidRPr="00C416C9" w:rsidRDefault="0033105F" w:rsidP="0033105F">
            <w:pPr>
              <w:rPr>
                <w:rFonts w:ascii="Arial" w:eastAsia="Times New Roman" w:hAnsi="Arial" w:cs="Arial"/>
              </w:rPr>
            </w:pPr>
            <w:r w:rsidRPr="00C416C9">
              <w:rPr>
                <w:rFonts w:ascii="Arial" w:eastAsia="Times New Roman" w:hAnsi="Arial" w:cs="Arial"/>
              </w:rPr>
              <w:t xml:space="preserve">    Add: credit sales</w:t>
            </w:r>
          </w:p>
        </w:tc>
        <w:tc>
          <w:tcPr>
            <w:tcW w:w="1300" w:type="dxa"/>
            <w:noWrap/>
          </w:tcPr>
          <w:p w14:paraId="42627643"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pPr>
            <w:r w:rsidRPr="00E22F29">
              <w:t>£980</w:t>
            </w:r>
          </w:p>
        </w:tc>
        <w:tc>
          <w:tcPr>
            <w:tcW w:w="1520" w:type="dxa"/>
            <w:noWrap/>
          </w:tcPr>
          <w:p w14:paraId="565FC433"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pPr>
            <w:r w:rsidRPr="00E22F29">
              <w:t>£171,105</w:t>
            </w:r>
          </w:p>
        </w:tc>
        <w:tc>
          <w:tcPr>
            <w:tcW w:w="1500" w:type="dxa"/>
            <w:noWrap/>
          </w:tcPr>
          <w:p w14:paraId="32F6CCE4"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5C5E8A1A"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62B66BF9"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Cash &amp; Bank</w:t>
            </w:r>
          </w:p>
        </w:tc>
        <w:tc>
          <w:tcPr>
            <w:tcW w:w="1300" w:type="dxa"/>
            <w:noWrap/>
            <w:hideMark/>
          </w:tcPr>
          <w:p w14:paraId="0B590F38"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72A99010"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£176,250</w:t>
            </w:r>
          </w:p>
        </w:tc>
        <w:tc>
          <w:tcPr>
            <w:tcW w:w="1500" w:type="dxa"/>
            <w:noWrap/>
            <w:hideMark/>
          </w:tcPr>
          <w:p w14:paraId="6E08A2E8"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2B997E9F"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85" w:type="dxa"/>
            <w:noWrap/>
            <w:hideMark/>
          </w:tcPr>
          <w:p w14:paraId="31E4EFF9"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Total Current Asset</w:t>
            </w:r>
          </w:p>
        </w:tc>
        <w:tc>
          <w:tcPr>
            <w:tcW w:w="1300" w:type="dxa"/>
            <w:hideMark/>
          </w:tcPr>
          <w:p w14:paraId="36D6E5D8"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hideMark/>
          </w:tcPr>
          <w:p w14:paraId="6D3C66C2"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hideMark/>
          </w:tcPr>
          <w:p w14:paraId="413F11C5"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£777,955</w:t>
            </w:r>
          </w:p>
        </w:tc>
      </w:tr>
      <w:tr w:rsidR="0033105F" w:rsidRPr="00E22F29" w14:paraId="0B0421FC"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3A9B5B40"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Total Asset</w:t>
            </w:r>
          </w:p>
        </w:tc>
        <w:tc>
          <w:tcPr>
            <w:tcW w:w="1300" w:type="dxa"/>
            <w:noWrap/>
            <w:hideMark/>
          </w:tcPr>
          <w:p w14:paraId="750876A5"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p w14:paraId="60BC9452"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3D92FBB6"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4ACF3A80"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u w:val="double"/>
                <w:lang w:val="en-US"/>
              </w:rPr>
            </w:pPr>
            <w:r w:rsidRPr="00E22F29">
              <w:rPr>
                <w:u w:val="double"/>
              </w:rPr>
              <w:t>£2,027,955</w:t>
            </w:r>
          </w:p>
        </w:tc>
      </w:tr>
      <w:tr w:rsidR="0033105F" w:rsidRPr="00E22F29" w14:paraId="6A60E401"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85" w:type="dxa"/>
            <w:noWrap/>
          </w:tcPr>
          <w:p w14:paraId="38988016" w14:textId="77777777" w:rsidR="0033105F" w:rsidRPr="00C416C9" w:rsidRDefault="0033105F" w:rsidP="0033105F">
            <w:pPr>
              <w:rPr>
                <w:rFonts w:ascii="Arial" w:eastAsia="Times New Roman" w:hAnsi="Arial" w:cs="Arial"/>
              </w:rPr>
            </w:pPr>
            <w:r w:rsidRPr="00C416C9">
              <w:rPr>
                <w:rFonts w:ascii="Arial" w:eastAsia="Times New Roman" w:hAnsi="Arial" w:cs="Arial"/>
              </w:rPr>
              <w:t>Liabilities and Equity</w:t>
            </w:r>
          </w:p>
        </w:tc>
        <w:tc>
          <w:tcPr>
            <w:tcW w:w="1300" w:type="dxa"/>
            <w:noWrap/>
          </w:tcPr>
          <w:p w14:paraId="4D76A708"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tcPr>
          <w:p w14:paraId="5BF2ABFB"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tcPr>
          <w:p w14:paraId="07BCA05E"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39702426"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tcPr>
          <w:p w14:paraId="2217DA80" w14:textId="77777777" w:rsidR="0033105F" w:rsidRPr="00C416C9" w:rsidRDefault="0033105F" w:rsidP="0033105F">
            <w:pPr>
              <w:rPr>
                <w:rFonts w:ascii="Arial" w:eastAsia="Times New Roman" w:hAnsi="Arial" w:cs="Arial"/>
              </w:rPr>
            </w:pPr>
            <w:r w:rsidRPr="00C416C9">
              <w:rPr>
                <w:rFonts w:ascii="Arial" w:eastAsia="Times New Roman" w:hAnsi="Arial" w:cs="Arial"/>
              </w:rPr>
              <w:t>Non-Current Liabilities</w:t>
            </w:r>
          </w:p>
        </w:tc>
        <w:tc>
          <w:tcPr>
            <w:tcW w:w="1300" w:type="dxa"/>
            <w:noWrap/>
          </w:tcPr>
          <w:p w14:paraId="082615B4"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tcPr>
          <w:p w14:paraId="381B4C85"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tcPr>
          <w:p w14:paraId="0A5351A7"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171AEA01"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85" w:type="dxa"/>
            <w:noWrap/>
          </w:tcPr>
          <w:p w14:paraId="1E278D4A" w14:textId="77777777" w:rsidR="0033105F" w:rsidRPr="00C416C9" w:rsidRDefault="0033105F" w:rsidP="0033105F">
            <w:pPr>
              <w:rPr>
                <w:rFonts w:ascii="Arial" w:eastAsia="Times New Roman" w:hAnsi="Arial" w:cs="Arial"/>
              </w:rPr>
            </w:pPr>
            <w:r w:rsidRPr="00C416C9">
              <w:rPr>
                <w:rFonts w:ascii="Arial" w:eastAsia="Times New Roman" w:hAnsi="Arial" w:cs="Arial"/>
              </w:rPr>
              <w:t xml:space="preserve">   4% Debenture</w:t>
            </w:r>
          </w:p>
        </w:tc>
        <w:tc>
          <w:tcPr>
            <w:tcW w:w="1300" w:type="dxa"/>
            <w:noWrap/>
          </w:tcPr>
          <w:p w14:paraId="6E640E4C"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tcPr>
          <w:p w14:paraId="0F855F37"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tcPr>
          <w:p w14:paraId="0AA28026"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£200,000</w:t>
            </w:r>
          </w:p>
        </w:tc>
      </w:tr>
      <w:tr w:rsidR="0033105F" w:rsidRPr="00E22F29" w14:paraId="71C06FB6"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7E8FE4AD"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Current Liabilities</w:t>
            </w:r>
          </w:p>
        </w:tc>
        <w:tc>
          <w:tcPr>
            <w:tcW w:w="1300" w:type="dxa"/>
            <w:noWrap/>
            <w:hideMark/>
          </w:tcPr>
          <w:p w14:paraId="7144C984"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76F3B2C7"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7E1E76CC"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5A602947"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7E8A7FD7"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Trade Payable</w:t>
            </w:r>
          </w:p>
        </w:tc>
        <w:tc>
          <w:tcPr>
            <w:tcW w:w="1300" w:type="dxa"/>
            <w:noWrap/>
            <w:hideMark/>
          </w:tcPr>
          <w:p w14:paraId="22575C82"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0C84B561"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£188,625</w:t>
            </w:r>
          </w:p>
        </w:tc>
        <w:tc>
          <w:tcPr>
            <w:tcW w:w="1500" w:type="dxa"/>
            <w:noWrap/>
            <w:hideMark/>
          </w:tcPr>
          <w:p w14:paraId="5A2F0F05"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5C60A289"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361C694D"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Payable tax expense</w:t>
            </w:r>
          </w:p>
        </w:tc>
        <w:tc>
          <w:tcPr>
            <w:tcW w:w="1300" w:type="dxa"/>
            <w:noWrap/>
            <w:hideMark/>
          </w:tcPr>
          <w:p w14:paraId="7B008703"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5E486856"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£100,000</w:t>
            </w:r>
          </w:p>
        </w:tc>
        <w:tc>
          <w:tcPr>
            <w:tcW w:w="1500" w:type="dxa"/>
            <w:noWrap/>
            <w:hideMark/>
          </w:tcPr>
          <w:p w14:paraId="1AD79AF6"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2E06BCC5"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02485371"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Payable commission expense</w:t>
            </w:r>
          </w:p>
        </w:tc>
        <w:tc>
          <w:tcPr>
            <w:tcW w:w="1300" w:type="dxa"/>
            <w:noWrap/>
            <w:hideMark/>
          </w:tcPr>
          <w:p w14:paraId="2BB5B838"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75690F97"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£3,000</w:t>
            </w:r>
          </w:p>
        </w:tc>
        <w:tc>
          <w:tcPr>
            <w:tcW w:w="1500" w:type="dxa"/>
            <w:noWrap/>
            <w:hideMark/>
          </w:tcPr>
          <w:p w14:paraId="5A87FD21"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1CCCC15B"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5384ACFA"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lang w:val="en-US"/>
              </w:rPr>
              <w:t xml:space="preserve">   Payable preferred dividend</w:t>
            </w:r>
          </w:p>
        </w:tc>
        <w:tc>
          <w:tcPr>
            <w:tcW w:w="1300" w:type="dxa"/>
            <w:noWrap/>
            <w:hideMark/>
          </w:tcPr>
          <w:p w14:paraId="23ECE3BD"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51E9993C"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rPr>
                <w:lang w:val="en-US"/>
              </w:rPr>
              <w:t>£10,000</w:t>
            </w:r>
          </w:p>
        </w:tc>
        <w:tc>
          <w:tcPr>
            <w:tcW w:w="1500" w:type="dxa"/>
            <w:noWrap/>
            <w:hideMark/>
          </w:tcPr>
          <w:p w14:paraId="09A868E5"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1CB86039"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85" w:type="dxa"/>
            <w:noWrap/>
            <w:hideMark/>
          </w:tcPr>
          <w:p w14:paraId="76228151"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Payable interest expense </w:t>
            </w:r>
          </w:p>
        </w:tc>
        <w:tc>
          <w:tcPr>
            <w:tcW w:w="1300" w:type="dxa"/>
            <w:noWrap/>
            <w:hideMark/>
          </w:tcPr>
          <w:p w14:paraId="24C808A6"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29008479"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£6,000</w:t>
            </w:r>
          </w:p>
        </w:tc>
        <w:tc>
          <w:tcPr>
            <w:tcW w:w="1500" w:type="dxa"/>
            <w:noWrap/>
            <w:hideMark/>
          </w:tcPr>
          <w:p w14:paraId="13E6EA54"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4C4767E4"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68503E06"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Total Current Liabilities</w:t>
            </w:r>
          </w:p>
        </w:tc>
        <w:tc>
          <w:tcPr>
            <w:tcW w:w="1300" w:type="dxa"/>
            <w:noWrap/>
            <w:hideMark/>
          </w:tcPr>
          <w:p w14:paraId="69686BC8"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65FBBE4E"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05C0B0B3"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£307,625</w:t>
            </w:r>
          </w:p>
        </w:tc>
      </w:tr>
      <w:tr w:rsidR="0033105F" w:rsidRPr="00E22F29" w14:paraId="5D593C94"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905" w:type="dxa"/>
            <w:gridSpan w:val="3"/>
            <w:tcBorders>
              <w:right w:val="none" w:sz="0" w:space="0" w:color="auto"/>
            </w:tcBorders>
            <w:noWrap/>
            <w:hideMark/>
          </w:tcPr>
          <w:p w14:paraId="6A697DC0"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Total Liabilities</w:t>
            </w:r>
          </w:p>
        </w:tc>
        <w:tc>
          <w:tcPr>
            <w:tcW w:w="1500" w:type="dxa"/>
            <w:noWrap/>
            <w:hideMark/>
          </w:tcPr>
          <w:p w14:paraId="6C0A2C7A"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u w:val="single"/>
                <w:lang w:val="en-US"/>
              </w:rPr>
            </w:pPr>
            <w:r w:rsidRPr="00E22F29">
              <w:rPr>
                <w:u w:val="single"/>
              </w:rPr>
              <w:t>£507,625</w:t>
            </w:r>
          </w:p>
        </w:tc>
      </w:tr>
      <w:tr w:rsidR="0033105F" w:rsidRPr="00E22F29" w14:paraId="7CAFF058"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4375E823"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Shareholder's Equity:</w:t>
            </w:r>
          </w:p>
        </w:tc>
        <w:tc>
          <w:tcPr>
            <w:tcW w:w="1300" w:type="dxa"/>
            <w:noWrap/>
            <w:hideMark/>
          </w:tcPr>
          <w:p w14:paraId="1D574F8C"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3993769E"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693A4D2F"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4474899F"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04A44BDF"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lastRenderedPageBreak/>
              <w:t xml:space="preserve">  10% £1 preference shares</w:t>
            </w:r>
          </w:p>
        </w:tc>
        <w:tc>
          <w:tcPr>
            <w:tcW w:w="1300" w:type="dxa"/>
            <w:noWrap/>
            <w:hideMark/>
          </w:tcPr>
          <w:p w14:paraId="2DFF4CB4"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noWrap/>
            <w:hideMark/>
          </w:tcPr>
          <w:p w14:paraId="362E730D"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£400,000</w:t>
            </w:r>
          </w:p>
        </w:tc>
        <w:tc>
          <w:tcPr>
            <w:tcW w:w="1500" w:type="dxa"/>
            <w:noWrap/>
            <w:hideMark/>
          </w:tcPr>
          <w:p w14:paraId="2F009583"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24B1F553"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45D07A18"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£1 Ordinary shares</w:t>
            </w:r>
          </w:p>
        </w:tc>
        <w:tc>
          <w:tcPr>
            <w:tcW w:w="1300" w:type="dxa"/>
            <w:noWrap/>
            <w:hideMark/>
          </w:tcPr>
          <w:p w14:paraId="69E8C2AF"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218196DB"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£1,000,000</w:t>
            </w:r>
          </w:p>
        </w:tc>
        <w:tc>
          <w:tcPr>
            <w:tcW w:w="1500" w:type="dxa"/>
            <w:noWrap/>
            <w:hideMark/>
          </w:tcPr>
          <w:p w14:paraId="03851CE3"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34EB996A"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5A1D4838"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Retained profit </w:t>
            </w:r>
            <w:proofErr w:type="gramStart"/>
            <w:r w:rsidRPr="00C416C9">
              <w:rPr>
                <w:rFonts w:ascii="Arial" w:eastAsia="Times New Roman" w:hAnsi="Arial" w:cs="Arial"/>
              </w:rPr>
              <w:t>at</w:t>
            </w:r>
            <w:proofErr w:type="gramEnd"/>
            <w:r w:rsidRPr="00C416C9">
              <w:rPr>
                <w:rFonts w:ascii="Arial" w:eastAsia="Times New Roman" w:hAnsi="Arial" w:cs="Arial"/>
              </w:rPr>
              <w:t xml:space="preserve"> 1st January, 2021 </w:t>
            </w:r>
          </w:p>
        </w:tc>
        <w:tc>
          <w:tcPr>
            <w:tcW w:w="1300" w:type="dxa"/>
            <w:noWrap/>
            <w:hideMark/>
          </w:tcPr>
          <w:p w14:paraId="306868BB"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£132,000</w:t>
            </w:r>
          </w:p>
        </w:tc>
        <w:tc>
          <w:tcPr>
            <w:tcW w:w="1520" w:type="dxa"/>
            <w:noWrap/>
            <w:hideMark/>
          </w:tcPr>
          <w:p w14:paraId="3086A65A"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hideMark/>
          </w:tcPr>
          <w:p w14:paraId="38A88B0F"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6998351B" w14:textId="77777777" w:rsidTr="0033105F">
        <w:trPr>
          <w:trHeight w:val="315"/>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4D693E9D"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Add: Profit in the year 2021</w:t>
            </w:r>
          </w:p>
        </w:tc>
        <w:tc>
          <w:tcPr>
            <w:tcW w:w="1300" w:type="dxa"/>
            <w:noWrap/>
            <w:hideMark/>
          </w:tcPr>
          <w:p w14:paraId="5993F556"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£8,330</w:t>
            </w:r>
          </w:p>
        </w:tc>
        <w:tc>
          <w:tcPr>
            <w:tcW w:w="1520" w:type="dxa"/>
            <w:noWrap/>
            <w:hideMark/>
          </w:tcPr>
          <w:p w14:paraId="1C37B817"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209E07A6"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50C53648" w14:textId="77777777" w:rsidTr="0033105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85" w:type="dxa"/>
            <w:noWrap/>
            <w:hideMark/>
          </w:tcPr>
          <w:p w14:paraId="0F3A49CB"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Less: Ordinary Dividend Payment</w:t>
            </w:r>
          </w:p>
        </w:tc>
        <w:tc>
          <w:tcPr>
            <w:tcW w:w="1300" w:type="dxa"/>
            <w:noWrap/>
            <w:hideMark/>
          </w:tcPr>
          <w:p w14:paraId="4A2DA353"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r w:rsidRPr="00E22F29">
              <w:t>£20,000</w:t>
            </w:r>
          </w:p>
        </w:tc>
        <w:tc>
          <w:tcPr>
            <w:tcW w:w="1520" w:type="dxa"/>
            <w:noWrap/>
            <w:hideMark/>
          </w:tcPr>
          <w:p w14:paraId="53DF71EE"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hideMark/>
          </w:tcPr>
          <w:p w14:paraId="3E229BF1"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r>
      <w:tr w:rsidR="0033105F" w:rsidRPr="00E22F29" w14:paraId="71C55EB2"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38C037CE"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 xml:space="preserve">   Retained profit </w:t>
            </w:r>
            <w:proofErr w:type="gramStart"/>
            <w:r w:rsidRPr="00C416C9">
              <w:rPr>
                <w:rFonts w:ascii="Arial" w:eastAsia="Times New Roman" w:hAnsi="Arial" w:cs="Arial"/>
              </w:rPr>
              <w:t>at</w:t>
            </w:r>
            <w:proofErr w:type="gramEnd"/>
            <w:r w:rsidRPr="00C416C9">
              <w:rPr>
                <w:rFonts w:ascii="Arial" w:eastAsia="Times New Roman" w:hAnsi="Arial" w:cs="Arial"/>
              </w:rPr>
              <w:t xml:space="preserve"> 31st December, 2022 </w:t>
            </w:r>
          </w:p>
        </w:tc>
        <w:tc>
          <w:tcPr>
            <w:tcW w:w="1300" w:type="dxa"/>
            <w:noWrap/>
            <w:hideMark/>
          </w:tcPr>
          <w:p w14:paraId="4129B6E6"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noWrap/>
            <w:hideMark/>
          </w:tcPr>
          <w:p w14:paraId="785A5FF5"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r w:rsidRPr="00E22F29">
              <w:t>£120,330</w:t>
            </w:r>
          </w:p>
        </w:tc>
        <w:tc>
          <w:tcPr>
            <w:tcW w:w="1500" w:type="dxa"/>
            <w:noWrap/>
            <w:hideMark/>
          </w:tcPr>
          <w:p w14:paraId="3E202201"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r>
      <w:tr w:rsidR="0033105F" w:rsidRPr="00E22F29" w14:paraId="2136F5F0" w14:textId="77777777" w:rsidTr="0033105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85" w:type="dxa"/>
            <w:noWrap/>
            <w:hideMark/>
          </w:tcPr>
          <w:p w14:paraId="3BCEC6CE"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rPr>
              <w:t>Total Shareholder's Equity</w:t>
            </w:r>
          </w:p>
        </w:tc>
        <w:tc>
          <w:tcPr>
            <w:tcW w:w="1300" w:type="dxa"/>
            <w:hideMark/>
          </w:tcPr>
          <w:p w14:paraId="06AD954C"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20" w:type="dxa"/>
            <w:hideMark/>
          </w:tcPr>
          <w:p w14:paraId="4C452A86"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lang w:val="en-US"/>
              </w:rPr>
            </w:pPr>
          </w:p>
        </w:tc>
        <w:tc>
          <w:tcPr>
            <w:tcW w:w="1500" w:type="dxa"/>
            <w:noWrap/>
            <w:hideMark/>
          </w:tcPr>
          <w:p w14:paraId="147D2D13" w14:textId="77777777" w:rsidR="0033105F" w:rsidRPr="00E22F29" w:rsidRDefault="0033105F" w:rsidP="0033105F">
            <w:pPr>
              <w:cnfStyle w:val="000000100000" w:firstRow="0" w:lastRow="0" w:firstColumn="0" w:lastColumn="0" w:oddVBand="0" w:evenVBand="0" w:oddHBand="1" w:evenHBand="0" w:firstRowFirstColumn="0" w:firstRowLastColumn="0" w:lastRowFirstColumn="0" w:lastRowLastColumn="0"/>
              <w:rPr>
                <w:u w:val="single"/>
                <w:lang w:val="en-US"/>
              </w:rPr>
            </w:pPr>
            <w:r w:rsidRPr="00E22F29">
              <w:rPr>
                <w:u w:val="single"/>
              </w:rPr>
              <w:t>£1,520,330</w:t>
            </w:r>
          </w:p>
        </w:tc>
      </w:tr>
      <w:tr w:rsidR="0033105F" w:rsidRPr="00E22F29" w14:paraId="3CDD20DB" w14:textId="77777777" w:rsidTr="0033105F">
        <w:trPr>
          <w:trHeight w:val="330"/>
        </w:trPr>
        <w:tc>
          <w:tcPr>
            <w:cnfStyle w:val="001000000000" w:firstRow="0" w:lastRow="0" w:firstColumn="1" w:lastColumn="0" w:oddVBand="0" w:evenVBand="0" w:oddHBand="0" w:evenHBand="0" w:firstRowFirstColumn="0" w:firstRowLastColumn="0" w:lastRowFirstColumn="0" w:lastRowLastColumn="0"/>
            <w:tcW w:w="5085" w:type="dxa"/>
            <w:tcBorders>
              <w:right w:val="none" w:sz="0" w:space="0" w:color="auto"/>
            </w:tcBorders>
            <w:noWrap/>
            <w:hideMark/>
          </w:tcPr>
          <w:p w14:paraId="5485CF54" w14:textId="77777777" w:rsidR="0033105F" w:rsidRPr="00C416C9" w:rsidRDefault="0033105F" w:rsidP="0033105F">
            <w:pPr>
              <w:rPr>
                <w:rFonts w:ascii="Arial" w:eastAsia="Times New Roman" w:hAnsi="Arial" w:cs="Arial"/>
                <w:lang w:val="en-US"/>
              </w:rPr>
            </w:pPr>
            <w:r w:rsidRPr="00C416C9">
              <w:rPr>
                <w:rFonts w:ascii="Arial" w:eastAsia="Times New Roman" w:hAnsi="Arial" w:cs="Arial"/>
                <w:lang w:eastAsia="en-GB"/>
              </w:rPr>
              <w:t>Total Liabilities &amp; Shareholder's Equity</w:t>
            </w:r>
          </w:p>
        </w:tc>
        <w:tc>
          <w:tcPr>
            <w:tcW w:w="1300" w:type="dxa"/>
            <w:hideMark/>
          </w:tcPr>
          <w:p w14:paraId="2C6FACDF"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p w14:paraId="5347BB4E"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20" w:type="dxa"/>
            <w:hideMark/>
          </w:tcPr>
          <w:p w14:paraId="01E98671"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lang w:val="en-US"/>
              </w:rPr>
            </w:pPr>
          </w:p>
        </w:tc>
        <w:tc>
          <w:tcPr>
            <w:tcW w:w="1500" w:type="dxa"/>
            <w:noWrap/>
            <w:hideMark/>
          </w:tcPr>
          <w:p w14:paraId="76D74E20" w14:textId="77777777" w:rsidR="0033105F" w:rsidRPr="00E22F29" w:rsidRDefault="0033105F" w:rsidP="0033105F">
            <w:pPr>
              <w:cnfStyle w:val="000000000000" w:firstRow="0" w:lastRow="0" w:firstColumn="0" w:lastColumn="0" w:oddVBand="0" w:evenVBand="0" w:oddHBand="0" w:evenHBand="0" w:firstRowFirstColumn="0" w:firstRowLastColumn="0" w:lastRowFirstColumn="0" w:lastRowLastColumn="0"/>
              <w:rPr>
                <w:u w:val="double"/>
                <w:lang w:val="en-US"/>
              </w:rPr>
            </w:pPr>
            <w:r w:rsidRPr="00E22F29">
              <w:rPr>
                <w:u w:val="double"/>
                <w:lang w:eastAsia="en-GB"/>
              </w:rPr>
              <w:t>£2,027,955</w:t>
            </w:r>
          </w:p>
        </w:tc>
      </w:tr>
    </w:tbl>
    <w:p w14:paraId="1DFFC3C7" w14:textId="77777777" w:rsidR="0033105F" w:rsidRDefault="0033105F"/>
    <w:p w14:paraId="3CF0E521" w14:textId="77777777" w:rsidR="009E7CEF" w:rsidRPr="00C416C9" w:rsidRDefault="0032389F" w:rsidP="009E7CEF">
      <w:pPr>
        <w:pStyle w:val="Heading2"/>
        <w:rPr>
          <w:rFonts w:ascii="Arial" w:hAnsi="Arial" w:cs="Arial"/>
          <w:sz w:val="24"/>
          <w:szCs w:val="24"/>
        </w:rPr>
      </w:pPr>
      <w:bookmarkStart w:id="3" w:name="_Toc120132702"/>
      <w:r w:rsidRPr="00C416C9">
        <w:rPr>
          <w:rFonts w:ascii="Arial" w:hAnsi="Arial" w:cs="Arial"/>
          <w:sz w:val="24"/>
          <w:szCs w:val="24"/>
        </w:rPr>
        <w:t xml:space="preserve">Requirement </w:t>
      </w:r>
      <w:r w:rsidR="009E7CEF" w:rsidRPr="00C416C9">
        <w:rPr>
          <w:rFonts w:ascii="Arial" w:hAnsi="Arial" w:cs="Arial"/>
          <w:sz w:val="24"/>
          <w:szCs w:val="24"/>
        </w:rPr>
        <w:t>B</w:t>
      </w:r>
      <w:bookmarkEnd w:id="3"/>
    </w:p>
    <w:p w14:paraId="0092ED79" w14:textId="77777777" w:rsidR="009E7CEF" w:rsidRPr="00C416C9" w:rsidRDefault="009E7CEF" w:rsidP="009E7CEF">
      <w:pPr>
        <w:rPr>
          <w:rFonts w:ascii="Arial" w:hAnsi="Arial" w:cs="Arial"/>
          <w:szCs w:val="24"/>
        </w:rPr>
      </w:pPr>
      <w:r w:rsidRPr="00C416C9">
        <w:rPr>
          <w:rFonts w:ascii="Arial" w:hAnsi="Arial" w:cs="Arial"/>
          <w:szCs w:val="24"/>
        </w:rPr>
        <w:t xml:space="preserve">The declaration of financial position balances, which are derived from the accounting principle of double entry, are the component that bears the most responsibility for the generation of reliable </w:t>
      </w:r>
      <w:proofErr w:type="gramStart"/>
      <w:r w:rsidRPr="00C416C9">
        <w:rPr>
          <w:rFonts w:ascii="Arial" w:hAnsi="Arial" w:cs="Arial"/>
          <w:szCs w:val="24"/>
        </w:rPr>
        <w:t>results</w:t>
      </w:r>
      <w:r w:rsidR="00EC3384" w:rsidRPr="00C416C9">
        <w:rPr>
          <w:rFonts w:ascii="Arial" w:hAnsi="Arial" w:cs="Arial"/>
          <w:szCs w:val="24"/>
        </w:rPr>
        <w:t>(</w:t>
      </w:r>
      <w:proofErr w:type="gramEnd"/>
      <w:r w:rsidR="00EC3384" w:rsidRPr="00C416C9">
        <w:rPr>
          <w:rFonts w:ascii="Arial" w:hAnsi="Arial" w:cs="Arial"/>
          <w:szCs w:val="24"/>
          <w:shd w:val="clear" w:color="auto" w:fill="FFFFFF"/>
        </w:rPr>
        <w:t>Wild, 2007)</w:t>
      </w:r>
      <w:r w:rsidRPr="00C416C9">
        <w:rPr>
          <w:rFonts w:ascii="Arial" w:hAnsi="Arial" w:cs="Arial"/>
          <w:szCs w:val="24"/>
        </w:rPr>
        <w:t xml:space="preserve">. Because of the way that this system is set up, whenever a transaction takes place, </w:t>
      </w:r>
      <w:proofErr w:type="gramStart"/>
      <w:r w:rsidRPr="00C416C9">
        <w:rPr>
          <w:rFonts w:ascii="Arial" w:hAnsi="Arial" w:cs="Arial"/>
          <w:szCs w:val="24"/>
        </w:rPr>
        <w:t>both of these</w:t>
      </w:r>
      <w:proofErr w:type="gramEnd"/>
      <w:r w:rsidRPr="00C416C9">
        <w:rPr>
          <w:rFonts w:ascii="Arial" w:hAnsi="Arial" w:cs="Arial"/>
          <w:szCs w:val="24"/>
        </w:rPr>
        <w:t xml:space="preserve"> accounts are updated. This serves as a secondary check on the books to ensure the accuracy of the information. According to the accounting equation, the value of a company's assets must be higher than the combined values of the company's liabilities and equity. Because every commercial transaction has a monetary effect on a company's assets, liabilities, and equity, it is essential to evaluate how these impacts play out in the firm. It is impossible to overstate the usefulness of the double-entry approach when it comes to monitoring the monetary impact of firm activities on the accounting equation. According to this methodology, </w:t>
      </w:r>
      <w:proofErr w:type="gramStart"/>
      <w:r w:rsidRPr="00C416C9">
        <w:rPr>
          <w:rFonts w:ascii="Arial" w:hAnsi="Arial" w:cs="Arial"/>
          <w:szCs w:val="24"/>
        </w:rPr>
        <w:t>each and every</w:t>
      </w:r>
      <w:proofErr w:type="gramEnd"/>
      <w:r w:rsidRPr="00C416C9">
        <w:rPr>
          <w:rFonts w:ascii="Arial" w:hAnsi="Arial" w:cs="Arial"/>
          <w:szCs w:val="24"/>
        </w:rPr>
        <w:t xml:space="preserve"> monetary transaction has an effect on not just one but two distinct accounts at the same time. Modifications that were made to one account are shown by debits, while adjustments that were made to another account are reflected by credits. On the left side of the equation is where we find debt, which includes both obligations and equity. On the right side of the equation is where we find credit, which includes just assets. Consequently, while recording a financial transaction into the accounting books, it is necessary to "debit" one account and "credit" another account by the same amount (</w:t>
      </w:r>
      <w:proofErr w:type="spellStart"/>
      <w:r w:rsidR="00EC3384" w:rsidRPr="00C416C9">
        <w:rPr>
          <w:rFonts w:ascii="Arial" w:hAnsi="Arial" w:cs="Arial"/>
          <w:szCs w:val="24"/>
          <w:shd w:val="clear" w:color="auto" w:fill="FFFFFF"/>
        </w:rPr>
        <w:t>Lanen</w:t>
      </w:r>
      <w:proofErr w:type="spellEnd"/>
      <w:r w:rsidR="00EC3384" w:rsidRPr="00C416C9">
        <w:rPr>
          <w:rFonts w:ascii="Arial" w:hAnsi="Arial" w:cs="Arial"/>
          <w:szCs w:val="24"/>
          <w:shd w:val="clear" w:color="auto" w:fill="FFFFFF"/>
        </w:rPr>
        <w:t>, 2010</w:t>
      </w:r>
      <w:r w:rsidRPr="00C416C9">
        <w:rPr>
          <w:rFonts w:ascii="Arial" w:hAnsi="Arial" w:cs="Arial"/>
          <w:szCs w:val="24"/>
        </w:rPr>
        <w:t xml:space="preserve">). Because each transaction a business undertakes has an equal and opposite monetary impact on both the debit and credit sides of an accounting equation, </w:t>
      </w:r>
      <w:r w:rsidRPr="00C416C9">
        <w:rPr>
          <w:rFonts w:ascii="Arial" w:hAnsi="Arial" w:cs="Arial"/>
          <w:szCs w:val="24"/>
        </w:rPr>
        <w:lastRenderedPageBreak/>
        <w:t>the equation itself must always be in a state of balance. As a result, the equity and liability sides of the equation are equivalent to one another, much as the asset side of the equation.</w:t>
      </w:r>
    </w:p>
    <w:p w14:paraId="1FACDD34" w14:textId="77777777" w:rsidR="009E7CEF" w:rsidRPr="00C416C9" w:rsidRDefault="009E7CEF" w:rsidP="009E7CEF">
      <w:pPr>
        <w:pStyle w:val="Heading1"/>
        <w:rPr>
          <w:rFonts w:ascii="Arial" w:hAnsi="Arial" w:cs="Arial"/>
          <w:sz w:val="24"/>
          <w:szCs w:val="24"/>
        </w:rPr>
      </w:pPr>
      <w:bookmarkStart w:id="4" w:name="_Toc120132703"/>
      <w:r w:rsidRPr="00C416C9">
        <w:rPr>
          <w:rFonts w:ascii="Arial" w:hAnsi="Arial" w:cs="Arial"/>
          <w:sz w:val="24"/>
          <w:szCs w:val="24"/>
        </w:rPr>
        <w:t>Answer to Question no 2</w:t>
      </w:r>
      <w:bookmarkEnd w:id="4"/>
      <w:r w:rsidRPr="00C416C9">
        <w:rPr>
          <w:rFonts w:ascii="Arial" w:hAnsi="Arial" w:cs="Arial"/>
          <w:sz w:val="24"/>
          <w:szCs w:val="24"/>
        </w:rPr>
        <w:t xml:space="preserve"> </w:t>
      </w:r>
    </w:p>
    <w:p w14:paraId="45AEC7BE" w14:textId="77777777" w:rsidR="009E7CEF" w:rsidRPr="00C416C9" w:rsidRDefault="00E230BA" w:rsidP="00E230BA">
      <w:pPr>
        <w:pStyle w:val="Heading2"/>
        <w:rPr>
          <w:rFonts w:ascii="Arial" w:hAnsi="Arial" w:cs="Arial"/>
          <w:sz w:val="24"/>
          <w:szCs w:val="24"/>
        </w:rPr>
      </w:pPr>
      <w:bookmarkStart w:id="5" w:name="_Toc120132704"/>
      <w:r w:rsidRPr="00C416C9">
        <w:rPr>
          <w:rFonts w:ascii="Arial" w:hAnsi="Arial" w:cs="Arial"/>
          <w:sz w:val="24"/>
          <w:szCs w:val="24"/>
        </w:rPr>
        <w:t>Requirement a</w:t>
      </w:r>
      <w:bookmarkEnd w:id="5"/>
      <w:r w:rsidRPr="00C416C9">
        <w:rPr>
          <w:rFonts w:ascii="Arial" w:hAnsi="Arial" w:cs="Arial"/>
          <w:sz w:val="24"/>
          <w:szCs w:val="24"/>
        </w:rPr>
        <w:t xml:space="preserve"> </w:t>
      </w:r>
    </w:p>
    <w:p w14:paraId="5D319DAC" w14:textId="77777777" w:rsidR="00E230BA" w:rsidRPr="00C416C9" w:rsidRDefault="00E230BA" w:rsidP="00E230BA">
      <w:pPr>
        <w:rPr>
          <w:rFonts w:ascii="Arial" w:hAnsi="Arial" w:cs="Arial"/>
          <w:b/>
          <w:bCs/>
          <w:szCs w:val="24"/>
        </w:rPr>
      </w:pPr>
      <w:r w:rsidRPr="00C416C9">
        <w:rPr>
          <w:rFonts w:ascii="Arial" w:hAnsi="Arial" w:cs="Arial"/>
          <w:b/>
          <w:bCs/>
          <w:szCs w:val="24"/>
        </w:rPr>
        <w:t>Return on Capital Employed (ROCE):</w:t>
      </w:r>
    </w:p>
    <w:p w14:paraId="537AC951" w14:textId="77777777" w:rsidR="0020285E" w:rsidRPr="00C416C9" w:rsidRDefault="0020285E" w:rsidP="0020285E">
      <w:pPr>
        <w:rPr>
          <w:rFonts w:ascii="Arial" w:hAnsi="Arial" w:cs="Arial"/>
          <w:b/>
          <w:bCs/>
          <w:szCs w:val="24"/>
        </w:rPr>
      </w:pPr>
      <w:r w:rsidRPr="00C416C9">
        <w:rPr>
          <w:rFonts w:ascii="Arial" w:hAnsi="Arial" w:cs="Arial"/>
          <w:b/>
          <w:bCs/>
          <w:szCs w:val="24"/>
        </w:rPr>
        <w:t>Return on capital employed = EBIT / capital employed</w:t>
      </w:r>
    </w:p>
    <w:p w14:paraId="288A0F9B" w14:textId="77777777" w:rsidR="0020285E" w:rsidRPr="00C416C9" w:rsidRDefault="00E230BA" w:rsidP="0020285E">
      <w:pPr>
        <w:rPr>
          <w:rFonts w:ascii="Arial" w:hAnsi="Arial" w:cs="Arial"/>
          <w:szCs w:val="24"/>
        </w:rPr>
      </w:pPr>
      <w:r w:rsidRPr="00C416C9">
        <w:rPr>
          <w:rFonts w:ascii="Arial" w:hAnsi="Arial" w:cs="Arial"/>
          <w:szCs w:val="24"/>
        </w:rPr>
        <w:t>Return on capital employed, often known as ROCE, is a financial term that is used to evaluate the abilities of various companies to get the most possible return from the capital expenditures they make. To put it another way, this ratio may indicate how well a corporation converts new sources of money into earnings (</w:t>
      </w:r>
      <w:r w:rsidR="00EC3384" w:rsidRPr="00C416C9">
        <w:rPr>
          <w:rFonts w:ascii="Arial" w:hAnsi="Arial" w:cs="Arial"/>
          <w:szCs w:val="24"/>
          <w:shd w:val="clear" w:color="auto" w:fill="FFFFFF"/>
        </w:rPr>
        <w:t>Fleischman, 2015</w:t>
      </w:r>
      <w:r w:rsidRPr="00C416C9">
        <w:rPr>
          <w:rFonts w:ascii="Arial" w:hAnsi="Arial" w:cs="Arial"/>
          <w:szCs w:val="24"/>
        </w:rPr>
        <w:t xml:space="preserve">). One of the numerous features of the ROIC Ratio is that it may assess financial returns on stock as well as debt. This is only one of its many qualities. Additional benefits include the following, as listed below: Additional benefits of ROCE include the following: As a result, it serves as a standard that investors may use to assess the strategies and holdings of their own portfolios. Comparing firms that make use of various types of capitalization may be fruitful with the assistance of this instrument. </w:t>
      </w:r>
    </w:p>
    <w:p w14:paraId="5385655B" w14:textId="77777777" w:rsidR="00E230BA" w:rsidRPr="0020285E" w:rsidRDefault="00E230BA" w:rsidP="00E230BA">
      <w:pPr>
        <w:rPr>
          <w:b/>
          <w:bCs/>
        </w:rPr>
      </w:pPr>
      <w:r w:rsidRPr="0020285E">
        <w:rPr>
          <w:b/>
          <w:bCs/>
        </w:rPr>
        <w:t xml:space="preserve">For 2020 </w:t>
      </w:r>
    </w:p>
    <w:p w14:paraId="3F8E28CE" w14:textId="6FFC79DC" w:rsidR="0020285E" w:rsidRPr="0020285E" w:rsidRDefault="0020285E" w:rsidP="0020285E">
      <w:pPr>
        <w:rPr>
          <w:rFonts w:asciiTheme="majorBidi" w:eastAsiaTheme="minorEastAsia" w:hAnsiTheme="majorBidi" w:cstheme="majorBidi"/>
          <w:sz w:val="28"/>
          <w:szCs w:val="24"/>
        </w:rPr>
      </w:pPr>
      <w:r w:rsidRPr="0020285E">
        <w:rPr>
          <w:rFonts w:asciiTheme="majorBidi" w:hAnsiTheme="majorBidi" w:cstheme="majorBidi"/>
          <w:sz w:val="28"/>
          <w:szCs w:val="24"/>
        </w:rPr>
        <w:t>=</w:t>
      </w:r>
      <m:oMath>
        <m:f>
          <m:fPr>
            <m:ctrlPr>
              <w:rPr>
                <w:rFonts w:ascii="Cambria Math" w:hAnsi="Cambria Math" w:cstheme="majorBidi"/>
                <w:sz w:val="28"/>
                <w:szCs w:val="24"/>
              </w:rPr>
            </m:ctrlPr>
          </m:fPr>
          <m:num>
            <m:r>
              <m:rPr>
                <m:sty m:val="p"/>
              </m:rPr>
              <w:rPr>
                <w:rFonts w:ascii="Cambria Math" w:hAnsi="Cambria Math" w:cstheme="majorBidi"/>
                <w:sz w:val="28"/>
                <w:szCs w:val="24"/>
              </w:rPr>
              <m:t xml:space="preserve">720 </m:t>
            </m:r>
          </m:num>
          <m:den>
            <m:r>
              <m:rPr>
                <m:sty m:val="p"/>
              </m:rPr>
              <w:rPr>
                <w:rFonts w:ascii="Cambria Math" w:hAnsi="Cambria Math" w:cstheme="majorBidi"/>
                <w:sz w:val="28"/>
                <w:szCs w:val="24"/>
              </w:rPr>
              <m:t xml:space="preserve">10,087  - 3,046 </m:t>
            </m:r>
          </m:den>
        </m:f>
      </m:oMath>
      <w:r w:rsidRPr="0020285E">
        <w:rPr>
          <w:rFonts w:asciiTheme="majorBidi" w:eastAsiaTheme="minorEastAsia" w:hAnsiTheme="majorBidi" w:cstheme="majorBidi"/>
          <w:sz w:val="28"/>
          <w:szCs w:val="24"/>
        </w:rPr>
        <w:t xml:space="preserve"> </w:t>
      </w:r>
      <w:r w:rsidR="00F7425F">
        <w:rPr>
          <w:rFonts w:asciiTheme="majorBidi" w:eastAsiaTheme="minorEastAsia" w:hAnsiTheme="majorBidi" w:cstheme="majorBidi"/>
          <w:sz w:val="28"/>
          <w:szCs w:val="24"/>
        </w:rPr>
        <w:t>*</w:t>
      </w:r>
      <w:r w:rsidRPr="0020285E">
        <w:rPr>
          <w:rFonts w:asciiTheme="majorBidi" w:eastAsiaTheme="minorEastAsia" w:hAnsiTheme="majorBidi" w:cstheme="majorBidi"/>
          <w:sz w:val="28"/>
          <w:szCs w:val="24"/>
        </w:rPr>
        <w:t>100</w:t>
      </w:r>
    </w:p>
    <w:p w14:paraId="4BC02B05" w14:textId="00C9E27A" w:rsidR="0020285E" w:rsidRDefault="0020285E" w:rsidP="0020285E">
      <w:pPr>
        <w:rPr>
          <w:rFonts w:eastAsiaTheme="minorEastAsia" w:cs="Times New Roman"/>
          <w:szCs w:val="24"/>
        </w:rPr>
      </w:pPr>
      <w:r>
        <w:rPr>
          <w:rFonts w:eastAsiaTheme="minorEastAsia" w:cs="Times New Roman"/>
          <w:szCs w:val="24"/>
        </w:rPr>
        <w:t xml:space="preserve">= </w:t>
      </w:r>
      <w:r w:rsidR="00324FAC">
        <w:rPr>
          <w:rFonts w:eastAsiaTheme="minorEastAsia" w:cs="Times New Roman"/>
          <w:szCs w:val="24"/>
        </w:rPr>
        <w:t>10</w:t>
      </w:r>
      <w:r w:rsidR="00F6020B">
        <w:rPr>
          <w:rFonts w:eastAsiaTheme="minorEastAsia" w:cs="Times New Roman"/>
          <w:szCs w:val="24"/>
        </w:rPr>
        <w:t>.22</w:t>
      </w:r>
      <w:r>
        <w:rPr>
          <w:rFonts w:eastAsiaTheme="minorEastAsia" w:cs="Times New Roman"/>
          <w:szCs w:val="24"/>
        </w:rPr>
        <w:t>%</w:t>
      </w:r>
    </w:p>
    <w:p w14:paraId="263F43E6" w14:textId="77777777" w:rsidR="0020285E" w:rsidRPr="0020285E" w:rsidRDefault="0020285E" w:rsidP="0020285E">
      <w:pPr>
        <w:rPr>
          <w:b/>
          <w:bCs/>
        </w:rPr>
      </w:pPr>
      <w:r w:rsidRPr="0020285E">
        <w:rPr>
          <w:b/>
          <w:bCs/>
        </w:rPr>
        <w:t xml:space="preserve">For 2021 </w:t>
      </w:r>
    </w:p>
    <w:p w14:paraId="641C834D" w14:textId="2761EE32" w:rsidR="0020285E" w:rsidRPr="0020285E" w:rsidRDefault="0020285E" w:rsidP="0020285E">
      <w:pPr>
        <w:rPr>
          <w:rFonts w:asciiTheme="majorBidi" w:eastAsiaTheme="minorEastAsia" w:hAnsiTheme="majorBidi" w:cstheme="majorBidi"/>
          <w:sz w:val="28"/>
          <w:szCs w:val="28"/>
        </w:rPr>
      </w:pPr>
      <w:r w:rsidRPr="0020285E">
        <w:rPr>
          <w:rFonts w:asciiTheme="majorBidi" w:hAnsiTheme="majorBidi" w:cstheme="majorBidi"/>
          <w:sz w:val="28"/>
          <w:szCs w:val="28"/>
        </w:rPr>
        <w:t>=</w:t>
      </w:r>
      <m:oMath>
        <m:f>
          <m:fPr>
            <m:ctrlPr>
              <w:rPr>
                <w:rFonts w:ascii="Cambria Math" w:hAnsi="Cambria Math" w:cstheme="majorBidi"/>
                <w:i/>
                <w:sz w:val="28"/>
                <w:szCs w:val="28"/>
              </w:rPr>
            </m:ctrlPr>
          </m:fPr>
          <m:num>
            <m:r>
              <w:rPr>
                <w:rFonts w:ascii="Cambria Math" w:hAnsi="Cambria Math" w:cstheme="majorBidi"/>
                <w:sz w:val="28"/>
                <w:szCs w:val="28"/>
              </w:rPr>
              <m:t xml:space="preserve">846 </m:t>
            </m:r>
          </m:num>
          <m:den>
            <m:r>
              <w:rPr>
                <w:rFonts w:ascii="Cambria Math" w:hAnsi="Cambria Math" w:cstheme="majorBidi"/>
                <w:sz w:val="28"/>
                <w:szCs w:val="28"/>
              </w:rPr>
              <m:t xml:space="preserve">9736 - 2511 </m:t>
            </m:r>
          </m:den>
        </m:f>
      </m:oMath>
      <w:r w:rsidRPr="0020285E">
        <w:rPr>
          <w:rFonts w:asciiTheme="majorBidi" w:eastAsiaTheme="minorEastAsia" w:hAnsiTheme="majorBidi" w:cstheme="majorBidi"/>
          <w:sz w:val="28"/>
          <w:szCs w:val="28"/>
        </w:rPr>
        <w:t xml:space="preserve"> *100</w:t>
      </w:r>
    </w:p>
    <w:p w14:paraId="34E61C61" w14:textId="169B5166" w:rsidR="0020285E" w:rsidRDefault="0020285E" w:rsidP="0020285E">
      <w:pPr>
        <w:rPr>
          <w:rFonts w:eastAsiaTheme="minorEastAsia" w:cs="Times New Roman"/>
          <w:szCs w:val="24"/>
        </w:rPr>
      </w:pPr>
      <w:r>
        <w:rPr>
          <w:rFonts w:eastAsiaTheme="minorEastAsia" w:cs="Times New Roman"/>
          <w:szCs w:val="24"/>
        </w:rPr>
        <w:t xml:space="preserve">  = 11.</w:t>
      </w:r>
      <w:r w:rsidR="00AC1BE0">
        <w:rPr>
          <w:rFonts w:eastAsiaTheme="minorEastAsia" w:cs="Times New Roman"/>
          <w:szCs w:val="24"/>
        </w:rPr>
        <w:t>71</w:t>
      </w:r>
      <w:r>
        <w:rPr>
          <w:rFonts w:eastAsiaTheme="minorEastAsia" w:cs="Times New Roman"/>
          <w:szCs w:val="24"/>
        </w:rPr>
        <w:t>%</w:t>
      </w:r>
    </w:p>
    <w:p w14:paraId="7ADB954B" w14:textId="77777777" w:rsidR="0020285E" w:rsidRPr="00C416C9" w:rsidRDefault="0020285E" w:rsidP="0020285E">
      <w:pPr>
        <w:rPr>
          <w:rFonts w:ascii="Arial" w:hAnsi="Arial" w:cs="Arial"/>
          <w:b/>
          <w:bCs/>
        </w:rPr>
      </w:pPr>
      <w:r w:rsidRPr="00C416C9">
        <w:rPr>
          <w:rFonts w:ascii="Arial" w:hAnsi="Arial" w:cs="Arial"/>
          <w:b/>
          <w:bCs/>
        </w:rPr>
        <w:t>Return on Equity (ROE):</w:t>
      </w:r>
    </w:p>
    <w:p w14:paraId="54FB5934" w14:textId="77777777" w:rsidR="0020285E" w:rsidRDefault="0020285E" w:rsidP="0020285E">
      <w:pPr>
        <w:rPr>
          <w:b/>
          <w:bCs/>
        </w:rPr>
      </w:pPr>
      <w:r w:rsidRPr="00C416C9">
        <w:rPr>
          <w:rFonts w:ascii="Arial" w:hAnsi="Arial" w:cs="Arial"/>
          <w:b/>
          <w:bCs/>
        </w:rPr>
        <w:t>Return on equity = Net income / shareholder’s equity</w:t>
      </w:r>
    </w:p>
    <w:p w14:paraId="4999FC94" w14:textId="77777777" w:rsidR="0020285E" w:rsidRPr="00C416C9" w:rsidRDefault="0020285E" w:rsidP="0020285E">
      <w:pPr>
        <w:rPr>
          <w:rFonts w:ascii="Arial" w:hAnsi="Arial" w:cs="Arial"/>
        </w:rPr>
      </w:pPr>
      <w:r w:rsidRPr="00C416C9">
        <w:rPr>
          <w:rFonts w:ascii="Arial" w:hAnsi="Arial" w:cs="Arial"/>
        </w:rPr>
        <w:lastRenderedPageBreak/>
        <w:t xml:space="preserve">It is a standard method of measuring the efficiency with which a firm makes use of the equity resources it has in order to create profits for its shareholders. It is possible to think about ROE in the same way as ROA since the shareholder's equity of a firm is calculated by adding up </w:t>
      </w:r>
      <w:proofErr w:type="gramStart"/>
      <w:r w:rsidRPr="00C416C9">
        <w:rPr>
          <w:rFonts w:ascii="Arial" w:hAnsi="Arial" w:cs="Arial"/>
        </w:rPr>
        <w:t>all of</w:t>
      </w:r>
      <w:proofErr w:type="gramEnd"/>
      <w:r w:rsidRPr="00C416C9">
        <w:rPr>
          <w:rFonts w:ascii="Arial" w:hAnsi="Arial" w:cs="Arial"/>
        </w:rPr>
        <w:t xml:space="preserve"> its assets and deducting all of its liabilities. Return on equity (ROE) is an important measure to take into consideration when comparing companies operating within the same </w:t>
      </w:r>
      <w:proofErr w:type="gramStart"/>
      <w:r w:rsidRPr="00C416C9">
        <w:rPr>
          <w:rFonts w:ascii="Arial" w:hAnsi="Arial" w:cs="Arial"/>
        </w:rPr>
        <w:t>sector</w:t>
      </w:r>
      <w:r w:rsidR="00EC3384" w:rsidRPr="00C416C9">
        <w:rPr>
          <w:rFonts w:ascii="Arial" w:hAnsi="Arial" w:cs="Arial"/>
        </w:rPr>
        <w:t>(</w:t>
      </w:r>
      <w:proofErr w:type="spellStart"/>
      <w:proofErr w:type="gramEnd"/>
      <w:r w:rsidR="00EC3384" w:rsidRPr="00C416C9">
        <w:rPr>
          <w:rFonts w:ascii="Arial" w:hAnsi="Arial" w:cs="Arial"/>
          <w:shd w:val="clear" w:color="auto" w:fill="FFFFFF"/>
        </w:rPr>
        <w:t>Walkshäusl</w:t>
      </w:r>
      <w:proofErr w:type="spellEnd"/>
      <w:r w:rsidR="00EC3384" w:rsidRPr="00C416C9">
        <w:rPr>
          <w:rFonts w:ascii="Arial" w:hAnsi="Arial" w:cs="Arial"/>
          <w:shd w:val="clear" w:color="auto" w:fill="FFFFFF"/>
        </w:rPr>
        <w:t>, 2021)</w:t>
      </w:r>
      <w:r w:rsidRPr="00C416C9">
        <w:rPr>
          <w:rFonts w:ascii="Arial" w:hAnsi="Arial" w:cs="Arial"/>
        </w:rPr>
        <w:t>.</w:t>
      </w:r>
    </w:p>
    <w:p w14:paraId="337B87B1" w14:textId="77777777" w:rsidR="0020285E" w:rsidRPr="0020285E" w:rsidRDefault="0020285E" w:rsidP="0020285E">
      <w:pPr>
        <w:rPr>
          <w:b/>
          <w:bCs/>
        </w:rPr>
      </w:pPr>
      <w:r w:rsidRPr="0020285E">
        <w:rPr>
          <w:b/>
          <w:bCs/>
        </w:rPr>
        <w:t>For 2020</w:t>
      </w:r>
    </w:p>
    <w:p w14:paraId="2511678C" w14:textId="06BBE8FC" w:rsidR="0020285E" w:rsidRPr="0020285E" w:rsidRDefault="0020285E" w:rsidP="0020285E">
      <w:pPr>
        <w:rPr>
          <w:rFonts w:asciiTheme="majorBidi" w:eastAsiaTheme="minorEastAsia" w:hAnsiTheme="majorBidi" w:cstheme="majorBidi"/>
          <w:sz w:val="28"/>
          <w:szCs w:val="28"/>
        </w:rPr>
      </w:pPr>
      <w:r w:rsidRPr="0020285E">
        <w:rPr>
          <w:rFonts w:asciiTheme="majorBidi" w:hAnsiTheme="majorBidi" w:cstheme="majorBidi"/>
          <w:sz w:val="28"/>
          <w:szCs w:val="28"/>
        </w:rPr>
        <w:t>=</w:t>
      </w:r>
      <m:oMath>
        <m:f>
          <m:fPr>
            <m:ctrlPr>
              <w:rPr>
                <w:rFonts w:ascii="Cambria Math" w:hAnsi="Cambria Math" w:cstheme="majorBidi"/>
                <w:i/>
                <w:sz w:val="28"/>
                <w:szCs w:val="28"/>
              </w:rPr>
            </m:ctrlPr>
          </m:fPr>
          <m:num>
            <m:r>
              <w:rPr>
                <w:rFonts w:ascii="Cambria Math" w:hAnsi="Cambria Math" w:cstheme="majorBidi"/>
                <w:sz w:val="28"/>
                <w:szCs w:val="28"/>
              </w:rPr>
              <m:t xml:space="preserve">366 </m:t>
            </m:r>
          </m:num>
          <m:den>
            <m:r>
              <w:rPr>
                <w:rFonts w:ascii="Cambria Math" w:hAnsi="Cambria Math" w:cstheme="majorBidi"/>
                <w:sz w:val="28"/>
                <w:szCs w:val="28"/>
              </w:rPr>
              <m:t xml:space="preserve">1,841 </m:t>
            </m:r>
          </m:den>
        </m:f>
      </m:oMath>
      <w:r w:rsidRPr="0020285E">
        <w:rPr>
          <w:rFonts w:asciiTheme="majorBidi" w:eastAsiaTheme="minorEastAsia" w:hAnsiTheme="majorBidi" w:cstheme="majorBidi"/>
          <w:sz w:val="28"/>
          <w:szCs w:val="28"/>
        </w:rPr>
        <w:t xml:space="preserve"> *100</w:t>
      </w:r>
    </w:p>
    <w:p w14:paraId="27BE1BF6" w14:textId="49E89C0E" w:rsidR="0020285E" w:rsidRDefault="0020285E" w:rsidP="0020285E">
      <w:pPr>
        <w:rPr>
          <w:rFonts w:eastAsiaTheme="minorEastAsia" w:cs="Times New Roman"/>
          <w:szCs w:val="24"/>
        </w:rPr>
      </w:pPr>
      <w:r>
        <w:rPr>
          <w:rFonts w:eastAsiaTheme="minorEastAsia" w:cs="Times New Roman"/>
          <w:szCs w:val="24"/>
        </w:rPr>
        <w:t>= 1</w:t>
      </w:r>
      <w:r w:rsidR="00505D92">
        <w:rPr>
          <w:rFonts w:eastAsiaTheme="minorEastAsia" w:cs="Times New Roman"/>
          <w:szCs w:val="24"/>
        </w:rPr>
        <w:t>9</w:t>
      </w:r>
      <w:r>
        <w:rPr>
          <w:rFonts w:eastAsiaTheme="minorEastAsia" w:cs="Times New Roman"/>
          <w:szCs w:val="24"/>
        </w:rPr>
        <w:t>%</w:t>
      </w:r>
    </w:p>
    <w:p w14:paraId="43436563" w14:textId="77777777" w:rsidR="0020285E" w:rsidRPr="0020285E" w:rsidRDefault="0020285E" w:rsidP="0020285E">
      <w:pPr>
        <w:rPr>
          <w:rFonts w:eastAsiaTheme="minorEastAsia" w:cs="Times New Roman"/>
          <w:b/>
          <w:bCs/>
          <w:szCs w:val="24"/>
        </w:rPr>
      </w:pPr>
      <w:r w:rsidRPr="0020285E">
        <w:rPr>
          <w:rFonts w:eastAsiaTheme="minorEastAsia" w:cs="Times New Roman"/>
          <w:b/>
          <w:bCs/>
          <w:szCs w:val="24"/>
        </w:rPr>
        <w:t xml:space="preserve">For 2021 </w:t>
      </w:r>
    </w:p>
    <w:p w14:paraId="0B956993" w14:textId="74106447" w:rsidR="0020285E" w:rsidRPr="0020285E" w:rsidRDefault="0020285E" w:rsidP="0020285E">
      <w:pPr>
        <w:rPr>
          <w:rFonts w:asciiTheme="majorBidi" w:eastAsiaTheme="minorEastAsia" w:hAnsiTheme="majorBidi" w:cstheme="majorBidi"/>
          <w:sz w:val="28"/>
          <w:szCs w:val="24"/>
        </w:rPr>
      </w:pPr>
      <w:r w:rsidRPr="0020285E">
        <w:rPr>
          <w:rFonts w:asciiTheme="majorBidi" w:hAnsiTheme="majorBidi" w:cstheme="majorBidi"/>
          <w:sz w:val="28"/>
          <w:szCs w:val="24"/>
        </w:rPr>
        <w:t>=</w:t>
      </w:r>
      <m:oMath>
        <m:f>
          <m:fPr>
            <m:ctrlPr>
              <w:rPr>
                <w:rFonts w:ascii="Cambria Math" w:hAnsi="Cambria Math" w:cstheme="majorBidi"/>
                <w:sz w:val="28"/>
                <w:szCs w:val="24"/>
              </w:rPr>
            </m:ctrlPr>
          </m:fPr>
          <m:num>
            <m:r>
              <m:rPr>
                <m:sty m:val="p"/>
              </m:rPr>
              <w:rPr>
                <w:rFonts w:ascii="Cambria Math" w:hAnsi="Cambria Math" w:cstheme="majorBidi"/>
                <w:sz w:val="28"/>
                <w:szCs w:val="24"/>
              </w:rPr>
              <m:t xml:space="preserve">431 </m:t>
            </m:r>
          </m:num>
          <m:den>
            <m:r>
              <m:rPr>
                <m:sty m:val="p"/>
              </m:rPr>
              <w:rPr>
                <w:rFonts w:ascii="Cambria Math" w:hAnsi="Cambria Math" w:cstheme="majorBidi"/>
                <w:sz w:val="28"/>
                <w:szCs w:val="24"/>
              </w:rPr>
              <m:t xml:space="preserve">2017 </m:t>
            </m:r>
          </m:den>
        </m:f>
      </m:oMath>
      <w:r w:rsidRPr="0020285E">
        <w:rPr>
          <w:rFonts w:asciiTheme="majorBidi" w:eastAsiaTheme="minorEastAsia" w:hAnsiTheme="majorBidi" w:cstheme="majorBidi"/>
          <w:sz w:val="28"/>
          <w:szCs w:val="24"/>
        </w:rPr>
        <w:t xml:space="preserve"> *100</w:t>
      </w:r>
    </w:p>
    <w:p w14:paraId="7DFFE160" w14:textId="357F837C" w:rsidR="0020285E" w:rsidRDefault="0020285E" w:rsidP="0020285E">
      <w:pPr>
        <w:rPr>
          <w:rFonts w:eastAsiaTheme="minorEastAsia" w:cs="Times New Roman"/>
          <w:szCs w:val="24"/>
        </w:rPr>
      </w:pPr>
      <w:r>
        <w:rPr>
          <w:rFonts w:eastAsiaTheme="minorEastAsia" w:cs="Times New Roman"/>
          <w:szCs w:val="24"/>
        </w:rPr>
        <w:t xml:space="preserve">  = </w:t>
      </w:r>
      <w:r w:rsidR="00E8340C">
        <w:rPr>
          <w:rFonts w:eastAsiaTheme="minorEastAsia" w:cs="Times New Roman"/>
          <w:szCs w:val="24"/>
        </w:rPr>
        <w:t>21</w:t>
      </w:r>
      <w:r>
        <w:rPr>
          <w:rFonts w:eastAsiaTheme="minorEastAsia" w:cs="Times New Roman"/>
          <w:szCs w:val="24"/>
        </w:rPr>
        <w:t>%</w:t>
      </w:r>
    </w:p>
    <w:p w14:paraId="5C7609D2" w14:textId="77777777" w:rsidR="0020285E" w:rsidRPr="00C416C9" w:rsidRDefault="0020285E" w:rsidP="0020285E">
      <w:pPr>
        <w:rPr>
          <w:rFonts w:ascii="Arial" w:hAnsi="Arial" w:cs="Arial"/>
          <w:b/>
          <w:bCs/>
        </w:rPr>
      </w:pPr>
      <w:r w:rsidRPr="00C416C9">
        <w:rPr>
          <w:rFonts w:ascii="Arial" w:hAnsi="Arial" w:cs="Arial"/>
          <w:b/>
          <w:bCs/>
        </w:rPr>
        <w:t>Earnings Per Share (EPS)</w:t>
      </w:r>
    </w:p>
    <w:p w14:paraId="3763B77F" w14:textId="77777777" w:rsidR="0020285E" w:rsidRPr="00C416C9" w:rsidRDefault="0020285E" w:rsidP="0020285E">
      <w:pPr>
        <w:rPr>
          <w:rFonts w:ascii="Arial" w:hAnsi="Arial" w:cs="Arial"/>
          <w:b/>
          <w:bCs/>
        </w:rPr>
      </w:pPr>
      <w:r w:rsidRPr="00C416C9">
        <w:rPr>
          <w:rFonts w:ascii="Arial" w:hAnsi="Arial" w:cs="Arial"/>
          <w:b/>
          <w:bCs/>
        </w:rPr>
        <w:t>Earnings per share = (Net income – dividends payments) / weighted average shares outstanding</w:t>
      </w:r>
    </w:p>
    <w:p w14:paraId="078366CC" w14:textId="77777777" w:rsidR="0020285E" w:rsidRPr="00C416C9" w:rsidRDefault="0020285E" w:rsidP="0020285E">
      <w:pPr>
        <w:rPr>
          <w:rFonts w:ascii="Arial" w:hAnsi="Arial" w:cs="Arial"/>
        </w:rPr>
      </w:pPr>
      <w:r w:rsidRPr="00C416C9">
        <w:rPr>
          <w:rFonts w:ascii="Arial" w:hAnsi="Arial" w:cs="Arial"/>
        </w:rPr>
        <w:t xml:space="preserve">It's a standard way of determining how much money traders are willing to part with in order to get their hands on one pound of the company's stated profits, and it's a statistic that's been around for a long time. To calculate the earnings per share for the firm, take the net income and divide it by the total number of shares of common stock that have been issued as well as those that are still outstanding. In the process of valuing a company's stock, it is often used as a stand-in for the profitability of the business. The breakdown and in-depth explanation of the percentage return that equity investors obtain is shown here. The extent to which investors are able to quickly compare the returns generated by various stock investments is a crucial factor that influences the decisions they make about their future equity </w:t>
      </w:r>
      <w:proofErr w:type="gramStart"/>
      <w:r w:rsidRPr="00C416C9">
        <w:rPr>
          <w:rFonts w:ascii="Arial" w:hAnsi="Arial" w:cs="Arial"/>
        </w:rPr>
        <w:t>investments</w:t>
      </w:r>
      <w:r w:rsidR="00EC3384" w:rsidRPr="00C416C9">
        <w:rPr>
          <w:rFonts w:ascii="Arial" w:hAnsi="Arial" w:cs="Arial"/>
        </w:rPr>
        <w:t>(</w:t>
      </w:r>
      <w:proofErr w:type="spellStart"/>
      <w:proofErr w:type="gramEnd"/>
      <w:r w:rsidR="00EC3384" w:rsidRPr="00C416C9">
        <w:rPr>
          <w:rFonts w:ascii="Arial" w:hAnsi="Arial" w:cs="Arial"/>
          <w:shd w:val="clear" w:color="auto" w:fill="FFFFFF"/>
        </w:rPr>
        <w:t>Walkshäusl</w:t>
      </w:r>
      <w:proofErr w:type="spellEnd"/>
      <w:r w:rsidR="00EC3384" w:rsidRPr="00C416C9">
        <w:rPr>
          <w:rFonts w:ascii="Arial" w:hAnsi="Arial" w:cs="Arial"/>
          <w:shd w:val="clear" w:color="auto" w:fill="FFFFFF"/>
        </w:rPr>
        <w:t>, 2021)</w:t>
      </w:r>
      <w:r w:rsidRPr="00C416C9">
        <w:rPr>
          <w:rFonts w:ascii="Arial" w:hAnsi="Arial" w:cs="Arial"/>
        </w:rPr>
        <w:t xml:space="preserve">. </w:t>
      </w:r>
    </w:p>
    <w:p w14:paraId="494FAC28" w14:textId="77777777" w:rsidR="00C416C9" w:rsidRDefault="00C416C9" w:rsidP="0020285E">
      <w:pPr>
        <w:rPr>
          <w:rFonts w:ascii="Arial" w:hAnsi="Arial" w:cs="Arial"/>
          <w:b/>
          <w:bCs/>
        </w:rPr>
      </w:pPr>
    </w:p>
    <w:p w14:paraId="570B438D" w14:textId="4B319C8D" w:rsidR="0020285E" w:rsidRPr="00C416C9" w:rsidRDefault="0020285E" w:rsidP="0020285E">
      <w:pPr>
        <w:rPr>
          <w:rFonts w:ascii="Arial" w:hAnsi="Arial" w:cs="Arial"/>
          <w:b/>
          <w:bCs/>
        </w:rPr>
      </w:pPr>
      <w:r w:rsidRPr="00C416C9">
        <w:rPr>
          <w:rFonts w:ascii="Arial" w:hAnsi="Arial" w:cs="Arial"/>
          <w:b/>
          <w:bCs/>
        </w:rPr>
        <w:lastRenderedPageBreak/>
        <w:t xml:space="preserve">For 2020 </w:t>
      </w:r>
    </w:p>
    <w:p w14:paraId="662B4ED6" w14:textId="326A1CA7" w:rsidR="0020285E" w:rsidRPr="0020285E" w:rsidRDefault="0020285E" w:rsidP="0020285E">
      <w:pPr>
        <w:rPr>
          <w:rFonts w:asciiTheme="majorBidi" w:eastAsiaTheme="minorEastAsia" w:hAnsiTheme="majorBidi" w:cstheme="majorBidi"/>
          <w:b/>
          <w:sz w:val="32"/>
          <w:szCs w:val="28"/>
        </w:rPr>
      </w:pPr>
      <w:r w:rsidRPr="0020285E">
        <w:rPr>
          <w:rFonts w:asciiTheme="majorBidi" w:eastAsiaTheme="minorEastAsia" w:hAnsiTheme="majorBidi" w:cstheme="majorBidi"/>
          <w:sz w:val="32"/>
          <w:szCs w:val="28"/>
        </w:rPr>
        <w:t>=</w:t>
      </w:r>
      <m:oMath>
        <m:r>
          <m:rPr>
            <m:sty m:val="p"/>
          </m:rPr>
          <w:rPr>
            <w:rFonts w:ascii="Cambria Math" w:eastAsiaTheme="minorEastAsia" w:hAnsi="Cambria Math" w:cstheme="majorBidi"/>
            <w:sz w:val="32"/>
            <w:szCs w:val="28"/>
          </w:rPr>
          <m:t xml:space="preserve"> </m:t>
        </m:r>
        <m:f>
          <m:fPr>
            <m:ctrlPr>
              <w:rPr>
                <w:rFonts w:ascii="Cambria Math" w:hAnsi="Cambria Math" w:cstheme="majorBidi"/>
                <w:sz w:val="32"/>
                <w:szCs w:val="28"/>
              </w:rPr>
            </m:ctrlPr>
          </m:fPr>
          <m:num>
            <m:r>
              <m:rPr>
                <m:sty m:val="p"/>
              </m:rPr>
              <w:rPr>
                <w:rFonts w:ascii="Cambria Math" w:hAnsi="Cambria Math" w:cstheme="majorBidi"/>
                <w:sz w:val="32"/>
                <w:szCs w:val="28"/>
              </w:rPr>
              <m:t xml:space="preserve"> 366</m:t>
            </m:r>
          </m:num>
          <m:den>
            <m:r>
              <m:rPr>
                <m:sty m:val="p"/>
              </m:rPr>
              <w:rPr>
                <w:rFonts w:ascii="Cambria Math" w:hAnsi="Cambria Math" w:cstheme="majorBidi"/>
                <w:sz w:val="32"/>
                <w:szCs w:val="28"/>
              </w:rPr>
              <m:t xml:space="preserve"> </m:t>
            </m:r>
            <m:r>
              <w:rPr>
                <w:rFonts w:ascii="Cambria Math" w:hAnsi="Cambria Math" w:cstheme="majorBidi"/>
                <w:sz w:val="32"/>
                <w:szCs w:val="28"/>
              </w:rPr>
              <m:t>50</m:t>
            </m:r>
          </m:den>
        </m:f>
      </m:oMath>
    </w:p>
    <w:p w14:paraId="267C670C" w14:textId="4C015546" w:rsidR="0020285E" w:rsidRDefault="0020285E" w:rsidP="0020285E">
      <w:pPr>
        <w:pStyle w:val="Default"/>
        <w:spacing w:line="360" w:lineRule="auto"/>
        <w:rPr>
          <w:b/>
        </w:rPr>
      </w:pPr>
      <w:r>
        <w:t xml:space="preserve">= </w:t>
      </w:r>
      <w:r w:rsidR="004444CA">
        <w:t>7.32</w:t>
      </w:r>
      <w:r>
        <w:t xml:space="preserve"> shares</w:t>
      </w:r>
    </w:p>
    <w:p w14:paraId="0D8A0224" w14:textId="77777777" w:rsidR="0020285E" w:rsidRDefault="0020285E" w:rsidP="0020285E">
      <w:pPr>
        <w:pStyle w:val="Default"/>
        <w:spacing w:line="360" w:lineRule="auto"/>
        <w:rPr>
          <w:b/>
        </w:rPr>
      </w:pPr>
    </w:p>
    <w:p w14:paraId="0280DD33" w14:textId="77777777" w:rsidR="0020285E" w:rsidRPr="00C416C9" w:rsidRDefault="0020285E" w:rsidP="0020285E">
      <w:pPr>
        <w:pStyle w:val="Default"/>
        <w:spacing w:line="360" w:lineRule="auto"/>
        <w:rPr>
          <w:rFonts w:ascii="Arial" w:eastAsiaTheme="minorEastAsia" w:hAnsi="Arial" w:cs="Arial"/>
          <w:bCs/>
        </w:rPr>
      </w:pPr>
      <w:r w:rsidRPr="00C416C9">
        <w:rPr>
          <w:rFonts w:ascii="Arial" w:eastAsiaTheme="minorEastAsia" w:hAnsi="Arial" w:cs="Arial"/>
          <w:b/>
          <w:bCs/>
        </w:rPr>
        <w:t>For 2021</w:t>
      </w:r>
    </w:p>
    <w:p w14:paraId="24B290E5" w14:textId="6A95787F" w:rsidR="0020285E" w:rsidRPr="0020285E" w:rsidRDefault="0020285E" w:rsidP="0020285E">
      <w:pPr>
        <w:rPr>
          <w:rFonts w:asciiTheme="majorBidi" w:eastAsiaTheme="minorEastAsia" w:hAnsiTheme="majorBidi" w:cstheme="majorBidi"/>
          <w:sz w:val="28"/>
          <w:szCs w:val="28"/>
        </w:rPr>
      </w:pPr>
      <w:r w:rsidRPr="0020285E">
        <w:rPr>
          <w:rFonts w:asciiTheme="majorBidi" w:eastAsiaTheme="minorEastAsia" w:hAnsiTheme="majorBidi" w:cstheme="majorBidi"/>
          <w:sz w:val="28"/>
          <w:szCs w:val="28"/>
        </w:rPr>
        <w:t>=</w:t>
      </w:r>
      <m:oMath>
        <m:r>
          <w:rPr>
            <w:rFonts w:ascii="Cambria Math" w:eastAsiaTheme="minorEastAsia" w:hAnsi="Cambria Math" w:cstheme="majorBidi"/>
            <w:sz w:val="28"/>
            <w:szCs w:val="28"/>
          </w:rPr>
          <m:t xml:space="preserve"> </m:t>
        </m:r>
        <m:f>
          <m:fPr>
            <m:ctrlPr>
              <w:rPr>
                <w:rFonts w:ascii="Cambria Math" w:hAnsi="Cambria Math" w:cstheme="majorBidi"/>
                <w:sz w:val="28"/>
                <w:szCs w:val="28"/>
              </w:rPr>
            </m:ctrlPr>
          </m:fPr>
          <m:num>
            <m:r>
              <m:rPr>
                <m:sty m:val="p"/>
              </m:rPr>
              <w:rPr>
                <w:rFonts w:ascii="Cambria Math" w:hAnsi="Cambria Math" w:cstheme="majorBidi"/>
                <w:sz w:val="28"/>
                <w:szCs w:val="28"/>
              </w:rPr>
              <m:t xml:space="preserve">431 </m:t>
            </m:r>
          </m:num>
          <m:den>
            <m:r>
              <m:rPr>
                <m:sty m:val="p"/>
              </m:rPr>
              <w:rPr>
                <w:rFonts w:ascii="Cambria Math" w:hAnsi="Cambria Math" w:cstheme="majorBidi"/>
                <w:sz w:val="28"/>
                <w:szCs w:val="28"/>
              </w:rPr>
              <m:t xml:space="preserve"> </m:t>
            </m:r>
            <m:r>
              <w:rPr>
                <w:rFonts w:ascii="Cambria Math" w:hAnsi="Cambria Math" w:cstheme="majorBidi"/>
                <w:sz w:val="28"/>
                <w:szCs w:val="28"/>
              </w:rPr>
              <m:t>50</m:t>
            </m:r>
          </m:den>
        </m:f>
      </m:oMath>
    </w:p>
    <w:p w14:paraId="716D70D7" w14:textId="2AFA81AA" w:rsidR="0020285E" w:rsidRDefault="0020285E" w:rsidP="0020285E">
      <w:pPr>
        <w:rPr>
          <w:b/>
        </w:rPr>
      </w:pPr>
      <w:r w:rsidRPr="0020285E">
        <w:t xml:space="preserve">= </w:t>
      </w:r>
      <w:r w:rsidR="004444CA">
        <w:t>8.67</w:t>
      </w:r>
      <w:r w:rsidRPr="0020285E">
        <w:t xml:space="preserve"> shares</w:t>
      </w:r>
    </w:p>
    <w:p w14:paraId="0E8EDC2C" w14:textId="77777777" w:rsidR="0020285E" w:rsidRDefault="0020285E" w:rsidP="0020285E">
      <w:pPr>
        <w:rPr>
          <w:bCs/>
        </w:rPr>
      </w:pPr>
    </w:p>
    <w:p w14:paraId="19A14566" w14:textId="77777777" w:rsidR="0020285E" w:rsidRPr="00C416C9" w:rsidRDefault="0020285E" w:rsidP="0020285E">
      <w:pPr>
        <w:rPr>
          <w:rFonts w:ascii="Arial" w:hAnsi="Arial" w:cs="Arial"/>
          <w:b/>
          <w:bCs/>
        </w:rPr>
      </w:pPr>
      <w:r w:rsidRPr="00C416C9">
        <w:rPr>
          <w:rFonts w:ascii="Arial" w:hAnsi="Arial" w:cs="Arial"/>
          <w:b/>
          <w:bCs/>
        </w:rPr>
        <w:t>Net Profit Margin:</w:t>
      </w:r>
    </w:p>
    <w:p w14:paraId="5AF0237C" w14:textId="77777777" w:rsidR="0020285E" w:rsidRPr="00C416C9" w:rsidRDefault="0020285E" w:rsidP="0020285E">
      <w:pPr>
        <w:rPr>
          <w:rFonts w:ascii="Arial" w:hAnsi="Arial" w:cs="Arial"/>
          <w:b/>
          <w:bCs/>
        </w:rPr>
      </w:pPr>
      <w:r w:rsidRPr="00C416C9">
        <w:rPr>
          <w:rFonts w:ascii="Arial" w:hAnsi="Arial" w:cs="Arial"/>
          <w:b/>
          <w:bCs/>
        </w:rPr>
        <w:t>Net profit margin = Net income / net sales</w:t>
      </w:r>
    </w:p>
    <w:p w14:paraId="498E262F" w14:textId="77777777" w:rsidR="0020285E" w:rsidRPr="00C416C9" w:rsidRDefault="0020285E" w:rsidP="0020285E">
      <w:pPr>
        <w:rPr>
          <w:rFonts w:ascii="Arial" w:hAnsi="Arial" w:cs="Arial"/>
        </w:rPr>
      </w:pPr>
      <w:r w:rsidRPr="00C416C9">
        <w:rPr>
          <w:rFonts w:ascii="Arial" w:hAnsi="Arial" w:cs="Arial"/>
        </w:rPr>
        <w:t xml:space="preserve">It's a measure of a company's ability to turn revenues into profits by controlling costs. In other words, after deducting all manufacturing, operational, and financial expenditures needed to earn revenue for the business in a particular accounting period, what portion of total revenue is converted into profit for equity investors. To get your net profit, just divide your earnings by your total </w:t>
      </w:r>
      <w:proofErr w:type="gramStart"/>
      <w:r w:rsidRPr="00C416C9">
        <w:rPr>
          <w:rFonts w:ascii="Arial" w:hAnsi="Arial" w:cs="Arial"/>
        </w:rPr>
        <w:t>sales</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rPr>
        <w:t xml:space="preserve">. You'll end up with a positive bottom line </w:t>
      </w:r>
      <w:proofErr w:type="gramStart"/>
      <w:r w:rsidRPr="00C416C9">
        <w:rPr>
          <w:rFonts w:ascii="Arial" w:hAnsi="Arial" w:cs="Arial"/>
        </w:rPr>
        <w:t>as a consequence of</w:t>
      </w:r>
      <w:proofErr w:type="gramEnd"/>
      <w:r w:rsidRPr="00C416C9">
        <w:rPr>
          <w:rFonts w:ascii="Arial" w:hAnsi="Arial" w:cs="Arial"/>
        </w:rPr>
        <w:t xml:space="preserve"> this. The net profit margin, also called the return on sales ratio, is used by many companies as a reliable indicator of performance. By analysing the net profit margin, an investor may determine whether a company can generate a sufficient profit from its sales and if it can keep its operating expenses and overhead costs in check. </w:t>
      </w:r>
    </w:p>
    <w:p w14:paraId="6D5BC69E" w14:textId="77777777" w:rsidR="0020285E" w:rsidRPr="00C416C9" w:rsidRDefault="0020285E" w:rsidP="0020285E">
      <w:pPr>
        <w:rPr>
          <w:rFonts w:ascii="Arial" w:hAnsi="Arial" w:cs="Arial"/>
          <w:b/>
          <w:bCs/>
        </w:rPr>
      </w:pPr>
      <w:r w:rsidRPr="00C416C9">
        <w:rPr>
          <w:rFonts w:ascii="Arial" w:hAnsi="Arial" w:cs="Arial"/>
          <w:b/>
          <w:bCs/>
        </w:rPr>
        <w:t>For 2020</w:t>
      </w:r>
    </w:p>
    <w:p w14:paraId="74DF8AAA" w14:textId="77777777" w:rsidR="0020285E" w:rsidRPr="0020285E" w:rsidRDefault="0020285E" w:rsidP="0020285E">
      <w:pPr>
        <w:rPr>
          <w:rFonts w:asciiTheme="majorBidi" w:eastAsiaTheme="minorEastAsia" w:hAnsiTheme="majorBidi" w:cstheme="majorBidi"/>
          <w:sz w:val="28"/>
          <w:szCs w:val="24"/>
        </w:rPr>
      </w:pPr>
      <w:r w:rsidRPr="0020285E">
        <w:rPr>
          <w:rFonts w:asciiTheme="majorBidi" w:hAnsiTheme="majorBidi" w:cstheme="majorBidi"/>
          <w:sz w:val="28"/>
          <w:szCs w:val="24"/>
        </w:rPr>
        <w:t>=</w:t>
      </w:r>
      <m:oMath>
        <m:f>
          <m:fPr>
            <m:ctrlPr>
              <w:rPr>
                <w:rFonts w:ascii="Cambria Math" w:hAnsi="Cambria Math" w:cstheme="majorBidi"/>
                <w:sz w:val="28"/>
                <w:szCs w:val="24"/>
              </w:rPr>
            </m:ctrlPr>
          </m:fPr>
          <m:num>
            <m:r>
              <m:rPr>
                <m:sty m:val="p"/>
              </m:rPr>
              <w:rPr>
                <w:rFonts w:ascii="Cambria Math" w:hAnsi="Cambria Math" w:cstheme="majorBidi"/>
                <w:sz w:val="28"/>
                <w:szCs w:val="24"/>
              </w:rPr>
              <m:t xml:space="preserve">366 </m:t>
            </m:r>
          </m:num>
          <m:den>
            <m:r>
              <m:rPr>
                <m:sty m:val="p"/>
              </m:rPr>
              <w:rPr>
                <w:rFonts w:ascii="Cambria Math" w:hAnsi="Cambria Math" w:cstheme="majorBidi"/>
                <w:sz w:val="28"/>
                <w:szCs w:val="24"/>
              </w:rPr>
              <m:t xml:space="preserve">6,441 </m:t>
            </m:r>
          </m:den>
        </m:f>
      </m:oMath>
      <w:r w:rsidRPr="0020285E">
        <w:rPr>
          <w:rFonts w:asciiTheme="majorBidi" w:eastAsiaTheme="minorEastAsia" w:hAnsiTheme="majorBidi" w:cstheme="majorBidi"/>
          <w:sz w:val="28"/>
          <w:szCs w:val="24"/>
        </w:rPr>
        <w:t xml:space="preserve"> *100</w:t>
      </w:r>
    </w:p>
    <w:p w14:paraId="3ED791EC" w14:textId="77777777" w:rsidR="0020285E" w:rsidRDefault="0020285E" w:rsidP="0020285E">
      <w:pPr>
        <w:rPr>
          <w:rFonts w:eastAsiaTheme="minorEastAsia" w:cs="Times New Roman"/>
          <w:szCs w:val="24"/>
        </w:rPr>
      </w:pPr>
      <w:r>
        <w:rPr>
          <w:rFonts w:eastAsiaTheme="minorEastAsia" w:cs="Times New Roman"/>
          <w:szCs w:val="24"/>
        </w:rPr>
        <w:t xml:space="preserve">= 5.68% </w:t>
      </w:r>
    </w:p>
    <w:p w14:paraId="6F05CF71" w14:textId="77777777" w:rsidR="0020285E" w:rsidRPr="00C416C9" w:rsidRDefault="0020285E" w:rsidP="0020285E">
      <w:pPr>
        <w:rPr>
          <w:rFonts w:ascii="Arial" w:hAnsi="Arial" w:cs="Arial"/>
          <w:b/>
          <w:bCs/>
        </w:rPr>
      </w:pPr>
      <w:r w:rsidRPr="00C416C9">
        <w:rPr>
          <w:rFonts w:ascii="Arial" w:hAnsi="Arial" w:cs="Arial"/>
          <w:b/>
          <w:bCs/>
        </w:rPr>
        <w:t xml:space="preserve">For 2021 </w:t>
      </w:r>
    </w:p>
    <w:p w14:paraId="4CF4118B" w14:textId="77777777" w:rsidR="0020285E" w:rsidRPr="0020285E" w:rsidRDefault="0020285E" w:rsidP="0020285E">
      <w:pPr>
        <w:rPr>
          <w:rFonts w:asciiTheme="majorBidi" w:eastAsiaTheme="minorEastAsia" w:hAnsiTheme="majorBidi" w:cstheme="majorBidi"/>
          <w:sz w:val="28"/>
          <w:szCs w:val="28"/>
        </w:rPr>
      </w:pPr>
      <w:r w:rsidRPr="0020285E">
        <w:rPr>
          <w:rFonts w:asciiTheme="majorBidi" w:hAnsiTheme="majorBidi" w:cstheme="majorBidi"/>
          <w:sz w:val="28"/>
          <w:szCs w:val="28"/>
        </w:rPr>
        <w:t>=</w:t>
      </w:r>
      <m:oMath>
        <m:f>
          <m:fPr>
            <m:ctrlPr>
              <w:rPr>
                <w:rFonts w:ascii="Cambria Math" w:hAnsi="Cambria Math" w:cstheme="majorBidi"/>
                <w:i/>
                <w:sz w:val="28"/>
                <w:szCs w:val="28"/>
              </w:rPr>
            </m:ctrlPr>
          </m:fPr>
          <m:num>
            <m:r>
              <w:rPr>
                <w:rFonts w:ascii="Cambria Math" w:hAnsi="Cambria Math" w:cstheme="majorBidi"/>
                <w:sz w:val="28"/>
                <w:szCs w:val="28"/>
              </w:rPr>
              <m:t xml:space="preserve">431 </m:t>
            </m:r>
          </m:num>
          <m:den>
            <m:r>
              <w:rPr>
                <w:rFonts w:ascii="Cambria Math" w:hAnsi="Cambria Math" w:cstheme="majorBidi"/>
                <w:sz w:val="28"/>
                <w:szCs w:val="28"/>
              </w:rPr>
              <m:t xml:space="preserve">6,738 </m:t>
            </m:r>
          </m:den>
        </m:f>
      </m:oMath>
      <w:r w:rsidRPr="0020285E">
        <w:rPr>
          <w:rFonts w:asciiTheme="majorBidi" w:eastAsiaTheme="minorEastAsia" w:hAnsiTheme="majorBidi" w:cstheme="majorBidi"/>
          <w:sz w:val="28"/>
          <w:szCs w:val="28"/>
        </w:rPr>
        <w:t xml:space="preserve"> *100</w:t>
      </w:r>
    </w:p>
    <w:p w14:paraId="4A51E620" w14:textId="77777777" w:rsidR="0020285E" w:rsidRDefault="0020285E" w:rsidP="0020285E">
      <w:pPr>
        <w:rPr>
          <w:rFonts w:eastAsiaTheme="minorEastAsia" w:cs="Times New Roman"/>
          <w:szCs w:val="24"/>
        </w:rPr>
      </w:pPr>
      <w:r>
        <w:rPr>
          <w:rFonts w:eastAsiaTheme="minorEastAsia" w:cs="Times New Roman"/>
          <w:szCs w:val="24"/>
        </w:rPr>
        <w:lastRenderedPageBreak/>
        <w:t xml:space="preserve"> = 6.40%</w:t>
      </w:r>
    </w:p>
    <w:p w14:paraId="42F6314B" w14:textId="77777777" w:rsidR="0020285E" w:rsidRPr="00C416C9" w:rsidRDefault="0020285E" w:rsidP="0020285E">
      <w:pPr>
        <w:rPr>
          <w:rFonts w:ascii="Arial" w:hAnsi="Arial" w:cs="Arial"/>
          <w:b/>
          <w:bCs/>
        </w:rPr>
      </w:pPr>
      <w:r w:rsidRPr="00C416C9">
        <w:rPr>
          <w:rFonts w:ascii="Arial" w:hAnsi="Arial" w:cs="Arial"/>
          <w:b/>
          <w:bCs/>
        </w:rPr>
        <w:t>Asset Turnover:</w:t>
      </w:r>
    </w:p>
    <w:p w14:paraId="79CDD1A6" w14:textId="77777777" w:rsidR="0020285E" w:rsidRPr="00C416C9" w:rsidRDefault="0020285E" w:rsidP="0020285E">
      <w:pPr>
        <w:rPr>
          <w:rFonts w:ascii="Arial" w:hAnsi="Arial" w:cs="Arial"/>
          <w:b/>
          <w:bCs/>
        </w:rPr>
      </w:pPr>
      <w:r w:rsidRPr="00C416C9">
        <w:rPr>
          <w:rFonts w:ascii="Arial" w:hAnsi="Arial" w:cs="Arial"/>
          <w:b/>
          <w:bCs/>
        </w:rPr>
        <w:t>Asset turnover = Net sales / total assets</w:t>
      </w:r>
    </w:p>
    <w:p w14:paraId="67F0D17A" w14:textId="77777777" w:rsidR="0020285E" w:rsidRPr="00C416C9" w:rsidRDefault="0020285E" w:rsidP="0020285E">
      <w:pPr>
        <w:rPr>
          <w:rFonts w:ascii="Arial" w:hAnsi="Arial" w:cs="Arial"/>
        </w:rPr>
      </w:pPr>
      <w:r w:rsidRPr="00C416C9">
        <w:rPr>
          <w:rFonts w:ascii="Arial" w:hAnsi="Arial" w:cs="Arial"/>
        </w:rPr>
        <w:t xml:space="preserve">The asset turnover ratio is a common measure of a company's management's effectiveness at maximising the return on investment in the company's various </w:t>
      </w:r>
      <w:proofErr w:type="gramStart"/>
      <w:r w:rsidRPr="00C416C9">
        <w:rPr>
          <w:rFonts w:ascii="Arial" w:hAnsi="Arial" w:cs="Arial"/>
        </w:rPr>
        <w:t>assets</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rPr>
        <w:t xml:space="preserve">. The asset turnover ratio measures the efficiency with which an organisation turns its assets into cash. The sales-to-assets ratio may be shown by the yearly percentage of total assets. Turnover is defined as total average assets divided by total net sales or revenue. How successfully a corporation </w:t>
      </w:r>
      <w:proofErr w:type="gramStart"/>
      <w:r w:rsidRPr="00C416C9">
        <w:rPr>
          <w:rFonts w:ascii="Arial" w:hAnsi="Arial" w:cs="Arial"/>
        </w:rPr>
        <w:t>is able to</w:t>
      </w:r>
      <w:proofErr w:type="gramEnd"/>
      <w:r w:rsidRPr="00C416C9">
        <w:rPr>
          <w:rFonts w:ascii="Arial" w:hAnsi="Arial" w:cs="Arial"/>
        </w:rPr>
        <w:t xml:space="preserve"> turn its assets into cash via the efforts of its employees and customers may be gauged in part by looking at this ratio. </w:t>
      </w:r>
    </w:p>
    <w:p w14:paraId="1CA11F0C" w14:textId="77777777" w:rsidR="0020285E" w:rsidRPr="00C416C9" w:rsidRDefault="0020285E" w:rsidP="0020285E">
      <w:pPr>
        <w:rPr>
          <w:rFonts w:ascii="Arial" w:hAnsi="Arial" w:cs="Arial"/>
          <w:b/>
          <w:bCs/>
        </w:rPr>
      </w:pPr>
      <w:r w:rsidRPr="00C416C9">
        <w:rPr>
          <w:rFonts w:ascii="Arial" w:hAnsi="Arial" w:cs="Arial"/>
          <w:b/>
          <w:bCs/>
        </w:rPr>
        <w:t>For 2020</w:t>
      </w:r>
    </w:p>
    <w:p w14:paraId="6C30CE26" w14:textId="3E6E1541" w:rsidR="0020285E" w:rsidRPr="0020285E" w:rsidRDefault="0020285E" w:rsidP="0020285E">
      <w:pPr>
        <w:rPr>
          <w:rFonts w:asciiTheme="majorBidi" w:eastAsiaTheme="minorEastAsia" w:hAnsiTheme="majorBidi" w:cstheme="majorBidi"/>
          <w:sz w:val="28"/>
          <w:szCs w:val="24"/>
        </w:rPr>
      </w:pPr>
      <w:r w:rsidRPr="0020285E">
        <w:rPr>
          <w:rFonts w:asciiTheme="majorBidi" w:hAnsiTheme="majorBidi" w:cstheme="majorBidi"/>
          <w:sz w:val="28"/>
          <w:szCs w:val="24"/>
        </w:rPr>
        <w:t>=</w:t>
      </w:r>
      <m:oMath>
        <m:f>
          <m:fPr>
            <m:ctrlPr>
              <w:rPr>
                <w:rFonts w:ascii="Cambria Math" w:hAnsi="Cambria Math" w:cstheme="majorBidi"/>
                <w:sz w:val="28"/>
                <w:szCs w:val="24"/>
              </w:rPr>
            </m:ctrlPr>
          </m:fPr>
          <m:num>
            <m:r>
              <m:rPr>
                <m:sty m:val="p"/>
              </m:rPr>
              <w:rPr>
                <w:rFonts w:ascii="Cambria Math" w:hAnsi="Cambria Math" w:cstheme="majorBidi"/>
                <w:sz w:val="28"/>
                <w:szCs w:val="24"/>
              </w:rPr>
              <m:t xml:space="preserve">6,441 </m:t>
            </m:r>
          </m:num>
          <m:den>
            <m:r>
              <m:rPr>
                <m:sty m:val="p"/>
              </m:rPr>
              <w:rPr>
                <w:rFonts w:ascii="Cambria Math" w:hAnsi="Cambria Math" w:cstheme="majorBidi"/>
                <w:sz w:val="28"/>
                <w:szCs w:val="24"/>
              </w:rPr>
              <m:t xml:space="preserve">10,087-3046 </m:t>
            </m:r>
          </m:den>
        </m:f>
      </m:oMath>
    </w:p>
    <w:p w14:paraId="276169E3" w14:textId="320DC217" w:rsidR="0020285E" w:rsidRDefault="0020285E" w:rsidP="0020285E">
      <w:pPr>
        <w:rPr>
          <w:rFonts w:eastAsiaTheme="minorEastAsia" w:cs="Times New Roman"/>
          <w:szCs w:val="24"/>
        </w:rPr>
      </w:pPr>
      <w:r>
        <w:rPr>
          <w:rFonts w:eastAsiaTheme="minorEastAsia" w:cs="Times New Roman"/>
          <w:szCs w:val="24"/>
        </w:rPr>
        <w:t>= 0</w:t>
      </w:r>
      <w:r w:rsidR="00307AFC">
        <w:rPr>
          <w:rFonts w:eastAsiaTheme="minorEastAsia" w:cs="Times New Roman"/>
          <w:szCs w:val="24"/>
        </w:rPr>
        <w:t>.91</w:t>
      </w:r>
    </w:p>
    <w:p w14:paraId="5F27FA76" w14:textId="77777777" w:rsidR="0020285E" w:rsidRPr="00C416C9" w:rsidRDefault="0020285E" w:rsidP="0020285E">
      <w:pPr>
        <w:rPr>
          <w:rFonts w:ascii="Arial" w:hAnsi="Arial" w:cs="Arial"/>
          <w:b/>
          <w:bCs/>
        </w:rPr>
      </w:pPr>
      <w:r w:rsidRPr="00C416C9">
        <w:rPr>
          <w:rFonts w:ascii="Arial" w:hAnsi="Arial" w:cs="Arial"/>
          <w:b/>
          <w:bCs/>
        </w:rPr>
        <w:t>For 2021</w:t>
      </w:r>
    </w:p>
    <w:p w14:paraId="1BC06845" w14:textId="5736F7D6" w:rsidR="0020285E" w:rsidRPr="0020285E" w:rsidRDefault="0020285E" w:rsidP="0020285E">
      <w:pPr>
        <w:rPr>
          <w:rFonts w:eastAsiaTheme="minorEastAsia" w:cs="Times New Roman"/>
          <w:sz w:val="28"/>
          <w:szCs w:val="28"/>
        </w:rPr>
      </w:pPr>
      <w:r w:rsidRPr="0020285E">
        <w:rPr>
          <w:rFonts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 xml:space="preserve">6,738 </m:t>
            </m:r>
          </m:num>
          <m:den>
            <m:r>
              <w:rPr>
                <w:rFonts w:ascii="Cambria Math" w:hAnsi="Cambria Math" w:cs="Times New Roman"/>
                <w:sz w:val="28"/>
                <w:szCs w:val="28"/>
              </w:rPr>
              <m:t xml:space="preserve">9,736-2511  </m:t>
            </m:r>
          </m:den>
        </m:f>
      </m:oMath>
    </w:p>
    <w:p w14:paraId="3F6CEC05" w14:textId="1B7FD83D" w:rsidR="0020285E" w:rsidRDefault="0020285E" w:rsidP="0020285E">
      <w:pPr>
        <w:rPr>
          <w:rFonts w:eastAsiaTheme="minorEastAsia" w:cs="Times New Roman"/>
          <w:szCs w:val="24"/>
        </w:rPr>
      </w:pPr>
      <w:r>
        <w:rPr>
          <w:rFonts w:eastAsiaTheme="minorEastAsia" w:cs="Times New Roman"/>
          <w:szCs w:val="24"/>
        </w:rPr>
        <w:t>= 0.</w:t>
      </w:r>
      <w:r w:rsidR="00CD79E6">
        <w:rPr>
          <w:rFonts w:eastAsiaTheme="minorEastAsia" w:cs="Times New Roman"/>
          <w:szCs w:val="24"/>
        </w:rPr>
        <w:t>93</w:t>
      </w:r>
    </w:p>
    <w:p w14:paraId="50A74432" w14:textId="77777777" w:rsidR="0020285E" w:rsidRDefault="0020285E" w:rsidP="0020285E">
      <w:pPr>
        <w:rPr>
          <w:rFonts w:eastAsiaTheme="minorEastAsia" w:cs="Times New Roman"/>
          <w:szCs w:val="24"/>
        </w:rPr>
      </w:pPr>
    </w:p>
    <w:p w14:paraId="3BF01DD6" w14:textId="77777777" w:rsidR="0020285E" w:rsidRPr="00C416C9" w:rsidRDefault="0020285E" w:rsidP="0020285E">
      <w:pPr>
        <w:rPr>
          <w:rFonts w:ascii="Arial" w:hAnsi="Arial" w:cs="Arial"/>
          <w:b/>
          <w:bCs/>
        </w:rPr>
      </w:pPr>
      <w:r w:rsidRPr="00C416C9">
        <w:rPr>
          <w:rFonts w:ascii="Arial" w:hAnsi="Arial" w:cs="Arial"/>
          <w:b/>
          <w:bCs/>
        </w:rPr>
        <w:t>Stock Holding Days:</w:t>
      </w:r>
    </w:p>
    <w:p w14:paraId="05B57542" w14:textId="77777777" w:rsidR="0020285E" w:rsidRPr="00C416C9" w:rsidRDefault="0020285E" w:rsidP="0020285E">
      <w:pPr>
        <w:rPr>
          <w:rFonts w:ascii="Arial" w:hAnsi="Arial" w:cs="Arial"/>
        </w:rPr>
      </w:pPr>
      <w:r w:rsidRPr="00C416C9">
        <w:rPr>
          <w:rFonts w:ascii="Arial" w:hAnsi="Arial" w:cs="Arial"/>
        </w:rPr>
        <w:t>Stock holding days = (average inventory / cost of goods sold) × 365</w:t>
      </w:r>
    </w:p>
    <w:p w14:paraId="1D6028A4" w14:textId="77777777" w:rsidR="0020285E" w:rsidRPr="00C416C9" w:rsidRDefault="00C5253A" w:rsidP="00C5253A">
      <w:pPr>
        <w:rPr>
          <w:rFonts w:ascii="Arial" w:hAnsi="Arial" w:cs="Arial"/>
        </w:rPr>
      </w:pPr>
      <w:r w:rsidRPr="00C416C9">
        <w:rPr>
          <w:rFonts w:ascii="Arial" w:hAnsi="Arial" w:cs="Arial"/>
        </w:rPr>
        <w:t xml:space="preserve">This ratio measures the effectiveness with which an organisation can turn its inventory investment into sales. It evaluates the liquidity, financial stability, and operational efficiency of a business. Having an estimate of the number of days' worth of inventory may help distribution organisations allocate storage costs more effectively. It shows how </w:t>
      </w:r>
      <w:r w:rsidRPr="00C416C9">
        <w:rPr>
          <w:rFonts w:ascii="Arial" w:hAnsi="Arial" w:cs="Arial"/>
        </w:rPr>
        <w:lastRenderedPageBreak/>
        <w:t xml:space="preserve">many times a week, on average, the company's products were sold. A quicker rate of inventory depletion is beneficial to the </w:t>
      </w:r>
      <w:proofErr w:type="gramStart"/>
      <w:r w:rsidRPr="00C416C9">
        <w:rPr>
          <w:rFonts w:ascii="Arial" w:hAnsi="Arial" w:cs="Arial"/>
        </w:rPr>
        <w:t>business</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rPr>
        <w:t>.</w:t>
      </w:r>
    </w:p>
    <w:p w14:paraId="0D03CFE2" w14:textId="77777777" w:rsidR="00C5253A" w:rsidRPr="00C416C9" w:rsidRDefault="00C5253A" w:rsidP="00C5253A">
      <w:pPr>
        <w:rPr>
          <w:rFonts w:ascii="Arial" w:hAnsi="Arial" w:cs="Arial"/>
          <w:b/>
          <w:bCs/>
        </w:rPr>
      </w:pPr>
      <w:r w:rsidRPr="00C416C9">
        <w:rPr>
          <w:rFonts w:ascii="Arial" w:hAnsi="Arial" w:cs="Arial"/>
          <w:b/>
          <w:bCs/>
        </w:rPr>
        <w:t>For 2020</w:t>
      </w:r>
    </w:p>
    <w:p w14:paraId="664ABC55" w14:textId="77777777" w:rsidR="00C5253A" w:rsidRPr="00C5253A" w:rsidRDefault="00C5253A" w:rsidP="00C5253A">
      <w:pPr>
        <w:rPr>
          <w:rFonts w:eastAsiaTheme="minorEastAsia" w:cs="Times New Roman"/>
          <w:sz w:val="28"/>
          <w:szCs w:val="28"/>
        </w:rPr>
      </w:pPr>
      <w:r w:rsidRPr="00C5253A">
        <w:rPr>
          <w:rFonts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 xml:space="preserve">659 </m:t>
            </m:r>
          </m:num>
          <m:den>
            <m:r>
              <w:rPr>
                <w:rFonts w:ascii="Cambria Math" w:hAnsi="Cambria Math" w:cs="Times New Roman"/>
                <w:sz w:val="28"/>
                <w:szCs w:val="28"/>
              </w:rPr>
              <m:t xml:space="preserve">3,096 </m:t>
            </m:r>
          </m:den>
        </m:f>
        <m:r>
          <w:rPr>
            <w:rFonts w:ascii="Cambria Math" w:hAnsi="Cambria Math" w:cs="Times New Roman"/>
            <w:sz w:val="28"/>
            <w:szCs w:val="28"/>
          </w:rPr>
          <m:t>*365 days</m:t>
        </m:r>
      </m:oMath>
    </w:p>
    <w:p w14:paraId="5C2801A9" w14:textId="77777777" w:rsidR="00C5253A" w:rsidRDefault="00C5253A" w:rsidP="00C5253A">
      <w:pPr>
        <w:rPr>
          <w:rFonts w:eastAsiaTheme="minorEastAsia" w:cs="Times New Roman"/>
          <w:szCs w:val="24"/>
        </w:rPr>
      </w:pPr>
      <w:r>
        <w:rPr>
          <w:rFonts w:eastAsiaTheme="minorEastAsia" w:cs="Times New Roman"/>
          <w:szCs w:val="24"/>
        </w:rPr>
        <w:t xml:space="preserve">= 78 days </w:t>
      </w:r>
    </w:p>
    <w:p w14:paraId="05D4A91C" w14:textId="77777777" w:rsidR="00C5253A" w:rsidRPr="00C416C9" w:rsidRDefault="00C5253A" w:rsidP="00C5253A">
      <w:pPr>
        <w:rPr>
          <w:rFonts w:ascii="Arial" w:hAnsi="Arial" w:cs="Arial"/>
          <w:b/>
          <w:bCs/>
        </w:rPr>
      </w:pPr>
      <w:r w:rsidRPr="00C416C9">
        <w:rPr>
          <w:rFonts w:ascii="Arial" w:hAnsi="Arial" w:cs="Arial"/>
          <w:b/>
          <w:bCs/>
        </w:rPr>
        <w:t>For 2021</w:t>
      </w:r>
    </w:p>
    <w:p w14:paraId="4A683C30" w14:textId="77777777" w:rsidR="00C5253A" w:rsidRDefault="00C5253A" w:rsidP="00C5253A">
      <w:pPr>
        <w:rPr>
          <w:rFonts w:eastAsiaTheme="minorEastAsia" w:cs="Times New Roman"/>
          <w:b/>
          <w:szCs w:val="24"/>
        </w:rPr>
      </w:pPr>
      <w:r>
        <w:rPr>
          <w:rFonts w:cs="Times New Roman"/>
          <w:szCs w:val="24"/>
        </w:rPr>
        <w:t>=</w:t>
      </w:r>
      <m:oMath>
        <m:f>
          <m:fPr>
            <m:ctrlPr>
              <w:rPr>
                <w:rFonts w:ascii="Cambria Math" w:hAnsi="Cambria Math" w:cs="Times New Roman"/>
                <w:i/>
                <w:sz w:val="28"/>
                <w:szCs w:val="28"/>
              </w:rPr>
            </m:ctrlPr>
          </m:fPr>
          <m:num>
            <m:r>
              <w:rPr>
                <w:rFonts w:ascii="Cambria Math" w:hAnsi="Cambria Math" w:cs="Times New Roman"/>
                <w:sz w:val="28"/>
                <w:szCs w:val="28"/>
              </w:rPr>
              <m:t xml:space="preserve">708 </m:t>
            </m:r>
          </m:num>
          <m:den>
            <m:r>
              <w:rPr>
                <w:rFonts w:ascii="Cambria Math" w:hAnsi="Cambria Math" w:cs="Times New Roman"/>
                <w:sz w:val="28"/>
                <w:szCs w:val="28"/>
              </w:rPr>
              <m:t xml:space="preserve">3,235  </m:t>
            </m:r>
          </m:den>
        </m:f>
        <m:r>
          <w:rPr>
            <w:rFonts w:ascii="Cambria Math" w:eastAsiaTheme="minorEastAsia" w:hAnsi="Cambria Math" w:cs="Times New Roman"/>
            <w:sz w:val="28"/>
            <w:szCs w:val="28"/>
          </w:rPr>
          <m:t>*365 days</m:t>
        </m:r>
      </m:oMath>
    </w:p>
    <w:p w14:paraId="1BD9CCF0" w14:textId="77777777" w:rsidR="00C5253A" w:rsidRDefault="00C5253A" w:rsidP="00C5253A">
      <w:pPr>
        <w:rPr>
          <w:rFonts w:eastAsiaTheme="minorEastAsia" w:cs="Times New Roman"/>
          <w:b/>
          <w:szCs w:val="24"/>
        </w:rPr>
      </w:pPr>
      <w:r>
        <w:rPr>
          <w:rFonts w:eastAsiaTheme="minorEastAsia" w:cs="Times New Roman"/>
          <w:szCs w:val="24"/>
        </w:rPr>
        <w:t xml:space="preserve">= 80 days  </w:t>
      </w:r>
    </w:p>
    <w:p w14:paraId="0D97E251" w14:textId="77777777" w:rsidR="00C5253A" w:rsidRDefault="00C5253A" w:rsidP="00C5253A">
      <w:pPr>
        <w:rPr>
          <w:rFonts w:eastAsiaTheme="minorEastAsia" w:cs="Times New Roman"/>
          <w:b/>
          <w:szCs w:val="24"/>
        </w:rPr>
      </w:pPr>
    </w:p>
    <w:p w14:paraId="16D1E9B6" w14:textId="77777777" w:rsidR="00C5253A" w:rsidRPr="00C416C9" w:rsidRDefault="00C5253A" w:rsidP="00C5253A">
      <w:pPr>
        <w:rPr>
          <w:rFonts w:ascii="Arial" w:hAnsi="Arial" w:cs="Arial"/>
          <w:b/>
          <w:bCs/>
        </w:rPr>
      </w:pPr>
      <w:r w:rsidRPr="00C416C9">
        <w:rPr>
          <w:rFonts w:ascii="Arial" w:hAnsi="Arial" w:cs="Arial"/>
          <w:b/>
          <w:bCs/>
        </w:rPr>
        <w:t>Debtors Collection Period:</w:t>
      </w:r>
    </w:p>
    <w:p w14:paraId="0DFFAC02" w14:textId="77777777" w:rsidR="00C5253A" w:rsidRPr="00C416C9" w:rsidRDefault="00C5253A" w:rsidP="00C5253A">
      <w:pPr>
        <w:rPr>
          <w:rFonts w:ascii="Arial" w:hAnsi="Arial" w:cs="Arial"/>
          <w:b/>
          <w:bCs/>
        </w:rPr>
      </w:pPr>
      <w:r w:rsidRPr="00C416C9">
        <w:rPr>
          <w:rFonts w:ascii="Arial" w:hAnsi="Arial" w:cs="Arial"/>
          <w:b/>
          <w:bCs/>
        </w:rPr>
        <w:t>Debtor collection period = (accounts receivables / total sales) × 365</w:t>
      </w:r>
    </w:p>
    <w:p w14:paraId="247687BE" w14:textId="77777777" w:rsidR="00C5253A" w:rsidRPr="00C416C9" w:rsidRDefault="00C5253A" w:rsidP="00C5253A">
      <w:pPr>
        <w:rPr>
          <w:rFonts w:ascii="Arial" w:hAnsi="Arial" w:cs="Arial"/>
        </w:rPr>
      </w:pPr>
      <w:r w:rsidRPr="00C416C9">
        <w:rPr>
          <w:rFonts w:ascii="Arial" w:hAnsi="Arial" w:cs="Arial"/>
        </w:rPr>
        <w:t xml:space="preserve">The cash conversion ratio is another </w:t>
      </w:r>
      <w:proofErr w:type="spellStart"/>
      <w:r w:rsidRPr="00C416C9">
        <w:rPr>
          <w:rFonts w:ascii="Arial" w:hAnsi="Arial" w:cs="Arial"/>
        </w:rPr>
        <w:t>another</w:t>
      </w:r>
      <w:proofErr w:type="spellEnd"/>
      <w:r w:rsidRPr="00C416C9">
        <w:rPr>
          <w:rFonts w:ascii="Arial" w:hAnsi="Arial" w:cs="Arial"/>
        </w:rPr>
        <w:t xml:space="preserve"> metric that may be used to evaluate a company's ability to convert credit sales into cash </w:t>
      </w:r>
      <w:proofErr w:type="gramStart"/>
      <w:r w:rsidRPr="00C416C9">
        <w:rPr>
          <w:rFonts w:ascii="Arial" w:hAnsi="Arial" w:cs="Arial"/>
        </w:rPr>
        <w:t>flow</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rPr>
        <w:t xml:space="preserve">. Comparisons may be made by the company about the amount of time that passes between the granting of credit or the potential supply of credit and the receipt of payment. An increase in productivity can make it possible to do the same amount of work in a shorter length of time. This statistic might be used by the company to evaluate how much longer it really takes to collect compared to the theoretical credit term. </w:t>
      </w:r>
    </w:p>
    <w:p w14:paraId="724254A5" w14:textId="77777777" w:rsidR="00C5253A" w:rsidRPr="00C416C9" w:rsidRDefault="00C5253A" w:rsidP="00C5253A">
      <w:pPr>
        <w:rPr>
          <w:rFonts w:ascii="Arial" w:hAnsi="Arial" w:cs="Arial"/>
          <w:b/>
          <w:bCs/>
        </w:rPr>
      </w:pPr>
      <w:r w:rsidRPr="00C416C9">
        <w:rPr>
          <w:rFonts w:ascii="Arial" w:hAnsi="Arial" w:cs="Arial"/>
          <w:b/>
          <w:bCs/>
        </w:rPr>
        <w:t>For 2020</w:t>
      </w:r>
    </w:p>
    <w:p w14:paraId="75B628DC" w14:textId="77777777" w:rsidR="00C5253A" w:rsidRPr="00C5253A" w:rsidRDefault="00C5253A" w:rsidP="00C5253A">
      <w:pPr>
        <w:rPr>
          <w:rFonts w:eastAsiaTheme="minorEastAsia" w:cs="Times New Roman"/>
          <w:sz w:val="28"/>
          <w:szCs w:val="28"/>
        </w:rPr>
      </w:pPr>
      <w:r w:rsidRPr="00C5253A">
        <w:rPr>
          <w:rFonts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 xml:space="preserve">1,287 </m:t>
            </m:r>
          </m:num>
          <m:den>
            <m:r>
              <w:rPr>
                <w:rFonts w:ascii="Cambria Math" w:hAnsi="Cambria Math" w:cs="Times New Roman"/>
                <w:sz w:val="28"/>
                <w:szCs w:val="28"/>
              </w:rPr>
              <m:t xml:space="preserve">6,441  </m:t>
            </m:r>
          </m:den>
        </m:f>
        <m:r>
          <w:rPr>
            <w:rFonts w:ascii="Cambria Math" w:hAnsi="Cambria Math" w:cs="Times New Roman"/>
            <w:sz w:val="28"/>
            <w:szCs w:val="28"/>
          </w:rPr>
          <m:t>*365 days</m:t>
        </m:r>
      </m:oMath>
    </w:p>
    <w:p w14:paraId="684A87EA" w14:textId="77777777" w:rsidR="00C5253A" w:rsidRDefault="00C5253A" w:rsidP="00C5253A">
      <w:pPr>
        <w:rPr>
          <w:rFonts w:eastAsiaTheme="minorEastAsia" w:cs="Times New Roman"/>
          <w:szCs w:val="24"/>
        </w:rPr>
      </w:pPr>
      <w:r>
        <w:rPr>
          <w:rFonts w:eastAsiaTheme="minorEastAsia" w:cs="Times New Roman"/>
          <w:szCs w:val="24"/>
        </w:rPr>
        <w:t>= 73 days</w:t>
      </w:r>
    </w:p>
    <w:p w14:paraId="0E4D0FED" w14:textId="77777777" w:rsidR="00C5253A" w:rsidRPr="00C416C9" w:rsidRDefault="00C5253A" w:rsidP="00C5253A">
      <w:pPr>
        <w:rPr>
          <w:rFonts w:ascii="Arial" w:hAnsi="Arial" w:cs="Arial"/>
          <w:b/>
          <w:bCs/>
        </w:rPr>
      </w:pPr>
      <w:r w:rsidRPr="00C416C9">
        <w:rPr>
          <w:rFonts w:ascii="Arial" w:hAnsi="Arial" w:cs="Arial"/>
          <w:b/>
          <w:bCs/>
        </w:rPr>
        <w:t>For 2021</w:t>
      </w:r>
    </w:p>
    <w:p w14:paraId="3D68AA80" w14:textId="77777777" w:rsidR="00C5253A" w:rsidRPr="00C5253A" w:rsidRDefault="00C5253A" w:rsidP="00C5253A">
      <w:pPr>
        <w:rPr>
          <w:rFonts w:eastAsiaTheme="minorEastAsia" w:cs="Times New Roman"/>
          <w:sz w:val="28"/>
          <w:szCs w:val="28"/>
        </w:rPr>
      </w:pPr>
      <w:r w:rsidRPr="00C5253A">
        <w:rPr>
          <w:rFonts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 xml:space="preserve">1,249 </m:t>
            </m:r>
          </m:num>
          <m:den>
            <m:r>
              <w:rPr>
                <w:rFonts w:ascii="Cambria Math" w:hAnsi="Cambria Math" w:cs="Times New Roman"/>
                <w:sz w:val="28"/>
                <w:szCs w:val="28"/>
              </w:rPr>
              <m:t xml:space="preserve">6,738  </m:t>
            </m:r>
          </m:den>
        </m:f>
        <m:r>
          <w:rPr>
            <w:rFonts w:ascii="Cambria Math" w:eastAsiaTheme="minorEastAsia" w:hAnsi="Cambria Math" w:cs="Times New Roman"/>
            <w:sz w:val="28"/>
            <w:szCs w:val="28"/>
          </w:rPr>
          <m:t>*365 days</m:t>
        </m:r>
      </m:oMath>
    </w:p>
    <w:p w14:paraId="7361BB33" w14:textId="77777777" w:rsidR="00C5253A" w:rsidRDefault="00C5253A" w:rsidP="00C5253A">
      <w:pPr>
        <w:rPr>
          <w:rFonts w:eastAsiaTheme="minorEastAsia" w:cs="Times New Roman"/>
          <w:szCs w:val="24"/>
        </w:rPr>
      </w:pPr>
      <w:r>
        <w:rPr>
          <w:rFonts w:eastAsiaTheme="minorEastAsia" w:cs="Times New Roman"/>
          <w:szCs w:val="24"/>
        </w:rPr>
        <w:lastRenderedPageBreak/>
        <w:t>= 68 days</w:t>
      </w:r>
    </w:p>
    <w:p w14:paraId="07579768" w14:textId="77777777" w:rsidR="00C5253A" w:rsidRPr="00C416C9" w:rsidRDefault="00C5253A" w:rsidP="00C5253A">
      <w:pPr>
        <w:rPr>
          <w:rFonts w:ascii="Arial" w:hAnsi="Arial" w:cs="Arial"/>
          <w:b/>
          <w:bCs/>
        </w:rPr>
      </w:pPr>
      <w:r w:rsidRPr="00C416C9">
        <w:rPr>
          <w:rFonts w:ascii="Arial" w:hAnsi="Arial" w:cs="Arial"/>
          <w:b/>
          <w:bCs/>
        </w:rPr>
        <w:t>Current Ratio:</w:t>
      </w:r>
    </w:p>
    <w:p w14:paraId="46581845" w14:textId="77777777" w:rsidR="00C5253A" w:rsidRPr="00C416C9" w:rsidRDefault="00C5253A" w:rsidP="00C5253A">
      <w:pPr>
        <w:rPr>
          <w:rFonts w:ascii="Arial" w:hAnsi="Arial" w:cs="Arial"/>
          <w:b/>
          <w:bCs/>
          <w:lang w:val="fr-FR"/>
        </w:rPr>
      </w:pPr>
      <w:proofErr w:type="spellStart"/>
      <w:r w:rsidRPr="00C416C9">
        <w:rPr>
          <w:rFonts w:ascii="Arial" w:hAnsi="Arial" w:cs="Arial"/>
          <w:b/>
          <w:bCs/>
          <w:lang w:val="fr-FR"/>
        </w:rPr>
        <w:t>Current</w:t>
      </w:r>
      <w:proofErr w:type="spellEnd"/>
      <w:r w:rsidRPr="00C416C9">
        <w:rPr>
          <w:rFonts w:ascii="Arial" w:hAnsi="Arial" w:cs="Arial"/>
          <w:b/>
          <w:bCs/>
          <w:lang w:val="fr-FR"/>
        </w:rPr>
        <w:t xml:space="preserve"> ratio = (</w:t>
      </w:r>
      <w:proofErr w:type="spellStart"/>
      <w:r w:rsidRPr="00C416C9">
        <w:rPr>
          <w:rFonts w:ascii="Arial" w:hAnsi="Arial" w:cs="Arial"/>
          <w:b/>
          <w:bCs/>
          <w:lang w:val="fr-FR"/>
        </w:rPr>
        <w:t>current</w:t>
      </w:r>
      <w:proofErr w:type="spellEnd"/>
      <w:r w:rsidRPr="00C416C9">
        <w:rPr>
          <w:rFonts w:ascii="Arial" w:hAnsi="Arial" w:cs="Arial"/>
          <w:b/>
          <w:bCs/>
          <w:lang w:val="fr-FR"/>
        </w:rPr>
        <w:t xml:space="preserve"> assets / </w:t>
      </w:r>
      <w:proofErr w:type="spellStart"/>
      <w:r w:rsidRPr="00C416C9">
        <w:rPr>
          <w:rFonts w:ascii="Arial" w:hAnsi="Arial" w:cs="Arial"/>
          <w:b/>
          <w:bCs/>
          <w:lang w:val="fr-FR"/>
        </w:rPr>
        <w:t>current</w:t>
      </w:r>
      <w:proofErr w:type="spellEnd"/>
      <w:r w:rsidRPr="00C416C9">
        <w:rPr>
          <w:rFonts w:ascii="Arial" w:hAnsi="Arial" w:cs="Arial"/>
          <w:b/>
          <w:bCs/>
          <w:lang w:val="fr-FR"/>
        </w:rPr>
        <w:t xml:space="preserve"> </w:t>
      </w:r>
      <w:proofErr w:type="spellStart"/>
      <w:r w:rsidRPr="00C416C9">
        <w:rPr>
          <w:rFonts w:ascii="Arial" w:hAnsi="Arial" w:cs="Arial"/>
          <w:b/>
          <w:bCs/>
          <w:lang w:val="fr-FR"/>
        </w:rPr>
        <w:t>liabilities</w:t>
      </w:r>
      <w:proofErr w:type="spellEnd"/>
      <w:r w:rsidRPr="00C416C9">
        <w:rPr>
          <w:rFonts w:ascii="Arial" w:hAnsi="Arial" w:cs="Arial"/>
          <w:b/>
          <w:bCs/>
          <w:lang w:val="fr-FR"/>
        </w:rPr>
        <w:t>)</w:t>
      </w:r>
    </w:p>
    <w:p w14:paraId="3CA7DE57" w14:textId="77777777" w:rsidR="00C5253A" w:rsidRPr="00C416C9" w:rsidRDefault="00C5253A" w:rsidP="00C5253A">
      <w:pPr>
        <w:rPr>
          <w:rFonts w:ascii="Arial" w:hAnsi="Arial" w:cs="Arial"/>
          <w:lang w:val="en-US"/>
        </w:rPr>
      </w:pPr>
      <w:r w:rsidRPr="00C416C9">
        <w:rPr>
          <w:rFonts w:ascii="Arial" w:hAnsi="Arial" w:cs="Arial"/>
          <w:lang w:val="en-US"/>
        </w:rPr>
        <w:t xml:space="preserve">This ratio calculates the percentage of a company's current assets that can be applied toward paying off its current </w:t>
      </w:r>
      <w:proofErr w:type="gramStart"/>
      <w:r w:rsidRPr="00C416C9">
        <w:rPr>
          <w:rFonts w:ascii="Arial" w:hAnsi="Arial" w:cs="Arial"/>
          <w:lang w:val="en-US"/>
        </w:rPr>
        <w:t>liabilities</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lang w:val="en-US"/>
        </w:rPr>
        <w:t xml:space="preserve">. It is used to evaluate the company's liquidity. Using the current ratio, which demonstrates a company's ability to pay down its short-term debt using its current assets, investors </w:t>
      </w:r>
      <w:proofErr w:type="gramStart"/>
      <w:r w:rsidRPr="00C416C9">
        <w:rPr>
          <w:rFonts w:ascii="Arial" w:hAnsi="Arial" w:cs="Arial"/>
          <w:lang w:val="en-US"/>
        </w:rPr>
        <w:t>are able to</w:t>
      </w:r>
      <w:proofErr w:type="gramEnd"/>
      <w:r w:rsidRPr="00C416C9">
        <w:rPr>
          <w:rFonts w:ascii="Arial" w:hAnsi="Arial" w:cs="Arial"/>
          <w:lang w:val="en-US"/>
        </w:rPr>
        <w:t xml:space="preserve"> compare one company's performance to that of its competitors and peers in the industry. The current ratio has the disadvantage of making it difficult to compare performance metrics across different industries. </w:t>
      </w:r>
    </w:p>
    <w:p w14:paraId="0F099031" w14:textId="77777777" w:rsidR="00C5253A" w:rsidRPr="00C416C9" w:rsidRDefault="00C5253A" w:rsidP="00C5253A">
      <w:pPr>
        <w:rPr>
          <w:rFonts w:ascii="Arial" w:hAnsi="Arial" w:cs="Arial"/>
          <w:b/>
          <w:bCs/>
          <w:lang w:val="fr-FR"/>
        </w:rPr>
      </w:pPr>
      <w:r w:rsidRPr="00C416C9">
        <w:rPr>
          <w:rFonts w:ascii="Arial" w:hAnsi="Arial" w:cs="Arial"/>
          <w:b/>
          <w:bCs/>
          <w:lang w:val="fr-FR"/>
        </w:rPr>
        <w:t>For 2020</w:t>
      </w:r>
    </w:p>
    <w:p w14:paraId="7CED6071" w14:textId="77777777" w:rsidR="00C5253A" w:rsidRPr="00C5253A" w:rsidRDefault="00C5253A" w:rsidP="00C5253A">
      <w:pPr>
        <w:rPr>
          <w:rFonts w:eastAsiaTheme="minorEastAsia" w:cs="Times New Roman"/>
          <w:sz w:val="28"/>
          <w:szCs w:val="28"/>
        </w:rPr>
      </w:pPr>
      <w:r w:rsidRPr="00C5253A">
        <w:rPr>
          <w:rFonts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 xml:space="preserve">2,355 </m:t>
            </m:r>
          </m:num>
          <m:den>
            <m:r>
              <w:rPr>
                <w:rFonts w:ascii="Cambria Math" w:hAnsi="Cambria Math" w:cs="Times New Roman"/>
                <w:sz w:val="28"/>
                <w:szCs w:val="28"/>
              </w:rPr>
              <m:t xml:space="preserve">3,046 </m:t>
            </m:r>
          </m:den>
        </m:f>
      </m:oMath>
    </w:p>
    <w:p w14:paraId="3999DB8B" w14:textId="61861160" w:rsidR="00C5253A" w:rsidRDefault="00C5253A" w:rsidP="00C5253A">
      <w:pPr>
        <w:rPr>
          <w:rFonts w:eastAsiaTheme="minorEastAsia" w:cs="Times New Roman"/>
          <w:szCs w:val="24"/>
        </w:rPr>
      </w:pPr>
      <w:r>
        <w:rPr>
          <w:rFonts w:eastAsiaTheme="minorEastAsia" w:cs="Times New Roman"/>
          <w:szCs w:val="24"/>
        </w:rPr>
        <w:t>= 0.77</w:t>
      </w:r>
      <w:r w:rsidR="00922F53">
        <w:rPr>
          <w:rFonts w:eastAsiaTheme="minorEastAsia" w:cs="Times New Roman"/>
          <w:szCs w:val="24"/>
        </w:rPr>
        <w:t xml:space="preserve"> or </w:t>
      </w:r>
      <w:r w:rsidR="007F137D">
        <w:rPr>
          <w:rFonts w:eastAsiaTheme="minorEastAsia" w:cs="Times New Roman"/>
          <w:szCs w:val="24"/>
        </w:rPr>
        <w:t>1: .77</w:t>
      </w:r>
    </w:p>
    <w:p w14:paraId="5E882D26" w14:textId="77777777" w:rsidR="00C5253A" w:rsidRPr="00C416C9" w:rsidRDefault="00C5253A" w:rsidP="00C5253A">
      <w:pPr>
        <w:rPr>
          <w:rFonts w:ascii="Arial" w:hAnsi="Arial" w:cs="Arial"/>
          <w:b/>
          <w:bCs/>
          <w:lang w:val="fr-FR"/>
        </w:rPr>
      </w:pPr>
      <w:r w:rsidRPr="00C416C9">
        <w:rPr>
          <w:rFonts w:ascii="Arial" w:hAnsi="Arial" w:cs="Arial"/>
          <w:b/>
          <w:bCs/>
          <w:lang w:val="fr-FR"/>
        </w:rPr>
        <w:t>For 2021</w:t>
      </w:r>
    </w:p>
    <w:p w14:paraId="2938F9DA" w14:textId="77777777" w:rsidR="00C5253A" w:rsidRPr="00C5253A" w:rsidRDefault="00C5253A" w:rsidP="00C5253A">
      <w:pPr>
        <w:rPr>
          <w:rFonts w:eastAsiaTheme="minorEastAsia" w:cs="Times New Roman"/>
          <w:sz w:val="28"/>
          <w:szCs w:val="28"/>
        </w:rPr>
      </w:pPr>
      <w:r w:rsidRPr="00C5253A">
        <w:rPr>
          <w:rFonts w:cs="Times New Roman"/>
          <w:sz w:val="28"/>
          <w:szCs w:val="28"/>
        </w:rPr>
        <w:t>=</w:t>
      </w:r>
      <m:oMath>
        <m:f>
          <m:fPr>
            <m:ctrlPr>
              <w:rPr>
                <w:rFonts w:ascii="Cambria Math" w:hAnsi="Cambria Math" w:cs="Times New Roman"/>
                <w:i/>
                <w:sz w:val="28"/>
                <w:szCs w:val="28"/>
              </w:rPr>
            </m:ctrlPr>
          </m:fPr>
          <m:num>
            <m:r>
              <w:rPr>
                <w:rFonts w:ascii="Cambria Math" w:hAnsi="Cambria Math" w:cs="Times New Roman"/>
                <w:sz w:val="28"/>
                <w:szCs w:val="28"/>
              </w:rPr>
              <m:t xml:space="preserve">2,303 </m:t>
            </m:r>
          </m:num>
          <m:den>
            <m:r>
              <w:rPr>
                <w:rFonts w:ascii="Cambria Math" w:hAnsi="Cambria Math" w:cs="Times New Roman"/>
                <w:sz w:val="28"/>
                <w:szCs w:val="28"/>
              </w:rPr>
              <m:t xml:space="preserve">2,511  </m:t>
            </m:r>
          </m:den>
        </m:f>
      </m:oMath>
    </w:p>
    <w:p w14:paraId="09D5DB05" w14:textId="5A1D57FB" w:rsidR="00C5253A" w:rsidRDefault="00C5253A" w:rsidP="00C5253A">
      <w:pPr>
        <w:rPr>
          <w:rFonts w:eastAsiaTheme="minorEastAsia" w:cs="Times New Roman"/>
          <w:szCs w:val="24"/>
        </w:rPr>
      </w:pPr>
      <w:r>
        <w:rPr>
          <w:rFonts w:eastAsiaTheme="minorEastAsia" w:cs="Times New Roman"/>
          <w:szCs w:val="24"/>
        </w:rPr>
        <w:t xml:space="preserve"> = 0.92</w:t>
      </w:r>
      <w:r w:rsidR="007F137D">
        <w:rPr>
          <w:rFonts w:eastAsiaTheme="minorEastAsia" w:cs="Times New Roman"/>
          <w:szCs w:val="24"/>
        </w:rPr>
        <w:t xml:space="preserve"> or </w:t>
      </w:r>
      <w:r w:rsidR="00805BA0">
        <w:rPr>
          <w:rFonts w:eastAsiaTheme="minorEastAsia" w:cs="Times New Roman"/>
          <w:szCs w:val="24"/>
        </w:rPr>
        <w:t>1:</w:t>
      </w:r>
      <w:r w:rsidR="00D27DB2">
        <w:rPr>
          <w:rFonts w:eastAsiaTheme="minorEastAsia" w:cs="Times New Roman"/>
          <w:szCs w:val="24"/>
        </w:rPr>
        <w:t xml:space="preserve"> </w:t>
      </w:r>
      <w:r w:rsidR="00805BA0">
        <w:rPr>
          <w:rFonts w:eastAsiaTheme="minorEastAsia" w:cs="Times New Roman"/>
          <w:szCs w:val="24"/>
        </w:rPr>
        <w:t>.92</w:t>
      </w:r>
    </w:p>
    <w:p w14:paraId="6C3FF27B" w14:textId="77777777" w:rsidR="00C5253A" w:rsidRPr="00C416C9" w:rsidRDefault="00C5253A" w:rsidP="00C5253A">
      <w:pPr>
        <w:rPr>
          <w:rFonts w:ascii="Arial" w:hAnsi="Arial" w:cs="Arial"/>
          <w:b/>
          <w:bCs/>
        </w:rPr>
      </w:pPr>
      <w:r w:rsidRPr="00C416C9">
        <w:rPr>
          <w:rFonts w:ascii="Arial" w:hAnsi="Arial" w:cs="Arial"/>
          <w:b/>
          <w:bCs/>
        </w:rPr>
        <w:t>Gearing Ratio:</w:t>
      </w:r>
    </w:p>
    <w:p w14:paraId="6C464434" w14:textId="77777777" w:rsidR="00C5253A" w:rsidRPr="00C416C9" w:rsidRDefault="00C5253A" w:rsidP="00C5253A">
      <w:pPr>
        <w:rPr>
          <w:rFonts w:ascii="Arial" w:hAnsi="Arial" w:cs="Arial"/>
          <w:b/>
          <w:bCs/>
        </w:rPr>
      </w:pPr>
      <w:r w:rsidRPr="00C416C9">
        <w:rPr>
          <w:rFonts w:ascii="Arial" w:hAnsi="Arial" w:cs="Arial"/>
          <w:b/>
          <w:bCs/>
        </w:rPr>
        <w:t>Gearing ratio = total debt / total equity</w:t>
      </w:r>
    </w:p>
    <w:p w14:paraId="5EB371E7" w14:textId="77777777" w:rsidR="00C5253A" w:rsidRPr="00C416C9" w:rsidRDefault="00C5253A" w:rsidP="00C5253A">
      <w:pPr>
        <w:rPr>
          <w:rFonts w:ascii="Arial" w:hAnsi="Arial" w:cs="Arial"/>
        </w:rPr>
      </w:pPr>
      <w:r w:rsidRPr="00C416C9">
        <w:rPr>
          <w:rFonts w:ascii="Arial" w:hAnsi="Arial" w:cs="Arial"/>
        </w:rPr>
        <w:t xml:space="preserve">This measure of long-term solvency is used to determine a company's reliance on debt financing to support its asset structure and take advantage of growth </w:t>
      </w:r>
      <w:proofErr w:type="gramStart"/>
      <w:r w:rsidRPr="00C416C9">
        <w:rPr>
          <w:rFonts w:ascii="Arial" w:hAnsi="Arial" w:cs="Arial"/>
        </w:rPr>
        <w:t>prospects</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rPr>
        <w:t>. A company's gearing ratio shows its debt-to-capital ratio. Gearing ratios show a company's financial stability. "Gearing" is a measure of financial leverage that reveals how much a company's operations are supported by equity investors. The proportion of a company's activities supported by equity investors determines its gearing. Robinson (Robinson, 2020). Gearing ratio measures a company's</w:t>
      </w:r>
      <w:r w:rsidRPr="00C5253A">
        <w:t xml:space="preserve"> </w:t>
      </w:r>
      <w:r w:rsidRPr="00C416C9">
        <w:rPr>
          <w:rFonts w:ascii="Arial" w:hAnsi="Arial" w:cs="Arial"/>
        </w:rPr>
        <w:lastRenderedPageBreak/>
        <w:t>bankruptcy risk. Too much debt might cause financial problems for a corporation. A low gearing ratio indicates a high equity-to-debt ratio.</w:t>
      </w:r>
    </w:p>
    <w:p w14:paraId="2525A43B" w14:textId="3889AD6C" w:rsidR="00C5253A" w:rsidRPr="00C416C9" w:rsidRDefault="00C5253A" w:rsidP="00C5253A">
      <w:pPr>
        <w:rPr>
          <w:rFonts w:ascii="Arial" w:hAnsi="Arial" w:cs="Arial"/>
          <w:b/>
          <w:bCs/>
        </w:rPr>
      </w:pPr>
      <w:r w:rsidRPr="00C416C9">
        <w:rPr>
          <w:rFonts w:ascii="Arial" w:hAnsi="Arial" w:cs="Arial"/>
          <w:b/>
          <w:bCs/>
        </w:rPr>
        <w:t xml:space="preserve">For 2020 </w:t>
      </w:r>
    </w:p>
    <w:p w14:paraId="17447809" w14:textId="77777777" w:rsidR="00D412DF" w:rsidRDefault="000927B9" w:rsidP="000927B9">
      <w:pPr>
        <w:rPr>
          <w:rFonts w:eastAsiaTheme="minorEastAsia" w:cs="Times New Roman"/>
          <w:sz w:val="32"/>
          <w:szCs w:val="32"/>
        </w:rPr>
      </w:pPr>
      <w:r w:rsidRPr="000927B9">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7,175 </m:t>
            </m:r>
          </m:num>
          <m:den>
            <m:r>
              <w:rPr>
                <w:rFonts w:ascii="Cambria Math" w:hAnsi="Cambria Math" w:cs="Times New Roman"/>
                <w:sz w:val="32"/>
                <w:szCs w:val="32"/>
              </w:rPr>
              <m:t xml:space="preserve">2,912  </m:t>
            </m:r>
          </m:den>
        </m:f>
      </m:oMath>
    </w:p>
    <w:p w14:paraId="7590BD45" w14:textId="27A2452C" w:rsidR="00C5253A" w:rsidRPr="00D412DF" w:rsidRDefault="000927B9" w:rsidP="000927B9">
      <w:pPr>
        <w:rPr>
          <w:rFonts w:eastAsiaTheme="minorEastAsia" w:cs="Times New Roman"/>
          <w:sz w:val="32"/>
          <w:szCs w:val="32"/>
        </w:rPr>
      </w:pPr>
      <w:r>
        <w:rPr>
          <w:rFonts w:eastAsiaTheme="minorEastAsia" w:cs="Times New Roman"/>
          <w:szCs w:val="24"/>
        </w:rPr>
        <w:t>= 2.46</w:t>
      </w:r>
    </w:p>
    <w:p w14:paraId="4CB9F88D" w14:textId="77777777" w:rsidR="000927B9" w:rsidRPr="00C416C9" w:rsidRDefault="000927B9" w:rsidP="000927B9">
      <w:pPr>
        <w:rPr>
          <w:rFonts w:ascii="Arial" w:hAnsi="Arial" w:cs="Arial"/>
          <w:b/>
          <w:bCs/>
        </w:rPr>
      </w:pPr>
      <w:r w:rsidRPr="00C416C9">
        <w:rPr>
          <w:rFonts w:ascii="Arial" w:hAnsi="Arial" w:cs="Arial"/>
          <w:b/>
          <w:bCs/>
        </w:rPr>
        <w:t>For 2021</w:t>
      </w:r>
    </w:p>
    <w:p w14:paraId="15811610" w14:textId="77777777" w:rsidR="000927B9" w:rsidRPr="000927B9" w:rsidRDefault="000927B9" w:rsidP="000927B9">
      <w:pPr>
        <w:rPr>
          <w:rFonts w:eastAsiaTheme="minorEastAsia" w:cs="Times New Roman"/>
          <w:sz w:val="32"/>
          <w:szCs w:val="32"/>
        </w:rPr>
      </w:pPr>
      <w:r w:rsidRPr="000927B9">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6,648 </m:t>
            </m:r>
          </m:num>
          <m:den>
            <m:r>
              <w:rPr>
                <w:rFonts w:ascii="Cambria Math" w:hAnsi="Cambria Math" w:cs="Times New Roman"/>
                <w:sz w:val="32"/>
                <w:szCs w:val="32"/>
              </w:rPr>
              <m:t xml:space="preserve">3,088  </m:t>
            </m:r>
          </m:den>
        </m:f>
      </m:oMath>
    </w:p>
    <w:p w14:paraId="14381950" w14:textId="77777777" w:rsidR="000927B9" w:rsidRDefault="000927B9" w:rsidP="000927B9">
      <w:r>
        <w:t>= 2.15</w:t>
      </w:r>
    </w:p>
    <w:p w14:paraId="472FE010" w14:textId="77777777" w:rsidR="000927B9" w:rsidRPr="00C416C9" w:rsidRDefault="000927B9" w:rsidP="000927B9">
      <w:pPr>
        <w:rPr>
          <w:rFonts w:ascii="Arial" w:hAnsi="Arial" w:cs="Arial"/>
          <w:b/>
          <w:bCs/>
        </w:rPr>
      </w:pPr>
      <w:r w:rsidRPr="00C416C9">
        <w:rPr>
          <w:rFonts w:ascii="Arial" w:hAnsi="Arial" w:cs="Arial"/>
          <w:b/>
          <w:bCs/>
        </w:rPr>
        <w:t>Interest Coverage Ratio:</w:t>
      </w:r>
    </w:p>
    <w:p w14:paraId="12B3A307" w14:textId="77777777" w:rsidR="000927B9" w:rsidRPr="00C416C9" w:rsidRDefault="000927B9" w:rsidP="000927B9">
      <w:pPr>
        <w:rPr>
          <w:rFonts w:ascii="Arial" w:hAnsi="Arial" w:cs="Arial"/>
        </w:rPr>
      </w:pPr>
      <w:r w:rsidRPr="00C416C9">
        <w:rPr>
          <w:rFonts w:ascii="Arial" w:hAnsi="Arial" w:cs="Arial"/>
        </w:rPr>
        <w:t>Interest coverage ratio = EBIT / total interest expense</w:t>
      </w:r>
    </w:p>
    <w:p w14:paraId="1081F586" w14:textId="77777777" w:rsidR="000927B9" w:rsidRPr="00C416C9" w:rsidRDefault="000927B9" w:rsidP="000927B9">
      <w:pPr>
        <w:rPr>
          <w:rFonts w:ascii="Arial" w:hAnsi="Arial" w:cs="Arial"/>
        </w:rPr>
      </w:pPr>
      <w:r w:rsidRPr="00C416C9">
        <w:rPr>
          <w:rFonts w:ascii="Arial" w:hAnsi="Arial" w:cs="Arial"/>
        </w:rPr>
        <w:t xml:space="preserve">A measure of a business's health that looks at interest payments as a proportion of debt is called the interest coverage ratio. It's a measure of a company's financial health that indicates whether or not its operating profit is sufficient to cover its financing </w:t>
      </w:r>
      <w:proofErr w:type="gramStart"/>
      <w:r w:rsidRPr="00C416C9">
        <w:rPr>
          <w:rFonts w:ascii="Arial" w:hAnsi="Arial" w:cs="Arial"/>
        </w:rPr>
        <w:t>costs</w:t>
      </w:r>
      <w:r w:rsidR="00EC3384" w:rsidRPr="00C416C9">
        <w:rPr>
          <w:rFonts w:ascii="Arial" w:hAnsi="Arial" w:cs="Arial"/>
        </w:rPr>
        <w:t>(</w:t>
      </w:r>
      <w:proofErr w:type="gramEnd"/>
      <w:r w:rsidR="00EC3384" w:rsidRPr="00C416C9">
        <w:rPr>
          <w:rFonts w:ascii="Arial" w:hAnsi="Arial" w:cs="Arial"/>
          <w:shd w:val="clear" w:color="auto" w:fill="FFFFFF"/>
        </w:rPr>
        <w:t>Marquardt, 2006)</w:t>
      </w:r>
      <w:r w:rsidRPr="00C416C9">
        <w:rPr>
          <w:rFonts w:ascii="Arial" w:hAnsi="Arial" w:cs="Arial"/>
        </w:rPr>
        <w:t xml:space="preserve">.  </w:t>
      </w:r>
    </w:p>
    <w:p w14:paraId="64B4CF13" w14:textId="77777777" w:rsidR="000927B9" w:rsidRPr="00C416C9" w:rsidRDefault="000927B9" w:rsidP="000927B9">
      <w:pPr>
        <w:rPr>
          <w:rFonts w:ascii="Arial" w:hAnsi="Arial" w:cs="Arial"/>
          <w:b/>
          <w:bCs/>
        </w:rPr>
      </w:pPr>
      <w:r w:rsidRPr="00C416C9">
        <w:rPr>
          <w:rFonts w:ascii="Arial" w:hAnsi="Arial" w:cs="Arial"/>
          <w:b/>
          <w:bCs/>
        </w:rPr>
        <w:t>For 2020</w:t>
      </w:r>
    </w:p>
    <w:p w14:paraId="0778EAFD" w14:textId="6A06BB65" w:rsidR="000927B9" w:rsidRPr="000927B9" w:rsidRDefault="000927B9" w:rsidP="000927B9">
      <w:pPr>
        <w:rPr>
          <w:rFonts w:eastAsiaTheme="minorEastAsia" w:cs="Times New Roman"/>
          <w:sz w:val="32"/>
          <w:szCs w:val="32"/>
        </w:rPr>
      </w:pPr>
      <w:r w:rsidRPr="000927B9">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720 </m:t>
            </m:r>
          </m:num>
          <m:den>
            <m:r>
              <w:rPr>
                <w:rFonts w:ascii="Cambria Math" w:hAnsi="Cambria Math" w:cs="Times New Roman"/>
                <w:sz w:val="32"/>
                <w:szCs w:val="32"/>
              </w:rPr>
              <m:t xml:space="preserve">181 </m:t>
            </m:r>
          </m:den>
        </m:f>
      </m:oMath>
    </w:p>
    <w:p w14:paraId="44DBB2A4" w14:textId="2D0E9A72" w:rsidR="000927B9" w:rsidRDefault="000927B9" w:rsidP="000927B9">
      <w:pPr>
        <w:rPr>
          <w:rFonts w:eastAsiaTheme="minorEastAsia" w:cs="Times New Roman"/>
          <w:szCs w:val="24"/>
        </w:rPr>
      </w:pPr>
      <w:r>
        <w:rPr>
          <w:rFonts w:eastAsiaTheme="minorEastAsia" w:cs="Times New Roman"/>
          <w:szCs w:val="24"/>
        </w:rPr>
        <w:t>= 3.</w:t>
      </w:r>
      <w:r w:rsidR="009252CB">
        <w:rPr>
          <w:rFonts w:eastAsiaTheme="minorEastAsia" w:cs="Times New Roman"/>
          <w:szCs w:val="24"/>
        </w:rPr>
        <w:t>97</w:t>
      </w:r>
      <w:r>
        <w:rPr>
          <w:rFonts w:eastAsiaTheme="minorEastAsia" w:cs="Times New Roman"/>
          <w:szCs w:val="24"/>
        </w:rPr>
        <w:t xml:space="preserve">  </w:t>
      </w:r>
    </w:p>
    <w:p w14:paraId="3B612967" w14:textId="77777777" w:rsidR="000927B9" w:rsidRPr="00C416C9" w:rsidRDefault="000927B9" w:rsidP="000927B9">
      <w:pPr>
        <w:rPr>
          <w:rFonts w:ascii="Arial" w:hAnsi="Arial" w:cs="Arial"/>
          <w:b/>
          <w:bCs/>
        </w:rPr>
      </w:pPr>
      <w:r w:rsidRPr="00C416C9">
        <w:rPr>
          <w:rFonts w:ascii="Arial" w:hAnsi="Arial" w:cs="Arial"/>
          <w:b/>
          <w:bCs/>
        </w:rPr>
        <w:t>For 2021</w:t>
      </w:r>
    </w:p>
    <w:p w14:paraId="197E1682" w14:textId="684DA29B" w:rsidR="000927B9" w:rsidRPr="000927B9" w:rsidRDefault="000927B9" w:rsidP="000927B9">
      <w:pPr>
        <w:rPr>
          <w:rFonts w:eastAsiaTheme="minorEastAsia" w:cs="Times New Roman"/>
          <w:sz w:val="32"/>
          <w:szCs w:val="32"/>
        </w:rPr>
      </w:pPr>
      <w:r w:rsidRPr="000927B9">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846 </m:t>
            </m:r>
          </m:num>
          <m:den>
            <m:r>
              <w:rPr>
                <w:rFonts w:ascii="Cambria Math" w:hAnsi="Cambria Math" w:cs="Times New Roman"/>
                <w:sz w:val="32"/>
                <w:szCs w:val="32"/>
              </w:rPr>
              <m:t xml:space="preserve"> 226  </m:t>
            </m:r>
          </m:den>
        </m:f>
      </m:oMath>
    </w:p>
    <w:p w14:paraId="153234A6" w14:textId="7904B556" w:rsidR="000927B9" w:rsidRDefault="000927B9" w:rsidP="000927B9">
      <w:pPr>
        <w:rPr>
          <w:rFonts w:eastAsiaTheme="minorEastAsia" w:cs="Times New Roman"/>
          <w:szCs w:val="24"/>
        </w:rPr>
      </w:pPr>
      <w:r>
        <w:rPr>
          <w:rFonts w:eastAsiaTheme="minorEastAsia" w:cs="Times New Roman"/>
          <w:szCs w:val="24"/>
        </w:rPr>
        <w:t>= 3.</w:t>
      </w:r>
      <w:r w:rsidR="009252CB">
        <w:rPr>
          <w:rFonts w:eastAsiaTheme="minorEastAsia" w:cs="Times New Roman"/>
          <w:szCs w:val="24"/>
        </w:rPr>
        <w:t>74</w:t>
      </w:r>
    </w:p>
    <w:p w14:paraId="421A795B" w14:textId="77777777" w:rsidR="000927B9" w:rsidRPr="00C416C9" w:rsidRDefault="000927B9" w:rsidP="000927B9">
      <w:pPr>
        <w:pStyle w:val="Heading2"/>
        <w:rPr>
          <w:rFonts w:ascii="Arial" w:hAnsi="Arial" w:cs="Arial"/>
          <w:sz w:val="24"/>
          <w:szCs w:val="24"/>
        </w:rPr>
      </w:pPr>
      <w:bookmarkStart w:id="6" w:name="_Toc120132705"/>
      <w:r w:rsidRPr="00C416C9">
        <w:rPr>
          <w:rFonts w:ascii="Arial" w:hAnsi="Arial" w:cs="Arial"/>
          <w:sz w:val="24"/>
          <w:szCs w:val="24"/>
        </w:rPr>
        <w:lastRenderedPageBreak/>
        <w:t>Requirement B</w:t>
      </w:r>
      <w:bookmarkEnd w:id="6"/>
      <w:r w:rsidRPr="00C416C9">
        <w:rPr>
          <w:rFonts w:ascii="Arial" w:hAnsi="Arial" w:cs="Arial"/>
          <w:sz w:val="24"/>
          <w:szCs w:val="24"/>
        </w:rPr>
        <w:t xml:space="preserve"> </w:t>
      </w:r>
    </w:p>
    <w:p w14:paraId="0CAE629E" w14:textId="60911421" w:rsidR="000927B9" w:rsidRPr="00C416C9" w:rsidRDefault="000927B9" w:rsidP="000927B9">
      <w:pPr>
        <w:rPr>
          <w:rFonts w:ascii="Arial" w:hAnsi="Arial" w:cs="Arial"/>
          <w:szCs w:val="24"/>
        </w:rPr>
      </w:pPr>
      <w:r w:rsidRPr="00C416C9">
        <w:rPr>
          <w:rFonts w:ascii="Arial" w:hAnsi="Arial" w:cs="Arial"/>
          <w:szCs w:val="24"/>
        </w:rPr>
        <w:t>2020 and 2021 ROCE were both greater than the prior year. A high return on capital employed (ROCE) indicates Sweets PLC is getting more money to expand and create money for its stockholders</w:t>
      </w:r>
      <w:r w:rsidR="00471098">
        <w:rPr>
          <w:rFonts w:ascii="Arial" w:hAnsi="Arial" w:cs="Arial"/>
          <w:szCs w:val="24"/>
        </w:rPr>
        <w:t xml:space="preserve"> </w:t>
      </w:r>
      <w:r w:rsidR="00EC3384" w:rsidRPr="00C416C9">
        <w:rPr>
          <w:rFonts w:ascii="Arial" w:hAnsi="Arial" w:cs="Arial"/>
          <w:szCs w:val="24"/>
        </w:rPr>
        <w:t>(</w:t>
      </w:r>
      <w:r w:rsidR="00EC3384" w:rsidRPr="00C416C9">
        <w:rPr>
          <w:rFonts w:ascii="Arial" w:hAnsi="Arial" w:cs="Arial"/>
          <w:szCs w:val="24"/>
          <w:shd w:val="clear" w:color="auto" w:fill="FFFFFF"/>
        </w:rPr>
        <w:t>Marquardt, 2006)</w:t>
      </w:r>
      <w:r w:rsidRPr="00C416C9">
        <w:rPr>
          <w:rFonts w:ascii="Arial" w:hAnsi="Arial" w:cs="Arial"/>
          <w:szCs w:val="24"/>
        </w:rPr>
        <w:t>.</w:t>
      </w:r>
    </w:p>
    <w:p w14:paraId="1909F09D" w14:textId="4E490B49" w:rsidR="000927B9" w:rsidRPr="00C416C9" w:rsidRDefault="000927B9" w:rsidP="000927B9">
      <w:pPr>
        <w:rPr>
          <w:rFonts w:ascii="Arial" w:hAnsi="Arial" w:cs="Arial"/>
          <w:szCs w:val="24"/>
        </w:rPr>
      </w:pPr>
      <w:r w:rsidRPr="00C416C9">
        <w:rPr>
          <w:rFonts w:ascii="Arial" w:hAnsi="Arial" w:cs="Arial"/>
          <w:szCs w:val="24"/>
        </w:rPr>
        <w:t>2020 and 2021 ROE were 0.1</w:t>
      </w:r>
      <w:r w:rsidR="0076795B" w:rsidRPr="00C416C9">
        <w:rPr>
          <w:rFonts w:ascii="Arial" w:hAnsi="Arial" w:cs="Arial"/>
          <w:szCs w:val="24"/>
        </w:rPr>
        <w:t>9</w:t>
      </w:r>
      <w:r w:rsidRPr="00C416C9">
        <w:rPr>
          <w:rFonts w:ascii="Arial" w:hAnsi="Arial" w:cs="Arial"/>
          <w:szCs w:val="24"/>
        </w:rPr>
        <w:t xml:space="preserve"> and 0.</w:t>
      </w:r>
      <w:r w:rsidR="0076795B" w:rsidRPr="00C416C9">
        <w:rPr>
          <w:rFonts w:ascii="Arial" w:hAnsi="Arial" w:cs="Arial"/>
          <w:szCs w:val="24"/>
        </w:rPr>
        <w:t>21</w:t>
      </w:r>
      <w:r w:rsidRPr="00C416C9">
        <w:rPr>
          <w:rFonts w:ascii="Arial" w:hAnsi="Arial" w:cs="Arial"/>
          <w:szCs w:val="24"/>
        </w:rPr>
        <w:t>. Both years were improved. Sweets PLC may transform investors' money into cash if it earns a satisfactory return. High return on equity implies Sweets PLC's management grew the firm via capital investments. When ROE rises, it suggests shareholders' money was well-used.</w:t>
      </w:r>
    </w:p>
    <w:p w14:paraId="2D6066C4" w14:textId="6FF42EEB" w:rsidR="000927B9" w:rsidRPr="00C416C9" w:rsidRDefault="000927B9" w:rsidP="000927B9">
      <w:pPr>
        <w:rPr>
          <w:rFonts w:ascii="Arial" w:hAnsi="Arial" w:cs="Arial"/>
          <w:szCs w:val="24"/>
        </w:rPr>
      </w:pPr>
      <w:r w:rsidRPr="00C416C9">
        <w:rPr>
          <w:rFonts w:ascii="Arial" w:hAnsi="Arial" w:cs="Arial"/>
          <w:szCs w:val="24"/>
        </w:rPr>
        <w:t xml:space="preserve">2020 and 2021 EPS were </w:t>
      </w:r>
      <w:r w:rsidR="00A70546" w:rsidRPr="00C416C9">
        <w:rPr>
          <w:rFonts w:ascii="Arial" w:hAnsi="Arial" w:cs="Arial"/>
          <w:szCs w:val="24"/>
        </w:rPr>
        <w:t>7,32</w:t>
      </w:r>
      <w:r w:rsidRPr="00C416C9">
        <w:rPr>
          <w:rFonts w:ascii="Arial" w:hAnsi="Arial" w:cs="Arial"/>
          <w:szCs w:val="24"/>
        </w:rPr>
        <w:t xml:space="preserve"> and</w:t>
      </w:r>
      <w:r w:rsidR="00A70546" w:rsidRPr="00C416C9">
        <w:rPr>
          <w:rFonts w:ascii="Arial" w:hAnsi="Arial" w:cs="Arial"/>
          <w:szCs w:val="24"/>
        </w:rPr>
        <w:t xml:space="preserve"> 8,67</w:t>
      </w:r>
      <w:r w:rsidRPr="00C416C9">
        <w:rPr>
          <w:rFonts w:ascii="Arial" w:hAnsi="Arial" w:cs="Arial"/>
          <w:szCs w:val="24"/>
        </w:rPr>
        <w:t>. Both years were improved. If a company's profits are higher than its share price, investors will pay more for its shares. EPS reflects this.</w:t>
      </w:r>
    </w:p>
    <w:p w14:paraId="66533BBA" w14:textId="77777777" w:rsidR="000927B9" w:rsidRPr="00C416C9" w:rsidRDefault="000927B9" w:rsidP="000927B9">
      <w:pPr>
        <w:rPr>
          <w:rFonts w:ascii="Arial" w:hAnsi="Arial" w:cs="Arial"/>
          <w:szCs w:val="24"/>
        </w:rPr>
      </w:pPr>
      <w:r w:rsidRPr="00C416C9">
        <w:rPr>
          <w:rFonts w:ascii="Arial" w:hAnsi="Arial" w:cs="Arial"/>
          <w:szCs w:val="24"/>
        </w:rPr>
        <w:t>In 2021, the net profit margin grew. Sweets PLC may maintain a good net profit margin by keeping expenses low and/or charging high prices. Good management might increase this ratio.</w:t>
      </w:r>
    </w:p>
    <w:p w14:paraId="22273633" w14:textId="77777777" w:rsidR="000927B9" w:rsidRPr="00C416C9" w:rsidRDefault="000927B9" w:rsidP="000927B9">
      <w:pPr>
        <w:rPr>
          <w:rFonts w:ascii="Arial" w:hAnsi="Arial" w:cs="Arial"/>
          <w:szCs w:val="24"/>
        </w:rPr>
      </w:pPr>
      <w:r w:rsidRPr="00C416C9">
        <w:rPr>
          <w:rFonts w:ascii="Arial" w:hAnsi="Arial" w:cs="Arial"/>
          <w:szCs w:val="24"/>
        </w:rPr>
        <w:t>Asset turnover increased in 2021 versus 2020. It's great. High turnover. Sweets PLC does well with its assets. The asset turnover ratio outperforms other organisations in the same industry.</w:t>
      </w:r>
    </w:p>
    <w:p w14:paraId="5556FE05" w14:textId="77777777" w:rsidR="000927B9" w:rsidRPr="00C416C9" w:rsidRDefault="000927B9" w:rsidP="000927B9">
      <w:pPr>
        <w:rPr>
          <w:rFonts w:ascii="Arial" w:hAnsi="Arial" w:cs="Arial"/>
          <w:szCs w:val="24"/>
        </w:rPr>
      </w:pPr>
      <w:r w:rsidRPr="00C416C9">
        <w:rPr>
          <w:rFonts w:ascii="Arial" w:hAnsi="Arial" w:cs="Arial"/>
          <w:szCs w:val="24"/>
        </w:rPr>
        <w:t xml:space="preserve">In 2020 and 2021, stocks were held for 77.69 and 79.88 days, respectively. Sweets PLC may need to sell unsold products quickly to meet demand (a high </w:t>
      </w:r>
      <w:proofErr w:type="gramStart"/>
      <w:r w:rsidRPr="00C416C9">
        <w:rPr>
          <w:rFonts w:ascii="Arial" w:hAnsi="Arial" w:cs="Arial"/>
          <w:szCs w:val="24"/>
        </w:rPr>
        <w:t>days</w:t>
      </w:r>
      <w:proofErr w:type="gramEnd"/>
      <w:r w:rsidRPr="00C416C9">
        <w:rPr>
          <w:rFonts w:ascii="Arial" w:hAnsi="Arial" w:cs="Arial"/>
          <w:szCs w:val="24"/>
        </w:rPr>
        <w:t xml:space="preserve"> inventory outstanding). Too much stock or poor sales might cause this. Things that accumulate dust will ultimately grow old and worthless, which is terrible for a company.</w:t>
      </w:r>
    </w:p>
    <w:p w14:paraId="055BE833" w14:textId="77777777" w:rsidR="000927B9" w:rsidRPr="00C416C9" w:rsidRDefault="000927B9" w:rsidP="000927B9">
      <w:pPr>
        <w:rPr>
          <w:rFonts w:ascii="Arial" w:hAnsi="Arial" w:cs="Arial"/>
          <w:szCs w:val="24"/>
        </w:rPr>
      </w:pPr>
      <w:r w:rsidRPr="00C416C9">
        <w:rPr>
          <w:rFonts w:ascii="Arial" w:hAnsi="Arial" w:cs="Arial"/>
          <w:szCs w:val="24"/>
        </w:rPr>
        <w:t>In 2020 and 2021, it took 37.34 and 38.35 days to receive money from debtors. Sweets PLC's slow payment signals payment delays. This isn't how the firm operates. Sweets PLC's customers may pay slowly, delaying payment.</w:t>
      </w:r>
    </w:p>
    <w:p w14:paraId="31E7B2F6" w14:textId="77777777" w:rsidR="000927B9" w:rsidRPr="00C416C9" w:rsidRDefault="000927B9" w:rsidP="000927B9">
      <w:pPr>
        <w:rPr>
          <w:rFonts w:ascii="Arial" w:hAnsi="Arial" w:cs="Arial"/>
          <w:szCs w:val="24"/>
        </w:rPr>
      </w:pPr>
      <w:r w:rsidRPr="00C416C9">
        <w:rPr>
          <w:rFonts w:ascii="Arial" w:hAnsi="Arial" w:cs="Arial"/>
          <w:szCs w:val="24"/>
        </w:rPr>
        <w:t>2020 and 2021 had greater ratios than the previous year: 0.77 and 0.92. Sweets PLC has adequate cash on hand to meet its short-term obligations. Higher current ratio Sweets PLC is more liquid.</w:t>
      </w:r>
    </w:p>
    <w:p w14:paraId="20C95751" w14:textId="77777777" w:rsidR="000927B9" w:rsidRPr="00C416C9" w:rsidRDefault="000927B9" w:rsidP="000927B9">
      <w:pPr>
        <w:rPr>
          <w:rFonts w:ascii="Arial" w:hAnsi="Arial" w:cs="Arial"/>
          <w:szCs w:val="24"/>
        </w:rPr>
      </w:pPr>
      <w:r w:rsidRPr="00C416C9">
        <w:rPr>
          <w:rFonts w:ascii="Arial" w:hAnsi="Arial" w:cs="Arial"/>
          <w:szCs w:val="24"/>
        </w:rPr>
        <w:lastRenderedPageBreak/>
        <w:t>In 2020 and 2021, the gearing ratio was 2.46 and 2.15, respectively. Low gearing indicates debt isn't too high relative to equity. A low gearing ratio doesn't automatically signal a company's finances are healthy.</w:t>
      </w:r>
    </w:p>
    <w:p w14:paraId="672790FF" w14:textId="567DAEF9" w:rsidR="000927B9" w:rsidRPr="00C416C9" w:rsidRDefault="000927B9" w:rsidP="000927B9">
      <w:pPr>
        <w:rPr>
          <w:rFonts w:ascii="Arial" w:hAnsi="Arial" w:cs="Arial"/>
        </w:rPr>
      </w:pPr>
      <w:r w:rsidRPr="00C416C9">
        <w:rPr>
          <w:rFonts w:ascii="Arial" w:hAnsi="Arial" w:cs="Arial"/>
        </w:rPr>
        <w:t xml:space="preserve">In 2020, interest coverage was </w:t>
      </w:r>
      <w:r w:rsidR="002B63BE" w:rsidRPr="00C416C9">
        <w:rPr>
          <w:rFonts w:ascii="Arial" w:hAnsi="Arial" w:cs="Arial"/>
        </w:rPr>
        <w:t>3.97</w:t>
      </w:r>
      <w:r w:rsidRPr="00C416C9">
        <w:rPr>
          <w:rFonts w:ascii="Arial" w:hAnsi="Arial" w:cs="Arial"/>
        </w:rPr>
        <w:t xml:space="preserve">, while in 2021 it was just </w:t>
      </w:r>
      <w:r w:rsidR="002B63BE" w:rsidRPr="00C416C9">
        <w:rPr>
          <w:rFonts w:ascii="Arial" w:hAnsi="Arial" w:cs="Arial"/>
        </w:rPr>
        <w:t>3.74</w:t>
      </w:r>
      <w:r w:rsidRPr="00C416C9">
        <w:rPr>
          <w:rFonts w:ascii="Arial" w:hAnsi="Arial" w:cs="Arial"/>
        </w:rPr>
        <w:t>. When the interest coverage ratio is low, debt may not be paid, leading to bankruptcy. Low interest coverage suggests there aren't enough revenues to pay off debt.</w:t>
      </w:r>
    </w:p>
    <w:p w14:paraId="5E9D0E7A" w14:textId="77777777" w:rsidR="004C41EF" w:rsidRDefault="004C41EF" w:rsidP="000927B9">
      <w:pPr>
        <w:pStyle w:val="Heading1"/>
      </w:pPr>
      <w:bookmarkStart w:id="7" w:name="_Toc120132706"/>
    </w:p>
    <w:p w14:paraId="546067C8" w14:textId="77777777" w:rsidR="001239DA" w:rsidRDefault="001239DA" w:rsidP="000927B9">
      <w:pPr>
        <w:pStyle w:val="Heading1"/>
      </w:pPr>
    </w:p>
    <w:p w14:paraId="73F266EB" w14:textId="6AE7A98D" w:rsidR="000927B9" w:rsidRPr="001F6CE4" w:rsidRDefault="000927B9" w:rsidP="000927B9">
      <w:pPr>
        <w:pStyle w:val="Heading1"/>
        <w:rPr>
          <w:rFonts w:ascii="Arial" w:hAnsi="Arial" w:cs="Arial"/>
          <w:sz w:val="24"/>
          <w:szCs w:val="24"/>
        </w:rPr>
      </w:pPr>
      <w:r w:rsidRPr="001F6CE4">
        <w:rPr>
          <w:rFonts w:ascii="Arial" w:hAnsi="Arial" w:cs="Arial"/>
          <w:sz w:val="24"/>
          <w:szCs w:val="24"/>
        </w:rPr>
        <w:t>References</w:t>
      </w:r>
      <w:bookmarkEnd w:id="7"/>
      <w:r w:rsidRPr="001F6CE4">
        <w:rPr>
          <w:rFonts w:ascii="Arial" w:hAnsi="Arial" w:cs="Arial"/>
          <w:sz w:val="24"/>
          <w:szCs w:val="24"/>
        </w:rPr>
        <w:t xml:space="preserve"> </w:t>
      </w:r>
    </w:p>
    <w:p w14:paraId="35632EDF" w14:textId="77777777" w:rsidR="009268A0" w:rsidRPr="001F6CE4" w:rsidRDefault="009268A0" w:rsidP="009268A0">
      <w:pPr>
        <w:rPr>
          <w:rFonts w:ascii="Arial" w:hAnsi="Arial" w:cs="Arial"/>
          <w:szCs w:val="24"/>
          <w:shd w:val="clear" w:color="auto" w:fill="FFFFFF"/>
        </w:rPr>
      </w:pPr>
      <w:r w:rsidRPr="001F6CE4">
        <w:rPr>
          <w:rFonts w:ascii="Arial" w:hAnsi="Arial" w:cs="Arial"/>
          <w:szCs w:val="24"/>
          <w:shd w:val="clear" w:color="auto" w:fill="FFFFFF"/>
        </w:rPr>
        <w:t>Halpin, D.W. and Senior, B.A., 2009. Financial management and accounting fundamentals for construction. John Wiley &amp; Sons.</w:t>
      </w:r>
    </w:p>
    <w:p w14:paraId="3909F143" w14:textId="77777777" w:rsidR="009268A0" w:rsidRPr="001F6CE4" w:rsidRDefault="009268A0" w:rsidP="009268A0">
      <w:pPr>
        <w:rPr>
          <w:rFonts w:ascii="Arial" w:hAnsi="Arial" w:cs="Arial"/>
          <w:szCs w:val="24"/>
          <w:shd w:val="clear" w:color="auto" w:fill="FFFFFF"/>
        </w:rPr>
      </w:pPr>
      <w:r w:rsidRPr="001F6CE4">
        <w:rPr>
          <w:rFonts w:ascii="Arial" w:hAnsi="Arial" w:cs="Arial"/>
          <w:szCs w:val="24"/>
          <w:shd w:val="clear" w:color="auto" w:fill="FFFFFF"/>
        </w:rPr>
        <w:t>Wild, J.J., 2007. Financial accounting fundamentals. McGraw-Hill/Irwin.</w:t>
      </w:r>
    </w:p>
    <w:p w14:paraId="4D795F6C" w14:textId="77777777" w:rsidR="009268A0" w:rsidRPr="001F6CE4" w:rsidRDefault="009268A0" w:rsidP="009268A0">
      <w:pPr>
        <w:rPr>
          <w:rFonts w:ascii="Arial" w:hAnsi="Arial" w:cs="Arial"/>
          <w:szCs w:val="24"/>
          <w:shd w:val="clear" w:color="auto" w:fill="FFFFFF"/>
        </w:rPr>
      </w:pPr>
      <w:proofErr w:type="spellStart"/>
      <w:r w:rsidRPr="001F6CE4">
        <w:rPr>
          <w:rFonts w:ascii="Arial" w:hAnsi="Arial" w:cs="Arial"/>
          <w:szCs w:val="24"/>
          <w:shd w:val="clear" w:color="auto" w:fill="FFFFFF"/>
        </w:rPr>
        <w:t>Lanen</w:t>
      </w:r>
      <w:proofErr w:type="spellEnd"/>
      <w:r w:rsidRPr="001F6CE4">
        <w:rPr>
          <w:rFonts w:ascii="Arial" w:hAnsi="Arial" w:cs="Arial"/>
          <w:szCs w:val="24"/>
          <w:shd w:val="clear" w:color="auto" w:fill="FFFFFF"/>
        </w:rPr>
        <w:t>, W., 2010. Fundamentals of cost accounting. McGraw-Hill Education.</w:t>
      </w:r>
    </w:p>
    <w:p w14:paraId="444E8208" w14:textId="77777777" w:rsidR="009268A0" w:rsidRPr="001F6CE4" w:rsidRDefault="009268A0" w:rsidP="009268A0">
      <w:pPr>
        <w:rPr>
          <w:rFonts w:ascii="Arial" w:hAnsi="Arial" w:cs="Arial"/>
          <w:szCs w:val="24"/>
          <w:shd w:val="clear" w:color="auto" w:fill="FFFFFF"/>
        </w:rPr>
      </w:pPr>
      <w:r w:rsidRPr="001F6CE4">
        <w:rPr>
          <w:rFonts w:ascii="Arial" w:hAnsi="Arial" w:cs="Arial"/>
          <w:szCs w:val="24"/>
          <w:shd w:val="clear" w:color="auto" w:fill="FFFFFF"/>
        </w:rPr>
        <w:t>Toms, S. and Fleischman, R.K., 2015. Accounting fundamentals and accounting change: Boulton &amp; Watt and the Springfield Armory. Accounting, organizations and Society, 41, pp.1-20.</w:t>
      </w:r>
    </w:p>
    <w:p w14:paraId="12DF57E8" w14:textId="77777777" w:rsidR="009268A0" w:rsidRPr="001F6CE4" w:rsidRDefault="009268A0" w:rsidP="009268A0">
      <w:pPr>
        <w:rPr>
          <w:rFonts w:ascii="Arial" w:hAnsi="Arial" w:cs="Arial"/>
          <w:szCs w:val="24"/>
          <w:shd w:val="clear" w:color="auto" w:fill="FFFFFF"/>
        </w:rPr>
      </w:pPr>
      <w:proofErr w:type="spellStart"/>
      <w:r w:rsidRPr="001F6CE4">
        <w:rPr>
          <w:rFonts w:ascii="Arial" w:hAnsi="Arial" w:cs="Arial"/>
          <w:szCs w:val="24"/>
          <w:shd w:val="clear" w:color="auto" w:fill="FFFFFF"/>
        </w:rPr>
        <w:t>Walkshäusl</w:t>
      </w:r>
      <w:proofErr w:type="spellEnd"/>
      <w:r w:rsidRPr="001F6CE4">
        <w:rPr>
          <w:rFonts w:ascii="Arial" w:hAnsi="Arial" w:cs="Arial"/>
          <w:szCs w:val="24"/>
          <w:shd w:val="clear" w:color="auto" w:fill="FFFFFF"/>
        </w:rPr>
        <w:t>, C., 2021. Predicting stock returns from the pricing and mispricing of accounting fundamentals. The Quarterly Review of Economics and Finance, 81, pp.253-260.</w:t>
      </w:r>
    </w:p>
    <w:p w14:paraId="2E8A40C1" w14:textId="5E5BF31E" w:rsidR="00C5253A" w:rsidRPr="001F6CE4" w:rsidRDefault="009268A0" w:rsidP="00C5253A">
      <w:pPr>
        <w:rPr>
          <w:rFonts w:ascii="Arial" w:hAnsi="Arial" w:cs="Arial"/>
          <w:szCs w:val="24"/>
        </w:rPr>
      </w:pPr>
      <w:r w:rsidRPr="001F6CE4">
        <w:rPr>
          <w:rFonts w:ascii="Arial" w:hAnsi="Arial" w:cs="Arial"/>
          <w:szCs w:val="24"/>
          <w:shd w:val="clear" w:color="auto" w:fill="FFFFFF"/>
        </w:rPr>
        <w:t>Klein, A. and Marquardt, C.A., 2006. Fundamentals of accounting losses. The Accounting Review, 81(1), pp.17</w:t>
      </w:r>
      <w:r w:rsidR="001F6CE4" w:rsidRPr="001F6CE4">
        <w:rPr>
          <w:rFonts w:ascii="Arial" w:hAnsi="Arial" w:cs="Arial"/>
          <w:szCs w:val="24"/>
          <w:shd w:val="clear" w:color="auto" w:fill="FFFFFF"/>
        </w:rPr>
        <w:t>9-206.</w:t>
      </w:r>
    </w:p>
    <w:p w14:paraId="08E2E5BD" w14:textId="77777777" w:rsidR="00C5253A" w:rsidRPr="00C5253A" w:rsidRDefault="00C5253A" w:rsidP="00C5253A">
      <w:pPr>
        <w:rPr>
          <w:lang w:val="en-US"/>
        </w:rPr>
      </w:pPr>
    </w:p>
    <w:p w14:paraId="43A165D0" w14:textId="79EDAFEC" w:rsidR="0020285E" w:rsidRPr="00C5253A" w:rsidRDefault="0020285E" w:rsidP="0020285E">
      <w:pPr>
        <w:rPr>
          <w:b/>
          <w:bCs/>
          <w:lang w:val="en-US"/>
        </w:rPr>
      </w:pPr>
    </w:p>
    <w:p w14:paraId="164BD0D9" w14:textId="77777777" w:rsidR="009E7CEF" w:rsidRDefault="009E7CEF"/>
    <w:sectPr w:rsidR="009E7C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C3CA3"/>
    <w:multiLevelType w:val="hybridMultilevel"/>
    <w:tmpl w:val="E264C368"/>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3B85376"/>
    <w:multiLevelType w:val="hybridMultilevel"/>
    <w:tmpl w:val="4162B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3755AA"/>
    <w:multiLevelType w:val="hybridMultilevel"/>
    <w:tmpl w:val="5CB88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6304955">
    <w:abstractNumId w:val="0"/>
  </w:num>
  <w:num w:numId="2" w16cid:durableId="733820520">
    <w:abstractNumId w:val="2"/>
  </w:num>
  <w:num w:numId="3" w16cid:durableId="960459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CEF"/>
    <w:rsid w:val="000927B9"/>
    <w:rsid w:val="001239DA"/>
    <w:rsid w:val="00126010"/>
    <w:rsid w:val="001614D9"/>
    <w:rsid w:val="001B1CF4"/>
    <w:rsid w:val="001F6CE4"/>
    <w:rsid w:val="0020285E"/>
    <w:rsid w:val="00202C71"/>
    <w:rsid w:val="00204572"/>
    <w:rsid w:val="00251E7E"/>
    <w:rsid w:val="00290467"/>
    <w:rsid w:val="002B1021"/>
    <w:rsid w:val="002B63BE"/>
    <w:rsid w:val="002C7C75"/>
    <w:rsid w:val="002E4B22"/>
    <w:rsid w:val="00307AFC"/>
    <w:rsid w:val="00313E94"/>
    <w:rsid w:val="0032389F"/>
    <w:rsid w:val="00324FAC"/>
    <w:rsid w:val="0033105F"/>
    <w:rsid w:val="00353D96"/>
    <w:rsid w:val="003B65A3"/>
    <w:rsid w:val="004444CA"/>
    <w:rsid w:val="00471098"/>
    <w:rsid w:val="004752A3"/>
    <w:rsid w:val="0048574B"/>
    <w:rsid w:val="004A316C"/>
    <w:rsid w:val="004C41EF"/>
    <w:rsid w:val="00505D92"/>
    <w:rsid w:val="00574742"/>
    <w:rsid w:val="00584013"/>
    <w:rsid w:val="006329E1"/>
    <w:rsid w:val="006568A6"/>
    <w:rsid w:val="00697263"/>
    <w:rsid w:val="006E22C4"/>
    <w:rsid w:val="006E31D0"/>
    <w:rsid w:val="0076013A"/>
    <w:rsid w:val="0076795B"/>
    <w:rsid w:val="007770A6"/>
    <w:rsid w:val="007A380D"/>
    <w:rsid w:val="007F137D"/>
    <w:rsid w:val="00805BA0"/>
    <w:rsid w:val="00806ECB"/>
    <w:rsid w:val="00816FF3"/>
    <w:rsid w:val="00922F53"/>
    <w:rsid w:val="009252CB"/>
    <w:rsid w:val="009268A0"/>
    <w:rsid w:val="0097655C"/>
    <w:rsid w:val="009C722B"/>
    <w:rsid w:val="009E7CEF"/>
    <w:rsid w:val="00A13D69"/>
    <w:rsid w:val="00A60CE5"/>
    <w:rsid w:val="00A70546"/>
    <w:rsid w:val="00AC1BE0"/>
    <w:rsid w:val="00AD78E2"/>
    <w:rsid w:val="00B04510"/>
    <w:rsid w:val="00B27938"/>
    <w:rsid w:val="00B743EE"/>
    <w:rsid w:val="00B953D7"/>
    <w:rsid w:val="00BC0988"/>
    <w:rsid w:val="00C17F7D"/>
    <w:rsid w:val="00C416C9"/>
    <w:rsid w:val="00C5253A"/>
    <w:rsid w:val="00CC4029"/>
    <w:rsid w:val="00CD79E6"/>
    <w:rsid w:val="00CF1C01"/>
    <w:rsid w:val="00CF6707"/>
    <w:rsid w:val="00D150D1"/>
    <w:rsid w:val="00D27DB2"/>
    <w:rsid w:val="00D412DF"/>
    <w:rsid w:val="00D80012"/>
    <w:rsid w:val="00D97138"/>
    <w:rsid w:val="00DD259C"/>
    <w:rsid w:val="00E17874"/>
    <w:rsid w:val="00E230BA"/>
    <w:rsid w:val="00E8340C"/>
    <w:rsid w:val="00EB145B"/>
    <w:rsid w:val="00EB502E"/>
    <w:rsid w:val="00EC3384"/>
    <w:rsid w:val="00EC6656"/>
    <w:rsid w:val="00EF6339"/>
    <w:rsid w:val="00F549A2"/>
    <w:rsid w:val="00F6020B"/>
    <w:rsid w:val="00F71CB9"/>
    <w:rsid w:val="00F7425F"/>
    <w:rsid w:val="00FE5A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E6D65"/>
  <w15:chartTrackingRefBased/>
  <w15:docId w15:val="{F7DF7E95-BEB4-49A0-8EC3-43CA06623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8E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97263"/>
    <w:pPr>
      <w:keepNext/>
      <w:keepLines/>
      <w:spacing w:before="24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697263"/>
    <w:pPr>
      <w:keepNext/>
      <w:keepLines/>
      <w:spacing w:before="40"/>
      <w:outlineLvl w:val="1"/>
    </w:pPr>
    <w:rPr>
      <w:rFonts w:eastAsiaTheme="majorEastAsia" w:cstheme="majorBidi"/>
      <w:b/>
      <w:color w:val="222A35" w:themeColor="text2" w:themeShade="80"/>
      <w:sz w:val="26"/>
      <w:szCs w:val="26"/>
    </w:rPr>
  </w:style>
  <w:style w:type="paragraph" w:styleId="Heading3">
    <w:name w:val="heading 3"/>
    <w:basedOn w:val="Normal"/>
    <w:next w:val="Normal"/>
    <w:link w:val="Heading3Char"/>
    <w:uiPriority w:val="9"/>
    <w:semiHidden/>
    <w:unhideWhenUsed/>
    <w:qFormat/>
    <w:rsid w:val="00574742"/>
    <w:pPr>
      <w:keepNext/>
      <w:keepLines/>
      <w:spacing w:before="40"/>
      <w:outlineLvl w:val="2"/>
    </w:pPr>
    <w:rPr>
      <w:rFonts w:eastAsiaTheme="majorEastAsia" w:cstheme="majorBidi"/>
      <w:b/>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263"/>
    <w:rPr>
      <w:rFonts w:ascii="Times New Roman" w:eastAsiaTheme="majorEastAsia" w:hAnsi="Times New Roman" w:cstheme="majorBidi"/>
      <w:b/>
      <w:color w:val="1F3864" w:themeColor="accent1" w:themeShade="80"/>
      <w:kern w:val="2"/>
      <w:sz w:val="32"/>
      <w:szCs w:val="32"/>
      <w14:ligatures w14:val="standardContextual"/>
    </w:rPr>
  </w:style>
  <w:style w:type="character" w:customStyle="1" w:styleId="Heading2Char">
    <w:name w:val="Heading 2 Char"/>
    <w:basedOn w:val="DefaultParagraphFont"/>
    <w:link w:val="Heading2"/>
    <w:uiPriority w:val="9"/>
    <w:rsid w:val="00697263"/>
    <w:rPr>
      <w:rFonts w:ascii="Times New Roman" w:eastAsiaTheme="majorEastAsia" w:hAnsi="Times New Roman" w:cstheme="majorBidi"/>
      <w:b/>
      <w:color w:val="222A35" w:themeColor="text2" w:themeShade="80"/>
      <w:kern w:val="2"/>
      <w:sz w:val="26"/>
      <w:szCs w:val="26"/>
      <w14:ligatures w14:val="standardContextual"/>
    </w:rPr>
  </w:style>
  <w:style w:type="paragraph" w:styleId="Title">
    <w:name w:val="Title"/>
    <w:basedOn w:val="Normal"/>
    <w:next w:val="Normal"/>
    <w:link w:val="TitleChar"/>
    <w:uiPriority w:val="10"/>
    <w:qFormat/>
    <w:rsid w:val="00A13D69"/>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Heading3Char">
    <w:name w:val="Heading 3 Char"/>
    <w:basedOn w:val="DefaultParagraphFont"/>
    <w:link w:val="Heading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NoSpacing">
    <w:name w:val="No Spacing"/>
    <w:uiPriority w:val="1"/>
    <w:qFormat/>
    <w:rsid w:val="00202C71"/>
    <w:pPr>
      <w:spacing w:after="0" w:line="240" w:lineRule="auto"/>
    </w:pPr>
    <w:rPr>
      <w:rFonts w:ascii="Times New Roman" w:eastAsia="Arial" w:hAnsi="Times New Roman" w:cs="Arial"/>
      <w:sz w:val="24"/>
      <w:lang w:val="en"/>
    </w:rPr>
  </w:style>
  <w:style w:type="table" w:styleId="PlainTable1">
    <w:name w:val="Plain Table 1"/>
    <w:basedOn w:val="TableNormal"/>
    <w:uiPriority w:val="41"/>
    <w:rsid w:val="009E7C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230BA"/>
    <w:pPr>
      <w:spacing w:line="256" w:lineRule="auto"/>
      <w:ind w:left="720"/>
      <w:contextualSpacing/>
      <w:jc w:val="left"/>
    </w:pPr>
    <w:rPr>
      <w:rFonts w:asciiTheme="minorHAnsi" w:hAnsiTheme="minorHAnsi"/>
      <w:sz w:val="22"/>
    </w:rPr>
  </w:style>
  <w:style w:type="table" w:styleId="TableGrid">
    <w:name w:val="Table Grid"/>
    <w:basedOn w:val="TableNormal"/>
    <w:uiPriority w:val="39"/>
    <w:rsid w:val="0020285E"/>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285E"/>
    <w:pPr>
      <w:autoSpaceDE w:val="0"/>
      <w:autoSpaceDN w:val="0"/>
      <w:adjustRightInd w:val="0"/>
      <w:spacing w:after="0" w:line="240" w:lineRule="auto"/>
    </w:pPr>
    <w:rPr>
      <w:rFonts w:ascii="Times New Roman" w:hAnsi="Times New Roman" w:cs="Times New Roman"/>
      <w:color w:val="000000"/>
      <w:sz w:val="24"/>
      <w:szCs w:val="24"/>
      <w:lang w:val="en-GB"/>
    </w:rPr>
  </w:style>
  <w:style w:type="table" w:styleId="GridTable5Dark-Accent5">
    <w:name w:val="Grid Table 5 Dark Accent 5"/>
    <w:basedOn w:val="TableNormal"/>
    <w:uiPriority w:val="50"/>
    <w:rsid w:val="002028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normaltextrun">
    <w:name w:val="normaltextrun"/>
    <w:basedOn w:val="DefaultParagraphFont"/>
    <w:rsid w:val="0032389F"/>
  </w:style>
  <w:style w:type="character" w:customStyle="1" w:styleId="eop">
    <w:name w:val="eop"/>
    <w:basedOn w:val="DefaultParagraphFont"/>
    <w:rsid w:val="0032389F"/>
  </w:style>
  <w:style w:type="paragraph" w:styleId="TOCHeading">
    <w:name w:val="TOC Heading"/>
    <w:basedOn w:val="Heading1"/>
    <w:next w:val="Normal"/>
    <w:uiPriority w:val="39"/>
    <w:unhideWhenUsed/>
    <w:qFormat/>
    <w:rsid w:val="0032389F"/>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2389F"/>
    <w:pPr>
      <w:spacing w:after="100"/>
    </w:pPr>
  </w:style>
  <w:style w:type="paragraph" w:styleId="TOC2">
    <w:name w:val="toc 2"/>
    <w:basedOn w:val="Normal"/>
    <w:next w:val="Normal"/>
    <w:autoRedefine/>
    <w:uiPriority w:val="39"/>
    <w:unhideWhenUsed/>
    <w:rsid w:val="0032389F"/>
    <w:pPr>
      <w:spacing w:after="100"/>
      <w:ind w:left="240"/>
    </w:pPr>
  </w:style>
  <w:style w:type="character" w:styleId="Hyperlink">
    <w:name w:val="Hyperlink"/>
    <w:basedOn w:val="DefaultParagraphFont"/>
    <w:uiPriority w:val="99"/>
    <w:unhideWhenUsed/>
    <w:rsid w:val="0032389F"/>
    <w:rPr>
      <w:color w:val="0563C1" w:themeColor="hyperlink"/>
      <w:u w:val="single"/>
    </w:rPr>
  </w:style>
  <w:style w:type="table" w:styleId="PlainTable5">
    <w:name w:val="Plain Table 5"/>
    <w:basedOn w:val="TableNormal"/>
    <w:uiPriority w:val="45"/>
    <w:rsid w:val="0033105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6CFCA3-1CB9-487F-9483-3832A45BA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14</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 Ciobanu</dc:creator>
  <cp:keywords/>
  <dc:description/>
  <cp:lastModifiedBy>cristian ciobanu</cp:lastModifiedBy>
  <cp:revision>67</cp:revision>
  <dcterms:created xsi:type="dcterms:W3CDTF">2023-01-10T22:01:00Z</dcterms:created>
  <dcterms:modified xsi:type="dcterms:W3CDTF">2023-01-12T22:14:00Z</dcterms:modified>
</cp:coreProperties>
</file>