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F6B6AB" w14:textId="052BCEB6" w:rsidR="00E260BA" w:rsidRPr="00B42BFF" w:rsidRDefault="00E260BA" w:rsidP="00B42BFF"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Berk, L. and Roberts, W. (2009) </w:t>
      </w:r>
      <w:r w:rsidRPr="00E260B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 development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. Toronto: Pearson.</w:t>
      </w:r>
    </w:p>
    <w:p w14:paraId="0850041B" w14:textId="0D249319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Betters, E. (2017). ‘What </w:t>
      </w:r>
      <w:proofErr w:type="gramStart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is</w:t>
      </w:r>
      <w:proofErr w:type="gramEnd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YouTube Kids, how does it work, and is it really safe?’ </w:t>
      </w:r>
      <w:r w:rsidRPr="00E260B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Pocket-lint. 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7 November. Available at: </w:t>
      </w:r>
      <w:hyperlink r:id="rId6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https://www.pocket-lint.com/parenting/news/youtube/132865-what-is-youtube-kids-how-does-it-work-and-is-it-really-safe</w:t>
        </w:r>
      </w:hyperlink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 Feb 22).</w:t>
      </w:r>
    </w:p>
    <w:p w14:paraId="28FE04DA" w14:textId="3F6CA734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Blair, M, H and Grant, A. (2020). ‘Outdoor play is key to reopening and recovery.’ </w:t>
      </w:r>
      <w:r w:rsidRPr="00E260B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Schools Week. 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1 July. Available at: </w:t>
      </w:r>
      <w:hyperlink r:id="rId7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https://schoolsweek.co.uk/outdoor-play-is-key-to-reopening-and-recovery/</w:t>
        </w:r>
      </w:hyperlink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 Feb. 22).</w:t>
      </w:r>
    </w:p>
    <w:p w14:paraId="46B18FC0" w14:textId="21680D78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Blossom educational, (2019). ‘Circle Time Activities: How games can boost social development.’ </w:t>
      </w:r>
      <w:r w:rsidRPr="00E260B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Blossomeducational.com. 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31 July. Available at: </w:t>
      </w:r>
      <w:hyperlink r:id="rId8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https://blossomeducational.com/blog/the-importance-of-language-development-and-circle-time/</w:t>
        </w:r>
      </w:hyperlink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 11 Feb 22).</w:t>
      </w:r>
    </w:p>
    <w:p w14:paraId="753CB532" w14:textId="7C7CCDEB" w:rsidR="00E260BA" w:rsidRPr="00E260BA" w:rsidRDefault="00E260BA" w:rsidP="00E260BA">
      <w:pPr>
        <w:spacing w:line="360" w:lineRule="auto"/>
        <w:jc w:val="both"/>
        <w:rPr>
          <w:rFonts w:ascii="Arial" w:eastAsia="Calibri" w:hAnsi="Arial" w:cs="Arial"/>
          <w:color w:val="0563C1" w:themeColor="hyperlink"/>
          <w:sz w:val="24"/>
          <w:szCs w:val="24"/>
        </w:rPr>
      </w:pPr>
      <w:r w:rsidRPr="6D412D4E">
        <w:rPr>
          <w:rFonts w:ascii="Arial" w:eastAsia="Calibri" w:hAnsi="Arial" w:cs="Arial"/>
          <w:color w:val="000000" w:themeColor="text1"/>
          <w:sz w:val="24"/>
          <w:szCs w:val="24"/>
        </w:rPr>
        <w:t xml:space="preserve">Care Council for Wales. (2012) </w:t>
      </w:r>
      <w:r w:rsidRPr="6D412D4E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Supervising and Appraising Well. </w:t>
      </w:r>
      <w:r w:rsidRPr="6D412D4E">
        <w:rPr>
          <w:rFonts w:ascii="Arial" w:eastAsia="Calibri" w:hAnsi="Arial" w:cs="Arial"/>
          <w:color w:val="000000" w:themeColor="text1"/>
          <w:sz w:val="24"/>
          <w:szCs w:val="24"/>
        </w:rPr>
        <w:t xml:space="preserve">(Online) Available at: </w:t>
      </w:r>
      <w:hyperlink r:id="rId9">
        <w:r w:rsidRPr="6D412D4E">
          <w:rPr>
            <w:rStyle w:val="Hyperlink"/>
            <w:rFonts w:ascii="Arial" w:eastAsia="Calibri" w:hAnsi="Arial" w:cs="Arial"/>
            <w:sz w:val="24"/>
            <w:szCs w:val="24"/>
          </w:rPr>
          <w:t>https://socialcare.wales/cms_assets/file-uploads/Supervising-and-appraising-well-`1</w:t>
        </w:r>
      </w:hyperlink>
      <w:proofErr w:type="gramStart"/>
      <w:r w:rsidRPr="6D412D4E">
        <w:rPr>
          <w:rStyle w:val="Hyperlink"/>
          <w:rFonts w:ascii="Arial" w:eastAsia="Calibri" w:hAnsi="Arial" w:cs="Arial"/>
          <w:sz w:val="24"/>
          <w:szCs w:val="24"/>
        </w:rPr>
        <w:t>social-care.pdf</w:t>
      </w:r>
      <w:r w:rsidRPr="6D412D4E">
        <w:rPr>
          <w:rFonts w:ascii="Arial" w:eastAsia="Calibri" w:hAnsi="Arial" w:cs="Arial"/>
          <w:color w:val="0563C1"/>
          <w:sz w:val="24"/>
          <w:szCs w:val="24"/>
          <w:u w:val="single"/>
        </w:rPr>
        <w:t xml:space="preserve">  </w:t>
      </w:r>
      <w:r w:rsidRPr="6D412D4E">
        <w:rPr>
          <w:rFonts w:ascii="Arial" w:eastAsia="Calibri" w:hAnsi="Arial" w:cs="Arial"/>
          <w:color w:val="000000" w:themeColor="text1"/>
          <w:sz w:val="24"/>
          <w:szCs w:val="24"/>
        </w:rPr>
        <w:t>(</w:t>
      </w:r>
      <w:proofErr w:type="gramEnd"/>
      <w:r w:rsidRPr="6D412D4E">
        <w:rPr>
          <w:rFonts w:ascii="Arial" w:eastAsia="Calibri" w:hAnsi="Arial" w:cs="Arial"/>
          <w:color w:val="000000" w:themeColor="text1"/>
          <w:sz w:val="24"/>
          <w:szCs w:val="24"/>
        </w:rPr>
        <w:t>Accessed 11 Feb</w:t>
      </w:r>
      <w:r w:rsidR="00BB584F" w:rsidRPr="6D412D4E">
        <w:rPr>
          <w:rFonts w:ascii="Arial" w:eastAsia="Calibri" w:hAnsi="Arial" w:cs="Arial"/>
          <w:color w:val="000000" w:themeColor="text1"/>
          <w:sz w:val="24"/>
          <w:szCs w:val="24"/>
        </w:rPr>
        <w:t>ruary</w:t>
      </w:r>
      <w:r w:rsidRPr="6D412D4E">
        <w:rPr>
          <w:rFonts w:ascii="Arial" w:eastAsia="Calibri" w:hAnsi="Arial" w:cs="Arial"/>
          <w:color w:val="000000" w:themeColor="text1"/>
          <w:sz w:val="24"/>
          <w:szCs w:val="24"/>
        </w:rPr>
        <w:t xml:space="preserve"> 2022)</w:t>
      </w:r>
    </w:p>
    <w:p w14:paraId="5A447B3C" w14:textId="5995DB06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Childnet</w:t>
      </w:r>
      <w:proofErr w:type="spellEnd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, (</w:t>
      </w:r>
      <w:proofErr w:type="spellStart"/>
      <w:proofErr w:type="gramStart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n,d</w:t>
      </w:r>
      <w:proofErr w:type="spellEnd"/>
      <w:proofErr w:type="gramEnd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). </w:t>
      </w:r>
      <w:proofErr w:type="spellStart"/>
      <w:r w:rsidRPr="00E260B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Smartle</w:t>
      </w:r>
      <w:proofErr w:type="spellEnd"/>
      <w:r w:rsidRPr="00E260B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the Penguin resources.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10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https://www.childnet.com/resources/smartie-the-penguin/</w:t>
        </w:r>
      </w:hyperlink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10 Feb</w:t>
      </w:r>
      <w:r w:rsidR="00BB584F">
        <w:rPr>
          <w:rFonts w:ascii="Arial" w:eastAsia="Arial" w:hAnsi="Arial" w:cs="Arial"/>
          <w:color w:val="000000" w:themeColor="text1"/>
          <w:sz w:val="24"/>
          <w:szCs w:val="24"/>
        </w:rPr>
        <w:t>ruary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BB584F">
        <w:rPr>
          <w:rFonts w:ascii="Arial" w:eastAsia="Arial" w:hAnsi="Arial" w:cs="Arial"/>
          <w:color w:val="000000" w:themeColor="text1"/>
          <w:sz w:val="24"/>
          <w:szCs w:val="24"/>
        </w:rPr>
        <w:t>20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22).</w:t>
      </w:r>
    </w:p>
    <w:p w14:paraId="11876ED8" w14:textId="77777777" w:rsidR="00E260BA" w:rsidRPr="00E260BA" w:rsidRDefault="00E260BA" w:rsidP="00E260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Coates, T. (2011) ‘The Importance of CPD’, </w:t>
      </w:r>
      <w:r w:rsidRPr="00E260BA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>The Journal of Perioperative Practice</w:t>
      </w:r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, 21,9, pp. 290. </w:t>
      </w:r>
    </w:p>
    <w:p w14:paraId="13B3FC8F" w14:textId="77EE7882" w:rsidR="00E260BA" w:rsidRPr="00E260BA" w:rsidRDefault="00E260BA" w:rsidP="00E260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>Cordingly</w:t>
      </w:r>
      <w:proofErr w:type="spellEnd"/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 et al. (2005) The impact of collaborative Continuing Professional Development (CPD) on classroom teaching and learning</w:t>
      </w:r>
      <w:r>
        <w:rPr>
          <w:rFonts w:ascii="Arial" w:eastAsia="Calibri" w:hAnsi="Arial" w:cs="Arial"/>
          <w:color w:val="000000" w:themeColor="text1"/>
          <w:sz w:val="24"/>
          <w:szCs w:val="24"/>
        </w:rPr>
        <w:t xml:space="preserve">. (Online) Available at: </w:t>
      </w:r>
      <w:hyperlink r:id="rId11" w:history="1">
        <w:r w:rsidR="00CD00B4" w:rsidRPr="001F60BE">
          <w:rPr>
            <w:rStyle w:val="Hyperlink"/>
            <w:rFonts w:ascii="Arial" w:eastAsia="Calibri" w:hAnsi="Arial" w:cs="Arial"/>
            <w:sz w:val="24"/>
            <w:szCs w:val="24"/>
          </w:rPr>
          <w:t>http://www.curee.co.uk/files/publication/%5Bsite-timestamp%5D/What%20does%20teacher%20impact%20data%20tell%20us%20about%20collaborative%20CPD.pdf</w:t>
        </w:r>
      </w:hyperlink>
      <w:r w:rsidR="00CD00B4">
        <w:rPr>
          <w:rFonts w:ascii="Arial" w:eastAsia="Calibri" w:hAnsi="Arial" w:cs="Arial"/>
          <w:color w:val="000000" w:themeColor="text1"/>
          <w:sz w:val="24"/>
          <w:szCs w:val="24"/>
        </w:rPr>
        <w:t xml:space="preserve"> (Accessed 10 Feb</w:t>
      </w:r>
      <w:r w:rsidR="00BB584F">
        <w:rPr>
          <w:rFonts w:ascii="Arial" w:eastAsia="Calibri" w:hAnsi="Arial" w:cs="Arial"/>
          <w:color w:val="000000" w:themeColor="text1"/>
          <w:sz w:val="24"/>
          <w:szCs w:val="24"/>
        </w:rPr>
        <w:t>ruary</w:t>
      </w:r>
      <w:r w:rsidR="00CD00B4">
        <w:rPr>
          <w:rFonts w:ascii="Arial" w:eastAsia="Calibri" w:hAnsi="Arial" w:cs="Arial"/>
          <w:color w:val="000000" w:themeColor="text1"/>
          <w:sz w:val="24"/>
          <w:szCs w:val="24"/>
        </w:rPr>
        <w:t xml:space="preserve"> 2022)</w:t>
      </w:r>
    </w:p>
    <w:p w14:paraId="7AECB43D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Cotton, M.S. (2017)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Promoting Young Children’s Emotional Health and Wellbeing: A Practical Guide for Professionals and Parents</w:t>
      </w:r>
      <w:r w:rsidRPr="00E260BA">
        <w:rPr>
          <w:rFonts w:ascii="Arial" w:eastAsia="Arial" w:hAnsi="Arial" w:cs="Arial"/>
          <w:sz w:val="24"/>
          <w:szCs w:val="24"/>
        </w:rPr>
        <w:t>. LONDON: JESSICA KINGSLEY PUBLISHERS.</w:t>
      </w:r>
    </w:p>
    <w:p w14:paraId="28C2C659" w14:textId="1AA2F1D4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00E260BA">
        <w:rPr>
          <w:rFonts w:ascii="Arial" w:eastAsia="Arial" w:hAnsi="Arial" w:cs="Arial"/>
          <w:sz w:val="24"/>
          <w:szCs w:val="24"/>
        </w:rPr>
        <w:lastRenderedPageBreak/>
        <w:t xml:space="preserve">Cubby Care (2020)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 xml:space="preserve">Children’s Artwork- Why it’s Important to Put it on Display. </w:t>
      </w:r>
      <w:r w:rsidRPr="00E260B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2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https://cubbycare.com.au/childrens-artwork-why-its-important-to-put-it-on-display/</w:t>
        </w:r>
      </w:hyperlink>
      <w:r w:rsidRPr="00E260BA">
        <w:rPr>
          <w:rFonts w:ascii="Arial" w:eastAsia="Arial" w:hAnsi="Arial" w:cs="Arial"/>
          <w:sz w:val="24"/>
          <w:szCs w:val="24"/>
        </w:rPr>
        <w:t xml:space="preserve"> (Accessed: 10 February 2022). </w:t>
      </w:r>
    </w:p>
    <w:p w14:paraId="5F97F409" w14:textId="3953270D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Dunn, J. and Sweeney, T. (2018), </w:t>
      </w:r>
      <w:r w:rsidR="00AE38A4">
        <w:rPr>
          <w:rFonts w:ascii="Arial" w:eastAsia="Arial" w:hAnsi="Arial" w:cs="Arial"/>
          <w:color w:val="000000" w:themeColor="text1"/>
          <w:sz w:val="24"/>
          <w:szCs w:val="24"/>
        </w:rPr>
        <w:t>‘</w:t>
      </w:r>
      <w:r w:rsidRPr="00AE38A4">
        <w:rPr>
          <w:rFonts w:ascii="Arial" w:eastAsia="Arial" w:hAnsi="Arial" w:cs="Arial"/>
          <w:color w:val="000000" w:themeColor="text1"/>
          <w:sz w:val="24"/>
          <w:szCs w:val="24"/>
        </w:rPr>
        <w:t>Writing and iPads in the early years: Perspectives from within the classroom</w:t>
      </w:r>
      <w:r w:rsidR="00AE38A4" w:rsidRPr="00AE38A4">
        <w:rPr>
          <w:rFonts w:ascii="Arial" w:eastAsia="Arial" w:hAnsi="Arial" w:cs="Arial"/>
          <w:color w:val="000000" w:themeColor="text1"/>
          <w:sz w:val="24"/>
          <w:szCs w:val="24"/>
        </w:rPr>
        <w:t>’,</w:t>
      </w:r>
      <w:r w:rsidRPr="00AE38A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AE38A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Br J </w:t>
      </w:r>
      <w:proofErr w:type="spellStart"/>
      <w:r w:rsidRPr="00AE38A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Educ</w:t>
      </w:r>
      <w:proofErr w:type="spellEnd"/>
      <w:r w:rsidRPr="00AE38A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AE38A4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Technol</w:t>
      </w:r>
      <w:proofErr w:type="spellEnd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, 49</w:t>
      </w:r>
      <w:r w:rsidR="00AE38A4">
        <w:rPr>
          <w:rFonts w:ascii="Arial" w:eastAsia="Arial" w:hAnsi="Arial" w:cs="Arial"/>
          <w:color w:val="000000" w:themeColor="text1"/>
          <w:sz w:val="24"/>
          <w:szCs w:val="24"/>
        </w:rPr>
        <w:t>, pp.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859-869. doi:10.1111/bjet.12621 </w:t>
      </w:r>
    </w:p>
    <w:p w14:paraId="74C80DCF" w14:textId="35A8420A" w:rsidR="00E260BA" w:rsidRDefault="00E260BA" w:rsidP="00E260BA">
      <w:pPr>
        <w:pStyle w:val="Heading1"/>
        <w:spacing w:line="360" w:lineRule="auto"/>
        <w:jc w:val="both"/>
        <w:rPr>
          <w:rFonts w:ascii="Arial" w:eastAsia="Arial" w:hAnsi="Arial" w:cs="Arial"/>
          <w:color w:val="333333"/>
          <w:sz w:val="24"/>
          <w:szCs w:val="24"/>
        </w:rPr>
      </w:pP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EYC, K. (2015). </w:t>
      </w:r>
      <w:r w:rsidRPr="00E260BA">
        <w:rPr>
          <w:rFonts w:ascii="Arial" w:eastAsia="Arial" w:hAnsi="Arial" w:cs="Arial"/>
          <w:i/>
          <w:iCs/>
          <w:color w:val="333333"/>
          <w:sz w:val="24"/>
          <w:szCs w:val="24"/>
        </w:rPr>
        <w:t xml:space="preserve">The importance of giving children a voice. </w:t>
      </w:r>
      <w:r w:rsidRPr="00E260BA">
        <w:rPr>
          <w:rFonts w:ascii="Arial" w:eastAsia="Arial" w:hAnsi="Arial" w:cs="Arial"/>
          <w:color w:val="333333"/>
          <w:sz w:val="24"/>
          <w:szCs w:val="24"/>
        </w:rPr>
        <w:t xml:space="preserve">Early Years Careers. Available at: </w:t>
      </w:r>
      <w:hyperlink r:id="rId13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https://www.earlyyearscareers.com/eyc/latest-news/the-importance-of-giving-children-a-voice/</w:t>
        </w:r>
      </w:hyperlink>
      <w:r w:rsidRPr="00E260BA">
        <w:rPr>
          <w:rFonts w:ascii="Arial" w:eastAsia="Arial" w:hAnsi="Arial" w:cs="Arial"/>
          <w:color w:val="333333"/>
          <w:sz w:val="24"/>
          <w:szCs w:val="24"/>
        </w:rPr>
        <w:t xml:space="preserve"> (Accessed: 2 February 2022).</w:t>
      </w:r>
    </w:p>
    <w:p w14:paraId="20552732" w14:textId="77777777" w:rsidR="00AE38A4" w:rsidRPr="00AE38A4" w:rsidRDefault="00AE38A4" w:rsidP="00AE38A4"/>
    <w:p w14:paraId="1AE7B828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Giardiello, P. (2014)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Pioneers in Early Childhood Education,</w:t>
      </w:r>
      <w:r w:rsidRPr="00E260BA">
        <w:rPr>
          <w:rFonts w:ascii="Arial" w:eastAsia="Arial" w:hAnsi="Arial" w:cs="Arial"/>
          <w:sz w:val="24"/>
          <w:szCs w:val="24"/>
        </w:rPr>
        <w:t xml:space="preserve"> Oxon: Routledge</w:t>
      </w:r>
      <w:r w:rsidRPr="00E260BA">
        <w:rPr>
          <w:rFonts w:ascii="Arial" w:eastAsia="Arial" w:hAnsi="Arial" w:cs="Arial"/>
          <w:b/>
          <w:bCs/>
          <w:sz w:val="24"/>
          <w:szCs w:val="24"/>
        </w:rPr>
        <w:t>.</w:t>
      </w:r>
    </w:p>
    <w:p w14:paraId="4690A79B" w14:textId="2D903FA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HSE (2022)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 xml:space="preserve">Risk Assessments During the Coronavirus (COVID-19) Pandemic. </w:t>
      </w:r>
      <w:r w:rsidRPr="00E260B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4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https://www.hse.gov.uk/coronavirus/working-safely/risk-assessment.htm</w:t>
        </w:r>
      </w:hyperlink>
      <w:r w:rsidRPr="00E260BA">
        <w:rPr>
          <w:rFonts w:ascii="Arial" w:eastAsia="Arial" w:hAnsi="Arial" w:cs="Arial"/>
          <w:sz w:val="24"/>
          <w:szCs w:val="24"/>
        </w:rPr>
        <w:t xml:space="preserve"> (Accessed: 10 February 2022). </w:t>
      </w:r>
    </w:p>
    <w:p w14:paraId="367AAD51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Hunter, C., (2022).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Supporting Children’s Wellbeing at Nursery</w:t>
      </w:r>
      <w:r w:rsidRPr="00E260BA">
        <w:rPr>
          <w:rFonts w:ascii="Arial" w:eastAsia="Arial" w:hAnsi="Arial" w:cs="Arial"/>
          <w:sz w:val="24"/>
          <w:szCs w:val="24"/>
        </w:rPr>
        <w:t>. Teach Early Years. Available at: (</w:t>
      </w:r>
      <w:hyperlink r:id="rId15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https://www.teachearlyyears.com/a-unique-child/view/supporting-childrens-wellbeing-at-nursery</w:t>
        </w:r>
      </w:hyperlink>
      <w:r w:rsidRPr="00E260BA">
        <w:rPr>
          <w:rFonts w:ascii="Arial" w:eastAsia="Arial" w:hAnsi="Arial" w:cs="Arial"/>
          <w:sz w:val="24"/>
          <w:szCs w:val="24"/>
        </w:rPr>
        <w:t>) (Accessed 13 February 2022).</w:t>
      </w:r>
    </w:p>
    <w:p w14:paraId="21BD8D3D" w14:textId="0A811ABD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Hwb (No Date)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 xml:space="preserve">Children and Play. </w:t>
      </w:r>
      <w:r w:rsidRPr="00E260B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6" w:anchor=":~:text=McMillan%20believed%20that%20children%20learn,and%20fresh%20air%20was%20important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http://resources.hwb.wales.gov.uk/VTC/2008-09/14-19/cache/testun/testunSaesneg3.htm#:~:text=McMillan%20believed%20that%20children%20learn,and%20fresh%20air%20was%20important</w:t>
        </w:r>
      </w:hyperlink>
      <w:r w:rsidRPr="00E260BA">
        <w:rPr>
          <w:rFonts w:ascii="Arial" w:eastAsia="Arial" w:hAnsi="Arial" w:cs="Arial"/>
          <w:sz w:val="24"/>
          <w:szCs w:val="24"/>
        </w:rPr>
        <w:t>. (Accessed:10</w:t>
      </w:r>
      <w:r w:rsidRPr="00E260BA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E260BA">
        <w:rPr>
          <w:rFonts w:ascii="Arial" w:eastAsia="Arial" w:hAnsi="Arial" w:cs="Arial"/>
          <w:sz w:val="24"/>
          <w:szCs w:val="24"/>
        </w:rPr>
        <w:t xml:space="preserve"> February 2022).</w:t>
      </w:r>
    </w:p>
    <w:p w14:paraId="11373DBC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Isaac, B. (2015)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Bringing Montessori Approach to your Early Years Practice.</w:t>
      </w:r>
      <w:r w:rsidRPr="00E260BA">
        <w:rPr>
          <w:rFonts w:ascii="Arial" w:eastAsia="Arial" w:hAnsi="Arial" w:cs="Arial"/>
          <w:sz w:val="24"/>
          <w:szCs w:val="24"/>
        </w:rPr>
        <w:t xml:space="preserve"> 3</w:t>
      </w:r>
      <w:r w:rsidRPr="00E260BA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E260BA">
        <w:rPr>
          <w:rFonts w:ascii="Arial" w:eastAsia="Arial" w:hAnsi="Arial" w:cs="Arial"/>
          <w:sz w:val="24"/>
          <w:szCs w:val="24"/>
        </w:rPr>
        <w:t xml:space="preserve"> ed. Oxon: Routledge</w:t>
      </w:r>
    </w:p>
    <w:p w14:paraId="0F481716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0E260BA">
        <w:rPr>
          <w:rFonts w:ascii="Arial" w:eastAsia="Arial" w:hAnsi="Arial" w:cs="Arial"/>
          <w:sz w:val="24"/>
          <w:szCs w:val="24"/>
          <w:lang w:val="en-US"/>
        </w:rPr>
        <w:t xml:space="preserve">Jarvis, P. </w:t>
      </w:r>
      <w:proofErr w:type="spellStart"/>
      <w:r w:rsidRPr="00E260BA">
        <w:rPr>
          <w:rFonts w:ascii="Arial" w:eastAsia="Arial" w:hAnsi="Arial" w:cs="Arial"/>
          <w:sz w:val="24"/>
          <w:szCs w:val="24"/>
          <w:lang w:val="en-US"/>
        </w:rPr>
        <w:t>Swiniarski</w:t>
      </w:r>
      <w:proofErr w:type="spellEnd"/>
      <w:r w:rsidRPr="00E260BA">
        <w:rPr>
          <w:rFonts w:ascii="Arial" w:eastAsia="Arial" w:hAnsi="Arial" w:cs="Arial"/>
          <w:sz w:val="24"/>
          <w:szCs w:val="24"/>
          <w:lang w:val="en-US"/>
        </w:rPr>
        <w:t xml:space="preserve">, L. Holland, w. (2017) </w:t>
      </w:r>
      <w:r w:rsidRPr="00E260BA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Early Years Pioneers in Context </w:t>
      </w:r>
      <w:r w:rsidRPr="00E260BA">
        <w:rPr>
          <w:rFonts w:ascii="Arial" w:eastAsia="Arial" w:hAnsi="Arial" w:cs="Arial"/>
          <w:sz w:val="24"/>
          <w:szCs w:val="24"/>
          <w:lang w:val="en-US"/>
        </w:rPr>
        <w:t>Oxon: Routledge</w:t>
      </w:r>
    </w:p>
    <w:p w14:paraId="5BAA6CE6" w14:textId="77777777" w:rsidR="00E260BA" w:rsidRPr="00E260BA" w:rsidRDefault="00E260BA" w:rsidP="00E260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>Kampkotter</w:t>
      </w:r>
      <w:proofErr w:type="spellEnd"/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, P. (2016) ‘Performance Appraisals and Job Satisfaction’, </w:t>
      </w:r>
      <w:r w:rsidRPr="00E260BA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 xml:space="preserve">The International Journal of Human Resource Management, </w:t>
      </w:r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>28,5, pp. 750-774.</w:t>
      </w:r>
    </w:p>
    <w:p w14:paraId="55B1AA5B" w14:textId="72C791BF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Learning Theories (No Date)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 xml:space="preserve">Montessori Method. </w:t>
      </w:r>
      <w:r w:rsidRPr="00E260BA">
        <w:rPr>
          <w:rFonts w:ascii="Arial" w:eastAsia="Arial" w:hAnsi="Arial" w:cs="Arial"/>
          <w:sz w:val="24"/>
          <w:szCs w:val="24"/>
        </w:rPr>
        <w:t xml:space="preserve">Available at: </w:t>
      </w:r>
      <w:hyperlink r:id="rId17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https://www.learning-theories.com/montessori-method-montessori.html</w:t>
        </w:r>
      </w:hyperlink>
      <w:r w:rsidRPr="00E260BA">
        <w:rPr>
          <w:rFonts w:ascii="Arial" w:eastAsia="Arial" w:hAnsi="Arial" w:cs="Arial"/>
          <w:sz w:val="24"/>
          <w:szCs w:val="24"/>
        </w:rPr>
        <w:t xml:space="preserve"> (Accessed: 10</w:t>
      </w:r>
      <w:r w:rsidR="002D3ACA">
        <w:rPr>
          <w:rFonts w:ascii="Arial" w:eastAsia="Arial" w:hAnsi="Arial" w:cs="Arial"/>
          <w:sz w:val="24"/>
          <w:szCs w:val="24"/>
          <w:vertAlign w:val="superscript"/>
        </w:rPr>
        <w:t xml:space="preserve"> </w:t>
      </w:r>
      <w:r w:rsidRPr="00E260BA">
        <w:rPr>
          <w:rFonts w:ascii="Arial" w:eastAsia="Arial" w:hAnsi="Arial" w:cs="Arial"/>
          <w:sz w:val="24"/>
          <w:szCs w:val="24"/>
        </w:rPr>
        <w:t xml:space="preserve">February 2022). </w:t>
      </w:r>
    </w:p>
    <w:p w14:paraId="6291EE32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lastRenderedPageBreak/>
        <w:t xml:space="preserve">Maynard, T. and Powell, S. (2014)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An Introduction to Early Childhood Studies</w:t>
      </w:r>
      <w:r w:rsidRPr="00E260BA">
        <w:rPr>
          <w:rFonts w:ascii="Arial" w:eastAsia="Arial" w:hAnsi="Arial" w:cs="Arial"/>
          <w:sz w:val="24"/>
          <w:szCs w:val="24"/>
        </w:rPr>
        <w:t>. London: SAGE PUBLICATION.</w:t>
      </w:r>
    </w:p>
    <w:p w14:paraId="6EE4FE50" w14:textId="46783E32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McLeod, S. (2018). ‘Questionnaire: Definition, Examples, Design and Types.’ </w:t>
      </w:r>
      <w:r w:rsidRPr="00E260B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Simply Psychology. 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18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https://www.simplypsychology.org/questionnaires.html</w:t>
        </w:r>
      </w:hyperlink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11 Feb </w:t>
      </w:r>
      <w:r w:rsidR="002D3ACA">
        <w:rPr>
          <w:rFonts w:ascii="Arial" w:eastAsia="Arial" w:hAnsi="Arial" w:cs="Arial"/>
          <w:color w:val="000000" w:themeColor="text1"/>
          <w:sz w:val="24"/>
          <w:szCs w:val="24"/>
        </w:rPr>
        <w:t>20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22).</w:t>
      </w:r>
    </w:p>
    <w:p w14:paraId="142A5B91" w14:textId="50FAB1B1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National Day Nurseries Association (No Date)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General Data Protection (GDPR) for Nurseries</w:t>
      </w:r>
      <w:r w:rsidRPr="00E260B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9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https://www.ndna.org.uk/NDNA/Need_to_know/UK_Knowledge_Hub/GDPR_nurseries.aspx</w:t>
        </w:r>
      </w:hyperlink>
      <w:r w:rsidRPr="00E260BA">
        <w:rPr>
          <w:rFonts w:ascii="Arial" w:eastAsia="Arial" w:hAnsi="Arial" w:cs="Arial"/>
          <w:sz w:val="24"/>
          <w:szCs w:val="24"/>
        </w:rPr>
        <w:t xml:space="preserve"> (Accessed: 10 February 2022). </w:t>
      </w:r>
    </w:p>
    <w:p w14:paraId="32AF0330" w14:textId="2CBA7351" w:rsidR="00E260BA" w:rsidRDefault="00E260BA" w:rsidP="00E260BA">
      <w:pPr>
        <w:pStyle w:val="Heading1"/>
        <w:spacing w:line="360" w:lineRule="auto"/>
        <w:jc w:val="both"/>
        <w:rPr>
          <w:rFonts w:ascii="Arial" w:eastAsia="Arial" w:hAnsi="Arial" w:cs="Arial"/>
          <w:color w:val="333333"/>
          <w:sz w:val="24"/>
          <w:szCs w:val="24"/>
        </w:rPr>
      </w:pPr>
      <w:r w:rsidRPr="00E260BA">
        <w:rPr>
          <w:rFonts w:ascii="Arial" w:eastAsia="Arial" w:hAnsi="Arial" w:cs="Arial"/>
          <w:color w:val="333333"/>
          <w:sz w:val="24"/>
          <w:szCs w:val="24"/>
        </w:rPr>
        <w:t xml:space="preserve">NDNA, (n.d.). Nursery advice: Using social media. Available: </w:t>
      </w:r>
      <w:hyperlink r:id="rId20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https://www.ndna.org.uk/NDNA/Community/myNDNA/blog/2017/Using_social_media.aspx</w:t>
        </w:r>
      </w:hyperlink>
      <w:r w:rsidRPr="00E260BA">
        <w:rPr>
          <w:rFonts w:ascii="Arial" w:eastAsia="Arial" w:hAnsi="Arial" w:cs="Arial"/>
          <w:color w:val="333333"/>
          <w:sz w:val="24"/>
          <w:szCs w:val="24"/>
        </w:rPr>
        <w:t xml:space="preserve"> (Accessed: 9 Feb</w:t>
      </w:r>
      <w:r w:rsidR="002D3ACA">
        <w:rPr>
          <w:rFonts w:ascii="Arial" w:eastAsia="Arial" w:hAnsi="Arial" w:cs="Arial"/>
          <w:color w:val="333333"/>
          <w:sz w:val="24"/>
          <w:szCs w:val="24"/>
        </w:rPr>
        <w:t>ruary</w:t>
      </w:r>
      <w:r w:rsidRPr="00E260BA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="002D3ACA">
        <w:rPr>
          <w:rFonts w:ascii="Arial" w:eastAsia="Arial" w:hAnsi="Arial" w:cs="Arial"/>
          <w:color w:val="333333"/>
          <w:sz w:val="24"/>
          <w:szCs w:val="24"/>
        </w:rPr>
        <w:t>20</w:t>
      </w:r>
      <w:r w:rsidRPr="00E260BA">
        <w:rPr>
          <w:rFonts w:ascii="Arial" w:eastAsia="Arial" w:hAnsi="Arial" w:cs="Arial"/>
          <w:color w:val="333333"/>
          <w:sz w:val="24"/>
          <w:szCs w:val="24"/>
        </w:rPr>
        <w:t>22)</w:t>
      </w:r>
    </w:p>
    <w:p w14:paraId="3638CD99" w14:textId="77777777" w:rsidR="002D3ACA" w:rsidRPr="002D3ACA" w:rsidRDefault="002D3ACA" w:rsidP="002D3ACA"/>
    <w:p w14:paraId="6F4003F5" w14:textId="6850E12D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NSPCC, (</w:t>
      </w:r>
      <w:proofErr w:type="spellStart"/>
      <w:proofErr w:type="gramStart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n,d</w:t>
      </w:r>
      <w:proofErr w:type="spellEnd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proofErr w:type="gramEnd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) </w:t>
      </w:r>
      <w:r w:rsidRPr="00E260B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Deciding what’s appropriate for children to see online. 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Available at: </w:t>
      </w:r>
      <w:hyperlink r:id="rId21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https://www.nspcc.org.uk/keeping-children-safe/online-safety/parental-controls/</w:t>
        </w:r>
      </w:hyperlink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 11 Feb</w:t>
      </w:r>
      <w:r w:rsidR="002D3ACA">
        <w:rPr>
          <w:rFonts w:ascii="Arial" w:eastAsia="Arial" w:hAnsi="Arial" w:cs="Arial"/>
          <w:color w:val="000000" w:themeColor="text1"/>
          <w:sz w:val="24"/>
          <w:szCs w:val="24"/>
        </w:rPr>
        <w:t>ruary 20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22).</w:t>
      </w:r>
    </w:p>
    <w:p w14:paraId="240F1285" w14:textId="1E53D1B9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Nursery World (2009)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 xml:space="preserve">Learning and Development... All About Bilingualism. </w:t>
      </w:r>
      <w:r w:rsidRPr="00E260BA"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https://www.nurseryworld.co.uk/features/article/learning-development-all-about-bilingualism</w:t>
        </w:r>
      </w:hyperlink>
      <w:r w:rsidRPr="00E260BA">
        <w:rPr>
          <w:rFonts w:ascii="Arial" w:eastAsia="Arial" w:hAnsi="Arial" w:cs="Arial"/>
          <w:sz w:val="24"/>
          <w:szCs w:val="24"/>
        </w:rPr>
        <w:t xml:space="preserve"> (Accessed: 10 February 2022)</w:t>
      </w:r>
    </w:p>
    <w:p w14:paraId="357FBC4F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0E260BA">
        <w:rPr>
          <w:rFonts w:ascii="Arial" w:eastAsia="Arial" w:hAnsi="Arial" w:cs="Arial"/>
          <w:sz w:val="24"/>
          <w:szCs w:val="24"/>
          <w:lang w:val="en-US"/>
        </w:rPr>
        <w:t xml:space="preserve">Nutbrown, C. Clough, P. (2014) </w:t>
      </w:r>
      <w:r w:rsidRPr="00E260BA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Early Childhood Education </w:t>
      </w:r>
      <w:r w:rsidRPr="00E260BA">
        <w:rPr>
          <w:rFonts w:ascii="Arial" w:eastAsia="Arial" w:hAnsi="Arial" w:cs="Arial"/>
          <w:sz w:val="24"/>
          <w:szCs w:val="24"/>
          <w:lang w:val="en-US"/>
        </w:rPr>
        <w:t>2nd Ed. London: Sage</w:t>
      </w:r>
    </w:p>
    <w:p w14:paraId="09F4D8C6" w14:textId="0D03C49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Ofsted (2008)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 xml:space="preserve">Learning Outside the Classroom. </w:t>
      </w:r>
      <w:r w:rsidRPr="00E260BA">
        <w:rPr>
          <w:rFonts w:ascii="Arial" w:eastAsia="Arial" w:hAnsi="Arial" w:cs="Arial"/>
          <w:sz w:val="24"/>
          <w:szCs w:val="24"/>
        </w:rPr>
        <w:t xml:space="preserve">Available at: </w:t>
      </w:r>
      <w:hyperlink r:id="rId23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https://www.lotc.org.uk/wp-content/uploads/2010/12/Ofsted-Report-Oct-2008.pdf</w:t>
        </w:r>
      </w:hyperlink>
      <w:r w:rsidRPr="00E260BA">
        <w:rPr>
          <w:rFonts w:ascii="Arial" w:eastAsia="Arial" w:hAnsi="Arial" w:cs="Arial"/>
          <w:sz w:val="24"/>
          <w:szCs w:val="24"/>
        </w:rPr>
        <w:t xml:space="preserve"> (Accessed: 10 February 2022)</w:t>
      </w:r>
    </w:p>
    <w:p w14:paraId="4CED3283" w14:textId="724F0831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E260BA">
        <w:rPr>
          <w:rFonts w:ascii="Arial" w:eastAsia="Arial" w:hAnsi="Arial" w:cs="Arial"/>
          <w:sz w:val="24"/>
          <w:szCs w:val="24"/>
        </w:rPr>
        <w:t>PowerDMS</w:t>
      </w:r>
      <w:proofErr w:type="spellEnd"/>
      <w:r w:rsidRPr="00E260BA">
        <w:rPr>
          <w:rFonts w:ascii="Arial" w:eastAsia="Arial" w:hAnsi="Arial" w:cs="Arial"/>
          <w:sz w:val="24"/>
          <w:szCs w:val="24"/>
        </w:rPr>
        <w:t xml:space="preserve"> (2020)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 xml:space="preserve">Why is it Important to Review Policies and Procedures? </w:t>
      </w:r>
      <w:r w:rsidRPr="00E260BA">
        <w:rPr>
          <w:rFonts w:ascii="Arial" w:eastAsia="Arial" w:hAnsi="Arial" w:cs="Arial"/>
          <w:sz w:val="24"/>
          <w:szCs w:val="24"/>
        </w:rPr>
        <w:t xml:space="preserve">Available at: </w:t>
      </w:r>
      <w:hyperlink r:id="rId24" w:anchor=":~:text=The%20best%20way%20to%20proactively,all%20your%20policies%20every%20year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https://www.powerdms.com/policy-learning-center/why-it-is-important-to-review-policies-and-procedures#:~:text=The%20best%20way%20to%20proactively,all%20your%20policies%20every%20year</w:t>
        </w:r>
      </w:hyperlink>
      <w:r w:rsidRPr="00E260BA">
        <w:rPr>
          <w:rFonts w:ascii="Arial" w:eastAsia="Arial" w:hAnsi="Arial" w:cs="Arial"/>
          <w:sz w:val="24"/>
          <w:szCs w:val="24"/>
        </w:rPr>
        <w:t>. (Accessed: 10 February 2022).</w:t>
      </w:r>
    </w:p>
    <w:p w14:paraId="06F0435D" w14:textId="07D513C5" w:rsidR="00E260BA" w:rsidRDefault="00E260BA" w:rsidP="00E260BA">
      <w:pPr>
        <w:pStyle w:val="Heading1"/>
        <w:spacing w:line="360" w:lineRule="auto"/>
        <w:jc w:val="both"/>
        <w:rPr>
          <w:rFonts w:ascii="Arial" w:eastAsia="Arial" w:hAnsi="Arial" w:cs="Arial"/>
          <w:color w:val="auto"/>
          <w:sz w:val="24"/>
          <w:szCs w:val="24"/>
        </w:rPr>
      </w:pPr>
      <w:r w:rsidRPr="00E260BA">
        <w:rPr>
          <w:rFonts w:ascii="Arial" w:eastAsia="Arial" w:hAnsi="Arial" w:cs="Arial"/>
          <w:color w:val="auto"/>
          <w:sz w:val="24"/>
          <w:szCs w:val="24"/>
        </w:rPr>
        <w:lastRenderedPageBreak/>
        <w:t>Pride Surveys (2016)</w:t>
      </w:r>
      <w:r w:rsidRPr="00E260BA">
        <w:rPr>
          <w:rFonts w:ascii="Arial" w:eastAsia="Arial" w:hAnsi="Arial" w:cs="Arial"/>
          <w:i/>
          <w:iCs/>
          <w:color w:val="auto"/>
          <w:sz w:val="24"/>
          <w:szCs w:val="24"/>
        </w:rPr>
        <w:t xml:space="preserve"> School Surveys for Parents: Challenges, Importance, Purpose, and Tips. </w:t>
      </w:r>
      <w:r w:rsidRPr="00E260BA">
        <w:rPr>
          <w:rFonts w:ascii="Arial" w:eastAsia="Arial" w:hAnsi="Arial" w:cs="Arial"/>
          <w:color w:val="auto"/>
          <w:sz w:val="24"/>
          <w:szCs w:val="24"/>
        </w:rPr>
        <w:t xml:space="preserve">Available at: </w:t>
      </w:r>
      <w:hyperlink r:id="rId25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https://www.pridesurveys.com/index.php/blog/school-surveys-for-parents/</w:t>
        </w:r>
      </w:hyperlink>
      <w:r w:rsidRPr="00E260BA">
        <w:rPr>
          <w:rFonts w:ascii="Arial" w:eastAsia="Arial" w:hAnsi="Arial" w:cs="Arial"/>
          <w:color w:val="auto"/>
          <w:sz w:val="24"/>
          <w:szCs w:val="24"/>
        </w:rPr>
        <w:t xml:space="preserve"> (Accessed: 10 February 2022). </w:t>
      </w:r>
    </w:p>
    <w:p w14:paraId="62BA9A4F" w14:textId="77777777" w:rsidR="0064736F" w:rsidRPr="0064736F" w:rsidRDefault="0064736F" w:rsidP="0064736F"/>
    <w:p w14:paraId="71E8FC88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Rock, A. (2019)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Very well family</w:t>
      </w:r>
      <w:r w:rsidRPr="00E260BA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6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http://www.verywellfamily.com/highscopemethod-2764958</w:t>
        </w:r>
      </w:hyperlink>
      <w:r w:rsidRPr="00E260BA">
        <w:rPr>
          <w:rFonts w:ascii="Arial" w:eastAsia="Arial" w:hAnsi="Arial" w:cs="Arial"/>
          <w:sz w:val="24"/>
          <w:szCs w:val="24"/>
        </w:rPr>
        <w:t>. (Accessed: 10 February 2022).</w:t>
      </w:r>
    </w:p>
    <w:p w14:paraId="122CE48C" w14:textId="77777777" w:rsidR="00E260BA" w:rsidRPr="00E260BA" w:rsidRDefault="00E260BA" w:rsidP="00E260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>Selvarajan</w:t>
      </w:r>
      <w:proofErr w:type="spellEnd"/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, T. T. &amp; Cloninger, P. (2011) ‘Can performance appraisals motivate employees to improve performance? A Mexican study.’, </w:t>
      </w:r>
      <w:r w:rsidRPr="00E260BA">
        <w:rPr>
          <w:rFonts w:ascii="Arial" w:eastAsia="Calibri" w:hAnsi="Arial" w:cs="Arial"/>
          <w:i/>
          <w:iCs/>
          <w:color w:val="000000" w:themeColor="text1"/>
          <w:sz w:val="24"/>
          <w:szCs w:val="24"/>
        </w:rPr>
        <w:t>The International Journal of Human Resource Management,</w:t>
      </w:r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 23,15, pp. 3063-3084.</w:t>
      </w:r>
    </w:p>
    <w:p w14:paraId="5F487B24" w14:textId="77777777" w:rsidR="00E260BA" w:rsidRPr="00E260BA" w:rsidRDefault="00E260BA" w:rsidP="00E260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Social Care Wales. (2021) Effective Supervision in Social Care, Early Years and Childcare. (Online) Available at: </w:t>
      </w:r>
      <w:hyperlink r:id="rId27">
        <w:r w:rsidRPr="00E260BA">
          <w:rPr>
            <w:rStyle w:val="Hyperlink"/>
            <w:rFonts w:ascii="Arial" w:eastAsia="Calibri" w:hAnsi="Arial" w:cs="Arial"/>
            <w:sz w:val="24"/>
            <w:szCs w:val="24"/>
          </w:rPr>
          <w:t>https://socialcare.wales/service-improvement/effective-supervision-in-social-care-early-years-and-childcare</w:t>
        </w:r>
      </w:hyperlink>
    </w:p>
    <w:p w14:paraId="7AA8FB53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Thomas, A. and Lewis, A. (2016)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An Introduction to the Foundation Phase Early Years Curriculum in Wales</w:t>
      </w:r>
      <w:r w:rsidRPr="00E260BA">
        <w:rPr>
          <w:rFonts w:ascii="Arial" w:eastAsia="Arial" w:hAnsi="Arial" w:cs="Arial"/>
          <w:sz w:val="24"/>
          <w:szCs w:val="24"/>
        </w:rPr>
        <w:t>. London and New York: Bloomsbury</w:t>
      </w:r>
    </w:p>
    <w:p w14:paraId="3FBEAAE5" w14:textId="756A1A34" w:rsidR="00E260BA" w:rsidRPr="00E260BA" w:rsidRDefault="00E260BA" w:rsidP="00E260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UK Government (2022) Maximum Weekly Working Hours. (Online) Available at: </w:t>
      </w:r>
      <w:hyperlink r:id="rId28">
        <w:r w:rsidRPr="00E260BA">
          <w:rPr>
            <w:rStyle w:val="Hyperlink"/>
            <w:rFonts w:ascii="Arial" w:eastAsia="Calibri" w:hAnsi="Arial" w:cs="Arial"/>
            <w:sz w:val="24"/>
            <w:szCs w:val="24"/>
          </w:rPr>
          <w:t>https://www.gov.uk/maximum-weekly-working-hours</w:t>
        </w:r>
      </w:hyperlink>
      <w:r w:rsidR="0064736F">
        <w:rPr>
          <w:rStyle w:val="Hyperlink"/>
          <w:rFonts w:ascii="Arial" w:eastAsia="Calibri" w:hAnsi="Arial" w:cs="Arial"/>
          <w:sz w:val="24"/>
          <w:szCs w:val="24"/>
        </w:rPr>
        <w:t xml:space="preserve"> </w:t>
      </w:r>
      <w:r w:rsidR="0064736F" w:rsidRPr="0064736F">
        <w:rPr>
          <w:rStyle w:val="Hyperlink"/>
          <w:rFonts w:ascii="Arial" w:eastAsia="Calibri" w:hAnsi="Arial" w:cs="Arial"/>
          <w:color w:val="000000" w:themeColor="text1"/>
          <w:sz w:val="24"/>
          <w:szCs w:val="24"/>
          <w:u w:val="none"/>
        </w:rPr>
        <w:t>(Accessed</w:t>
      </w:r>
      <w:r w:rsidR="008222B0">
        <w:rPr>
          <w:rStyle w:val="Hyperlink"/>
          <w:rFonts w:ascii="Arial" w:eastAsia="Calibri" w:hAnsi="Arial" w:cs="Arial"/>
          <w:color w:val="000000" w:themeColor="text1"/>
          <w:sz w:val="24"/>
          <w:szCs w:val="24"/>
          <w:u w:val="none"/>
        </w:rPr>
        <w:t>:</w:t>
      </w:r>
      <w:r w:rsidR="0064736F" w:rsidRPr="0064736F">
        <w:rPr>
          <w:rStyle w:val="Hyperlink"/>
          <w:rFonts w:ascii="Arial" w:eastAsia="Calibri" w:hAnsi="Arial" w:cs="Arial"/>
          <w:color w:val="000000" w:themeColor="text1"/>
          <w:sz w:val="24"/>
          <w:szCs w:val="24"/>
          <w:u w:val="none"/>
        </w:rPr>
        <w:t xml:space="preserve"> 12 February 2022)</w:t>
      </w:r>
    </w:p>
    <w:p w14:paraId="10AEE3E4" w14:textId="7E64A064" w:rsidR="00E260BA" w:rsidRPr="00E260BA" w:rsidRDefault="00E260BA" w:rsidP="00E260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UK Government. (2012) Early Years Foundation Stage. (Online) Available at: </w:t>
      </w:r>
      <w:hyperlink r:id="rId29">
        <w:r w:rsidRPr="00E260BA">
          <w:rPr>
            <w:rStyle w:val="Hyperlink"/>
            <w:rFonts w:ascii="Arial" w:eastAsia="Calibri" w:hAnsi="Arial" w:cs="Arial"/>
            <w:sz w:val="24"/>
            <w:szCs w:val="24"/>
          </w:rPr>
          <w:t>https://www.gov.uk/government/news/new-early-years-framework-published</w:t>
        </w:r>
      </w:hyperlink>
      <w:r w:rsidR="0064736F">
        <w:rPr>
          <w:rStyle w:val="Hyperlink"/>
          <w:rFonts w:ascii="Arial" w:eastAsia="Calibri" w:hAnsi="Arial" w:cs="Arial"/>
          <w:sz w:val="24"/>
          <w:szCs w:val="24"/>
        </w:rPr>
        <w:t xml:space="preserve"> </w:t>
      </w:r>
      <w:r w:rsidR="0064736F" w:rsidRPr="0064736F">
        <w:rPr>
          <w:rStyle w:val="Hyperlink"/>
          <w:rFonts w:ascii="Arial" w:eastAsia="Calibri" w:hAnsi="Arial" w:cs="Arial"/>
          <w:color w:val="000000" w:themeColor="text1"/>
          <w:sz w:val="24"/>
          <w:szCs w:val="24"/>
          <w:u w:val="none"/>
        </w:rPr>
        <w:t>(Accessed</w:t>
      </w:r>
      <w:r w:rsidR="008222B0">
        <w:rPr>
          <w:rStyle w:val="Hyperlink"/>
          <w:rFonts w:ascii="Arial" w:eastAsia="Calibri" w:hAnsi="Arial" w:cs="Arial"/>
          <w:color w:val="000000" w:themeColor="text1"/>
          <w:sz w:val="24"/>
          <w:szCs w:val="24"/>
          <w:u w:val="none"/>
        </w:rPr>
        <w:t>:</w:t>
      </w:r>
      <w:r w:rsidR="0064736F" w:rsidRPr="0064736F">
        <w:rPr>
          <w:rStyle w:val="Hyperlink"/>
          <w:rFonts w:ascii="Arial" w:eastAsia="Calibri" w:hAnsi="Arial" w:cs="Arial"/>
          <w:color w:val="000000" w:themeColor="text1"/>
          <w:sz w:val="24"/>
          <w:szCs w:val="24"/>
          <w:u w:val="none"/>
        </w:rPr>
        <w:t xml:space="preserve"> 12 February 2022)</w:t>
      </w:r>
    </w:p>
    <w:p w14:paraId="20696D5C" w14:textId="1CFF04B7" w:rsidR="00E260BA" w:rsidRPr="00E260BA" w:rsidRDefault="00E260BA" w:rsidP="00E260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UK Government. (2022) DAO Online Learning Policy. (Online) Available at: </w:t>
      </w:r>
      <w:hyperlink r:id="rId30">
        <w:r w:rsidRPr="00E260BA">
          <w:rPr>
            <w:rStyle w:val="Hyperlink"/>
            <w:rFonts w:ascii="Arial" w:eastAsia="Calibri" w:hAnsi="Arial" w:cs="Arial"/>
            <w:sz w:val="24"/>
            <w:szCs w:val="24"/>
          </w:rPr>
          <w:t>https://www.gov.uk/government/publications/dao-policies/dao-learning-policy</w:t>
        </w:r>
      </w:hyperlink>
      <w:r w:rsidR="0064736F">
        <w:rPr>
          <w:rStyle w:val="Hyperlink"/>
          <w:rFonts w:ascii="Arial" w:eastAsia="Calibri" w:hAnsi="Arial" w:cs="Arial"/>
          <w:sz w:val="24"/>
          <w:szCs w:val="24"/>
        </w:rPr>
        <w:t xml:space="preserve"> </w:t>
      </w:r>
      <w:r w:rsidR="0064736F" w:rsidRPr="008222B0">
        <w:rPr>
          <w:rStyle w:val="Hyperlink"/>
          <w:rFonts w:ascii="Arial" w:eastAsia="Calibri" w:hAnsi="Arial" w:cs="Arial"/>
          <w:color w:val="000000" w:themeColor="text1"/>
          <w:sz w:val="24"/>
          <w:szCs w:val="24"/>
          <w:u w:val="none"/>
        </w:rPr>
        <w:t>(</w:t>
      </w:r>
      <w:r w:rsidR="008222B0" w:rsidRPr="008222B0">
        <w:rPr>
          <w:rStyle w:val="Hyperlink"/>
          <w:rFonts w:ascii="Arial" w:eastAsia="Calibri" w:hAnsi="Arial" w:cs="Arial"/>
          <w:color w:val="000000" w:themeColor="text1"/>
          <w:sz w:val="24"/>
          <w:szCs w:val="24"/>
          <w:u w:val="none"/>
        </w:rPr>
        <w:t>Accessed: 12 February 2022)</w:t>
      </w:r>
    </w:p>
    <w:p w14:paraId="0795197F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>Unicef</w:t>
      </w:r>
      <w:proofErr w:type="spellEnd"/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UK. n.d.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UN Convention on the Rights of the Child (UNCRC)</w:t>
      </w:r>
      <w:r w:rsidRPr="00E260BA">
        <w:rPr>
          <w:rFonts w:ascii="Arial" w:eastAsia="Arial" w:hAnsi="Arial" w:cs="Arial"/>
          <w:sz w:val="24"/>
          <w:szCs w:val="24"/>
        </w:rPr>
        <w:t>. Available at: (</w:t>
      </w:r>
      <w:hyperlink r:id="rId31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https://www.unicef.org.uk/what-we-do/un-convention-child-rights/</w:t>
        </w:r>
      </w:hyperlink>
      <w:r w:rsidRPr="00E260BA">
        <w:rPr>
          <w:rFonts w:ascii="Arial" w:eastAsia="Arial" w:hAnsi="Arial" w:cs="Arial"/>
          <w:sz w:val="24"/>
          <w:szCs w:val="24"/>
        </w:rPr>
        <w:t>) (Accessed 6 February 2022).</w:t>
      </w:r>
    </w:p>
    <w:p w14:paraId="6977B10E" w14:textId="2C5BCD2F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Welsh Assembly Government, (2009). </w:t>
      </w:r>
      <w:r w:rsidRPr="00E260BA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Foundation Phase Outdoor Learning Handbook. 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Cardiff: Welsh Government. Available at: </w:t>
      </w:r>
      <w:hyperlink r:id="rId32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https://hwb.gov.wales/storage/fcb8539c-9be7-4883-8542-35d7b54b56f2/foundation-phase-outdoor-learning-handbook.pdf</w:t>
        </w:r>
      </w:hyperlink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9 Feb</w:t>
      </w:r>
      <w:r w:rsidR="008222B0">
        <w:rPr>
          <w:rFonts w:ascii="Arial" w:eastAsia="Arial" w:hAnsi="Arial" w:cs="Arial"/>
          <w:color w:val="000000" w:themeColor="text1"/>
          <w:sz w:val="24"/>
          <w:szCs w:val="24"/>
        </w:rPr>
        <w:t>ruary</w:t>
      </w:r>
      <w:r w:rsidRPr="00E260BA">
        <w:rPr>
          <w:rFonts w:ascii="Arial" w:eastAsia="Arial" w:hAnsi="Arial" w:cs="Arial"/>
          <w:color w:val="000000" w:themeColor="text1"/>
          <w:sz w:val="24"/>
          <w:szCs w:val="24"/>
        </w:rPr>
        <w:t xml:space="preserve"> 22).</w:t>
      </w:r>
    </w:p>
    <w:p w14:paraId="2951A668" w14:textId="6FC34D4D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lastRenderedPageBreak/>
        <w:t xml:space="preserve">Welsh Government (2016)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 xml:space="preserve">National Minimum Standards for Regulated Childcare. </w:t>
      </w:r>
      <w:r w:rsidRPr="00E260BA">
        <w:rPr>
          <w:rFonts w:ascii="Arial" w:eastAsia="Arial" w:hAnsi="Arial" w:cs="Arial"/>
          <w:sz w:val="24"/>
          <w:szCs w:val="24"/>
        </w:rPr>
        <w:t xml:space="preserve">Available at: </w:t>
      </w:r>
      <w:hyperlink r:id="rId33">
        <w:r w:rsidRPr="00E260BA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https://gov.wales/sites/default/files/publications/2019-06/national-minimum-standards-for-regulated-childcare.pdf</w:t>
        </w:r>
      </w:hyperlink>
      <w:r w:rsidRPr="00E260BA">
        <w:rPr>
          <w:rFonts w:ascii="Arial" w:eastAsia="Arial" w:hAnsi="Arial" w:cs="Arial"/>
          <w:sz w:val="24"/>
          <w:szCs w:val="24"/>
        </w:rPr>
        <w:t xml:space="preserve"> (Accessed: 10 February 2022). </w:t>
      </w:r>
    </w:p>
    <w:p w14:paraId="47A55201" w14:textId="76B471D0" w:rsidR="00E260BA" w:rsidRPr="00E260BA" w:rsidRDefault="00E260BA" w:rsidP="00E260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60BA">
        <w:rPr>
          <w:rFonts w:ascii="Arial" w:eastAsia="Calibri" w:hAnsi="Arial" w:cs="Arial"/>
          <w:color w:val="000000" w:themeColor="text1"/>
          <w:sz w:val="24"/>
          <w:szCs w:val="24"/>
        </w:rPr>
        <w:t xml:space="preserve">Welsh Government. (2016) The Regulation and Inspection of Social Care (Wales) Act. (Online) Available at: </w:t>
      </w:r>
      <w:hyperlink r:id="rId34">
        <w:r w:rsidRPr="00E260BA">
          <w:rPr>
            <w:rStyle w:val="Hyperlink"/>
            <w:rFonts w:ascii="Arial" w:eastAsia="Calibri" w:hAnsi="Arial" w:cs="Arial"/>
            <w:sz w:val="24"/>
            <w:szCs w:val="24"/>
          </w:rPr>
          <w:t>https://gov.wales/sites/default/files/publications/2019-04/guidance-for-providers-and-responsible-individuals.pdf</w:t>
        </w:r>
      </w:hyperlink>
      <w:r w:rsidR="008222B0">
        <w:rPr>
          <w:rStyle w:val="Hyperlink"/>
          <w:rFonts w:ascii="Arial" w:eastAsia="Calibri" w:hAnsi="Arial" w:cs="Arial"/>
          <w:sz w:val="24"/>
          <w:szCs w:val="24"/>
        </w:rPr>
        <w:t xml:space="preserve"> </w:t>
      </w:r>
      <w:r w:rsidR="008222B0" w:rsidRPr="008222B0">
        <w:rPr>
          <w:rStyle w:val="Hyperlink"/>
          <w:rFonts w:ascii="Arial" w:eastAsia="Calibri" w:hAnsi="Arial" w:cs="Arial"/>
          <w:color w:val="000000" w:themeColor="text1"/>
          <w:sz w:val="24"/>
          <w:szCs w:val="24"/>
          <w:u w:val="none"/>
        </w:rPr>
        <w:t>(Accessed: 12 February 2022)</w:t>
      </w:r>
    </w:p>
    <w:p w14:paraId="4AC5FB0E" w14:textId="77777777" w:rsidR="00E260BA" w:rsidRPr="00E260BA" w:rsidRDefault="00E260BA" w:rsidP="00E260BA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E260BA">
        <w:rPr>
          <w:rFonts w:ascii="Arial" w:eastAsia="Arial" w:hAnsi="Arial" w:cs="Arial"/>
          <w:sz w:val="24"/>
          <w:szCs w:val="24"/>
        </w:rPr>
        <w:t xml:space="preserve">Whalley, M., Arnold, C. and Orr, R. (2013) </w:t>
      </w:r>
      <w:r w:rsidRPr="00E260BA">
        <w:rPr>
          <w:rFonts w:ascii="Arial" w:eastAsia="Arial" w:hAnsi="Arial" w:cs="Arial"/>
          <w:i/>
          <w:iCs/>
          <w:sz w:val="24"/>
          <w:szCs w:val="24"/>
        </w:rPr>
        <w:t>Working with Families in Children’s Centres and Early Years Setting</w:t>
      </w:r>
      <w:r w:rsidRPr="00E260BA">
        <w:rPr>
          <w:rFonts w:ascii="Arial" w:eastAsia="Arial" w:hAnsi="Arial" w:cs="Arial"/>
          <w:sz w:val="24"/>
          <w:szCs w:val="24"/>
        </w:rPr>
        <w:t>. London: Hodder Education.</w:t>
      </w:r>
    </w:p>
    <w:p w14:paraId="09B29DDE" w14:textId="5007CA5C" w:rsidR="2F7ADAA9" w:rsidRDefault="2F7ADAA9" w:rsidP="58846A88">
      <w:pPr>
        <w:rPr>
          <w:rFonts w:ascii="Arial" w:eastAsia="Arial" w:hAnsi="Arial" w:cs="Arial"/>
          <w:sz w:val="24"/>
          <w:szCs w:val="24"/>
        </w:rPr>
      </w:pPr>
    </w:p>
    <w:sectPr w:rsidR="2F7ADAA9">
      <w:headerReference w:type="default" r:id="rId35"/>
      <w:footerReference w:type="even" r:id="rId36"/>
      <w:footerReference w:type="default" r:id="rId3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1690E5" w14:textId="77777777" w:rsidR="00444A05" w:rsidRDefault="00444A05" w:rsidP="00B42BFF">
      <w:pPr>
        <w:spacing w:after="0" w:line="240" w:lineRule="auto"/>
      </w:pPr>
      <w:r>
        <w:separator/>
      </w:r>
    </w:p>
  </w:endnote>
  <w:endnote w:type="continuationSeparator" w:id="0">
    <w:p w14:paraId="4E5A766C" w14:textId="77777777" w:rsidR="00444A05" w:rsidRDefault="00444A05" w:rsidP="00B42B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5907863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2262A83" w14:textId="5EDF4BB2" w:rsidR="00694159" w:rsidRDefault="00694159" w:rsidP="001F60B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2DDB703" w14:textId="77777777" w:rsidR="00694159" w:rsidRDefault="006941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9863573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19359CB" w14:textId="0C555AAF" w:rsidR="00694159" w:rsidRDefault="00694159" w:rsidP="001F60B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40669E8" w14:textId="77777777" w:rsidR="00694159" w:rsidRDefault="006941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890BEA" w14:textId="77777777" w:rsidR="00444A05" w:rsidRDefault="00444A05" w:rsidP="00B42BFF">
      <w:pPr>
        <w:spacing w:after="0" w:line="240" w:lineRule="auto"/>
      </w:pPr>
      <w:r>
        <w:separator/>
      </w:r>
    </w:p>
  </w:footnote>
  <w:footnote w:type="continuationSeparator" w:id="0">
    <w:p w14:paraId="252300CB" w14:textId="77777777" w:rsidR="00444A05" w:rsidRDefault="00444A05" w:rsidP="00B42B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5C3D38" w14:textId="651E77A1" w:rsidR="003F29F1" w:rsidRPr="003F29F1" w:rsidRDefault="00C05ACA" w:rsidP="003F29F1">
    <w:pPr>
      <w:rPr>
        <w:rFonts w:ascii="Arial" w:eastAsia="Times New Roman" w:hAnsi="Arial" w:cs="Arial"/>
        <w:sz w:val="24"/>
        <w:szCs w:val="24"/>
        <w:lang w:eastAsia="en-GB"/>
      </w:rPr>
    </w:pPr>
    <w:r w:rsidRPr="003F29F1">
      <w:rPr>
        <w:rFonts w:ascii="Arial" w:hAnsi="Arial" w:cs="Arial"/>
        <w:sz w:val="24"/>
        <w:szCs w:val="24"/>
      </w:rPr>
      <w:t xml:space="preserve">ECEY6008 </w:t>
    </w:r>
    <w:r w:rsidR="003F29F1" w:rsidRPr="003F29F1">
      <w:rPr>
        <w:rFonts w:ascii="Arial" w:hAnsi="Arial" w:cs="Arial"/>
        <w:sz w:val="24"/>
        <w:szCs w:val="24"/>
      </w:rPr>
      <w:t xml:space="preserve">     </w:t>
    </w:r>
    <w:r w:rsidR="00694159">
      <w:rPr>
        <w:rFonts w:ascii="Arial" w:hAnsi="Arial" w:cs="Arial"/>
        <w:sz w:val="24"/>
        <w:szCs w:val="24"/>
      </w:rPr>
      <w:t xml:space="preserve"> </w:t>
    </w:r>
    <w:r w:rsidR="003F29F1" w:rsidRPr="003F29F1">
      <w:rPr>
        <w:rFonts w:ascii="Arial" w:hAnsi="Arial" w:cs="Arial"/>
        <w:sz w:val="24"/>
        <w:szCs w:val="24"/>
      </w:rPr>
      <w:t xml:space="preserve">    </w:t>
    </w:r>
    <w:r w:rsidR="00694159">
      <w:rPr>
        <w:rFonts w:ascii="Arial" w:hAnsi="Arial" w:cs="Arial"/>
        <w:sz w:val="24"/>
        <w:szCs w:val="24"/>
      </w:rPr>
      <w:t xml:space="preserve">        </w:t>
    </w:r>
    <w:r w:rsidR="003F29F1" w:rsidRPr="003F29F1">
      <w:rPr>
        <w:rFonts w:ascii="Arial" w:hAnsi="Arial" w:cs="Arial"/>
        <w:sz w:val="24"/>
        <w:szCs w:val="24"/>
      </w:rPr>
      <w:t xml:space="preserve"> </w:t>
    </w:r>
    <w:r w:rsidR="00694159">
      <w:rPr>
        <w:rFonts w:ascii="Arial" w:hAnsi="Arial" w:cs="Arial"/>
        <w:sz w:val="24"/>
        <w:szCs w:val="24"/>
      </w:rPr>
      <w:t>Reference List</w:t>
    </w:r>
    <w:r w:rsidR="003F29F1" w:rsidRPr="003F29F1">
      <w:rPr>
        <w:rFonts w:ascii="Arial" w:hAnsi="Arial" w:cs="Arial"/>
        <w:sz w:val="24"/>
        <w:szCs w:val="24"/>
      </w:rPr>
      <w:t xml:space="preserve">            </w:t>
    </w:r>
    <w:r w:rsidR="003F29F1" w:rsidRPr="003F29F1">
      <w:rPr>
        <w:rFonts w:ascii="Arial" w:eastAsia="Times New Roman" w:hAnsi="Arial" w:cs="Arial"/>
        <w:sz w:val="24"/>
        <w:szCs w:val="24"/>
        <w:lang w:eastAsia="en-GB"/>
      </w:rPr>
      <w:t xml:space="preserve">1906195, 1909662, 1909659, 1909661 </w:t>
    </w:r>
  </w:p>
  <w:p w14:paraId="080230FA" w14:textId="5DA56947" w:rsidR="00B42BFF" w:rsidRDefault="00B42BFF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/>
  <int:Observations/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E1FA04"/>
    <w:rsid w:val="002D3ACA"/>
    <w:rsid w:val="00392956"/>
    <w:rsid w:val="003F29F1"/>
    <w:rsid w:val="00444A05"/>
    <w:rsid w:val="0064736F"/>
    <w:rsid w:val="00694159"/>
    <w:rsid w:val="008071C0"/>
    <w:rsid w:val="008222B0"/>
    <w:rsid w:val="008B1DB3"/>
    <w:rsid w:val="009024F1"/>
    <w:rsid w:val="0098400F"/>
    <w:rsid w:val="00AE38A4"/>
    <w:rsid w:val="00B42BFF"/>
    <w:rsid w:val="00B823D6"/>
    <w:rsid w:val="00BB584F"/>
    <w:rsid w:val="00C05ACA"/>
    <w:rsid w:val="00CD00B4"/>
    <w:rsid w:val="00D52510"/>
    <w:rsid w:val="00E260BA"/>
    <w:rsid w:val="00FF468F"/>
    <w:rsid w:val="05E80893"/>
    <w:rsid w:val="06329ACC"/>
    <w:rsid w:val="07081196"/>
    <w:rsid w:val="070DD312"/>
    <w:rsid w:val="09599E67"/>
    <w:rsid w:val="095C37EC"/>
    <w:rsid w:val="0D38D519"/>
    <w:rsid w:val="134448AC"/>
    <w:rsid w:val="1371E775"/>
    <w:rsid w:val="23C627ED"/>
    <w:rsid w:val="2CBFF904"/>
    <w:rsid w:val="2CDA5AE9"/>
    <w:rsid w:val="2CE1FA04"/>
    <w:rsid w:val="2DBBB594"/>
    <w:rsid w:val="2F7ADAA9"/>
    <w:rsid w:val="2FF799C6"/>
    <w:rsid w:val="357A3B94"/>
    <w:rsid w:val="37496F7D"/>
    <w:rsid w:val="37908564"/>
    <w:rsid w:val="3E199BED"/>
    <w:rsid w:val="3E5DC893"/>
    <w:rsid w:val="3FF998F4"/>
    <w:rsid w:val="42FB0A8E"/>
    <w:rsid w:val="47A755D6"/>
    <w:rsid w:val="54C31518"/>
    <w:rsid w:val="565EE579"/>
    <w:rsid w:val="58846A88"/>
    <w:rsid w:val="5C491C1D"/>
    <w:rsid w:val="5D51B054"/>
    <w:rsid w:val="5EED80B5"/>
    <w:rsid w:val="5F57085A"/>
    <w:rsid w:val="61F82F88"/>
    <w:rsid w:val="6393FFE9"/>
    <w:rsid w:val="648448E3"/>
    <w:rsid w:val="6ADA620A"/>
    <w:rsid w:val="6D412D4E"/>
    <w:rsid w:val="6F82BC0D"/>
    <w:rsid w:val="757AD389"/>
    <w:rsid w:val="79EEA900"/>
    <w:rsid w:val="7C03ACA9"/>
    <w:rsid w:val="7CA4E0E2"/>
    <w:rsid w:val="7D9F7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1FA04"/>
  <w15:chartTrackingRefBased/>
  <w15:docId w15:val="{F2775AC7-A4FA-4109-9274-6D0D9E42D9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260B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9295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42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2BFF"/>
  </w:style>
  <w:style w:type="paragraph" w:styleId="Footer">
    <w:name w:val="footer"/>
    <w:basedOn w:val="Normal"/>
    <w:link w:val="FooterChar"/>
    <w:uiPriority w:val="99"/>
    <w:unhideWhenUsed/>
    <w:rsid w:val="00B42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2BFF"/>
  </w:style>
  <w:style w:type="character" w:styleId="PageNumber">
    <w:name w:val="page number"/>
    <w:basedOn w:val="DefaultParagraphFont"/>
    <w:uiPriority w:val="99"/>
    <w:semiHidden/>
    <w:unhideWhenUsed/>
    <w:rsid w:val="006941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22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ssomeducational.com/blog/the-importance-of-language-development-and-circle-time/" TargetMode="External"/><Relationship Id="rId13" Type="http://schemas.openxmlformats.org/officeDocument/2006/relationships/hyperlink" Target="https://www.earlyyearscareers.com/eyc/latest-news/the-importance-of-giving-children-a-voice/" TargetMode="External"/><Relationship Id="rId18" Type="http://schemas.openxmlformats.org/officeDocument/2006/relationships/hyperlink" Target="https://www.simplypsychology.org/questionnaires.html" TargetMode="External"/><Relationship Id="rId26" Type="http://schemas.openxmlformats.org/officeDocument/2006/relationships/hyperlink" Target="http://www.verywellfamily.com/highscopemethod-2764958" TargetMode="External"/><Relationship Id="rId39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nspcc.org.uk/keeping-children-safe/online-safety/parental-controls/" TargetMode="External"/><Relationship Id="rId34" Type="http://schemas.openxmlformats.org/officeDocument/2006/relationships/hyperlink" Target="https://gov.wales/sites/default/files/publications/2019-04/guidance-for-providers-and-responsible-individuals.pdf" TargetMode="External"/><Relationship Id="rId7" Type="http://schemas.openxmlformats.org/officeDocument/2006/relationships/hyperlink" Target="https://schoolsweek.co.uk/outdoor-play-is-key-to-reopening-and-recovery/" TargetMode="External"/><Relationship Id="rId12" Type="http://schemas.openxmlformats.org/officeDocument/2006/relationships/hyperlink" Target="https://cubbycare.com.au/childrens-artwork-why-its-important-to-put-it-on-display/" TargetMode="External"/><Relationship Id="rId17" Type="http://schemas.openxmlformats.org/officeDocument/2006/relationships/hyperlink" Target="https://www.learning-theories.com/montessori-method-montessori.html" TargetMode="External"/><Relationship Id="rId25" Type="http://schemas.openxmlformats.org/officeDocument/2006/relationships/hyperlink" Target="https://www.pridesurveys.com/index.php/blog/school-surveys-for-parents/" TargetMode="External"/><Relationship Id="rId33" Type="http://schemas.openxmlformats.org/officeDocument/2006/relationships/hyperlink" Target="https://gov.wales/sites/default/files/publications/2019-06/national-minimum-standards-for-regulated-childcare.pdf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://resources.hwb.wales.gov.uk/VTC/2008-09/14-19/cache/testun/testunSaesneg3.htm" TargetMode="External"/><Relationship Id="rId20" Type="http://schemas.openxmlformats.org/officeDocument/2006/relationships/hyperlink" Target="https://www.ndna.org.uk/NDNA/Community/myNDNA/blog/2017/Using_social_media.aspx" TargetMode="External"/><Relationship Id="rId29" Type="http://schemas.openxmlformats.org/officeDocument/2006/relationships/hyperlink" Target="https://www.gov.uk/government/news/new-early-years-framework-published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ocket-lint.com/parenting/news/youtube/132865-what-is-youtube-kids-how-does-it-work-and-is-it-really-safe" TargetMode="External"/><Relationship Id="rId11" Type="http://schemas.openxmlformats.org/officeDocument/2006/relationships/hyperlink" Target="http://www.curee.co.uk/files/publication/%5Bsite-timestamp%5D/What%20does%20teacher%20impact%20data%20tell%20us%20about%20collaborative%20CPD.pdf" TargetMode="External"/><Relationship Id="rId24" Type="http://schemas.openxmlformats.org/officeDocument/2006/relationships/hyperlink" Target="https://www.powerdms.com/policy-learning-center/why-it-is-important-to-review-policies-and-procedures" TargetMode="External"/><Relationship Id="rId32" Type="http://schemas.openxmlformats.org/officeDocument/2006/relationships/hyperlink" Target="https://hwb.gov.wales/storage/fcb8539c-9be7-4883-8542-35d7b54b56f2/foundation-phase-outdoor-learning-handbook.pdf" TargetMode="External"/><Relationship Id="rId37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hyperlink" Target="https://www.teachearlyyears.com/a-unique-child/view/supporting-childrens-wellbeing-at-nursery" TargetMode="External"/><Relationship Id="rId23" Type="http://schemas.openxmlformats.org/officeDocument/2006/relationships/hyperlink" Target="https://www.lotc.org.uk/wp-content/uploads/2010/12/Ofsted-Report-Oct-2008.pdf" TargetMode="External"/><Relationship Id="rId28" Type="http://schemas.openxmlformats.org/officeDocument/2006/relationships/hyperlink" Target="https://www.gov.uk/maximum-weekly-working-hours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childnet.com/resources/smartie-the-penguin/" TargetMode="External"/><Relationship Id="rId19" Type="http://schemas.openxmlformats.org/officeDocument/2006/relationships/hyperlink" Target="https://www.ndna.org.uk/NDNA/Need_to_know/UK_Knowledge_Hub/GDPR_nurseries.aspx" TargetMode="External"/><Relationship Id="rId31" Type="http://schemas.openxmlformats.org/officeDocument/2006/relationships/hyperlink" Target="https://www.unicef.org.uk/what-we-do/un-convention-child-rights/" TargetMode="External"/><Relationship Id="R2e6e1e1b0d634b73" Type="http://schemas.microsoft.com/office/2019/09/relationships/intelligence" Target="intelligence.xml"/><Relationship Id="rId4" Type="http://schemas.openxmlformats.org/officeDocument/2006/relationships/footnotes" Target="footnotes.xml"/><Relationship Id="rId9" Type="http://schemas.openxmlformats.org/officeDocument/2006/relationships/hyperlink" Target="https://socialcare.wales/cms_assets/file-uploads/Supervising-and-appraising-well-%601social-care.pdf" TargetMode="External"/><Relationship Id="rId14" Type="http://schemas.openxmlformats.org/officeDocument/2006/relationships/hyperlink" Target="https://www.hse.gov.uk/coronavirus/working-safely/risk-assessment.htm" TargetMode="External"/><Relationship Id="rId22" Type="http://schemas.openxmlformats.org/officeDocument/2006/relationships/hyperlink" Target="https://www.nurseryworld.co.uk/features/article/learning-development-all-about-bilingualism" TargetMode="External"/><Relationship Id="rId27" Type="http://schemas.openxmlformats.org/officeDocument/2006/relationships/hyperlink" Target="https://socialcare.wales/service-improvement/effective-supervision-in-social-care-early-years-and-childcare" TargetMode="External"/><Relationship Id="rId30" Type="http://schemas.openxmlformats.org/officeDocument/2006/relationships/hyperlink" Target="https://www.gov.uk/government/publications/dao-policies/dao-learning-policy" TargetMode="External"/><Relationship Id="rId35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1626</Words>
  <Characters>9269</Characters>
  <Application>Microsoft Office Word</Application>
  <DocSecurity>0</DocSecurity>
  <Lines>77</Lines>
  <Paragraphs>21</Paragraphs>
  <ScaleCrop>false</ScaleCrop>
  <Company/>
  <LinksUpToDate>false</LinksUpToDate>
  <CharactersWithSpaces>10874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Francis Miles (1909661)</dc:creator>
  <cp:keywords/>
  <dc:description/>
  <cp:lastModifiedBy>Henritta Charles</cp:lastModifiedBy>
  <cp:revision>4</cp:revision>
  <dcterms:created xsi:type="dcterms:W3CDTF">2022-02-19T15:24:00Z</dcterms:created>
  <dcterms:modified xsi:type="dcterms:W3CDTF">2022-02-19T15:25:00Z</dcterms:modified>
</cp:coreProperties>
</file>