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55AC49" w14:textId="77777777" w:rsidR="00717FC2" w:rsidRDefault="00717FC2" w:rsidP="002F494B">
      <w:pPr>
        <w:suppressAutoHyphens w:val="0"/>
        <w:autoSpaceDN/>
        <w:spacing w:line="278" w:lineRule="auto"/>
        <w:jc w:val="center"/>
        <w:rPr>
          <w:rFonts w:ascii="Arial" w:hAnsi="Arial" w:cs="Arial"/>
          <w:sz w:val="24"/>
          <w:szCs w:val="24"/>
        </w:rPr>
      </w:pPr>
      <w:bookmarkStart w:id="0" w:name="_Toc216105786"/>
    </w:p>
    <w:p w14:paraId="718A9523" w14:textId="55615031" w:rsidR="00717FC2" w:rsidRPr="00717FC2" w:rsidRDefault="00717FC2" w:rsidP="00717FC2">
      <w:pPr>
        <w:pStyle w:val="Heading2"/>
        <w:rPr>
          <w:rFonts w:ascii="Arial" w:hAnsi="Arial" w:cs="Arial"/>
          <w:color w:val="auto"/>
          <w:sz w:val="24"/>
          <w:szCs w:val="24"/>
        </w:rPr>
      </w:pPr>
      <w:r w:rsidRPr="00717FC2">
        <w:rPr>
          <w:rFonts w:ascii="Arial" w:hAnsi="Arial" w:cs="Arial"/>
          <w:color w:val="auto"/>
          <w:sz w:val="24"/>
          <w:szCs w:val="24"/>
        </w:rPr>
        <w:t xml:space="preserve">                                  </w:t>
      </w:r>
      <w:r w:rsidR="002F494B" w:rsidRPr="00717FC2">
        <w:rPr>
          <w:rFonts w:ascii="Arial" w:hAnsi="Arial" w:cs="Arial"/>
          <w:color w:val="auto"/>
          <w:sz w:val="24"/>
          <w:szCs w:val="24"/>
        </w:rPr>
        <w:t xml:space="preserve"> </w:t>
      </w:r>
    </w:p>
    <w:p w14:paraId="47952387" w14:textId="77777777" w:rsidR="00717FC2" w:rsidRPr="00717FC2" w:rsidRDefault="00717FC2" w:rsidP="00717FC2">
      <w:pPr>
        <w:pStyle w:val="Heading2"/>
        <w:rPr>
          <w:rFonts w:ascii="Arial" w:hAnsi="Arial" w:cs="Arial"/>
          <w:color w:val="auto"/>
          <w:sz w:val="24"/>
          <w:szCs w:val="24"/>
        </w:rPr>
      </w:pPr>
    </w:p>
    <w:p w14:paraId="4C00646D" w14:textId="77777777" w:rsidR="00717FC2" w:rsidRPr="00717FC2" w:rsidRDefault="00717FC2" w:rsidP="00717FC2">
      <w:pPr>
        <w:pStyle w:val="Heading2"/>
        <w:rPr>
          <w:rFonts w:ascii="Arial" w:hAnsi="Arial" w:cs="Arial"/>
          <w:color w:val="auto"/>
          <w:sz w:val="24"/>
          <w:szCs w:val="24"/>
        </w:rPr>
      </w:pPr>
    </w:p>
    <w:p w14:paraId="7895A585" w14:textId="399BE7C3" w:rsidR="00717FC2" w:rsidRPr="00453A65" w:rsidRDefault="00717FC2" w:rsidP="00453A65">
      <w:pPr>
        <w:rPr>
          <w:rFonts w:ascii="Arial" w:hAnsi="Arial" w:cs="Arial"/>
          <w:sz w:val="28"/>
          <w:szCs w:val="28"/>
        </w:rPr>
      </w:pPr>
      <w:r w:rsidRPr="00717FC2">
        <w:t xml:space="preserve">          </w:t>
      </w:r>
      <w:r>
        <w:t xml:space="preserve">   </w:t>
      </w:r>
      <w:r w:rsidRPr="00453A65">
        <w:rPr>
          <w:rFonts w:ascii="Arial" w:hAnsi="Arial" w:cs="Arial"/>
          <w:sz w:val="28"/>
          <w:szCs w:val="28"/>
        </w:rPr>
        <w:t xml:space="preserve">BRIDGET EDOGHOGHO ALBERT </w:t>
      </w:r>
    </w:p>
    <w:p w14:paraId="147C3E7D" w14:textId="21B8E111" w:rsidR="00717FC2" w:rsidRPr="00453A65" w:rsidRDefault="00717FC2" w:rsidP="00453A65">
      <w:pPr>
        <w:rPr>
          <w:rFonts w:ascii="Arial" w:hAnsi="Arial" w:cs="Arial"/>
          <w:sz w:val="28"/>
          <w:szCs w:val="28"/>
        </w:rPr>
      </w:pPr>
      <w:r w:rsidRPr="00453A65">
        <w:rPr>
          <w:rFonts w:ascii="Arial" w:hAnsi="Arial" w:cs="Arial"/>
          <w:sz w:val="28"/>
          <w:szCs w:val="28"/>
        </w:rPr>
        <w:t xml:space="preserve">                      2500452</w:t>
      </w:r>
    </w:p>
    <w:p w14:paraId="5E24F6BA" w14:textId="512F7BCE" w:rsidR="00717FC2" w:rsidRPr="00453A65" w:rsidRDefault="00717FC2" w:rsidP="00453A65">
      <w:pPr>
        <w:rPr>
          <w:rFonts w:ascii="Arial" w:hAnsi="Arial" w:cs="Arial"/>
          <w:sz w:val="28"/>
          <w:szCs w:val="28"/>
        </w:rPr>
      </w:pPr>
      <w:r w:rsidRPr="00453A65">
        <w:rPr>
          <w:rFonts w:ascii="Arial" w:hAnsi="Arial" w:cs="Arial"/>
          <w:sz w:val="28"/>
          <w:szCs w:val="28"/>
        </w:rPr>
        <w:t xml:space="preserve">                             MBA SUSTAINABILITY LEADERSHIP</w:t>
      </w:r>
    </w:p>
    <w:p w14:paraId="059EE3B6" w14:textId="7A99BFB4" w:rsidR="00717FC2" w:rsidRPr="00453A65" w:rsidRDefault="00717FC2" w:rsidP="00453A65">
      <w:pPr>
        <w:rPr>
          <w:rFonts w:ascii="Arial" w:hAnsi="Arial" w:cs="Arial"/>
          <w:sz w:val="28"/>
          <w:szCs w:val="28"/>
        </w:rPr>
      </w:pPr>
      <w:r w:rsidRPr="00453A65">
        <w:rPr>
          <w:rFonts w:ascii="Arial" w:hAnsi="Arial" w:cs="Arial"/>
          <w:sz w:val="28"/>
          <w:szCs w:val="28"/>
        </w:rPr>
        <w:t xml:space="preserve">                                    THE CHALLENGE OF SUSTAINABILITY</w:t>
      </w:r>
    </w:p>
    <w:p w14:paraId="22C6946D" w14:textId="29CFBB71" w:rsidR="00717FC2" w:rsidRPr="00453A65" w:rsidRDefault="00717FC2" w:rsidP="00453A65">
      <w:pPr>
        <w:rPr>
          <w:rFonts w:ascii="Arial" w:hAnsi="Arial" w:cs="Arial"/>
          <w:sz w:val="28"/>
          <w:szCs w:val="28"/>
        </w:rPr>
      </w:pPr>
      <w:r w:rsidRPr="00453A65">
        <w:rPr>
          <w:rFonts w:ascii="Arial" w:hAnsi="Arial" w:cs="Arial"/>
          <w:sz w:val="28"/>
          <w:szCs w:val="28"/>
        </w:rPr>
        <w:t xml:space="preserve">                                          BMSP7001</w:t>
      </w:r>
    </w:p>
    <w:p w14:paraId="11BB39CE" w14:textId="2DD86EF2" w:rsidR="00717FC2" w:rsidRPr="00453A65" w:rsidRDefault="00717FC2" w:rsidP="00453A65">
      <w:pPr>
        <w:rPr>
          <w:rFonts w:ascii="Arial" w:hAnsi="Arial" w:cs="Arial"/>
          <w:sz w:val="28"/>
          <w:szCs w:val="28"/>
        </w:rPr>
      </w:pPr>
      <w:r w:rsidRPr="00453A65">
        <w:rPr>
          <w:rFonts w:ascii="Arial" w:hAnsi="Arial" w:cs="Arial"/>
          <w:sz w:val="28"/>
          <w:szCs w:val="28"/>
        </w:rPr>
        <w:t xml:space="preserve">                                                LAURA JAMES</w:t>
      </w:r>
    </w:p>
    <w:p w14:paraId="4C3E1167" w14:textId="7AB6516C" w:rsidR="00717FC2" w:rsidRPr="00453A65" w:rsidRDefault="00717FC2" w:rsidP="00453A65">
      <w:pPr>
        <w:rPr>
          <w:rFonts w:ascii="Arial" w:hAnsi="Arial" w:cs="Arial"/>
          <w:sz w:val="28"/>
          <w:szCs w:val="28"/>
        </w:rPr>
      </w:pPr>
      <w:r w:rsidRPr="00453A65">
        <w:rPr>
          <w:rFonts w:ascii="Arial" w:hAnsi="Arial" w:cs="Arial"/>
          <w:sz w:val="28"/>
          <w:szCs w:val="28"/>
        </w:rPr>
        <w:t xml:space="preserve">                                                       ESSAY </w:t>
      </w:r>
    </w:p>
    <w:p w14:paraId="768A8603" w14:textId="231CD5B9" w:rsidR="002F494B" w:rsidRPr="00453A65" w:rsidRDefault="00717FC2" w:rsidP="00453A65">
      <w:pPr>
        <w:rPr>
          <w:rFonts w:ascii="Arial" w:hAnsi="Arial" w:cs="Arial"/>
          <w:sz w:val="28"/>
          <w:szCs w:val="28"/>
        </w:rPr>
      </w:pPr>
      <w:r w:rsidRPr="00453A65">
        <w:rPr>
          <w:rFonts w:ascii="Arial" w:hAnsi="Arial" w:cs="Arial"/>
          <w:sz w:val="28"/>
          <w:szCs w:val="28"/>
        </w:rPr>
        <w:t xml:space="preserve">                                                            12/01/2026</w:t>
      </w:r>
      <w:r w:rsidR="002F494B" w:rsidRPr="00453A65">
        <w:rPr>
          <w:rFonts w:ascii="Arial" w:hAnsi="Arial" w:cs="Arial"/>
          <w:sz w:val="28"/>
          <w:szCs w:val="28"/>
        </w:rPr>
        <w:t xml:space="preserve"> </w:t>
      </w:r>
    </w:p>
    <w:p w14:paraId="619EE560" w14:textId="26ACA285" w:rsidR="002F494B" w:rsidRDefault="002F494B" w:rsidP="00717FC2">
      <w:pPr>
        <w:suppressAutoHyphens w:val="0"/>
        <w:autoSpaceDN/>
        <w:spacing w:line="278" w:lineRule="auto"/>
        <w:jc w:val="center"/>
        <w:rPr>
          <w:rFonts w:ascii="Arial" w:hAnsi="Arial" w:cs="Arial"/>
          <w:sz w:val="24"/>
          <w:szCs w:val="24"/>
        </w:rPr>
      </w:pPr>
      <w:r>
        <w:rPr>
          <w:rFonts w:ascii="Arial" w:hAnsi="Arial" w:cs="Arial"/>
          <w:sz w:val="24"/>
          <w:szCs w:val="24"/>
        </w:rPr>
        <w:br w:type="page"/>
      </w:r>
    </w:p>
    <w:sdt>
      <w:sdtPr>
        <w:rPr>
          <w:rFonts w:ascii="Aptos" w:eastAsia="Aptos" w:hAnsi="Aptos" w:cs="Times New Roman"/>
          <w:color w:val="auto"/>
          <w:sz w:val="22"/>
          <w:szCs w:val="22"/>
          <w:lang w:val="en-GB"/>
        </w:rPr>
        <w:id w:val="45411536"/>
        <w:docPartObj>
          <w:docPartGallery w:val="Table of Contents"/>
          <w:docPartUnique/>
        </w:docPartObj>
      </w:sdtPr>
      <w:sdtEndPr>
        <w:rPr>
          <w:b/>
          <w:bCs/>
          <w:noProof/>
        </w:rPr>
      </w:sdtEndPr>
      <w:sdtContent>
        <w:p w14:paraId="6E0D0640" w14:textId="56E3EF24" w:rsidR="00C1432C" w:rsidRPr="001140CF" w:rsidRDefault="00C1432C" w:rsidP="00453A65">
          <w:pPr>
            <w:pStyle w:val="TOCHeading"/>
            <w:jc w:val="both"/>
            <w:rPr>
              <w:color w:val="auto"/>
            </w:rPr>
          </w:pPr>
          <w:r w:rsidRPr="001140CF">
            <w:rPr>
              <w:color w:val="auto"/>
            </w:rPr>
            <w:t>Contents</w:t>
          </w:r>
        </w:p>
        <w:p w14:paraId="37D39DB0" w14:textId="78116623" w:rsidR="00F64A14" w:rsidRDefault="00C1432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8004603" w:history="1">
            <w:r w:rsidR="00F64A14" w:rsidRPr="00837DF4">
              <w:rPr>
                <w:rStyle w:val="Hyperlink"/>
                <w:rFonts w:ascii="Arial" w:hAnsi="Arial" w:cs="Arial"/>
                <w:noProof/>
              </w:rPr>
              <w:t>Introduction</w:t>
            </w:r>
            <w:r w:rsidR="00F64A14">
              <w:rPr>
                <w:noProof/>
                <w:webHidden/>
              </w:rPr>
              <w:tab/>
            </w:r>
            <w:r w:rsidR="00F64A14">
              <w:rPr>
                <w:noProof/>
                <w:webHidden/>
              </w:rPr>
              <w:fldChar w:fldCharType="begin"/>
            </w:r>
            <w:r w:rsidR="00F64A14">
              <w:rPr>
                <w:noProof/>
                <w:webHidden/>
              </w:rPr>
              <w:instrText xml:space="preserve"> PAGEREF _Toc218004603 \h </w:instrText>
            </w:r>
            <w:r w:rsidR="00F64A14">
              <w:rPr>
                <w:noProof/>
                <w:webHidden/>
              </w:rPr>
            </w:r>
            <w:r w:rsidR="00F64A14">
              <w:rPr>
                <w:noProof/>
                <w:webHidden/>
              </w:rPr>
              <w:fldChar w:fldCharType="separate"/>
            </w:r>
            <w:r w:rsidR="007E214A">
              <w:rPr>
                <w:noProof/>
                <w:webHidden/>
              </w:rPr>
              <w:t>3</w:t>
            </w:r>
            <w:r w:rsidR="00F64A14">
              <w:rPr>
                <w:noProof/>
                <w:webHidden/>
              </w:rPr>
              <w:fldChar w:fldCharType="end"/>
            </w:r>
          </w:hyperlink>
        </w:p>
        <w:p w14:paraId="4C553F1B" w14:textId="5DED5CC4" w:rsidR="00F64A14" w:rsidRDefault="00F64A1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8004604" w:history="1">
            <w:r w:rsidRPr="00837DF4">
              <w:rPr>
                <w:rStyle w:val="Hyperlink"/>
                <w:rFonts w:ascii="Arial" w:hAnsi="Arial" w:cs="Arial"/>
                <w:noProof/>
              </w:rPr>
              <w:t>Theoretical foundation</w:t>
            </w:r>
            <w:r>
              <w:rPr>
                <w:noProof/>
                <w:webHidden/>
              </w:rPr>
              <w:tab/>
            </w:r>
            <w:r>
              <w:rPr>
                <w:noProof/>
                <w:webHidden/>
              </w:rPr>
              <w:fldChar w:fldCharType="begin"/>
            </w:r>
            <w:r>
              <w:rPr>
                <w:noProof/>
                <w:webHidden/>
              </w:rPr>
              <w:instrText xml:space="preserve"> PAGEREF _Toc218004604 \h </w:instrText>
            </w:r>
            <w:r>
              <w:rPr>
                <w:noProof/>
                <w:webHidden/>
              </w:rPr>
            </w:r>
            <w:r>
              <w:rPr>
                <w:noProof/>
                <w:webHidden/>
              </w:rPr>
              <w:fldChar w:fldCharType="separate"/>
            </w:r>
            <w:r w:rsidR="007E214A">
              <w:rPr>
                <w:noProof/>
                <w:webHidden/>
              </w:rPr>
              <w:t>4</w:t>
            </w:r>
            <w:r>
              <w:rPr>
                <w:noProof/>
                <w:webHidden/>
              </w:rPr>
              <w:fldChar w:fldCharType="end"/>
            </w:r>
          </w:hyperlink>
        </w:p>
        <w:p w14:paraId="7D62C44C" w14:textId="60D92980" w:rsidR="00F64A14" w:rsidRDefault="00F64A1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8004605" w:history="1">
            <w:r w:rsidRPr="00837DF4">
              <w:rPr>
                <w:rStyle w:val="Hyperlink"/>
                <w:rFonts w:ascii="Arial" w:hAnsi="Arial" w:cs="Arial"/>
                <w:noProof/>
              </w:rPr>
              <w:t>Organisation responsibility</w:t>
            </w:r>
            <w:r>
              <w:rPr>
                <w:noProof/>
                <w:webHidden/>
              </w:rPr>
              <w:tab/>
            </w:r>
            <w:r>
              <w:rPr>
                <w:noProof/>
                <w:webHidden/>
              </w:rPr>
              <w:fldChar w:fldCharType="begin"/>
            </w:r>
            <w:r>
              <w:rPr>
                <w:noProof/>
                <w:webHidden/>
              </w:rPr>
              <w:instrText xml:space="preserve"> PAGEREF _Toc218004605 \h </w:instrText>
            </w:r>
            <w:r>
              <w:rPr>
                <w:noProof/>
                <w:webHidden/>
              </w:rPr>
            </w:r>
            <w:r>
              <w:rPr>
                <w:noProof/>
                <w:webHidden/>
              </w:rPr>
              <w:fldChar w:fldCharType="separate"/>
            </w:r>
            <w:r w:rsidR="007E214A">
              <w:rPr>
                <w:noProof/>
                <w:webHidden/>
              </w:rPr>
              <w:t>7</w:t>
            </w:r>
            <w:r>
              <w:rPr>
                <w:noProof/>
                <w:webHidden/>
              </w:rPr>
              <w:fldChar w:fldCharType="end"/>
            </w:r>
          </w:hyperlink>
        </w:p>
        <w:p w14:paraId="5111A17A" w14:textId="2C486D8E" w:rsidR="00F64A14" w:rsidRDefault="00F64A1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8004606" w:history="1">
            <w:r w:rsidRPr="00837DF4">
              <w:rPr>
                <w:rStyle w:val="Hyperlink"/>
                <w:rFonts w:ascii="Arial" w:hAnsi="Arial" w:cs="Arial"/>
                <w:noProof/>
              </w:rPr>
              <w:t>Government responsibility</w:t>
            </w:r>
            <w:r>
              <w:rPr>
                <w:noProof/>
                <w:webHidden/>
              </w:rPr>
              <w:tab/>
            </w:r>
            <w:r>
              <w:rPr>
                <w:noProof/>
                <w:webHidden/>
              </w:rPr>
              <w:fldChar w:fldCharType="begin"/>
            </w:r>
            <w:r>
              <w:rPr>
                <w:noProof/>
                <w:webHidden/>
              </w:rPr>
              <w:instrText xml:space="preserve"> PAGEREF _Toc218004606 \h </w:instrText>
            </w:r>
            <w:r>
              <w:rPr>
                <w:noProof/>
                <w:webHidden/>
              </w:rPr>
            </w:r>
            <w:r>
              <w:rPr>
                <w:noProof/>
                <w:webHidden/>
              </w:rPr>
              <w:fldChar w:fldCharType="separate"/>
            </w:r>
            <w:r w:rsidR="007E214A">
              <w:rPr>
                <w:noProof/>
                <w:webHidden/>
              </w:rPr>
              <w:t>9</w:t>
            </w:r>
            <w:r>
              <w:rPr>
                <w:noProof/>
                <w:webHidden/>
              </w:rPr>
              <w:fldChar w:fldCharType="end"/>
            </w:r>
          </w:hyperlink>
        </w:p>
        <w:p w14:paraId="2C6CA78E" w14:textId="145020D9" w:rsidR="00F64A14" w:rsidRDefault="00F64A1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8004607" w:history="1">
            <w:r w:rsidRPr="00837DF4">
              <w:rPr>
                <w:rStyle w:val="Hyperlink"/>
                <w:rFonts w:ascii="Arial" w:hAnsi="Arial" w:cs="Arial"/>
                <w:noProof/>
              </w:rPr>
              <w:t>Societal responsibility</w:t>
            </w:r>
            <w:r>
              <w:rPr>
                <w:noProof/>
                <w:webHidden/>
              </w:rPr>
              <w:tab/>
            </w:r>
            <w:r>
              <w:rPr>
                <w:noProof/>
                <w:webHidden/>
              </w:rPr>
              <w:fldChar w:fldCharType="begin"/>
            </w:r>
            <w:r>
              <w:rPr>
                <w:noProof/>
                <w:webHidden/>
              </w:rPr>
              <w:instrText xml:space="preserve"> PAGEREF _Toc218004607 \h </w:instrText>
            </w:r>
            <w:r>
              <w:rPr>
                <w:noProof/>
                <w:webHidden/>
              </w:rPr>
            </w:r>
            <w:r>
              <w:rPr>
                <w:noProof/>
                <w:webHidden/>
              </w:rPr>
              <w:fldChar w:fldCharType="separate"/>
            </w:r>
            <w:r w:rsidR="007E214A">
              <w:rPr>
                <w:noProof/>
                <w:webHidden/>
              </w:rPr>
              <w:t>11</w:t>
            </w:r>
            <w:r>
              <w:rPr>
                <w:noProof/>
                <w:webHidden/>
              </w:rPr>
              <w:fldChar w:fldCharType="end"/>
            </w:r>
          </w:hyperlink>
        </w:p>
        <w:p w14:paraId="5F64AB15" w14:textId="2A9029AF" w:rsidR="00F64A14" w:rsidRDefault="00F64A1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8004608" w:history="1">
            <w:r w:rsidRPr="00837DF4">
              <w:rPr>
                <w:rStyle w:val="Hyperlink"/>
                <w:rFonts w:ascii="Arial" w:hAnsi="Arial" w:cs="Arial"/>
                <w:noProof/>
              </w:rPr>
              <w:t>Integrating responsibility for a sustainable future</w:t>
            </w:r>
            <w:r>
              <w:rPr>
                <w:noProof/>
                <w:webHidden/>
              </w:rPr>
              <w:tab/>
            </w:r>
            <w:r>
              <w:rPr>
                <w:noProof/>
                <w:webHidden/>
              </w:rPr>
              <w:fldChar w:fldCharType="begin"/>
            </w:r>
            <w:r>
              <w:rPr>
                <w:noProof/>
                <w:webHidden/>
              </w:rPr>
              <w:instrText xml:space="preserve"> PAGEREF _Toc218004608 \h </w:instrText>
            </w:r>
            <w:r>
              <w:rPr>
                <w:noProof/>
                <w:webHidden/>
              </w:rPr>
            </w:r>
            <w:r>
              <w:rPr>
                <w:noProof/>
                <w:webHidden/>
              </w:rPr>
              <w:fldChar w:fldCharType="separate"/>
            </w:r>
            <w:r w:rsidR="007E214A">
              <w:rPr>
                <w:noProof/>
                <w:webHidden/>
              </w:rPr>
              <w:t>12</w:t>
            </w:r>
            <w:r>
              <w:rPr>
                <w:noProof/>
                <w:webHidden/>
              </w:rPr>
              <w:fldChar w:fldCharType="end"/>
            </w:r>
          </w:hyperlink>
        </w:p>
        <w:p w14:paraId="34041CD2" w14:textId="33FD9E8C" w:rsidR="00F64A14" w:rsidRDefault="00F64A1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8004609" w:history="1">
            <w:r w:rsidRPr="00837DF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_Toc218004609 \h </w:instrText>
            </w:r>
            <w:r>
              <w:rPr>
                <w:noProof/>
                <w:webHidden/>
              </w:rPr>
            </w:r>
            <w:r>
              <w:rPr>
                <w:noProof/>
                <w:webHidden/>
              </w:rPr>
              <w:fldChar w:fldCharType="separate"/>
            </w:r>
            <w:r w:rsidR="007E214A">
              <w:rPr>
                <w:noProof/>
                <w:webHidden/>
              </w:rPr>
              <w:t>13</w:t>
            </w:r>
            <w:r>
              <w:rPr>
                <w:noProof/>
                <w:webHidden/>
              </w:rPr>
              <w:fldChar w:fldCharType="end"/>
            </w:r>
          </w:hyperlink>
        </w:p>
        <w:p w14:paraId="1CD2761D" w14:textId="695568E0" w:rsidR="00F64A14" w:rsidRDefault="00F64A1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8004610" w:history="1">
            <w:r w:rsidRPr="00837DF4">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_Toc218004610 \h </w:instrText>
            </w:r>
            <w:r>
              <w:rPr>
                <w:noProof/>
                <w:webHidden/>
              </w:rPr>
            </w:r>
            <w:r>
              <w:rPr>
                <w:noProof/>
                <w:webHidden/>
              </w:rPr>
              <w:fldChar w:fldCharType="separate"/>
            </w:r>
            <w:r w:rsidR="007E214A">
              <w:rPr>
                <w:noProof/>
                <w:webHidden/>
              </w:rPr>
              <w:t>15</w:t>
            </w:r>
            <w:r>
              <w:rPr>
                <w:noProof/>
                <w:webHidden/>
              </w:rPr>
              <w:fldChar w:fldCharType="end"/>
            </w:r>
          </w:hyperlink>
        </w:p>
        <w:p w14:paraId="04B5AA08" w14:textId="5109F77F" w:rsidR="00C1432C" w:rsidRDefault="00C1432C">
          <w:r>
            <w:rPr>
              <w:b/>
              <w:bCs/>
              <w:noProof/>
            </w:rPr>
            <w:fldChar w:fldCharType="end"/>
          </w:r>
        </w:p>
      </w:sdtContent>
    </w:sdt>
    <w:p w14:paraId="1722BFCD" w14:textId="77777777" w:rsidR="00C1432C" w:rsidRDefault="00C1432C" w:rsidP="002F56B3">
      <w:pPr>
        <w:suppressAutoHyphens w:val="0"/>
        <w:autoSpaceDN/>
        <w:spacing w:line="360" w:lineRule="auto"/>
        <w:jc w:val="both"/>
        <w:rPr>
          <w:rFonts w:ascii="Arial" w:hAnsi="Arial" w:cs="Arial"/>
          <w:sz w:val="24"/>
          <w:szCs w:val="24"/>
        </w:rPr>
      </w:pPr>
      <w:r>
        <w:rPr>
          <w:rFonts w:ascii="Arial" w:hAnsi="Arial" w:cs="Arial"/>
          <w:sz w:val="24"/>
          <w:szCs w:val="24"/>
        </w:rPr>
        <w:br w:type="page"/>
      </w:r>
    </w:p>
    <w:p w14:paraId="41ECE76A" w14:textId="2B24E13C" w:rsidR="00373807" w:rsidRPr="00C1432C" w:rsidRDefault="00373807" w:rsidP="002F56B3">
      <w:pPr>
        <w:pStyle w:val="Heading2"/>
        <w:spacing w:line="360" w:lineRule="auto"/>
        <w:jc w:val="both"/>
        <w:rPr>
          <w:rFonts w:ascii="Arial" w:hAnsi="Arial" w:cs="Arial"/>
          <w:color w:val="auto"/>
          <w:sz w:val="28"/>
          <w:szCs w:val="28"/>
        </w:rPr>
      </w:pPr>
      <w:bookmarkStart w:id="1" w:name="_Toc218004603"/>
      <w:r w:rsidRPr="00C1432C">
        <w:rPr>
          <w:rFonts w:ascii="Arial" w:hAnsi="Arial" w:cs="Arial"/>
          <w:color w:val="auto"/>
          <w:sz w:val="28"/>
          <w:szCs w:val="28"/>
        </w:rPr>
        <w:lastRenderedPageBreak/>
        <w:t>Introduction</w:t>
      </w:r>
      <w:bookmarkEnd w:id="0"/>
      <w:bookmarkEnd w:id="1"/>
      <w:r w:rsidRPr="00C1432C">
        <w:rPr>
          <w:rFonts w:ascii="Arial" w:hAnsi="Arial" w:cs="Arial"/>
          <w:color w:val="auto"/>
          <w:sz w:val="28"/>
          <w:szCs w:val="28"/>
        </w:rPr>
        <w:t xml:space="preserve"> </w:t>
      </w:r>
    </w:p>
    <w:p w14:paraId="3876B835" w14:textId="7E4A446A" w:rsidR="00373807" w:rsidRPr="000B0EBA" w:rsidRDefault="00373807" w:rsidP="002F56B3">
      <w:pPr>
        <w:spacing w:line="360" w:lineRule="auto"/>
        <w:jc w:val="both"/>
        <w:rPr>
          <w:rFonts w:ascii="Arial" w:hAnsi="Arial" w:cs="Arial"/>
          <w:sz w:val="24"/>
          <w:szCs w:val="24"/>
        </w:rPr>
      </w:pPr>
      <w:r w:rsidRPr="000B0EBA">
        <w:rPr>
          <w:rFonts w:ascii="Arial" w:hAnsi="Arial" w:cs="Arial"/>
          <w:sz w:val="24"/>
          <w:szCs w:val="24"/>
        </w:rPr>
        <w:t xml:space="preserve">Considering the </w:t>
      </w:r>
      <w:r w:rsidRPr="00B274AB">
        <w:rPr>
          <w:rFonts w:ascii="Arial" w:hAnsi="Arial" w:cs="Arial"/>
          <w:sz w:val="24"/>
          <w:szCs w:val="24"/>
        </w:rPr>
        <w:t>notion</w:t>
      </w:r>
      <w:r w:rsidRPr="000B0EBA">
        <w:rPr>
          <w:rFonts w:ascii="Arial" w:hAnsi="Arial" w:cs="Arial"/>
          <w:sz w:val="24"/>
          <w:szCs w:val="24"/>
        </w:rPr>
        <w:t xml:space="preserve"> of responsibility and the relative roles of business, Abraham Lincoln’s statement </w:t>
      </w:r>
      <w:r w:rsidR="003E436E">
        <w:rPr>
          <w:rFonts w:ascii="Arial" w:hAnsi="Arial" w:cs="Arial"/>
          <w:sz w:val="24"/>
          <w:szCs w:val="24"/>
        </w:rPr>
        <w:t>“</w:t>
      </w:r>
      <w:r w:rsidRPr="000B0EBA">
        <w:rPr>
          <w:rFonts w:ascii="Arial" w:hAnsi="Arial" w:cs="Arial"/>
          <w:sz w:val="24"/>
          <w:szCs w:val="24"/>
        </w:rPr>
        <w:t>you cannot escape the responsibility of tomorrow by evading it today</w:t>
      </w:r>
      <w:r w:rsidR="003E436E">
        <w:rPr>
          <w:rFonts w:ascii="Arial" w:hAnsi="Arial" w:cs="Arial"/>
          <w:sz w:val="24"/>
          <w:szCs w:val="24"/>
        </w:rPr>
        <w:t>”</w:t>
      </w:r>
      <w:r w:rsidRPr="000B0EBA">
        <w:rPr>
          <w:rFonts w:ascii="Arial" w:hAnsi="Arial" w:cs="Arial"/>
          <w:sz w:val="24"/>
          <w:szCs w:val="24"/>
        </w:rPr>
        <w:t xml:space="preserve"> resonates profoundly in the contemporary sustainability debate. His statement points out that if </w:t>
      </w:r>
      <w:r w:rsidR="0041719B">
        <w:rPr>
          <w:rFonts w:ascii="Arial" w:hAnsi="Arial" w:cs="Arial"/>
          <w:sz w:val="24"/>
          <w:szCs w:val="24"/>
        </w:rPr>
        <w:t>someone</w:t>
      </w:r>
      <w:r w:rsidR="00BC17E7">
        <w:rPr>
          <w:rFonts w:ascii="Arial" w:hAnsi="Arial" w:cs="Arial"/>
          <w:sz w:val="24"/>
          <w:szCs w:val="24"/>
        </w:rPr>
        <w:t xml:space="preserve"> </w:t>
      </w:r>
      <w:r w:rsidRPr="000B0EBA">
        <w:rPr>
          <w:rFonts w:ascii="Arial" w:hAnsi="Arial" w:cs="Arial"/>
          <w:sz w:val="24"/>
          <w:szCs w:val="24"/>
        </w:rPr>
        <w:t>avoid</w:t>
      </w:r>
      <w:r w:rsidR="007E214A">
        <w:rPr>
          <w:rFonts w:ascii="Arial" w:hAnsi="Arial" w:cs="Arial"/>
          <w:sz w:val="24"/>
          <w:szCs w:val="24"/>
        </w:rPr>
        <w:t>s</w:t>
      </w:r>
      <w:r w:rsidR="0041719B">
        <w:rPr>
          <w:rFonts w:ascii="Arial" w:hAnsi="Arial" w:cs="Arial"/>
          <w:sz w:val="24"/>
          <w:szCs w:val="24"/>
        </w:rPr>
        <w:t xml:space="preserve"> their</w:t>
      </w:r>
      <w:r w:rsidRPr="000B0EBA">
        <w:rPr>
          <w:rFonts w:ascii="Arial" w:hAnsi="Arial" w:cs="Arial"/>
          <w:sz w:val="24"/>
          <w:szCs w:val="24"/>
        </w:rPr>
        <w:t xml:space="preserve"> duties, </w:t>
      </w:r>
      <w:r w:rsidR="0041719B">
        <w:rPr>
          <w:rFonts w:ascii="Arial" w:hAnsi="Arial" w:cs="Arial"/>
          <w:sz w:val="24"/>
          <w:szCs w:val="24"/>
        </w:rPr>
        <w:t>they</w:t>
      </w:r>
      <w:r w:rsidRPr="000B0EBA">
        <w:rPr>
          <w:rFonts w:ascii="Arial" w:hAnsi="Arial" w:cs="Arial"/>
          <w:sz w:val="24"/>
          <w:szCs w:val="24"/>
        </w:rPr>
        <w:t xml:space="preserve"> are only prolonging the challenges that comes with it, because tomorrows responsibilities do not disappear, they simply accumulate over time.</w:t>
      </w:r>
      <w:r w:rsidR="00BC17E7">
        <w:rPr>
          <w:rFonts w:ascii="Arial" w:hAnsi="Arial" w:cs="Arial"/>
          <w:sz w:val="24"/>
          <w:szCs w:val="24"/>
        </w:rPr>
        <w:t xml:space="preserve"> Although, attributes to Abraham Lincoln, the origins of the statement remain uncertain, nevertheless its message resonates strongly with modern sustainability and governance challenges. </w:t>
      </w:r>
      <w:r w:rsidR="00BD0811">
        <w:rPr>
          <w:rFonts w:ascii="Arial" w:hAnsi="Arial" w:cs="Arial"/>
          <w:sz w:val="24"/>
          <w:szCs w:val="24"/>
        </w:rPr>
        <w:t>However, a</w:t>
      </w:r>
      <w:r w:rsidRPr="000B0EBA">
        <w:rPr>
          <w:rFonts w:ascii="Arial" w:hAnsi="Arial" w:cs="Arial"/>
          <w:sz w:val="24"/>
          <w:szCs w:val="24"/>
        </w:rPr>
        <w:t>ttention to sustainability has increased in the 21st century organisation, making the definition challenging through responsibilities from businesses, governments and society in general for a more sustainable future</w:t>
      </w:r>
      <w:r w:rsidR="000A73DB">
        <w:rPr>
          <w:rFonts w:ascii="Arial" w:hAnsi="Arial" w:cs="Arial"/>
          <w:sz w:val="24"/>
          <w:szCs w:val="24"/>
        </w:rPr>
        <w:t xml:space="preserve"> </w:t>
      </w:r>
      <w:r w:rsidR="000A73DB" w:rsidRPr="000A73DB">
        <w:rPr>
          <w:rFonts w:ascii="Arial" w:hAnsi="Arial" w:cs="Arial"/>
          <w:sz w:val="24"/>
          <w:szCs w:val="24"/>
        </w:rPr>
        <w:fldChar w:fldCharType="begin"/>
      </w:r>
      <w:r w:rsidR="000A73DB" w:rsidRPr="000A73DB">
        <w:rPr>
          <w:rFonts w:ascii="Arial" w:hAnsi="Arial" w:cs="Arial"/>
          <w:sz w:val="24"/>
          <w:szCs w:val="24"/>
        </w:rPr>
        <w:instrText xml:space="preserve"> ADDIN ZOTERO_ITEM CSL_CITATION {"citationID":"FhNax5R2","properties":{"formattedCitation":"(Bade {\\i{}et al.}, 2024)","plainCitation":"(Bade et al., 2024)","noteIndex":0},"citationItems":[{"id":140,"uris":["http://zotero.org/users/local/bh3OqUSh/items/2WYT2ZWC"],"itemData":{"id":140,"type":"article-journal","abstract":"Abstract\n            The pharmaceutical industry faces increased sustainability demands. The Environmental, Social, and Governance (ESG) framework is most widely accepted to discuss corporate sustainability, but little is known about the effects of ESG measure implementation on supply chain security. Understanding these effects is especially important in the face of drug shortages. Leveraging a quantitative and a qualitative method based on a grounded theory approach, we aim to investigate the state of ESG maturity of pharmaceutical corporations in Germany and develop a perspective on the effects of ESG measure implementation on supply chain security. We find publicly traded and larger companies having higher ESG target</w:instrText>
      </w:r>
      <w:r w:rsidR="000A73DB" w:rsidRPr="000A73DB">
        <w:rPr>
          <w:rFonts w:ascii="Cambria Math" w:hAnsi="Cambria Math" w:cs="Cambria Math"/>
          <w:sz w:val="24"/>
          <w:szCs w:val="24"/>
        </w:rPr>
        <w:instrText>‐</w:instrText>
      </w:r>
      <w:r w:rsidR="000A73DB" w:rsidRPr="000A73DB">
        <w:rPr>
          <w:rFonts w:ascii="Arial" w:hAnsi="Arial" w:cs="Arial"/>
          <w:sz w:val="24"/>
          <w:szCs w:val="24"/>
        </w:rPr>
        <w:instrText>setting maturity than privately</w:instrText>
      </w:r>
      <w:r w:rsidR="000A73DB" w:rsidRPr="000A73DB">
        <w:rPr>
          <w:rFonts w:ascii="Cambria Math" w:hAnsi="Cambria Math" w:cs="Cambria Math"/>
          <w:sz w:val="24"/>
          <w:szCs w:val="24"/>
        </w:rPr>
        <w:instrText>‐</w:instrText>
      </w:r>
      <w:r w:rsidR="000A73DB" w:rsidRPr="000A73DB">
        <w:rPr>
          <w:rFonts w:ascii="Arial" w:hAnsi="Arial" w:cs="Arial"/>
          <w:sz w:val="24"/>
          <w:szCs w:val="24"/>
        </w:rPr>
        <w:instrText>owned or smaller companies and that company priorities, costs, and regulatory processes limt ESG progress overall. Our findings suggest that ESG measure implementation can induce short</w:instrText>
      </w:r>
      <w:r w:rsidR="000A73DB" w:rsidRPr="000A73DB">
        <w:rPr>
          <w:rFonts w:ascii="Cambria Math" w:hAnsi="Cambria Math" w:cs="Cambria Math"/>
          <w:sz w:val="24"/>
          <w:szCs w:val="24"/>
        </w:rPr>
        <w:instrText>‐</w:instrText>
      </w:r>
      <w:r w:rsidR="000A73DB" w:rsidRPr="000A73DB">
        <w:rPr>
          <w:rFonts w:ascii="Arial" w:hAnsi="Arial" w:cs="Arial"/>
          <w:sz w:val="24"/>
          <w:szCs w:val="24"/>
        </w:rPr>
        <w:instrText>term supply disruption risks. A risk assessment considers current ESG maturity, implementation effects outside of own operations, short</w:instrText>
      </w:r>
      <w:r w:rsidR="000A73DB" w:rsidRPr="000A73DB">
        <w:rPr>
          <w:rFonts w:ascii="Cambria Math" w:hAnsi="Cambria Math" w:cs="Cambria Math"/>
          <w:sz w:val="24"/>
          <w:szCs w:val="24"/>
        </w:rPr>
        <w:instrText>‐</w:instrText>
      </w:r>
      <w:r w:rsidR="000A73DB" w:rsidRPr="000A73DB">
        <w:rPr>
          <w:rFonts w:ascii="Arial" w:hAnsi="Arial" w:cs="Arial"/>
          <w:sz w:val="24"/>
          <w:szCs w:val="24"/>
        </w:rPr>
        <w:instrText xml:space="preserve">term supply buffers, implementation timeline, and scope, and change management capabilities.","container-title":"Corporate Social Responsibility and Environmental Management","DOI":"10.1002/csr.2564","ISSN":"1535-3958, 1535-3966","issue":"1","journalAbbreviation":"Corp Soc Responsibility Env","language":"en","page":"224-242","source":"DOI.org (Crossref)","title":"Sustainability in the pharmaceutical industry—An assessment of &lt;span style=\"font-variant:small-caps;\"&gt;sustainability&lt;/span&gt; maturity and effects of &lt;span style=\"font-variant:small-caps;\"&gt;sustainability&lt;/span&gt; measure implementation on supply chain security","title-short":"Sustainability in the pharmaceutical industry—An assessment of &lt;span style=\"font-variant","volume":"31","author":[{"family":"Bade","given":"Celina"},{"family":"Olsacher","given":"Alexandra"},{"family":"Boehme","given":"Philip"},{"family":"Truebel","given":"Hubert"},{"family":"Bürger","given":"Lena"},{"family":"Fehring","given":"Leonard"}],"issued":{"date-parts":[["2024",1]]}}}],"schema":"https://github.com/citation-style-language/schema/raw/master/csl-citation.json"} </w:instrText>
      </w:r>
      <w:r w:rsidR="000A73DB" w:rsidRPr="000A73DB">
        <w:rPr>
          <w:rFonts w:ascii="Arial" w:hAnsi="Arial" w:cs="Arial"/>
          <w:sz w:val="24"/>
          <w:szCs w:val="24"/>
        </w:rPr>
        <w:fldChar w:fldCharType="separate"/>
      </w:r>
      <w:r w:rsidR="000A73DB" w:rsidRPr="000A73DB">
        <w:rPr>
          <w:rFonts w:ascii="Arial" w:hAnsi="Arial" w:cs="Arial"/>
          <w:sz w:val="24"/>
        </w:rPr>
        <w:t>(Bade et al., 2024)</w:t>
      </w:r>
      <w:r w:rsidR="000A73DB" w:rsidRPr="000A73DB">
        <w:rPr>
          <w:rFonts w:ascii="Arial" w:hAnsi="Arial" w:cs="Arial"/>
          <w:sz w:val="24"/>
          <w:szCs w:val="24"/>
        </w:rPr>
        <w:fldChar w:fldCharType="end"/>
      </w:r>
      <w:r w:rsidRPr="000A73DB">
        <w:rPr>
          <w:rFonts w:ascii="Arial" w:hAnsi="Arial" w:cs="Arial"/>
          <w:sz w:val="24"/>
          <w:szCs w:val="24"/>
        </w:rPr>
        <w:t xml:space="preserve">. </w:t>
      </w:r>
    </w:p>
    <w:p w14:paraId="48D4B827" w14:textId="336667B8" w:rsidR="00373807" w:rsidRPr="000B0EBA" w:rsidRDefault="00373807" w:rsidP="002F56B3">
      <w:pPr>
        <w:pStyle w:val="NormalWeb"/>
        <w:spacing w:line="360" w:lineRule="auto"/>
        <w:jc w:val="both"/>
        <w:rPr>
          <w:rFonts w:ascii="Arial" w:hAnsi="Arial" w:cs="Arial"/>
        </w:rPr>
      </w:pPr>
      <w:r w:rsidRPr="000B0EBA">
        <w:rPr>
          <w:rFonts w:ascii="Arial" w:hAnsi="Arial" w:cs="Arial"/>
        </w:rPr>
        <w:t xml:space="preserve">For sustainability to be incorporated into the overall business strategy, it is very important for businesses to change behaviours, culture </w:t>
      </w:r>
      <w:r w:rsidRPr="000C7A8F">
        <w:rPr>
          <w:rFonts w:ascii="Arial" w:hAnsi="Arial" w:cs="Arial"/>
        </w:rPr>
        <w:t>and concerns as a core of business and to facilitate innovation</w:t>
      </w:r>
      <w:r w:rsidR="000C7A8F" w:rsidRPr="000C7A8F">
        <w:rPr>
          <w:rFonts w:ascii="Arial" w:hAnsi="Arial" w:cs="Arial"/>
        </w:rPr>
        <w:t xml:space="preserve"> </w:t>
      </w:r>
      <w:r w:rsidR="000C7A8F" w:rsidRPr="000C7A8F">
        <w:rPr>
          <w:rFonts w:ascii="Arial" w:hAnsi="Arial" w:cs="Arial"/>
        </w:rPr>
        <w:fldChar w:fldCharType="begin"/>
      </w:r>
      <w:r w:rsidR="000C7A8F" w:rsidRPr="000C7A8F">
        <w:rPr>
          <w:rFonts w:ascii="Arial" w:hAnsi="Arial" w:cs="Arial"/>
        </w:rPr>
        <w:instrText xml:space="preserve"> ADDIN ZOTERO_ITEM CSL_CITATION {"citationID":"Iz8eq8ag","properties":{"formattedCitation":"(Cezarino {\\i{}et al.}, 2022)","plainCitation":"(Cezarino et al., 2022)","noteIndex":0},"citationItems":[{"id":44,"uris":["http://zotero.org/users/local/bh3OqUSh/items/B4WRZTDC"],"itemData":{"id":44,"type":"article-journal","abstract":"In emerging markets, Corporate Social Responsibility and social entrepreneurship practices emerge as drivers of social inclusion and welfare. In countries with considerable demands for social and economic transformations, Corporate Social Responsibility provides a positive force for addressing society’s major challenges such as the United Nations’ Sustainable Development Goals (SDGs). In this paper, we examine how two projects selected by the United Nations Development Programme (UNPD) orient their operations toward responsible management practices in a transition economy context and answer two questions: 1) Does Corporate Social Responsibility supporting social entrepreneurship pave the way for greater inclusion?, and, 2) How do the Corporate Social Responsibility practices help achieve the SDGs? By focusing our analysis on stakeholder theory, we highlight how context can influence the strategic management process of social inclusion choices. Both cases provide practical implications of how the insertion of responsibility thematic in core business strategy acts as an effective driver for the development of fundamentally important SDGs.","container-title":"Journal of Cleaner Production","DOI":"10.1016/j.jclepro.2022.132224","ISSN":"09596526","journalAbbreviation":"Journal of Cleaner Production","language":"en","page":"132224","source":"DOI.org (Crossref)","title":"Corporate social responsibility in emerging markets: Opportunities and challenges for sustainability integration","title-short":"Corporate social responsibility in emerging markets","volume":"362","author":[{"family":"Cezarino","given":"Luciana Oranges"},{"family":"Liboni","given":"Lara Bartocci"},{"family":"Hunter","given":"Trevor"},{"family":"Pacheco","given":"Larissa Marchiori"},{"family":"Martins","given":"Flávio Pinheiro"}],"issued":{"date-parts":[["2022",8]]}}}],"schema":"https://github.com/citation-style-language/schema/raw/master/csl-citation.json"} </w:instrText>
      </w:r>
      <w:r w:rsidR="000C7A8F" w:rsidRPr="000C7A8F">
        <w:rPr>
          <w:rFonts w:ascii="Arial" w:hAnsi="Arial" w:cs="Arial"/>
        </w:rPr>
        <w:fldChar w:fldCharType="separate"/>
      </w:r>
      <w:r w:rsidR="000C7A8F" w:rsidRPr="000C7A8F">
        <w:rPr>
          <w:rFonts w:ascii="Arial" w:hAnsi="Arial" w:cs="Arial"/>
        </w:rPr>
        <w:t>(Cezarino et al., 2022)</w:t>
      </w:r>
      <w:r w:rsidR="000C7A8F" w:rsidRPr="000C7A8F">
        <w:rPr>
          <w:rFonts w:ascii="Arial" w:hAnsi="Arial" w:cs="Arial"/>
        </w:rPr>
        <w:fldChar w:fldCharType="end"/>
      </w:r>
      <w:r w:rsidRPr="000B0EBA">
        <w:rPr>
          <w:rFonts w:ascii="Arial" w:hAnsi="Arial" w:cs="Arial"/>
        </w:rPr>
        <w:t xml:space="preserve">. Within the contexts of this, the notion of responsibility extends beyond moral obligation to encompass their collective. In addition, according to </w:t>
      </w:r>
      <w:proofErr w:type="spellStart"/>
      <w:r w:rsidRPr="000B0EBA">
        <w:rPr>
          <w:rFonts w:ascii="Arial" w:hAnsi="Arial" w:cs="Arial"/>
        </w:rPr>
        <w:t>Cezarino</w:t>
      </w:r>
      <w:proofErr w:type="spellEnd"/>
      <w:r w:rsidRPr="000B0EBA">
        <w:rPr>
          <w:rFonts w:ascii="Arial" w:hAnsi="Arial" w:cs="Arial"/>
        </w:rPr>
        <w:t xml:space="preserve"> et al</w:t>
      </w:r>
      <w:r w:rsidR="00D55E92">
        <w:rPr>
          <w:rFonts w:ascii="Arial" w:hAnsi="Arial" w:cs="Arial"/>
        </w:rPr>
        <w:t>.,</w:t>
      </w:r>
      <w:r w:rsidRPr="000B0EBA">
        <w:rPr>
          <w:rFonts w:ascii="Arial" w:hAnsi="Arial" w:cs="Arial"/>
        </w:rPr>
        <w:t xml:space="preserve"> (2022), to address the interdependency of the environmental, social, cultural, political and technological issues within the business global societal challenges, companies need to develop innovative solutions while simultaneously meeting the needs of stakeholders. Also, </w:t>
      </w:r>
      <w:r w:rsidRPr="000B0EBA">
        <w:rPr>
          <w:rFonts w:ascii="Arial" w:hAnsi="Arial" w:cs="Arial"/>
        </w:rPr>
        <w:fldChar w:fldCharType="begin"/>
      </w:r>
      <w:r w:rsidR="00903396">
        <w:rPr>
          <w:rFonts w:ascii="Arial" w:hAnsi="Arial" w:cs="Arial"/>
        </w:rPr>
        <w:instrText xml:space="preserve"> ADDIN ZOTERO_ITEM CSL_CITATION {"citationID":"oMA5qcJd","properties":{"formattedCitation":"(Beske, Land and Seuring, 2014)","plainCitation":"(Beske, Land and Seuring, 2014)","noteIndex":0},"citationItems":[{"id":45,"uris":["http://zotero.org/users/local/bh3OqUSh/items/DWLHX3CS"],"itemData":{"id":45,"type":"article-journal","abstract":"Sustainable Supply Chain Management (SSCM) and Dynamic Capabilities (DCs) are both relatively young research fields examining dynamically changing corporate environments and industries. The food industry is an example of such a dynamic environment. Customers have high expectations for food safety and a growing demand for sustainably produced food. Companies fulfilling these demands target a customer base with high awareness of all three dimensions of sustainability, i.e., the economical, ecological, and social, circumstances in which food is produced and offered. This paper aims at describing how SSCM practices allow companies to maintain control over their supply chain and achieve a competitive advantage with the implementation of dynamic capabilities. Previously identified practices in SSCM are related to DC theory by identifying them as basic routines that form specific DCs. We conduct a literature review, including content analysis, examining publications (52 articles) on sustainable food supply chains published in English, peer-reviewed journals. We form the link between SSCM and DCs by integrating them into the same conceptual context. Specific DCs in the supply chain of a sustainability-oriented industry are also identified, such as knowledge sharing and re-conceptualizing the supply chain. Thereafter, we scrutinize the food industry according to SSCM and DC criteria and offer insights into the strategies used in that business market. The results show that sustainability practices and DCs in the supply chain are used among others to enhance traceability and tracking and to fulfill customer demands. Further research is needed to extend the operationalization of the existing conceptual frameworks.","collection-title":"Sustainable Food Supply Chain Management","container-title":"International Journal of Production Economics","DOI":"10.1016/j.ijpe.2013.12.026","ISSN":"0925-5273","journalAbbreviation":"International Journal of Production Economics","page":"131-143","source":"ScienceDirect","title":"Sustainable supply chain management practices and dynamic capabilities in the food industry: A critical analysis of the literature","title-short":"Sustainable supply chain management practices and dynamic capabilities in the food industry","volume":"152","author":[{"family":"Beske","given":"Philip"},{"family":"Land","given":"Anna"},{"family":"Seuring","given":"Stefan"}],"issued":{"date-parts":[["2014",6,1]]}}}],"schema":"https://github.com/citation-style-language/schema/raw/master/csl-citation.json"} </w:instrText>
      </w:r>
      <w:r w:rsidRPr="000B0EBA">
        <w:rPr>
          <w:rFonts w:ascii="Arial" w:hAnsi="Arial" w:cs="Arial"/>
        </w:rPr>
        <w:fldChar w:fldCharType="separate"/>
      </w:r>
      <w:r w:rsidR="00903396" w:rsidRPr="00903396">
        <w:rPr>
          <w:rFonts w:ascii="Arial" w:hAnsi="Arial" w:cs="Arial"/>
        </w:rPr>
        <w:t>(Beske, Land and Seuring, 2014)</w:t>
      </w:r>
      <w:r w:rsidRPr="000B0EBA">
        <w:rPr>
          <w:rFonts w:ascii="Arial" w:hAnsi="Arial" w:cs="Arial"/>
        </w:rPr>
        <w:fldChar w:fldCharType="end"/>
      </w:r>
      <w:r w:rsidR="00FE7B8A" w:rsidRPr="000B0EBA">
        <w:rPr>
          <w:rFonts w:ascii="Arial" w:hAnsi="Arial" w:cs="Arial"/>
        </w:rPr>
        <w:t xml:space="preserve"> </w:t>
      </w:r>
      <w:r w:rsidRPr="000B0EBA">
        <w:rPr>
          <w:rFonts w:ascii="Arial" w:hAnsi="Arial" w:cs="Arial"/>
        </w:rPr>
        <w:t xml:space="preserve">identifies eight keys derived from existing literature-based capabilities to assume responsibility for sustainable development, which are; knowledge assessment, knowledge acquisition, capability development, selection and integration of partners, search, supply chain link foundation, product development, relationship management, and intuitive control. These capabilities can be used generally or to address specific challenges of sustainable production. </w:t>
      </w:r>
    </w:p>
    <w:p w14:paraId="23A985F7" w14:textId="328FDB23" w:rsidR="00373807" w:rsidRPr="000B0EBA" w:rsidRDefault="00373807" w:rsidP="002F56B3">
      <w:pPr>
        <w:spacing w:line="360" w:lineRule="auto"/>
        <w:jc w:val="both"/>
        <w:rPr>
          <w:rFonts w:ascii="Arial" w:hAnsi="Arial" w:cs="Arial"/>
          <w:sz w:val="24"/>
          <w:szCs w:val="24"/>
        </w:rPr>
      </w:pPr>
      <w:r w:rsidRPr="000B0EBA">
        <w:rPr>
          <w:rFonts w:ascii="Arial" w:hAnsi="Arial" w:cs="Arial"/>
          <w:sz w:val="24"/>
          <w:szCs w:val="24"/>
        </w:rPr>
        <w:t>However, sustainability is no longer a voluntary pursuit in today’s interconnected global economy, it is a fundamental requirement for a company’s survival and legitimacy</w:t>
      </w:r>
      <w:r w:rsidR="004E1DC9" w:rsidRPr="000A73DB">
        <w:rPr>
          <w:rFonts w:ascii="Arial" w:hAnsi="Arial" w:cs="Arial"/>
          <w:sz w:val="24"/>
          <w:szCs w:val="24"/>
        </w:rPr>
        <w:t xml:space="preserve"> </w:t>
      </w:r>
      <w:r w:rsidR="004E1DC9" w:rsidRPr="000A73DB">
        <w:rPr>
          <w:rFonts w:ascii="Arial" w:hAnsi="Arial" w:cs="Arial"/>
          <w:sz w:val="24"/>
          <w:szCs w:val="24"/>
        </w:rPr>
        <w:fldChar w:fldCharType="begin"/>
      </w:r>
      <w:r w:rsidR="00903396" w:rsidRPr="000A73DB">
        <w:rPr>
          <w:rFonts w:ascii="Arial" w:hAnsi="Arial" w:cs="Arial"/>
          <w:sz w:val="24"/>
          <w:szCs w:val="24"/>
        </w:rPr>
        <w:instrText xml:space="preserve"> ADDIN ZOTERO_ITEM CSL_CITATION {"citationID":"9ddiU0ut","properties":{"formattedCitation":"(Schaltegger {\\i{}et al.}, 2022)","plainCitation":"(Schaltegger et al., 2022)","noteIndex":0},"citationItems":[{"id":53,"uris":["http://zotero.org/users/local/bh3OqUSh/items/3BV28TSQ"],"itemData":{"id":53,"type":"article-journal","abstract":"The societal vision of sustainable development changes both the context of businesses and expectations that management should contribute to solving sustainability problems beyond organizational boundaries. Companies are influenced by macro-level developments such as new environmental regulations and by meso-level context such as social industry standards and guidelines. At the same time, companies are expected to contribute to sustainability transformations of markets at the meso-level and to solving grand sustainability problems at the macro-level such as the greenhouse effect. These developments increase and change sustainability information needs of managers and management accounting. This paper provides a systematic literature review of how sustainability management accounting (SMA) addresses links with the organization's contexts and contributions to sustainability transformations beyond organizational boundaries. The analysis questions the conventional assumption of an internal scope for SMA. It recognises this as a problematic constricting assumption in the literature and, instead, proposes a multi-level Context, Action-formation and Transformative contributions (CAT) framework for further development of SMA.","container-title":"International Journal of Management Reviews","DOI":"10.1111/ijmr.12288","ISSN":"1468-2370","issue":"4","language":"en","note":"_eprint: https://onlinelibrary.wiley.com/doi/pdf/10.1111/ijmr.12288","page":"480-500","source":"Wiley Online Library","title":"Corporate sustainability management accounting and multi-level links for sustainability – A systematic review","volume":"24","author":[{"family":"Schaltegger","given":"Stefan"},{"family":"Christ","given":"Katherine L."},{"family":"Wenzig","given":"Julius"},{"family":"Burritt","given":"Roger L."}],"issued":{"date-parts":[["2022"]]}}}],"schema":"https://github.com/citation-style-language/schema/raw/master/csl-citation.json"} </w:instrText>
      </w:r>
      <w:r w:rsidR="004E1DC9" w:rsidRPr="000A73DB">
        <w:rPr>
          <w:rFonts w:ascii="Arial" w:hAnsi="Arial" w:cs="Arial"/>
          <w:sz w:val="24"/>
          <w:szCs w:val="24"/>
        </w:rPr>
        <w:fldChar w:fldCharType="separate"/>
      </w:r>
      <w:r w:rsidR="00903396" w:rsidRPr="000A73DB">
        <w:rPr>
          <w:rFonts w:ascii="Arial" w:hAnsi="Arial" w:cs="Arial"/>
          <w:sz w:val="24"/>
        </w:rPr>
        <w:t>(Schaltegger et al., 2022)</w:t>
      </w:r>
      <w:r w:rsidR="004E1DC9" w:rsidRPr="000A73DB">
        <w:rPr>
          <w:rFonts w:ascii="Arial" w:hAnsi="Arial" w:cs="Arial"/>
          <w:sz w:val="24"/>
          <w:szCs w:val="24"/>
        </w:rPr>
        <w:fldChar w:fldCharType="end"/>
      </w:r>
      <w:r w:rsidR="004E1DC9">
        <w:rPr>
          <w:rFonts w:ascii="Arial" w:hAnsi="Arial" w:cs="Arial"/>
          <w:sz w:val="24"/>
          <w:szCs w:val="24"/>
        </w:rPr>
        <w:t>.</w:t>
      </w:r>
      <w:r w:rsidRPr="000B0EBA">
        <w:rPr>
          <w:rFonts w:ascii="Arial" w:hAnsi="Arial" w:cs="Arial"/>
          <w:sz w:val="24"/>
          <w:szCs w:val="24"/>
        </w:rPr>
        <w:t xml:space="preserve"> Organisations are now expected to embed Environmental, Social and Governance (ESG) principles directly into all of their operational activities</w:t>
      </w:r>
      <w:r w:rsidR="004E1DC9">
        <w:rPr>
          <w:rFonts w:ascii="Arial" w:hAnsi="Arial" w:cs="Arial"/>
          <w:sz w:val="24"/>
          <w:szCs w:val="24"/>
        </w:rPr>
        <w:t xml:space="preserve"> </w:t>
      </w:r>
      <w:r w:rsidR="004E1DC9" w:rsidRPr="000B0EBA">
        <w:rPr>
          <w:rFonts w:ascii="Arial" w:hAnsi="Arial" w:cs="Arial"/>
          <w:sz w:val="24"/>
          <w:szCs w:val="24"/>
        </w:rPr>
        <w:fldChar w:fldCharType="begin"/>
      </w:r>
      <w:r w:rsidR="00903396">
        <w:rPr>
          <w:rFonts w:ascii="Arial" w:hAnsi="Arial" w:cs="Arial"/>
          <w:sz w:val="24"/>
          <w:szCs w:val="24"/>
        </w:rPr>
        <w:instrText xml:space="preserve"> ADDIN ZOTERO_ITEM CSL_CITATION {"citationID":"D3dL0TN9","properties":{"formattedCitation":"(Razak, Ibrahim and Ng, 2023)","plainCitation":"(Razak, Ibrahim and Ng, 2023)","noteIndex":0},"citationItems":[{"id":17,"uris":["http://zotero.org/users/local/bh3OqUSh/items/HT6PRDZ9"],"itemData":{"id":17,"type":"article-journal","abstract":"Purpose\nBased on a sample of 1,872 firm-year observations for 573 global firms over the period 2013–2016, this study aims to provide empirical evidence on how environmental, social and governance (ESG) performance affects corporate creditworthiness as measured by credit default swap (CDS) spreads.\nDesign/methodology/approach\nThe authors use a regression model that accounts for country, industry and time-fixed effects as well as the instrumental-based Generalized Method of Moments (GMM) approach to dynamic panel modeling.\nFindings\nThis study finds that improvements in ESG performance, especially in its governance pillar, reduce credit risk. Further, the authors uncover evidence suggesting the complementarity between ESG performance and country-level sustainability. The results indicate a stronger risk-mitigating impact of ESG performance in countries with higher sustainability scores.\nPractical implications\nIn terms of practical implications, the findings suggest that corporations should strengthen governance frameworks and procedures to reduce credit risk, prior to embarking on environmental and social objectives. Further, the finding that country sustainability is an important determinant of CDS spreads suggests that country-level sustainability initiatives would not only help to preserve natural capital and promote social capital but also be beneficial to businesses and financial stability.\nOriginality/value\nThe study adds to the literature on the effects of ESG performance on credit risk by (1) utilizing a measure of ESG performance that considers the financial materiality of ESG issues across different industries; (2) utilizing a market-based measure of credit risk and CDS spreads; (3) examining the relative importance of ESG components to credit risk, rather than just the aggregate measure; and (4) assessing the influence of country sustainability on the relationship between ESG and credit risk.","container-title":"The Journal of Risk Finance","DOI":"10.1108/JRF-10-2022-0278","ISSN":"15265943","issue":"5","language":"English","license":"© Emerald Publishing Limited.","note":"number-of-pages: 29\npublisher-place: London, United Kingdom\npublisher: Emerald Group Publishing Limited","page":"585-613","source":"ProQuest","title":"Environment, social and governance (ESG) performance and CDS spreads: the role of country sustainability","title-short":"Environment, social and governance (ESG) performance and CDS spreads","volume":"24","author":[{"family":"Razak","given":"Lutfi Abdul"},{"family":"Ibrahim","given":"Mansor H."},{"family":"Ng","given":"Adam"}],"issued":{"date-parts":[["2023"]]}}}],"schema":"https://github.com/citation-style-language/schema/raw/master/csl-citation.json"} </w:instrText>
      </w:r>
      <w:r w:rsidR="004E1DC9" w:rsidRPr="000B0EBA">
        <w:rPr>
          <w:rFonts w:ascii="Arial" w:hAnsi="Arial" w:cs="Arial"/>
          <w:sz w:val="24"/>
          <w:szCs w:val="24"/>
        </w:rPr>
        <w:fldChar w:fldCharType="separate"/>
      </w:r>
      <w:r w:rsidR="00903396" w:rsidRPr="00903396">
        <w:rPr>
          <w:rFonts w:ascii="Arial" w:hAnsi="Arial" w:cs="Arial"/>
          <w:sz w:val="24"/>
        </w:rPr>
        <w:t>(Razak, Ibrahim and Ng, 2023)</w:t>
      </w:r>
      <w:r w:rsidR="004E1DC9" w:rsidRPr="000B0EBA">
        <w:rPr>
          <w:rFonts w:ascii="Arial" w:hAnsi="Arial" w:cs="Arial"/>
          <w:sz w:val="24"/>
          <w:szCs w:val="24"/>
        </w:rPr>
        <w:fldChar w:fldCharType="end"/>
      </w:r>
      <w:r w:rsidR="00C7205E">
        <w:rPr>
          <w:rFonts w:ascii="Arial" w:hAnsi="Arial" w:cs="Arial"/>
          <w:sz w:val="24"/>
          <w:szCs w:val="24"/>
        </w:rPr>
        <w:t>.</w:t>
      </w:r>
      <w:r w:rsidRPr="000B0EBA">
        <w:rPr>
          <w:rFonts w:ascii="Arial" w:hAnsi="Arial" w:cs="Arial"/>
          <w:sz w:val="24"/>
          <w:szCs w:val="24"/>
        </w:rPr>
        <w:t xml:space="preserve"> Simultaneously, government must establish, design and enforce robust policies, while all individuals are required to adopt behaviours that reflect social and ecological responsibility and accountability. </w:t>
      </w:r>
      <w:r w:rsidRPr="000B0EBA">
        <w:rPr>
          <w:rFonts w:ascii="Arial" w:hAnsi="Arial" w:cs="Arial"/>
          <w:sz w:val="24"/>
          <w:szCs w:val="24"/>
        </w:rPr>
        <w:lastRenderedPageBreak/>
        <w:t>The alignment of these actors which are the organisations, governments, and individuals will ultimately determine whether societies can achieve sustainable development or continues to experience current level of inequalities and environmental degradation</w:t>
      </w:r>
      <w:r w:rsidR="00D41ED5">
        <w:rPr>
          <w:rFonts w:ascii="Arial" w:hAnsi="Arial" w:cs="Arial"/>
          <w:sz w:val="24"/>
          <w:szCs w:val="24"/>
        </w:rPr>
        <w:t xml:space="preserve"> </w:t>
      </w:r>
      <w:r w:rsidR="00D41ED5">
        <w:rPr>
          <w:rFonts w:ascii="Arial" w:hAnsi="Arial" w:cs="Arial"/>
          <w:sz w:val="24"/>
          <w:szCs w:val="24"/>
        </w:rPr>
        <w:fldChar w:fldCharType="begin"/>
      </w:r>
      <w:r w:rsidR="00696B7A">
        <w:rPr>
          <w:rFonts w:ascii="Arial" w:hAnsi="Arial" w:cs="Arial"/>
          <w:sz w:val="24"/>
          <w:szCs w:val="24"/>
        </w:rPr>
        <w:instrText xml:space="preserve"> ADDIN ZOTERO_ITEM CSL_CITATION {"citationID":"SafKQXyV","properties":{"formattedCitation":"(Umair, 2024a)","plainCitation":"(Umair, 2024a)","noteIndex":0},"citationItems":[{"id":56,"uris":["http://zotero.org/users/local/bh3OqUSh/items/FD258A82"],"itemData":{"id":56,"type":"article-journal","container-title":"Social and Environmental Accountability Journal","DOI":"10.1080/0969160X.2024.2360277","ISSN":"0969-160X, 2156-2245","issue":"2","journalAbbreviation":"Social and Environmental Accountability Journal","language":"en","page":"178-179","source":"DOI.org (Crossref)","title":"Moving Beyond the External Face of Accountability: Constructing Accountability for Sustainability from Within","title-short":"Moving Beyond the External Face of Accountability","volume":"44","author":[{"family":"Umair","given":"Sonia"}],"issued":{"date-parts":[["2024",5,3]]}}}],"schema":"https://github.com/citation-style-language/schema/raw/master/csl-citation.json"} </w:instrText>
      </w:r>
      <w:r w:rsidR="00D41ED5">
        <w:rPr>
          <w:rFonts w:ascii="Arial" w:hAnsi="Arial" w:cs="Arial"/>
          <w:sz w:val="24"/>
          <w:szCs w:val="24"/>
        </w:rPr>
        <w:fldChar w:fldCharType="separate"/>
      </w:r>
      <w:r w:rsidR="00696B7A" w:rsidRPr="00696B7A">
        <w:rPr>
          <w:rFonts w:ascii="Arial" w:hAnsi="Arial" w:cs="Arial"/>
          <w:sz w:val="24"/>
        </w:rPr>
        <w:t>(Umair, 2024a)</w:t>
      </w:r>
      <w:r w:rsidR="00D41ED5">
        <w:rPr>
          <w:rFonts w:ascii="Arial" w:hAnsi="Arial" w:cs="Arial"/>
          <w:sz w:val="24"/>
          <w:szCs w:val="24"/>
        </w:rPr>
        <w:fldChar w:fldCharType="end"/>
      </w:r>
      <w:r w:rsidR="00C7205E">
        <w:rPr>
          <w:rFonts w:ascii="Arial" w:hAnsi="Arial" w:cs="Arial"/>
          <w:sz w:val="24"/>
          <w:szCs w:val="24"/>
        </w:rPr>
        <w:t>.</w:t>
      </w:r>
    </w:p>
    <w:p w14:paraId="39850762" w14:textId="6850E5F3" w:rsidR="00373807" w:rsidRPr="000B0EBA" w:rsidRDefault="00373807" w:rsidP="002F56B3">
      <w:pPr>
        <w:spacing w:line="360" w:lineRule="auto"/>
        <w:jc w:val="both"/>
        <w:rPr>
          <w:rFonts w:ascii="Arial" w:hAnsi="Arial" w:cs="Arial"/>
          <w:sz w:val="24"/>
          <w:szCs w:val="24"/>
        </w:rPr>
      </w:pPr>
      <w:r w:rsidRPr="000B0EBA">
        <w:rPr>
          <w:rFonts w:ascii="Arial" w:hAnsi="Arial" w:cs="Arial"/>
          <w:sz w:val="24"/>
          <w:szCs w:val="24"/>
        </w:rPr>
        <w:t>This essay uses Lincoln’s profound statement, “you cannot escape the responsibility of tomorrow by evading it today” as a lens to critically evaluate the necessity of shared responsibility in achieving a sustainable future. It is argued</w:t>
      </w:r>
      <w:r w:rsidR="00600919">
        <w:rPr>
          <w:rFonts w:ascii="Arial" w:hAnsi="Arial" w:cs="Arial"/>
          <w:sz w:val="24"/>
          <w:szCs w:val="24"/>
        </w:rPr>
        <w:t xml:space="preserve"> </w:t>
      </w:r>
      <w:r w:rsidR="00E278AD">
        <w:rPr>
          <w:rFonts w:ascii="Arial" w:hAnsi="Arial" w:cs="Arial"/>
          <w:sz w:val="24"/>
          <w:szCs w:val="24"/>
        </w:rPr>
        <w:fldChar w:fldCharType="begin"/>
      </w:r>
      <w:r w:rsidR="004152F4">
        <w:rPr>
          <w:rFonts w:ascii="Arial" w:hAnsi="Arial" w:cs="Arial"/>
          <w:sz w:val="24"/>
          <w:szCs w:val="24"/>
        </w:rPr>
        <w:instrText xml:space="preserve"> ADDIN ZOTERO_ITEM CSL_CITATION {"citationID":"y2qYwYGk","properties":{"formattedCitation":"(Seshadri, 2013)","plainCitation":"(Seshadri, 2013)","dontUpdate":true,"noteIndex":0},"citationItems":[{"id":60,"uris":["http://zotero.org/users/local/bh3OqUSh/items/3X9WUAR4"],"itemData":{"id":60,"type":"article-journal","container-title":"Industrial Marketing Management","DOI":"10.1016/j.indmarman.2013.05.014","ISSN":"00198501","issue":"5","journalAbbreviation":"Industrial Marketing Management","language":"en","page":"765-772","source":"DOI.org (Crossref)","title":"The sustainability syndicate: Shared responsibility in a trans-organizational business model","title-short":"The sustainability syndicate","volume":"42","author":[{"family":"Seshadri","given":"Sudhi"}],"issued":{"date-parts":[["2013",7]]}}}],"schema":"https://github.com/citation-style-language/schema/raw/master/csl-citation.json"} </w:instrText>
      </w:r>
      <w:r w:rsidR="00E278AD">
        <w:rPr>
          <w:rFonts w:ascii="Arial" w:hAnsi="Arial" w:cs="Arial"/>
          <w:sz w:val="24"/>
          <w:szCs w:val="24"/>
        </w:rPr>
        <w:fldChar w:fldCharType="separate"/>
      </w:r>
      <w:r w:rsidR="00657295">
        <w:rPr>
          <w:rFonts w:ascii="Arial" w:hAnsi="Arial" w:cs="Arial"/>
          <w:sz w:val="24"/>
        </w:rPr>
        <w:t xml:space="preserve">by </w:t>
      </w:r>
      <w:r w:rsidR="00903396" w:rsidRPr="00903396">
        <w:rPr>
          <w:rFonts w:ascii="Arial" w:hAnsi="Arial" w:cs="Arial"/>
          <w:sz w:val="24"/>
        </w:rPr>
        <w:t xml:space="preserve">Seshadri </w:t>
      </w:r>
      <w:r w:rsidR="00657295">
        <w:rPr>
          <w:rFonts w:ascii="Arial" w:hAnsi="Arial" w:cs="Arial"/>
          <w:sz w:val="24"/>
        </w:rPr>
        <w:t>(</w:t>
      </w:r>
      <w:r w:rsidR="00903396" w:rsidRPr="00903396">
        <w:rPr>
          <w:rFonts w:ascii="Arial" w:hAnsi="Arial" w:cs="Arial"/>
          <w:sz w:val="24"/>
        </w:rPr>
        <w:t>2013)</w:t>
      </w:r>
      <w:r w:rsidR="00E278AD">
        <w:rPr>
          <w:rFonts w:ascii="Arial" w:hAnsi="Arial" w:cs="Arial"/>
          <w:sz w:val="24"/>
          <w:szCs w:val="24"/>
        </w:rPr>
        <w:fldChar w:fldCharType="end"/>
      </w:r>
      <w:r w:rsidR="00600919">
        <w:rPr>
          <w:rFonts w:ascii="Arial" w:hAnsi="Arial" w:cs="Arial"/>
          <w:color w:val="FF0000"/>
          <w:sz w:val="24"/>
          <w:szCs w:val="24"/>
        </w:rPr>
        <w:t xml:space="preserve"> </w:t>
      </w:r>
      <w:r w:rsidRPr="000B0EBA">
        <w:rPr>
          <w:rFonts w:ascii="Arial" w:hAnsi="Arial" w:cs="Arial"/>
          <w:sz w:val="24"/>
          <w:szCs w:val="24"/>
        </w:rPr>
        <w:t>that the responsibility is borne across ethical leadership, transparent governance, and societal commitment as these are fundamental in building a sustainable future. It explores how each actor contributes their uniqueness to sustainability</w:t>
      </w:r>
      <w:r w:rsidR="003E436E">
        <w:rPr>
          <w:rFonts w:ascii="Arial" w:hAnsi="Arial" w:cs="Arial"/>
          <w:sz w:val="24"/>
          <w:szCs w:val="24"/>
        </w:rPr>
        <w:t>, m</w:t>
      </w:r>
      <w:r w:rsidRPr="000B0EBA">
        <w:rPr>
          <w:rFonts w:ascii="Arial" w:hAnsi="Arial" w:cs="Arial"/>
          <w:sz w:val="24"/>
          <w:szCs w:val="24"/>
        </w:rPr>
        <w:t xml:space="preserve">eaning </w:t>
      </w:r>
      <w:r w:rsidR="003E436E">
        <w:rPr>
          <w:rFonts w:ascii="Arial" w:hAnsi="Arial" w:cs="Arial"/>
          <w:sz w:val="24"/>
          <w:szCs w:val="24"/>
        </w:rPr>
        <w:t>o</w:t>
      </w:r>
      <w:r w:rsidRPr="000B0EBA">
        <w:rPr>
          <w:rFonts w:ascii="Arial" w:hAnsi="Arial" w:cs="Arial"/>
          <w:sz w:val="24"/>
          <w:szCs w:val="24"/>
        </w:rPr>
        <w:t>rganisations through responsible innovation and ethical supply chains, governments through regulation, accountability, and incentives, and society through awareness and collective participation</w:t>
      </w:r>
      <w:r w:rsidR="00B50311">
        <w:rPr>
          <w:rFonts w:ascii="Arial" w:hAnsi="Arial" w:cs="Arial"/>
          <w:sz w:val="24"/>
          <w:szCs w:val="24"/>
        </w:rPr>
        <w:t xml:space="preserve">. In the UK, this responsibility is most clearly reflected in the frameworks such as the Modern Slavery Act </w:t>
      </w:r>
      <w:r w:rsidR="00E90C98">
        <w:rPr>
          <w:rFonts w:ascii="Arial" w:hAnsi="Arial" w:cs="Arial"/>
          <w:sz w:val="24"/>
          <w:szCs w:val="24"/>
        </w:rPr>
        <w:t>(</w:t>
      </w:r>
      <w:r w:rsidR="00B50311">
        <w:rPr>
          <w:rFonts w:ascii="Arial" w:hAnsi="Arial" w:cs="Arial"/>
          <w:sz w:val="24"/>
          <w:szCs w:val="24"/>
        </w:rPr>
        <w:t>2015</w:t>
      </w:r>
      <w:r w:rsidR="00E90C98">
        <w:rPr>
          <w:rFonts w:ascii="Arial" w:hAnsi="Arial" w:cs="Arial"/>
          <w:sz w:val="24"/>
          <w:szCs w:val="24"/>
        </w:rPr>
        <w:t>)</w:t>
      </w:r>
      <w:r w:rsidR="00B50311">
        <w:rPr>
          <w:rFonts w:ascii="Arial" w:hAnsi="Arial" w:cs="Arial"/>
          <w:sz w:val="24"/>
          <w:szCs w:val="24"/>
        </w:rPr>
        <w:t xml:space="preserve"> which signals a formal commitment to address forced labour within global supply chains. </w:t>
      </w:r>
      <w:r w:rsidRPr="000B0EBA">
        <w:rPr>
          <w:rFonts w:ascii="Arial" w:hAnsi="Arial" w:cs="Arial"/>
          <w:sz w:val="24"/>
          <w:szCs w:val="24"/>
        </w:rPr>
        <w:t>However, despite growing awareness, the persistent gap between commitment and action continues to undermine progress</w:t>
      </w:r>
      <w:r w:rsidR="007E323E">
        <w:rPr>
          <w:rFonts w:ascii="Arial" w:hAnsi="Arial" w:cs="Arial"/>
          <w:sz w:val="24"/>
          <w:szCs w:val="24"/>
        </w:rPr>
        <w:t>. This disconnection raises concern that responsibility is being deferred rather than fulfilled, reinforcing Lincoln’s warning that failure to act decisively today exacerbates social and ethnic</w:t>
      </w:r>
      <w:r w:rsidR="0041719B">
        <w:rPr>
          <w:rFonts w:ascii="Arial" w:hAnsi="Arial" w:cs="Arial"/>
          <w:sz w:val="24"/>
          <w:szCs w:val="24"/>
        </w:rPr>
        <w:t>al</w:t>
      </w:r>
      <w:r w:rsidR="007E323E">
        <w:rPr>
          <w:rFonts w:ascii="Arial" w:hAnsi="Arial" w:cs="Arial"/>
          <w:sz w:val="24"/>
          <w:szCs w:val="24"/>
        </w:rPr>
        <w:t xml:space="preserve"> risks tomorrow. Consequently,</w:t>
      </w:r>
      <w:r w:rsidRPr="000B0EBA">
        <w:rPr>
          <w:rFonts w:ascii="Arial" w:hAnsi="Arial" w:cs="Arial"/>
          <w:sz w:val="24"/>
          <w:szCs w:val="24"/>
        </w:rPr>
        <w:t xml:space="preserve"> this paper contends that the</w:t>
      </w:r>
      <w:r w:rsidR="007E323E">
        <w:rPr>
          <w:rFonts w:ascii="Arial" w:hAnsi="Arial" w:cs="Arial"/>
          <w:sz w:val="24"/>
          <w:szCs w:val="24"/>
        </w:rPr>
        <w:t xml:space="preserve"> UK government should move beyond</w:t>
      </w:r>
      <w:r w:rsidRPr="000B0EBA">
        <w:rPr>
          <w:rFonts w:ascii="Arial" w:hAnsi="Arial" w:cs="Arial"/>
          <w:sz w:val="24"/>
          <w:szCs w:val="24"/>
        </w:rPr>
        <w:t xml:space="preserve"> </w:t>
      </w:r>
      <w:r w:rsidR="007E323E">
        <w:rPr>
          <w:rFonts w:ascii="Arial" w:hAnsi="Arial" w:cs="Arial"/>
          <w:sz w:val="24"/>
          <w:szCs w:val="24"/>
        </w:rPr>
        <w:t>symbolic regulation towards robust enforcement and</w:t>
      </w:r>
      <w:r w:rsidRPr="000B0EBA">
        <w:rPr>
          <w:rFonts w:ascii="Arial" w:hAnsi="Arial" w:cs="Arial"/>
          <w:sz w:val="24"/>
          <w:szCs w:val="24"/>
        </w:rPr>
        <w:t xml:space="preserve"> accountability, </w:t>
      </w:r>
      <w:r w:rsidR="007E323E">
        <w:rPr>
          <w:rFonts w:ascii="Arial" w:hAnsi="Arial" w:cs="Arial"/>
          <w:sz w:val="24"/>
          <w:szCs w:val="24"/>
        </w:rPr>
        <w:t>if sustainability commitments are to translate into meaningful and lasting change</w:t>
      </w:r>
      <w:r w:rsidRPr="000B0EBA">
        <w:rPr>
          <w:rFonts w:ascii="Arial" w:hAnsi="Arial" w:cs="Arial"/>
          <w:sz w:val="24"/>
          <w:szCs w:val="24"/>
        </w:rPr>
        <w:t xml:space="preserve">.  </w:t>
      </w:r>
    </w:p>
    <w:p w14:paraId="482290EF" w14:textId="106ADE1C" w:rsidR="00C1432C" w:rsidRPr="00B30E24" w:rsidRDefault="00373807" w:rsidP="00B30E24">
      <w:pPr>
        <w:pStyle w:val="Heading2"/>
        <w:spacing w:line="360" w:lineRule="auto"/>
        <w:jc w:val="both"/>
        <w:rPr>
          <w:rFonts w:ascii="Arial" w:hAnsi="Arial" w:cs="Arial"/>
          <w:color w:val="auto"/>
          <w:sz w:val="24"/>
          <w:szCs w:val="24"/>
        </w:rPr>
      </w:pPr>
      <w:bookmarkStart w:id="2" w:name="_Toc218004604"/>
      <w:r w:rsidRPr="00C1432C">
        <w:rPr>
          <w:rFonts w:ascii="Arial" w:hAnsi="Arial" w:cs="Arial"/>
          <w:color w:val="auto"/>
          <w:sz w:val="24"/>
          <w:szCs w:val="24"/>
        </w:rPr>
        <w:t>Theoretical foundation</w:t>
      </w:r>
      <w:bookmarkEnd w:id="2"/>
    </w:p>
    <w:p w14:paraId="055BCA57" w14:textId="4D468578" w:rsidR="0027774D" w:rsidRDefault="00373807" w:rsidP="002F56B3">
      <w:pPr>
        <w:spacing w:line="360" w:lineRule="auto"/>
        <w:jc w:val="both"/>
        <w:rPr>
          <w:rFonts w:ascii="Arial" w:hAnsi="Arial" w:cs="Arial"/>
          <w:color w:val="FF0000"/>
          <w:sz w:val="24"/>
          <w:szCs w:val="24"/>
        </w:rPr>
      </w:pPr>
      <w:r w:rsidRPr="000B0EBA">
        <w:rPr>
          <w:rFonts w:ascii="Arial" w:hAnsi="Arial" w:cs="Arial"/>
          <w:sz w:val="24"/>
          <w:szCs w:val="24"/>
        </w:rPr>
        <w:t>According to Asif et al</w:t>
      </w:r>
      <w:r w:rsidR="0041719B">
        <w:rPr>
          <w:rFonts w:ascii="Arial" w:hAnsi="Arial" w:cs="Arial"/>
          <w:sz w:val="24"/>
          <w:szCs w:val="24"/>
        </w:rPr>
        <w:t>.,</w:t>
      </w:r>
      <w:r w:rsidRPr="000B0EBA">
        <w:rPr>
          <w:rFonts w:ascii="Arial" w:hAnsi="Arial" w:cs="Arial"/>
          <w:sz w:val="24"/>
          <w:szCs w:val="24"/>
        </w:rPr>
        <w:t xml:space="preserve"> </w:t>
      </w:r>
      <w:r w:rsidR="00EB4E8A">
        <w:rPr>
          <w:rFonts w:ascii="Arial" w:hAnsi="Arial" w:cs="Arial"/>
          <w:sz w:val="24"/>
          <w:szCs w:val="24"/>
        </w:rPr>
        <w:t>(</w:t>
      </w:r>
      <w:r w:rsidRPr="000B0EBA">
        <w:rPr>
          <w:rFonts w:ascii="Arial" w:hAnsi="Arial" w:cs="Arial"/>
          <w:sz w:val="24"/>
          <w:szCs w:val="24"/>
        </w:rPr>
        <w:t xml:space="preserve">2011) the concept of sustainability has evolved from being mainly concerned with environmental issues but to a boarder perspective that includes economic, and social aspects.  Therefore, critically evaluating the responsibility and the relative roles of business, governments, and society in general, </w:t>
      </w:r>
      <w:bookmarkStart w:id="3" w:name="_Hlk218762946"/>
      <w:r w:rsidRPr="000B0EBA">
        <w:rPr>
          <w:rFonts w:ascii="Arial" w:hAnsi="Arial" w:cs="Arial"/>
          <w:sz w:val="24"/>
          <w:szCs w:val="24"/>
        </w:rPr>
        <w:t>it is essential to understand the theoretical framework</w:t>
      </w:r>
      <w:r w:rsidR="00051BD7">
        <w:rPr>
          <w:rFonts w:ascii="Arial" w:hAnsi="Arial" w:cs="Arial"/>
          <w:sz w:val="24"/>
          <w:szCs w:val="24"/>
        </w:rPr>
        <w:t xml:space="preserve">, which are </w:t>
      </w:r>
      <w:r w:rsidR="002A6117">
        <w:rPr>
          <w:rFonts w:ascii="Arial" w:hAnsi="Arial" w:cs="Arial"/>
          <w:sz w:val="24"/>
          <w:szCs w:val="24"/>
        </w:rPr>
        <w:t xml:space="preserve">Corporate </w:t>
      </w:r>
      <w:r w:rsidR="00051BD7">
        <w:rPr>
          <w:rFonts w:ascii="Arial" w:hAnsi="Arial" w:cs="Arial"/>
          <w:sz w:val="24"/>
          <w:szCs w:val="24"/>
        </w:rPr>
        <w:t xml:space="preserve">Social Responsibility (CSR), Stakeholder Theory (ST), and The Triple Bottom Line (TBL) </w:t>
      </w:r>
      <w:r w:rsidRPr="000B0EBA">
        <w:rPr>
          <w:rFonts w:ascii="Arial" w:hAnsi="Arial" w:cs="Arial"/>
          <w:sz w:val="24"/>
          <w:szCs w:val="24"/>
        </w:rPr>
        <w:t xml:space="preserve">that meets the economic, environmental and social needs of the present, without compromising the ability of the future. </w:t>
      </w:r>
      <w:bookmarkEnd w:id="3"/>
      <w:r w:rsidRPr="000B0EBA">
        <w:rPr>
          <w:rFonts w:ascii="Arial" w:hAnsi="Arial" w:cs="Arial"/>
          <w:sz w:val="24"/>
          <w:szCs w:val="24"/>
        </w:rPr>
        <w:t>H</w:t>
      </w:r>
      <w:r w:rsidRPr="00372259">
        <w:rPr>
          <w:rFonts w:ascii="Arial" w:hAnsi="Arial" w:cs="Arial"/>
          <w:sz w:val="24"/>
          <w:szCs w:val="24"/>
        </w:rPr>
        <w:t xml:space="preserve">ence, the </w:t>
      </w:r>
      <w:r w:rsidR="00372259" w:rsidRPr="00372259">
        <w:rPr>
          <w:rFonts w:ascii="Arial" w:hAnsi="Arial" w:cs="Arial"/>
          <w:sz w:val="24"/>
          <w:szCs w:val="24"/>
        </w:rPr>
        <w:t xml:space="preserve">CSR was most appropriately marked by the publication </w:t>
      </w:r>
      <w:r w:rsidR="00372259" w:rsidRPr="006F7371">
        <w:rPr>
          <w:rFonts w:ascii="Arial" w:hAnsi="Arial" w:cs="Arial"/>
          <w:sz w:val="24"/>
          <w:szCs w:val="24"/>
        </w:rPr>
        <w:t>of Howard R. Bowen in 1953 for businesse</w:t>
      </w:r>
      <w:r w:rsidR="006F7371" w:rsidRPr="006F7371">
        <w:rPr>
          <w:rFonts w:ascii="Arial" w:hAnsi="Arial" w:cs="Arial"/>
          <w:sz w:val="24"/>
          <w:szCs w:val="24"/>
        </w:rPr>
        <w:t xml:space="preserve">s. The early definitions </w:t>
      </w:r>
      <w:r w:rsidR="00C7205E">
        <w:rPr>
          <w:rFonts w:ascii="Arial" w:hAnsi="Arial" w:cs="Arial"/>
          <w:sz w:val="24"/>
          <w:szCs w:val="24"/>
        </w:rPr>
        <w:t xml:space="preserve">of </w:t>
      </w:r>
      <w:r w:rsidR="009B2B54" w:rsidRPr="006F7371">
        <w:rPr>
          <w:rFonts w:ascii="Arial" w:hAnsi="Arial" w:cs="Arial"/>
          <w:sz w:val="24"/>
          <w:szCs w:val="24"/>
        </w:rPr>
        <w:t>CSR were</w:t>
      </w:r>
      <w:r w:rsidR="006F7371" w:rsidRPr="006F7371">
        <w:rPr>
          <w:rFonts w:ascii="Arial" w:hAnsi="Arial" w:cs="Arial"/>
          <w:sz w:val="24"/>
          <w:szCs w:val="24"/>
        </w:rPr>
        <w:t xml:space="preserve"> relatively broad in scope. For instance, during the 1960s, CSR was described as the </w:t>
      </w:r>
      <w:r w:rsidR="006F7371" w:rsidRPr="006F7371">
        <w:rPr>
          <w:rFonts w:ascii="Arial" w:hAnsi="Arial" w:cs="Arial"/>
          <w:sz w:val="24"/>
          <w:szCs w:val="24"/>
        </w:rPr>
        <w:lastRenderedPageBreak/>
        <w:t xml:space="preserve">obligation of businesses to give serious consideration to the social consequences of their </w:t>
      </w:r>
      <w:r w:rsidR="006F7371" w:rsidRPr="009B2B54">
        <w:rPr>
          <w:rFonts w:ascii="Arial" w:hAnsi="Arial" w:cs="Arial"/>
          <w:sz w:val="24"/>
          <w:szCs w:val="24"/>
        </w:rPr>
        <w:t>actions</w:t>
      </w:r>
      <w:r w:rsidR="009B2B54" w:rsidRPr="009B2B54">
        <w:rPr>
          <w:rFonts w:ascii="Arial" w:hAnsi="Arial" w:cs="Arial"/>
          <w:sz w:val="24"/>
          <w:szCs w:val="24"/>
        </w:rPr>
        <w:t xml:space="preserve"> (Carroll, 2016)</w:t>
      </w:r>
      <w:r w:rsidR="006F7371" w:rsidRPr="009B2B54">
        <w:rPr>
          <w:rFonts w:ascii="Arial" w:hAnsi="Arial" w:cs="Arial"/>
          <w:sz w:val="24"/>
          <w:szCs w:val="24"/>
        </w:rPr>
        <w:t>.</w:t>
      </w:r>
      <w:r w:rsidR="006F7371" w:rsidRPr="006F7371">
        <w:rPr>
          <w:rFonts w:ascii="Arial" w:hAnsi="Arial" w:cs="Arial"/>
          <w:sz w:val="24"/>
          <w:szCs w:val="24"/>
        </w:rPr>
        <w:t xml:space="preserve"> Over time, CSR has come to be understood as the policies and practices organisations adopt to ensure that the interests of wider stakeholders</w:t>
      </w:r>
      <w:r w:rsidR="006F7371">
        <w:rPr>
          <w:rFonts w:ascii="Arial" w:hAnsi="Arial" w:cs="Arial"/>
          <w:sz w:val="24"/>
          <w:szCs w:val="24"/>
        </w:rPr>
        <w:t xml:space="preserve"> </w:t>
      </w:r>
      <w:r w:rsidR="006F7371" w:rsidRPr="006F7371">
        <w:rPr>
          <w:rFonts w:ascii="Arial" w:hAnsi="Arial" w:cs="Arial"/>
          <w:sz w:val="24"/>
          <w:szCs w:val="24"/>
        </w:rPr>
        <w:t>beyond shareholders alone</w:t>
      </w:r>
      <w:r w:rsidR="006F7371">
        <w:rPr>
          <w:rFonts w:ascii="Arial" w:hAnsi="Arial" w:cs="Arial"/>
          <w:sz w:val="24"/>
          <w:szCs w:val="24"/>
        </w:rPr>
        <w:t xml:space="preserve"> </w:t>
      </w:r>
      <w:r w:rsidR="006F7371" w:rsidRPr="006F7371">
        <w:rPr>
          <w:rFonts w:ascii="Arial" w:hAnsi="Arial" w:cs="Arial"/>
          <w:sz w:val="24"/>
          <w:szCs w:val="24"/>
        </w:rPr>
        <w:t xml:space="preserve">are recognised, safeguarded, and integrated </w:t>
      </w:r>
      <w:r w:rsidRPr="000B0EBA">
        <w:rPr>
          <w:rFonts w:ascii="Arial" w:hAnsi="Arial" w:cs="Arial"/>
          <w:sz w:val="24"/>
          <w:szCs w:val="24"/>
        </w:rPr>
        <w:t xml:space="preserve">as content specific organisational actions and policies and the TBL of economic, social and environmental performance in pursuit of a sustainable future </w:t>
      </w:r>
      <w:r w:rsidRPr="000B0EBA">
        <w:rPr>
          <w:rFonts w:ascii="Arial" w:hAnsi="Arial" w:cs="Arial"/>
          <w:sz w:val="24"/>
          <w:szCs w:val="24"/>
        </w:rPr>
        <w:fldChar w:fldCharType="begin"/>
      </w:r>
      <w:r w:rsidRPr="000B0EBA">
        <w:rPr>
          <w:rFonts w:ascii="Arial" w:hAnsi="Arial" w:cs="Arial"/>
          <w:sz w:val="24"/>
          <w:szCs w:val="24"/>
        </w:rPr>
        <w:instrText xml:space="preserve"> ADDIN ZOTERO_ITEM CSL_CITATION {"citationID":"PQcWAR7F","properties":{"formattedCitation":"(Eriksson and Svensson, 2016)","plainCitation":"(Eriksson and Svensson, 2016)","noteIndex":0},"citationItems":[{"id":24,"uris":["http://zotero.org/users/local/bh3OqUSh/items/SHASRW5T"],"itemData":{"id":24,"type":"article-journal","abstract":"Purpose\n– This paper aims to describe and discuss a balance model of theoretical business sustainability, to leverage the inferior side, so as to enhance performance.\n– A conceptual description and discussion are provided, along with an empirical depiction.\n– The empirical illustration presents one organization that embodies the goals of theoretical business sustainability in the marketplace and society.\n– Further research is needed to enhance our understanding of the phenomenon and performance of business sustainability in supply chains.\n– Findings highlight that there is no justification for practitioners to strive consistently for anything other than theoretical business sustainability, and stakeholders need to push organizations in that direction.\n– The paper contributes to our understanding of what should be done and why business sustainability performance should be improved in supply chains.","container-title":"Corporate Governance","DOI":"10.1108/CG-01-2015-0006","ISSN":"14720701","issue":"1","language":"English","license":"© Emerald Group Publishing Limited 2016","note":"number-of-pages: 14\npublisher-place: Bradford, United Kingdom\npublisher: Emerald Group Publishing Limited","page":"21-34","source":"ProQuest","title":"A balance model of theoretical sustainability – framework and propositions","volume":"16","author":[{"family":"Eriksson","given":"David"},{"family":"Svensson","given":"Göran"}],"issued":{"date-parts":[["2016"]]}}}],"schema":"https://github.com/citation-style-language/schema/raw/master/csl-citation.json"} </w:instrText>
      </w:r>
      <w:r w:rsidRPr="000B0EBA">
        <w:rPr>
          <w:rFonts w:ascii="Arial" w:hAnsi="Arial" w:cs="Arial"/>
          <w:sz w:val="24"/>
          <w:szCs w:val="24"/>
        </w:rPr>
        <w:fldChar w:fldCharType="separate"/>
      </w:r>
      <w:r w:rsidR="00903396" w:rsidRPr="00903396">
        <w:rPr>
          <w:rFonts w:ascii="Arial" w:hAnsi="Arial" w:cs="Arial"/>
          <w:sz w:val="24"/>
        </w:rPr>
        <w:t>(Eriksson and Svensson, 2016)</w:t>
      </w:r>
      <w:r w:rsidRPr="000B0EBA">
        <w:rPr>
          <w:rFonts w:ascii="Arial" w:hAnsi="Arial" w:cs="Arial"/>
          <w:sz w:val="24"/>
          <w:szCs w:val="24"/>
        </w:rPr>
        <w:fldChar w:fldCharType="end"/>
      </w:r>
      <w:r w:rsidRPr="000B0EBA">
        <w:rPr>
          <w:rFonts w:ascii="Arial" w:hAnsi="Arial" w:cs="Arial"/>
          <w:sz w:val="24"/>
          <w:szCs w:val="24"/>
        </w:rPr>
        <w:t>. The C</w:t>
      </w:r>
      <w:r w:rsidR="009B2B54">
        <w:rPr>
          <w:rFonts w:ascii="Arial" w:hAnsi="Arial" w:cs="Arial"/>
          <w:sz w:val="24"/>
          <w:szCs w:val="24"/>
        </w:rPr>
        <w:t xml:space="preserve">SR </w:t>
      </w:r>
      <w:r w:rsidRPr="000B0EBA">
        <w:rPr>
          <w:rFonts w:ascii="Arial" w:hAnsi="Arial" w:cs="Arial"/>
          <w:sz w:val="24"/>
          <w:szCs w:val="24"/>
        </w:rPr>
        <w:t xml:space="preserve">is a serious business in </w:t>
      </w:r>
      <w:r w:rsidR="00D41ED5" w:rsidRPr="000B0EBA">
        <w:rPr>
          <w:rFonts w:ascii="Arial" w:hAnsi="Arial" w:cs="Arial"/>
          <w:sz w:val="24"/>
          <w:szCs w:val="24"/>
        </w:rPr>
        <w:t>sustainabi</w:t>
      </w:r>
      <w:r w:rsidR="00D41ED5">
        <w:rPr>
          <w:rFonts w:ascii="Arial" w:hAnsi="Arial" w:cs="Arial"/>
          <w:sz w:val="24"/>
          <w:szCs w:val="24"/>
        </w:rPr>
        <w:t>lity</w:t>
      </w:r>
      <w:r w:rsidRPr="000B0EBA">
        <w:rPr>
          <w:rFonts w:ascii="Arial" w:hAnsi="Arial" w:cs="Arial"/>
          <w:sz w:val="24"/>
          <w:szCs w:val="24"/>
        </w:rPr>
        <w:t>. It has become widespread practice for corporations to behave responsibly towards both shareholders and stakeholders to ensure effective operations. CSR is an effort to improve the reputation and practice of organisations</w:t>
      </w:r>
      <w:r w:rsidR="009D0699">
        <w:rPr>
          <w:rFonts w:ascii="Arial" w:hAnsi="Arial" w:cs="Arial"/>
          <w:sz w:val="24"/>
          <w:szCs w:val="24"/>
        </w:rPr>
        <w:t xml:space="preserve"> globally.</w:t>
      </w:r>
      <w:r w:rsidRPr="000B0EBA">
        <w:rPr>
          <w:rFonts w:ascii="Arial" w:hAnsi="Arial" w:cs="Arial"/>
          <w:sz w:val="24"/>
          <w:szCs w:val="24"/>
        </w:rPr>
        <w:t xml:space="preserve"> The push for organisations to integrate CSR activities and communicate them publicly has directly contributed to the emergence of cause related marketing, which aims to raise awareness for a specific cause whilst simultaneously improving corporate performance </w:t>
      </w:r>
      <w:r w:rsidRPr="000B0EBA">
        <w:rPr>
          <w:rFonts w:ascii="Arial" w:hAnsi="Arial" w:cs="Arial"/>
          <w:sz w:val="24"/>
          <w:szCs w:val="24"/>
        </w:rPr>
        <w:fldChar w:fldCharType="begin"/>
      </w:r>
      <w:r w:rsidRPr="000B0EBA">
        <w:rPr>
          <w:rFonts w:ascii="Arial" w:hAnsi="Arial" w:cs="Arial"/>
          <w:sz w:val="24"/>
          <w:szCs w:val="24"/>
        </w:rPr>
        <w:instrText xml:space="preserve"> ADDIN ZOTERO_ITEM CSL_CITATION {"citationID":"EoM6QWms","properties":{"formattedCitation":"(Walters, 2022)","plainCitation":"(Walters, 2022)","noteIndex":0},"citationItems":[{"id":35,"uris":["http://zotero.org/users/local/bh3OqUSh/items/7EY4WQ46"],"itemData":{"id":35,"type":"article-journal","container-title":"Review of International Political Economy","DOI":"10.1080/09692290.2021.1935295","ISSN":"0969-2290, 1466-4526","issue":"5","journalAbbreviation":"Review of International Political Economy","language":"en","page":"1577-1600","source":"DOI.org (Crossref)","title":"Varieties of gender wash: towards a framework for critiquing corporate social responsibility in feminist IPE","title-short":"Varieties of gender wash","volume":"29","author":[{"family":"Walters","given":"Rosie"}],"issued":{"date-parts":[["2022",9,3]]}}}],"schema":"https://github.com/citation-style-language/schema/raw/master/csl-citation.json"} </w:instrText>
      </w:r>
      <w:r w:rsidRPr="000B0EBA">
        <w:rPr>
          <w:rFonts w:ascii="Arial" w:hAnsi="Arial" w:cs="Arial"/>
          <w:sz w:val="24"/>
          <w:szCs w:val="24"/>
        </w:rPr>
        <w:fldChar w:fldCharType="separate"/>
      </w:r>
      <w:r w:rsidR="00903396" w:rsidRPr="00903396">
        <w:rPr>
          <w:rFonts w:ascii="Arial" w:hAnsi="Arial" w:cs="Arial"/>
          <w:sz w:val="24"/>
        </w:rPr>
        <w:t>(Walters, 2022)</w:t>
      </w:r>
      <w:r w:rsidRPr="000B0EBA">
        <w:rPr>
          <w:rFonts w:ascii="Arial" w:hAnsi="Arial" w:cs="Arial"/>
          <w:sz w:val="24"/>
          <w:szCs w:val="24"/>
        </w:rPr>
        <w:fldChar w:fldCharType="end"/>
      </w:r>
      <w:r w:rsidRPr="000B0EBA">
        <w:rPr>
          <w:rFonts w:ascii="Arial" w:hAnsi="Arial" w:cs="Arial"/>
          <w:sz w:val="24"/>
          <w:szCs w:val="24"/>
        </w:rPr>
        <w:t xml:space="preserve">. In addition, according to Carroll (2016) </w:t>
      </w:r>
      <w:r w:rsidR="003E436E">
        <w:rPr>
          <w:rFonts w:ascii="Arial" w:hAnsi="Arial" w:cs="Arial"/>
          <w:sz w:val="24"/>
          <w:szCs w:val="24"/>
        </w:rPr>
        <w:t xml:space="preserve">it is important to </w:t>
      </w:r>
      <w:r w:rsidRPr="000B0EBA">
        <w:rPr>
          <w:rFonts w:ascii="Arial" w:hAnsi="Arial" w:cs="Arial"/>
          <w:sz w:val="24"/>
          <w:szCs w:val="24"/>
        </w:rPr>
        <w:t>establish a four-part definition for CSR framework, stating that Corporate Social Responsibility involves the economic, legal, ethical and philanthropic expectations society places on an organisation</w:t>
      </w:r>
      <w:r w:rsidR="009D0699">
        <w:rPr>
          <w:rFonts w:ascii="Arial" w:hAnsi="Arial" w:cs="Arial"/>
          <w:sz w:val="24"/>
          <w:szCs w:val="24"/>
        </w:rPr>
        <w:t xml:space="preserve"> globally. </w:t>
      </w:r>
      <w:r w:rsidRPr="000B0EBA">
        <w:rPr>
          <w:rFonts w:ascii="Arial" w:hAnsi="Arial" w:cs="Arial"/>
          <w:sz w:val="24"/>
          <w:szCs w:val="24"/>
        </w:rPr>
        <w:t xml:space="preserve">This four-part model provides a comprehensive foundation for clearly defining and </w:t>
      </w:r>
      <w:r w:rsidRPr="0027774D">
        <w:rPr>
          <w:rFonts w:ascii="Arial" w:hAnsi="Arial" w:cs="Arial"/>
          <w:sz w:val="24"/>
          <w:szCs w:val="24"/>
        </w:rPr>
        <w:t>characteris</w:t>
      </w:r>
      <w:r w:rsidR="001047B9">
        <w:rPr>
          <w:rFonts w:ascii="Arial" w:hAnsi="Arial" w:cs="Arial"/>
          <w:sz w:val="24"/>
          <w:szCs w:val="24"/>
        </w:rPr>
        <w:t>ing</w:t>
      </w:r>
      <w:r w:rsidRPr="0027774D">
        <w:rPr>
          <w:rFonts w:ascii="Arial" w:hAnsi="Arial" w:cs="Arial"/>
          <w:sz w:val="24"/>
          <w:szCs w:val="24"/>
        </w:rPr>
        <w:t xml:space="preserve"> the nature of businesses’ responsibilities to the societal context.</w:t>
      </w:r>
      <w:r w:rsidR="0027774D" w:rsidRPr="0027774D">
        <w:rPr>
          <w:rFonts w:ascii="Arial" w:hAnsi="Arial" w:cs="Arial"/>
          <w:sz w:val="24"/>
          <w:szCs w:val="24"/>
        </w:rPr>
        <w:t xml:space="preserve"> In practice, organisations tend to prioritise economic and legal responsibilities, while ethical and philanthropic commitments are often selectively implemented or framed through aspirational policies with limited operational impact. This disconnect indicates that, for many firms, Carroll’s framework functions more as a reputational or compliance</w:t>
      </w:r>
      <w:r w:rsidR="0027774D">
        <w:rPr>
          <w:rFonts w:ascii="Arial" w:hAnsi="Arial" w:cs="Arial"/>
          <w:sz w:val="24"/>
          <w:szCs w:val="24"/>
        </w:rPr>
        <w:t>-oriented</w:t>
      </w:r>
      <w:r w:rsidR="0027774D" w:rsidRPr="0027774D">
        <w:rPr>
          <w:rFonts w:ascii="Arial" w:hAnsi="Arial" w:cs="Arial"/>
          <w:sz w:val="24"/>
          <w:szCs w:val="24"/>
        </w:rPr>
        <w:t xml:space="preserve"> exercise than as a deeply embedded governance mechanism guiding decision</w:t>
      </w:r>
      <w:r w:rsidR="0027774D">
        <w:rPr>
          <w:rFonts w:ascii="Arial" w:hAnsi="Arial" w:cs="Arial"/>
          <w:sz w:val="24"/>
          <w:szCs w:val="24"/>
        </w:rPr>
        <w:t xml:space="preserve"> </w:t>
      </w:r>
      <w:r w:rsidR="0027774D" w:rsidRPr="0027774D">
        <w:rPr>
          <w:rFonts w:ascii="Arial" w:hAnsi="Arial" w:cs="Arial"/>
          <w:sz w:val="24"/>
          <w:szCs w:val="24"/>
        </w:rPr>
        <w:t>making and behaviour across global supply chains.</w:t>
      </w:r>
    </w:p>
    <w:p w14:paraId="21DB92B1" w14:textId="4BCEA9B5" w:rsidR="00373807" w:rsidRPr="00A32F18" w:rsidRDefault="00373807" w:rsidP="002F56B3">
      <w:pPr>
        <w:spacing w:line="360" w:lineRule="auto"/>
        <w:jc w:val="both"/>
        <w:rPr>
          <w:rFonts w:ascii="Arial" w:hAnsi="Arial" w:cs="Arial"/>
          <w:sz w:val="24"/>
          <w:szCs w:val="24"/>
        </w:rPr>
      </w:pPr>
      <w:r w:rsidRPr="000B0EBA">
        <w:rPr>
          <w:rFonts w:ascii="Arial" w:hAnsi="Arial" w:cs="Arial"/>
          <w:sz w:val="24"/>
          <w:szCs w:val="24"/>
        </w:rPr>
        <w:t xml:space="preserve">The fundamental pillars are economic and legal compliance, which ensure financial viability and adherence to regulatory mandates. Conversely, the ethical and philanthropic components are instrumental in fostering moral integrity and contributing to social </w:t>
      </w:r>
      <w:r w:rsidRPr="009B2B54">
        <w:rPr>
          <w:rFonts w:ascii="Arial" w:hAnsi="Arial" w:cs="Arial"/>
          <w:sz w:val="24"/>
          <w:szCs w:val="24"/>
        </w:rPr>
        <w:t>welfare</w:t>
      </w:r>
      <w:r w:rsidR="00A32F18">
        <w:rPr>
          <w:rFonts w:ascii="Arial" w:hAnsi="Arial" w:cs="Arial"/>
          <w:sz w:val="24"/>
          <w:szCs w:val="24"/>
        </w:rPr>
        <w:t xml:space="preserve"> </w:t>
      </w:r>
      <w:r w:rsidR="00A32F18">
        <w:rPr>
          <w:rFonts w:ascii="Arial" w:hAnsi="Arial" w:cs="Arial"/>
          <w:sz w:val="24"/>
          <w:szCs w:val="24"/>
        </w:rPr>
        <w:fldChar w:fldCharType="begin"/>
      </w:r>
      <w:r w:rsidR="00A32F18">
        <w:rPr>
          <w:rFonts w:ascii="Arial" w:hAnsi="Arial" w:cs="Arial"/>
          <w:sz w:val="24"/>
          <w:szCs w:val="24"/>
        </w:rPr>
        <w:instrText xml:space="preserve"> ADDIN ZOTERO_ITEM CSL_CITATION {"citationID":"RSK70EQs","properties":{"formattedCitation":"(Carroll, 2016)","plainCitation":"(Carroll, 2016)","noteIndex":0},"citationItems":[{"id":135,"uris":["http://zotero.org/users/local/bh3OqUSh/items/KDZEUMBY"],"itemData":{"id":135,"type":"article-journal","container-title":"International Journal of Corporate Social Responsibility","DOI":"10.1186/s40991-016-0004-6","ISSN":"2366-0066, 2366-0074","issue":"1","journalAbbreviation":"Int J Corporate Soc Responsibility","language":"en","page":"3","source":"DOI.org (Crossref)","title":"Carroll’s pyramid of CSR: taking another look","title-short":"Carroll’s pyramid of CSR","volume":"1","author":[{"family":"Carroll","given":"Archie B."}],"issued":{"date-parts":[["2016",12]]}}}],"schema":"https://github.com/citation-style-language/schema/raw/master/csl-citation.json"} </w:instrText>
      </w:r>
      <w:r w:rsidR="00A32F18">
        <w:rPr>
          <w:rFonts w:ascii="Arial" w:hAnsi="Arial" w:cs="Arial"/>
          <w:sz w:val="24"/>
          <w:szCs w:val="24"/>
        </w:rPr>
        <w:fldChar w:fldCharType="separate"/>
      </w:r>
      <w:r w:rsidR="00A32F18" w:rsidRPr="00A32F18">
        <w:rPr>
          <w:rFonts w:ascii="Arial" w:hAnsi="Arial" w:cs="Arial"/>
          <w:sz w:val="24"/>
        </w:rPr>
        <w:t>(Carroll, 2016)</w:t>
      </w:r>
      <w:r w:rsidR="00A32F18">
        <w:rPr>
          <w:rFonts w:ascii="Arial" w:hAnsi="Arial" w:cs="Arial"/>
          <w:sz w:val="24"/>
          <w:szCs w:val="24"/>
        </w:rPr>
        <w:fldChar w:fldCharType="end"/>
      </w:r>
      <w:r w:rsidRPr="009B2B54">
        <w:rPr>
          <w:rFonts w:ascii="Arial" w:hAnsi="Arial" w:cs="Arial"/>
          <w:sz w:val="24"/>
          <w:szCs w:val="24"/>
        </w:rPr>
        <w:t>.</w:t>
      </w:r>
      <w:r w:rsidRPr="000B0EBA">
        <w:rPr>
          <w:rFonts w:ascii="Arial" w:hAnsi="Arial" w:cs="Arial"/>
          <w:sz w:val="24"/>
          <w:szCs w:val="24"/>
        </w:rPr>
        <w:t xml:space="preserve"> Within the domain of sustainability, CSR mandates that enterprises transcend minimal compliance, proactively addressing critical issues such as environmental degradation, labour rights and community welfare. However, Banerjee (2014) critically assesses the structural constraints of CSR. He posits that the limitations of CSR are intrinsically linked to the underlying assumptions of the modern corporation and the political economy in which it is situated. Specifically, the </w:t>
      </w:r>
      <w:r w:rsidRPr="000B0EBA">
        <w:rPr>
          <w:rFonts w:ascii="Arial" w:hAnsi="Arial" w:cs="Arial"/>
          <w:sz w:val="24"/>
          <w:szCs w:val="24"/>
        </w:rPr>
        <w:lastRenderedPageBreak/>
        <w:t xml:space="preserve">extant structure and primary objective of the corporations to deliver shareholder value, restricting the capacity for </w:t>
      </w:r>
      <w:r w:rsidR="001047B9">
        <w:rPr>
          <w:rFonts w:ascii="Arial" w:hAnsi="Arial" w:cs="Arial"/>
          <w:sz w:val="24"/>
          <w:szCs w:val="24"/>
        </w:rPr>
        <w:t xml:space="preserve">the </w:t>
      </w:r>
      <w:r w:rsidRPr="000B0EBA">
        <w:rPr>
          <w:rFonts w:ascii="Arial" w:hAnsi="Arial" w:cs="Arial"/>
          <w:sz w:val="24"/>
          <w:szCs w:val="24"/>
        </w:rPr>
        <w:t>corporative to pursue broader societal objectives</w:t>
      </w:r>
      <w:r w:rsidR="00F44B45">
        <w:rPr>
          <w:rFonts w:ascii="Arial" w:hAnsi="Arial" w:cs="Arial"/>
          <w:sz w:val="24"/>
          <w:szCs w:val="24"/>
        </w:rPr>
        <w:t xml:space="preserve"> </w:t>
      </w:r>
      <w:r w:rsidR="00F44B45">
        <w:rPr>
          <w:rFonts w:ascii="Arial" w:hAnsi="Arial" w:cs="Arial"/>
          <w:sz w:val="24"/>
          <w:szCs w:val="24"/>
        </w:rPr>
        <w:fldChar w:fldCharType="begin"/>
      </w:r>
      <w:r w:rsidR="00F44B45">
        <w:rPr>
          <w:rFonts w:ascii="Arial" w:hAnsi="Arial" w:cs="Arial"/>
          <w:sz w:val="24"/>
          <w:szCs w:val="24"/>
        </w:rPr>
        <w:instrText xml:space="preserve"> ADDIN ZOTERO_ITEM CSL_CITATION {"citationID":"8NLkd2Yh","properties":{"formattedCitation":"(Banerjee, 2014)","plainCitation":"(Banerjee, 2014)","noteIndex":0},"citationItems":[{"id":37,"uris":["http://zotero.org/users/local/bh3OqUSh/items/2VDEZ6Z5"],"itemData":{"id":37,"type":"article-journal","abstract":"Purpose - The purpose of this paper is to argue that there are structural and functional limits to corporate social responsibility (CSR) that determine the boundary conditions of corporate social initiatives. The current preoccupation with win-win situations in CSR may not serve societal interests. For CSR to produce social outcomes that are not necessarily constrained by corporate rationality there needs to be a change in the normative framework of public decision making at the institutional level. The author develops a global governance framework for CSR that provides more democratic forms of decision making in the political economy that will enable corporate social responsibility to overcome the constraints imposed by corporate rationality. Design/methodology/approach - This is a conceptual paper and critique. Findings - The author develops a global governance framework for CSR that provides more democratic forms of decision making in the political economy that will enable corporate social responsibility to overcome the constraints imposed by corporate rationality. Originality/value - The paper contributes to theoretical development of CSR.","container-title":"Critical Perspectives on International Business","DOI":"10.1108/cpoib-06-2013-0021","ISSN":"17422043","issue":"1/2","language":"English","license":"Copyright Emerald Group Publishing Limited 2014","note":"number-of-pages: 84-95\npublisher-place: Bradford, United Kingdom\npublisher: Emerald Group Publishing Limited","page":"84-95","source":"ProQuest","title":"A critical perspective on corporate social responsibility: Towards a global governance framework","title-short":"A critical perspective on corporate social responsibility","volume":"10","author":[{"family":"Banerjee","given":"Subhabrata Bobby"}],"issued":{"date-parts":[["2014"]]}}}],"schema":"https://github.com/citation-style-language/schema/raw/master/csl-citation.json"} </w:instrText>
      </w:r>
      <w:r w:rsidR="00F44B45">
        <w:rPr>
          <w:rFonts w:ascii="Arial" w:hAnsi="Arial" w:cs="Arial"/>
          <w:sz w:val="24"/>
          <w:szCs w:val="24"/>
        </w:rPr>
        <w:fldChar w:fldCharType="separate"/>
      </w:r>
      <w:r w:rsidR="00F44B45" w:rsidRPr="00F44B45">
        <w:rPr>
          <w:rFonts w:ascii="Arial" w:hAnsi="Arial" w:cs="Arial"/>
          <w:sz w:val="24"/>
        </w:rPr>
        <w:t>(Banerjee, 2014)</w:t>
      </w:r>
      <w:r w:rsidR="00F44B45">
        <w:rPr>
          <w:rFonts w:ascii="Arial" w:hAnsi="Arial" w:cs="Arial"/>
          <w:sz w:val="24"/>
          <w:szCs w:val="24"/>
        </w:rPr>
        <w:fldChar w:fldCharType="end"/>
      </w:r>
      <w:r w:rsidR="001047B9">
        <w:rPr>
          <w:rFonts w:ascii="Arial" w:hAnsi="Arial" w:cs="Arial"/>
          <w:sz w:val="24"/>
          <w:szCs w:val="24"/>
        </w:rPr>
        <w:t>.</w:t>
      </w:r>
    </w:p>
    <w:p w14:paraId="268DCC99" w14:textId="60D0CD1F" w:rsidR="003104A1" w:rsidRPr="000B0EBA" w:rsidRDefault="00373807" w:rsidP="002F56B3">
      <w:pPr>
        <w:spacing w:line="360" w:lineRule="auto"/>
        <w:jc w:val="both"/>
        <w:rPr>
          <w:rFonts w:ascii="Arial" w:hAnsi="Arial" w:cs="Arial"/>
          <w:sz w:val="24"/>
          <w:szCs w:val="24"/>
        </w:rPr>
      </w:pPr>
      <w:r w:rsidRPr="000B0EBA">
        <w:rPr>
          <w:rFonts w:ascii="Arial" w:hAnsi="Arial" w:cs="Arial"/>
          <w:sz w:val="24"/>
          <w:szCs w:val="24"/>
        </w:rPr>
        <w:t xml:space="preserve">Building upon CSR, </w:t>
      </w:r>
      <w:r w:rsidR="0027774D">
        <w:rPr>
          <w:rFonts w:ascii="Arial" w:hAnsi="Arial" w:cs="Arial"/>
          <w:sz w:val="24"/>
          <w:szCs w:val="24"/>
        </w:rPr>
        <w:t>ST</w:t>
      </w:r>
      <w:r w:rsidR="00BD0ABC">
        <w:rPr>
          <w:rFonts w:ascii="Arial" w:hAnsi="Arial" w:cs="Arial"/>
          <w:sz w:val="24"/>
          <w:szCs w:val="24"/>
        </w:rPr>
        <w:t xml:space="preserve"> </w:t>
      </w:r>
      <w:r w:rsidRPr="000B0EBA">
        <w:rPr>
          <w:rFonts w:ascii="Arial" w:hAnsi="Arial" w:cs="Arial"/>
          <w:sz w:val="24"/>
          <w:szCs w:val="24"/>
        </w:rPr>
        <w:t xml:space="preserve">was put forward by Freeman in 1984 as a strategic proposal </w:t>
      </w:r>
      <w:r w:rsidR="001047B9">
        <w:rPr>
          <w:rFonts w:ascii="Arial" w:hAnsi="Arial" w:cs="Arial"/>
          <w:sz w:val="24"/>
          <w:szCs w:val="24"/>
        </w:rPr>
        <w:t xml:space="preserve">to </w:t>
      </w:r>
      <w:r w:rsidRPr="000B0EBA">
        <w:rPr>
          <w:rFonts w:ascii="Arial" w:hAnsi="Arial" w:cs="Arial"/>
          <w:sz w:val="24"/>
          <w:szCs w:val="24"/>
        </w:rPr>
        <w:t xml:space="preserve">manage organisations in the twentieth century. The </w:t>
      </w:r>
      <w:r w:rsidR="0027774D">
        <w:rPr>
          <w:rFonts w:ascii="Arial" w:hAnsi="Arial" w:cs="Arial"/>
          <w:sz w:val="24"/>
          <w:szCs w:val="24"/>
        </w:rPr>
        <w:t>ST</w:t>
      </w:r>
      <w:r w:rsidRPr="000B0EBA">
        <w:rPr>
          <w:rFonts w:ascii="Arial" w:hAnsi="Arial" w:cs="Arial"/>
          <w:sz w:val="24"/>
          <w:szCs w:val="24"/>
        </w:rPr>
        <w:t xml:space="preserve"> draws on four key academic fields, which are sociology, economics, politics, and ethics </w:t>
      </w:r>
      <w:r w:rsidRPr="000B0EBA">
        <w:rPr>
          <w:rFonts w:ascii="Arial" w:hAnsi="Arial" w:cs="Arial"/>
          <w:sz w:val="24"/>
          <w:szCs w:val="24"/>
        </w:rPr>
        <w:fldChar w:fldCharType="begin"/>
      </w:r>
      <w:r w:rsidR="00E01341" w:rsidRPr="000B0EBA">
        <w:rPr>
          <w:rFonts w:ascii="Arial" w:hAnsi="Arial" w:cs="Arial"/>
          <w:sz w:val="24"/>
          <w:szCs w:val="24"/>
        </w:rPr>
        <w:instrText xml:space="preserve"> ADDIN ZOTERO_ITEM CSL_CITATION {"citationID":"W4GD6SXC","properties":{"formattedCitation":"(Mainardes, Alves and Raposo, 2011)","plainCitation":"(Mainardes, Alves and Raposo, 2011)","dontUpdate":true,"noteIndex":0},"citationItems":[{"id":41,"uris":["http://zotero.org/users/local/bh3OqUSh/items/FT37HNMG"],"itemData":{"id":41,"type":"article-journal","abstract":"The objective of this paper is to collate and debate the main issues driving the stakeholder theory academic debate. First, a discussion of the stakeholder concept is set out before moving on to the history and nature of stakeholder theory. The work proceeds with an attempt to bring together systematically the points of divergence among researchers interested in stakeholder theory, and, finally, there is a brief discussion of these theoretical loopholes in conjunction with a proposed research agenda for the field. Based on the unification of the theoretically problematic issues, research agenda are put forward with the objective of clarifying doubts and resolving the controversies ongoing among academics. As regards the formulation of stakeholder theory, one question requiring resolution is that of the stakeholder concept itself. Additionally, further research should focus on the boundaries as to what constitutes a stakeholder group as well as defining the criteria for attributing individual membership of one or another group. In practical theoretical application, it is correspondingly necessary to target research on aspects such as conflicts of interest between stakeholders and management difficulties in coping with multiple objectives. Finally, there is a need for research that systematizes the knowledge produced with the objective of attaining the theoretical convergence necessary for the development of stakeholder theory. The main contribution of this paper derives from the systematization of the various shortcomings that need overcoming within the framework of stakeholder theory and the identification of research agendas.","container-title":"Management Decision","DOI":"10.1108/00251741111109133","ISSN":"00251747","issue":"2","language":"English","license":"Copyright Emerald Group Publishing Limited 2011","note":"number-of-pages: 226-252\npublisher-place: London, United Kingdom\npublisher: Emerald Group Publishing Limited","page":"226-252","source":"ProQuest","title":"Stakeholder theory: issues to resolve","title-short":"Stakeholder theory","volume":"49","author":[{"family":"Mainardes","given":"Emerson Wagner"},{"family":"Alves","given":"Helena"},{"family":"Raposo","given":"Mario"}],"issued":{"date-parts":[["2011"]]}}}],"schema":"https://github.com/citation-style-language/schema/raw/master/csl-citation.json"} </w:instrText>
      </w:r>
      <w:r w:rsidRPr="000B0EBA">
        <w:rPr>
          <w:rFonts w:ascii="Arial" w:hAnsi="Arial" w:cs="Arial"/>
          <w:sz w:val="24"/>
          <w:szCs w:val="24"/>
        </w:rPr>
        <w:fldChar w:fldCharType="separate"/>
      </w:r>
      <w:r w:rsidR="002E7CA2" w:rsidRPr="000B0EBA">
        <w:rPr>
          <w:rFonts w:ascii="Arial" w:hAnsi="Arial" w:cs="Arial"/>
          <w:sz w:val="24"/>
          <w:szCs w:val="24"/>
        </w:rPr>
        <w:t xml:space="preserve"> </w:t>
      </w:r>
      <w:r w:rsidR="00B55042">
        <w:rPr>
          <w:rFonts w:ascii="Arial" w:hAnsi="Arial" w:cs="Arial"/>
          <w:sz w:val="24"/>
          <w:szCs w:val="24"/>
        </w:rPr>
        <w:t>(</w:t>
      </w:r>
      <w:r w:rsidRPr="000B0EBA">
        <w:rPr>
          <w:rFonts w:ascii="Arial" w:hAnsi="Arial" w:cs="Arial"/>
          <w:sz w:val="24"/>
          <w:szCs w:val="24"/>
        </w:rPr>
        <w:t>Mainardes, Alves and Raposo</w:t>
      </w:r>
      <w:r w:rsidR="00B55042">
        <w:rPr>
          <w:rFonts w:ascii="Arial" w:hAnsi="Arial" w:cs="Arial"/>
          <w:sz w:val="24"/>
          <w:szCs w:val="24"/>
        </w:rPr>
        <w:t xml:space="preserve">, </w:t>
      </w:r>
      <w:r w:rsidRPr="000B0EBA">
        <w:rPr>
          <w:rFonts w:ascii="Arial" w:hAnsi="Arial" w:cs="Arial"/>
          <w:sz w:val="24"/>
          <w:szCs w:val="24"/>
        </w:rPr>
        <w:t>2011)</w:t>
      </w:r>
      <w:r w:rsidRPr="000B0EBA">
        <w:rPr>
          <w:rFonts w:ascii="Arial" w:hAnsi="Arial" w:cs="Arial"/>
          <w:sz w:val="24"/>
          <w:szCs w:val="24"/>
        </w:rPr>
        <w:fldChar w:fldCharType="end"/>
      </w:r>
      <w:r w:rsidRPr="000B0EBA">
        <w:rPr>
          <w:rFonts w:ascii="Arial" w:hAnsi="Arial" w:cs="Arial"/>
          <w:sz w:val="24"/>
          <w:szCs w:val="24"/>
        </w:rPr>
        <w:t xml:space="preserve">. This theory redefined </w:t>
      </w:r>
      <w:r w:rsidR="002E7CA2" w:rsidRPr="000B0EBA">
        <w:rPr>
          <w:rFonts w:ascii="Arial" w:hAnsi="Arial" w:cs="Arial"/>
          <w:sz w:val="24"/>
          <w:szCs w:val="24"/>
        </w:rPr>
        <w:t>CSR</w:t>
      </w:r>
      <w:r w:rsidRPr="000B0EBA">
        <w:rPr>
          <w:rFonts w:ascii="Arial" w:hAnsi="Arial" w:cs="Arial"/>
          <w:sz w:val="24"/>
          <w:szCs w:val="24"/>
        </w:rPr>
        <w:t xml:space="preserve"> by </w:t>
      </w:r>
      <w:r w:rsidR="00FE7B8A" w:rsidRPr="000B0EBA">
        <w:rPr>
          <w:rFonts w:ascii="Arial" w:hAnsi="Arial" w:cs="Arial"/>
          <w:sz w:val="24"/>
          <w:szCs w:val="24"/>
        </w:rPr>
        <w:t>recognising that organisations must serve the interests of a diverse range of stakeholders</w:t>
      </w:r>
      <w:r w:rsidR="00557496" w:rsidRPr="000B0EBA">
        <w:rPr>
          <w:rFonts w:ascii="Arial" w:hAnsi="Arial" w:cs="Arial"/>
          <w:sz w:val="24"/>
          <w:szCs w:val="24"/>
        </w:rPr>
        <w:t xml:space="preserve">, </w:t>
      </w:r>
      <w:r w:rsidR="002E7CA2" w:rsidRPr="000B0EBA">
        <w:rPr>
          <w:rFonts w:ascii="Arial" w:hAnsi="Arial" w:cs="Arial"/>
          <w:sz w:val="24"/>
          <w:szCs w:val="24"/>
        </w:rPr>
        <w:t>employees, customers, suppliers, local communities, and future generations. This framework aligns with Lincoln’s sta</w:t>
      </w:r>
      <w:r w:rsidR="00CC5B6B" w:rsidRPr="000B0EBA">
        <w:rPr>
          <w:rFonts w:ascii="Arial" w:hAnsi="Arial" w:cs="Arial"/>
          <w:sz w:val="24"/>
          <w:szCs w:val="24"/>
        </w:rPr>
        <w:t xml:space="preserve">tement, which is a call for present accountability, </w:t>
      </w:r>
      <w:r w:rsidR="003E18DF" w:rsidRPr="000B0EBA">
        <w:rPr>
          <w:rFonts w:ascii="Arial" w:hAnsi="Arial" w:cs="Arial"/>
          <w:sz w:val="24"/>
          <w:szCs w:val="24"/>
        </w:rPr>
        <w:t xml:space="preserve">also </w:t>
      </w:r>
      <w:r w:rsidR="00CC5B6B" w:rsidRPr="000B0EBA">
        <w:rPr>
          <w:rFonts w:ascii="Arial" w:hAnsi="Arial" w:cs="Arial"/>
          <w:sz w:val="24"/>
          <w:szCs w:val="24"/>
        </w:rPr>
        <w:t xml:space="preserve">insisting decision making should </w:t>
      </w:r>
      <w:r w:rsidR="00CC5B6B" w:rsidRPr="00C33F79">
        <w:rPr>
          <w:rFonts w:ascii="Arial" w:hAnsi="Arial" w:cs="Arial"/>
          <w:sz w:val="24"/>
          <w:szCs w:val="24"/>
        </w:rPr>
        <w:t xml:space="preserve">balance competing interests to prevent long-term harm. </w:t>
      </w:r>
      <w:r w:rsidR="003E18DF" w:rsidRPr="00C33F79">
        <w:rPr>
          <w:rFonts w:ascii="Arial" w:hAnsi="Arial" w:cs="Arial"/>
          <w:sz w:val="24"/>
          <w:szCs w:val="24"/>
        </w:rPr>
        <w:t>In addition, according to</w:t>
      </w:r>
      <w:r w:rsidR="003E18DF" w:rsidRPr="00C33F79">
        <w:rPr>
          <w:rFonts w:ascii="Arial" w:hAnsi="Arial" w:cs="Arial"/>
          <w:sz w:val="24"/>
          <w:szCs w:val="24"/>
        </w:rPr>
        <w:fldChar w:fldCharType="begin"/>
      </w:r>
      <w:r w:rsidR="00E01341" w:rsidRPr="00C33F79">
        <w:rPr>
          <w:rFonts w:ascii="Arial" w:hAnsi="Arial" w:cs="Arial"/>
          <w:sz w:val="24"/>
          <w:szCs w:val="24"/>
        </w:rPr>
        <w:instrText xml:space="preserve"> ADDIN ZOTERO_ITEM CSL_CITATION {"citationID":"sVKYUvh2","properties":{"formattedCitation":"(Mu, Xu and Chen, 2024)","plainCitation":"(Mu, Xu and Chen, 2024)","dontUpdate":true,"noteIndex":0},"citationItems":[{"id":48,"uris":["http://zotero.org/users/local/bh3OqUSh/items/BNWK99JW"],"itemData":{"id":48,"type":"article-journal","abstract":"Purpose – The main purposes of this research are: first of all, to re-classify the types of corporate social responsibility (CSR) into primary stakeholder-oriented CSR and secondary stakeholder-oriented CSR from the perspective of stakeholders and, second, to investigate empirically how and which types of CSR can better impact employees’ job satisfaction and happiness management.","container-title":"Management Decision","DOI":"10.1108/MD-02-2023-0267","ISSN":"0025-1747","issue":"2","journalAbbreviation":"MD","language":"en","license":"https://www.emerald.com/insight/site-policies","page":"591-613","source":"DOI.org (Crossref)","title":"The impact of corporate social responsibility types on happiness management: a stakeholder theory perspective","title-short":"The impact of corporate social responsibility types on happiness management","volume":"62","author":[{"family":"Mu","given":"Hong-Lei"},{"family":"Xu","given":"Jiang"},{"family":"Chen","given":"Sijing"}],"issued":{"date-parts":[["2024",3,19]]}}}],"schema":"https://github.com/citation-style-language/schema/raw/master/csl-citation.json"} </w:instrText>
      </w:r>
      <w:r w:rsidR="003E18DF" w:rsidRPr="00C33F79">
        <w:rPr>
          <w:rFonts w:ascii="Arial" w:hAnsi="Arial" w:cs="Arial"/>
          <w:sz w:val="24"/>
          <w:szCs w:val="24"/>
        </w:rPr>
        <w:fldChar w:fldCharType="separate"/>
      </w:r>
      <w:r w:rsidR="003E18DF" w:rsidRPr="00C33F79">
        <w:rPr>
          <w:rFonts w:ascii="Arial" w:hAnsi="Arial" w:cs="Arial"/>
          <w:sz w:val="24"/>
          <w:szCs w:val="24"/>
        </w:rPr>
        <w:t xml:space="preserve"> Mu, Xu and Chen, (2024)</w:t>
      </w:r>
      <w:r w:rsidR="003E18DF" w:rsidRPr="00C33F79">
        <w:rPr>
          <w:rFonts w:ascii="Arial" w:hAnsi="Arial" w:cs="Arial"/>
          <w:sz w:val="24"/>
          <w:szCs w:val="24"/>
        </w:rPr>
        <w:fldChar w:fldCharType="end"/>
      </w:r>
      <w:r w:rsidR="003E18DF" w:rsidRPr="00C33F79">
        <w:rPr>
          <w:rFonts w:ascii="Arial" w:hAnsi="Arial" w:cs="Arial"/>
          <w:sz w:val="24"/>
          <w:szCs w:val="24"/>
        </w:rPr>
        <w:t xml:space="preserve"> </w:t>
      </w:r>
      <w:r w:rsidR="00627349" w:rsidRPr="00C33F79">
        <w:rPr>
          <w:rFonts w:ascii="Arial" w:hAnsi="Arial" w:cs="Arial"/>
          <w:sz w:val="24"/>
          <w:szCs w:val="24"/>
        </w:rPr>
        <w:t xml:space="preserve">the core idea of </w:t>
      </w:r>
      <w:r w:rsidR="00C33F79">
        <w:rPr>
          <w:rFonts w:ascii="Arial" w:hAnsi="Arial" w:cs="Arial"/>
          <w:sz w:val="24"/>
          <w:szCs w:val="24"/>
        </w:rPr>
        <w:t>ST</w:t>
      </w:r>
      <w:r w:rsidR="00C33F79" w:rsidRPr="00C33F79">
        <w:rPr>
          <w:rFonts w:ascii="Arial" w:hAnsi="Arial" w:cs="Arial"/>
          <w:sz w:val="24"/>
          <w:szCs w:val="24"/>
        </w:rPr>
        <w:t xml:space="preserve"> proposes that value creation is a collaborative effort in relationships, ideally benefitting the focal business and all its stakeholders</w:t>
      </w:r>
      <w:r w:rsidR="00C33F79">
        <w:rPr>
          <w:rFonts w:ascii="Arial" w:hAnsi="Arial" w:cs="Arial"/>
          <w:sz w:val="24"/>
          <w:szCs w:val="24"/>
        </w:rPr>
        <w:t xml:space="preserve"> as this</w:t>
      </w:r>
      <w:r w:rsidR="00C33F79">
        <w:t xml:space="preserve"> </w:t>
      </w:r>
      <w:r w:rsidR="003104A1" w:rsidRPr="000B0EBA">
        <w:rPr>
          <w:rFonts w:ascii="Arial" w:hAnsi="Arial" w:cs="Arial"/>
          <w:sz w:val="24"/>
          <w:szCs w:val="24"/>
        </w:rPr>
        <w:t xml:space="preserve"> will build a better reputation. The presentation of the </w:t>
      </w:r>
      <w:r w:rsidR="00C33F79">
        <w:rPr>
          <w:rFonts w:ascii="Arial" w:hAnsi="Arial" w:cs="Arial"/>
          <w:sz w:val="24"/>
          <w:szCs w:val="24"/>
        </w:rPr>
        <w:t>ST</w:t>
      </w:r>
      <w:r w:rsidR="003104A1" w:rsidRPr="000B0EBA">
        <w:rPr>
          <w:rFonts w:ascii="Arial" w:hAnsi="Arial" w:cs="Arial"/>
          <w:sz w:val="24"/>
          <w:szCs w:val="24"/>
        </w:rPr>
        <w:t xml:space="preserve"> encourages organisations to expand their focus beyond traditional entities, such as shareholders, customers, employees, and supplier but also include a broader range of external stakeholders</w:t>
      </w:r>
      <w:r w:rsidR="00126510">
        <w:rPr>
          <w:rFonts w:ascii="Arial" w:hAnsi="Arial" w:cs="Arial"/>
          <w:sz w:val="24"/>
          <w:szCs w:val="24"/>
        </w:rPr>
        <w:t xml:space="preserve"> </w:t>
      </w:r>
      <w:r w:rsidR="00717222">
        <w:rPr>
          <w:rFonts w:ascii="Arial" w:hAnsi="Arial" w:cs="Arial"/>
          <w:sz w:val="24"/>
          <w:szCs w:val="24"/>
        </w:rPr>
        <w:fldChar w:fldCharType="begin"/>
      </w:r>
      <w:r w:rsidR="00717222">
        <w:rPr>
          <w:rFonts w:ascii="Arial" w:hAnsi="Arial" w:cs="Arial"/>
          <w:sz w:val="24"/>
          <w:szCs w:val="24"/>
        </w:rPr>
        <w:instrText xml:space="preserve"> ADDIN ZOTERO_ITEM CSL_CITATION {"citationID":"WZv3qRPY","properties":{"formattedCitation":"(Mu, Xu and Chen, 2024)","plainCitation":"(Mu, Xu and Chen, 2024)","noteIndex":0},"citationItems":[{"id":48,"uris":["http://zotero.org/users/local/bh3OqUSh/items/BNWK99JW"],"itemData":{"id":48,"type":"article-journal","abstract":"Purpose – The main purposes of this research are: first of all, to re-classify the types of corporate social responsibility (CSR) into primary stakeholder-oriented CSR and secondary stakeholder-oriented CSR from the perspective of stakeholders and, second, to investigate empirically how and which types of CSR can better impact employees’ job satisfaction and happiness management.","container-title":"Management Decision","DOI":"10.1108/MD-02-2023-0267","ISSN":"0025-1747","issue":"2","journalAbbreviation":"MD","language":"en","license":"https://www.emerald.com/insight/site-policies","page":"591-613","source":"DOI.org (Crossref)","title":"The impact of corporate social responsibility types on happiness management: a stakeholder theory perspective","title-short":"The impact of corporate social responsibility types on happiness management","volume":"62","author":[{"family":"Mu","given":"Hong-Lei"},{"family":"Xu","given":"Jiang"},{"family":"Chen","given":"Sijing"}],"issued":{"date-parts":[["2024",3,19]]}}}],"schema":"https://github.com/citation-style-language/schema/raw/master/csl-citation.json"} </w:instrText>
      </w:r>
      <w:r w:rsidR="00717222">
        <w:rPr>
          <w:rFonts w:ascii="Arial" w:hAnsi="Arial" w:cs="Arial"/>
          <w:sz w:val="24"/>
          <w:szCs w:val="24"/>
        </w:rPr>
        <w:fldChar w:fldCharType="separate"/>
      </w:r>
      <w:r w:rsidR="00717222" w:rsidRPr="00717222">
        <w:rPr>
          <w:rFonts w:ascii="Arial" w:hAnsi="Arial" w:cs="Arial"/>
          <w:sz w:val="24"/>
        </w:rPr>
        <w:t>(Mu, Xu and Chen, 2024)</w:t>
      </w:r>
      <w:r w:rsidR="00717222">
        <w:rPr>
          <w:rFonts w:ascii="Arial" w:hAnsi="Arial" w:cs="Arial"/>
          <w:sz w:val="24"/>
          <w:szCs w:val="24"/>
        </w:rPr>
        <w:fldChar w:fldCharType="end"/>
      </w:r>
      <w:r w:rsidR="003104A1" w:rsidRPr="000B0EBA">
        <w:rPr>
          <w:rFonts w:ascii="Arial" w:hAnsi="Arial" w:cs="Arial"/>
          <w:sz w:val="24"/>
          <w:szCs w:val="24"/>
        </w:rPr>
        <w:t xml:space="preserve">.  </w:t>
      </w:r>
    </w:p>
    <w:p w14:paraId="0080A105" w14:textId="200D2750" w:rsidR="00EE2CD4" w:rsidRPr="000B0EBA" w:rsidRDefault="00244E05" w:rsidP="002F56B3">
      <w:pPr>
        <w:spacing w:line="360" w:lineRule="auto"/>
        <w:jc w:val="both"/>
        <w:rPr>
          <w:rFonts w:ascii="Arial" w:hAnsi="Arial" w:cs="Arial"/>
          <w:sz w:val="24"/>
          <w:szCs w:val="24"/>
        </w:rPr>
      </w:pPr>
      <w:r w:rsidRPr="000B0EBA">
        <w:rPr>
          <w:rFonts w:ascii="Arial" w:hAnsi="Arial" w:cs="Arial"/>
          <w:sz w:val="24"/>
          <w:szCs w:val="24"/>
        </w:rPr>
        <w:t xml:space="preserve">Furthermore, </w:t>
      </w:r>
      <w:r w:rsidR="00A22129" w:rsidRPr="000B0EBA">
        <w:rPr>
          <w:rFonts w:ascii="Arial" w:hAnsi="Arial" w:cs="Arial"/>
          <w:sz w:val="24"/>
          <w:szCs w:val="24"/>
        </w:rPr>
        <w:t>Abraham Lincoln’s warning that “you cannot escape the responsibility of tomorrow by evading it today” is particularly salient within the healthcare sector, where the consequences of short-term decision making are both immediate and long-lasting</w:t>
      </w:r>
      <w:r w:rsidR="00A70C22">
        <w:rPr>
          <w:rFonts w:ascii="Arial" w:hAnsi="Arial" w:cs="Arial"/>
          <w:sz w:val="24"/>
          <w:szCs w:val="24"/>
        </w:rPr>
        <w:t>, for example healthcare organisation</w:t>
      </w:r>
      <w:r w:rsidR="00D004C1">
        <w:rPr>
          <w:rFonts w:ascii="Arial" w:hAnsi="Arial" w:cs="Arial"/>
          <w:sz w:val="24"/>
          <w:szCs w:val="24"/>
        </w:rPr>
        <w:t>s focus on cost cutting, understaffing, and productivity targets rather than staff wellbeing and long-term planning.</w:t>
      </w:r>
      <w:r w:rsidR="00A22129" w:rsidRPr="000B0EBA">
        <w:rPr>
          <w:rFonts w:ascii="Arial" w:hAnsi="Arial" w:cs="Arial"/>
          <w:sz w:val="24"/>
          <w:szCs w:val="24"/>
        </w:rPr>
        <w:t xml:space="preserve"> The T</w:t>
      </w:r>
      <w:r w:rsidR="00101A1E">
        <w:rPr>
          <w:rFonts w:ascii="Arial" w:hAnsi="Arial" w:cs="Arial"/>
          <w:sz w:val="24"/>
          <w:szCs w:val="24"/>
        </w:rPr>
        <w:t>BL</w:t>
      </w:r>
      <w:r w:rsidR="00A22129" w:rsidRPr="000B0EBA">
        <w:rPr>
          <w:rFonts w:ascii="Arial" w:hAnsi="Arial" w:cs="Arial"/>
          <w:sz w:val="24"/>
          <w:szCs w:val="24"/>
        </w:rPr>
        <w:t xml:space="preserve"> formulated by John Elkington in 1994, seeks to address this challenge by encouraging organisations to extend accountability beyond financial performance to include social and environmental impacts</w:t>
      </w:r>
      <w:r w:rsidR="0043558A">
        <w:rPr>
          <w:rFonts w:ascii="Arial" w:hAnsi="Arial" w:cs="Arial"/>
          <w:sz w:val="24"/>
          <w:szCs w:val="24"/>
        </w:rPr>
        <w:t xml:space="preserve"> </w:t>
      </w:r>
      <w:r w:rsidR="0043558A">
        <w:rPr>
          <w:rFonts w:ascii="Arial" w:hAnsi="Arial" w:cs="Arial"/>
          <w:sz w:val="24"/>
          <w:szCs w:val="24"/>
        </w:rPr>
        <w:fldChar w:fldCharType="begin"/>
      </w:r>
      <w:r w:rsidR="0043558A">
        <w:rPr>
          <w:rFonts w:ascii="Arial" w:hAnsi="Arial" w:cs="Arial"/>
          <w:sz w:val="24"/>
          <w:szCs w:val="24"/>
        </w:rPr>
        <w:instrText xml:space="preserve"> ADDIN ZOTERO_ITEM CSL_CITATION {"citationID":"dbLJOPEx","properties":{"formattedCitation":"(Abdulmaksoud, Alzaatreh and Beheiry, 2025)","plainCitation":"(Abdulmaksoud, Alzaatreh and Beheiry, 2025)","noteIndex":0},"citationItems":[{"id":116,"uris":["http://zotero.org/users/local/bh3OqUSh/items/LBLEBUTG"],"itemData":{"id":116,"type":"article-journal","abstract":"In 1994, John Elkington proposed the Triple Bottom Line (TBL) concept to assess and measure sustainability based on ecological quality, economic prosperity, and social equity. On a broad level, there is a solid understanding of the term sustainability and its TBL, however, when adopted in the construction sector, different stakeholders have different perceptions about the TBL of sustainability. None of the reviewed papers have considered analyzing the TBL of sustainability and how it impacts the stakeholders’ perception of sustainability and their willingness to adopt sustainable construction measures in the UAE. Therefore, the aim of this research is to examine the relationship between the TBL of sustainability and subsequently evaluate stakeholders’ perceptions of sustainability’s environmental, economic, and social pillars within the UAE construction industry and assess their willingness to adopt sustainable practices. The literature was synthesized to design a survey, which was validated by the nominal group technique and gathered responses from 129 stakeholders in the construction sector, effectively capturing their perceptions of the TBL of sustainability. The responses were used to develop a theoretical model analyzed using Confirmatory Factor Analysis and Structural Equation Modeling. The findings revealed that stakeholders working in the UAE construction industry recognize the economic and social merits linked to environmental protection. Moreover, the favorable outcomes linked to the economic and social pillars positively influence stakeholders’ perceptions and willingness to adopt sustainable practices in the construction industry.","container-title":"Social Sciences &amp; Humanities Open","DOI":"10.1016/j.ssaho.2025.101276","ISSN":"25902911","journalAbbreviation":"Social Sciences &amp; Humanities Open","language":"en","page":"101276","source":"DOI.org (Crossref)","title":"Exploring stakeholders' perceptions of the Triple Bottom Line in the UAE construction sector: A structural equation modeling approach","title-short":"Exploring stakeholders' perceptions of the Triple Bottom Line in the UAE construction sector","volume":"11","author":[{"family":"Abdulmaksoud","given":"Sara"},{"family":"Alzaatreh","given":"Ayman"},{"family":"Beheiry","given":"Salwa"}],"issued":{"date-parts":[["2025"]]}}}],"schema":"https://github.com/citation-style-language/schema/raw/master/csl-citation.json"} </w:instrText>
      </w:r>
      <w:r w:rsidR="0043558A">
        <w:rPr>
          <w:rFonts w:ascii="Arial" w:hAnsi="Arial" w:cs="Arial"/>
          <w:sz w:val="24"/>
          <w:szCs w:val="24"/>
        </w:rPr>
        <w:fldChar w:fldCharType="separate"/>
      </w:r>
      <w:r w:rsidR="0043558A" w:rsidRPr="0043558A">
        <w:rPr>
          <w:rFonts w:ascii="Arial" w:hAnsi="Arial" w:cs="Arial"/>
          <w:sz w:val="24"/>
        </w:rPr>
        <w:t>(Abdulmaksoud, Alzaatreh and Beheiry, 2025)</w:t>
      </w:r>
      <w:r w:rsidR="0043558A">
        <w:rPr>
          <w:rFonts w:ascii="Arial" w:hAnsi="Arial" w:cs="Arial"/>
          <w:sz w:val="24"/>
          <w:szCs w:val="24"/>
        </w:rPr>
        <w:fldChar w:fldCharType="end"/>
      </w:r>
      <w:r w:rsidR="0043558A">
        <w:rPr>
          <w:rFonts w:ascii="Arial" w:hAnsi="Arial" w:cs="Arial"/>
          <w:sz w:val="24"/>
          <w:szCs w:val="24"/>
        </w:rPr>
        <w:t>.</w:t>
      </w:r>
      <w:r w:rsidR="00A22129" w:rsidRPr="000B0EBA">
        <w:rPr>
          <w:rFonts w:ascii="Arial" w:hAnsi="Arial" w:cs="Arial"/>
          <w:sz w:val="24"/>
          <w:szCs w:val="24"/>
        </w:rPr>
        <w:t xml:space="preserve"> In healthcare, this approach is especially relevant given the sector’s dual responsibility to deliver care while also safeguarding the environmental and social conditions that determine population health.</w:t>
      </w:r>
      <w:r w:rsidR="0043558A">
        <w:rPr>
          <w:rFonts w:ascii="Arial" w:hAnsi="Arial" w:cs="Arial"/>
          <w:sz w:val="24"/>
          <w:szCs w:val="24"/>
        </w:rPr>
        <w:t xml:space="preserve"> </w:t>
      </w:r>
      <w:r w:rsidR="00A22129" w:rsidRPr="000B0EBA">
        <w:rPr>
          <w:rFonts w:ascii="Arial" w:hAnsi="Arial" w:cs="Arial"/>
          <w:sz w:val="24"/>
          <w:szCs w:val="24"/>
        </w:rPr>
        <w:t xml:space="preserve">However, while the TBL promotes a more holistic understanding of sustainability, its application within healthcare remains uneven and often superficial. </w:t>
      </w:r>
      <w:r w:rsidR="00B45783">
        <w:rPr>
          <w:rFonts w:ascii="Arial" w:hAnsi="Arial" w:cs="Arial"/>
          <w:sz w:val="24"/>
          <w:szCs w:val="24"/>
        </w:rPr>
        <w:t>John Elkington</w:t>
      </w:r>
      <w:r w:rsidR="00A22129" w:rsidRPr="000B0EBA">
        <w:rPr>
          <w:rFonts w:ascii="Arial" w:hAnsi="Arial" w:cs="Arial"/>
          <w:sz w:val="24"/>
          <w:szCs w:val="24"/>
        </w:rPr>
        <w:t xml:space="preserve"> argue that organisations may adopt TBL reporting as a symbolic exercise, prioritising reputational benefits over meaningful structural change. As a result, environmental degradation, workforce burnout, and social inequalities may persist, effectively deferring responsibility rather than confronting it </w:t>
      </w:r>
      <w:bookmarkStart w:id="4" w:name="_Hlk218684109"/>
      <w:r w:rsidR="00A22129" w:rsidRPr="000B0EBA">
        <w:rPr>
          <w:rFonts w:ascii="Arial" w:hAnsi="Arial" w:cs="Arial"/>
          <w:sz w:val="24"/>
          <w:szCs w:val="24"/>
        </w:rPr>
        <w:lastRenderedPageBreak/>
        <w:fldChar w:fldCharType="begin"/>
      </w:r>
      <w:r w:rsidR="00903396">
        <w:rPr>
          <w:rFonts w:ascii="Arial" w:hAnsi="Arial" w:cs="Arial"/>
          <w:sz w:val="24"/>
          <w:szCs w:val="24"/>
        </w:rPr>
        <w:instrText xml:space="preserve"> ADDIN ZOTERO_ITEM CSL_CITATION {"citationID":"uQymZUcb","properties":{"formattedCitation":"(Vergunst {\\i{}et al.}, 2020)","plainCitation":"(Vergunst et al., 2020)","noteIndex":0},"citationItems":[{"id":50,"uris":["http://zotero.org/users/local/bh3OqUSh/items/U58CQ38E"],"itemData":{"id":50,"type":"article-journal","abstract":"Objective: The triple bottom line (TBL) of sustainability is an important emerging conceptual framework which considers the combined economic, environmental and social impacts of an activity. Despite its clear relevance to the healthcare context, it has not yet been applied to the evaluation of a healthcare intervention. The aim of this study was to demonstrate whether doing so is feasible and useful. Design: Secondary data analysis of a 12-month randomized controlled trial. Setting: Community based mental health care. Participants: Patients with chronic psychotic illnesses (n = 333). Intervention(s): Community treatment orders. Main Outcome Measure(s): Financial and environmental (CO2 equivalent) costs of care, obtained from healthcare service use data, were calculated using publicly available standard costs; social sustainability was assessed using standardized social outcome measures included in the trial data.\nResults: Standardized costing and CO2e emissions ﬁgures were successfully obtained from publicly available data, and social outcomes were available directly from the trial data.\nConclusions: This study demonstrates that TBL assessment can be retrospectively calculated for a healthcare intervention to provide a more complete assessment of the true costs of an intervention. A basic methodology was advanced to demonstrate the feasibility of the approach, although considerable further conceptual and methodological work is needed to develop a generalizable methodology that enables prospective inclusion of a TBL assessment in healthcare evaluations. If achieved, this would represent a signiﬁcant milestone in the development of more sustainable healthcare services. If increasing the sustainability of healthcare is a priority, then the TBL approach may be a promising way forward.","container-title":"International Journal for Quality in Health Care","DOI":"10.1093/intqhc/mzz049","ISSN":"1353-4505, 1464-3677","issue":"1","language":"en","license":"https://academic.oup.com/journals/pages/open_access/funder_policies/chorus/standard_publication_model","page":"48-53","source":"DOI.org (Crossref)","title":"Applying the triple bottom line of sustainability to healthcare research—a feasibility study","volume":"32","author":[{"family":"Vergunst","given":"Francis"},{"family":"Berry","given":"Helen L"},{"family":"Rugkåsa","given":"Jorun"},{"family":"Burns","given":"Tom"},{"family":"Molodynski","given":"Andrew"},{"family":"Maughan","given":"Daniel L"}],"issued":{"date-parts":[["2020",4,21]]}}}],"schema":"https://github.com/citation-style-language/schema/raw/master/csl-citation.json"} </w:instrText>
      </w:r>
      <w:r w:rsidR="00A22129" w:rsidRPr="000B0EBA">
        <w:rPr>
          <w:rFonts w:ascii="Arial" w:hAnsi="Arial" w:cs="Arial"/>
          <w:sz w:val="24"/>
          <w:szCs w:val="24"/>
        </w:rPr>
        <w:fldChar w:fldCharType="separate"/>
      </w:r>
      <w:r w:rsidR="00903396" w:rsidRPr="00584E95">
        <w:rPr>
          <w:rFonts w:ascii="Arial" w:hAnsi="Arial" w:cs="Arial"/>
          <w:sz w:val="24"/>
        </w:rPr>
        <w:t xml:space="preserve">(Vergunst et al., </w:t>
      </w:r>
      <w:r w:rsidR="00903396" w:rsidRPr="00903396">
        <w:rPr>
          <w:rFonts w:ascii="Arial" w:hAnsi="Arial" w:cs="Arial"/>
          <w:sz w:val="24"/>
        </w:rPr>
        <w:t>2020)</w:t>
      </w:r>
      <w:r w:rsidR="00A22129" w:rsidRPr="000B0EBA">
        <w:rPr>
          <w:rFonts w:ascii="Arial" w:hAnsi="Arial" w:cs="Arial"/>
          <w:sz w:val="24"/>
          <w:szCs w:val="24"/>
        </w:rPr>
        <w:fldChar w:fldCharType="end"/>
      </w:r>
      <w:r w:rsidR="00A22129" w:rsidRPr="000B0EBA">
        <w:rPr>
          <w:rFonts w:ascii="Arial" w:hAnsi="Arial" w:cs="Arial"/>
          <w:sz w:val="24"/>
          <w:szCs w:val="24"/>
        </w:rPr>
        <w:t xml:space="preserve">. </w:t>
      </w:r>
      <w:bookmarkEnd w:id="4"/>
      <w:r w:rsidR="00A22129" w:rsidRPr="000B0EBA">
        <w:rPr>
          <w:rFonts w:ascii="Arial" w:hAnsi="Arial" w:cs="Arial"/>
          <w:sz w:val="24"/>
          <w:szCs w:val="24"/>
        </w:rPr>
        <w:t>This reinforces Lincoln’s assertion that failing to address sustainability challenges today risks amplifying future health, financial, and ethical burdens, calling into question whether the TBL alone is sufficient to drive genuine accountability in high impact sectors such as healthcare</w:t>
      </w:r>
      <w:r w:rsidR="00126510">
        <w:rPr>
          <w:rFonts w:ascii="Arial" w:hAnsi="Arial" w:cs="Arial"/>
          <w:sz w:val="24"/>
          <w:szCs w:val="24"/>
        </w:rPr>
        <w:t xml:space="preserve"> </w:t>
      </w:r>
      <w:r w:rsidR="00EB0619">
        <w:rPr>
          <w:rFonts w:ascii="Arial" w:hAnsi="Arial" w:cs="Arial"/>
          <w:sz w:val="24"/>
          <w:szCs w:val="24"/>
        </w:rPr>
        <w:t xml:space="preserve">according to </w:t>
      </w:r>
      <w:r w:rsidR="00EB0619" w:rsidRPr="000B0EBA">
        <w:rPr>
          <w:rFonts w:ascii="Arial" w:hAnsi="Arial" w:cs="Arial"/>
          <w:sz w:val="24"/>
          <w:szCs w:val="24"/>
        </w:rPr>
        <w:fldChar w:fldCharType="begin"/>
      </w:r>
      <w:r w:rsidR="00411BF5">
        <w:rPr>
          <w:rFonts w:ascii="Arial" w:hAnsi="Arial" w:cs="Arial"/>
          <w:sz w:val="24"/>
          <w:szCs w:val="24"/>
        </w:rPr>
        <w:instrText xml:space="preserve"> ADDIN ZOTERO_ITEM CSL_CITATION {"citationID":"Pofm5pTr","properties":{"formattedCitation":"(Vergunst {\\i{}et al.}, 2020)","plainCitation":"(Vergunst et al., 2020)","dontUpdate":true,"noteIndex":0},"citationItems":[{"id":50,"uris":["http://zotero.org/users/local/bh3OqUSh/items/U58CQ38E"],"itemData":{"id":50,"type":"article-journal","abstract":"Objective: The triple bottom line (TBL) of sustainability is an important emerging conceptual framework which considers the combined economic, environmental and social impacts of an activity. Despite its clear relevance to the healthcare context, it has not yet been applied to the evaluation of a healthcare intervention. The aim of this study was to demonstrate whether doing so is feasible and useful. Design: Secondary data analysis of a 12-month randomized controlled trial. Setting: Community based mental health care. Participants: Patients with chronic psychotic illnesses (n = 333). Intervention(s): Community treatment orders. Main Outcome Measure(s): Financial and environmental (CO2 equivalent) costs of care, obtained from healthcare service use data, were calculated using publicly available standard costs; social sustainability was assessed using standardized social outcome measures included in the trial data.\nResults: Standardized costing and CO2e emissions ﬁgures were successfully obtained from publicly available data, and social outcomes were available directly from the trial data.\nConclusions: This study demonstrates that TBL assessment can be retrospectively calculated for a healthcare intervention to provide a more complete assessment of the true costs of an intervention. A basic methodology was advanced to demonstrate the feasibility of the approach, although considerable further conceptual and methodological work is needed to develop a generalizable methodology that enables prospective inclusion of a TBL assessment in healthcare evaluations. If achieved, this would represent a signiﬁcant milestone in the development of more sustainable healthcare services. If increasing the sustainability of healthcare is a priority, then the TBL approach may be a promising way forward.","container-title":"International Journal for Quality in Health Care","DOI":"10.1093/intqhc/mzz049","ISSN":"1353-4505, 1464-3677","issue":"1","language":"en","license":"https://academic.oup.com/journals/pages/open_access/funder_policies/chorus/standard_publication_model","page":"48-53","source":"DOI.org (Crossref)","title":"Applying the triple bottom line of sustainability to healthcare research—a feasibility study","volume":"32","author":[{"family":"Vergunst","given":"Francis"},{"family":"Berry","given":"Helen L"},{"family":"Rugkåsa","given":"Jorun"},{"family":"Burns","given":"Tom"},{"family":"Molodynski","given":"Andrew"},{"family":"Maughan","given":"Daniel L"}],"issued":{"date-parts":[["2020",4,21]]}}}],"schema":"https://github.com/citation-style-language/schema/raw/master/csl-citation.json"} </w:instrText>
      </w:r>
      <w:r w:rsidR="00EB0619" w:rsidRPr="000B0EBA">
        <w:rPr>
          <w:rFonts w:ascii="Arial" w:hAnsi="Arial" w:cs="Arial"/>
          <w:sz w:val="24"/>
          <w:szCs w:val="24"/>
        </w:rPr>
        <w:fldChar w:fldCharType="separate"/>
      </w:r>
      <w:r w:rsidR="00EB0619" w:rsidRPr="00584E95">
        <w:rPr>
          <w:rFonts w:ascii="Arial" w:hAnsi="Arial" w:cs="Arial"/>
          <w:sz w:val="24"/>
        </w:rPr>
        <w:t>Vergunst et al</w:t>
      </w:r>
      <w:r w:rsidR="00EB0619">
        <w:rPr>
          <w:rFonts w:ascii="Arial" w:hAnsi="Arial" w:cs="Arial"/>
          <w:sz w:val="24"/>
        </w:rPr>
        <w:t xml:space="preserve"> (</w:t>
      </w:r>
      <w:r w:rsidR="00EB0619" w:rsidRPr="00903396">
        <w:rPr>
          <w:rFonts w:ascii="Arial" w:hAnsi="Arial" w:cs="Arial"/>
          <w:sz w:val="24"/>
        </w:rPr>
        <w:t>2020)</w:t>
      </w:r>
      <w:r w:rsidR="00EB0619" w:rsidRPr="000B0EBA">
        <w:rPr>
          <w:rFonts w:ascii="Arial" w:hAnsi="Arial" w:cs="Arial"/>
          <w:sz w:val="24"/>
          <w:szCs w:val="24"/>
        </w:rPr>
        <w:fldChar w:fldCharType="end"/>
      </w:r>
      <w:r w:rsidR="00EB0619" w:rsidRPr="000B0EBA">
        <w:rPr>
          <w:rFonts w:ascii="Arial" w:hAnsi="Arial" w:cs="Arial"/>
          <w:sz w:val="24"/>
          <w:szCs w:val="24"/>
        </w:rPr>
        <w:t>.</w:t>
      </w:r>
    </w:p>
    <w:p w14:paraId="3C35CD3C" w14:textId="6ED79A8E" w:rsidR="00C1432C" w:rsidRPr="00B30E24" w:rsidRDefault="00794693" w:rsidP="00B30E24">
      <w:pPr>
        <w:pStyle w:val="Heading2"/>
        <w:spacing w:line="360" w:lineRule="auto"/>
        <w:jc w:val="both"/>
        <w:rPr>
          <w:rFonts w:ascii="Arial" w:hAnsi="Arial" w:cs="Arial"/>
          <w:color w:val="auto"/>
          <w:sz w:val="24"/>
          <w:szCs w:val="24"/>
        </w:rPr>
      </w:pPr>
      <w:bookmarkStart w:id="5" w:name="_Toc218004605"/>
      <w:r w:rsidRPr="00C1432C">
        <w:rPr>
          <w:rFonts w:ascii="Arial" w:hAnsi="Arial" w:cs="Arial"/>
          <w:color w:val="auto"/>
          <w:sz w:val="24"/>
          <w:szCs w:val="24"/>
        </w:rPr>
        <w:t>Organisation responsibility</w:t>
      </w:r>
      <w:bookmarkEnd w:id="5"/>
      <w:r w:rsidRPr="00C1432C">
        <w:rPr>
          <w:rFonts w:ascii="Arial" w:hAnsi="Arial" w:cs="Arial"/>
          <w:color w:val="auto"/>
          <w:sz w:val="24"/>
          <w:szCs w:val="24"/>
        </w:rPr>
        <w:t xml:space="preserve"> </w:t>
      </w:r>
    </w:p>
    <w:p w14:paraId="2D039918" w14:textId="4A8ADFE3" w:rsidR="009A10DB" w:rsidRPr="004F6A6D" w:rsidRDefault="00ED4ED0" w:rsidP="002F56B3">
      <w:pPr>
        <w:spacing w:line="360" w:lineRule="auto"/>
        <w:jc w:val="both"/>
        <w:rPr>
          <w:rFonts w:ascii="Arial" w:hAnsi="Arial" w:cs="Arial"/>
          <w:sz w:val="24"/>
          <w:szCs w:val="24"/>
        </w:rPr>
      </w:pPr>
      <w:r w:rsidRPr="000B0EBA">
        <w:rPr>
          <w:rFonts w:ascii="Arial" w:hAnsi="Arial" w:cs="Arial"/>
          <w:sz w:val="24"/>
          <w:szCs w:val="24"/>
        </w:rPr>
        <w:t>Businesses occupy a central role in the sustainability debate, as they hold both the capacity and the obligation to drive</w:t>
      </w:r>
      <w:r w:rsidR="005D61F4" w:rsidRPr="000B0EBA">
        <w:rPr>
          <w:rFonts w:ascii="Arial" w:hAnsi="Arial" w:cs="Arial"/>
          <w:sz w:val="24"/>
          <w:szCs w:val="24"/>
        </w:rPr>
        <w:t xml:space="preserve"> meaningful change through their operations, supply chains, and corporate </w:t>
      </w:r>
      <w:r w:rsidR="005D61F4" w:rsidRPr="00B45783">
        <w:rPr>
          <w:rFonts w:ascii="Arial" w:hAnsi="Arial" w:cs="Arial"/>
          <w:sz w:val="24"/>
          <w:szCs w:val="24"/>
        </w:rPr>
        <w:t>cultures</w:t>
      </w:r>
      <w:r w:rsidR="00B45783" w:rsidRPr="00B45783">
        <w:rPr>
          <w:rFonts w:ascii="Arial" w:hAnsi="Arial" w:cs="Arial"/>
          <w:sz w:val="24"/>
          <w:szCs w:val="24"/>
        </w:rPr>
        <w:t xml:space="preserve"> </w:t>
      </w:r>
      <w:r w:rsidR="000A73DB">
        <w:rPr>
          <w:rFonts w:ascii="Arial" w:hAnsi="Arial" w:cs="Arial"/>
          <w:sz w:val="24"/>
          <w:szCs w:val="24"/>
        </w:rPr>
        <w:fldChar w:fldCharType="begin"/>
      </w:r>
      <w:r w:rsidR="000A73DB">
        <w:rPr>
          <w:rFonts w:ascii="Arial" w:hAnsi="Arial" w:cs="Arial"/>
          <w:sz w:val="24"/>
          <w:szCs w:val="24"/>
        </w:rPr>
        <w:instrText xml:space="preserve"> ADDIN ZOTERO_ITEM CSL_CITATION {"citationID":"srMK2F1v","properties":{"formattedCitation":"(Chell {\\i{}et al.}, 2016)","plainCitation":"(Chell et al., 2016)","noteIndex":0},"citationItems":[{"id":138,"uris":["http://zotero.org/users/local/bh3OqUSh/items/4TQFEPQN"],"itemData":{"id":138,"type":"article-journal","container-title":"Journal of Business Ethics","DOI":"10.1007/s10551-014-2439-6","ISSN":"0167-4544, 1573-0697","issue":"4","journalAbbreviation":"J Bus Ethics","language":"en","page":"619-625","source":"DOI.org (Crossref)","title":"Social Entrepreneurship and Business Ethics: Does Social Equal Ethical?","title-short":"Social Entrepreneurship and Business Ethics","volume":"133","author":[{"family":"Chell","given":"Elizabeth"},{"family":"Spence","given":"Laura J."},{"family":"Perrini","given":"Francesco"},{"family":"Harris","given":"Jared D."}],"issued":{"date-parts":[["2016",2]]}}}],"schema":"https://github.com/citation-style-language/schema/raw/master/csl-citation.json"} </w:instrText>
      </w:r>
      <w:r w:rsidR="000A73DB">
        <w:rPr>
          <w:rFonts w:ascii="Arial" w:hAnsi="Arial" w:cs="Arial"/>
          <w:sz w:val="24"/>
          <w:szCs w:val="24"/>
        </w:rPr>
        <w:fldChar w:fldCharType="separate"/>
      </w:r>
      <w:r w:rsidR="000A73DB" w:rsidRPr="000A73DB">
        <w:rPr>
          <w:rFonts w:ascii="Arial" w:hAnsi="Arial" w:cs="Arial"/>
          <w:sz w:val="24"/>
        </w:rPr>
        <w:t>(Chell et al., 2016)</w:t>
      </w:r>
      <w:r w:rsidR="000A73DB">
        <w:rPr>
          <w:rFonts w:ascii="Arial" w:hAnsi="Arial" w:cs="Arial"/>
          <w:sz w:val="24"/>
          <w:szCs w:val="24"/>
        </w:rPr>
        <w:fldChar w:fldCharType="end"/>
      </w:r>
      <w:r w:rsidR="00B45783" w:rsidRPr="00B45783">
        <w:rPr>
          <w:rFonts w:ascii="Arial" w:hAnsi="Arial" w:cs="Arial"/>
          <w:b/>
          <w:bCs/>
          <w:sz w:val="24"/>
          <w:szCs w:val="24"/>
        </w:rPr>
        <w:t>.</w:t>
      </w:r>
      <w:r w:rsidR="005D61F4" w:rsidRPr="000B0EBA">
        <w:rPr>
          <w:rFonts w:ascii="Arial" w:hAnsi="Arial" w:cs="Arial"/>
          <w:sz w:val="24"/>
          <w:szCs w:val="24"/>
        </w:rPr>
        <w:t xml:space="preserve"> In the context of Lincoln’s assertion that “you cannot escape the responsibility of tomorrow by evading it today” organisation</w:t>
      </w:r>
      <w:r w:rsidR="00630E93" w:rsidRPr="000B0EBA">
        <w:rPr>
          <w:rFonts w:ascii="Arial" w:hAnsi="Arial" w:cs="Arial"/>
          <w:sz w:val="24"/>
          <w:szCs w:val="24"/>
        </w:rPr>
        <w:t xml:space="preserve">s must recognise that ethical and sustainable conduct is no longer optional but essential to their </w:t>
      </w:r>
      <w:r w:rsidR="007A4520" w:rsidRPr="000B0EBA">
        <w:rPr>
          <w:rFonts w:ascii="Arial" w:hAnsi="Arial" w:cs="Arial"/>
          <w:sz w:val="24"/>
          <w:szCs w:val="24"/>
        </w:rPr>
        <w:t>long-term</w:t>
      </w:r>
      <w:r w:rsidR="00630E93" w:rsidRPr="000B0EBA">
        <w:rPr>
          <w:rFonts w:ascii="Arial" w:hAnsi="Arial" w:cs="Arial"/>
          <w:sz w:val="24"/>
          <w:szCs w:val="24"/>
        </w:rPr>
        <w:t xml:space="preserve"> survival and legitimacy</w:t>
      </w:r>
      <w:r w:rsidR="00B45783">
        <w:rPr>
          <w:rFonts w:ascii="Arial" w:hAnsi="Arial" w:cs="Arial"/>
          <w:sz w:val="24"/>
          <w:szCs w:val="24"/>
        </w:rPr>
        <w:t xml:space="preserve"> </w:t>
      </w:r>
      <w:r w:rsidR="00B45783" w:rsidRPr="009D0699">
        <w:rPr>
          <w:rFonts w:ascii="Arial" w:hAnsi="Arial" w:cs="Arial"/>
          <w:sz w:val="24"/>
          <w:szCs w:val="24"/>
        </w:rPr>
        <w:fldChar w:fldCharType="begin"/>
      </w:r>
      <w:r w:rsidR="00903396">
        <w:rPr>
          <w:rFonts w:ascii="Arial" w:hAnsi="Arial" w:cs="Arial"/>
          <w:sz w:val="24"/>
          <w:szCs w:val="24"/>
        </w:rPr>
        <w:instrText xml:space="preserve"> ADDIN ZOTERO_ITEM CSL_CITATION {"citationID":"McdQRMpk","properties":{"formattedCitation":"(Asif {\\i{}et al.}, 2013)","plainCitation":"(Asif et al., 2013)","noteIndex":0},"citationItems":[{"id":64,"uris":["http://zotero.org/users/local/bh3OqUSh/items/DDNPMGNU"],"itemData":{"id":64,"type":"article-journal","abstract":"A great deal of research has emphasized the strategic management of corporate social responsibility (CSR). However, gaps remain on how CSR can be effectively integrated with existing business processes. One key question remaining is how to design business processes so that they accommodate stakeholder requirements in an integrated manner. The purpose of this paper is to present a framework that can be used to integrate CSR into business processes. The framework highlights the concept of simultaneous ‘top-down integration’ and ‘bottom-up community-related indicators development’ approaches to CSR. These two approaches are elaborated with the help of two cases. The top-down approach focuses on building CSR into existing business initiatives through an integrated management systems (IMS) approach. This paper concludes that an IMS approach provides the infrastructure for the integration of CSR. The bottom-up approach focuses on the development of indicators linked to community initiatives. Examples of best practice for both the top-down and bottom-up approaches are provided in two case studies.","collection-title":"Sustainability management beyond corporate boundaries","container-title":"Journal of Cleaner Production","DOI":"10.1016/j.jclepro.2011.10.034","ISSN":"0959-6526","journalAbbreviation":"Journal of Cleaner Production","page":"7-17","source":"ScienceDirect","title":"An integrated management systems approach to corporate social responsibility","volume":"56","author":[{"family":"Asif","given":"Muhammad"},{"family":"Searcy","given":"Cory"},{"family":"Zutshi","given":"Ambika"},{"family":"Fisscher","given":"Olaf A. M."}],"issued":{"date-parts":[["2013",10,1]]}}}],"schema":"https://github.com/citation-style-language/schema/raw/master/csl-citation.json"} </w:instrText>
      </w:r>
      <w:r w:rsidR="00B45783" w:rsidRPr="009D0699">
        <w:rPr>
          <w:rFonts w:ascii="Arial" w:hAnsi="Arial" w:cs="Arial"/>
          <w:sz w:val="24"/>
          <w:szCs w:val="24"/>
        </w:rPr>
        <w:fldChar w:fldCharType="separate"/>
      </w:r>
      <w:r w:rsidR="00903396" w:rsidRPr="00903396">
        <w:rPr>
          <w:rFonts w:ascii="Arial" w:hAnsi="Arial" w:cs="Arial"/>
          <w:sz w:val="24"/>
        </w:rPr>
        <w:t>(Asif</w:t>
      </w:r>
      <w:r w:rsidR="00903396" w:rsidRPr="003E7315">
        <w:rPr>
          <w:rFonts w:ascii="Arial" w:hAnsi="Arial" w:cs="Arial"/>
          <w:sz w:val="24"/>
        </w:rPr>
        <w:t xml:space="preserve"> et al.,</w:t>
      </w:r>
      <w:r w:rsidR="00903396" w:rsidRPr="00903396">
        <w:rPr>
          <w:rFonts w:ascii="Arial" w:hAnsi="Arial" w:cs="Arial"/>
          <w:sz w:val="24"/>
        </w:rPr>
        <w:t xml:space="preserve"> 2013)</w:t>
      </w:r>
      <w:r w:rsidR="00B45783" w:rsidRPr="009D0699">
        <w:rPr>
          <w:rFonts w:ascii="Arial" w:hAnsi="Arial" w:cs="Arial"/>
          <w:sz w:val="24"/>
          <w:szCs w:val="24"/>
        </w:rPr>
        <w:fldChar w:fldCharType="end"/>
      </w:r>
      <w:r w:rsidR="00630E93" w:rsidRPr="000B0EBA">
        <w:rPr>
          <w:rFonts w:ascii="Arial" w:hAnsi="Arial" w:cs="Arial"/>
          <w:sz w:val="24"/>
          <w:szCs w:val="24"/>
        </w:rPr>
        <w:t xml:space="preserve">. </w:t>
      </w:r>
      <w:r w:rsidR="007A4520" w:rsidRPr="000B0EBA">
        <w:rPr>
          <w:rFonts w:ascii="Arial" w:hAnsi="Arial" w:cs="Arial"/>
          <w:sz w:val="24"/>
          <w:szCs w:val="24"/>
        </w:rPr>
        <w:t>Organisations must first build the capability to manage competing demands effectively, often described as organisational ambidexterity, by balancing environmental and social objectives alongside digital transformation before prioritising profitability</w:t>
      </w:r>
      <w:r w:rsidR="004F6A6D">
        <w:rPr>
          <w:rFonts w:ascii="Arial" w:hAnsi="Arial" w:cs="Arial"/>
          <w:sz w:val="24"/>
          <w:szCs w:val="24"/>
        </w:rPr>
        <w:t xml:space="preserve"> </w:t>
      </w:r>
      <w:r w:rsidR="00A32F18" w:rsidRPr="000A73DB">
        <w:rPr>
          <w:rFonts w:ascii="Arial" w:hAnsi="Arial" w:cs="Arial"/>
          <w:sz w:val="24"/>
          <w:szCs w:val="24"/>
        </w:rPr>
        <w:fldChar w:fldCharType="begin"/>
      </w:r>
      <w:r w:rsidR="00A32F18" w:rsidRPr="000A73DB">
        <w:rPr>
          <w:rFonts w:ascii="Arial" w:hAnsi="Arial" w:cs="Arial"/>
          <w:sz w:val="24"/>
          <w:szCs w:val="24"/>
        </w:rPr>
        <w:instrText xml:space="preserve"> ADDIN ZOTERO_ITEM CSL_CITATION {"citationID":"YkoRmwyr","properties":{"formattedCitation":"(Seelent {\\i{}et al.}, 2025)","plainCitation":"(Seelent et al., 2025)","noteIndex":0},"citationItems":[{"id":137,"uris":["http://zotero.org/users/local/bh3OqUSh/items/QBX3DSFE"],"itemData":{"id":137,"type":"article-journal","container-title":"International Journal of Production Economics","DOI":"10.1016/j.ijpe.2025.109706","ISSN":"09255273","journalAbbreviation":"International Journal of Production Economics","language":"en","page":"109706","source":"DOI.org (Crossref)","title":"Managing paradoxical tensions between Corporate Social Responsibility and Automation: How organizations reach sustainability and digital transformation","title-short":"Managing paradoxical tensions between Corporate Social Responsibility and Automation","volume":"288","author":[{"family":"Seelent","given":"João Felipe Capioto"},{"family":"Lermen","given":"Fernando Henrique"},{"family":"Franco","given":"Cíntia Wilke"},{"family":"Benitez","given":"Guilherme Brittes"}],"issued":{"date-parts":[["2025",10]]}}}],"schema":"https://github.com/citation-style-language/schema/raw/master/csl-citation.json"} </w:instrText>
      </w:r>
      <w:r w:rsidR="00A32F18" w:rsidRPr="000A73DB">
        <w:rPr>
          <w:rFonts w:ascii="Arial" w:hAnsi="Arial" w:cs="Arial"/>
          <w:sz w:val="24"/>
          <w:szCs w:val="24"/>
        </w:rPr>
        <w:fldChar w:fldCharType="separate"/>
      </w:r>
      <w:r w:rsidR="00A32F18" w:rsidRPr="000A73DB">
        <w:rPr>
          <w:rFonts w:ascii="Arial" w:hAnsi="Arial" w:cs="Arial"/>
          <w:sz w:val="24"/>
        </w:rPr>
        <w:t>(Seelent et al., 2025)</w:t>
      </w:r>
      <w:r w:rsidR="00A32F18" w:rsidRPr="000A73DB">
        <w:rPr>
          <w:rFonts w:ascii="Arial" w:hAnsi="Arial" w:cs="Arial"/>
          <w:sz w:val="24"/>
          <w:szCs w:val="24"/>
        </w:rPr>
        <w:fldChar w:fldCharType="end"/>
      </w:r>
      <w:r w:rsidR="004F6A6D" w:rsidRPr="000A73DB">
        <w:rPr>
          <w:rFonts w:ascii="Arial" w:hAnsi="Arial" w:cs="Arial"/>
          <w:sz w:val="24"/>
          <w:szCs w:val="24"/>
        </w:rPr>
        <w:t>.</w:t>
      </w:r>
      <w:r w:rsidR="007A4520" w:rsidRPr="000B0EBA">
        <w:rPr>
          <w:rFonts w:ascii="Arial" w:hAnsi="Arial" w:cs="Arial"/>
          <w:sz w:val="24"/>
          <w:szCs w:val="24"/>
        </w:rPr>
        <w:t xml:space="preserve"> Drawing on insights from the paradox literature, scholars</w:t>
      </w:r>
      <w:r w:rsidR="00AE6270">
        <w:rPr>
          <w:rFonts w:ascii="Arial" w:hAnsi="Arial" w:cs="Arial"/>
          <w:sz w:val="24"/>
          <w:szCs w:val="24"/>
        </w:rPr>
        <w:t xml:space="preserve"> </w:t>
      </w:r>
      <w:r w:rsidR="00F973B6">
        <w:rPr>
          <w:rFonts w:ascii="Arial" w:hAnsi="Arial" w:cs="Arial"/>
          <w:sz w:val="24"/>
          <w:szCs w:val="24"/>
        </w:rPr>
        <w:fldChar w:fldCharType="begin"/>
      </w:r>
      <w:r w:rsidR="00F973B6">
        <w:rPr>
          <w:rFonts w:ascii="Arial" w:hAnsi="Arial" w:cs="Arial"/>
          <w:sz w:val="24"/>
          <w:szCs w:val="24"/>
        </w:rPr>
        <w:instrText xml:space="preserve"> ADDIN ZOTERO_ITEM CSL_CITATION {"citationID":"a2UuZjPk","properties":{"formattedCitation":"(Smith and Lewis, 2011)","plainCitation":"(Smith and Lewis, 2011)","noteIndex":0},"citationItems":[{"id":69,"uris":["http://zotero.org/users/local/bh3OqUSh/items/BI9HSXQ3"],"itemData":{"id":69,"type":"article-journal","abstract":"As organizational environments become more global, dynamic, and competitive, contradictory demands intensify. To understand and explain such tensions, academics and practitioners are increasingly adopting a paradox lens. We review the paradox literature, categorizing types and highlighting fundamental debates. We then present a dynamic equilibrium model of organizing, which depicts how cyclical responses to paradoxical tensions enable sustainability—peak performance in the present that enables success in the future. This review and the model provide the foundation of a theory of paradox.","container-title":"Academy of Management Review","DOI":"10.5465/amr.2009.0223","ISSN":"0363-7425","issue":"2","journalAbbreviation":"AMR","note":"publisher: Academy of Management","page":"381-403","source":"journals.aom.org (Atypon)","title":"Toward a Theory of Paradox: A Dynamic equilibrium Model of Organizing","title-short":"Toward a Theory of Paradox","volume":"36","author":[{"family":"Smith","given":"Wendy K."},{"family":"Lewis","given":"Marianne W."}],"issued":{"date-parts":[["2011",4]]}}}],"schema":"https://github.com/citation-style-language/schema/raw/master/csl-citation.json"} </w:instrText>
      </w:r>
      <w:r w:rsidR="00F973B6">
        <w:rPr>
          <w:rFonts w:ascii="Arial" w:hAnsi="Arial" w:cs="Arial"/>
          <w:sz w:val="24"/>
          <w:szCs w:val="24"/>
        </w:rPr>
        <w:fldChar w:fldCharType="separate"/>
      </w:r>
      <w:r w:rsidR="004152F4" w:rsidRPr="004152F4">
        <w:rPr>
          <w:rFonts w:ascii="Arial" w:hAnsi="Arial" w:cs="Arial"/>
          <w:sz w:val="24"/>
        </w:rPr>
        <w:t>(Smith and Lewis, 2011)</w:t>
      </w:r>
      <w:r w:rsidR="00F973B6">
        <w:rPr>
          <w:rFonts w:ascii="Arial" w:hAnsi="Arial" w:cs="Arial"/>
          <w:sz w:val="24"/>
          <w:szCs w:val="24"/>
        </w:rPr>
        <w:fldChar w:fldCharType="end"/>
      </w:r>
      <w:r w:rsidR="00411BF5">
        <w:rPr>
          <w:rFonts w:ascii="Arial" w:hAnsi="Arial" w:cs="Arial"/>
          <w:sz w:val="24"/>
          <w:szCs w:val="24"/>
        </w:rPr>
        <w:t>,</w:t>
      </w:r>
      <w:r w:rsidR="00126510">
        <w:rPr>
          <w:rFonts w:ascii="Arial" w:hAnsi="Arial" w:cs="Arial"/>
          <w:sz w:val="24"/>
          <w:szCs w:val="24"/>
        </w:rPr>
        <w:t xml:space="preserve"> </w:t>
      </w:r>
      <w:r w:rsidR="00411BF5" w:rsidRPr="00411BF5">
        <w:rPr>
          <w:rFonts w:ascii="Arial" w:hAnsi="Arial" w:cs="Arial"/>
          <w:sz w:val="24"/>
          <w:szCs w:val="24"/>
        </w:rPr>
        <w:fldChar w:fldCharType="begin"/>
      </w:r>
      <w:r w:rsidR="004152F4">
        <w:rPr>
          <w:rFonts w:ascii="Arial" w:hAnsi="Arial" w:cs="Arial"/>
          <w:sz w:val="24"/>
          <w:szCs w:val="24"/>
        </w:rPr>
        <w:instrText xml:space="preserve"> ADDIN ZOTERO_ITEM CSL_CITATION {"citationID":"JZQjtddY","properties":{"formattedCitation":"(Schad {\\i{}et al.}, 2016)","plainCitation":"(Schad et al., 2016)","dontUpdate":true,"noteIndex":0},"citationItems":[{"id":120,"uris":["http://zotero.org/users/local/bh3OqUSh/items/XX6AMPFH"],"itemData":{"id":120,"type":"article-journal","container-title":"Academy of Management Annals","DOI":"10.5465/19416520.2016.1162422","ISSN":"1941-6520, 1941-6067","issue":"1","journalAbbreviation":"ANNALS","language":"en","page":"5-64","source":"DOI.org (Crossref)","title":"Paradox Research in Management Science: Looking Back to Move Forward","title-short":"Paradox Research in Management Science","volume":"10","author":[{"family":"Schad","given":"Jonathan"},{"family":"Lewis","given":"Marianne W."},{"family":"Raisch","given":"Sebastian"},{"family":"Smith","given":"Wendy K."}],"issued":{"date-parts":[["2016",1]]}}}],"schema":"https://github.com/citation-style-language/schema/raw/master/csl-citation.json"} </w:instrText>
      </w:r>
      <w:r w:rsidR="00411BF5" w:rsidRPr="00411BF5">
        <w:rPr>
          <w:rFonts w:ascii="Arial" w:hAnsi="Arial" w:cs="Arial"/>
          <w:sz w:val="24"/>
          <w:szCs w:val="24"/>
        </w:rPr>
        <w:fldChar w:fldCharType="separate"/>
      </w:r>
      <w:r w:rsidR="00411BF5" w:rsidRPr="00411BF5">
        <w:rPr>
          <w:rFonts w:ascii="Arial" w:hAnsi="Arial" w:cs="Arial"/>
          <w:sz w:val="24"/>
        </w:rPr>
        <w:t>Schad et al</w:t>
      </w:r>
      <w:r w:rsidR="00D004C1">
        <w:rPr>
          <w:rFonts w:ascii="Arial" w:hAnsi="Arial" w:cs="Arial"/>
          <w:sz w:val="24"/>
        </w:rPr>
        <w:t>.,</w:t>
      </w:r>
      <w:r w:rsidR="00411BF5" w:rsidRPr="00411BF5">
        <w:rPr>
          <w:rFonts w:ascii="Arial" w:hAnsi="Arial" w:cs="Arial"/>
          <w:sz w:val="24"/>
        </w:rPr>
        <w:t xml:space="preserve"> (2016)</w:t>
      </w:r>
      <w:r w:rsidR="00411BF5" w:rsidRPr="00411BF5">
        <w:rPr>
          <w:rFonts w:ascii="Arial" w:hAnsi="Arial" w:cs="Arial"/>
          <w:sz w:val="24"/>
          <w:szCs w:val="24"/>
        </w:rPr>
        <w:fldChar w:fldCharType="end"/>
      </w:r>
      <w:r w:rsidR="004F6A6D" w:rsidRPr="00411BF5">
        <w:rPr>
          <w:rFonts w:ascii="Arial" w:hAnsi="Arial" w:cs="Arial"/>
          <w:sz w:val="24"/>
          <w:szCs w:val="24"/>
        </w:rPr>
        <w:t xml:space="preserve"> </w:t>
      </w:r>
      <w:r w:rsidR="007A4520" w:rsidRPr="00411BF5">
        <w:rPr>
          <w:rFonts w:ascii="Arial" w:hAnsi="Arial" w:cs="Arial"/>
          <w:sz w:val="24"/>
          <w:szCs w:val="24"/>
        </w:rPr>
        <w:t xml:space="preserve">identify practical strategies that organisations can adopt to navigate tensions between </w:t>
      </w:r>
      <w:r w:rsidR="007A4520" w:rsidRPr="000B0EBA">
        <w:rPr>
          <w:rFonts w:ascii="Arial" w:hAnsi="Arial" w:cs="Arial"/>
          <w:sz w:val="24"/>
          <w:szCs w:val="24"/>
        </w:rPr>
        <w:t>performance and sustainability. These approaches offer actionable pathways for reconciling competing priorities while strengthening organisational resilience and long-term performance. For example, integrating customer feedback into automated manufacturing systems enables organisations to respond more effectively to stakeholder concerns, leading to measurable environmental benefits.</w:t>
      </w:r>
      <w:r w:rsidR="00682F3B">
        <w:rPr>
          <w:rFonts w:ascii="Arial" w:hAnsi="Arial" w:cs="Arial"/>
          <w:sz w:val="24"/>
          <w:szCs w:val="24"/>
        </w:rPr>
        <w:t xml:space="preserve"> </w:t>
      </w:r>
      <w:r w:rsidR="00AC7CB0">
        <w:rPr>
          <w:rFonts w:ascii="Arial" w:hAnsi="Arial" w:cs="Arial"/>
          <w:sz w:val="24"/>
          <w:szCs w:val="24"/>
        </w:rPr>
        <w:t>However, this is not the case many organisations focus more on the financial impact of the CSR and its mechanisms</w:t>
      </w:r>
      <w:r w:rsidR="0005272E">
        <w:rPr>
          <w:rFonts w:ascii="Arial" w:hAnsi="Arial" w:cs="Arial"/>
          <w:sz w:val="24"/>
          <w:szCs w:val="24"/>
        </w:rPr>
        <w:t>, paying limited attention to the social outcomes of the CSR and it</w:t>
      </w:r>
      <w:r w:rsidR="001047B9">
        <w:rPr>
          <w:rFonts w:ascii="Arial" w:hAnsi="Arial" w:cs="Arial"/>
          <w:sz w:val="24"/>
          <w:szCs w:val="24"/>
        </w:rPr>
        <w:t>s</w:t>
      </w:r>
      <w:r w:rsidR="0005272E">
        <w:rPr>
          <w:rFonts w:ascii="Arial" w:hAnsi="Arial" w:cs="Arial"/>
          <w:sz w:val="24"/>
          <w:szCs w:val="24"/>
        </w:rPr>
        <w:t xml:space="preserve"> underlying mechanisms, which needs to be addressed for practical purposes </w:t>
      </w:r>
      <w:bookmarkStart w:id="6" w:name="_Hlk217674120"/>
      <w:r w:rsidR="0005272E">
        <w:rPr>
          <w:rFonts w:ascii="Arial" w:hAnsi="Arial" w:cs="Arial"/>
          <w:sz w:val="24"/>
          <w:szCs w:val="24"/>
        </w:rPr>
        <w:fldChar w:fldCharType="begin"/>
      </w:r>
      <w:r w:rsidR="0005272E">
        <w:rPr>
          <w:rFonts w:ascii="Arial" w:hAnsi="Arial" w:cs="Arial"/>
          <w:sz w:val="24"/>
          <w:szCs w:val="24"/>
        </w:rPr>
        <w:instrText xml:space="preserve"> ADDIN ZOTERO_ITEM CSL_CITATION {"citationID":"n2wDkKxw","properties":{"formattedCitation":"(Wang, Gibson and Zander, 2020)","plainCitation":"(Wang, Gibson and Zander, 2020)","noteIndex":0},"citationItems":[{"id":85,"uris":["http://zotero.org/users/local/bh3OqUSh/items/N7HLUK5M"],"itemData":{"id":85,"type":"article-journal","abstract":"In this article the editor comments on whether or not they believe research on corporate social responsibility (CSR) to be undertheorized. CSR can apply to the management field but also to the domains of economics, finance, marketing, operations, and sociology. They report on the lack of theoretical foundation and coherence in CSR research and on the lack of implications for practice.","archive_location":"140381081","container-title":"Academy of Management Review","DOI":"10.5465/amr.2019.0450","ISSN":"0363-7425","issue":"1","journalAbbreviation":"Academy of Management Review","language":"eng","note":"publisher: Academy of Management","page":"1-6","source":"EBSCOhost","title":"Editors' Comments: Is Research on Corporate Social Responsibility Undertheorized?","title-short":"Editors' Comments","volume":"45","author":[{"family":"Wang","given":"Heli"},{"family":"Gibson","given":"Cristina"},{"family":"Zander","given":"Udo"}],"issued":{"date-parts":[["2020",1,1]]}}}],"schema":"https://github.com/citation-style-language/schema/raw/master/csl-citation.json"} </w:instrText>
      </w:r>
      <w:r w:rsidR="0005272E">
        <w:rPr>
          <w:rFonts w:ascii="Arial" w:hAnsi="Arial" w:cs="Arial"/>
          <w:sz w:val="24"/>
          <w:szCs w:val="24"/>
        </w:rPr>
        <w:fldChar w:fldCharType="separate"/>
      </w:r>
      <w:r w:rsidR="0005272E" w:rsidRPr="0005272E">
        <w:rPr>
          <w:rFonts w:ascii="Arial" w:hAnsi="Arial" w:cs="Arial"/>
          <w:sz w:val="24"/>
        </w:rPr>
        <w:t>(Wang, Gibson and Zander, 2020)</w:t>
      </w:r>
      <w:r w:rsidR="0005272E">
        <w:rPr>
          <w:rFonts w:ascii="Arial" w:hAnsi="Arial" w:cs="Arial"/>
          <w:sz w:val="24"/>
          <w:szCs w:val="24"/>
        </w:rPr>
        <w:fldChar w:fldCharType="end"/>
      </w:r>
      <w:bookmarkEnd w:id="6"/>
      <w:r w:rsidR="0005272E">
        <w:rPr>
          <w:rFonts w:ascii="Arial" w:hAnsi="Arial" w:cs="Arial"/>
          <w:sz w:val="24"/>
          <w:szCs w:val="24"/>
        </w:rPr>
        <w:t>.</w:t>
      </w:r>
      <w:r w:rsidR="007A4520" w:rsidRPr="000B0EBA">
        <w:rPr>
          <w:rFonts w:ascii="Arial" w:hAnsi="Arial" w:cs="Arial"/>
          <w:sz w:val="24"/>
          <w:szCs w:val="24"/>
        </w:rPr>
        <w:t xml:space="preserve"> Empirical evidence suggests that closer customer organisation integration can enhance waste and resource efficiency, reduce environmental pollution, and support the transition towards renewable energy use. Research within circular economy and green supply chain management further demonstrates that incorporating customer perspectives into digitally enabled manufacturing practices can significantly improve environmental performance </w:t>
      </w:r>
      <w:bookmarkStart w:id="7" w:name="_Hlk216987190"/>
      <w:r w:rsidR="007A4520" w:rsidRPr="000B0EBA">
        <w:rPr>
          <w:rFonts w:ascii="Arial" w:hAnsi="Arial" w:cs="Arial"/>
          <w:sz w:val="24"/>
          <w:szCs w:val="24"/>
        </w:rPr>
        <w:t>(</w:t>
      </w:r>
      <w:proofErr w:type="spellStart"/>
      <w:r w:rsidR="007A4520" w:rsidRPr="000B0EBA">
        <w:rPr>
          <w:rFonts w:ascii="Arial" w:hAnsi="Arial" w:cs="Arial"/>
          <w:sz w:val="24"/>
          <w:szCs w:val="24"/>
        </w:rPr>
        <w:t>Seelent</w:t>
      </w:r>
      <w:proofErr w:type="spellEnd"/>
      <w:r w:rsidR="007A4520" w:rsidRPr="000B0EBA">
        <w:rPr>
          <w:rFonts w:ascii="Arial" w:hAnsi="Arial" w:cs="Arial"/>
          <w:sz w:val="24"/>
          <w:szCs w:val="24"/>
        </w:rPr>
        <w:t xml:space="preserve"> et al., 2025). </w:t>
      </w:r>
      <w:bookmarkEnd w:id="7"/>
    </w:p>
    <w:p w14:paraId="518F410D" w14:textId="4D37D909" w:rsidR="00DF0810" w:rsidRDefault="007A4520" w:rsidP="002F56B3">
      <w:pPr>
        <w:spacing w:line="360" w:lineRule="auto"/>
        <w:jc w:val="both"/>
        <w:rPr>
          <w:rFonts w:ascii="Arial" w:hAnsi="Arial" w:cs="Arial"/>
          <w:sz w:val="24"/>
          <w:szCs w:val="24"/>
        </w:rPr>
      </w:pPr>
      <w:r w:rsidRPr="000B0EBA">
        <w:rPr>
          <w:rFonts w:ascii="Arial" w:hAnsi="Arial" w:cs="Arial"/>
          <w:sz w:val="24"/>
          <w:szCs w:val="24"/>
        </w:rPr>
        <w:lastRenderedPageBreak/>
        <w:t xml:space="preserve">Therefore, Corporate </w:t>
      </w:r>
      <w:r w:rsidR="00E01341" w:rsidRPr="000B0EBA">
        <w:rPr>
          <w:rFonts w:ascii="Arial" w:hAnsi="Arial" w:cs="Arial"/>
          <w:sz w:val="24"/>
          <w:szCs w:val="24"/>
        </w:rPr>
        <w:t xml:space="preserve">responsibility has evolved beyond philanthropy or compliance to encompass a holistic commitment to ESG performance that directly influences brand reputation, stakeholder </w:t>
      </w:r>
      <w:r w:rsidR="00E01341" w:rsidRPr="00A23D7D">
        <w:rPr>
          <w:rFonts w:ascii="Arial" w:hAnsi="Arial" w:cs="Arial"/>
          <w:sz w:val="24"/>
          <w:szCs w:val="24"/>
        </w:rPr>
        <w:t xml:space="preserve">trust and financial resilience </w:t>
      </w:r>
      <w:bookmarkStart w:id="8" w:name="_Hlk216957855"/>
      <w:r w:rsidR="00E01341" w:rsidRPr="00A23D7D">
        <w:rPr>
          <w:rFonts w:ascii="Arial" w:hAnsi="Arial" w:cs="Arial"/>
          <w:sz w:val="24"/>
          <w:szCs w:val="24"/>
        </w:rPr>
        <w:fldChar w:fldCharType="begin"/>
      </w:r>
      <w:r w:rsidR="00903396">
        <w:rPr>
          <w:rFonts w:ascii="Arial" w:hAnsi="Arial" w:cs="Arial"/>
          <w:sz w:val="24"/>
          <w:szCs w:val="24"/>
        </w:rPr>
        <w:instrText xml:space="preserve"> ADDIN ZOTERO_ITEM CSL_CITATION {"citationID":"yNm29qY1","properties":{"formattedCitation":"(Razak, Ibrahim and Ng, 2023)","plainCitation":"(Razak, Ibrahim and Ng, 2023)","noteIndex":0},"citationItems":[{"id":17,"uris":["http://zotero.org/users/local/bh3OqUSh/items/HT6PRDZ9"],"itemData":{"id":17,"type":"article-journal","abstract":"Purpose\nBased on a sample of 1,872 firm-year observations for 573 global firms over the period 2013–2016, this study aims to provide empirical evidence on how environmental, social and governance (ESG) performance affects corporate creditworthiness as measured by credit default swap (CDS) spreads.\nDesign/methodology/approach\nThe authors use a regression model that accounts for country, industry and time-fixed effects as well as the instrumental-based Generalized Method of Moments (GMM) approach to dynamic panel modeling.\nFindings\nThis study finds that improvements in ESG performance, especially in its governance pillar, reduce credit risk. Further, the authors uncover evidence suggesting the complementarity between ESG performance and country-level sustainability. The results indicate a stronger risk-mitigating impact of ESG performance in countries with higher sustainability scores.\nPractical implications\nIn terms of practical implications, the findings suggest that corporations should strengthen governance frameworks and procedures to reduce credit risk, prior to embarking on environmental and social objectives. Further, the finding that country sustainability is an important determinant of CDS spreads suggests that country-level sustainability initiatives would not only help to preserve natural capital and promote social capital but also be beneficial to businesses and financial stability.\nOriginality/value\nThe study adds to the literature on the effects of ESG performance on credit risk by (1) utilizing a measure of ESG performance that considers the financial materiality of ESG issues across different industries; (2) utilizing a market-based measure of credit risk and CDS spreads; (3) examining the relative importance of ESG components to credit risk, rather than just the aggregate measure; and (4) assessing the influence of country sustainability on the relationship between ESG and credit risk.","container-title":"The Journal of Risk Finance","DOI":"10.1108/JRF-10-2022-0278","ISSN":"15265943","issue":"5","language":"English","license":"© Emerald Publishing Limited.","note":"number-of-pages: 29\npublisher-place: London, United Kingdom\npublisher: Emerald Group Publishing Limited","page":"585-613","source":"ProQuest","title":"Environment, social and governance (ESG) performance and CDS spreads: the role of country sustainability","title-short":"Environment, social and governance (ESG) performance and CDS spreads","volume":"24","author":[{"family":"Razak","given":"Lutfi Abdul"},{"family":"Ibrahim","given":"Mansor H."},{"family":"Ng","given":"Adam"}],"issued":{"date-parts":[["2023"]]}}}],"schema":"https://github.com/citation-style-language/schema/raw/master/csl-citation.json"} </w:instrText>
      </w:r>
      <w:r w:rsidR="00E01341" w:rsidRPr="00A23D7D">
        <w:rPr>
          <w:rFonts w:ascii="Arial" w:hAnsi="Arial" w:cs="Arial"/>
          <w:sz w:val="24"/>
          <w:szCs w:val="24"/>
        </w:rPr>
        <w:fldChar w:fldCharType="separate"/>
      </w:r>
      <w:r w:rsidR="00903396" w:rsidRPr="00903396">
        <w:rPr>
          <w:rFonts w:ascii="Arial" w:hAnsi="Arial" w:cs="Arial"/>
          <w:sz w:val="24"/>
        </w:rPr>
        <w:t>(Razak, Ibrahim and Ng, 2023)</w:t>
      </w:r>
      <w:r w:rsidR="00E01341" w:rsidRPr="00A23D7D">
        <w:rPr>
          <w:rFonts w:ascii="Arial" w:hAnsi="Arial" w:cs="Arial"/>
          <w:sz w:val="24"/>
          <w:szCs w:val="24"/>
        </w:rPr>
        <w:fldChar w:fldCharType="end"/>
      </w:r>
      <w:bookmarkEnd w:id="8"/>
      <w:r w:rsidR="00E01341" w:rsidRPr="00A23D7D">
        <w:rPr>
          <w:rFonts w:ascii="Arial" w:hAnsi="Arial" w:cs="Arial"/>
          <w:sz w:val="24"/>
          <w:szCs w:val="24"/>
        </w:rPr>
        <w:t>.</w:t>
      </w:r>
      <w:r w:rsidR="009A10DB" w:rsidRPr="00A23D7D">
        <w:rPr>
          <w:rFonts w:ascii="Arial" w:hAnsi="Arial" w:cs="Arial"/>
          <w:sz w:val="24"/>
          <w:szCs w:val="24"/>
        </w:rPr>
        <w:t xml:space="preserve"> Corporate responsibility in practice is to modern</w:t>
      </w:r>
      <w:r w:rsidR="0019280F" w:rsidRPr="00A23D7D">
        <w:rPr>
          <w:rFonts w:ascii="Arial" w:hAnsi="Arial" w:cs="Arial"/>
          <w:sz w:val="24"/>
          <w:szCs w:val="24"/>
        </w:rPr>
        <w:t xml:space="preserve"> corporations</w:t>
      </w:r>
      <w:r w:rsidR="001047B9">
        <w:rPr>
          <w:rFonts w:ascii="Arial" w:hAnsi="Arial" w:cs="Arial"/>
          <w:sz w:val="24"/>
          <w:szCs w:val="24"/>
        </w:rPr>
        <w:t xml:space="preserve"> which</w:t>
      </w:r>
      <w:r w:rsidR="0019280F" w:rsidRPr="00A23D7D">
        <w:rPr>
          <w:rFonts w:ascii="Arial" w:hAnsi="Arial" w:cs="Arial"/>
          <w:sz w:val="24"/>
          <w:szCs w:val="24"/>
        </w:rPr>
        <w:t xml:space="preserve"> increasingly embed sustainability within their business strategies as part of a </w:t>
      </w:r>
      <w:r w:rsidR="00900AD1" w:rsidRPr="00A23D7D">
        <w:rPr>
          <w:rFonts w:ascii="Arial" w:hAnsi="Arial" w:cs="Arial"/>
          <w:sz w:val="24"/>
          <w:szCs w:val="24"/>
        </w:rPr>
        <w:t>long-term</w:t>
      </w:r>
      <w:r w:rsidR="0019280F" w:rsidRPr="00A23D7D">
        <w:rPr>
          <w:rFonts w:ascii="Arial" w:hAnsi="Arial" w:cs="Arial"/>
          <w:sz w:val="24"/>
          <w:szCs w:val="24"/>
        </w:rPr>
        <w:t xml:space="preserve"> vision</w:t>
      </w:r>
      <w:r w:rsidR="00A23D7D" w:rsidRPr="00A23D7D">
        <w:rPr>
          <w:rFonts w:ascii="Arial" w:hAnsi="Arial" w:cs="Arial"/>
          <w:sz w:val="24"/>
          <w:szCs w:val="24"/>
        </w:rPr>
        <w:t xml:space="preserve">. According to </w:t>
      </w:r>
      <w:r w:rsidR="00A23D7D" w:rsidRPr="00A23D7D">
        <w:rPr>
          <w:rFonts w:ascii="Arial" w:hAnsi="Arial" w:cs="Arial"/>
          <w:sz w:val="24"/>
          <w:szCs w:val="24"/>
        </w:rPr>
        <w:fldChar w:fldCharType="begin"/>
      </w:r>
      <w:r w:rsidR="00A23D7D" w:rsidRPr="00A23D7D">
        <w:rPr>
          <w:rFonts w:ascii="Arial" w:hAnsi="Arial" w:cs="Arial"/>
          <w:sz w:val="24"/>
          <w:szCs w:val="24"/>
        </w:rPr>
        <w:instrText xml:space="preserve"> ADDIN ZOTERO_ITEM CSL_CITATION {"citationID":"sgfPziBJ","properties":{"formattedCitation":"(Heikkurinen and Bonnedahl, 2013)","plainCitation":"(Heikkurinen and Bonnedahl, 2013)","noteIndex":0},"citationItems":[{"id":71,"uris":["http://zotero.org/users/local/bh3OqUSh/items/HR4X5PGU"],"itemData":{"id":71,"type":"article-journal","abstract":"This paper reviews and compares two mainstream business theories, namely market and stakeholder orientations, as contending strategies of corporate responsibility for sustainable development. We argue that even though stakeholder orientation offers a broader inclusion of values and expectations than market orientation, they share considerable similarities in terms of sustainability assumptions and how the role of the corporation becomes perceived in the quest for sustainable development. Both strategies leave responsibility outside the ﬁrm by emphasising the role of either customers or stakeholders as the basis of strategizing. Both strategies are also based on assumptions consistent with weak sustainability (at best), which is argued to be insufﬁcient in order to achieve sustainability over time and space. Therefore, this article suggests that a new orientation is needed if corporations are to contribute to sustainable development, namely sustainable development orientation. We call for further research in outlining a business strategy that admits corporations’ responsibility for sustainable development and departs from the strong sustainability assumption.","container-title":"Journal of Cleaner Production","DOI":"10.1016/j.jclepro.2012.12.021","ISSN":"09596526","journalAbbreviation":"Journal of Cleaner Production","language":"en","license":"https://www.elsevier.com/tdm/userlicense/1.0/","page":"191-198","source":"DOI.org (Crossref)","title":"Corporate responsibility for sustainable development: a review and conceptual comparison of market- and stakeholder-oriented strategies","title-short":"Corporate responsibility for sustainable development","volume":"43","author":[{"family":"Heikkurinen","given":"Pasi"},{"family":"Bonnedahl","given":"Karl Johan"}],"issued":{"date-parts":[["2013",3]]}}}],"schema":"https://github.com/citation-style-language/schema/raw/master/csl-citation.json"} </w:instrText>
      </w:r>
      <w:r w:rsidR="00A23D7D" w:rsidRPr="00A23D7D">
        <w:rPr>
          <w:rFonts w:ascii="Arial" w:hAnsi="Arial" w:cs="Arial"/>
          <w:sz w:val="24"/>
          <w:szCs w:val="24"/>
        </w:rPr>
        <w:fldChar w:fldCharType="separate"/>
      </w:r>
      <w:r w:rsidR="00903396" w:rsidRPr="00903396">
        <w:rPr>
          <w:rFonts w:ascii="Arial" w:hAnsi="Arial" w:cs="Arial"/>
          <w:sz w:val="24"/>
        </w:rPr>
        <w:t>(Heikkurinen and Bonnedahl, 2013)</w:t>
      </w:r>
      <w:r w:rsidR="00A23D7D" w:rsidRPr="00A23D7D">
        <w:rPr>
          <w:rFonts w:ascii="Arial" w:hAnsi="Arial" w:cs="Arial"/>
          <w:sz w:val="24"/>
          <w:szCs w:val="24"/>
        </w:rPr>
        <w:fldChar w:fldCharType="end"/>
      </w:r>
      <w:r w:rsidR="00A23D7D" w:rsidRPr="00A23D7D">
        <w:rPr>
          <w:rFonts w:ascii="Arial" w:hAnsi="Arial" w:cs="Arial"/>
          <w:sz w:val="24"/>
          <w:szCs w:val="24"/>
        </w:rPr>
        <w:t xml:space="preserve">, </w:t>
      </w:r>
      <w:r w:rsidR="00A23D7D">
        <w:rPr>
          <w:rFonts w:ascii="Arial" w:hAnsi="Arial" w:cs="Arial"/>
          <w:sz w:val="24"/>
          <w:szCs w:val="24"/>
        </w:rPr>
        <w:t>c</w:t>
      </w:r>
      <w:r w:rsidR="00A23D7D" w:rsidRPr="00A23D7D">
        <w:rPr>
          <w:rFonts w:ascii="Arial" w:hAnsi="Arial" w:cs="Arial"/>
          <w:sz w:val="24"/>
          <w:szCs w:val="24"/>
        </w:rPr>
        <w:t>orporate responsibility for sustainability extends beyond compliance with ethical codes or the pursuit of economic value and requires an active commitment to environmental stewardship and social well-being. In the UK context, this responsibility is increasingly framed through government</w:t>
      </w:r>
      <w:r w:rsidR="00A23D7D">
        <w:rPr>
          <w:rFonts w:ascii="Arial" w:hAnsi="Arial" w:cs="Arial"/>
          <w:sz w:val="24"/>
          <w:szCs w:val="24"/>
        </w:rPr>
        <w:t xml:space="preserve"> </w:t>
      </w:r>
      <w:r w:rsidR="00A23D7D" w:rsidRPr="00A23D7D">
        <w:rPr>
          <w:rFonts w:ascii="Arial" w:hAnsi="Arial" w:cs="Arial"/>
          <w:sz w:val="24"/>
          <w:szCs w:val="24"/>
        </w:rPr>
        <w:t xml:space="preserve">led initiatives, regulatory expectations, and reporting requirements, such as the Modern Slavery Act and ESG-related disclosures. However, while policy frameworks encourage responsible business conduct, gaps remain between regulatory intent and practical enforcement. </w:t>
      </w:r>
      <w:r w:rsidR="004B5F70">
        <w:rPr>
          <w:rFonts w:ascii="Arial" w:hAnsi="Arial" w:cs="Arial"/>
          <w:sz w:val="24"/>
          <w:szCs w:val="24"/>
        </w:rPr>
        <w:fldChar w:fldCharType="begin"/>
      </w:r>
      <w:r w:rsidR="00717222">
        <w:rPr>
          <w:rFonts w:ascii="Arial" w:hAnsi="Arial" w:cs="Arial"/>
          <w:sz w:val="24"/>
          <w:szCs w:val="24"/>
        </w:rPr>
        <w:instrText xml:space="preserve"> ADDIN ZOTERO_ITEM CSL_CITATION {"citationID":"sbxv7FMC","properties":{"formattedCitation":"(Denner, Koch and Dahlke, 2025)","plainCitation":"(Denner, Koch and Dahlke, 2025)","dontUpdate":true,"noteIndex":0},"citationItems":[{"id":83,"uris":["http://zotero.org/users/local/bh3OqUSh/items/AG7VGXI7"],"itemData":{"id":83,"type":"article-journal","container-title":"International Journal of Strategic Communication","DOI":"10.1080/1553118X.2025.2466505","ISSN":"1553-118X, 1553-1198","issue":"4","journalAbbreviation":"International Journal of Strategic Communication","language":"en","page":"536-554","source":"DOI.org (Crossref)","title":"Companies as Critics, Adapters, and Pioneers: Motives, Strategies, and Risks of Corporate Social Advocacy","title-short":"Companies as Critics, Adapters, and Pioneers","volume":"19","author":[{"family":"Denner","given":"Nora"},{"family":"Koch","given":"Thomas"},{"family":"Dahlke","given":"Joelle"}],"issued":{"date-parts":[["2025",8,8]]}}}],"schema":"https://github.com/citation-style-language/schema/raw/master/csl-citation.json"} </w:instrText>
      </w:r>
      <w:r w:rsidR="004B5F70">
        <w:rPr>
          <w:rFonts w:ascii="Arial" w:hAnsi="Arial" w:cs="Arial"/>
          <w:sz w:val="24"/>
          <w:szCs w:val="24"/>
        </w:rPr>
        <w:fldChar w:fldCharType="separate"/>
      </w:r>
      <w:r w:rsidR="004B5F70">
        <w:rPr>
          <w:rFonts w:ascii="Arial" w:hAnsi="Arial" w:cs="Arial"/>
          <w:sz w:val="24"/>
        </w:rPr>
        <w:t xml:space="preserve">In </w:t>
      </w:r>
      <w:r w:rsidR="004B5F70" w:rsidRPr="004B5F70">
        <w:rPr>
          <w:rFonts w:ascii="Arial" w:hAnsi="Arial" w:cs="Arial"/>
          <w:sz w:val="24"/>
        </w:rPr>
        <w:t xml:space="preserve">Denner, Koch and Dahlke </w:t>
      </w:r>
      <w:r w:rsidR="004B5F70">
        <w:rPr>
          <w:rFonts w:ascii="Arial" w:hAnsi="Arial" w:cs="Arial"/>
          <w:sz w:val="24"/>
        </w:rPr>
        <w:t>(</w:t>
      </w:r>
      <w:r w:rsidR="004B5F70" w:rsidRPr="004B5F70">
        <w:rPr>
          <w:rFonts w:ascii="Arial" w:hAnsi="Arial" w:cs="Arial"/>
          <w:sz w:val="24"/>
        </w:rPr>
        <w:t>2025)</w:t>
      </w:r>
      <w:r w:rsidR="004B5F70">
        <w:rPr>
          <w:rFonts w:ascii="Arial" w:hAnsi="Arial" w:cs="Arial"/>
          <w:sz w:val="24"/>
          <w:szCs w:val="24"/>
        </w:rPr>
        <w:fldChar w:fldCharType="end"/>
      </w:r>
      <w:r w:rsidR="00A23D7D" w:rsidRPr="00A23D7D">
        <w:rPr>
          <w:rFonts w:ascii="Arial" w:hAnsi="Arial" w:cs="Arial"/>
          <w:sz w:val="24"/>
          <w:szCs w:val="24"/>
        </w:rPr>
        <w:t xml:space="preserve"> </w:t>
      </w:r>
      <w:r w:rsidR="00787857">
        <w:rPr>
          <w:rFonts w:ascii="Arial" w:hAnsi="Arial" w:cs="Arial"/>
          <w:sz w:val="24"/>
          <w:szCs w:val="24"/>
        </w:rPr>
        <w:t xml:space="preserve">which </w:t>
      </w:r>
      <w:r w:rsidR="00A23D7D" w:rsidRPr="00A23D7D">
        <w:rPr>
          <w:rFonts w:ascii="Arial" w:hAnsi="Arial" w:cs="Arial"/>
          <w:sz w:val="24"/>
          <w:szCs w:val="24"/>
        </w:rPr>
        <w:t>critically examin</w:t>
      </w:r>
      <w:r w:rsidR="00787857">
        <w:rPr>
          <w:rFonts w:ascii="Arial" w:hAnsi="Arial" w:cs="Arial"/>
          <w:sz w:val="24"/>
          <w:szCs w:val="24"/>
        </w:rPr>
        <w:t>es</w:t>
      </w:r>
      <w:r w:rsidR="00A23D7D" w:rsidRPr="00A23D7D">
        <w:rPr>
          <w:rFonts w:ascii="Arial" w:hAnsi="Arial" w:cs="Arial"/>
          <w:sz w:val="24"/>
          <w:szCs w:val="24"/>
        </w:rPr>
        <w:t xml:space="preserve"> both the capabilities and limitations of corporate responsibility, it becomes evident that voluntary action alone is insufficien</w:t>
      </w:r>
      <w:r w:rsidR="003E7315">
        <w:rPr>
          <w:rFonts w:ascii="Arial" w:hAnsi="Arial" w:cs="Arial"/>
          <w:sz w:val="24"/>
          <w:szCs w:val="24"/>
        </w:rPr>
        <w:t>t</w:t>
      </w:r>
      <w:r w:rsidR="00717222">
        <w:rPr>
          <w:rFonts w:ascii="Arial" w:hAnsi="Arial" w:cs="Arial"/>
          <w:sz w:val="24"/>
          <w:szCs w:val="24"/>
        </w:rPr>
        <w:t xml:space="preserve"> to achieve true sustainability over time and space</w:t>
      </w:r>
      <w:r w:rsidR="003E06AC">
        <w:rPr>
          <w:rFonts w:ascii="Arial" w:hAnsi="Arial" w:cs="Arial"/>
          <w:sz w:val="24"/>
          <w:szCs w:val="24"/>
        </w:rPr>
        <w:t xml:space="preserve">. This is because it often prioritises economic factors and assumes natural capital can be substituted by human made capital. </w:t>
      </w:r>
      <w:r w:rsidR="00A23D7D" w:rsidRPr="00A23D7D">
        <w:rPr>
          <w:rFonts w:ascii="Arial" w:hAnsi="Arial" w:cs="Arial"/>
          <w:sz w:val="24"/>
          <w:szCs w:val="24"/>
        </w:rPr>
        <w:t xml:space="preserve"> Stronger state oversight, clearer accountability mechanisms, and supportive institutional frameworks are necessary to drive meaningful reform within the UK business sector. Without coordinated intervention between government and industry, sustainability risks being reduced to a compliance exercise rather than a transformative agenda capable of delivering long-term social and environmental outcomes.</w:t>
      </w:r>
      <w:r w:rsidR="00DF0810">
        <w:rPr>
          <w:rFonts w:ascii="Arial" w:hAnsi="Arial" w:cs="Arial"/>
          <w:sz w:val="24"/>
          <w:szCs w:val="24"/>
        </w:rPr>
        <w:t xml:space="preserve"> </w:t>
      </w:r>
    </w:p>
    <w:p w14:paraId="168FEFEE" w14:textId="3DAB5567" w:rsidR="00373807" w:rsidRPr="000B0EBA" w:rsidRDefault="00DF0810" w:rsidP="002F56B3">
      <w:pPr>
        <w:spacing w:line="360" w:lineRule="auto"/>
        <w:jc w:val="both"/>
        <w:rPr>
          <w:rFonts w:ascii="Arial" w:hAnsi="Arial" w:cs="Arial"/>
          <w:sz w:val="24"/>
          <w:szCs w:val="24"/>
        </w:rPr>
      </w:pPr>
      <w:r>
        <w:rPr>
          <w:rFonts w:ascii="Arial" w:hAnsi="Arial" w:cs="Arial"/>
          <w:sz w:val="24"/>
          <w:szCs w:val="24"/>
        </w:rPr>
        <w:t>Another</w:t>
      </w:r>
      <w:r w:rsidR="00AD01BF">
        <w:rPr>
          <w:rFonts w:ascii="Arial" w:hAnsi="Arial" w:cs="Arial"/>
          <w:sz w:val="24"/>
          <w:szCs w:val="24"/>
        </w:rPr>
        <w:t xml:space="preserve"> key issue is the absence of binding global standards for corporate accountability. </w:t>
      </w:r>
      <w:r w:rsidR="005A21D7">
        <w:rPr>
          <w:rFonts w:ascii="Arial" w:hAnsi="Arial" w:cs="Arial"/>
          <w:sz w:val="24"/>
          <w:szCs w:val="24"/>
        </w:rPr>
        <w:t>Hence, framework such as Global Reporting Initiative (GRI) is to promote transparency in corporate accountability for a sustainable future, and it remain</w:t>
      </w:r>
      <w:r w:rsidR="00787857">
        <w:rPr>
          <w:rFonts w:ascii="Arial" w:hAnsi="Arial" w:cs="Arial"/>
          <w:sz w:val="24"/>
          <w:szCs w:val="24"/>
        </w:rPr>
        <w:t>s</w:t>
      </w:r>
      <w:r w:rsidR="005A21D7">
        <w:rPr>
          <w:rFonts w:ascii="Arial" w:hAnsi="Arial" w:cs="Arial"/>
          <w:sz w:val="24"/>
          <w:szCs w:val="24"/>
        </w:rPr>
        <w:t xml:space="preserve"> largely voluntary</w:t>
      </w:r>
      <w:r w:rsidR="00BB3AED">
        <w:rPr>
          <w:rFonts w:ascii="Arial" w:hAnsi="Arial" w:cs="Arial"/>
          <w:sz w:val="24"/>
          <w:szCs w:val="24"/>
        </w:rPr>
        <w:t xml:space="preserve"> according to </w:t>
      </w:r>
      <w:r w:rsidR="00BB3AED">
        <w:rPr>
          <w:rFonts w:ascii="Arial" w:hAnsi="Arial" w:cs="Arial"/>
          <w:sz w:val="24"/>
          <w:szCs w:val="24"/>
        </w:rPr>
        <w:fldChar w:fldCharType="begin"/>
      </w:r>
      <w:r w:rsidR="005E6A47">
        <w:rPr>
          <w:rFonts w:ascii="Arial" w:hAnsi="Arial" w:cs="Arial"/>
          <w:sz w:val="24"/>
          <w:szCs w:val="24"/>
        </w:rPr>
        <w:instrText xml:space="preserve"> ADDIN ZOTERO_ITEM CSL_CITATION {"citationID":"MHNMLNHI","properties":{"formattedCitation":"(Wang, Gibson and Zander, 2020)","plainCitation":"(Wang, Gibson and Zander, 2020)","dontUpdate":true,"noteIndex":0},"citationItems":[{"id":85,"uris":["http://zotero.org/users/local/bh3OqUSh/items/N7HLUK5M"],"itemData":{"id":85,"type":"article-journal","abstract":"In this article the editor comments on whether or not they believe research on corporate social responsibility (CSR) to be undertheorized. CSR can apply to the management field but also to the domains of economics, finance, marketing, operations, and sociology. They report on the lack of theoretical foundation and coherence in CSR research and on the lack of implications for practice.","archive_location":"140381081","container-title":"Academy of Management Review","DOI":"10.5465/amr.2019.0450","ISSN":"0363-7425","issue":"1","journalAbbreviation":"Academy of Management Review","language":"eng","note":"publisher: Academy of Management","page":"1-6","source":"EBSCOhost","title":"Editors' Comments: Is Research on Corporate Social Responsibility Undertheorized?","title-short":"Editors' Comments","volume":"45","author":[{"family":"Wang","given":"Heli"},{"family":"Gibson","given":"Cristina"},{"family":"Zander","given":"Udo"}],"issued":{"date-parts":[["2020",1,1]]}}}],"schema":"https://github.com/citation-style-language/schema/raw/master/csl-citation.json"} </w:instrText>
      </w:r>
      <w:r w:rsidR="00BB3AED">
        <w:rPr>
          <w:rFonts w:ascii="Arial" w:hAnsi="Arial" w:cs="Arial"/>
          <w:sz w:val="24"/>
          <w:szCs w:val="24"/>
        </w:rPr>
        <w:fldChar w:fldCharType="separate"/>
      </w:r>
      <w:r w:rsidR="00BB3AED" w:rsidRPr="0005272E">
        <w:rPr>
          <w:rFonts w:ascii="Arial" w:hAnsi="Arial" w:cs="Arial"/>
          <w:sz w:val="24"/>
        </w:rPr>
        <w:t>Wang, Gibson and Zander</w:t>
      </w:r>
      <w:r w:rsidR="00BB3AED">
        <w:rPr>
          <w:rFonts w:ascii="Arial" w:hAnsi="Arial" w:cs="Arial"/>
          <w:sz w:val="24"/>
        </w:rPr>
        <w:t xml:space="preserve"> (</w:t>
      </w:r>
      <w:r w:rsidR="00BB3AED" w:rsidRPr="0005272E">
        <w:rPr>
          <w:rFonts w:ascii="Arial" w:hAnsi="Arial" w:cs="Arial"/>
          <w:sz w:val="24"/>
        </w:rPr>
        <w:t>2020)</w:t>
      </w:r>
      <w:r w:rsidR="00BB3AED">
        <w:rPr>
          <w:rFonts w:ascii="Arial" w:hAnsi="Arial" w:cs="Arial"/>
          <w:sz w:val="24"/>
          <w:szCs w:val="24"/>
        </w:rPr>
        <w:fldChar w:fldCharType="end"/>
      </w:r>
      <w:r w:rsidR="00BB3AED">
        <w:rPr>
          <w:rFonts w:ascii="Arial" w:hAnsi="Arial" w:cs="Arial"/>
          <w:sz w:val="24"/>
          <w:szCs w:val="24"/>
        </w:rPr>
        <w:t>. This is</w:t>
      </w:r>
      <w:r w:rsidR="005A21D7">
        <w:rPr>
          <w:rFonts w:ascii="Arial" w:hAnsi="Arial" w:cs="Arial"/>
          <w:sz w:val="24"/>
          <w:szCs w:val="24"/>
        </w:rPr>
        <w:t xml:space="preserve"> </w:t>
      </w:r>
      <w:r w:rsidR="00BB3AED">
        <w:rPr>
          <w:rFonts w:ascii="Arial" w:hAnsi="Arial" w:cs="Arial"/>
          <w:sz w:val="24"/>
          <w:szCs w:val="24"/>
        </w:rPr>
        <w:t>f</w:t>
      </w:r>
      <w:r w:rsidR="005A21D7">
        <w:rPr>
          <w:rFonts w:ascii="Arial" w:hAnsi="Arial" w:cs="Arial"/>
          <w:sz w:val="24"/>
          <w:szCs w:val="24"/>
        </w:rPr>
        <w:t>or thousands of organisation</w:t>
      </w:r>
      <w:r w:rsidR="00F11EBE">
        <w:rPr>
          <w:rFonts w:ascii="Arial" w:hAnsi="Arial" w:cs="Arial"/>
          <w:sz w:val="24"/>
          <w:szCs w:val="24"/>
        </w:rPr>
        <w:t>s</w:t>
      </w:r>
      <w:r w:rsidR="005A21D7">
        <w:rPr>
          <w:rFonts w:ascii="Arial" w:hAnsi="Arial" w:cs="Arial"/>
          <w:sz w:val="24"/>
          <w:szCs w:val="24"/>
        </w:rPr>
        <w:t xml:space="preserve"> </w:t>
      </w:r>
      <w:r w:rsidR="00F11EBE">
        <w:rPr>
          <w:rFonts w:ascii="Arial" w:hAnsi="Arial" w:cs="Arial"/>
          <w:sz w:val="24"/>
          <w:szCs w:val="24"/>
        </w:rPr>
        <w:t xml:space="preserve">globally, to selectively disclose data that paints a favourable picture, obscuring real impacts </w:t>
      </w:r>
      <w:bookmarkStart w:id="9" w:name="_Hlk217979957"/>
      <w:r w:rsidR="00F11EBE">
        <w:rPr>
          <w:rFonts w:ascii="Arial" w:hAnsi="Arial" w:cs="Arial"/>
          <w:sz w:val="24"/>
          <w:szCs w:val="24"/>
        </w:rPr>
        <w:fldChar w:fldCharType="begin"/>
      </w:r>
      <w:r w:rsidR="005E6A47">
        <w:rPr>
          <w:rFonts w:ascii="Arial" w:hAnsi="Arial" w:cs="Arial"/>
          <w:sz w:val="24"/>
          <w:szCs w:val="24"/>
        </w:rPr>
        <w:instrText xml:space="preserve"> ADDIN ZOTERO_ITEM CSL_CITATION {"citationID":"SzC9lP2J","properties":{"formattedCitation":"(Wang, Gibson and Zander, 2020)","plainCitation":"(Wang, Gibson and Zander, 2020)","noteIndex":0},"citationItems":[{"id":85,"uris":["http://zotero.org/users/local/bh3OqUSh/items/N7HLUK5M"],"itemData":{"id":85,"type":"article-journal","abstract":"In this article the editor comments on whether or not they believe research on corporate social responsibility (CSR) to be undertheorized. CSR can apply to the management field but also to the domains of economics, finance, marketing, operations, and sociology. They report on the lack of theoretical foundation and coherence in CSR research and on the lack of implications for practice.","archive_location":"140381081","container-title":"Academy of Management Review","DOI":"10.5465/amr.2019.0450","ISSN":"0363-7425","issue":"1","journalAbbreviation":"Academy of Management Review","language":"eng","note":"publisher: Academy of Management","page":"1-6","source":"EBSCOhost","title":"Editors' Comments: Is Research on Corporate Social Responsibility Undertheorized?","title-short":"Editors' Comments","volume":"45","author":[{"family":"Wang","given":"Heli"},{"family":"Gibson","given":"Cristina"},{"family":"Zander","given":"Udo"}],"issued":{"date-parts":[["2020",1,1]]}}}],"schema":"https://github.com/citation-style-language/schema/raw/master/csl-citation.json"} </w:instrText>
      </w:r>
      <w:r w:rsidR="00F11EBE">
        <w:rPr>
          <w:rFonts w:ascii="Arial" w:hAnsi="Arial" w:cs="Arial"/>
          <w:sz w:val="24"/>
          <w:szCs w:val="24"/>
        </w:rPr>
        <w:fldChar w:fldCharType="separate"/>
      </w:r>
      <w:r w:rsidR="00F11EBE" w:rsidRPr="0005272E">
        <w:rPr>
          <w:rFonts w:ascii="Arial" w:hAnsi="Arial" w:cs="Arial"/>
          <w:sz w:val="24"/>
        </w:rPr>
        <w:t>(Wang, Gibson and Zander, 2020)</w:t>
      </w:r>
      <w:r w:rsidR="00F11EBE">
        <w:rPr>
          <w:rFonts w:ascii="Arial" w:hAnsi="Arial" w:cs="Arial"/>
          <w:sz w:val="24"/>
          <w:szCs w:val="24"/>
        </w:rPr>
        <w:fldChar w:fldCharType="end"/>
      </w:r>
      <w:bookmarkEnd w:id="9"/>
      <w:r w:rsidR="00F11EBE">
        <w:rPr>
          <w:rFonts w:ascii="Arial" w:hAnsi="Arial" w:cs="Arial"/>
          <w:sz w:val="24"/>
          <w:szCs w:val="24"/>
        </w:rPr>
        <w:t xml:space="preserve">. Therefore, for effective corporate responsibility, </w:t>
      </w:r>
      <w:r w:rsidR="00787857">
        <w:rPr>
          <w:rFonts w:ascii="Arial" w:hAnsi="Arial" w:cs="Arial"/>
          <w:sz w:val="24"/>
          <w:szCs w:val="24"/>
        </w:rPr>
        <w:t xml:space="preserve">it </w:t>
      </w:r>
      <w:r w:rsidR="00F11EBE">
        <w:rPr>
          <w:rFonts w:ascii="Arial" w:hAnsi="Arial" w:cs="Arial"/>
          <w:sz w:val="24"/>
          <w:szCs w:val="24"/>
        </w:rPr>
        <w:t>requires regulatory oversight that ensure companies are held accountable for both direct and indirect consequences in their activities.</w:t>
      </w:r>
      <w:r w:rsidR="00123C47">
        <w:rPr>
          <w:rFonts w:ascii="Arial" w:hAnsi="Arial" w:cs="Arial"/>
          <w:sz w:val="24"/>
          <w:szCs w:val="24"/>
        </w:rPr>
        <w:t xml:space="preserve"> To embody Lincoln’s statement of responsibility, organisations must transform sustainability from a public relations goal into a core strategic principle. A voluntary commitment to sustainable development where organisations pursue </w:t>
      </w:r>
      <w:r w:rsidR="00123C47">
        <w:rPr>
          <w:rFonts w:ascii="Arial" w:hAnsi="Arial" w:cs="Arial"/>
          <w:sz w:val="24"/>
          <w:szCs w:val="24"/>
        </w:rPr>
        <w:lastRenderedPageBreak/>
        <w:t>profitability while prioritising the welfare of all stakeholders, including staff, investors, the community, and the environment</w:t>
      </w:r>
      <w:r w:rsidR="00996AB1">
        <w:rPr>
          <w:rFonts w:ascii="Arial" w:hAnsi="Arial" w:cs="Arial"/>
          <w:sz w:val="24"/>
          <w:szCs w:val="24"/>
        </w:rPr>
        <w:t xml:space="preserve"> </w:t>
      </w:r>
      <w:r w:rsidR="00996AB1">
        <w:rPr>
          <w:rFonts w:ascii="Arial" w:hAnsi="Arial" w:cs="Arial"/>
          <w:sz w:val="24"/>
          <w:szCs w:val="24"/>
        </w:rPr>
        <w:fldChar w:fldCharType="begin"/>
      </w:r>
      <w:r w:rsidR="00996AB1">
        <w:rPr>
          <w:rFonts w:ascii="Arial" w:hAnsi="Arial" w:cs="Arial"/>
          <w:sz w:val="24"/>
          <w:szCs w:val="24"/>
        </w:rPr>
        <w:instrText xml:space="preserve"> ADDIN ZOTERO_ITEM CSL_CITATION {"citationID":"nyq1I4pT","properties":{"formattedCitation":"(Chouaibi and Zouari, 2022)","plainCitation":"(Chouaibi and Zouari, 2022)","noteIndex":0},"citationItems":[{"id":87,"uris":["http://zotero.org/users/local/bh3OqUSh/items/Y5L6U36P"],"itemData":{"id":87,"type":"article-journal","abstract":"The new trend in the ranking of companies, not only in financial terms but also according to their commitment to ethics and corporate social responsibility (CSR), is explained by the importance of responsible investment and responsible governance criteria in the decision making of the shareholders and other investors. These new business evaluation criteria have attracted the attention of several stakeholders, such as investors, financial analysts, researchers, and also specialized media, that require quality information based on this social and ethical approach. The aim of this article is to examine the link between corporate social responsibility practices and the level of real earnings management (REM) of a sample firms belonging ESG index from five European countries. The variables related to the ethical behavior of companies have a statistically significant and negative relationship with the level of real earnings management. Indeed, the more important the socially responsible and ethical practices are, the less the company engages in an aggressive REM strategy. Thus, the integration of new dimensions in the explanation and determination of the REM is under-explored. The explanation of the quality of the results by ethical or social variables makes it possible to overcome the criticisms addressed to the contractual approaches of companies.","container-title":"International Journal of Disclosure and Governance","DOI":"10.1057/s41310-021-00125-1","ISSN":"1746-6539","issue":"1","journalAbbreviation":"Int J Discl Gov","language":"en","page":"11-30","source":"Springer Link","title":"The effect of corporate social responsibility practices on real earnings management: evidence from a European ESG data","title-short":"The effect of corporate social responsibility practices on real earnings management","volume":"19","author":[{"family":"Chouaibi","given":"Yamina"},{"family":"Zouari","given":"Ghazi"}],"issued":{"date-parts":[["2022",3,1]]}}}],"schema":"https://github.com/citation-style-language/schema/raw/master/csl-citation.json"} </w:instrText>
      </w:r>
      <w:r w:rsidR="00996AB1">
        <w:rPr>
          <w:rFonts w:ascii="Arial" w:hAnsi="Arial" w:cs="Arial"/>
          <w:sz w:val="24"/>
          <w:szCs w:val="24"/>
        </w:rPr>
        <w:fldChar w:fldCharType="separate"/>
      </w:r>
      <w:r w:rsidR="00996AB1" w:rsidRPr="00996AB1">
        <w:rPr>
          <w:rFonts w:ascii="Arial" w:hAnsi="Arial" w:cs="Arial"/>
          <w:sz w:val="24"/>
        </w:rPr>
        <w:t>(Chouaibi and Zouari, 2022)</w:t>
      </w:r>
      <w:r w:rsidR="00996AB1">
        <w:rPr>
          <w:rFonts w:ascii="Arial" w:hAnsi="Arial" w:cs="Arial"/>
          <w:sz w:val="24"/>
          <w:szCs w:val="24"/>
        </w:rPr>
        <w:fldChar w:fldCharType="end"/>
      </w:r>
      <w:r w:rsidR="00996AB1">
        <w:rPr>
          <w:rFonts w:ascii="Arial" w:hAnsi="Arial" w:cs="Arial"/>
          <w:sz w:val="24"/>
          <w:szCs w:val="24"/>
        </w:rPr>
        <w:t>.</w:t>
      </w:r>
    </w:p>
    <w:p w14:paraId="6E072050" w14:textId="77777777" w:rsidR="00472C21" w:rsidRDefault="00373807" w:rsidP="00472C21">
      <w:pPr>
        <w:pStyle w:val="Heading2"/>
        <w:spacing w:line="360" w:lineRule="auto"/>
        <w:jc w:val="both"/>
        <w:rPr>
          <w:rFonts w:ascii="Arial" w:hAnsi="Arial" w:cs="Arial"/>
          <w:color w:val="auto"/>
          <w:sz w:val="24"/>
          <w:szCs w:val="24"/>
        </w:rPr>
      </w:pPr>
      <w:bookmarkStart w:id="10" w:name="_Toc218004606"/>
      <w:r w:rsidRPr="00C1432C">
        <w:rPr>
          <w:rFonts w:ascii="Arial" w:hAnsi="Arial" w:cs="Arial"/>
          <w:color w:val="auto"/>
          <w:sz w:val="24"/>
          <w:szCs w:val="24"/>
        </w:rPr>
        <w:t xml:space="preserve">Government </w:t>
      </w:r>
      <w:r w:rsidR="00DB3C5E">
        <w:rPr>
          <w:rFonts w:ascii="Arial" w:hAnsi="Arial" w:cs="Arial"/>
          <w:color w:val="auto"/>
          <w:sz w:val="24"/>
          <w:szCs w:val="24"/>
        </w:rPr>
        <w:t>responsibility</w:t>
      </w:r>
      <w:bookmarkEnd w:id="10"/>
      <w:r w:rsidR="00DB3C5E">
        <w:rPr>
          <w:rFonts w:ascii="Arial" w:hAnsi="Arial" w:cs="Arial"/>
          <w:color w:val="auto"/>
          <w:sz w:val="24"/>
          <w:szCs w:val="24"/>
        </w:rPr>
        <w:t xml:space="preserve"> </w:t>
      </w:r>
    </w:p>
    <w:p w14:paraId="0250A6A7" w14:textId="70A1109C" w:rsidR="00401B24" w:rsidRPr="00472C21" w:rsidRDefault="006E7CDB" w:rsidP="00472C21">
      <w:pPr>
        <w:spacing w:line="360" w:lineRule="auto"/>
        <w:jc w:val="both"/>
        <w:rPr>
          <w:rFonts w:ascii="Arial" w:eastAsiaTheme="majorEastAsia" w:hAnsi="Arial" w:cs="Arial"/>
          <w:sz w:val="24"/>
          <w:szCs w:val="24"/>
        </w:rPr>
      </w:pPr>
      <w:r w:rsidRPr="00472C21">
        <w:rPr>
          <w:rFonts w:ascii="Arial" w:hAnsi="Arial" w:cs="Arial"/>
          <w:sz w:val="24"/>
          <w:szCs w:val="24"/>
        </w:rPr>
        <w:t xml:space="preserve">Governments occupy a pivotal role in ensuring that sustainability and ethical responsibility are not merely aspirations but enforceable realities. </w:t>
      </w:r>
      <w:r w:rsidR="00ED0479" w:rsidRPr="00472C21">
        <w:rPr>
          <w:rFonts w:ascii="Arial" w:hAnsi="Arial" w:cs="Arial"/>
          <w:sz w:val="24"/>
          <w:szCs w:val="24"/>
        </w:rPr>
        <w:t>While organisations and individuals have moral responsibility, the state holds the legal and structural power to create the framework that define and regulate responsible behaviour</w:t>
      </w:r>
      <w:r w:rsidR="004152F4" w:rsidRPr="00472C21">
        <w:rPr>
          <w:rFonts w:ascii="Arial" w:hAnsi="Arial" w:cs="Arial"/>
          <w:sz w:val="24"/>
          <w:szCs w:val="24"/>
        </w:rPr>
        <w:t xml:space="preserve"> </w:t>
      </w:r>
      <w:r w:rsidR="004152F4" w:rsidRPr="00472C21">
        <w:rPr>
          <w:rFonts w:ascii="Arial" w:hAnsi="Arial" w:cs="Arial"/>
          <w:sz w:val="24"/>
          <w:szCs w:val="24"/>
        </w:rPr>
        <w:fldChar w:fldCharType="begin"/>
      </w:r>
      <w:r w:rsidR="004152F4" w:rsidRPr="00472C21">
        <w:rPr>
          <w:rFonts w:ascii="Arial" w:hAnsi="Arial" w:cs="Arial"/>
          <w:sz w:val="24"/>
          <w:szCs w:val="24"/>
        </w:rPr>
        <w:instrText xml:space="preserve"> ADDIN ZOTERO_ITEM CSL_CITATION {"citationID":"FliB1Wba","properties":{"formattedCitation":"(Jackson {\\i{}et al.}, 2023)","plainCitation":"(Jackson et al., 2023)","noteIndex":0},"citationItems":[{"id":131,"uris":["http://zotero.org/users/local/bh3OqUSh/items/V4JN2A6D"],"itemData":{"id":131,"type":"article-journal","abstract":"Abstract\n            Corporate Social Responsibility (CSR) is recognized as important to fostering sustainable natural resource development in the Circumpolar North. Governments are playing an increasingly active role in promoting and shaping CSR initiatives, often in collaboration with Indigenous communities and industry. This paper explores the role of CSR in mining for improving socio-economic and environmental management practice. The article argues that government instituted regulations can lead to the development and implementation of CSR practices by mining companies. To examine the relationship between government requirements and CSR, we use two Northern case studies: Cameco Corporation’s uranium mining operations located in Saskatchewan, Canada and Northern Iron’s iron mining operation located in Troms and Finnmark county, Norway. Through an in-depth review of scholarly literature, document analysis, and semi-structured interviews, our findings suggest that the role of the state in the initiation and implementation of CSR is of much greater importance than is currently acknowledged in the literature. In the case of Cameco, the Mine Surface Lease Agreements agreed to by the corporation and the provincial government provided motivation for the development and implementation of their world-renowned CSR practices, resulting in a community-based environmental monitoring program and benefits for both the company and surrounding communities. With Northern Iron’s operations in Kirkenes, working hour requirements instituted by the Norwegian Government allowed for significantly higher levels of local employment. Our findings suggest a greater role exists for government to facilitate the adoption of CSR policies, contributing in turn to improved socio-economic and environmental outcomes for Northern communities.","container-title":"Environmental Management","DOI":"10.1007/s00267-022-01680-1","ISSN":"0364-152X, 1432-1009","issue":"1","journalAbbreviation":"Environmental Management","language":"en","page":"37-52","source":"DOI.org (Crossref)","title":"Mining and Sustainability in the Circumpolar North: The Role of Government in Advancing Corporate Social Responsibility","title-short":"Mining and Sustainability in the Circumpolar North","volume":"72","author":[{"family":"Jackson","given":"Sarah"},{"family":"Poelzer","given":"Gregory"},{"family":"Poelzer","given":"Greg"},{"family":"Noble","given":"Bram"}],"issued":{"date-parts":[["2023",7]]}}}],"schema":"https://github.com/citation-style-language/schema/raw/master/csl-citation.json"} </w:instrText>
      </w:r>
      <w:r w:rsidR="004152F4" w:rsidRPr="00472C21">
        <w:rPr>
          <w:rFonts w:ascii="Arial" w:hAnsi="Arial" w:cs="Arial"/>
          <w:sz w:val="24"/>
          <w:szCs w:val="24"/>
        </w:rPr>
        <w:fldChar w:fldCharType="separate"/>
      </w:r>
      <w:r w:rsidR="004152F4" w:rsidRPr="00472C21">
        <w:rPr>
          <w:rFonts w:ascii="Arial" w:hAnsi="Arial" w:cs="Arial"/>
          <w:sz w:val="24"/>
          <w:szCs w:val="24"/>
        </w:rPr>
        <w:t>(Jackson et al., 2023)</w:t>
      </w:r>
      <w:r w:rsidR="004152F4" w:rsidRPr="00472C21">
        <w:rPr>
          <w:rFonts w:ascii="Arial" w:hAnsi="Arial" w:cs="Arial"/>
          <w:sz w:val="24"/>
          <w:szCs w:val="24"/>
        </w:rPr>
        <w:fldChar w:fldCharType="end"/>
      </w:r>
      <w:r w:rsidR="004152F4" w:rsidRPr="00472C21">
        <w:rPr>
          <w:rFonts w:ascii="Arial" w:hAnsi="Arial" w:cs="Arial"/>
          <w:sz w:val="24"/>
          <w:szCs w:val="24"/>
        </w:rPr>
        <w:t>.</w:t>
      </w:r>
      <w:r w:rsidR="00ED0479" w:rsidRPr="00472C21">
        <w:rPr>
          <w:rFonts w:ascii="Arial" w:hAnsi="Arial" w:cs="Arial"/>
          <w:sz w:val="24"/>
          <w:szCs w:val="24"/>
        </w:rPr>
        <w:t xml:space="preserve"> In the context of Lincoln’s assertion that “you cannot escape the responsibility of tomorrow by evading it today”</w:t>
      </w:r>
      <w:r w:rsidR="00941091" w:rsidRPr="00472C21">
        <w:rPr>
          <w:rFonts w:ascii="Arial" w:hAnsi="Arial" w:cs="Arial"/>
          <w:sz w:val="24"/>
          <w:szCs w:val="24"/>
        </w:rPr>
        <w:t xml:space="preserve"> government inactiv</w:t>
      </w:r>
      <w:r w:rsidR="00787857" w:rsidRPr="00472C21">
        <w:rPr>
          <w:rFonts w:ascii="Arial" w:hAnsi="Arial" w:cs="Arial"/>
          <w:sz w:val="24"/>
          <w:szCs w:val="24"/>
        </w:rPr>
        <w:t>ity</w:t>
      </w:r>
      <w:r w:rsidR="00941091" w:rsidRPr="00472C21">
        <w:rPr>
          <w:rFonts w:ascii="Arial" w:hAnsi="Arial" w:cs="Arial"/>
          <w:sz w:val="24"/>
          <w:szCs w:val="24"/>
        </w:rPr>
        <w:t xml:space="preserve"> represents one of the greatest risks in sustainability development. Deferring responsibility or adopting short term policies, states risk amplifying social inequities, accelerating environmental degradation, </w:t>
      </w:r>
      <w:r w:rsidR="00395FFB" w:rsidRPr="00472C21">
        <w:rPr>
          <w:rFonts w:ascii="Arial" w:hAnsi="Arial" w:cs="Arial"/>
          <w:sz w:val="24"/>
          <w:szCs w:val="24"/>
        </w:rPr>
        <w:t>and underestimating public trust</w:t>
      </w:r>
      <w:r w:rsidR="004152F4" w:rsidRPr="00472C21">
        <w:rPr>
          <w:rFonts w:ascii="Arial" w:hAnsi="Arial" w:cs="Arial"/>
          <w:sz w:val="24"/>
          <w:szCs w:val="24"/>
        </w:rPr>
        <w:t xml:space="preserve"> according to </w:t>
      </w:r>
      <w:r w:rsidR="004152F4" w:rsidRPr="00472C21">
        <w:rPr>
          <w:rFonts w:ascii="Arial" w:hAnsi="Arial" w:cs="Arial"/>
          <w:sz w:val="24"/>
          <w:szCs w:val="24"/>
        </w:rPr>
        <w:fldChar w:fldCharType="begin"/>
      </w:r>
      <w:r w:rsidR="004152F4" w:rsidRPr="00472C21">
        <w:rPr>
          <w:rFonts w:ascii="Arial" w:hAnsi="Arial" w:cs="Arial"/>
          <w:sz w:val="24"/>
          <w:szCs w:val="24"/>
        </w:rPr>
        <w:instrText xml:space="preserve"> ADDIN ZOTERO_ITEM CSL_CITATION {"citationID":"UnjNMQnk","properties":{"formattedCitation":"(Wang, Van Wart and Lebredo, 2014)","plainCitation":"(Wang, Van Wart and Lebredo, 2014)","noteIndex":0},"citationItems":[{"id":92,"uris":["http://zotero.org/users/local/bh3OqUSh/items/923FYD69"],"itemData":{"id":92,"type":"article-journal","container-title":"Public Performance &amp; Management Review","DOI":"10.2753/PMR1530-9576370301","ISSN":"1530-9576","issue":"3","journalAbbreviation":"Public Performance &amp; Management Review","page":"339-364","source":"DOI.org (Crossref)","title":"Sustainability Leadership in a Local Government Context: The Administrator's Role in the Process","title-short":"Sustainability Leadership in a Local Government Context","volume":"37","author":[{"family":"Wang","given":"Xiaohu"},{"family":"Van Wart","given":"Montgomery"},{"family":"Lebredo","given":"Nick"}],"issued":{"date-parts":[["2014",3,1]]}}}],"schema":"https://github.com/citation-style-language/schema/raw/master/csl-citation.json"} </w:instrText>
      </w:r>
      <w:r w:rsidR="004152F4" w:rsidRPr="00472C21">
        <w:rPr>
          <w:rFonts w:ascii="Arial" w:hAnsi="Arial" w:cs="Arial"/>
          <w:sz w:val="24"/>
          <w:szCs w:val="24"/>
        </w:rPr>
        <w:fldChar w:fldCharType="separate"/>
      </w:r>
      <w:r w:rsidR="00A32F18" w:rsidRPr="00472C21">
        <w:rPr>
          <w:rFonts w:ascii="Arial" w:hAnsi="Arial" w:cs="Arial"/>
          <w:sz w:val="24"/>
          <w:szCs w:val="24"/>
        </w:rPr>
        <w:t>(Wang, Van Wart and Lebredo, 2014)</w:t>
      </w:r>
      <w:r w:rsidR="004152F4" w:rsidRPr="00472C21">
        <w:rPr>
          <w:rFonts w:ascii="Arial" w:hAnsi="Arial" w:cs="Arial"/>
          <w:sz w:val="24"/>
          <w:szCs w:val="24"/>
        </w:rPr>
        <w:fldChar w:fldCharType="end"/>
      </w:r>
      <w:r w:rsidR="004152F4" w:rsidRPr="00472C21">
        <w:rPr>
          <w:rFonts w:ascii="Arial" w:hAnsi="Arial" w:cs="Arial"/>
          <w:sz w:val="24"/>
          <w:szCs w:val="24"/>
        </w:rPr>
        <w:t xml:space="preserve">. </w:t>
      </w:r>
      <w:r w:rsidR="005E6A47" w:rsidRPr="00472C21">
        <w:rPr>
          <w:rFonts w:ascii="Arial" w:hAnsi="Arial" w:cs="Arial"/>
          <w:sz w:val="24"/>
          <w:szCs w:val="24"/>
        </w:rPr>
        <w:t>Government has long been regarded as a key driver of Corporate Social Responsibility through policy development, regulatory oversight, and public awareness initiatives</w:t>
      </w:r>
      <w:r w:rsidR="004931F6" w:rsidRPr="00472C21">
        <w:rPr>
          <w:rFonts w:ascii="Arial" w:hAnsi="Arial" w:cs="Arial"/>
          <w:sz w:val="24"/>
          <w:szCs w:val="24"/>
        </w:rPr>
        <w:t xml:space="preserve"> </w:t>
      </w:r>
      <w:bookmarkStart w:id="11" w:name="_Hlk218688569"/>
      <w:r w:rsidR="005E6A47" w:rsidRPr="00472C21">
        <w:rPr>
          <w:rFonts w:ascii="Arial" w:hAnsi="Arial" w:cs="Arial"/>
          <w:sz w:val="24"/>
          <w:szCs w:val="24"/>
        </w:rPr>
        <w:fldChar w:fldCharType="begin"/>
      </w:r>
      <w:r w:rsidR="00A32F18" w:rsidRPr="00472C21">
        <w:rPr>
          <w:rFonts w:ascii="Arial" w:hAnsi="Arial" w:cs="Arial"/>
          <w:sz w:val="24"/>
          <w:szCs w:val="24"/>
        </w:rPr>
        <w:instrText xml:space="preserve"> ADDIN ZOTERO_ITEM CSL_CITATION {"citationID":"te2Q9zXt","properties":{"formattedCitation":"(Wang, Van Wart and Lebredo, 2014)","plainCitation":"(Wang, Van Wart and Lebredo, 2014)","noteIndex":0},"citationItems":[{"id":92,"uris":["http://zotero.org/users/local/bh3OqUSh/items/923FYD69"],"itemData":{"id":92,"type":"article-journal","container-title":"Public Performance &amp; Management Review","DOI":"10.2753/PMR1530-9576370301","ISSN":"1530-9576","issue":"3","journalAbbreviation":"Public Performance &amp; Management Review","page":"339-364","source":"DOI.org (Crossref)","title":"Sustainability Leadership in a Local Government Context: The Administrator's Role in the Process","title-short":"Sustainability Leadership in a Local Government Context","volume":"37","author":[{"family":"Wang","given":"Xiaohu"},{"family":"Van Wart","given":"Montgomery"},{"family":"Lebredo","given":"Nick"}],"issued":{"date-parts":[["2014",3,1]]}}}],"schema":"https://github.com/citation-style-language/schema/raw/master/csl-citation.json"} </w:instrText>
      </w:r>
      <w:r w:rsidR="005E6A47" w:rsidRPr="00472C21">
        <w:rPr>
          <w:rFonts w:ascii="Arial" w:hAnsi="Arial" w:cs="Arial"/>
          <w:sz w:val="24"/>
          <w:szCs w:val="24"/>
        </w:rPr>
        <w:fldChar w:fldCharType="separate"/>
      </w:r>
      <w:r w:rsidR="005E6A47" w:rsidRPr="00472C21">
        <w:rPr>
          <w:rFonts w:ascii="Arial" w:hAnsi="Arial" w:cs="Arial"/>
          <w:sz w:val="24"/>
          <w:szCs w:val="24"/>
        </w:rPr>
        <w:t>(Wang, Van Wart and Lebredo, 2014)</w:t>
      </w:r>
      <w:r w:rsidR="005E6A47" w:rsidRPr="00472C21">
        <w:rPr>
          <w:rFonts w:ascii="Arial" w:hAnsi="Arial" w:cs="Arial"/>
          <w:sz w:val="24"/>
          <w:szCs w:val="24"/>
        </w:rPr>
        <w:fldChar w:fldCharType="end"/>
      </w:r>
      <w:r w:rsidR="004931F6" w:rsidRPr="00472C21">
        <w:rPr>
          <w:rFonts w:ascii="Arial" w:hAnsi="Arial" w:cs="Arial"/>
          <w:sz w:val="24"/>
          <w:szCs w:val="24"/>
        </w:rPr>
        <w:t>.</w:t>
      </w:r>
      <w:r w:rsidR="005E6A47" w:rsidRPr="00472C21">
        <w:rPr>
          <w:rFonts w:ascii="Arial" w:hAnsi="Arial" w:cs="Arial"/>
          <w:sz w:val="24"/>
          <w:szCs w:val="24"/>
        </w:rPr>
        <w:t xml:space="preserve"> </w:t>
      </w:r>
      <w:bookmarkEnd w:id="11"/>
      <w:r w:rsidR="005E6A47" w:rsidRPr="00472C21">
        <w:rPr>
          <w:rFonts w:ascii="Arial" w:hAnsi="Arial" w:cs="Arial"/>
          <w:sz w:val="24"/>
          <w:szCs w:val="24"/>
        </w:rPr>
        <w:t>In the UK, this role is particularly evident in efforts to address modern slavery; however, despite legislative measures such as reporting requirements, enforcement remains inconsistent. This gap highlights a broader challenge within CSR frameworks, where compliance often prioritises disclosure over substantive action, allowing modern slavery risks to persist within supply chains.</w:t>
      </w:r>
      <w:r w:rsidR="00401B24" w:rsidRPr="00472C21">
        <w:rPr>
          <w:rFonts w:ascii="Arial" w:hAnsi="Arial" w:cs="Arial"/>
          <w:sz w:val="24"/>
          <w:szCs w:val="24"/>
        </w:rPr>
        <w:t xml:space="preserve"> Government regulation plays a significant role in shaping organisational strategy and performance, particularly through its influence on risk management practices. Evidence </w:t>
      </w:r>
      <w:r w:rsidR="004152F4" w:rsidRPr="00472C21">
        <w:rPr>
          <w:rFonts w:ascii="Arial" w:hAnsi="Arial" w:cs="Arial"/>
          <w:sz w:val="24"/>
          <w:szCs w:val="24"/>
        </w:rPr>
        <w:t xml:space="preserve">from  </w:t>
      </w:r>
      <w:r w:rsidR="004152F4" w:rsidRPr="00472C21">
        <w:rPr>
          <w:rFonts w:ascii="Arial" w:hAnsi="Arial" w:cs="Arial"/>
          <w:sz w:val="24"/>
          <w:szCs w:val="24"/>
        </w:rPr>
        <w:fldChar w:fldCharType="begin"/>
      </w:r>
      <w:r w:rsidR="00A32F18" w:rsidRPr="00472C21">
        <w:rPr>
          <w:rFonts w:ascii="Arial" w:hAnsi="Arial" w:cs="Arial"/>
          <w:sz w:val="24"/>
          <w:szCs w:val="24"/>
        </w:rPr>
        <w:instrText xml:space="preserve"> ADDIN ZOTERO_ITEM CSL_CITATION {"citationID":"0JmCzX1a","properties":{"formattedCitation":"(Fahmi {\\i{}et al.}, 2025)","plainCitation":"(Fahmi et al., 2025)","dontUpdate":true,"noteIndex":0},"citationItems":[{"id":97,"uris":["http://zotero.org/users/local/bh3OqUSh/items/462XHQ6K"],"itemData":{"id":97,"type":"article-journal","abstract":"IntroductionThis study examines the effect of Corporate Agility and Government Regulation on Airport Performance and Airport Sustainability, with Airport Performance acting as a mediating variable.MethodsThis study utilized Structural Equation Modeling (SEM) to analyze data obtained from an Indonesian airport managed by PT Angkasa Pura Indonesia.ResultsThe result indicate that Responsiveness is the strongest indicator of Corporate Agility (loading = 0.830), followed by Workplace &amp; People, Technology, Quality, Process Planning, and Competency. The Regulator indicator contributes the most to the Government Regulation variable (loading = 0.875), followed by Catalyst and Facilitator. In terms of Airport Sustainability, Environmental factors emerge as the most dominant (loading = 0.884), followed by Social and Economic aspects. Among five tested direct relationships between variables, four are statistically significant. However, one of the two indirect effects from Government Regulation to Airport Sustainability via Airport Performance is not significant. Overall, the structural model explains 57.1% of the variance in the observed phenomena.DiscussionThese findings offer useful insights for airport policymakers and managers to improve sustainability performance through targeted agility initiatives and regulatory alignment. The study contributes to strategic airport management by identifying key levers that drive both operational performance and environmental responsibility.","container-title":"Frontiers in Sustainability","DOI":"10.3389/frsus.2025.1581348","ISSN":"2673-4524","journalAbbreviation":"Front. Sustain.","language":"English","note":"publisher: Frontiers","source":"Frontiers","title":"Corporate agility and government regulation as drivers of airport performance and airport sustainability: an SEM-based study in Indonesian airports","title-short":"Corporate agility and government regulation as drivers of airport performance and airport sustainability","URL":"https://www.frontiersin.org/journals/sustainability/articles/10.3389/frsus.2025.1581348/full","volume":"6","author":[{"family":"Fahmi","given":"Faik"},{"family":"Al Musadieq","given":"M."},{"family":"Damayanti","given":"Cacik Rut"},{"family":"Pangestuti","given":"Edriana"}],"accessed":{"date-parts":[["2025",12,30]]},"issued":{"date-parts":[["2025",9,15]]}}}],"schema":"https://github.com/citation-style-language/schema/raw/master/csl-citation.json"} </w:instrText>
      </w:r>
      <w:r w:rsidR="004152F4" w:rsidRPr="00472C21">
        <w:rPr>
          <w:rFonts w:ascii="Arial" w:hAnsi="Arial" w:cs="Arial"/>
          <w:sz w:val="24"/>
          <w:szCs w:val="24"/>
        </w:rPr>
        <w:fldChar w:fldCharType="separate"/>
      </w:r>
      <w:r w:rsidR="004152F4" w:rsidRPr="00472C21">
        <w:rPr>
          <w:rFonts w:ascii="Arial" w:hAnsi="Arial" w:cs="Arial"/>
          <w:sz w:val="24"/>
          <w:szCs w:val="24"/>
        </w:rPr>
        <w:t>Fahmi et al</w:t>
      </w:r>
      <w:r w:rsidR="00291D6B" w:rsidRPr="00472C21">
        <w:rPr>
          <w:rFonts w:ascii="Arial" w:hAnsi="Arial" w:cs="Arial"/>
          <w:sz w:val="24"/>
          <w:szCs w:val="24"/>
        </w:rPr>
        <w:t>.,</w:t>
      </w:r>
      <w:r w:rsidR="004152F4" w:rsidRPr="00472C21">
        <w:rPr>
          <w:rFonts w:ascii="Arial" w:hAnsi="Arial" w:cs="Arial"/>
          <w:sz w:val="24"/>
          <w:szCs w:val="24"/>
        </w:rPr>
        <w:t xml:space="preserve"> (2025)</w:t>
      </w:r>
      <w:r w:rsidR="004152F4" w:rsidRPr="00472C21">
        <w:rPr>
          <w:rFonts w:ascii="Arial" w:hAnsi="Arial" w:cs="Arial"/>
          <w:sz w:val="24"/>
          <w:szCs w:val="24"/>
        </w:rPr>
        <w:fldChar w:fldCharType="end"/>
      </w:r>
      <w:r w:rsidR="004152F4" w:rsidRPr="00472C21">
        <w:rPr>
          <w:rFonts w:ascii="Arial" w:hAnsi="Arial" w:cs="Arial"/>
          <w:sz w:val="24"/>
          <w:szCs w:val="24"/>
        </w:rPr>
        <w:t xml:space="preserve"> </w:t>
      </w:r>
      <w:r w:rsidR="00401B24" w:rsidRPr="00472C21">
        <w:rPr>
          <w:rFonts w:ascii="Arial" w:hAnsi="Arial" w:cs="Arial"/>
          <w:sz w:val="24"/>
          <w:szCs w:val="24"/>
        </w:rPr>
        <w:t>suggests that organisations operating under stronger regulatory frameworks tend to demonstrate more robust governance and compliance mechanisms, which can enhance overall performance</w:t>
      </w:r>
      <w:bookmarkStart w:id="12" w:name="_Hlk218688724"/>
      <w:r w:rsidR="00401B24" w:rsidRPr="00472C21">
        <w:rPr>
          <w:rFonts w:ascii="Arial" w:hAnsi="Arial" w:cs="Arial"/>
          <w:sz w:val="24"/>
          <w:szCs w:val="24"/>
        </w:rPr>
        <w:t xml:space="preserve"> </w:t>
      </w:r>
      <w:r w:rsidR="00401B24" w:rsidRPr="00472C21">
        <w:rPr>
          <w:rFonts w:ascii="Arial" w:hAnsi="Arial" w:cs="Arial"/>
          <w:sz w:val="24"/>
          <w:szCs w:val="24"/>
        </w:rPr>
        <w:fldChar w:fldCharType="begin"/>
      </w:r>
      <w:r w:rsidR="00A32F18" w:rsidRPr="00472C21">
        <w:rPr>
          <w:rFonts w:ascii="Arial" w:hAnsi="Arial" w:cs="Arial"/>
          <w:sz w:val="24"/>
          <w:szCs w:val="24"/>
        </w:rPr>
        <w:instrText xml:space="preserve"> ADDIN ZOTERO_ITEM CSL_CITATION {"citationID":"zqUB2WHI","properties":{"formattedCitation":"(Fahmi {\\i{}et al.}, 2025)","plainCitation":"(Fahmi et al., 2025)","noteIndex":0},"citationItems":[{"id":97,"uris":["http://zotero.org/users/local/bh3OqUSh/items/462XHQ6K"],"itemData":{"id":97,"type":"article-journal","abstract":"IntroductionThis study examines the effect of Corporate Agility and Government Regulation on Airport Performance and Airport Sustainability, with Airport Performance acting as a mediating variable.MethodsThis study utilized Structural Equation Modeling (SEM) to analyze data obtained from an Indonesian airport managed by PT Angkasa Pura Indonesia.ResultsThe result indicate that Responsiveness is the strongest indicator of Corporate Agility (loading = 0.830), followed by Workplace &amp; People, Technology, Quality, Process Planning, and Competency. The Regulator indicator contributes the most to the Government Regulation variable (loading = 0.875), followed by Catalyst and Facilitator. In terms of Airport Sustainability, Environmental factors emerge as the most dominant (loading = 0.884), followed by Social and Economic aspects. Among five tested direct relationships between variables, four are statistically significant. However, one of the two indirect effects from Government Regulation to Airport Sustainability via Airport Performance is not significant. Overall, the structural model explains 57.1% of the variance in the observed phenomena.DiscussionThese findings offer useful insights for airport policymakers and managers to improve sustainability performance through targeted agility initiatives and regulatory alignment. The study contributes to strategic airport management by identifying key levers that drive both operational performance and environmental responsibility.","container-title":"Frontiers in Sustainability","DOI":"10.3389/frsus.2025.1581348","ISSN":"2673-4524","journalAbbreviation":"Front. Sustain.","language":"English","note":"publisher: Frontiers","source":"Frontiers","title":"Corporate agility and government regulation as drivers of airport performance and airport sustainability: an SEM-based study in Indonesian airports","title-short":"Corporate agility and government regulation as drivers of airport performance and airport sustainability","URL":"https://www.frontiersin.org/journals/sustainability/articles/10.3389/frsus.2025.1581348/full","volume":"6","author":[{"family":"Fahmi","given":"Faik"},{"family":"Al Musadieq","given":"M."},{"family":"Damayanti","given":"Cacik Rut"},{"family":"Pangestuti","given":"Edriana"}],"accessed":{"date-parts":[["2025",12,30]]},"issued":{"date-parts":[["2025",9,15]]}}}],"schema":"https://github.com/citation-style-language/schema/raw/master/csl-citation.json"} </w:instrText>
      </w:r>
      <w:r w:rsidR="00401B24" w:rsidRPr="00472C21">
        <w:rPr>
          <w:rFonts w:ascii="Arial" w:hAnsi="Arial" w:cs="Arial"/>
          <w:sz w:val="24"/>
          <w:szCs w:val="24"/>
        </w:rPr>
        <w:fldChar w:fldCharType="separate"/>
      </w:r>
      <w:r w:rsidR="00401B24" w:rsidRPr="00472C21">
        <w:rPr>
          <w:rFonts w:ascii="Arial" w:hAnsi="Arial" w:cs="Arial"/>
          <w:sz w:val="24"/>
          <w:szCs w:val="24"/>
        </w:rPr>
        <w:t>(Fahmi et al., 2025)</w:t>
      </w:r>
      <w:r w:rsidR="00401B24" w:rsidRPr="00472C21">
        <w:rPr>
          <w:rFonts w:ascii="Arial" w:hAnsi="Arial" w:cs="Arial"/>
          <w:sz w:val="24"/>
          <w:szCs w:val="24"/>
        </w:rPr>
        <w:fldChar w:fldCharType="end"/>
      </w:r>
      <w:bookmarkEnd w:id="12"/>
      <w:r w:rsidR="00401B24" w:rsidRPr="00472C21">
        <w:rPr>
          <w:rFonts w:ascii="Arial" w:hAnsi="Arial" w:cs="Arial"/>
          <w:sz w:val="24"/>
          <w:szCs w:val="24"/>
        </w:rPr>
        <w:t xml:space="preserve">. </w:t>
      </w:r>
      <w:r w:rsidR="00401B24" w:rsidRPr="00472C21">
        <w:rPr>
          <w:rFonts w:ascii="Arial" w:eastAsia="Times New Roman" w:hAnsi="Arial" w:cs="Arial"/>
          <w:sz w:val="24"/>
          <w:szCs w:val="24"/>
          <w:lang w:eastAsia="en-GB"/>
        </w:rPr>
        <w:t>In the UK government plays a central role in shaping corporate behaviour through legislation such as the Modern Slavery Act 2015, which places a legal duty on organisations to disclose actions taken to prevent forced labour within their supply chains. This reflects the regulatory dimension of CSR by formalising expectations around ethical conduct. However, the Act’s reliance on transparency rather than enforcement has limited its effectiveness, allowing some firms to treat compliance as a reporting exercise rather than a catalyst for meaningful change</w:t>
      </w:r>
      <w:r w:rsidR="00A32F18" w:rsidRPr="00472C21">
        <w:rPr>
          <w:rFonts w:ascii="Arial" w:eastAsia="Times New Roman" w:hAnsi="Arial" w:cs="Arial"/>
          <w:sz w:val="24"/>
          <w:szCs w:val="24"/>
          <w:lang w:eastAsia="en-GB"/>
        </w:rPr>
        <w:t xml:space="preserve"> </w:t>
      </w:r>
      <w:r w:rsidR="00A32F18" w:rsidRPr="00472C21">
        <w:rPr>
          <w:rFonts w:ascii="Arial" w:eastAsia="Times New Roman" w:hAnsi="Arial" w:cs="Arial"/>
          <w:sz w:val="24"/>
          <w:szCs w:val="24"/>
          <w:lang w:eastAsia="en-GB"/>
        </w:rPr>
        <w:fldChar w:fldCharType="begin"/>
      </w:r>
      <w:r w:rsidR="00A32F18" w:rsidRPr="00472C21">
        <w:rPr>
          <w:rFonts w:ascii="Arial" w:eastAsia="Times New Roman" w:hAnsi="Arial" w:cs="Arial"/>
          <w:sz w:val="24"/>
          <w:szCs w:val="24"/>
          <w:lang w:eastAsia="en-GB"/>
        </w:rPr>
        <w:instrText xml:space="preserve"> ADDIN ZOTERO_ITEM CSL_CITATION {"citationID":"oo8089yR","properties":{"formattedCitation":"(Villadsen {\\i{}et al.}, 2023)","plainCitation":"(Villadsen et al., 2023)","noteIndex":0},"citationItems":[{"id":133,"uris":["http://zotero.org/users/local/bh3OqUSh/items/882E63FJ"],"itemData":{"id":133,"type":"article-journal","abstract":"undefined","container-title":"Sustainability","DOI":"10.3390/su15065110","ISSN":"2071-1050","issue":"6","language":"en","license":"http://creativecommons.org/licenses/by/3.0/","note":"Company: Multidisciplinary Digital Publishing Institute\nDistributor: Multidisciplinary Digital Publishing Institute\nInstitution: Multidisciplinary Digital Publishing Institute\nLabel: Multidisciplinary Digital Publishing Institute\npublisher: publisher","source":"www.mdpi.com","title":"Guest Editors’ Introduction to Special Issue: ‘Foucault, Corporate Social Responsibility, and Corporate Sustainability’","title-short":"Guest Editors’ Introduction to Special Issue","URL":"https://www.mdpi.com/2071-1050/15/6/5110","volume":"15","author":[{"family":"Villadsen","given":"Kaspar"},{"family":"Lundberg","given":"Johannes"},{"family":"Villadsen","given":"Kaspar"},{"family":"Lundberg","given":"Johannes"}],"accessed":{"date-parts":[["2026",1,7]]},"issued":{"date-parts":[["2023",3,13]]}}}],"schema":"https://github.com/citation-style-language/schema/raw/master/csl-citation.json"} </w:instrText>
      </w:r>
      <w:r w:rsidR="00A32F18" w:rsidRPr="00472C21">
        <w:rPr>
          <w:rFonts w:ascii="Arial" w:eastAsia="Times New Roman" w:hAnsi="Arial" w:cs="Arial"/>
          <w:sz w:val="24"/>
          <w:szCs w:val="24"/>
          <w:lang w:eastAsia="en-GB"/>
        </w:rPr>
        <w:fldChar w:fldCharType="separate"/>
      </w:r>
      <w:r w:rsidR="00A32F18" w:rsidRPr="00472C21">
        <w:rPr>
          <w:rFonts w:ascii="Arial" w:hAnsi="Arial" w:cs="Arial"/>
          <w:sz w:val="24"/>
          <w:szCs w:val="24"/>
        </w:rPr>
        <w:t>(Villadsen et al., 2023)</w:t>
      </w:r>
      <w:r w:rsidR="00A32F18" w:rsidRPr="00472C21">
        <w:rPr>
          <w:rFonts w:ascii="Arial" w:eastAsia="Times New Roman" w:hAnsi="Arial" w:cs="Arial"/>
          <w:sz w:val="24"/>
          <w:szCs w:val="24"/>
          <w:lang w:eastAsia="en-GB"/>
        </w:rPr>
        <w:fldChar w:fldCharType="end"/>
      </w:r>
      <w:r w:rsidR="00A32F18" w:rsidRPr="00472C21">
        <w:rPr>
          <w:rFonts w:ascii="Arial" w:eastAsia="Times New Roman" w:hAnsi="Arial" w:cs="Arial"/>
          <w:sz w:val="24"/>
          <w:szCs w:val="24"/>
          <w:lang w:eastAsia="en-GB"/>
        </w:rPr>
        <w:t>.</w:t>
      </w:r>
      <w:r w:rsidR="00401B24" w:rsidRPr="00472C21">
        <w:rPr>
          <w:rFonts w:ascii="Arial" w:eastAsia="Times New Roman" w:hAnsi="Arial" w:cs="Arial"/>
          <w:sz w:val="24"/>
          <w:szCs w:val="24"/>
          <w:lang w:eastAsia="en-GB"/>
        </w:rPr>
        <w:t xml:space="preserve"> This highlights a gap between legislative intent and practical accountability.</w:t>
      </w:r>
    </w:p>
    <w:p w14:paraId="4456633B" w14:textId="19658102" w:rsidR="00C33E88" w:rsidRDefault="00401B24" w:rsidP="00472C21">
      <w:pPr>
        <w:spacing w:line="360" w:lineRule="auto"/>
        <w:jc w:val="both"/>
        <w:rPr>
          <w:rFonts w:ascii="Arial" w:hAnsi="Arial" w:cs="Arial"/>
          <w:sz w:val="24"/>
          <w:szCs w:val="24"/>
        </w:rPr>
      </w:pPr>
      <w:r w:rsidRPr="00472C21">
        <w:rPr>
          <w:rFonts w:ascii="Arial" w:hAnsi="Arial" w:cs="Arial"/>
          <w:sz w:val="24"/>
          <w:szCs w:val="24"/>
        </w:rPr>
        <w:lastRenderedPageBreak/>
        <w:t xml:space="preserve">In the context of CSR and modern slavery, effective regulation has the potential to move firms beyond symbolic compliance towards more substantive action. </w:t>
      </w:r>
      <w:r w:rsidRPr="00472C21">
        <w:rPr>
          <w:rFonts w:ascii="Arial" w:eastAsia="Times New Roman" w:hAnsi="Arial" w:cs="Arial"/>
          <w:sz w:val="24"/>
          <w:szCs w:val="24"/>
          <w:lang w:eastAsia="en-GB"/>
        </w:rPr>
        <w:br/>
      </w:r>
      <w:r w:rsidR="00787857" w:rsidRPr="00472C21">
        <w:rPr>
          <w:rFonts w:ascii="Arial" w:eastAsia="Times New Roman" w:hAnsi="Arial" w:cs="Arial"/>
          <w:sz w:val="24"/>
          <w:szCs w:val="24"/>
          <w:lang w:eastAsia="en-GB"/>
        </w:rPr>
        <w:t>Within a</w:t>
      </w:r>
      <w:r w:rsidR="000220F5" w:rsidRPr="00472C21">
        <w:rPr>
          <w:rFonts w:ascii="Arial" w:eastAsia="Times New Roman" w:hAnsi="Arial" w:cs="Arial"/>
          <w:sz w:val="24"/>
          <w:szCs w:val="24"/>
          <w:lang w:eastAsia="en-GB"/>
        </w:rPr>
        <w:t xml:space="preserve"> </w:t>
      </w:r>
      <w:r w:rsidRPr="00472C21">
        <w:rPr>
          <w:rFonts w:ascii="Arial" w:eastAsia="Times New Roman" w:hAnsi="Arial" w:cs="Arial"/>
          <w:sz w:val="24"/>
          <w:szCs w:val="24"/>
          <w:lang w:eastAsia="en-GB"/>
        </w:rPr>
        <w:t xml:space="preserve">CSR perspective, </w:t>
      </w:r>
      <w:r w:rsidR="000220F5" w:rsidRPr="00472C21">
        <w:rPr>
          <w:rFonts w:ascii="Arial" w:eastAsia="Times New Roman" w:hAnsi="Arial" w:cs="Arial"/>
          <w:sz w:val="24"/>
          <w:szCs w:val="24"/>
          <w:lang w:eastAsia="en-GB"/>
        </w:rPr>
        <w:t>organisations</w:t>
      </w:r>
      <w:r w:rsidRPr="00472C21">
        <w:rPr>
          <w:rFonts w:ascii="Arial" w:eastAsia="Times New Roman" w:hAnsi="Arial" w:cs="Arial"/>
          <w:sz w:val="24"/>
          <w:szCs w:val="24"/>
          <w:lang w:eastAsia="en-GB"/>
        </w:rPr>
        <w:t xml:space="preserve"> are expected to go beyond legal compliance by embedding ethical responsibility into governance, risk management, and supply</w:t>
      </w:r>
      <w:r w:rsidR="000220F5" w:rsidRPr="00472C21">
        <w:rPr>
          <w:rFonts w:ascii="Arial" w:eastAsia="Times New Roman" w:hAnsi="Arial" w:cs="Arial"/>
          <w:sz w:val="24"/>
          <w:szCs w:val="24"/>
          <w:lang w:eastAsia="en-GB"/>
        </w:rPr>
        <w:t xml:space="preserve"> </w:t>
      </w:r>
      <w:r w:rsidRPr="00472C21">
        <w:rPr>
          <w:rFonts w:ascii="Arial" w:eastAsia="Times New Roman" w:hAnsi="Arial" w:cs="Arial"/>
          <w:sz w:val="24"/>
          <w:szCs w:val="24"/>
          <w:lang w:eastAsia="en-GB"/>
        </w:rPr>
        <w:t>chain practices</w:t>
      </w:r>
      <w:r w:rsidR="000220F5" w:rsidRPr="00472C21">
        <w:rPr>
          <w:rFonts w:ascii="Arial" w:eastAsia="Times New Roman" w:hAnsi="Arial" w:cs="Arial"/>
          <w:sz w:val="24"/>
          <w:szCs w:val="24"/>
          <w:lang w:eastAsia="en-GB"/>
        </w:rPr>
        <w:t xml:space="preserve"> </w:t>
      </w:r>
      <w:r w:rsidR="000220F5" w:rsidRPr="00472C21">
        <w:rPr>
          <w:rFonts w:ascii="Arial" w:eastAsia="Times New Roman" w:hAnsi="Arial" w:cs="Arial"/>
          <w:sz w:val="24"/>
          <w:szCs w:val="24"/>
          <w:lang w:eastAsia="en-GB"/>
        </w:rPr>
        <w:fldChar w:fldCharType="begin"/>
      </w:r>
      <w:r w:rsidR="000220F5" w:rsidRPr="00472C21">
        <w:rPr>
          <w:rFonts w:ascii="Arial" w:eastAsia="Times New Roman" w:hAnsi="Arial" w:cs="Arial"/>
          <w:sz w:val="24"/>
          <w:szCs w:val="24"/>
          <w:lang w:eastAsia="en-GB"/>
        </w:rPr>
        <w:instrText xml:space="preserve"> ADDIN ZOTERO_ITEM CSL_CITATION {"citationID":"Z0jq8Uxo","properties":{"formattedCitation":"(Prakash and Potoski, 2016)","plainCitation":"(Prakash and Potoski, 2016)","noteIndex":0},"citationItems":[{"id":96,"uris":["http://zotero.org/users/local/bh3OqUSh/items/V4CCLPZT"],"itemData":{"id":96,"type":"article-journal","abstract":"Abstract\n            There is a wide</w:instrText>
      </w:r>
      <w:r w:rsidR="000220F5" w:rsidRPr="00472C21">
        <w:rPr>
          <w:rFonts w:ascii="Cambria Math" w:eastAsia="Times New Roman" w:hAnsi="Cambria Math" w:cs="Cambria Math"/>
          <w:sz w:val="24"/>
          <w:szCs w:val="24"/>
          <w:lang w:eastAsia="en-GB"/>
        </w:rPr>
        <w:instrText>‐</w:instrText>
      </w:r>
      <w:r w:rsidR="000220F5" w:rsidRPr="00472C21">
        <w:rPr>
          <w:rFonts w:ascii="Arial" w:eastAsia="Times New Roman" w:hAnsi="Arial" w:cs="Arial"/>
          <w:sz w:val="24"/>
          <w:szCs w:val="24"/>
          <w:lang w:eastAsia="en-GB"/>
        </w:rPr>
        <w:instrText>spread perception among academics and commentators that institutional dysfunction has become increasingly common in important social, political, and economics arenas. Opinion polls show a decline in trust and confidence in major actors and institutions, including inter</w:instrText>
      </w:r>
      <w:r w:rsidR="000220F5" w:rsidRPr="00472C21">
        <w:rPr>
          <w:rFonts w:ascii="Cambria Math" w:eastAsia="Times New Roman" w:hAnsi="Cambria Math" w:cs="Cambria Math"/>
          <w:sz w:val="24"/>
          <w:szCs w:val="24"/>
          <w:lang w:eastAsia="en-GB"/>
        </w:rPr>
        <w:instrText>‐</w:instrText>
      </w:r>
      <w:r w:rsidR="000220F5" w:rsidRPr="00472C21">
        <w:rPr>
          <w:rFonts w:ascii="Arial" w:eastAsia="Times New Roman" w:hAnsi="Arial" w:cs="Arial"/>
          <w:sz w:val="24"/>
          <w:szCs w:val="24"/>
          <w:lang w:eastAsia="en-GB"/>
        </w:rPr>
        <w:instrText>governmental organizations, governments, firms, NGOs, and religious organizations. For some, the core of the problem is that the hitherto well</w:instrText>
      </w:r>
      <w:r w:rsidR="000220F5" w:rsidRPr="00472C21">
        <w:rPr>
          <w:rFonts w:ascii="Cambria Math" w:eastAsia="Times New Roman" w:hAnsi="Cambria Math" w:cs="Cambria Math"/>
          <w:sz w:val="24"/>
          <w:szCs w:val="24"/>
          <w:lang w:eastAsia="en-GB"/>
        </w:rPr>
        <w:instrText>‐</w:instrText>
      </w:r>
      <w:r w:rsidR="000220F5" w:rsidRPr="00472C21">
        <w:rPr>
          <w:rFonts w:ascii="Arial" w:eastAsia="Times New Roman" w:hAnsi="Arial" w:cs="Arial"/>
          <w:sz w:val="24"/>
          <w:szCs w:val="24"/>
          <w:lang w:eastAsia="en-GB"/>
        </w:rPr>
        <w:instrText>functioning states have become less effective in aggregating and acting upon citizens' preferences. Many policy initiatives of the 1990s – deregulation, privatization, new public management, private regulation, regional integration, civil society, and so on – seemed to have failed to meet expectations. This symposium seeks to identify important theoretical and empirical questions about institutional failure, such as why do institutions fail, why are they not self</w:instrText>
      </w:r>
      <w:r w:rsidR="000220F5" w:rsidRPr="00472C21">
        <w:rPr>
          <w:rFonts w:ascii="Cambria Math" w:eastAsia="Times New Roman" w:hAnsi="Cambria Math" w:cs="Cambria Math"/>
          <w:sz w:val="24"/>
          <w:szCs w:val="24"/>
          <w:lang w:eastAsia="en-GB"/>
        </w:rPr>
        <w:instrText>‐</w:instrText>
      </w:r>
      <w:r w:rsidR="000220F5" w:rsidRPr="00472C21">
        <w:rPr>
          <w:rFonts w:ascii="Arial" w:eastAsia="Times New Roman" w:hAnsi="Arial" w:cs="Arial"/>
          <w:sz w:val="24"/>
          <w:szCs w:val="24"/>
          <w:lang w:eastAsia="en-GB"/>
        </w:rPr>
        <w:instrText xml:space="preserve">correcting, what might be a clear evaluative yardstick and analytic approach by which to measure performance, and to what extent contemporary theories of institutional evolution and design are useful in examining institutional restructuring and institutional renewal? Symposium essays by leading social science scholars offer important insights to inform future work on institutional performance and outline an agenda for institutional renewal and change.","container-title":"Regulation &amp; Governance","DOI":"10.1111/rego.12113","ISSN":"1748-5983, 1748-5991","issue":"2","journalAbbreviation":"Regulation &amp; Governance","language":"en","license":"http://onlinelibrary.wiley.com/termsAndConditions#vor","page":"115-125","source":"DOI.org (Crossref)","title":"Dysfunctional institutions? Toward a New Agenda in Governance Studies","title-short":"Dysfunctional institutions?","volume":"10","author":[{"family":"Prakash","given":"Aseem"},{"family":"Potoski","given":"Matthew"}],"issued":{"date-parts":[["2016",6]]}}}],"schema":"https://github.com/citation-style-language/schema/raw/master/csl-citation.json"} </w:instrText>
      </w:r>
      <w:r w:rsidR="000220F5" w:rsidRPr="00472C21">
        <w:rPr>
          <w:rFonts w:ascii="Arial" w:eastAsia="Times New Roman" w:hAnsi="Arial" w:cs="Arial"/>
          <w:sz w:val="24"/>
          <w:szCs w:val="24"/>
          <w:lang w:eastAsia="en-GB"/>
        </w:rPr>
        <w:fldChar w:fldCharType="separate"/>
      </w:r>
      <w:r w:rsidR="000220F5" w:rsidRPr="00472C21">
        <w:rPr>
          <w:rFonts w:ascii="Arial" w:hAnsi="Arial" w:cs="Arial"/>
          <w:sz w:val="24"/>
          <w:szCs w:val="24"/>
        </w:rPr>
        <w:t>(</w:t>
      </w:r>
      <w:bookmarkStart w:id="13" w:name="_Hlk218342120"/>
      <w:r w:rsidR="000220F5" w:rsidRPr="00472C21">
        <w:rPr>
          <w:rFonts w:ascii="Arial" w:hAnsi="Arial" w:cs="Arial"/>
          <w:sz w:val="24"/>
          <w:szCs w:val="24"/>
        </w:rPr>
        <w:t>Prakash and Potoski, 2016</w:t>
      </w:r>
      <w:bookmarkEnd w:id="13"/>
      <w:r w:rsidR="000220F5" w:rsidRPr="00472C21">
        <w:rPr>
          <w:rFonts w:ascii="Arial" w:hAnsi="Arial" w:cs="Arial"/>
          <w:sz w:val="24"/>
          <w:szCs w:val="24"/>
        </w:rPr>
        <w:t>)</w:t>
      </w:r>
      <w:r w:rsidR="000220F5" w:rsidRPr="00472C21">
        <w:rPr>
          <w:rFonts w:ascii="Arial" w:eastAsia="Times New Roman" w:hAnsi="Arial" w:cs="Arial"/>
          <w:sz w:val="24"/>
          <w:szCs w:val="24"/>
          <w:lang w:eastAsia="en-GB"/>
        </w:rPr>
        <w:fldChar w:fldCharType="end"/>
      </w:r>
      <w:r w:rsidR="000220F5" w:rsidRPr="00472C21">
        <w:rPr>
          <w:rFonts w:ascii="Arial" w:eastAsia="Times New Roman" w:hAnsi="Arial" w:cs="Arial"/>
          <w:sz w:val="24"/>
          <w:szCs w:val="24"/>
          <w:lang w:eastAsia="en-GB"/>
        </w:rPr>
        <w:t>.</w:t>
      </w:r>
      <w:r w:rsidRPr="00472C21">
        <w:rPr>
          <w:rFonts w:ascii="Arial" w:eastAsia="Times New Roman" w:hAnsi="Arial" w:cs="Arial"/>
          <w:sz w:val="24"/>
          <w:szCs w:val="24"/>
          <w:lang w:eastAsia="en-GB"/>
        </w:rPr>
        <w:t xml:space="preserve"> While many organisations publicly </w:t>
      </w:r>
      <w:r w:rsidRPr="00401B24">
        <w:rPr>
          <w:rFonts w:ascii="Arial" w:eastAsia="Times New Roman" w:hAnsi="Arial" w:cs="Arial"/>
          <w:sz w:val="24"/>
          <w:szCs w:val="24"/>
          <w:lang w:eastAsia="en-GB"/>
        </w:rPr>
        <w:t>commit to ethical sourcing and human rights protection, evidence</w:t>
      </w:r>
      <w:r w:rsidR="002D4742">
        <w:rPr>
          <w:rFonts w:ascii="Arial" w:eastAsia="Times New Roman" w:hAnsi="Arial" w:cs="Arial"/>
          <w:sz w:val="24"/>
          <w:szCs w:val="24"/>
          <w:lang w:eastAsia="en-GB"/>
        </w:rPr>
        <w:t xml:space="preserve"> from </w:t>
      </w:r>
      <w:r w:rsidR="002D4742" w:rsidRPr="000220F5">
        <w:rPr>
          <w:rFonts w:ascii="Arial" w:hAnsi="Arial" w:cs="Arial"/>
          <w:sz w:val="24"/>
        </w:rPr>
        <w:t xml:space="preserve">Prakash and Potoski, </w:t>
      </w:r>
      <w:r w:rsidR="002D4742">
        <w:rPr>
          <w:rFonts w:ascii="Arial" w:hAnsi="Arial" w:cs="Arial"/>
          <w:sz w:val="24"/>
        </w:rPr>
        <w:t>(</w:t>
      </w:r>
      <w:r w:rsidR="002D4742" w:rsidRPr="000220F5">
        <w:rPr>
          <w:rFonts w:ascii="Arial" w:hAnsi="Arial" w:cs="Arial"/>
          <w:sz w:val="24"/>
        </w:rPr>
        <w:t>2016</w:t>
      </w:r>
      <w:r w:rsidR="002D4742">
        <w:rPr>
          <w:rFonts w:ascii="Arial" w:hAnsi="Arial" w:cs="Arial"/>
          <w:sz w:val="24"/>
        </w:rPr>
        <w:t>)</w:t>
      </w:r>
      <w:r w:rsidRPr="00401B24">
        <w:rPr>
          <w:rFonts w:ascii="Arial" w:eastAsia="Times New Roman" w:hAnsi="Arial" w:cs="Arial"/>
          <w:sz w:val="24"/>
          <w:szCs w:val="24"/>
          <w:lang w:eastAsia="en-GB"/>
        </w:rPr>
        <w:t xml:space="preserve"> suggests that such commitments are often inconsistently implemented</w:t>
      </w:r>
      <w:r w:rsidR="00825427" w:rsidRPr="00825427">
        <w:rPr>
          <w:rFonts w:ascii="Arial" w:eastAsia="Times New Roman" w:hAnsi="Arial" w:cs="Arial"/>
          <w:sz w:val="24"/>
          <w:szCs w:val="24"/>
          <w:lang w:eastAsia="en-GB"/>
        </w:rPr>
        <w:t xml:space="preserve">. In addition, </w:t>
      </w:r>
      <w:r w:rsidR="00825427" w:rsidRPr="00825427">
        <w:rPr>
          <w:rFonts w:ascii="Arial" w:hAnsi="Arial" w:cs="Arial"/>
          <w:sz w:val="24"/>
          <w:szCs w:val="24"/>
        </w:rPr>
        <w:t xml:space="preserve">ethical leadership within organisations has gained increasing prominence, particularly in the context of corporate social responsibility and sustainability, as it is widely viewed as a critical mechanism for improving organisational effectiveness and ethical governance </w:t>
      </w:r>
      <w:r w:rsidR="00825427" w:rsidRPr="00825427">
        <w:rPr>
          <w:rFonts w:ascii="Arial" w:hAnsi="Arial" w:cs="Arial"/>
          <w:sz w:val="24"/>
          <w:szCs w:val="24"/>
        </w:rPr>
        <w:fldChar w:fldCharType="begin"/>
      </w:r>
      <w:r w:rsidR="00825427" w:rsidRPr="00825427">
        <w:rPr>
          <w:rFonts w:ascii="Arial" w:hAnsi="Arial" w:cs="Arial"/>
          <w:sz w:val="24"/>
          <w:szCs w:val="24"/>
        </w:rPr>
        <w:instrText xml:space="preserve"> ADDIN ZOTERO_ITEM CSL_CITATION {"citationID":"skNsl9Se","properties":{"formattedCitation":"(Zahari {\\i{}et al.}, 2024)","plainCitation":"(Zahari et al., 2024)","noteIndex":0},"citationItems":[{"id":107,"uris":["http://zotero.org/users/local/bh3OqUSh/items/QMD9H29N"],"itemData":{"id":107,"type":"article-journal","abstract":"Purpose: The purpose of this study is to explore how ethical leadership behaviours within government organisations impact the development and sustainability of a positive organisational culture, which, in turn, has implications for ESG alignment.","container-title":"Journal of Open Innovation: Technology, Market, and Complexity","DOI":"10.1016/j.joitmc.2024.100219","ISSN":"21998531","issue":"1","journalAbbreviation":"Journal of Open Innovation: Technology, Market, and Complexity","language":"en","page":"100219","source":"DOI.org (Crossref)","title":"Ethical culture and leadership for sustainability and governance in public sector organisations within the ESG framework","volume":"10","author":[{"family":"Zahari","given":"Afzal Izzaz"},{"family":"Said","given":"Jamaliah"},{"family":"Muhamad","given":"Nurisyal"},{"family":"Ramly","given":"Suhaily Mohd"}],"issued":{"date-parts":[["2024",3]]}}}],"schema":"https://github.com/citation-style-language/schema/raw/master/csl-citation.json"} </w:instrText>
      </w:r>
      <w:r w:rsidR="00825427" w:rsidRPr="00825427">
        <w:rPr>
          <w:rFonts w:ascii="Arial" w:hAnsi="Arial" w:cs="Arial"/>
          <w:sz w:val="24"/>
          <w:szCs w:val="24"/>
        </w:rPr>
        <w:fldChar w:fldCharType="separate"/>
      </w:r>
      <w:r w:rsidR="00825427" w:rsidRPr="00825427">
        <w:rPr>
          <w:rFonts w:ascii="Arial" w:hAnsi="Arial" w:cs="Arial"/>
          <w:sz w:val="24"/>
        </w:rPr>
        <w:t>(Zahari et al., 2024)</w:t>
      </w:r>
      <w:r w:rsidR="00825427" w:rsidRPr="00825427">
        <w:rPr>
          <w:rFonts w:ascii="Arial" w:hAnsi="Arial" w:cs="Arial"/>
          <w:sz w:val="24"/>
          <w:szCs w:val="24"/>
        </w:rPr>
        <w:fldChar w:fldCharType="end"/>
      </w:r>
      <w:r w:rsidR="00825427">
        <w:rPr>
          <w:rFonts w:ascii="Arial" w:hAnsi="Arial" w:cs="Arial"/>
          <w:sz w:val="24"/>
          <w:szCs w:val="24"/>
        </w:rPr>
        <w:t xml:space="preserve">. </w:t>
      </w:r>
      <w:r w:rsidR="00825427" w:rsidRPr="00825427">
        <w:rPr>
          <w:rFonts w:ascii="Arial" w:hAnsi="Arial" w:cs="Arial"/>
          <w:sz w:val="24"/>
          <w:szCs w:val="24"/>
        </w:rPr>
        <w:t>In relation to modern slavery, ethical leadership is essential in translating CSR commitments into meaningful action, ensuring that organisations move beyond symbolic compliance towards genuine accountability in addressing human rights risks across supply chains. This is especially relevant within the UK context, where government frameworks such as the Modern Slavery Act place expectations on leadership to embed ethical responsibility into organisational strategy, decision-making, and operational practice rather than treating it as a reporting obligation alone.</w:t>
      </w:r>
      <w:r w:rsidRPr="00401B24">
        <w:rPr>
          <w:rFonts w:ascii="Arial" w:eastAsia="Times New Roman" w:hAnsi="Arial" w:cs="Arial"/>
          <w:sz w:val="24"/>
          <w:szCs w:val="24"/>
          <w:lang w:eastAsia="en-GB"/>
        </w:rPr>
        <w:t xml:space="preserve"> Weak regulatory oversight enables superficial adoption of CSR frameworks, reinforcing concerns that CSR can function as reputational management rather than genuine ethical practice, particularly in addressing modern slavery risks.</w:t>
      </w:r>
    </w:p>
    <w:p w14:paraId="2EC1D39A" w14:textId="636A7E63" w:rsidR="00CA2957" w:rsidRPr="00BD0ABC" w:rsidRDefault="00BD0ABC" w:rsidP="00BD0ABC">
      <w:pPr>
        <w:spacing w:line="360" w:lineRule="auto"/>
        <w:jc w:val="both"/>
        <w:rPr>
          <w:rFonts w:ascii="Arial" w:eastAsia="Times New Roman" w:hAnsi="Arial" w:cs="Arial"/>
          <w:sz w:val="24"/>
          <w:szCs w:val="24"/>
          <w:lang w:eastAsia="en-GB"/>
        </w:rPr>
      </w:pPr>
      <w:r w:rsidRPr="00BD0ABC">
        <w:rPr>
          <w:rFonts w:ascii="Arial" w:hAnsi="Arial" w:cs="Arial"/>
          <w:sz w:val="24"/>
          <w:szCs w:val="24"/>
        </w:rPr>
        <w:t>Effective eradication of modern slavery requires shared responsibility across government, business, and society. The UK government’s role extends beyond regulation to include education, monitoring, and collaboration with civil society to raise awareness and support victims. In practice, however, governments increasingly rely on digital reporting technologies to monitor corporate compliance, particularly under frameworks such as the Modern Slavery Act. While these systems may enhance transparency, without robust enforcement and human oversight they risk enabling procedural compliance rather than substantive accountability. Moreover, without societal pressure and informed stakeholder engagement, regulatory and corporate efforts risk stagnation, allowing exploitative labour practices to persist beneath formal disclosures rather than being meaningfully addressed.</w:t>
      </w:r>
    </w:p>
    <w:p w14:paraId="711CAFFC" w14:textId="18E89C53" w:rsidR="00211683" w:rsidRPr="00226092" w:rsidRDefault="00401B24" w:rsidP="002F56B3">
      <w:pPr>
        <w:spacing w:line="360" w:lineRule="auto"/>
        <w:jc w:val="both"/>
        <w:rPr>
          <w:rFonts w:ascii="Arial" w:hAnsi="Arial" w:cs="Arial"/>
          <w:sz w:val="24"/>
          <w:szCs w:val="24"/>
        </w:rPr>
      </w:pPr>
      <w:r w:rsidRPr="00401B24">
        <w:rPr>
          <w:rFonts w:ascii="Arial" w:eastAsia="Times New Roman" w:hAnsi="Arial" w:cs="Arial"/>
          <w:sz w:val="24"/>
          <w:szCs w:val="24"/>
          <w:lang w:eastAsia="en-GB"/>
        </w:rPr>
        <w:lastRenderedPageBreak/>
        <w:t>In line with Lincoln’s assertion that responsibility cannot be deferred without consequence, the failure to translate awareness into coordinated action perpetuates systemic exploitation</w:t>
      </w:r>
      <w:r w:rsidR="00F64A14" w:rsidRPr="00401B24">
        <w:rPr>
          <w:rFonts w:ascii="Arial" w:eastAsia="Times New Roman" w:hAnsi="Arial" w:cs="Arial"/>
          <w:sz w:val="24"/>
          <w:szCs w:val="24"/>
          <w:lang w:eastAsia="en-GB"/>
        </w:rPr>
        <w:t>.</w:t>
      </w:r>
      <w:r w:rsidR="00F64A14" w:rsidRPr="00443FD7">
        <w:rPr>
          <w:rFonts w:ascii="Arial" w:eastAsia="Times New Roman" w:hAnsi="Arial" w:cs="Arial"/>
          <w:sz w:val="24"/>
          <w:szCs w:val="24"/>
          <w:lang w:eastAsia="en-GB"/>
        </w:rPr>
        <w:t xml:space="preserve"> </w:t>
      </w:r>
      <w:r w:rsidR="00443FD7" w:rsidRPr="00443FD7">
        <w:rPr>
          <w:rFonts w:ascii="Arial" w:eastAsia="Times New Roman" w:hAnsi="Arial" w:cs="Arial"/>
          <w:sz w:val="24"/>
          <w:szCs w:val="24"/>
          <w:lang w:eastAsia="en-GB"/>
        </w:rPr>
        <w:t xml:space="preserve">Sustainability governance also depends on ethical leadership within the public </w:t>
      </w:r>
      <w:r w:rsidR="00F64A14" w:rsidRPr="00443FD7">
        <w:rPr>
          <w:rFonts w:ascii="Arial" w:eastAsia="Times New Roman" w:hAnsi="Arial" w:cs="Arial"/>
          <w:sz w:val="24"/>
          <w:szCs w:val="24"/>
          <w:lang w:eastAsia="en-GB"/>
        </w:rPr>
        <w:t>sector;</w:t>
      </w:r>
      <w:r w:rsidR="00443FD7" w:rsidRPr="00443FD7">
        <w:rPr>
          <w:rFonts w:ascii="Arial" w:eastAsia="Times New Roman" w:hAnsi="Arial" w:cs="Arial"/>
          <w:sz w:val="24"/>
          <w:szCs w:val="24"/>
          <w:lang w:eastAsia="en-GB"/>
        </w:rPr>
        <w:t xml:space="preserve"> this is because </w:t>
      </w:r>
      <w:r w:rsidR="00443FD7" w:rsidRPr="00443FD7">
        <w:rPr>
          <w:rFonts w:ascii="Arial" w:hAnsi="Arial" w:cs="Arial"/>
          <w:sz w:val="24"/>
          <w:szCs w:val="24"/>
        </w:rPr>
        <w:t>ethical leadership positively impact circular economy practices</w:t>
      </w:r>
      <w:r w:rsidR="005C7F36">
        <w:rPr>
          <w:rFonts w:ascii="Arial" w:hAnsi="Arial" w:cs="Arial"/>
          <w:sz w:val="24"/>
          <w:szCs w:val="24"/>
        </w:rPr>
        <w:t xml:space="preserve">. Ethical </w:t>
      </w:r>
      <w:r w:rsidR="005C7F36" w:rsidRPr="00272695">
        <w:rPr>
          <w:rFonts w:ascii="Arial" w:hAnsi="Arial" w:cs="Arial"/>
          <w:sz w:val="24"/>
          <w:szCs w:val="24"/>
        </w:rPr>
        <w:t>governance ensures decisions are made transparently, equitably, and with long term societal welfare in mind</w:t>
      </w:r>
      <w:r w:rsidR="00443FD7" w:rsidRPr="00272695">
        <w:rPr>
          <w:rFonts w:ascii="Arial" w:hAnsi="Arial" w:cs="Arial"/>
          <w:sz w:val="24"/>
          <w:szCs w:val="24"/>
        </w:rPr>
        <w:t xml:space="preserve"> </w:t>
      </w:r>
      <w:r w:rsidR="00443FD7" w:rsidRPr="00272695">
        <w:rPr>
          <w:rFonts w:ascii="Arial" w:hAnsi="Arial" w:cs="Arial"/>
          <w:sz w:val="24"/>
          <w:szCs w:val="24"/>
        </w:rPr>
        <w:fldChar w:fldCharType="begin"/>
      </w:r>
      <w:r w:rsidR="00443FD7" w:rsidRPr="00272695">
        <w:rPr>
          <w:rFonts w:ascii="Arial" w:hAnsi="Arial" w:cs="Arial"/>
          <w:sz w:val="24"/>
          <w:szCs w:val="24"/>
        </w:rPr>
        <w:instrText xml:space="preserve"> ADDIN ZOTERO_ITEM CSL_CITATION {"citationID":"vs9ABBE1","properties":{"formattedCitation":"(Agyabeng-Mensah {\\i{}et al.}, 2023)","plainCitation":"(Agyabeng-Mensah et al., 2023)","noteIndex":0},"citationItems":[{"id":104,"uris":["http://zotero.org/users/local/bh3OqUSh/items/AZEIEDG8"],"itemData":{"id":104,"type":"article-journal","abstract":"Purpose\nThis study draws insight from the leader-member exchange theory to examine the link between supply chain ethical leadership and circular supply chain practices. This study further draws on the contingent theory to explore the interactive effect of environmental orientation and circular supply chain practices on corporate sustainability performance.\nDesign/methodology/approach\nThis study uses a quantitative research approach where partial least square structural equation modelling (SMART PLS) is used to analyse survey data gathered from 122 managers of small and medium enterprises in Ghana.\nFindings\nThis study reports that there is a significant positive relationship between ethical supply chain leadership and circular supply chain practices. The findings further reveal that internal environmental orientation and external environmental orientation moderate the relationship between circular supply chain practices and corporate sustainability performance.\nOriginality/value\nThis study sheds light on ethical supply chain leadership's influence on circular supply chain practices. The study also offers an empirical argument to explain contradictory relationships between circular supply chain practices and corporate sustainability performance by applying the contingency roles of internal and external environmental orientation.","container-title":"Journal of Manufacturing Technology Management","DOI":"10.1108/JMTM-08-2022-0296","ISSN":"1741038X","issue":"2","language":"English","license":"© Emerald Publishing Limited.","note":"number-of-pages: 21\npublisher-place: Bradford, United Kingdom\npublisher: Emerald Group Publishing Limited","page":"213-233","source":"ProQuest","title":"Circular supply chain practices and corporate sustainability performance: do ethical supply chain leadership and environmental orientation make a difference?","title-short":"Circular supply chain practices and corporate sustainability performance","volume":"34","author":[{"family":"Agyabeng-Mensah","given":"Yaw"},{"family":"Baah","given":"Charles"},{"family":"Afum","given":"Ebenezer"},{"family":"Kumi","given":"Caleb Amankwaa"}],"issued":{"date-parts":[["2023"]]}}}],"schema":"https://github.com/citation-style-language/schema/raw/master/csl-citation.json"} </w:instrText>
      </w:r>
      <w:r w:rsidR="00443FD7" w:rsidRPr="00272695">
        <w:rPr>
          <w:rFonts w:ascii="Arial" w:hAnsi="Arial" w:cs="Arial"/>
          <w:sz w:val="24"/>
          <w:szCs w:val="24"/>
        </w:rPr>
        <w:fldChar w:fldCharType="separate"/>
      </w:r>
      <w:r w:rsidR="00443FD7" w:rsidRPr="00272695">
        <w:rPr>
          <w:rFonts w:ascii="Arial" w:hAnsi="Arial" w:cs="Arial"/>
          <w:sz w:val="24"/>
          <w:szCs w:val="24"/>
        </w:rPr>
        <w:t>(Agyabeng-Mensah et al., 2023)</w:t>
      </w:r>
      <w:r w:rsidR="00443FD7" w:rsidRPr="00272695">
        <w:rPr>
          <w:rFonts w:ascii="Arial" w:hAnsi="Arial" w:cs="Arial"/>
          <w:sz w:val="24"/>
          <w:szCs w:val="24"/>
        </w:rPr>
        <w:fldChar w:fldCharType="end"/>
      </w:r>
      <w:r w:rsidR="00443FD7" w:rsidRPr="00272695">
        <w:rPr>
          <w:rFonts w:ascii="Arial" w:hAnsi="Arial" w:cs="Arial"/>
          <w:sz w:val="24"/>
          <w:szCs w:val="24"/>
        </w:rPr>
        <w:t>.</w:t>
      </w:r>
      <w:r w:rsidR="005C7F36" w:rsidRPr="00272695">
        <w:rPr>
          <w:rFonts w:ascii="Arial" w:hAnsi="Arial" w:cs="Arial"/>
          <w:sz w:val="24"/>
          <w:szCs w:val="24"/>
        </w:rPr>
        <w:t xml:space="preserve"> </w:t>
      </w:r>
      <w:r w:rsidR="00272695" w:rsidRPr="00272695">
        <w:rPr>
          <w:rFonts w:ascii="Arial" w:hAnsi="Arial" w:cs="Arial"/>
          <w:sz w:val="24"/>
          <w:szCs w:val="24"/>
        </w:rPr>
        <w:t>Accountability represents a central pillar of sustainable governance, requiring governments not only to legislate standards but also to demonstrate transparency and ethical conduct within their own operations. However, persistent deficiencies in the transparency, accuracy, and credibility of sustainability reporting have undermined stakeholder trust, prompting increased reliance on external assurance mechanisms. Existing research indicates that stakeholders’ confidence in sustainability disclosures is closely linked to the level and quality of independent assurance provided, highlighting the limitations of self-</w:t>
      </w:r>
      <w:r w:rsidR="00272695" w:rsidRPr="00696B7A">
        <w:rPr>
          <w:rFonts w:ascii="Arial" w:hAnsi="Arial" w:cs="Arial"/>
          <w:sz w:val="24"/>
          <w:szCs w:val="24"/>
        </w:rPr>
        <w:t>reported compliance and the need for more robust accountability frameworks</w:t>
      </w:r>
      <w:r w:rsidR="0001590B" w:rsidRPr="00696B7A">
        <w:rPr>
          <w:rFonts w:ascii="Arial" w:hAnsi="Arial" w:cs="Arial"/>
          <w:sz w:val="24"/>
          <w:szCs w:val="24"/>
        </w:rPr>
        <w:t xml:space="preserve"> </w:t>
      </w:r>
      <w:r w:rsidR="0001590B" w:rsidRPr="00696B7A">
        <w:rPr>
          <w:rFonts w:ascii="Arial" w:hAnsi="Arial" w:cs="Arial"/>
          <w:sz w:val="24"/>
          <w:szCs w:val="24"/>
        </w:rPr>
        <w:fldChar w:fldCharType="begin"/>
      </w:r>
      <w:r w:rsidR="0001590B" w:rsidRPr="00696B7A">
        <w:rPr>
          <w:rFonts w:ascii="Arial" w:hAnsi="Arial" w:cs="Arial"/>
          <w:sz w:val="24"/>
          <w:szCs w:val="24"/>
        </w:rPr>
        <w:instrText xml:space="preserve"> ADDIN ZOTERO_ITEM CSL_CITATION {"citationID":"H4HTbXfL","properties":{"formattedCitation":"(Hamrouni {\\i{}et al.}, 2023)","plainCitation":"(Hamrouni et al., 2023)","noteIndex":0},"citationItems":[{"id":108,"uris":["http://zotero.org/users/local/bh3OqUSh/items/N98JL5DN"],"itemData":{"id":108,"type":"article-journal","abstract":"Drawing on institutional theory, this study tests how the ethical behaviors of firms, in interaction with public officials and through the strength of accountability regulations, influence sustainability reporting practices in the hospitality and tourism (H firms established in environments characterized by high accountability are more likely than low accountability environments to issue a sustainability report, which implies a complementary effect between the strength of the accountability and the firms? sustainability disclosures. This verifies that the weakness or strength of informal and formal institutional forces exert considerable influence on firms? desire to carry out sustainability reporting. However, this influence is not true of the acquisition of external assurance statements and following Global Reporting Initiative guidelines, with which accountability has a negative and insignificant association, respectively.","container-title":"Tourism Economics","DOI":"10.1177/13548166211062649","ISSN":"1354-8166","issue":"3","note":"publisher: SAGE Publications Ltd","page":"664-695","source":"SAGE Journals","title":"Ethical environment, accountability, and sustainability reporting: What is the connection in the hospitality and tourism industry?","title-short":"Ethical environment, accountability, and sustainability reporting","volume":"29","author":[{"family":"Hamrouni","given":"Amal"},{"family":"Karaman","given":"Abdullah S"},{"family":"Kuzey","given":"Cemil"},{"family":"Uyar","given":"Ali"}],"issued":{"date-parts":[["2023",5,1]]}}}],"schema":"https://github.com/citation-style-language/schema/raw/master/csl-citation.json"} </w:instrText>
      </w:r>
      <w:r w:rsidR="0001590B" w:rsidRPr="00696B7A">
        <w:rPr>
          <w:rFonts w:ascii="Arial" w:hAnsi="Arial" w:cs="Arial"/>
          <w:sz w:val="24"/>
          <w:szCs w:val="24"/>
        </w:rPr>
        <w:fldChar w:fldCharType="separate"/>
      </w:r>
      <w:r w:rsidR="0001590B" w:rsidRPr="00696B7A">
        <w:rPr>
          <w:rFonts w:ascii="Arial" w:hAnsi="Arial" w:cs="Arial"/>
          <w:sz w:val="24"/>
          <w:szCs w:val="24"/>
        </w:rPr>
        <w:t>(Hamrouni et al., 2023)</w:t>
      </w:r>
      <w:r w:rsidR="0001590B" w:rsidRPr="00696B7A">
        <w:rPr>
          <w:rFonts w:ascii="Arial" w:hAnsi="Arial" w:cs="Arial"/>
          <w:sz w:val="24"/>
          <w:szCs w:val="24"/>
        </w:rPr>
        <w:fldChar w:fldCharType="end"/>
      </w:r>
      <w:r w:rsidR="0001590B" w:rsidRPr="00696B7A">
        <w:rPr>
          <w:rFonts w:ascii="Arial" w:hAnsi="Arial" w:cs="Arial"/>
          <w:sz w:val="24"/>
          <w:szCs w:val="24"/>
        </w:rPr>
        <w:t>.</w:t>
      </w:r>
      <w:r w:rsidR="00B91D94" w:rsidRPr="00696B7A">
        <w:rPr>
          <w:rFonts w:ascii="Arial" w:hAnsi="Arial" w:cs="Arial"/>
          <w:sz w:val="24"/>
          <w:szCs w:val="24"/>
        </w:rPr>
        <w:t xml:space="preserve"> </w:t>
      </w:r>
      <w:r w:rsidR="00696B7A" w:rsidRPr="00696B7A">
        <w:rPr>
          <w:rFonts w:ascii="Arial" w:hAnsi="Arial" w:cs="Arial"/>
          <w:sz w:val="24"/>
          <w:szCs w:val="24"/>
        </w:rPr>
        <w:t xml:space="preserve">Despite notable progress in the development of sustainability and </w:t>
      </w:r>
      <w:r w:rsidR="00696B7A" w:rsidRPr="002D4742">
        <w:rPr>
          <w:rFonts w:ascii="Arial" w:hAnsi="Arial" w:cs="Arial"/>
          <w:sz w:val="24"/>
          <w:szCs w:val="24"/>
        </w:rPr>
        <w:t>human rights policies, the UK government continues to be criticised for adopting a largely reactive approach to enforcement rather than proactive prevention</w:t>
      </w:r>
      <w:r w:rsidR="002D4742" w:rsidRPr="002D4742">
        <w:rPr>
          <w:rFonts w:ascii="Arial" w:hAnsi="Arial" w:cs="Arial"/>
          <w:sz w:val="24"/>
          <w:szCs w:val="24"/>
        </w:rPr>
        <w:t xml:space="preserve"> (Umair, Waqas, and </w:t>
      </w:r>
      <w:proofErr w:type="spellStart"/>
      <w:r w:rsidR="002D4742" w:rsidRPr="002D4742">
        <w:rPr>
          <w:rFonts w:ascii="Arial" w:hAnsi="Arial" w:cs="Arial"/>
          <w:sz w:val="24"/>
          <w:szCs w:val="24"/>
        </w:rPr>
        <w:t>Mrugalska</w:t>
      </w:r>
      <w:proofErr w:type="spellEnd"/>
      <w:r w:rsidR="002D4742" w:rsidRPr="002D4742">
        <w:rPr>
          <w:rFonts w:ascii="Arial" w:hAnsi="Arial" w:cs="Arial"/>
          <w:sz w:val="24"/>
          <w:szCs w:val="24"/>
        </w:rPr>
        <w:t xml:space="preserve"> 2023)</w:t>
      </w:r>
      <w:r w:rsidR="00696B7A" w:rsidRPr="002D4742">
        <w:rPr>
          <w:rFonts w:ascii="Arial" w:hAnsi="Arial" w:cs="Arial"/>
          <w:sz w:val="24"/>
          <w:szCs w:val="24"/>
        </w:rPr>
        <w:t>.</w:t>
      </w:r>
      <w:r w:rsidR="00696B7A" w:rsidRPr="00696B7A">
        <w:rPr>
          <w:rFonts w:ascii="Arial" w:hAnsi="Arial" w:cs="Arial"/>
          <w:sz w:val="24"/>
          <w:szCs w:val="24"/>
        </w:rPr>
        <w:t xml:space="preserve"> Lincoln’s warning that responsibility cannot be deferred without consequence is particularly relevant in the context of modern slavery </w:t>
      </w:r>
      <w:r w:rsidR="00696B7A" w:rsidRPr="00226092">
        <w:rPr>
          <w:rFonts w:ascii="Arial" w:hAnsi="Arial" w:cs="Arial"/>
          <w:sz w:val="24"/>
          <w:szCs w:val="24"/>
        </w:rPr>
        <w:t xml:space="preserve">governance, where delayed action, weak enforcement, and reliance on voluntary corporate disclosure risk allowing exploitative labour practices to persist. While legislation such as the UK Modern Slavery Act signals commitment, the gap between policy intent and practical accountability highlights the limits of compliance-led CSR. Consequently, organisations are increasingly expected not merely to comply with minimum legal standards, but to proactively embed ethical labour practices, transparent supply chains, and robust due diligence as core elements of corporate responsibility and stakeholder accountability </w:t>
      </w:r>
      <w:r w:rsidR="00696B7A" w:rsidRPr="00226092">
        <w:rPr>
          <w:rFonts w:ascii="Arial" w:hAnsi="Arial" w:cs="Arial"/>
          <w:sz w:val="24"/>
          <w:szCs w:val="24"/>
        </w:rPr>
        <w:fldChar w:fldCharType="begin"/>
      </w:r>
      <w:r w:rsidR="00696B7A" w:rsidRPr="00226092">
        <w:rPr>
          <w:rFonts w:ascii="Arial" w:hAnsi="Arial" w:cs="Arial"/>
          <w:sz w:val="24"/>
          <w:szCs w:val="24"/>
        </w:rPr>
        <w:instrText xml:space="preserve"> ADDIN ZOTERO_ITEM CSL_CITATION {"citationID":"81W3xtmD","properties":{"formattedCitation":"(Umair, 2024b)","plainCitation":"(Umair, 2024b)","noteIndex":0},"citationItems":[{"id":110,"uris":["http://zotero.org/users/local/bh3OqUSh/items/M5LSHPRW"],"itemData":{"id":110,"type":"article-journal","container-title":"Social and Environmental Accountability Journal","DOI":"10.1080/0969160X.2024.2360277","ISSN":"0969-160X, 2156-2245","issue":"2","journalAbbreviation":"Social and Environmental Accountability Journal","language":"en","page":"178-179","source":"DOI.org (Crossref)","title":"Moving Beyond the External Face of Accountability: Constructing Accountability for Sustainability from Within","title-short":"Moving Beyond the External Face of Accountability","volume":"44","author":[{"family":"Umair","given":"Sonia"}],"issued":{"date-parts":[["2024",5,3]]}}}],"schema":"https://github.com/citation-style-language/schema/raw/master/csl-citation.json"} </w:instrText>
      </w:r>
      <w:r w:rsidR="00696B7A" w:rsidRPr="00226092">
        <w:rPr>
          <w:rFonts w:ascii="Arial" w:hAnsi="Arial" w:cs="Arial"/>
          <w:sz w:val="24"/>
          <w:szCs w:val="24"/>
        </w:rPr>
        <w:fldChar w:fldCharType="separate"/>
      </w:r>
      <w:r w:rsidR="00696B7A" w:rsidRPr="00226092">
        <w:rPr>
          <w:rFonts w:ascii="Arial" w:hAnsi="Arial" w:cs="Arial"/>
          <w:sz w:val="24"/>
          <w:szCs w:val="24"/>
        </w:rPr>
        <w:t>(Umair, 2024b)</w:t>
      </w:r>
      <w:r w:rsidR="00696B7A" w:rsidRPr="00226092">
        <w:rPr>
          <w:rFonts w:ascii="Arial" w:hAnsi="Arial" w:cs="Arial"/>
          <w:sz w:val="24"/>
          <w:szCs w:val="24"/>
        </w:rPr>
        <w:fldChar w:fldCharType="end"/>
      </w:r>
      <w:r w:rsidR="00696B7A" w:rsidRPr="00226092">
        <w:rPr>
          <w:rFonts w:ascii="Arial" w:hAnsi="Arial" w:cs="Arial"/>
          <w:sz w:val="24"/>
          <w:szCs w:val="24"/>
        </w:rPr>
        <w:t>.</w:t>
      </w:r>
    </w:p>
    <w:p w14:paraId="3F4992CF" w14:textId="77777777" w:rsidR="00373807" w:rsidRPr="00226092" w:rsidRDefault="00373807" w:rsidP="002F56B3">
      <w:pPr>
        <w:pStyle w:val="Heading2"/>
        <w:spacing w:line="360" w:lineRule="auto"/>
        <w:jc w:val="both"/>
        <w:rPr>
          <w:rFonts w:ascii="Arial" w:hAnsi="Arial" w:cs="Arial"/>
          <w:color w:val="auto"/>
          <w:sz w:val="24"/>
          <w:szCs w:val="24"/>
        </w:rPr>
      </w:pPr>
      <w:bookmarkStart w:id="14" w:name="_Toc218004607"/>
      <w:r w:rsidRPr="00226092">
        <w:rPr>
          <w:rFonts w:ascii="Arial" w:hAnsi="Arial" w:cs="Arial"/>
          <w:color w:val="auto"/>
          <w:sz w:val="24"/>
          <w:szCs w:val="24"/>
        </w:rPr>
        <w:t>Societal responsibility</w:t>
      </w:r>
      <w:bookmarkEnd w:id="14"/>
      <w:r w:rsidRPr="00226092">
        <w:rPr>
          <w:rFonts w:ascii="Arial" w:hAnsi="Arial" w:cs="Arial"/>
          <w:color w:val="auto"/>
          <w:sz w:val="24"/>
          <w:szCs w:val="24"/>
        </w:rPr>
        <w:t xml:space="preserve"> </w:t>
      </w:r>
    </w:p>
    <w:p w14:paraId="0491F0FC" w14:textId="52BDCC96" w:rsidR="00373807" w:rsidRPr="00C22C06" w:rsidRDefault="00D54BC0" w:rsidP="00C22C06">
      <w:pPr>
        <w:spacing w:line="360" w:lineRule="auto"/>
        <w:jc w:val="both"/>
        <w:rPr>
          <w:rFonts w:ascii="Arial" w:hAnsi="Arial" w:cs="Arial"/>
          <w:sz w:val="24"/>
          <w:szCs w:val="24"/>
        </w:rPr>
      </w:pPr>
      <w:r>
        <w:rPr>
          <w:rFonts w:ascii="Arial" w:hAnsi="Arial" w:cs="Arial"/>
          <w:sz w:val="24"/>
          <w:szCs w:val="24"/>
        </w:rPr>
        <w:t>A</w:t>
      </w:r>
      <w:r w:rsidR="00211683">
        <w:rPr>
          <w:rFonts w:ascii="Arial" w:hAnsi="Arial" w:cs="Arial"/>
          <w:sz w:val="24"/>
          <w:szCs w:val="24"/>
        </w:rPr>
        <w:t>lth</w:t>
      </w:r>
      <w:r>
        <w:rPr>
          <w:rFonts w:ascii="Arial" w:hAnsi="Arial" w:cs="Arial"/>
          <w:sz w:val="24"/>
          <w:szCs w:val="24"/>
        </w:rPr>
        <w:t xml:space="preserve">ough, </w:t>
      </w:r>
      <w:r w:rsidR="00BD2333" w:rsidRPr="00226092">
        <w:rPr>
          <w:rFonts w:ascii="Arial" w:hAnsi="Arial" w:cs="Arial"/>
          <w:sz w:val="24"/>
          <w:szCs w:val="24"/>
        </w:rPr>
        <w:t>government</w:t>
      </w:r>
      <w:r>
        <w:rPr>
          <w:rFonts w:ascii="Arial" w:hAnsi="Arial" w:cs="Arial"/>
          <w:sz w:val="24"/>
          <w:szCs w:val="24"/>
        </w:rPr>
        <w:t>s and corporations possess the institutional authority to launch major sustainability initiatives, the success of these strategies depends heavily on the active participation of society.</w:t>
      </w:r>
      <w:r w:rsidR="00226092" w:rsidRPr="00226092">
        <w:rPr>
          <w:rFonts w:ascii="Arial" w:hAnsi="Arial" w:cs="Arial"/>
          <w:sz w:val="24"/>
          <w:szCs w:val="24"/>
        </w:rPr>
        <w:t xml:space="preserve"> </w:t>
      </w:r>
      <w:r w:rsidR="00226092">
        <w:rPr>
          <w:rFonts w:ascii="Arial" w:hAnsi="Arial" w:cs="Arial"/>
          <w:sz w:val="24"/>
          <w:szCs w:val="24"/>
        </w:rPr>
        <w:t xml:space="preserve">Citizens, communities, and civil society organisations form the social foundation that sustains political legitimacy and market demand for ethical behaviour. Lincoln’s assertion that “you cannot escape the responsibility of </w:t>
      </w:r>
      <w:r w:rsidR="00226092">
        <w:rPr>
          <w:rFonts w:ascii="Arial" w:hAnsi="Arial" w:cs="Arial"/>
          <w:sz w:val="24"/>
          <w:szCs w:val="24"/>
        </w:rPr>
        <w:lastRenderedPageBreak/>
        <w:t xml:space="preserve">tomorrow by evading it today” applies directly to individual and collective moral agency. If societies remain passive or disengaged, sustainability policies risk </w:t>
      </w:r>
      <w:r w:rsidR="00226092" w:rsidRPr="008D0998">
        <w:rPr>
          <w:rFonts w:ascii="Arial" w:hAnsi="Arial" w:cs="Arial"/>
          <w:sz w:val="24"/>
          <w:szCs w:val="24"/>
        </w:rPr>
        <w:t>becomi</w:t>
      </w:r>
      <w:r w:rsidR="00211683" w:rsidRPr="008D0998">
        <w:rPr>
          <w:rFonts w:ascii="Arial" w:hAnsi="Arial" w:cs="Arial"/>
          <w:sz w:val="24"/>
          <w:szCs w:val="24"/>
        </w:rPr>
        <w:t xml:space="preserve">ng superficial exercises rather than transformative movements for justice and equity. </w:t>
      </w:r>
      <w:r w:rsidR="008D0998" w:rsidRPr="008D0998">
        <w:rPr>
          <w:rFonts w:ascii="Arial" w:hAnsi="Arial" w:cs="Arial"/>
          <w:sz w:val="24"/>
          <w:szCs w:val="24"/>
        </w:rPr>
        <w:t xml:space="preserve">Individuals and organisational leaders play a pivotal role in shifting companies away from a </w:t>
      </w:r>
      <w:proofErr w:type="gramStart"/>
      <w:r w:rsidR="008D0998" w:rsidRPr="008D0998">
        <w:rPr>
          <w:rFonts w:ascii="Arial" w:hAnsi="Arial" w:cs="Arial"/>
          <w:sz w:val="24"/>
          <w:szCs w:val="24"/>
        </w:rPr>
        <w:t>business</w:t>
      </w:r>
      <w:r w:rsidR="00472C21">
        <w:rPr>
          <w:rFonts w:ascii="Arial" w:hAnsi="Arial" w:cs="Arial"/>
          <w:sz w:val="24"/>
          <w:szCs w:val="24"/>
        </w:rPr>
        <w:t xml:space="preserve"> </w:t>
      </w:r>
      <w:r w:rsidR="008D0998" w:rsidRPr="008D0998">
        <w:rPr>
          <w:rFonts w:ascii="Arial" w:hAnsi="Arial" w:cs="Arial"/>
          <w:sz w:val="24"/>
          <w:szCs w:val="24"/>
        </w:rPr>
        <w:t>as</w:t>
      </w:r>
      <w:r w:rsidR="00472C21">
        <w:rPr>
          <w:rFonts w:ascii="Arial" w:hAnsi="Arial" w:cs="Arial"/>
          <w:sz w:val="24"/>
          <w:szCs w:val="24"/>
        </w:rPr>
        <w:t xml:space="preserve"> </w:t>
      </w:r>
      <w:r w:rsidR="008D0998" w:rsidRPr="008D0998">
        <w:rPr>
          <w:rFonts w:ascii="Arial" w:hAnsi="Arial" w:cs="Arial"/>
          <w:sz w:val="24"/>
          <w:szCs w:val="24"/>
        </w:rPr>
        <w:t>usual</w:t>
      </w:r>
      <w:proofErr w:type="gramEnd"/>
      <w:r w:rsidR="008D0998" w:rsidRPr="008D0998">
        <w:rPr>
          <w:rFonts w:ascii="Arial" w:hAnsi="Arial" w:cs="Arial"/>
          <w:sz w:val="24"/>
          <w:szCs w:val="24"/>
        </w:rPr>
        <w:t xml:space="preserve"> model by embedding sustainability within corporate strategy and operations, a transition that is central to meaningful CSR. Within the UK context, this responsibility is particularly salient in addressing modern slavery, where ethical leadership and robust governance are required to move beyond symbolic compliance towards substantive action. Strong sustainability reinforces the principle that natural and human capital are not interchangeable and must be protected through responsible business practices</w:t>
      </w:r>
      <w:r w:rsidR="00484B06">
        <w:rPr>
          <w:rFonts w:ascii="Arial" w:hAnsi="Arial" w:cs="Arial"/>
          <w:sz w:val="24"/>
          <w:szCs w:val="24"/>
        </w:rPr>
        <w:t xml:space="preserve"> </w:t>
      </w:r>
      <w:bookmarkStart w:id="15" w:name="_Hlk218606389"/>
      <w:r w:rsidR="00484B06">
        <w:rPr>
          <w:rFonts w:ascii="Arial" w:hAnsi="Arial" w:cs="Arial"/>
          <w:sz w:val="24"/>
          <w:szCs w:val="24"/>
        </w:rPr>
        <w:fldChar w:fldCharType="begin"/>
      </w:r>
      <w:r w:rsidR="00484B06">
        <w:rPr>
          <w:rFonts w:ascii="Arial" w:hAnsi="Arial" w:cs="Arial"/>
          <w:sz w:val="24"/>
          <w:szCs w:val="24"/>
        </w:rPr>
        <w:instrText xml:space="preserve"> ADDIN ZOTERO_ITEM CSL_CITATION {"citationID":"LWYBCc53","properties":{"formattedCitation":"(Buhr and Weissbrod, 2026)","plainCitation":"(Buhr and Weissbrod, 2026)","noteIndex":0},"citationItems":[{"id":112,"uris":["http://zotero.org/users/local/bh3OqUSh/items/VF49MQ45"],"itemData":{"id":112,"type":"article-journal","abstract":"This study finds that a classification system of beliefs—action logics—is suitable to understand the beliefs held by sustainability managers. Beliefs underpin individual behavior and can substantially influence how businesses behave. We present what beliefs are held by corporate sustainability managers through a qualitative research design. We show how individual beliefs, as building blocks of individual behavior, are linked to the implementation challenges related to corporate goals and processes that must be addressed to move beyond business-as-usual with corporate sustainability transformation. Our study finds that the advanced action logics of Strategist and Alchemist are most suitable for effecting a corporate sustainability transformation. Enablers for individuals to be more ethical and effective sustainability managers are proposed, with the view to encourage the action logics of the Strategist and the Alchemist at the organizational and individual manager level and to speed up the implementation of corporate sustainability transformation activities. The enablers are the comprehensive integration of sustainability into the core business, creating safe corporate spaces for experimentation and reflection, encouraging new forms of collaboration within and outside the business.","container-title":"Business Ethics, the Environment &amp; Responsibility","DOI":"10.1111/beer.12783","ISSN":"2694-6424","issue":"1","language":"en","note":"_eprint: https://onlinelibrary.wiley.com/doi/pdf/10.1111/beer.12783","page":"340-366","source":"Wiley Online Library","title":"The Role of Individual Beliefs for Corporate Sustainability Transformations","volume":"35","author":[{"family":"Buhr","given":"Maike"},{"family":"Weissbrod","given":"Ilka"}],"issued":{"date-parts":[["2026"]]}}}],"schema":"https://github.com/citation-style-language/schema/raw/master/csl-citation.json"} </w:instrText>
      </w:r>
      <w:r w:rsidR="00484B06">
        <w:rPr>
          <w:rFonts w:ascii="Arial" w:hAnsi="Arial" w:cs="Arial"/>
          <w:sz w:val="24"/>
          <w:szCs w:val="24"/>
        </w:rPr>
        <w:fldChar w:fldCharType="separate"/>
      </w:r>
      <w:r w:rsidR="00484B06" w:rsidRPr="00484B06">
        <w:rPr>
          <w:rFonts w:ascii="Arial" w:hAnsi="Arial" w:cs="Arial"/>
          <w:sz w:val="24"/>
        </w:rPr>
        <w:t>(Buhr and Weissbrod, 2026)</w:t>
      </w:r>
      <w:r w:rsidR="00484B06">
        <w:rPr>
          <w:rFonts w:ascii="Arial" w:hAnsi="Arial" w:cs="Arial"/>
          <w:sz w:val="24"/>
          <w:szCs w:val="24"/>
        </w:rPr>
        <w:fldChar w:fldCharType="end"/>
      </w:r>
      <w:bookmarkEnd w:id="15"/>
      <w:r w:rsidR="008D0998" w:rsidRPr="008D0998">
        <w:rPr>
          <w:rFonts w:ascii="Arial" w:hAnsi="Arial" w:cs="Arial"/>
          <w:sz w:val="24"/>
          <w:szCs w:val="24"/>
        </w:rPr>
        <w:t xml:space="preserve">. This aligns with the UK government’s sustainability and modern slavery agenda, which emphasises due diligence, transparency, and accountability within supply chains. However, persistent reliance on voluntary reporting mechanisms under CSR frameworks risks normalising minimal compliance rather than driving systemic change. Consequently, effective CSR </w:t>
      </w:r>
      <w:r w:rsidR="008D0998" w:rsidRPr="00C22C06">
        <w:rPr>
          <w:rFonts w:ascii="Arial" w:hAnsi="Arial" w:cs="Arial"/>
          <w:sz w:val="24"/>
          <w:szCs w:val="24"/>
        </w:rPr>
        <w:t>must be underpinned by enforceable regulation and active leadership to ensure that commitments to sustainability translate into tangible protections for vulnerable workers and long-term social and environmental value</w:t>
      </w:r>
      <w:r w:rsidR="00484B06" w:rsidRPr="00C22C06">
        <w:rPr>
          <w:rFonts w:ascii="Arial" w:hAnsi="Arial" w:cs="Arial"/>
          <w:sz w:val="24"/>
          <w:szCs w:val="24"/>
        </w:rPr>
        <w:t xml:space="preserve"> </w:t>
      </w:r>
      <w:r w:rsidR="00291D6B" w:rsidRPr="00C22C06">
        <w:rPr>
          <w:rFonts w:ascii="Arial" w:hAnsi="Arial" w:cs="Arial"/>
          <w:sz w:val="24"/>
          <w:szCs w:val="24"/>
        </w:rPr>
        <w:t>(</w:t>
      </w:r>
      <w:r w:rsidR="00484B06" w:rsidRPr="00C22C06">
        <w:rPr>
          <w:rFonts w:ascii="Arial" w:hAnsi="Arial" w:cs="Arial"/>
          <w:sz w:val="24"/>
          <w:szCs w:val="24"/>
        </w:rPr>
        <w:fldChar w:fldCharType="begin"/>
      </w:r>
      <w:r w:rsidR="0043558A" w:rsidRPr="00C22C06">
        <w:rPr>
          <w:rFonts w:ascii="Arial" w:hAnsi="Arial" w:cs="Arial"/>
          <w:sz w:val="24"/>
          <w:szCs w:val="24"/>
        </w:rPr>
        <w:instrText xml:space="preserve"> ADDIN ZOTERO_ITEM CSL_CITATION {"citationID":"80TSbSNZ","properties":{"formattedCitation":"(Buhr and Weissbrod, 2026)","plainCitation":"(Buhr and Weissbrod, 2026)","dontUpdate":true,"noteIndex":0},"citationItems":[{"id":112,"uris":["http://zotero.org/users/local/bh3OqUSh/items/VF49MQ45"],"itemData":{"id":112,"type":"article-journal","abstract":"This study finds that a classification system of beliefs—action logics—is suitable to understand the beliefs held by sustainability managers. Beliefs underpin individual behavior and can substantially influence how businesses behave. We present what beliefs are held by corporate sustainability managers through a qualitative research design. We show how individual beliefs, as building blocks of individual behavior, are linked to the implementation challenges related to corporate goals and processes that must be addressed to move beyond business-as-usual with corporate sustainability transformation. Our study finds that the advanced action logics of Strategist and Alchemist are most suitable for effecting a corporate sustainability transformation. Enablers for individuals to be more ethical and effective sustainability managers are proposed, with the view to encourage the action logics of the Strategist and the Alchemist at the organizational and individual manager level and to speed up the implementation of corporate sustainability transformation activities. The enablers are the comprehensive integration of sustainability into the core business, creating safe corporate spaces for experimentation and reflection, encouraging new forms of collaboration within and outside the business.","container-title":"Business Ethics, the Environment &amp; Responsibility","DOI":"10.1111/beer.12783","ISSN":"2694-6424","issue":"1","language":"en","note":"_eprint: https://onlinelibrary.wiley.com/doi/pdf/10.1111/beer.12783","page":"340-366","source":"Wiley Online Library","title":"The Role of Individual Beliefs for Corporate Sustainability Transformations","volume":"35","author":[{"family":"Buhr","given":"Maike"},{"family":"Weissbrod","given":"Ilka"}],"issued":{"date-parts":[["2026"]]}}}],"schema":"https://github.com/citation-style-language/schema/raw/master/csl-citation.json"} </w:instrText>
      </w:r>
      <w:r w:rsidR="00484B06" w:rsidRPr="00C22C06">
        <w:rPr>
          <w:rFonts w:ascii="Arial" w:hAnsi="Arial" w:cs="Arial"/>
          <w:sz w:val="24"/>
          <w:szCs w:val="24"/>
        </w:rPr>
        <w:fldChar w:fldCharType="separate"/>
      </w:r>
      <w:r w:rsidR="00484B06" w:rsidRPr="00C22C06">
        <w:rPr>
          <w:rFonts w:ascii="Arial" w:hAnsi="Arial" w:cs="Arial"/>
          <w:sz w:val="24"/>
          <w:szCs w:val="24"/>
        </w:rPr>
        <w:t>Buhr and Weissbrod, 2026)</w:t>
      </w:r>
      <w:r w:rsidR="00484B06" w:rsidRPr="00C22C06">
        <w:rPr>
          <w:rFonts w:ascii="Arial" w:hAnsi="Arial" w:cs="Arial"/>
          <w:sz w:val="24"/>
          <w:szCs w:val="24"/>
        </w:rPr>
        <w:fldChar w:fldCharType="end"/>
      </w:r>
      <w:r w:rsidR="00484B06" w:rsidRPr="00C22C06">
        <w:rPr>
          <w:rFonts w:ascii="Arial" w:hAnsi="Arial" w:cs="Arial"/>
          <w:sz w:val="24"/>
          <w:szCs w:val="24"/>
        </w:rPr>
        <w:t>.</w:t>
      </w:r>
    </w:p>
    <w:p w14:paraId="3B0990AF" w14:textId="6A96AF13" w:rsidR="00F44B45" w:rsidRPr="00C22C06" w:rsidRDefault="00373807" w:rsidP="00C22C06">
      <w:pPr>
        <w:pStyle w:val="Heading2"/>
        <w:spacing w:line="360" w:lineRule="auto"/>
        <w:jc w:val="both"/>
        <w:rPr>
          <w:rFonts w:ascii="Arial" w:hAnsi="Arial" w:cs="Arial"/>
          <w:color w:val="auto"/>
          <w:sz w:val="24"/>
          <w:szCs w:val="24"/>
        </w:rPr>
      </w:pPr>
      <w:bookmarkStart w:id="16" w:name="_Toc218004608"/>
      <w:r w:rsidRPr="00C22C06">
        <w:rPr>
          <w:rFonts w:ascii="Arial" w:hAnsi="Arial" w:cs="Arial"/>
          <w:color w:val="auto"/>
          <w:sz w:val="24"/>
          <w:szCs w:val="24"/>
        </w:rPr>
        <w:t>Integrating responsibility for a sustainable future</w:t>
      </w:r>
      <w:bookmarkEnd w:id="16"/>
    </w:p>
    <w:p w14:paraId="68DAE0EA" w14:textId="41E52A0A" w:rsidR="00484B06" w:rsidRPr="00C22C06" w:rsidRDefault="00C22C06" w:rsidP="00C22C06">
      <w:pPr>
        <w:spacing w:line="360" w:lineRule="auto"/>
        <w:jc w:val="both"/>
        <w:rPr>
          <w:rFonts w:ascii="Arial" w:hAnsi="Arial" w:cs="Arial"/>
          <w:sz w:val="24"/>
          <w:szCs w:val="24"/>
        </w:rPr>
      </w:pPr>
      <w:r w:rsidRPr="00C22C06">
        <w:rPr>
          <w:rFonts w:ascii="Arial" w:hAnsi="Arial" w:cs="Arial"/>
          <w:sz w:val="24"/>
          <w:szCs w:val="24"/>
        </w:rPr>
        <w:t xml:space="preserve">Responsibility for sustainability must be understood as inherently forward-looking, extending beyond immediate compliance or short-term reputational concerns. Decisions taken by governments, corporations, and society today shape the social, environmental, and ethical conditions inherited by future generations. While organisations contribute significantly to economic growth and employment, failures in corporate responsibility can generate profound social and environmental harm, particularly where exploitative labour practices persist within global supply chains (Fallah Shayan et al., 2022). CSR has increasingly been positioned as a mechanism through which businesses demonstrate ethical commitment and accountability (Szőke and </w:t>
      </w:r>
      <w:proofErr w:type="spellStart"/>
      <w:r w:rsidRPr="00C22C06">
        <w:rPr>
          <w:rFonts w:ascii="Arial" w:hAnsi="Arial" w:cs="Arial"/>
          <w:sz w:val="24"/>
          <w:szCs w:val="24"/>
        </w:rPr>
        <w:t>Lakosy</w:t>
      </w:r>
      <w:proofErr w:type="spellEnd"/>
      <w:r w:rsidRPr="00C22C06">
        <w:rPr>
          <w:rFonts w:ascii="Arial" w:hAnsi="Arial" w:cs="Arial"/>
          <w:sz w:val="24"/>
          <w:szCs w:val="24"/>
        </w:rPr>
        <w:t>, 2025)</w:t>
      </w:r>
      <w:r w:rsidR="00E0099F">
        <w:rPr>
          <w:rFonts w:ascii="Arial" w:hAnsi="Arial" w:cs="Arial"/>
          <w:sz w:val="24"/>
          <w:szCs w:val="24"/>
        </w:rPr>
        <w:t>. H</w:t>
      </w:r>
      <w:r w:rsidRPr="00C22C06">
        <w:rPr>
          <w:rFonts w:ascii="Arial" w:hAnsi="Arial" w:cs="Arial"/>
          <w:sz w:val="24"/>
          <w:szCs w:val="24"/>
        </w:rPr>
        <w:t xml:space="preserve">owever, in the UK context, such initiatives often remain voluntary and unevenly enforced, raising concerns that corporate engagement prioritises reputation management over substantive change. Although organisations are encouraged to align with the United Nations Sustainable Development Goals (2015) and domestic sustainability agendas, the continued prevalence of modern slavery </w:t>
      </w:r>
      <w:r w:rsidRPr="00C22C06">
        <w:rPr>
          <w:rFonts w:ascii="Arial" w:hAnsi="Arial" w:cs="Arial"/>
          <w:sz w:val="24"/>
          <w:szCs w:val="24"/>
        </w:rPr>
        <w:lastRenderedPageBreak/>
        <w:t>highlights a persistent gap between policy ambition and operational reality. This underscores the need for stronger regulatory oversight, meaningful enforcement, and shared responsibility across government, business, and society (Leena et al., 2023). While governments regulate and businesses are expected to exercise due diligence and ethical conduct through frameworks such as CSR, ST, and TBL, society also bears responsibility through consumption choices, civic engagement, and demands for transparency (</w:t>
      </w:r>
      <w:proofErr w:type="spellStart"/>
      <w:r w:rsidRPr="00C22C06">
        <w:rPr>
          <w:rFonts w:ascii="Arial" w:hAnsi="Arial" w:cs="Arial"/>
          <w:sz w:val="24"/>
          <w:szCs w:val="24"/>
        </w:rPr>
        <w:t>Almaqtari</w:t>
      </w:r>
      <w:proofErr w:type="spellEnd"/>
      <w:r w:rsidRPr="00C22C06">
        <w:rPr>
          <w:rFonts w:ascii="Arial" w:hAnsi="Arial" w:cs="Arial"/>
          <w:sz w:val="24"/>
          <w:szCs w:val="24"/>
        </w:rPr>
        <w:t xml:space="preserve"> et al., 2024). Without enforceable mechanisms and sustained societal pressure, commitments risk remaining aspirational. True responsibility for future sustainability therefore requires coordinated </w:t>
      </w:r>
      <w:proofErr w:type="gramStart"/>
      <w:r w:rsidRPr="00C22C06">
        <w:rPr>
          <w:rFonts w:ascii="Arial" w:hAnsi="Arial" w:cs="Arial"/>
          <w:sz w:val="24"/>
          <w:szCs w:val="24"/>
        </w:rPr>
        <w:t>present</w:t>
      </w:r>
      <w:r>
        <w:rPr>
          <w:rFonts w:ascii="Arial" w:hAnsi="Arial" w:cs="Arial"/>
          <w:sz w:val="24"/>
          <w:szCs w:val="24"/>
        </w:rPr>
        <w:t xml:space="preserve"> </w:t>
      </w:r>
      <w:r w:rsidRPr="00C22C06">
        <w:rPr>
          <w:rFonts w:ascii="Arial" w:hAnsi="Arial" w:cs="Arial"/>
          <w:sz w:val="24"/>
          <w:szCs w:val="24"/>
        </w:rPr>
        <w:t>day</w:t>
      </w:r>
      <w:proofErr w:type="gramEnd"/>
      <w:r w:rsidRPr="00C22C06">
        <w:rPr>
          <w:rFonts w:ascii="Arial" w:hAnsi="Arial" w:cs="Arial"/>
          <w:sz w:val="24"/>
          <w:szCs w:val="24"/>
        </w:rPr>
        <w:t xml:space="preserve"> action that prioritises human dignity, long-term resilience, and preventative governance over reactive or symbolic responses (Lee, 2025).</w:t>
      </w:r>
    </w:p>
    <w:p w14:paraId="5F0EC022" w14:textId="77777777" w:rsidR="00373807" w:rsidRPr="000B0EBA" w:rsidRDefault="00373807" w:rsidP="002F56B3">
      <w:pPr>
        <w:spacing w:line="360" w:lineRule="auto"/>
        <w:jc w:val="both"/>
        <w:rPr>
          <w:rFonts w:ascii="Arial" w:hAnsi="Arial" w:cs="Arial"/>
          <w:b/>
          <w:bCs/>
          <w:sz w:val="24"/>
          <w:szCs w:val="24"/>
        </w:rPr>
      </w:pPr>
    </w:p>
    <w:p w14:paraId="17780A5C" w14:textId="77777777" w:rsidR="009F1F75" w:rsidRDefault="00373807" w:rsidP="009F1F75">
      <w:pPr>
        <w:pStyle w:val="Heading2"/>
        <w:spacing w:line="360" w:lineRule="auto"/>
        <w:jc w:val="both"/>
        <w:rPr>
          <w:rFonts w:ascii="Arial" w:hAnsi="Arial" w:cs="Arial"/>
          <w:color w:val="auto"/>
          <w:sz w:val="24"/>
          <w:szCs w:val="24"/>
        </w:rPr>
      </w:pPr>
      <w:bookmarkStart w:id="17" w:name="_Toc218004609"/>
      <w:r w:rsidRPr="00C1432C">
        <w:rPr>
          <w:rFonts w:ascii="Arial" w:hAnsi="Arial" w:cs="Arial"/>
          <w:color w:val="auto"/>
          <w:sz w:val="24"/>
          <w:szCs w:val="24"/>
        </w:rPr>
        <w:t>Conclusion</w:t>
      </w:r>
      <w:bookmarkEnd w:id="17"/>
      <w:r w:rsidRPr="00C1432C">
        <w:rPr>
          <w:rFonts w:ascii="Arial" w:hAnsi="Arial" w:cs="Arial"/>
          <w:color w:val="auto"/>
          <w:sz w:val="24"/>
          <w:szCs w:val="24"/>
        </w:rPr>
        <w:t xml:space="preserve"> </w:t>
      </w:r>
    </w:p>
    <w:p w14:paraId="67B5C5DC" w14:textId="5483509A" w:rsidR="00B10CF8" w:rsidRPr="009F1F75" w:rsidRDefault="00B10CF8" w:rsidP="009F1F75">
      <w:pPr>
        <w:spacing w:line="360" w:lineRule="auto"/>
        <w:jc w:val="both"/>
        <w:rPr>
          <w:rFonts w:ascii="Arial" w:eastAsiaTheme="majorEastAsia" w:hAnsi="Arial" w:cs="Arial"/>
          <w:sz w:val="24"/>
          <w:szCs w:val="24"/>
        </w:rPr>
      </w:pPr>
      <w:r w:rsidRPr="009F1F75">
        <w:rPr>
          <w:rFonts w:ascii="Arial" w:hAnsi="Arial" w:cs="Arial"/>
          <w:sz w:val="24"/>
          <w:szCs w:val="24"/>
        </w:rPr>
        <w:t xml:space="preserve">In conclusion, Lincoln’s assertion that “you cannot escape the responsibility of tomorrow by evading it today” </w:t>
      </w:r>
      <w:r w:rsidRPr="009F1F75">
        <w:rPr>
          <w:rFonts w:ascii="Arial" w:hAnsi="Arial" w:cs="Arial"/>
          <w:sz w:val="24"/>
          <w:szCs w:val="24"/>
          <w:lang w:eastAsia="en-GB"/>
        </w:rPr>
        <w:t xml:space="preserve">provides a powerful lens through which to assess the effectiveness of sustainability governance in the UK. </w:t>
      </w:r>
      <w:r w:rsidR="00CE3486" w:rsidRPr="009F1F75">
        <w:rPr>
          <w:rFonts w:ascii="Arial" w:hAnsi="Arial" w:cs="Arial"/>
          <w:sz w:val="24"/>
          <w:szCs w:val="24"/>
          <w:lang w:eastAsia="en-GB"/>
        </w:rPr>
        <w:t>Although attributed</w:t>
      </w:r>
      <w:r w:rsidRPr="009F1F75">
        <w:rPr>
          <w:rFonts w:ascii="Arial" w:hAnsi="Arial" w:cs="Arial"/>
          <w:sz w:val="24"/>
          <w:szCs w:val="24"/>
          <w:lang w:eastAsia="en-GB"/>
        </w:rPr>
        <w:t xml:space="preserve"> to Abraham Lincoln, its message remains highly relevant. Postponing responsibility does not eliminate future consequences but instead magnifies them. This is particularly evident in the context of modern slavery, where delayed action and weak enforcement allow exploitative practices to persist within global supply chains.</w:t>
      </w:r>
    </w:p>
    <w:p w14:paraId="63EF19A5" w14:textId="4930FDF5" w:rsidR="00B10CF8" w:rsidRPr="009F1F75" w:rsidRDefault="00B10CF8" w:rsidP="009F1F75">
      <w:pPr>
        <w:spacing w:line="360" w:lineRule="auto"/>
        <w:jc w:val="both"/>
        <w:rPr>
          <w:rFonts w:ascii="Arial" w:hAnsi="Arial" w:cs="Arial"/>
          <w:sz w:val="24"/>
          <w:szCs w:val="24"/>
          <w:lang w:eastAsia="en-GB"/>
        </w:rPr>
      </w:pPr>
      <w:r w:rsidRPr="009F1F75">
        <w:rPr>
          <w:rFonts w:ascii="Arial" w:hAnsi="Arial" w:cs="Arial"/>
          <w:sz w:val="24"/>
          <w:szCs w:val="24"/>
          <w:lang w:eastAsia="en-GB"/>
        </w:rPr>
        <w:t xml:space="preserve">While UK legislation such as the Modern Slavery Act </w:t>
      </w:r>
      <w:r w:rsidR="00CE3486">
        <w:rPr>
          <w:rFonts w:ascii="Arial" w:hAnsi="Arial" w:cs="Arial"/>
          <w:sz w:val="24"/>
          <w:szCs w:val="24"/>
          <w:lang w:eastAsia="en-GB"/>
        </w:rPr>
        <w:t>(</w:t>
      </w:r>
      <w:r w:rsidRPr="009F1F75">
        <w:rPr>
          <w:rFonts w:ascii="Arial" w:hAnsi="Arial" w:cs="Arial"/>
          <w:sz w:val="24"/>
          <w:szCs w:val="24"/>
          <w:lang w:eastAsia="en-GB"/>
        </w:rPr>
        <w:t>2015</w:t>
      </w:r>
      <w:r w:rsidR="00CE3486">
        <w:rPr>
          <w:rFonts w:ascii="Arial" w:hAnsi="Arial" w:cs="Arial"/>
          <w:sz w:val="24"/>
          <w:szCs w:val="24"/>
          <w:lang w:eastAsia="en-GB"/>
        </w:rPr>
        <w:t>)</w:t>
      </w:r>
      <w:r w:rsidRPr="009F1F75">
        <w:rPr>
          <w:rFonts w:ascii="Arial" w:hAnsi="Arial" w:cs="Arial"/>
          <w:sz w:val="24"/>
          <w:szCs w:val="24"/>
          <w:lang w:eastAsia="en-GB"/>
        </w:rPr>
        <w:t xml:space="preserve"> demonstrates formal recognition of corporate responsibility, its reliance on transparency rather than enforceable accountability has limited its transformative impact. Similarly, CSR frameworks have raised awareness but frequently fall short of driving substantive organisational change, allowing ethical responsibility to be reduced to reporting and reputational management. Governments, </w:t>
      </w:r>
      <w:r w:rsidR="009F1F75">
        <w:rPr>
          <w:rFonts w:ascii="Arial" w:hAnsi="Arial" w:cs="Arial"/>
          <w:sz w:val="24"/>
          <w:szCs w:val="24"/>
          <w:lang w:eastAsia="en-GB"/>
        </w:rPr>
        <w:t>organisations</w:t>
      </w:r>
      <w:r w:rsidRPr="009F1F75">
        <w:rPr>
          <w:rFonts w:ascii="Arial" w:hAnsi="Arial" w:cs="Arial"/>
          <w:sz w:val="24"/>
          <w:szCs w:val="24"/>
          <w:lang w:eastAsia="en-GB"/>
        </w:rPr>
        <w:t xml:space="preserve">, and society therefore remain collectively implicated in sustaining gaps between intention and implementation. Governments must strengthen enforcement and move beyond symbolic regulation; </w:t>
      </w:r>
      <w:r w:rsidR="009F1F75">
        <w:rPr>
          <w:rFonts w:ascii="Arial" w:hAnsi="Arial" w:cs="Arial"/>
          <w:sz w:val="24"/>
          <w:szCs w:val="24"/>
          <w:lang w:eastAsia="en-GB"/>
        </w:rPr>
        <w:t>organisations</w:t>
      </w:r>
      <w:r w:rsidRPr="009F1F75">
        <w:rPr>
          <w:rFonts w:ascii="Arial" w:hAnsi="Arial" w:cs="Arial"/>
          <w:sz w:val="24"/>
          <w:szCs w:val="24"/>
          <w:lang w:eastAsia="en-GB"/>
        </w:rPr>
        <w:t xml:space="preserve"> must embed ethical leadership and due diligence into core strategy; and society must actively challenge unethical practices through informed consumption and civic engagement. Without this coordinated commitment, responsibility is merely deferred rather than fulfilled. Ultimately, the sustainability of future generations </w:t>
      </w:r>
      <w:r w:rsidRPr="009F1F75">
        <w:rPr>
          <w:rFonts w:ascii="Arial" w:hAnsi="Arial" w:cs="Arial"/>
          <w:sz w:val="24"/>
          <w:szCs w:val="24"/>
          <w:lang w:eastAsia="en-GB"/>
        </w:rPr>
        <w:lastRenderedPageBreak/>
        <w:t>depends on whether responsibility is acted upon today</w:t>
      </w:r>
      <w:r w:rsidR="002F56B3" w:rsidRPr="009F1F75">
        <w:rPr>
          <w:rFonts w:ascii="Arial" w:hAnsi="Arial" w:cs="Arial"/>
          <w:sz w:val="24"/>
          <w:szCs w:val="24"/>
          <w:lang w:eastAsia="en-GB"/>
        </w:rPr>
        <w:t>, because</w:t>
      </w:r>
      <w:r w:rsidR="002F56B3" w:rsidRPr="009F1F75">
        <w:rPr>
          <w:rFonts w:ascii="Arial" w:hAnsi="Arial" w:cs="Arial"/>
          <w:sz w:val="24"/>
          <w:szCs w:val="24"/>
        </w:rPr>
        <w:t xml:space="preserve"> a shift from passive awareness to active accountability ensuring that today’s decisions genuinely protect the social and ethical foundations of tomorrow</w:t>
      </w:r>
      <w:r w:rsidRPr="009F1F75">
        <w:rPr>
          <w:rFonts w:ascii="Arial" w:hAnsi="Arial" w:cs="Arial"/>
          <w:sz w:val="24"/>
          <w:szCs w:val="24"/>
          <w:lang w:eastAsia="en-GB"/>
        </w:rPr>
        <w:t>.</w:t>
      </w:r>
    </w:p>
    <w:p w14:paraId="2A6D1E15" w14:textId="77777777" w:rsidR="00B10CF8" w:rsidRPr="00B10CF8" w:rsidRDefault="00B10CF8" w:rsidP="00B10CF8"/>
    <w:p w14:paraId="118D2DC1" w14:textId="3FBCA5E3" w:rsidR="00DB3C5E" w:rsidRDefault="00DB3C5E" w:rsidP="00DB3C5E">
      <w:pPr>
        <w:spacing w:line="360" w:lineRule="auto"/>
        <w:jc w:val="both"/>
        <w:rPr>
          <w:rFonts w:ascii="Arial" w:hAnsi="Arial" w:cs="Arial"/>
          <w:sz w:val="24"/>
          <w:szCs w:val="24"/>
        </w:rPr>
      </w:pPr>
    </w:p>
    <w:p w14:paraId="64D9001E" w14:textId="77777777" w:rsidR="002F56B3" w:rsidRDefault="002F56B3" w:rsidP="00DB3C5E">
      <w:pPr>
        <w:spacing w:line="360" w:lineRule="auto"/>
        <w:jc w:val="both"/>
        <w:rPr>
          <w:rFonts w:ascii="Arial" w:hAnsi="Arial" w:cs="Arial"/>
          <w:sz w:val="24"/>
          <w:szCs w:val="24"/>
        </w:rPr>
      </w:pPr>
    </w:p>
    <w:p w14:paraId="66DE7CB8" w14:textId="77777777" w:rsidR="002F56B3" w:rsidRDefault="002F56B3" w:rsidP="00DB3C5E">
      <w:pPr>
        <w:spacing w:line="360" w:lineRule="auto"/>
        <w:jc w:val="both"/>
        <w:rPr>
          <w:rFonts w:ascii="Arial" w:hAnsi="Arial" w:cs="Arial"/>
          <w:sz w:val="24"/>
          <w:szCs w:val="24"/>
        </w:rPr>
      </w:pPr>
    </w:p>
    <w:p w14:paraId="04E58E8F" w14:textId="77777777" w:rsidR="002F56B3" w:rsidRDefault="002F56B3" w:rsidP="00DB3C5E">
      <w:pPr>
        <w:spacing w:line="360" w:lineRule="auto"/>
        <w:jc w:val="both"/>
        <w:rPr>
          <w:rFonts w:ascii="Arial" w:hAnsi="Arial" w:cs="Arial"/>
          <w:sz w:val="24"/>
          <w:szCs w:val="24"/>
        </w:rPr>
      </w:pPr>
    </w:p>
    <w:p w14:paraId="4A567DD5" w14:textId="77777777" w:rsidR="002F56B3" w:rsidRDefault="002F56B3" w:rsidP="00DB3C5E">
      <w:pPr>
        <w:spacing w:line="360" w:lineRule="auto"/>
        <w:jc w:val="both"/>
        <w:rPr>
          <w:rFonts w:ascii="Arial" w:hAnsi="Arial" w:cs="Arial"/>
          <w:sz w:val="24"/>
          <w:szCs w:val="24"/>
        </w:rPr>
      </w:pPr>
    </w:p>
    <w:p w14:paraId="1C155D04" w14:textId="77777777" w:rsidR="002F56B3" w:rsidRDefault="002F56B3" w:rsidP="00DB3C5E">
      <w:pPr>
        <w:spacing w:line="360" w:lineRule="auto"/>
        <w:jc w:val="both"/>
        <w:rPr>
          <w:rFonts w:ascii="Arial" w:hAnsi="Arial" w:cs="Arial"/>
          <w:sz w:val="24"/>
          <w:szCs w:val="24"/>
        </w:rPr>
      </w:pPr>
    </w:p>
    <w:p w14:paraId="20C9F9F5" w14:textId="77777777" w:rsidR="002F56B3" w:rsidRDefault="002F56B3" w:rsidP="00DB3C5E">
      <w:pPr>
        <w:spacing w:line="360" w:lineRule="auto"/>
        <w:jc w:val="both"/>
        <w:rPr>
          <w:rFonts w:ascii="Arial" w:hAnsi="Arial" w:cs="Arial"/>
          <w:sz w:val="24"/>
          <w:szCs w:val="24"/>
        </w:rPr>
      </w:pPr>
    </w:p>
    <w:p w14:paraId="78AA9024" w14:textId="77777777" w:rsidR="002F56B3" w:rsidRDefault="002F56B3" w:rsidP="00DB3C5E">
      <w:pPr>
        <w:spacing w:line="360" w:lineRule="auto"/>
        <w:jc w:val="both"/>
        <w:rPr>
          <w:rFonts w:ascii="Arial" w:hAnsi="Arial" w:cs="Arial"/>
          <w:sz w:val="24"/>
          <w:szCs w:val="24"/>
        </w:rPr>
      </w:pPr>
    </w:p>
    <w:p w14:paraId="42DA811D" w14:textId="77777777" w:rsidR="002F56B3" w:rsidRDefault="002F56B3" w:rsidP="00DB3C5E">
      <w:pPr>
        <w:spacing w:line="360" w:lineRule="auto"/>
        <w:jc w:val="both"/>
        <w:rPr>
          <w:rFonts w:ascii="Arial" w:hAnsi="Arial" w:cs="Arial"/>
          <w:sz w:val="24"/>
          <w:szCs w:val="24"/>
        </w:rPr>
      </w:pPr>
    </w:p>
    <w:p w14:paraId="0CFFB720" w14:textId="77777777" w:rsidR="002F56B3" w:rsidRDefault="002F56B3" w:rsidP="00DB3C5E">
      <w:pPr>
        <w:spacing w:line="360" w:lineRule="auto"/>
        <w:jc w:val="both"/>
        <w:rPr>
          <w:rFonts w:ascii="Arial" w:hAnsi="Arial" w:cs="Arial"/>
          <w:sz w:val="24"/>
          <w:szCs w:val="24"/>
        </w:rPr>
      </w:pPr>
    </w:p>
    <w:p w14:paraId="1324523B" w14:textId="77777777" w:rsidR="002F56B3" w:rsidRDefault="002F56B3" w:rsidP="00DB3C5E">
      <w:pPr>
        <w:spacing w:line="360" w:lineRule="auto"/>
        <w:jc w:val="both"/>
        <w:rPr>
          <w:rFonts w:ascii="Arial" w:hAnsi="Arial" w:cs="Arial"/>
          <w:sz w:val="24"/>
          <w:szCs w:val="24"/>
        </w:rPr>
      </w:pPr>
    </w:p>
    <w:p w14:paraId="2A67E200" w14:textId="77777777" w:rsidR="002F56B3" w:rsidRDefault="002F56B3" w:rsidP="00DB3C5E">
      <w:pPr>
        <w:spacing w:line="360" w:lineRule="auto"/>
        <w:jc w:val="both"/>
        <w:rPr>
          <w:rFonts w:ascii="Arial" w:hAnsi="Arial" w:cs="Arial"/>
          <w:sz w:val="24"/>
          <w:szCs w:val="24"/>
        </w:rPr>
      </w:pPr>
    </w:p>
    <w:p w14:paraId="6EF1B962" w14:textId="77777777" w:rsidR="002F56B3" w:rsidRDefault="002F56B3" w:rsidP="00DB3C5E">
      <w:pPr>
        <w:spacing w:line="360" w:lineRule="auto"/>
        <w:jc w:val="both"/>
        <w:rPr>
          <w:rFonts w:ascii="Arial" w:hAnsi="Arial" w:cs="Arial"/>
          <w:sz w:val="24"/>
          <w:szCs w:val="24"/>
        </w:rPr>
      </w:pPr>
    </w:p>
    <w:p w14:paraId="26F59735" w14:textId="77777777" w:rsidR="002F56B3" w:rsidRDefault="002F56B3" w:rsidP="00DB3C5E">
      <w:pPr>
        <w:spacing w:line="360" w:lineRule="auto"/>
        <w:jc w:val="both"/>
        <w:rPr>
          <w:rFonts w:ascii="Arial" w:hAnsi="Arial" w:cs="Arial"/>
          <w:sz w:val="24"/>
          <w:szCs w:val="24"/>
        </w:rPr>
      </w:pPr>
    </w:p>
    <w:p w14:paraId="172ED805" w14:textId="77777777" w:rsidR="0049170B" w:rsidRDefault="0049170B" w:rsidP="00DB3C5E">
      <w:pPr>
        <w:spacing w:line="360" w:lineRule="auto"/>
        <w:jc w:val="both"/>
        <w:rPr>
          <w:rFonts w:ascii="Arial" w:hAnsi="Arial" w:cs="Arial"/>
          <w:sz w:val="24"/>
          <w:szCs w:val="24"/>
        </w:rPr>
      </w:pPr>
    </w:p>
    <w:p w14:paraId="61F5AF44" w14:textId="77777777" w:rsidR="0049170B" w:rsidRDefault="0049170B" w:rsidP="00DB3C5E">
      <w:pPr>
        <w:spacing w:line="360" w:lineRule="auto"/>
        <w:jc w:val="both"/>
        <w:rPr>
          <w:rFonts w:ascii="Arial" w:hAnsi="Arial" w:cs="Arial"/>
          <w:sz w:val="24"/>
          <w:szCs w:val="24"/>
        </w:rPr>
      </w:pPr>
    </w:p>
    <w:p w14:paraId="3E238BFE" w14:textId="77777777" w:rsidR="0049170B" w:rsidRDefault="0049170B" w:rsidP="00DB3C5E">
      <w:pPr>
        <w:spacing w:line="360" w:lineRule="auto"/>
        <w:jc w:val="both"/>
        <w:rPr>
          <w:rFonts w:ascii="Arial" w:hAnsi="Arial" w:cs="Arial"/>
          <w:sz w:val="24"/>
          <w:szCs w:val="24"/>
        </w:rPr>
      </w:pPr>
    </w:p>
    <w:p w14:paraId="46801E78" w14:textId="77777777" w:rsidR="0049170B" w:rsidRDefault="0049170B" w:rsidP="00DB3C5E">
      <w:pPr>
        <w:spacing w:line="360" w:lineRule="auto"/>
        <w:jc w:val="both"/>
        <w:rPr>
          <w:rFonts w:ascii="Arial" w:hAnsi="Arial" w:cs="Arial"/>
          <w:sz w:val="24"/>
          <w:szCs w:val="24"/>
        </w:rPr>
      </w:pPr>
    </w:p>
    <w:p w14:paraId="59BDF93D" w14:textId="77777777" w:rsidR="0049170B" w:rsidRDefault="0049170B" w:rsidP="00DB3C5E">
      <w:pPr>
        <w:spacing w:line="360" w:lineRule="auto"/>
        <w:jc w:val="both"/>
        <w:rPr>
          <w:rFonts w:ascii="Arial" w:hAnsi="Arial" w:cs="Arial"/>
          <w:sz w:val="24"/>
          <w:szCs w:val="24"/>
        </w:rPr>
      </w:pPr>
    </w:p>
    <w:p w14:paraId="1A931EBE" w14:textId="77777777" w:rsidR="00EE2A34" w:rsidRPr="000B0EBA" w:rsidRDefault="00EE2A34" w:rsidP="000B0EBA">
      <w:pPr>
        <w:pStyle w:val="NormalWeb"/>
        <w:spacing w:line="360" w:lineRule="auto"/>
        <w:jc w:val="both"/>
        <w:rPr>
          <w:rFonts w:ascii="Arial" w:hAnsi="Arial" w:cs="Arial"/>
          <w:b/>
          <w:bCs/>
          <w:u w:val="single"/>
        </w:rPr>
      </w:pPr>
    </w:p>
    <w:p w14:paraId="1FABAE6E" w14:textId="2E9A2CE1" w:rsidR="00373807" w:rsidRPr="00EE2A34" w:rsidRDefault="00C1432C" w:rsidP="00EE2A34">
      <w:pPr>
        <w:pStyle w:val="Heading2"/>
        <w:spacing w:line="360" w:lineRule="auto"/>
        <w:jc w:val="both"/>
        <w:rPr>
          <w:rFonts w:ascii="Arial" w:hAnsi="Arial" w:cs="Arial"/>
          <w:color w:val="auto"/>
          <w:sz w:val="24"/>
          <w:szCs w:val="24"/>
        </w:rPr>
      </w:pPr>
      <w:bookmarkStart w:id="18" w:name="_Toc218004610"/>
      <w:r w:rsidRPr="00C1432C">
        <w:rPr>
          <w:rFonts w:ascii="Arial" w:hAnsi="Arial" w:cs="Arial"/>
          <w:color w:val="auto"/>
          <w:sz w:val="24"/>
          <w:szCs w:val="24"/>
        </w:rPr>
        <w:lastRenderedPageBreak/>
        <w:t>Reference List</w:t>
      </w:r>
      <w:bookmarkEnd w:id="18"/>
    </w:p>
    <w:p w14:paraId="39BB9218" w14:textId="77777777" w:rsidR="00674BE8" w:rsidRPr="00EE2A34" w:rsidRDefault="00373807" w:rsidP="00EE2A34">
      <w:pPr>
        <w:pStyle w:val="Bibliography"/>
        <w:spacing w:line="360" w:lineRule="auto"/>
        <w:jc w:val="both"/>
        <w:rPr>
          <w:rFonts w:ascii="Arial" w:hAnsi="Arial" w:cs="Arial"/>
          <w:sz w:val="24"/>
        </w:rPr>
      </w:pPr>
      <w:r w:rsidRPr="00EE2A34">
        <w:rPr>
          <w:rFonts w:ascii="Arial" w:hAnsi="Arial" w:cs="Arial"/>
          <w:sz w:val="24"/>
          <w:szCs w:val="24"/>
        </w:rPr>
        <w:fldChar w:fldCharType="begin"/>
      </w:r>
      <w:r w:rsidR="002D20B8" w:rsidRPr="00EE2A34">
        <w:rPr>
          <w:rFonts w:ascii="Arial" w:hAnsi="Arial" w:cs="Arial"/>
          <w:sz w:val="24"/>
          <w:szCs w:val="24"/>
        </w:rPr>
        <w:instrText xml:space="preserve"> ADDIN ZOTERO_BIBL {"uncited":[],"omitted":[],"custom":[]} CSL_BIBLIOGRAPHY </w:instrText>
      </w:r>
      <w:r w:rsidRPr="00EE2A34">
        <w:rPr>
          <w:rFonts w:ascii="Arial" w:hAnsi="Arial" w:cs="Arial"/>
          <w:sz w:val="24"/>
          <w:szCs w:val="24"/>
        </w:rPr>
        <w:fldChar w:fldCharType="separate"/>
      </w:r>
      <w:r w:rsidR="00674BE8" w:rsidRPr="00EE2A34">
        <w:rPr>
          <w:rFonts w:ascii="Arial" w:hAnsi="Arial" w:cs="Arial"/>
          <w:sz w:val="24"/>
        </w:rPr>
        <w:t xml:space="preserve">Abdulmaksoud, S., Alzaatreh, A. and Beheiry, S. (2025) ‘Exploring stakeholders’ perceptions of the Triple Bottom Line in the UAE construction sector: A structural equation modeling approach’, </w:t>
      </w:r>
      <w:r w:rsidR="00674BE8" w:rsidRPr="00CE3486">
        <w:rPr>
          <w:rFonts w:ascii="Arial" w:hAnsi="Arial" w:cs="Arial"/>
          <w:i/>
          <w:iCs/>
          <w:sz w:val="24"/>
        </w:rPr>
        <w:t>Social Sciences &amp; Humanities Open</w:t>
      </w:r>
      <w:r w:rsidR="00674BE8" w:rsidRPr="00EE2A34">
        <w:rPr>
          <w:rFonts w:ascii="Arial" w:hAnsi="Arial" w:cs="Arial"/>
          <w:sz w:val="24"/>
        </w:rPr>
        <w:t>, 11, p. 101276. Available at: https://doi.org/10.1016/j.ssaho.2025.101276.</w:t>
      </w:r>
    </w:p>
    <w:p w14:paraId="6BE080E7" w14:textId="648A9BB1"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Agyabeng-Mensah, Y. et al.</w:t>
      </w:r>
      <w:r w:rsidR="00CE3486">
        <w:rPr>
          <w:rFonts w:ascii="Arial" w:hAnsi="Arial" w:cs="Arial"/>
          <w:sz w:val="24"/>
        </w:rPr>
        <w:t>,</w:t>
      </w:r>
      <w:r w:rsidRPr="00EE2A34">
        <w:rPr>
          <w:rFonts w:ascii="Arial" w:hAnsi="Arial" w:cs="Arial"/>
          <w:sz w:val="24"/>
        </w:rPr>
        <w:t xml:space="preserve"> (2023) ‘Circular supply chain practices and corporate sustainability performance: do ethical supply chain leadership and environmental orientation make a difference?’, </w:t>
      </w:r>
      <w:r w:rsidRPr="00CE3486">
        <w:rPr>
          <w:rFonts w:ascii="Arial" w:hAnsi="Arial" w:cs="Arial"/>
          <w:i/>
          <w:iCs/>
          <w:sz w:val="24"/>
        </w:rPr>
        <w:t>Journal of Manufacturing Technology Management,</w:t>
      </w:r>
      <w:r w:rsidRPr="00EE2A34">
        <w:rPr>
          <w:rFonts w:ascii="Arial" w:hAnsi="Arial" w:cs="Arial"/>
          <w:sz w:val="24"/>
        </w:rPr>
        <w:t xml:space="preserve"> 34(2), pp. 213–233. Available at: https://doi.org/10.1108/JMTM-08-2022-0296.</w:t>
      </w:r>
    </w:p>
    <w:p w14:paraId="1EBE041F" w14:textId="58200BA2"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Almaqtari, F.A. et al.</w:t>
      </w:r>
      <w:r w:rsidR="00CE3486">
        <w:rPr>
          <w:rFonts w:ascii="Arial" w:hAnsi="Arial" w:cs="Arial"/>
          <w:sz w:val="24"/>
        </w:rPr>
        <w:t xml:space="preserve">, </w:t>
      </w:r>
      <w:r w:rsidRPr="00EE2A34">
        <w:rPr>
          <w:rFonts w:ascii="Arial" w:hAnsi="Arial" w:cs="Arial"/>
          <w:sz w:val="24"/>
        </w:rPr>
        <w:t xml:space="preserve">(2024) ‘Country-level governance and sustainable development goals: implications for firms’ sustainability performance’, </w:t>
      </w:r>
      <w:r w:rsidRPr="00CE3486">
        <w:rPr>
          <w:rFonts w:ascii="Arial" w:hAnsi="Arial" w:cs="Arial"/>
          <w:i/>
          <w:iCs/>
          <w:sz w:val="24"/>
        </w:rPr>
        <w:t>Studies in Economics and Finance</w:t>
      </w:r>
      <w:r w:rsidRPr="00EE2A34">
        <w:rPr>
          <w:rFonts w:ascii="Arial" w:hAnsi="Arial" w:cs="Arial"/>
          <w:sz w:val="24"/>
        </w:rPr>
        <w:t>, 41(3), pp. 684–723. Available at: https://doi.org/10.1108/SEF-05-2023-0272.</w:t>
      </w:r>
    </w:p>
    <w:p w14:paraId="7AB0E9CE" w14:textId="45CE743B"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Asif, M. et al.</w:t>
      </w:r>
      <w:r w:rsidR="00CE3486">
        <w:rPr>
          <w:rFonts w:ascii="Arial" w:hAnsi="Arial" w:cs="Arial"/>
          <w:sz w:val="24"/>
        </w:rPr>
        <w:t>,</w:t>
      </w:r>
      <w:r w:rsidRPr="00EE2A34">
        <w:rPr>
          <w:rFonts w:ascii="Arial" w:hAnsi="Arial" w:cs="Arial"/>
          <w:sz w:val="24"/>
        </w:rPr>
        <w:t xml:space="preserve"> (2013) ‘An integrated management systems approach to corporate social responsibility’, </w:t>
      </w:r>
      <w:r w:rsidRPr="00CE3486">
        <w:rPr>
          <w:rFonts w:ascii="Arial" w:hAnsi="Arial" w:cs="Arial"/>
          <w:i/>
          <w:iCs/>
          <w:sz w:val="24"/>
        </w:rPr>
        <w:t>Journal of Cleaner Production</w:t>
      </w:r>
      <w:r w:rsidRPr="00EE2A34">
        <w:rPr>
          <w:rFonts w:ascii="Arial" w:hAnsi="Arial" w:cs="Arial"/>
          <w:sz w:val="24"/>
        </w:rPr>
        <w:t>, 56, pp. 7–17. Available at: https://doi.org/10.1016/j.jclepro.2011.10.034.</w:t>
      </w:r>
    </w:p>
    <w:p w14:paraId="70068E27" w14:textId="1C4DCDDB"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Bade, C. et al.</w:t>
      </w:r>
      <w:r w:rsidR="00CE3486">
        <w:rPr>
          <w:rFonts w:ascii="Arial" w:hAnsi="Arial" w:cs="Arial"/>
          <w:sz w:val="24"/>
        </w:rPr>
        <w:t>,</w:t>
      </w:r>
      <w:r w:rsidRPr="00EE2A34">
        <w:rPr>
          <w:rFonts w:ascii="Arial" w:hAnsi="Arial" w:cs="Arial"/>
          <w:sz w:val="24"/>
        </w:rPr>
        <w:t xml:space="preserve"> (2024) ‘Sustainability in the pharmaceutical industry—An assessment of </w:t>
      </w:r>
      <w:r w:rsidRPr="00EE2A34">
        <w:rPr>
          <w:rFonts w:ascii="Arial" w:hAnsi="Arial" w:cs="Arial"/>
          <w:smallCaps/>
          <w:sz w:val="24"/>
        </w:rPr>
        <w:t>sustainability</w:t>
      </w:r>
      <w:r w:rsidRPr="00EE2A34">
        <w:rPr>
          <w:rFonts w:ascii="Arial" w:hAnsi="Arial" w:cs="Arial"/>
          <w:sz w:val="24"/>
        </w:rPr>
        <w:t xml:space="preserve"> maturity and effects of </w:t>
      </w:r>
      <w:r w:rsidRPr="00EE2A34">
        <w:rPr>
          <w:rFonts w:ascii="Arial" w:hAnsi="Arial" w:cs="Arial"/>
          <w:smallCaps/>
          <w:sz w:val="24"/>
        </w:rPr>
        <w:t>sustainability</w:t>
      </w:r>
      <w:r w:rsidRPr="00EE2A34">
        <w:rPr>
          <w:rFonts w:ascii="Arial" w:hAnsi="Arial" w:cs="Arial"/>
          <w:sz w:val="24"/>
        </w:rPr>
        <w:t xml:space="preserve"> measure implementation on supply chain security’, </w:t>
      </w:r>
      <w:r w:rsidRPr="00CE3486">
        <w:rPr>
          <w:rFonts w:ascii="Arial" w:hAnsi="Arial" w:cs="Arial"/>
          <w:i/>
          <w:iCs/>
          <w:sz w:val="24"/>
        </w:rPr>
        <w:t>Corporate Social Responsibility and Environmental Management,</w:t>
      </w:r>
      <w:r w:rsidRPr="00EE2A34">
        <w:rPr>
          <w:rFonts w:ascii="Arial" w:hAnsi="Arial" w:cs="Arial"/>
          <w:sz w:val="24"/>
        </w:rPr>
        <w:t xml:space="preserve"> 31(1), pp. 224–242. Available at: https://doi.org/10.1002/csr.2564.</w:t>
      </w:r>
    </w:p>
    <w:p w14:paraId="468853FF"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Banerjee, S.B. (2014) ‘A critical perspective on corporate social responsibility: Towards a global governance framework’, </w:t>
      </w:r>
      <w:r w:rsidRPr="00CE3486">
        <w:rPr>
          <w:rFonts w:ascii="Arial" w:hAnsi="Arial" w:cs="Arial"/>
          <w:i/>
          <w:iCs/>
          <w:sz w:val="24"/>
        </w:rPr>
        <w:t xml:space="preserve">Critical Perspectives on International Business, </w:t>
      </w:r>
      <w:r w:rsidRPr="00EE2A34">
        <w:rPr>
          <w:rFonts w:ascii="Arial" w:hAnsi="Arial" w:cs="Arial"/>
          <w:sz w:val="24"/>
        </w:rPr>
        <w:t>10(1/2), pp. 84–95. Available at: https://doi.org/10.1108/cpoib-06-2013-0021.</w:t>
      </w:r>
    </w:p>
    <w:p w14:paraId="770B31C7"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Beske, P., Land, A. and Seuring, S. (2014) ‘Sustainable supply chain management practices and dynamic capabilities in the food industry: A critical analysis of the literature’, </w:t>
      </w:r>
      <w:r w:rsidRPr="00CE3486">
        <w:rPr>
          <w:rFonts w:ascii="Arial" w:hAnsi="Arial" w:cs="Arial"/>
          <w:i/>
          <w:iCs/>
          <w:sz w:val="24"/>
        </w:rPr>
        <w:t>International Journal of Production Economics</w:t>
      </w:r>
      <w:r w:rsidRPr="00EE2A34">
        <w:rPr>
          <w:rFonts w:ascii="Arial" w:hAnsi="Arial" w:cs="Arial"/>
          <w:sz w:val="24"/>
        </w:rPr>
        <w:t>, 152, pp. 131–143. Available at: https://doi.org/10.1016/j.ijpe.2013.12.026.</w:t>
      </w:r>
    </w:p>
    <w:p w14:paraId="03819ED3"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lastRenderedPageBreak/>
        <w:t xml:space="preserve">Buhr, M. and Weissbrod, I. (2026) ‘The Role of Individual Beliefs for Corporate Sustainability Transformations’, </w:t>
      </w:r>
      <w:r w:rsidRPr="006E45C6">
        <w:rPr>
          <w:rFonts w:ascii="Arial" w:hAnsi="Arial" w:cs="Arial"/>
          <w:i/>
          <w:iCs/>
          <w:sz w:val="24"/>
        </w:rPr>
        <w:t>Business Ethics, the Environment &amp; Responsibility</w:t>
      </w:r>
      <w:r w:rsidRPr="00EE2A34">
        <w:rPr>
          <w:rFonts w:ascii="Arial" w:hAnsi="Arial" w:cs="Arial"/>
          <w:sz w:val="24"/>
        </w:rPr>
        <w:t>, 35(1), pp. 340–366. Available at: https://doi.org/10.1111/beer.12783.</w:t>
      </w:r>
    </w:p>
    <w:p w14:paraId="1EB6BE20"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Carroll, A.B. (2016) ‘Carroll’s pyramid of CSR: taking another look’, International </w:t>
      </w:r>
      <w:r w:rsidRPr="006E45C6">
        <w:rPr>
          <w:rFonts w:ascii="Arial" w:hAnsi="Arial" w:cs="Arial"/>
          <w:i/>
          <w:iCs/>
          <w:sz w:val="24"/>
        </w:rPr>
        <w:t>Journal of Corporate Social Responsibility,</w:t>
      </w:r>
      <w:r w:rsidRPr="00EE2A34">
        <w:rPr>
          <w:rFonts w:ascii="Arial" w:hAnsi="Arial" w:cs="Arial"/>
          <w:sz w:val="24"/>
        </w:rPr>
        <w:t xml:space="preserve"> 1(1), p. 3. Available at: https://doi.org/10.1186/s40991-016-0004-6.</w:t>
      </w:r>
    </w:p>
    <w:p w14:paraId="63A89150" w14:textId="05E4F681"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Cezarino, L.O. et al.</w:t>
      </w:r>
      <w:r w:rsidR="006E45C6">
        <w:rPr>
          <w:rFonts w:ascii="Arial" w:hAnsi="Arial" w:cs="Arial"/>
          <w:sz w:val="24"/>
        </w:rPr>
        <w:t>,</w:t>
      </w:r>
      <w:r w:rsidRPr="00EE2A34">
        <w:rPr>
          <w:rFonts w:ascii="Arial" w:hAnsi="Arial" w:cs="Arial"/>
          <w:sz w:val="24"/>
        </w:rPr>
        <w:t xml:space="preserve"> (2022) ‘Corporate social responsibility in emerging markets: Opportunities and challenges for sustainability integration’, </w:t>
      </w:r>
      <w:r w:rsidRPr="006E45C6">
        <w:rPr>
          <w:rFonts w:ascii="Arial" w:hAnsi="Arial" w:cs="Arial"/>
          <w:i/>
          <w:iCs/>
          <w:sz w:val="24"/>
        </w:rPr>
        <w:t>Journal of Cleaner Production,</w:t>
      </w:r>
      <w:r w:rsidRPr="00EE2A34">
        <w:rPr>
          <w:rFonts w:ascii="Arial" w:hAnsi="Arial" w:cs="Arial"/>
          <w:sz w:val="24"/>
        </w:rPr>
        <w:t xml:space="preserve"> 362, p. 132224. Available at: https://doi.org/10.1016/j.jclepro.2022.132224.</w:t>
      </w:r>
    </w:p>
    <w:p w14:paraId="54DB9309" w14:textId="3BD173FA"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Chell, E. et al.</w:t>
      </w:r>
      <w:r w:rsidR="006E45C6">
        <w:rPr>
          <w:rFonts w:ascii="Arial" w:hAnsi="Arial" w:cs="Arial"/>
          <w:sz w:val="24"/>
        </w:rPr>
        <w:t>,</w:t>
      </w:r>
      <w:r w:rsidRPr="00EE2A34">
        <w:rPr>
          <w:rFonts w:ascii="Arial" w:hAnsi="Arial" w:cs="Arial"/>
          <w:sz w:val="24"/>
        </w:rPr>
        <w:t xml:space="preserve"> (2016) ‘Social Entrepreneurship and Business Ethics: Does Social Equal Ethical?’, </w:t>
      </w:r>
      <w:r w:rsidRPr="006E45C6">
        <w:rPr>
          <w:rFonts w:ascii="Arial" w:hAnsi="Arial" w:cs="Arial"/>
          <w:i/>
          <w:iCs/>
          <w:sz w:val="24"/>
        </w:rPr>
        <w:t>Journal of Business Ethics,</w:t>
      </w:r>
      <w:r w:rsidRPr="00EE2A34">
        <w:rPr>
          <w:rFonts w:ascii="Arial" w:hAnsi="Arial" w:cs="Arial"/>
          <w:sz w:val="24"/>
        </w:rPr>
        <w:t xml:space="preserve"> 133(4), pp. 619–625. Available at: https://doi.org/10.1007/s10551-014-2439-6.</w:t>
      </w:r>
    </w:p>
    <w:p w14:paraId="06A4AC78"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Chouaibi, Y. and Zouari, G. (2022) ‘The effect of corporate social responsibility practices on real earnings management: evidence from a European ESG data’, </w:t>
      </w:r>
      <w:r w:rsidRPr="006E45C6">
        <w:rPr>
          <w:rFonts w:ascii="Arial" w:hAnsi="Arial" w:cs="Arial"/>
          <w:i/>
          <w:iCs/>
          <w:sz w:val="24"/>
        </w:rPr>
        <w:t>International Journal of Disclosure and Governance</w:t>
      </w:r>
      <w:r w:rsidRPr="00EE2A34">
        <w:rPr>
          <w:rFonts w:ascii="Arial" w:hAnsi="Arial" w:cs="Arial"/>
          <w:sz w:val="24"/>
        </w:rPr>
        <w:t>, 19(1), pp. 11–30. Available at: https://doi.org/10.1057/s41310-021-00125-1.</w:t>
      </w:r>
    </w:p>
    <w:p w14:paraId="76793628"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Denner, N., Koch, T. and Dahlke, J. (2025) ‘Companies as Critics, Adapters, and Pioneers: Motives, Strategies, and Risks of Corporate Social Advocacy’, International </w:t>
      </w:r>
      <w:r w:rsidRPr="006E45C6">
        <w:rPr>
          <w:rFonts w:ascii="Arial" w:hAnsi="Arial" w:cs="Arial"/>
          <w:i/>
          <w:iCs/>
          <w:sz w:val="24"/>
        </w:rPr>
        <w:t>Journal of Strategic Communication,</w:t>
      </w:r>
      <w:r w:rsidRPr="00EE2A34">
        <w:rPr>
          <w:rFonts w:ascii="Arial" w:hAnsi="Arial" w:cs="Arial"/>
          <w:sz w:val="24"/>
        </w:rPr>
        <w:t xml:space="preserve"> 19(4), pp. 536–554. Available at: https://doi.org/10.1080/1553118X.2025.2466505.</w:t>
      </w:r>
    </w:p>
    <w:p w14:paraId="231F9013"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Eriksson, D. and Svensson, G. (2016) ‘A balance model of theoretical sustainability – framework and propositions’, </w:t>
      </w:r>
      <w:r w:rsidRPr="006E45C6">
        <w:rPr>
          <w:rFonts w:ascii="Arial" w:hAnsi="Arial" w:cs="Arial"/>
          <w:i/>
          <w:iCs/>
          <w:sz w:val="24"/>
        </w:rPr>
        <w:t>Corporate Governance</w:t>
      </w:r>
      <w:r w:rsidRPr="00EE2A34">
        <w:rPr>
          <w:rFonts w:ascii="Arial" w:hAnsi="Arial" w:cs="Arial"/>
          <w:sz w:val="24"/>
        </w:rPr>
        <w:t>, 16(1), pp. 21–34. Available at: https://doi.org/10.1108/CG-01-2015-0006.</w:t>
      </w:r>
    </w:p>
    <w:p w14:paraId="0CE6DFFA" w14:textId="5F2E384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Fahmi, F. et al.</w:t>
      </w:r>
      <w:r w:rsidR="006E45C6">
        <w:rPr>
          <w:rFonts w:ascii="Arial" w:hAnsi="Arial" w:cs="Arial"/>
          <w:sz w:val="24"/>
        </w:rPr>
        <w:t>,</w:t>
      </w:r>
      <w:r w:rsidRPr="00EE2A34">
        <w:rPr>
          <w:rFonts w:ascii="Arial" w:hAnsi="Arial" w:cs="Arial"/>
          <w:sz w:val="24"/>
        </w:rPr>
        <w:t xml:space="preserve"> (2025) ‘Corporate agility and government regulation as drivers of airport performance and airport sustainability: an SEM-based study in Indonesian airports’, </w:t>
      </w:r>
      <w:r w:rsidRPr="006E45C6">
        <w:rPr>
          <w:rFonts w:ascii="Arial" w:hAnsi="Arial" w:cs="Arial"/>
          <w:i/>
          <w:iCs/>
          <w:sz w:val="24"/>
        </w:rPr>
        <w:t>Frontiers in Sustainability</w:t>
      </w:r>
      <w:r w:rsidRPr="00EE2A34">
        <w:rPr>
          <w:rFonts w:ascii="Arial" w:hAnsi="Arial" w:cs="Arial"/>
          <w:sz w:val="24"/>
        </w:rPr>
        <w:t>, 6. Available at: https://doi.org/10.3389/frsus.2025.1581348.</w:t>
      </w:r>
    </w:p>
    <w:p w14:paraId="102B40B5" w14:textId="72C62B3F"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lastRenderedPageBreak/>
        <w:t>Hamrouni, A. et al.</w:t>
      </w:r>
      <w:r w:rsidR="006E45C6">
        <w:rPr>
          <w:rFonts w:ascii="Arial" w:hAnsi="Arial" w:cs="Arial"/>
          <w:sz w:val="24"/>
        </w:rPr>
        <w:t>,</w:t>
      </w:r>
      <w:r w:rsidRPr="00EE2A34">
        <w:rPr>
          <w:rFonts w:ascii="Arial" w:hAnsi="Arial" w:cs="Arial"/>
          <w:sz w:val="24"/>
        </w:rPr>
        <w:t xml:space="preserve"> (2023) ‘Ethical environment, accountability, and sustainability reporting: What is the connection in the hospitality and tourism industry?’, </w:t>
      </w:r>
      <w:r w:rsidRPr="006E45C6">
        <w:rPr>
          <w:rFonts w:ascii="Arial" w:hAnsi="Arial" w:cs="Arial"/>
          <w:i/>
          <w:iCs/>
          <w:sz w:val="24"/>
        </w:rPr>
        <w:t>Tourism Economics,</w:t>
      </w:r>
      <w:r w:rsidRPr="00EE2A34">
        <w:rPr>
          <w:rFonts w:ascii="Arial" w:hAnsi="Arial" w:cs="Arial"/>
          <w:sz w:val="24"/>
        </w:rPr>
        <w:t xml:space="preserve"> 29(3), pp. 664–695. Available at: https://doi.org/10.1177/13548166211062649.</w:t>
      </w:r>
    </w:p>
    <w:p w14:paraId="665E0CC9"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Heikkurinen, P. and Bonnedahl, K.J. (2013) ‘Corporate responsibility for sustainable development: a review and conceptual comparison of market- and stakeholder-oriented strategies’, </w:t>
      </w:r>
      <w:r w:rsidRPr="006E45C6">
        <w:rPr>
          <w:rFonts w:ascii="Arial" w:hAnsi="Arial" w:cs="Arial"/>
          <w:i/>
          <w:iCs/>
          <w:sz w:val="24"/>
        </w:rPr>
        <w:t>Journal of Cleaner Production</w:t>
      </w:r>
      <w:r w:rsidRPr="00EE2A34">
        <w:rPr>
          <w:rFonts w:ascii="Arial" w:hAnsi="Arial" w:cs="Arial"/>
          <w:sz w:val="24"/>
        </w:rPr>
        <w:t>, 43, pp. 191–198. Available at: https://doi.org/10.1016/j.jclepro.2012.12.021.</w:t>
      </w:r>
    </w:p>
    <w:p w14:paraId="411D5B3A" w14:textId="377613D6"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Jackson, S. et al.</w:t>
      </w:r>
      <w:r w:rsidR="006E45C6">
        <w:rPr>
          <w:rFonts w:ascii="Arial" w:hAnsi="Arial" w:cs="Arial"/>
          <w:sz w:val="24"/>
        </w:rPr>
        <w:t>,</w:t>
      </w:r>
      <w:r w:rsidRPr="00EE2A34">
        <w:rPr>
          <w:rFonts w:ascii="Arial" w:hAnsi="Arial" w:cs="Arial"/>
          <w:sz w:val="24"/>
        </w:rPr>
        <w:t xml:space="preserve"> (2023) ‘Mining and Sustainability in the Circumpolar North: The Role of Government in Advancing Corporate Social Responsibility’, </w:t>
      </w:r>
      <w:r w:rsidRPr="006E45C6">
        <w:rPr>
          <w:rFonts w:ascii="Arial" w:hAnsi="Arial" w:cs="Arial"/>
          <w:i/>
          <w:iCs/>
          <w:sz w:val="24"/>
        </w:rPr>
        <w:t>Environmental Management,</w:t>
      </w:r>
      <w:r w:rsidRPr="00EE2A34">
        <w:rPr>
          <w:rFonts w:ascii="Arial" w:hAnsi="Arial" w:cs="Arial"/>
          <w:sz w:val="24"/>
        </w:rPr>
        <w:t xml:space="preserve"> 72(1), pp. 37–52. Available at: https://doi.org/10.1007/s00267-022-01680-1.</w:t>
      </w:r>
    </w:p>
    <w:p w14:paraId="1E41A29A" w14:textId="77777777" w:rsidR="00674BE8"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Lee, J.Y. (2025) ‘Discursive construction of government influence on state-owned enterprise sustainability: a critical discourse analysis of South Korean SOEs’ sustainability practice’, </w:t>
      </w:r>
      <w:r w:rsidRPr="006E45C6">
        <w:rPr>
          <w:rFonts w:ascii="Arial" w:hAnsi="Arial" w:cs="Arial"/>
          <w:i/>
          <w:iCs/>
          <w:sz w:val="24"/>
        </w:rPr>
        <w:t>Asian Journal of Business Ethics,</w:t>
      </w:r>
      <w:r w:rsidRPr="00EE2A34">
        <w:rPr>
          <w:rFonts w:ascii="Arial" w:hAnsi="Arial" w:cs="Arial"/>
          <w:sz w:val="24"/>
        </w:rPr>
        <w:t xml:space="preserve"> 14(2), pp. 327–352. Available at: https://doi.org/10.1007/s13520-025-00241-z.</w:t>
      </w:r>
    </w:p>
    <w:p w14:paraId="1186D9A3" w14:textId="4BD920ED" w:rsidR="00E90C98" w:rsidRPr="00E90C98" w:rsidRDefault="00E90C98" w:rsidP="00E90C98">
      <w:pPr>
        <w:pStyle w:val="Bibliography"/>
        <w:spacing w:line="360" w:lineRule="auto"/>
        <w:jc w:val="both"/>
        <w:rPr>
          <w:rFonts w:ascii="Arial" w:hAnsi="Arial" w:cs="Arial"/>
          <w:sz w:val="24"/>
        </w:rPr>
      </w:pPr>
      <w:r>
        <w:rPr>
          <w:rFonts w:ascii="Arial" w:hAnsi="Arial" w:cs="Arial"/>
          <w:sz w:val="24"/>
        </w:rPr>
        <w:t>Leena</w:t>
      </w:r>
      <w:r w:rsidRPr="00EE2A34">
        <w:rPr>
          <w:rFonts w:ascii="Arial" w:hAnsi="Arial" w:cs="Arial"/>
          <w:sz w:val="24"/>
        </w:rPr>
        <w:t>. et al.</w:t>
      </w:r>
      <w:r>
        <w:rPr>
          <w:rFonts w:ascii="Arial" w:hAnsi="Arial" w:cs="Arial"/>
          <w:sz w:val="24"/>
        </w:rPr>
        <w:t>,</w:t>
      </w:r>
      <w:r w:rsidRPr="00EE2A34">
        <w:rPr>
          <w:rFonts w:ascii="Arial" w:hAnsi="Arial" w:cs="Arial"/>
          <w:sz w:val="24"/>
        </w:rPr>
        <w:t xml:space="preserve"> (2023) ‘Corporate social responsibility and sustainable development goals: evidence from responsible business leaders’, </w:t>
      </w:r>
      <w:r w:rsidRPr="006E45C6">
        <w:rPr>
          <w:rFonts w:ascii="Arial" w:hAnsi="Arial" w:cs="Arial"/>
          <w:i/>
          <w:iCs/>
          <w:sz w:val="24"/>
        </w:rPr>
        <w:t>Journal of Global Responsibility,</w:t>
      </w:r>
      <w:r w:rsidRPr="00EE2A34">
        <w:rPr>
          <w:rFonts w:ascii="Arial" w:hAnsi="Arial" w:cs="Arial"/>
          <w:sz w:val="24"/>
        </w:rPr>
        <w:t xml:space="preserve"> 15(4), pp. 409–435. Available at: https://doi.org/10.1108/JGR-06-2023-0109.</w:t>
      </w:r>
    </w:p>
    <w:p w14:paraId="5707C250"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Mainardes, E.W., Alves, H. and Raposo, M. (2011) ‘Stakeholder theory: issues to resolve’, </w:t>
      </w:r>
      <w:r w:rsidRPr="006E45C6">
        <w:rPr>
          <w:rFonts w:ascii="Arial" w:hAnsi="Arial" w:cs="Arial"/>
          <w:i/>
          <w:iCs/>
          <w:sz w:val="24"/>
        </w:rPr>
        <w:t>Management Decision,</w:t>
      </w:r>
      <w:r w:rsidRPr="00EE2A34">
        <w:rPr>
          <w:rFonts w:ascii="Arial" w:hAnsi="Arial" w:cs="Arial"/>
          <w:sz w:val="24"/>
        </w:rPr>
        <w:t xml:space="preserve"> 49(2), pp. 226–252. Available at: https://doi.org/10.1108/00251741111109133.</w:t>
      </w:r>
    </w:p>
    <w:p w14:paraId="5FB66521"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Mu, H.-L., Xu, J. and Chen, S. (2024) ‘The impact of corporate social responsibility types on happiness management: a stakeholder theory perspective’, </w:t>
      </w:r>
      <w:r w:rsidRPr="006E45C6">
        <w:rPr>
          <w:rFonts w:ascii="Arial" w:hAnsi="Arial" w:cs="Arial"/>
          <w:i/>
          <w:iCs/>
          <w:sz w:val="24"/>
        </w:rPr>
        <w:t xml:space="preserve">Management Decision, </w:t>
      </w:r>
      <w:r w:rsidRPr="00EE2A34">
        <w:rPr>
          <w:rFonts w:ascii="Arial" w:hAnsi="Arial" w:cs="Arial"/>
          <w:sz w:val="24"/>
        </w:rPr>
        <w:t>62(2), pp. 591–613. Available at: https://doi.org/10.1108/MD-02-2023-0267.</w:t>
      </w:r>
    </w:p>
    <w:p w14:paraId="73529CAB"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Prakash, A. and Potoski, M. (2016) ‘Dysfunctional institutions? Toward a New Agenda in Governance Studies’, </w:t>
      </w:r>
      <w:r w:rsidRPr="006E45C6">
        <w:rPr>
          <w:rFonts w:ascii="Arial" w:hAnsi="Arial" w:cs="Arial"/>
          <w:i/>
          <w:iCs/>
          <w:sz w:val="24"/>
        </w:rPr>
        <w:t xml:space="preserve">Regulation &amp; Governance, </w:t>
      </w:r>
      <w:r w:rsidRPr="00EE2A34">
        <w:rPr>
          <w:rFonts w:ascii="Arial" w:hAnsi="Arial" w:cs="Arial"/>
          <w:sz w:val="24"/>
        </w:rPr>
        <w:t>10(2), pp. 115–125. Available at: https://doi.org/10.1111/rego.12113.</w:t>
      </w:r>
    </w:p>
    <w:p w14:paraId="43514BB9"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lastRenderedPageBreak/>
        <w:t xml:space="preserve">Razak, L.A., Ibrahim, M.H. and Ng, A. (2023) ‘Environment, social and governance (ESG) performance and CDS spreads: the role of country sustainability’, </w:t>
      </w:r>
      <w:r w:rsidRPr="006E45C6">
        <w:rPr>
          <w:rFonts w:ascii="Arial" w:hAnsi="Arial" w:cs="Arial"/>
          <w:i/>
          <w:iCs/>
          <w:sz w:val="24"/>
        </w:rPr>
        <w:t xml:space="preserve">The Journal of Risk Finance, </w:t>
      </w:r>
      <w:r w:rsidRPr="00EE2A34">
        <w:rPr>
          <w:rFonts w:ascii="Arial" w:hAnsi="Arial" w:cs="Arial"/>
          <w:sz w:val="24"/>
        </w:rPr>
        <w:t>24(5), pp. 585–613. Available at: https://doi.org/10.1108/JRF-10-2022-0278.</w:t>
      </w:r>
    </w:p>
    <w:p w14:paraId="54BF51C9" w14:textId="22376D51"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Schad, J. et al.</w:t>
      </w:r>
      <w:r w:rsidR="00A64A3A">
        <w:rPr>
          <w:rFonts w:ascii="Arial" w:hAnsi="Arial" w:cs="Arial"/>
          <w:sz w:val="24"/>
        </w:rPr>
        <w:t>,</w:t>
      </w:r>
      <w:r w:rsidRPr="00EE2A34">
        <w:rPr>
          <w:rFonts w:ascii="Arial" w:hAnsi="Arial" w:cs="Arial"/>
          <w:sz w:val="24"/>
        </w:rPr>
        <w:t xml:space="preserve"> (2016) ‘Paradox Research in Management Science: Looking Back to Move Forward’, </w:t>
      </w:r>
      <w:r w:rsidRPr="006E45C6">
        <w:rPr>
          <w:rFonts w:ascii="Arial" w:hAnsi="Arial" w:cs="Arial"/>
          <w:i/>
          <w:iCs/>
          <w:sz w:val="24"/>
        </w:rPr>
        <w:t>Academy of Management Annals,</w:t>
      </w:r>
      <w:r w:rsidRPr="00EE2A34">
        <w:rPr>
          <w:rFonts w:ascii="Arial" w:hAnsi="Arial" w:cs="Arial"/>
          <w:sz w:val="24"/>
        </w:rPr>
        <w:t xml:space="preserve"> 10(1), pp. 5–64. Available at: https://doi.org/10.5465/19416520.2016.1162422.</w:t>
      </w:r>
    </w:p>
    <w:p w14:paraId="4AB1797D" w14:textId="43697C6A"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Schaltegger, S. et al.</w:t>
      </w:r>
      <w:r w:rsidR="00A64A3A">
        <w:rPr>
          <w:rFonts w:ascii="Arial" w:hAnsi="Arial" w:cs="Arial"/>
          <w:sz w:val="24"/>
        </w:rPr>
        <w:t>,</w:t>
      </w:r>
      <w:r w:rsidRPr="00EE2A34">
        <w:rPr>
          <w:rFonts w:ascii="Arial" w:hAnsi="Arial" w:cs="Arial"/>
          <w:sz w:val="24"/>
        </w:rPr>
        <w:t xml:space="preserve"> (2022) ‘Corporate sustainability management accounting and multi-level links for sustainability – A systematic review’, </w:t>
      </w:r>
      <w:r w:rsidRPr="006E45C6">
        <w:rPr>
          <w:rFonts w:ascii="Arial" w:hAnsi="Arial" w:cs="Arial"/>
          <w:i/>
          <w:iCs/>
          <w:sz w:val="24"/>
        </w:rPr>
        <w:t>International Journal of Management Reviews,</w:t>
      </w:r>
      <w:r w:rsidRPr="00EE2A34">
        <w:rPr>
          <w:rFonts w:ascii="Arial" w:hAnsi="Arial" w:cs="Arial"/>
          <w:sz w:val="24"/>
        </w:rPr>
        <w:t xml:space="preserve"> 24(4), pp. 480–500. Available at: https://doi.org/10.1111/ijmr.12288.</w:t>
      </w:r>
    </w:p>
    <w:p w14:paraId="158E98B7" w14:textId="40D6CCFE"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Seelent, J.F.C. et al.</w:t>
      </w:r>
      <w:r w:rsidR="00A64A3A">
        <w:rPr>
          <w:rFonts w:ascii="Arial" w:hAnsi="Arial" w:cs="Arial"/>
          <w:sz w:val="24"/>
        </w:rPr>
        <w:t>,</w:t>
      </w:r>
      <w:r w:rsidRPr="00EE2A34">
        <w:rPr>
          <w:rFonts w:ascii="Arial" w:hAnsi="Arial" w:cs="Arial"/>
          <w:sz w:val="24"/>
        </w:rPr>
        <w:t xml:space="preserve"> (2025) ‘Managing paradoxical tensions between Corporate Social Responsibility and Automation: How organizations reach sustainability and digital transformation’,</w:t>
      </w:r>
      <w:r w:rsidRPr="00A64A3A">
        <w:rPr>
          <w:rFonts w:ascii="Arial" w:hAnsi="Arial" w:cs="Arial"/>
          <w:i/>
          <w:iCs/>
          <w:sz w:val="24"/>
        </w:rPr>
        <w:t xml:space="preserve"> International Journal of Production Economics</w:t>
      </w:r>
      <w:r w:rsidRPr="00EE2A34">
        <w:rPr>
          <w:rFonts w:ascii="Arial" w:hAnsi="Arial" w:cs="Arial"/>
          <w:sz w:val="24"/>
        </w:rPr>
        <w:t>, 288, p. 109706. Available at: https://doi.org/10.1016/j.ijpe.2025.109706.</w:t>
      </w:r>
    </w:p>
    <w:p w14:paraId="1A8551F7"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Seshadri, S. (2013) ‘The sustainability syndicate: Shared responsibility in a trans-organizational business model’, </w:t>
      </w:r>
      <w:r w:rsidRPr="00A64A3A">
        <w:rPr>
          <w:rFonts w:ascii="Arial" w:hAnsi="Arial" w:cs="Arial"/>
          <w:i/>
          <w:iCs/>
          <w:sz w:val="24"/>
        </w:rPr>
        <w:t>Industrial Marketing Management,</w:t>
      </w:r>
      <w:r w:rsidRPr="00EE2A34">
        <w:rPr>
          <w:rFonts w:ascii="Arial" w:hAnsi="Arial" w:cs="Arial"/>
          <w:sz w:val="24"/>
        </w:rPr>
        <w:t xml:space="preserve"> 42(5), pp. 765–772. Available at: https://doi.org/10.1016/j.indmarman.2013.05.014.</w:t>
      </w:r>
    </w:p>
    <w:p w14:paraId="07A62E07"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Smith, W.K. and Lewis, M.W. (2011) ‘Toward a Theory of Paradox: A Dynamic equilibrium Model of Organizing’, </w:t>
      </w:r>
      <w:r w:rsidRPr="00A64A3A">
        <w:rPr>
          <w:rFonts w:ascii="Arial" w:hAnsi="Arial" w:cs="Arial"/>
          <w:i/>
          <w:iCs/>
          <w:sz w:val="24"/>
        </w:rPr>
        <w:t>Academy of Management Review,</w:t>
      </w:r>
      <w:r w:rsidRPr="00EE2A34">
        <w:rPr>
          <w:rFonts w:ascii="Arial" w:hAnsi="Arial" w:cs="Arial"/>
          <w:sz w:val="24"/>
        </w:rPr>
        <w:t xml:space="preserve"> 36(2), pp. 381–403. Available at: https://doi.org/10.5465/amr.2009.0223.</w:t>
      </w:r>
    </w:p>
    <w:p w14:paraId="0D4065FD"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Szőke, J. and Lakosy, D. (2025) ‘Corporate Social Responsibility from the Aspect of Sustainability—Evidence from the Hungarian HR Sector’, </w:t>
      </w:r>
      <w:r w:rsidRPr="00A64A3A">
        <w:rPr>
          <w:rFonts w:ascii="Arial" w:hAnsi="Arial" w:cs="Arial"/>
          <w:i/>
          <w:iCs/>
          <w:sz w:val="24"/>
        </w:rPr>
        <w:t>Administrative Sciences</w:t>
      </w:r>
      <w:r w:rsidRPr="00EE2A34">
        <w:rPr>
          <w:rFonts w:ascii="Arial" w:hAnsi="Arial" w:cs="Arial"/>
          <w:sz w:val="24"/>
        </w:rPr>
        <w:t>, 15(5), p. 159. Available at: https://doi.org/10.3390/admsci15050159.</w:t>
      </w:r>
    </w:p>
    <w:p w14:paraId="7A954B29"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Umair, S. (2024a) ‘Moving Beyond the External Face of Accountability: Constructing Accountability for Sustainability from Within’, </w:t>
      </w:r>
      <w:r w:rsidRPr="00A64A3A">
        <w:rPr>
          <w:rFonts w:ascii="Arial" w:hAnsi="Arial" w:cs="Arial"/>
          <w:i/>
          <w:iCs/>
          <w:sz w:val="24"/>
        </w:rPr>
        <w:t>Social and Environmental Accountability Journal,</w:t>
      </w:r>
      <w:r w:rsidRPr="00EE2A34">
        <w:rPr>
          <w:rFonts w:ascii="Arial" w:hAnsi="Arial" w:cs="Arial"/>
          <w:sz w:val="24"/>
        </w:rPr>
        <w:t xml:space="preserve"> 44(2), pp. 178–179. Available at: https://doi.org/10.1080/0969160X.2024.2360277.</w:t>
      </w:r>
    </w:p>
    <w:p w14:paraId="4C716333"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lastRenderedPageBreak/>
        <w:t xml:space="preserve">Umair, S. (2024b) ‘Moving Beyond the External Face of Accountability: Constructing Accountability for Sustainability from Within’, </w:t>
      </w:r>
      <w:r w:rsidRPr="00A64A3A">
        <w:rPr>
          <w:rFonts w:ascii="Arial" w:hAnsi="Arial" w:cs="Arial"/>
          <w:i/>
          <w:iCs/>
          <w:sz w:val="24"/>
        </w:rPr>
        <w:t>Social and Environmental Accountability Journal,</w:t>
      </w:r>
      <w:r w:rsidRPr="00EE2A34">
        <w:rPr>
          <w:rFonts w:ascii="Arial" w:hAnsi="Arial" w:cs="Arial"/>
          <w:sz w:val="24"/>
        </w:rPr>
        <w:t xml:space="preserve"> 44(2), pp. 178–179. Available at: https://doi.org/10.1080/0969160X.2024.2360277.</w:t>
      </w:r>
    </w:p>
    <w:p w14:paraId="34F76662" w14:textId="0B8307FD"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Vergunst, F. et al.</w:t>
      </w:r>
      <w:r w:rsidR="00A64A3A">
        <w:rPr>
          <w:rFonts w:ascii="Arial" w:hAnsi="Arial" w:cs="Arial"/>
          <w:sz w:val="24"/>
        </w:rPr>
        <w:t>,</w:t>
      </w:r>
      <w:r w:rsidRPr="00EE2A34">
        <w:rPr>
          <w:rFonts w:ascii="Arial" w:hAnsi="Arial" w:cs="Arial"/>
          <w:sz w:val="24"/>
        </w:rPr>
        <w:t xml:space="preserve"> (2020) ‘Applying the triple bottom line of sustainability to healthcare research—a feasibility study’,</w:t>
      </w:r>
      <w:r w:rsidRPr="00A64A3A">
        <w:rPr>
          <w:rFonts w:ascii="Arial" w:hAnsi="Arial" w:cs="Arial"/>
          <w:i/>
          <w:iCs/>
          <w:sz w:val="24"/>
        </w:rPr>
        <w:t xml:space="preserve"> International Journal for Quality in Health Care,</w:t>
      </w:r>
      <w:r w:rsidRPr="00EE2A34">
        <w:rPr>
          <w:rFonts w:ascii="Arial" w:hAnsi="Arial" w:cs="Arial"/>
          <w:sz w:val="24"/>
        </w:rPr>
        <w:t xml:space="preserve"> 32(1), pp. 48–53. Available at: https://doi.org/10.1093/intqhc/mzz049.</w:t>
      </w:r>
    </w:p>
    <w:p w14:paraId="121F82B0" w14:textId="3CD634F9"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Villadsen, K. et al.</w:t>
      </w:r>
      <w:r w:rsidR="00A64A3A">
        <w:rPr>
          <w:rFonts w:ascii="Arial" w:hAnsi="Arial" w:cs="Arial"/>
          <w:sz w:val="24"/>
        </w:rPr>
        <w:t>,</w:t>
      </w:r>
      <w:r w:rsidRPr="00EE2A34">
        <w:rPr>
          <w:rFonts w:ascii="Arial" w:hAnsi="Arial" w:cs="Arial"/>
          <w:sz w:val="24"/>
        </w:rPr>
        <w:t xml:space="preserve"> (2023) ‘Guest Editors’ Introduction to Special Issue: “Foucault, Corporate Social Responsibility, and Corporate Sustainability”’, </w:t>
      </w:r>
      <w:r w:rsidRPr="00A64A3A">
        <w:rPr>
          <w:rFonts w:ascii="Arial" w:hAnsi="Arial" w:cs="Arial"/>
          <w:i/>
          <w:iCs/>
          <w:sz w:val="24"/>
        </w:rPr>
        <w:t xml:space="preserve">Sustainability, </w:t>
      </w:r>
      <w:r w:rsidRPr="00EE2A34">
        <w:rPr>
          <w:rFonts w:ascii="Arial" w:hAnsi="Arial" w:cs="Arial"/>
          <w:sz w:val="24"/>
        </w:rPr>
        <w:t>15(6). Available at: https://doi.org/10.3390/su15065110.</w:t>
      </w:r>
    </w:p>
    <w:p w14:paraId="5DE55F8B"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Walters, R. (2022) ‘Varieties of gender wash: towards a framework for critiquing corporate social responsibility in feminist IPE’, </w:t>
      </w:r>
      <w:r w:rsidRPr="00A64A3A">
        <w:rPr>
          <w:rFonts w:ascii="Arial" w:hAnsi="Arial" w:cs="Arial"/>
          <w:i/>
          <w:iCs/>
          <w:sz w:val="24"/>
        </w:rPr>
        <w:t>Review of International Political Economy,</w:t>
      </w:r>
      <w:r w:rsidRPr="00EE2A34">
        <w:rPr>
          <w:rFonts w:ascii="Arial" w:hAnsi="Arial" w:cs="Arial"/>
          <w:sz w:val="24"/>
        </w:rPr>
        <w:t xml:space="preserve"> 29(5), pp. 1577–1600. Available at: https://doi.org/10.1080/09692290.2021.1935295.</w:t>
      </w:r>
    </w:p>
    <w:p w14:paraId="438F4DE2"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Wang, H., Gibson, C. and Zander, U. (2020) ‘Editors’ Comments: Is Research on Corporate Social Responsibility Undertheorized?’,</w:t>
      </w:r>
      <w:r w:rsidRPr="00A64A3A">
        <w:rPr>
          <w:rFonts w:ascii="Arial" w:hAnsi="Arial" w:cs="Arial"/>
          <w:i/>
          <w:iCs/>
          <w:sz w:val="24"/>
        </w:rPr>
        <w:t xml:space="preserve"> Academy of Management Review,</w:t>
      </w:r>
      <w:r w:rsidRPr="00EE2A34">
        <w:rPr>
          <w:rFonts w:ascii="Arial" w:hAnsi="Arial" w:cs="Arial"/>
          <w:sz w:val="24"/>
        </w:rPr>
        <w:t xml:space="preserve"> 45(1), pp. 1–6. Available at: https://doi.org/10.5465/amr.2019.0450.</w:t>
      </w:r>
    </w:p>
    <w:p w14:paraId="6BABB0A3" w14:textId="77777777"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 xml:space="preserve">Wang, X., Van Wart, M. and Lebredo, N. (2014) ‘Sustainability Leadership in a Local Government Context: The Administrator’s Role in the Process’, </w:t>
      </w:r>
      <w:r w:rsidRPr="00A64A3A">
        <w:rPr>
          <w:rFonts w:ascii="Arial" w:hAnsi="Arial" w:cs="Arial"/>
          <w:i/>
          <w:iCs/>
          <w:sz w:val="24"/>
        </w:rPr>
        <w:t xml:space="preserve">Public Performance &amp; Management Review, </w:t>
      </w:r>
      <w:r w:rsidRPr="00EE2A34">
        <w:rPr>
          <w:rFonts w:ascii="Arial" w:hAnsi="Arial" w:cs="Arial"/>
          <w:sz w:val="24"/>
        </w:rPr>
        <w:t>37(3), pp. 339–364. Available at: https://doi.org/10.2753/PMR1530-9576370301.</w:t>
      </w:r>
    </w:p>
    <w:p w14:paraId="34A45FBE" w14:textId="00BB19EA" w:rsidR="00674BE8" w:rsidRPr="00EE2A34" w:rsidRDefault="00674BE8" w:rsidP="00EE2A34">
      <w:pPr>
        <w:pStyle w:val="Bibliography"/>
        <w:spacing w:line="360" w:lineRule="auto"/>
        <w:jc w:val="both"/>
        <w:rPr>
          <w:rFonts w:ascii="Arial" w:hAnsi="Arial" w:cs="Arial"/>
          <w:sz w:val="24"/>
        </w:rPr>
      </w:pPr>
      <w:r w:rsidRPr="00EE2A34">
        <w:rPr>
          <w:rFonts w:ascii="Arial" w:hAnsi="Arial" w:cs="Arial"/>
          <w:sz w:val="24"/>
        </w:rPr>
        <w:t>Zahari, A.I. et al.</w:t>
      </w:r>
      <w:r w:rsidR="00A64A3A">
        <w:rPr>
          <w:rFonts w:ascii="Arial" w:hAnsi="Arial" w:cs="Arial"/>
          <w:sz w:val="24"/>
        </w:rPr>
        <w:t>,</w:t>
      </w:r>
      <w:r w:rsidRPr="00EE2A34">
        <w:rPr>
          <w:rFonts w:ascii="Arial" w:hAnsi="Arial" w:cs="Arial"/>
          <w:sz w:val="24"/>
        </w:rPr>
        <w:t xml:space="preserve"> (2024) ‘Ethical culture and leadership for sustainability and governance in public sector organisations within the ESG framework’, </w:t>
      </w:r>
      <w:r w:rsidRPr="00A64A3A">
        <w:rPr>
          <w:rFonts w:ascii="Arial" w:hAnsi="Arial" w:cs="Arial"/>
          <w:i/>
          <w:iCs/>
          <w:sz w:val="24"/>
        </w:rPr>
        <w:t>Journal of Open Innovation: Technology, Market, and Complexity</w:t>
      </w:r>
      <w:r w:rsidRPr="00EE2A34">
        <w:rPr>
          <w:rFonts w:ascii="Arial" w:hAnsi="Arial" w:cs="Arial"/>
          <w:sz w:val="24"/>
        </w:rPr>
        <w:t>, 10(1), p. 100219. Available at: https://doi.org/10.1016/j.joitmc.2024.100219.</w:t>
      </w:r>
    </w:p>
    <w:p w14:paraId="323454AF" w14:textId="0C5A30C3" w:rsidR="00B57A72" w:rsidRPr="000B0EBA" w:rsidRDefault="00373807" w:rsidP="00EE2A34">
      <w:pPr>
        <w:spacing w:line="360" w:lineRule="auto"/>
        <w:jc w:val="both"/>
        <w:rPr>
          <w:rFonts w:ascii="Arial" w:hAnsi="Arial" w:cs="Arial"/>
          <w:sz w:val="24"/>
          <w:szCs w:val="24"/>
        </w:rPr>
      </w:pPr>
      <w:r w:rsidRPr="00EE2A34">
        <w:rPr>
          <w:rFonts w:ascii="Arial" w:hAnsi="Arial" w:cs="Arial"/>
          <w:sz w:val="24"/>
          <w:szCs w:val="24"/>
        </w:rPr>
        <w:fldChar w:fldCharType="end"/>
      </w:r>
    </w:p>
    <w:sectPr w:rsidR="00B57A72" w:rsidRPr="000B0EBA" w:rsidSect="00C1432C">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26E42" w14:textId="77777777" w:rsidR="00464E11" w:rsidRDefault="00464E11" w:rsidP="00373807">
      <w:pPr>
        <w:spacing w:after="0" w:line="240" w:lineRule="auto"/>
      </w:pPr>
      <w:r>
        <w:separator/>
      </w:r>
    </w:p>
  </w:endnote>
  <w:endnote w:type="continuationSeparator" w:id="0">
    <w:p w14:paraId="1513CA36" w14:textId="77777777" w:rsidR="00464E11" w:rsidRDefault="00464E11" w:rsidP="00373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C812F" w14:textId="77777777" w:rsidR="00464E11" w:rsidRDefault="00464E11" w:rsidP="00373807">
      <w:pPr>
        <w:spacing w:after="0" w:line="240" w:lineRule="auto"/>
      </w:pPr>
      <w:r>
        <w:separator/>
      </w:r>
    </w:p>
  </w:footnote>
  <w:footnote w:type="continuationSeparator" w:id="0">
    <w:p w14:paraId="534B2E4B" w14:textId="77777777" w:rsidR="00464E11" w:rsidRDefault="00464E11" w:rsidP="003738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0340367"/>
      <w:docPartObj>
        <w:docPartGallery w:val="Page Numbers (Top of Page)"/>
        <w:docPartUnique/>
      </w:docPartObj>
    </w:sdtPr>
    <w:sdtEndPr>
      <w:rPr>
        <w:noProof/>
      </w:rPr>
    </w:sdtEndPr>
    <w:sdtContent>
      <w:p w14:paraId="7200E733" w14:textId="0829CBB8" w:rsidR="002F494B" w:rsidRDefault="002F494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F1C2A3F" w14:textId="77777777" w:rsidR="002F494B" w:rsidRDefault="002F49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807"/>
    <w:rsid w:val="0001590B"/>
    <w:rsid w:val="000220F5"/>
    <w:rsid w:val="00051BD7"/>
    <w:rsid w:val="0005272E"/>
    <w:rsid w:val="00096B3E"/>
    <w:rsid w:val="000A73DB"/>
    <w:rsid w:val="000B0EBA"/>
    <w:rsid w:val="000C7A8F"/>
    <w:rsid w:val="000D7D32"/>
    <w:rsid w:val="00101A1E"/>
    <w:rsid w:val="001047B9"/>
    <w:rsid w:val="00110A06"/>
    <w:rsid w:val="001140CF"/>
    <w:rsid w:val="00123C47"/>
    <w:rsid w:val="00126510"/>
    <w:rsid w:val="00154D78"/>
    <w:rsid w:val="0017727A"/>
    <w:rsid w:val="0019280F"/>
    <w:rsid w:val="00192C53"/>
    <w:rsid w:val="001A4F9C"/>
    <w:rsid w:val="001B6734"/>
    <w:rsid w:val="001C3C21"/>
    <w:rsid w:val="001E1987"/>
    <w:rsid w:val="00211683"/>
    <w:rsid w:val="00226092"/>
    <w:rsid w:val="002315C2"/>
    <w:rsid w:val="00244E05"/>
    <w:rsid w:val="002533CB"/>
    <w:rsid w:val="0026396B"/>
    <w:rsid w:val="00263EF9"/>
    <w:rsid w:val="002648ED"/>
    <w:rsid w:val="00272695"/>
    <w:rsid w:val="0027774D"/>
    <w:rsid w:val="00280011"/>
    <w:rsid w:val="002917F0"/>
    <w:rsid w:val="00291D6B"/>
    <w:rsid w:val="002A6117"/>
    <w:rsid w:val="002C1EB7"/>
    <w:rsid w:val="002D20B8"/>
    <w:rsid w:val="002D4742"/>
    <w:rsid w:val="002E7CA2"/>
    <w:rsid w:val="002F494B"/>
    <w:rsid w:val="002F56B3"/>
    <w:rsid w:val="003104A1"/>
    <w:rsid w:val="00327313"/>
    <w:rsid w:val="00342654"/>
    <w:rsid w:val="00346A5B"/>
    <w:rsid w:val="00346F0A"/>
    <w:rsid w:val="00372259"/>
    <w:rsid w:val="00373807"/>
    <w:rsid w:val="00383934"/>
    <w:rsid w:val="00395ED0"/>
    <w:rsid w:val="00395FFB"/>
    <w:rsid w:val="003E06AC"/>
    <w:rsid w:val="003E18DF"/>
    <w:rsid w:val="003E436E"/>
    <w:rsid w:val="003E7315"/>
    <w:rsid w:val="00401B24"/>
    <w:rsid w:val="00411BF5"/>
    <w:rsid w:val="004136CA"/>
    <w:rsid w:val="004152F4"/>
    <w:rsid w:val="0041719B"/>
    <w:rsid w:val="00425CDF"/>
    <w:rsid w:val="0043558A"/>
    <w:rsid w:val="00442C38"/>
    <w:rsid w:val="00443FD7"/>
    <w:rsid w:val="00453A65"/>
    <w:rsid w:val="00464E11"/>
    <w:rsid w:val="00471C30"/>
    <w:rsid w:val="00472C21"/>
    <w:rsid w:val="00484B06"/>
    <w:rsid w:val="0049170B"/>
    <w:rsid w:val="004931F6"/>
    <w:rsid w:val="004B5F70"/>
    <w:rsid w:val="004E1DC9"/>
    <w:rsid w:val="004F6A6D"/>
    <w:rsid w:val="005057C7"/>
    <w:rsid w:val="00530CD7"/>
    <w:rsid w:val="00557496"/>
    <w:rsid w:val="00584E95"/>
    <w:rsid w:val="00595C5A"/>
    <w:rsid w:val="005A21D7"/>
    <w:rsid w:val="005C79F9"/>
    <w:rsid w:val="005C7F36"/>
    <w:rsid w:val="005D61F4"/>
    <w:rsid w:val="005E6A47"/>
    <w:rsid w:val="005F5B44"/>
    <w:rsid w:val="00600919"/>
    <w:rsid w:val="00627349"/>
    <w:rsid w:val="00630E93"/>
    <w:rsid w:val="00657295"/>
    <w:rsid w:val="00674BE8"/>
    <w:rsid w:val="00682F3B"/>
    <w:rsid w:val="00696B7A"/>
    <w:rsid w:val="006C6945"/>
    <w:rsid w:val="006E45C6"/>
    <w:rsid w:val="006E7CDB"/>
    <w:rsid w:val="006F7371"/>
    <w:rsid w:val="00717222"/>
    <w:rsid w:val="00717FC2"/>
    <w:rsid w:val="00735100"/>
    <w:rsid w:val="007401B3"/>
    <w:rsid w:val="00746390"/>
    <w:rsid w:val="00787857"/>
    <w:rsid w:val="00794693"/>
    <w:rsid w:val="00796413"/>
    <w:rsid w:val="007A1D7E"/>
    <w:rsid w:val="007A4520"/>
    <w:rsid w:val="007E214A"/>
    <w:rsid w:val="007E323E"/>
    <w:rsid w:val="00825427"/>
    <w:rsid w:val="008538D8"/>
    <w:rsid w:val="008632E8"/>
    <w:rsid w:val="008758A6"/>
    <w:rsid w:val="00875DD2"/>
    <w:rsid w:val="0089113B"/>
    <w:rsid w:val="008A7D59"/>
    <w:rsid w:val="008C5423"/>
    <w:rsid w:val="008D0998"/>
    <w:rsid w:val="00900AD1"/>
    <w:rsid w:val="00903396"/>
    <w:rsid w:val="00916212"/>
    <w:rsid w:val="00922DCD"/>
    <w:rsid w:val="00926CA3"/>
    <w:rsid w:val="00941091"/>
    <w:rsid w:val="0097268D"/>
    <w:rsid w:val="009768C1"/>
    <w:rsid w:val="00996AB1"/>
    <w:rsid w:val="009A10DB"/>
    <w:rsid w:val="009B2B54"/>
    <w:rsid w:val="009D0699"/>
    <w:rsid w:val="009E6A89"/>
    <w:rsid w:val="009F09D3"/>
    <w:rsid w:val="009F1F75"/>
    <w:rsid w:val="009F4315"/>
    <w:rsid w:val="00A22129"/>
    <w:rsid w:val="00A23D7D"/>
    <w:rsid w:val="00A32F18"/>
    <w:rsid w:val="00A64A3A"/>
    <w:rsid w:val="00A67BAD"/>
    <w:rsid w:val="00A70670"/>
    <w:rsid w:val="00A70C22"/>
    <w:rsid w:val="00A95CC8"/>
    <w:rsid w:val="00AC7CB0"/>
    <w:rsid w:val="00AD01BF"/>
    <w:rsid w:val="00AD0E63"/>
    <w:rsid w:val="00AE6270"/>
    <w:rsid w:val="00AF29A1"/>
    <w:rsid w:val="00B06E56"/>
    <w:rsid w:val="00B10CF8"/>
    <w:rsid w:val="00B16D77"/>
    <w:rsid w:val="00B274AB"/>
    <w:rsid w:val="00B30E24"/>
    <w:rsid w:val="00B44A7F"/>
    <w:rsid w:val="00B45783"/>
    <w:rsid w:val="00B50311"/>
    <w:rsid w:val="00B55042"/>
    <w:rsid w:val="00B57A72"/>
    <w:rsid w:val="00B72AED"/>
    <w:rsid w:val="00B91D94"/>
    <w:rsid w:val="00BB3AED"/>
    <w:rsid w:val="00BB5E05"/>
    <w:rsid w:val="00BC0BF9"/>
    <w:rsid w:val="00BC17E7"/>
    <w:rsid w:val="00BD0811"/>
    <w:rsid w:val="00BD0ABC"/>
    <w:rsid w:val="00BD2333"/>
    <w:rsid w:val="00BF0996"/>
    <w:rsid w:val="00C03ADA"/>
    <w:rsid w:val="00C11D75"/>
    <w:rsid w:val="00C1432C"/>
    <w:rsid w:val="00C22C06"/>
    <w:rsid w:val="00C33E88"/>
    <w:rsid w:val="00C33F79"/>
    <w:rsid w:val="00C70953"/>
    <w:rsid w:val="00C7205E"/>
    <w:rsid w:val="00C83CD4"/>
    <w:rsid w:val="00C86A1C"/>
    <w:rsid w:val="00C95C23"/>
    <w:rsid w:val="00C97C89"/>
    <w:rsid w:val="00CA2957"/>
    <w:rsid w:val="00CB22E7"/>
    <w:rsid w:val="00CC2503"/>
    <w:rsid w:val="00CC5B6B"/>
    <w:rsid w:val="00CE3486"/>
    <w:rsid w:val="00D004C1"/>
    <w:rsid w:val="00D07465"/>
    <w:rsid w:val="00D1518B"/>
    <w:rsid w:val="00D41ED5"/>
    <w:rsid w:val="00D50016"/>
    <w:rsid w:val="00D54BC0"/>
    <w:rsid w:val="00D55E92"/>
    <w:rsid w:val="00D7429F"/>
    <w:rsid w:val="00D85A96"/>
    <w:rsid w:val="00DB14D3"/>
    <w:rsid w:val="00DB3C5E"/>
    <w:rsid w:val="00DB6C0E"/>
    <w:rsid w:val="00DC0FBC"/>
    <w:rsid w:val="00DD1993"/>
    <w:rsid w:val="00DD60DA"/>
    <w:rsid w:val="00DD62B1"/>
    <w:rsid w:val="00DF0810"/>
    <w:rsid w:val="00E0099F"/>
    <w:rsid w:val="00E01341"/>
    <w:rsid w:val="00E04849"/>
    <w:rsid w:val="00E27734"/>
    <w:rsid w:val="00E278AD"/>
    <w:rsid w:val="00E84FCA"/>
    <w:rsid w:val="00E90C98"/>
    <w:rsid w:val="00EB0619"/>
    <w:rsid w:val="00EB4E8A"/>
    <w:rsid w:val="00EC31A9"/>
    <w:rsid w:val="00ED0479"/>
    <w:rsid w:val="00ED4ED0"/>
    <w:rsid w:val="00ED7465"/>
    <w:rsid w:val="00EE2A34"/>
    <w:rsid w:val="00EE2CD4"/>
    <w:rsid w:val="00F11EBE"/>
    <w:rsid w:val="00F2486D"/>
    <w:rsid w:val="00F35789"/>
    <w:rsid w:val="00F35B8E"/>
    <w:rsid w:val="00F44B45"/>
    <w:rsid w:val="00F4729F"/>
    <w:rsid w:val="00F64A14"/>
    <w:rsid w:val="00F76B0C"/>
    <w:rsid w:val="00F973B6"/>
    <w:rsid w:val="00F9786C"/>
    <w:rsid w:val="00FA4042"/>
    <w:rsid w:val="00FE7B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515CC"/>
  <w15:chartTrackingRefBased/>
  <w15:docId w15:val="{A6B9DCEC-F3B9-47B7-A8F5-E431BAAE0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807"/>
    <w:pPr>
      <w:suppressAutoHyphens/>
      <w:autoSpaceDN w:val="0"/>
      <w:spacing w:line="254" w:lineRule="auto"/>
    </w:pPr>
    <w:rPr>
      <w:rFonts w:ascii="Aptos" w:eastAsia="Aptos" w:hAnsi="Aptos" w:cs="Times New Roman"/>
      <w:kern w:val="0"/>
      <w:sz w:val="22"/>
      <w:szCs w:val="22"/>
      <w14:ligatures w14:val="none"/>
    </w:rPr>
  </w:style>
  <w:style w:type="paragraph" w:styleId="Heading1">
    <w:name w:val="heading 1"/>
    <w:basedOn w:val="Normal"/>
    <w:next w:val="Normal"/>
    <w:link w:val="Heading1Char"/>
    <w:uiPriority w:val="9"/>
    <w:qFormat/>
    <w:rsid w:val="00373807"/>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373807"/>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73807"/>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73807"/>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373807"/>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373807"/>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373807"/>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373807"/>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373807"/>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8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38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38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38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8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8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8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8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807"/>
    <w:rPr>
      <w:rFonts w:eastAsiaTheme="majorEastAsia" w:cstheme="majorBidi"/>
      <w:color w:val="272727" w:themeColor="text1" w:themeTint="D8"/>
    </w:rPr>
  </w:style>
  <w:style w:type="paragraph" w:styleId="Title">
    <w:name w:val="Title"/>
    <w:basedOn w:val="Normal"/>
    <w:next w:val="Normal"/>
    <w:link w:val="TitleChar"/>
    <w:uiPriority w:val="10"/>
    <w:qFormat/>
    <w:rsid w:val="00373807"/>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738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807"/>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738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807"/>
    <w:pPr>
      <w:suppressAutoHyphens w:val="0"/>
      <w:autoSpaceDN/>
      <w:spacing w:before="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373807"/>
    <w:rPr>
      <w:i/>
      <w:iCs/>
      <w:color w:val="404040" w:themeColor="text1" w:themeTint="BF"/>
    </w:rPr>
  </w:style>
  <w:style w:type="paragraph" w:styleId="ListParagraph">
    <w:name w:val="List Paragraph"/>
    <w:basedOn w:val="Normal"/>
    <w:uiPriority w:val="34"/>
    <w:qFormat/>
    <w:rsid w:val="00373807"/>
    <w:pPr>
      <w:suppressAutoHyphens w:val="0"/>
      <w:autoSpaceDN/>
      <w:spacing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373807"/>
    <w:rPr>
      <w:i/>
      <w:iCs/>
      <w:color w:val="0F4761" w:themeColor="accent1" w:themeShade="BF"/>
    </w:rPr>
  </w:style>
  <w:style w:type="paragraph" w:styleId="IntenseQuote">
    <w:name w:val="Intense Quote"/>
    <w:basedOn w:val="Normal"/>
    <w:next w:val="Normal"/>
    <w:link w:val="IntenseQuoteChar"/>
    <w:uiPriority w:val="30"/>
    <w:qFormat/>
    <w:rsid w:val="00373807"/>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373807"/>
    <w:rPr>
      <w:i/>
      <w:iCs/>
      <w:color w:val="0F4761" w:themeColor="accent1" w:themeShade="BF"/>
    </w:rPr>
  </w:style>
  <w:style w:type="character" w:styleId="IntenseReference">
    <w:name w:val="Intense Reference"/>
    <w:basedOn w:val="DefaultParagraphFont"/>
    <w:uiPriority w:val="32"/>
    <w:qFormat/>
    <w:rsid w:val="00373807"/>
    <w:rPr>
      <w:b/>
      <w:bCs/>
      <w:smallCaps/>
      <w:color w:val="0F4761" w:themeColor="accent1" w:themeShade="BF"/>
      <w:spacing w:val="5"/>
    </w:rPr>
  </w:style>
  <w:style w:type="paragraph" w:styleId="Header">
    <w:name w:val="header"/>
    <w:basedOn w:val="Normal"/>
    <w:link w:val="HeaderChar"/>
    <w:uiPriority w:val="99"/>
    <w:unhideWhenUsed/>
    <w:rsid w:val="00373807"/>
    <w:pPr>
      <w:tabs>
        <w:tab w:val="center" w:pos="4513"/>
        <w:tab w:val="right" w:pos="9026"/>
      </w:tabs>
      <w:suppressAutoHyphens w:val="0"/>
      <w:autoSpaceDN/>
      <w:spacing w:after="0" w:line="240" w:lineRule="auto"/>
    </w:pPr>
    <w:rPr>
      <w:rFonts w:asciiTheme="minorHAnsi" w:eastAsiaTheme="minorHAnsi" w:hAnsiTheme="minorHAnsi" w:cstheme="minorBidi"/>
      <w:kern w:val="2"/>
      <w:sz w:val="24"/>
      <w:szCs w:val="24"/>
      <w14:ligatures w14:val="standardContextual"/>
    </w:rPr>
  </w:style>
  <w:style w:type="character" w:customStyle="1" w:styleId="HeaderChar">
    <w:name w:val="Header Char"/>
    <w:basedOn w:val="DefaultParagraphFont"/>
    <w:link w:val="Header"/>
    <w:uiPriority w:val="99"/>
    <w:rsid w:val="00373807"/>
  </w:style>
  <w:style w:type="paragraph" w:styleId="Footer">
    <w:name w:val="footer"/>
    <w:basedOn w:val="Normal"/>
    <w:link w:val="FooterChar"/>
    <w:uiPriority w:val="99"/>
    <w:unhideWhenUsed/>
    <w:rsid w:val="00373807"/>
    <w:pPr>
      <w:tabs>
        <w:tab w:val="center" w:pos="4513"/>
        <w:tab w:val="right" w:pos="9026"/>
      </w:tabs>
      <w:suppressAutoHyphens w:val="0"/>
      <w:autoSpaceDN/>
      <w:spacing w:after="0" w:line="240" w:lineRule="auto"/>
    </w:pPr>
    <w:rPr>
      <w:rFonts w:asciiTheme="minorHAnsi" w:eastAsiaTheme="minorHAnsi" w:hAnsiTheme="minorHAnsi" w:cstheme="minorBidi"/>
      <w:kern w:val="2"/>
      <w:sz w:val="24"/>
      <w:szCs w:val="24"/>
      <w14:ligatures w14:val="standardContextual"/>
    </w:rPr>
  </w:style>
  <w:style w:type="character" w:customStyle="1" w:styleId="FooterChar">
    <w:name w:val="Footer Char"/>
    <w:basedOn w:val="DefaultParagraphFont"/>
    <w:link w:val="Footer"/>
    <w:uiPriority w:val="99"/>
    <w:rsid w:val="00373807"/>
  </w:style>
  <w:style w:type="paragraph" w:styleId="NormalWeb">
    <w:name w:val="Normal (Web)"/>
    <w:basedOn w:val="Normal"/>
    <w:rsid w:val="00373807"/>
    <w:pPr>
      <w:suppressAutoHyphens w:val="0"/>
      <w:spacing w:before="100" w:after="100" w:line="240" w:lineRule="auto"/>
    </w:pPr>
    <w:rPr>
      <w:rFonts w:ascii="Times New Roman" w:eastAsia="Times New Roman" w:hAnsi="Times New Roman"/>
      <w:sz w:val="24"/>
      <w:szCs w:val="24"/>
      <w:lang w:eastAsia="en-GB"/>
    </w:rPr>
  </w:style>
  <w:style w:type="paragraph" w:styleId="TOCHeading">
    <w:name w:val="TOC Heading"/>
    <w:basedOn w:val="Heading1"/>
    <w:next w:val="Normal"/>
    <w:uiPriority w:val="39"/>
    <w:unhideWhenUsed/>
    <w:qFormat/>
    <w:rsid w:val="00373807"/>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373807"/>
    <w:pPr>
      <w:spacing w:after="240" w:line="240" w:lineRule="auto"/>
    </w:pPr>
  </w:style>
  <w:style w:type="paragraph" w:styleId="TOC2">
    <w:name w:val="toc 2"/>
    <w:basedOn w:val="Normal"/>
    <w:next w:val="Normal"/>
    <w:autoRedefine/>
    <w:uiPriority w:val="39"/>
    <w:unhideWhenUsed/>
    <w:rsid w:val="00C1432C"/>
    <w:pPr>
      <w:spacing w:after="100"/>
      <w:ind w:left="220"/>
    </w:pPr>
  </w:style>
  <w:style w:type="character" w:styleId="Hyperlink">
    <w:name w:val="Hyperlink"/>
    <w:basedOn w:val="DefaultParagraphFont"/>
    <w:uiPriority w:val="99"/>
    <w:unhideWhenUsed/>
    <w:rsid w:val="00C1432C"/>
    <w:rPr>
      <w:color w:val="467886" w:themeColor="hyperlink"/>
      <w:u w:val="single"/>
    </w:rPr>
  </w:style>
  <w:style w:type="character" w:styleId="Strong">
    <w:name w:val="Strong"/>
    <w:basedOn w:val="DefaultParagraphFont"/>
    <w:uiPriority w:val="22"/>
    <w:qFormat/>
    <w:rsid w:val="00484B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A02E82-65DA-4286-8F1F-91127A6B5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Pages>
  <Words>17992</Words>
  <Characters>102557</Characters>
  <Application>Microsoft Office Word</Application>
  <DocSecurity>0</DocSecurity>
  <Lines>854</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Edoghogho Albert (2500452)</dc:creator>
  <cp:keywords/>
  <dc:description/>
  <cp:lastModifiedBy>Bridget Edoghogho Albert (2500452)</cp:lastModifiedBy>
  <cp:revision>6</cp:revision>
  <dcterms:created xsi:type="dcterms:W3CDTF">2026-01-08T18:08:00Z</dcterms:created>
  <dcterms:modified xsi:type="dcterms:W3CDTF">2026-01-08T19:20:00Z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id="4PZ9ze7U"/&gt;&lt;style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