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5013" w:rsidRPr="00702A95" w:rsidRDefault="00585013" w:rsidP="00702A95">
      <w:pPr>
        <w:jc w:val="center"/>
        <w:rPr>
          <w:sz w:val="32"/>
        </w:rPr>
      </w:pPr>
      <w:r w:rsidRPr="00702A95">
        <w:rPr>
          <w:sz w:val="32"/>
        </w:rPr>
        <w:t>Summiyah kousar</w:t>
      </w:r>
    </w:p>
    <w:p w:rsidR="00585013" w:rsidRPr="00702A95" w:rsidRDefault="00585013" w:rsidP="00702A95">
      <w:pPr>
        <w:jc w:val="center"/>
        <w:rPr>
          <w:sz w:val="32"/>
        </w:rPr>
      </w:pPr>
      <w:r w:rsidRPr="00702A95">
        <w:rPr>
          <w:sz w:val="32"/>
        </w:rPr>
        <w:t>2330601</w:t>
      </w:r>
    </w:p>
    <w:p w:rsidR="00585013" w:rsidRPr="00702A95" w:rsidRDefault="00585013" w:rsidP="00702A95">
      <w:pPr>
        <w:jc w:val="center"/>
        <w:rPr>
          <w:sz w:val="32"/>
        </w:rPr>
      </w:pPr>
      <w:r w:rsidRPr="00702A95">
        <w:rPr>
          <w:rFonts w:ascii="Arial" w:hAnsi="Arial" w:cs="Arial"/>
          <w:sz w:val="32"/>
        </w:rPr>
        <w:t>BMHP5016 Principles</w:t>
      </w:r>
      <w:r w:rsidRPr="00702A95">
        <w:rPr>
          <w:rFonts w:ascii="Arial" w:hAnsi="Arial" w:cs="Arial"/>
          <w:sz w:val="32"/>
        </w:rPr>
        <w:t xml:space="preserve"> of Health and Social Care Practice</w:t>
      </w:r>
    </w:p>
    <w:p w:rsidR="00585013" w:rsidRPr="00702A95" w:rsidRDefault="00585013" w:rsidP="00702A95">
      <w:pPr>
        <w:jc w:val="center"/>
        <w:rPr>
          <w:rFonts w:ascii="Segoe UI" w:hAnsi="Segoe UI" w:cs="Segoe UI"/>
          <w:color w:val="1D2125"/>
          <w:sz w:val="32"/>
          <w:szCs w:val="23"/>
          <w:shd w:val="clear" w:color="auto" w:fill="FFFFFF"/>
        </w:rPr>
      </w:pPr>
      <w:r w:rsidRPr="00702A95">
        <w:rPr>
          <w:rFonts w:ascii="Segoe UI" w:hAnsi="Segoe UI" w:cs="Segoe UI"/>
          <w:color w:val="1D2125"/>
          <w:sz w:val="32"/>
          <w:szCs w:val="23"/>
          <w:shd w:val="clear" w:color="auto" w:fill="FFFFFF"/>
        </w:rPr>
        <w:t>Tommy Adattu-Chacko</w:t>
      </w:r>
    </w:p>
    <w:p w:rsidR="00E86FF1" w:rsidRPr="00702A95" w:rsidRDefault="00585013" w:rsidP="00702A95">
      <w:pPr>
        <w:jc w:val="center"/>
        <w:rPr>
          <w:rFonts w:ascii="Arial" w:hAnsi="Arial" w:cs="Arial"/>
          <w:sz w:val="32"/>
        </w:rPr>
      </w:pPr>
      <w:r w:rsidRPr="00702A95">
        <w:rPr>
          <w:rFonts w:ascii="Arial" w:hAnsi="Arial" w:cs="Arial"/>
          <w:sz w:val="32"/>
        </w:rPr>
        <w:t>Component 2: Written Assignment (Report)</w:t>
      </w:r>
    </w:p>
    <w:p w:rsidR="00531C3B" w:rsidRDefault="00531C3B" w:rsidP="00531C3B">
      <w:pPr>
        <w:rPr>
          <w:rFonts w:ascii="Arial" w:hAnsi="Arial" w:cs="Arial"/>
          <w:u w:val="single"/>
        </w:rPr>
      </w:pPr>
      <w:bookmarkStart w:id="0" w:name="_GoBack"/>
      <w:bookmarkEnd w:id="0"/>
    </w:p>
    <w:p w:rsidR="00531C3B" w:rsidRPr="00556866" w:rsidRDefault="00531C3B" w:rsidP="00531C3B">
      <w:pPr>
        <w:rPr>
          <w:rFonts w:ascii="Arial" w:hAnsi="Arial" w:cs="Arial"/>
          <w:u w:val="single"/>
        </w:rPr>
      </w:pPr>
      <w:r w:rsidRPr="00556866">
        <w:rPr>
          <w:rFonts w:ascii="Arial" w:hAnsi="Arial" w:cs="Arial"/>
          <w:u w:val="single"/>
        </w:rPr>
        <w:t xml:space="preserve">Abstract </w:t>
      </w:r>
    </w:p>
    <w:p w:rsidR="00531C3B" w:rsidRDefault="00531C3B" w:rsidP="00531C3B">
      <w:pPr>
        <w:rPr>
          <w:rFonts w:ascii="Arial" w:hAnsi="Arial" w:cs="Arial"/>
        </w:rPr>
      </w:pPr>
      <w:r w:rsidRPr="00556866">
        <w:rPr>
          <w:rFonts w:ascii="Arial" w:hAnsi="Arial" w:cs="Arial"/>
        </w:rPr>
        <w:t>This report explores the principles and practices of Person-Centred Care (PCC) and P</w:t>
      </w:r>
      <w:r>
        <w:rPr>
          <w:rFonts w:ascii="Arial" w:hAnsi="Arial" w:cs="Arial"/>
        </w:rPr>
        <w:t xml:space="preserve">artnership Working (PW) within </w:t>
      </w:r>
      <w:r w:rsidRPr="00556866">
        <w:rPr>
          <w:rFonts w:ascii="Arial" w:hAnsi="Arial" w:cs="Arial"/>
        </w:rPr>
        <w:t>your chosen settin</w:t>
      </w:r>
      <w:r>
        <w:rPr>
          <w:rFonts w:ascii="Arial" w:hAnsi="Arial" w:cs="Arial"/>
        </w:rPr>
        <w:t>g, e.g., mental health services</w:t>
      </w:r>
      <w:r w:rsidRPr="00556866">
        <w:rPr>
          <w:rFonts w:ascii="Arial" w:hAnsi="Arial" w:cs="Arial"/>
        </w:rPr>
        <w:t>. PCC focuses on respecting individuals’ preferences, needs, and values, while PW emphasizes collaboration among professionals, patients, and families to improve care outcomes. The report defines PCC and PW, examines relevant theories and ethical principles, and evaluates their application in practice. It also considers the impact of legislation and policy, such as the Care Act 2014 and Health and Care Act 2022. Key findings highlight the benefits of PCC and PW, including enhanced patient satisfaction and service delivery, alongside challenges like resource limitations and communication barriers. Recommendations include improved training, better use of technology, and stronger interprofessional collaboration. These aim to strengthen PCC and PW in UK health and social care settings.</w:t>
      </w:r>
    </w:p>
    <w:p w:rsidR="00556866" w:rsidRDefault="00556866" w:rsidP="00585013">
      <w:pPr>
        <w:rPr>
          <w:rFonts w:ascii="Arial" w:hAnsi="Arial" w:cs="Arial"/>
          <w:u w:val="single"/>
        </w:rPr>
      </w:pPr>
      <w:r w:rsidRPr="00556866">
        <w:rPr>
          <w:rFonts w:ascii="Arial" w:hAnsi="Arial" w:cs="Arial"/>
          <w:u w:val="single"/>
        </w:rPr>
        <w:t xml:space="preserve">Introduction </w:t>
      </w:r>
    </w:p>
    <w:p w:rsidR="00556866" w:rsidRDefault="00556866" w:rsidP="00585013">
      <w:pPr>
        <w:rPr>
          <w:rFonts w:ascii="Arial" w:hAnsi="Arial" w:cs="Arial"/>
          <w:u w:val="single"/>
        </w:rPr>
      </w:pPr>
      <w:r w:rsidRPr="00556866">
        <w:rPr>
          <w:rFonts w:ascii="Arial" w:hAnsi="Arial" w:cs="Arial"/>
        </w:rPr>
        <w:t xml:space="preserve">This report investigates Person-Centred Care (PCC) and Partnership Working (PW) in the context of mental health services. It outlines the definitions, benefits, and limitations of PCC, explores relevant theories and ethical principles, and evaluates the effectiveness of PW. The report also examines how UK legislation supports or hinders these approaches and concludes with recommendations for </w:t>
      </w:r>
      <w:r w:rsidRPr="005B03D2">
        <w:rPr>
          <w:rFonts w:ascii="Arial" w:hAnsi="Arial" w:cs="Arial"/>
        </w:rPr>
        <w:t>improvement</w:t>
      </w:r>
      <w:r w:rsidR="005B03D2" w:rsidRPr="005B03D2">
        <w:rPr>
          <w:rFonts w:ascii="Arial" w:hAnsi="Arial" w:cs="Arial"/>
        </w:rPr>
        <w:t>.</w:t>
      </w:r>
    </w:p>
    <w:p w:rsidR="00EA7EA4" w:rsidRPr="00EA7EA4" w:rsidRDefault="00EA7EA4" w:rsidP="00EA7EA4">
      <w:pPr>
        <w:spacing w:before="100" w:beforeAutospacing="1" w:after="100" w:afterAutospacing="1" w:line="240" w:lineRule="auto"/>
        <w:outlineLvl w:val="2"/>
        <w:rPr>
          <w:rFonts w:ascii="Times New Roman" w:eastAsia="Times New Roman" w:hAnsi="Times New Roman" w:cs="Times New Roman"/>
          <w:bCs/>
          <w:kern w:val="0"/>
          <w:sz w:val="27"/>
          <w:szCs w:val="27"/>
          <w:u w:val="single"/>
          <w:lang w:eastAsia="en-GB"/>
          <w14:ligatures w14:val="none"/>
        </w:rPr>
      </w:pPr>
      <w:r w:rsidRPr="005B03D2">
        <w:rPr>
          <w:rFonts w:ascii="Times New Roman" w:eastAsia="Times New Roman" w:hAnsi="Times New Roman" w:cs="Times New Roman"/>
          <w:bCs/>
          <w:kern w:val="0"/>
          <w:sz w:val="27"/>
          <w:szCs w:val="27"/>
          <w:u w:val="single"/>
          <w:lang w:eastAsia="en-GB"/>
          <w14:ligatures w14:val="none"/>
        </w:rPr>
        <w:t>Definition of Person-Centred Care (PCC)</w:t>
      </w:r>
    </w:p>
    <w:p w:rsidR="00EA7EA4" w:rsidRPr="00EA7EA4" w:rsidRDefault="00EA7EA4" w:rsidP="00EA7E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A7EA4">
        <w:rPr>
          <w:rFonts w:ascii="Times New Roman" w:eastAsia="Times New Roman" w:hAnsi="Times New Roman" w:cs="Times New Roman"/>
          <w:kern w:val="0"/>
          <w:sz w:val="24"/>
          <w:szCs w:val="24"/>
          <w:lang w:eastAsia="en-GB"/>
          <w14:ligatures w14:val="none"/>
        </w:rPr>
        <w:t>Person-Centred Care (PCC) is an approach that places the individual at the core of healthcare delivery, ensuring that treatment and decisions reflect their unique preferences, values, and needs. It emphasizes respect for autonomy, dignity, and active participation in care planning. In hospital settings, PCC involves collaborative decision-making, effective communication, and personalized interventions that go beyond clinical requirements to consider emotional</w:t>
      </w:r>
      <w:r w:rsidR="006A17D4">
        <w:rPr>
          <w:rFonts w:ascii="Times New Roman" w:eastAsia="Times New Roman" w:hAnsi="Times New Roman" w:cs="Times New Roman"/>
          <w:kern w:val="0"/>
          <w:sz w:val="24"/>
          <w:szCs w:val="24"/>
          <w:lang w:eastAsia="en-GB"/>
          <w14:ligatures w14:val="none"/>
        </w:rPr>
        <w:t xml:space="preserve">, cultural, and social factors. </w:t>
      </w:r>
    </w:p>
    <w:p w:rsidR="00EA7EA4" w:rsidRPr="00EA7EA4" w:rsidRDefault="00EA7EA4" w:rsidP="00EA7E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A7EA4">
        <w:rPr>
          <w:rFonts w:ascii="Times New Roman" w:eastAsia="Times New Roman" w:hAnsi="Times New Roman" w:cs="Times New Roman"/>
          <w:kern w:val="0"/>
          <w:sz w:val="24"/>
          <w:szCs w:val="24"/>
          <w:lang w:eastAsia="en-GB"/>
          <w14:ligatures w14:val="none"/>
        </w:rPr>
        <w:t>The benefits of PCC are well-documented. It improves patient satisfaction, enhances adherence to treatment, and leads to better health outcomes by fostering trust and reducing anxiety duri</w:t>
      </w:r>
      <w:r w:rsidR="006A17D4">
        <w:rPr>
          <w:rFonts w:ascii="Times New Roman" w:eastAsia="Times New Roman" w:hAnsi="Times New Roman" w:cs="Times New Roman"/>
          <w:kern w:val="0"/>
          <w:sz w:val="24"/>
          <w:szCs w:val="24"/>
          <w:lang w:eastAsia="en-GB"/>
          <w14:ligatures w14:val="none"/>
        </w:rPr>
        <w:t>ng hospitalization.</w:t>
      </w:r>
      <w:r w:rsidRPr="00EA7EA4">
        <w:rPr>
          <w:rFonts w:ascii="Times New Roman" w:eastAsia="Times New Roman" w:hAnsi="Times New Roman" w:cs="Times New Roman"/>
          <w:kern w:val="0"/>
          <w:sz w:val="24"/>
          <w:szCs w:val="24"/>
          <w:lang w:eastAsia="en-GB"/>
          <w14:ligatures w14:val="none"/>
        </w:rPr>
        <w:t>PCC also supports holistic care, addressing physical and psychological well-being.</w:t>
      </w:r>
    </w:p>
    <w:p w:rsidR="00EA7EA4" w:rsidRPr="00EA7EA4" w:rsidRDefault="00EA7EA4" w:rsidP="00EA7E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A7EA4">
        <w:rPr>
          <w:rFonts w:ascii="Times New Roman" w:eastAsia="Times New Roman" w:hAnsi="Times New Roman" w:cs="Times New Roman"/>
          <w:kern w:val="0"/>
          <w:sz w:val="24"/>
          <w:szCs w:val="24"/>
          <w:lang w:eastAsia="en-GB"/>
          <w14:ligatures w14:val="none"/>
        </w:rPr>
        <w:lastRenderedPageBreak/>
        <w:t xml:space="preserve">However, implementing PCC in hospitals presents challenges. High patient turnover, time constraints, and resource limitations can hinder individualized care. Additionally, resistance to cultural change and lack of staff training may affect consistency in practice </w:t>
      </w:r>
    </w:p>
    <w:p w:rsidR="00EA7EA4" w:rsidRDefault="00EA7EA4" w:rsidP="00EA7E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A7EA4">
        <w:rPr>
          <w:rFonts w:ascii="Times New Roman" w:eastAsia="Times New Roman" w:hAnsi="Times New Roman" w:cs="Times New Roman"/>
          <w:kern w:val="0"/>
          <w:sz w:val="24"/>
          <w:szCs w:val="24"/>
          <w:lang w:eastAsia="en-GB"/>
          <w14:ligatures w14:val="none"/>
        </w:rPr>
        <w:t>Despite these barriers, PCC remains a cornerstone of quality healthcare. Initiatives such as bedside handovers, shared decision-making, and personalized discharge planning exemplify its application in hospital environments, reinforcing the principle that patients are partners in their own care rather than passive recipients.</w:t>
      </w:r>
    </w:p>
    <w:p w:rsidR="00FD1188" w:rsidRPr="00FD1188" w:rsidRDefault="00FD1188" w:rsidP="00FD1188">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GB"/>
          <w14:ligatures w14:val="none"/>
        </w:rPr>
      </w:pPr>
      <w:r w:rsidRPr="00FD1188">
        <w:rPr>
          <w:rFonts w:ascii="Times New Roman" w:eastAsia="Times New Roman" w:hAnsi="Times New Roman" w:cs="Times New Roman"/>
          <w:b/>
          <w:bCs/>
          <w:kern w:val="0"/>
          <w:sz w:val="27"/>
          <w:szCs w:val="27"/>
          <w:u w:val="single"/>
          <w:lang w:eastAsia="en-GB"/>
          <w14:ligatures w14:val="none"/>
        </w:rPr>
        <w:t>Maslow’s Hierarchy of Needs and PCC</w:t>
      </w:r>
    </w:p>
    <w:p w:rsidR="00FD1188" w:rsidRP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Theory Overview:</w:t>
      </w:r>
      <w:r w:rsidRPr="00FD1188">
        <w:rPr>
          <w:rFonts w:ascii="Times New Roman" w:eastAsia="Times New Roman" w:hAnsi="Times New Roman" w:cs="Times New Roman"/>
          <w:kern w:val="0"/>
          <w:sz w:val="24"/>
          <w:szCs w:val="24"/>
          <w:lang w:eastAsia="en-GB"/>
          <w14:ligatures w14:val="none"/>
        </w:rPr>
        <w:t xml:space="preserve"> Maslow’s theory suggests that human needs are arranged in a hierarchy: physiological, safety, love/belonging, esteem, and self-actualization.</w:t>
      </w:r>
    </w:p>
    <w:p w:rsidR="00FD1188" w:rsidRP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Link to PCC:</w:t>
      </w:r>
      <w:r w:rsidRPr="00FD1188">
        <w:rPr>
          <w:rFonts w:ascii="Times New Roman" w:eastAsia="Times New Roman" w:hAnsi="Times New Roman" w:cs="Times New Roman"/>
          <w:kern w:val="0"/>
          <w:sz w:val="24"/>
          <w:szCs w:val="24"/>
          <w:lang w:eastAsia="en-GB"/>
          <w14:ligatures w14:val="none"/>
        </w:rPr>
        <w:t xml:space="preserve"> PCC aligns with this theory by addressing not only physical health but also emotional, social, and psychological needs. For example: </w:t>
      </w:r>
    </w:p>
    <w:p w:rsidR="00FD1188" w:rsidRP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Physiological needs:</w:t>
      </w:r>
      <w:r w:rsidRPr="00FD1188">
        <w:rPr>
          <w:rFonts w:ascii="Times New Roman" w:eastAsia="Times New Roman" w:hAnsi="Times New Roman" w:cs="Times New Roman"/>
          <w:kern w:val="0"/>
          <w:sz w:val="24"/>
          <w:szCs w:val="24"/>
          <w:lang w:eastAsia="en-GB"/>
          <w14:ligatures w14:val="none"/>
        </w:rPr>
        <w:t xml:space="preserve"> Hospitals ensure basic care like nutrition and pain management.</w:t>
      </w:r>
    </w:p>
    <w:p w:rsidR="00FD1188" w:rsidRP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Safety needs:</w:t>
      </w:r>
      <w:r w:rsidRPr="00FD1188">
        <w:rPr>
          <w:rFonts w:ascii="Times New Roman" w:eastAsia="Times New Roman" w:hAnsi="Times New Roman" w:cs="Times New Roman"/>
          <w:kern w:val="0"/>
          <w:sz w:val="24"/>
          <w:szCs w:val="24"/>
          <w:lang w:eastAsia="en-GB"/>
          <w14:ligatures w14:val="none"/>
        </w:rPr>
        <w:t xml:space="preserve"> Providing a safe environment and clear communication about procedures.</w:t>
      </w:r>
    </w:p>
    <w:p w:rsidR="00FD1188" w:rsidRP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Belonging and esteem:</w:t>
      </w:r>
      <w:r w:rsidRPr="00FD1188">
        <w:rPr>
          <w:rFonts w:ascii="Times New Roman" w:eastAsia="Times New Roman" w:hAnsi="Times New Roman" w:cs="Times New Roman"/>
          <w:kern w:val="0"/>
          <w:sz w:val="24"/>
          <w:szCs w:val="24"/>
          <w:lang w:eastAsia="en-GB"/>
          <w14:ligatures w14:val="none"/>
        </w:rPr>
        <w:t xml:space="preserve"> Respecting cultural preferences and involving family in care decisions.</w:t>
      </w:r>
    </w:p>
    <w:p w:rsidR="00FD1188" w:rsidRP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Self-actualization:</w:t>
      </w:r>
      <w:r w:rsidRPr="00FD1188">
        <w:rPr>
          <w:rFonts w:ascii="Times New Roman" w:eastAsia="Times New Roman" w:hAnsi="Times New Roman" w:cs="Times New Roman"/>
          <w:kern w:val="0"/>
          <w:sz w:val="24"/>
          <w:szCs w:val="24"/>
          <w:lang w:eastAsia="en-GB"/>
          <w14:ligatures w14:val="none"/>
        </w:rPr>
        <w:t xml:space="preserve"> Supporting patient autonomy and personal goals during recovery.</w:t>
      </w:r>
    </w:p>
    <w:p w:rsidR="00FD1188" w:rsidRDefault="00FD1188" w:rsidP="00FD118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1188">
        <w:rPr>
          <w:rFonts w:ascii="Times New Roman" w:eastAsia="Times New Roman" w:hAnsi="Times New Roman" w:cs="Times New Roman"/>
          <w:b/>
          <w:bCs/>
          <w:kern w:val="0"/>
          <w:sz w:val="24"/>
          <w:szCs w:val="24"/>
          <w:lang w:eastAsia="en-GB"/>
          <w14:ligatures w14:val="none"/>
        </w:rPr>
        <w:t>Application in Hospitals:</w:t>
      </w:r>
      <w:r w:rsidRPr="00FD1188">
        <w:rPr>
          <w:rFonts w:ascii="Times New Roman" w:eastAsia="Times New Roman" w:hAnsi="Times New Roman" w:cs="Times New Roman"/>
          <w:kern w:val="0"/>
          <w:sz w:val="24"/>
          <w:szCs w:val="24"/>
          <w:lang w:eastAsia="en-GB"/>
          <w14:ligatures w14:val="none"/>
        </w:rPr>
        <w:t xml:space="preserve"> Nurses and clinicians can use Maslow’s framework to prioritize care plans that go beyond clinical treatment, ensuring patients feel secure, respected, and empowered.</w:t>
      </w:r>
    </w:p>
    <w:p w:rsidR="00B532C6" w:rsidRPr="00B532C6" w:rsidRDefault="00B532C6" w:rsidP="00B532C6">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GB"/>
          <w14:ligatures w14:val="none"/>
        </w:rPr>
      </w:pPr>
      <w:r w:rsidRPr="005B03D2">
        <w:rPr>
          <w:rFonts w:ascii="Times New Roman" w:eastAsia="Times New Roman" w:hAnsi="Times New Roman" w:cs="Times New Roman"/>
          <w:b/>
          <w:bCs/>
          <w:kern w:val="0"/>
          <w:sz w:val="27"/>
          <w:szCs w:val="27"/>
          <w:u w:val="single"/>
          <w:lang w:eastAsia="en-GB"/>
          <w14:ligatures w14:val="none"/>
        </w:rPr>
        <w:t>Ethical Fundamentals in Person-Centred Care and Partnership Working</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kern w:val="0"/>
          <w:sz w:val="24"/>
          <w:szCs w:val="24"/>
          <w:lang w:eastAsia="en-GB"/>
          <w14:ligatures w14:val="none"/>
        </w:rPr>
        <w:t>Ethical principles underpin all health and social care practices, ensuring that care delivery respects human rights and professional standards. The four core principles are:</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Autonomy</w:t>
      </w:r>
      <w:r w:rsidRPr="00B532C6">
        <w:rPr>
          <w:rFonts w:ascii="Times New Roman" w:eastAsia="Times New Roman" w:hAnsi="Times New Roman" w:cs="Times New Roman"/>
          <w:kern w:val="0"/>
          <w:sz w:val="24"/>
          <w:szCs w:val="24"/>
          <w:lang w:eastAsia="en-GB"/>
          <w14:ligatures w14:val="none"/>
        </w:rPr>
        <w:br/>
        <w:t xml:space="preserve">Autonomy refers to a patient’s right to make informed decisions about their care. In PCC, autonomy is central—patients are actively involved in treatment planning. For example, in a hospital setting, respecting autonomy means </w:t>
      </w:r>
      <w:proofErr w:type="spellStart"/>
      <w:r w:rsidRPr="00B532C6">
        <w:rPr>
          <w:rFonts w:ascii="Times New Roman" w:eastAsia="Times New Roman" w:hAnsi="Times New Roman" w:cs="Times New Roman"/>
          <w:kern w:val="0"/>
          <w:sz w:val="24"/>
          <w:szCs w:val="24"/>
          <w:lang w:eastAsia="en-GB"/>
          <w14:ligatures w14:val="none"/>
        </w:rPr>
        <w:t>honoring</w:t>
      </w:r>
      <w:proofErr w:type="spellEnd"/>
      <w:r w:rsidRPr="00B532C6">
        <w:rPr>
          <w:rFonts w:ascii="Times New Roman" w:eastAsia="Times New Roman" w:hAnsi="Times New Roman" w:cs="Times New Roman"/>
          <w:kern w:val="0"/>
          <w:sz w:val="24"/>
          <w:szCs w:val="24"/>
          <w:lang w:eastAsia="en-GB"/>
          <w14:ligatures w14:val="none"/>
        </w:rPr>
        <w:t xml:space="preserve"> a patient’s decision to refuse a procedure, even if clinicians believe it is beneficial. Differing viewpoints often arise when family members advocate for treatment against the patient’s wishes, requiring sensitive negotiation and ethical reasoning.</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Beneficence and Non-Maleficence</w:t>
      </w:r>
      <w:r w:rsidRPr="00B532C6">
        <w:rPr>
          <w:rFonts w:ascii="Times New Roman" w:eastAsia="Times New Roman" w:hAnsi="Times New Roman" w:cs="Times New Roman"/>
          <w:kern w:val="0"/>
          <w:sz w:val="24"/>
          <w:szCs w:val="24"/>
          <w:lang w:eastAsia="en-GB"/>
          <w14:ligatures w14:val="none"/>
        </w:rPr>
        <w:br/>
        <w:t>Beneficence obliges healthcare professionals to act in the patient’s best interest, while non-maleficence requires avoiding harm. In hospitals, these principles guide decisions about interventions such as surgery or medication. Ethical dilemmas occur when a treatment offers potential benefits but carries significant risks. Resolving these dilemmas involves transparent communication and shared decision-making to balance benefits and harms.</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lastRenderedPageBreak/>
        <w:t>Justice</w:t>
      </w:r>
      <w:r w:rsidRPr="00B532C6">
        <w:rPr>
          <w:rFonts w:ascii="Times New Roman" w:eastAsia="Times New Roman" w:hAnsi="Times New Roman" w:cs="Times New Roman"/>
          <w:kern w:val="0"/>
          <w:sz w:val="24"/>
          <w:szCs w:val="24"/>
          <w:lang w:eastAsia="en-GB"/>
          <w14:ligatures w14:val="none"/>
        </w:rPr>
        <w:br/>
        <w:t>Justice ensures fairness and equality in healthcare delivery. In hospital settings, this principle applies to resource allocation, such as prioritizing patients for intensive care during high demand. Partnership working supports justice by coordinating services to reduce disparities and improve access for vulnerable groups.</w:t>
      </w:r>
    </w:p>
    <w:p w:rsid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Link to PCC and PW</w:t>
      </w:r>
      <w:r w:rsidRPr="00B532C6">
        <w:rPr>
          <w:rFonts w:ascii="Times New Roman" w:eastAsia="Times New Roman" w:hAnsi="Times New Roman" w:cs="Times New Roman"/>
          <w:kern w:val="0"/>
          <w:sz w:val="24"/>
          <w:szCs w:val="24"/>
          <w:lang w:eastAsia="en-GB"/>
          <w14:ligatures w14:val="none"/>
        </w:rPr>
        <w:br/>
      </w:r>
      <w:proofErr w:type="gramStart"/>
      <w:r w:rsidRPr="00B532C6">
        <w:rPr>
          <w:rFonts w:ascii="Times New Roman" w:eastAsia="Times New Roman" w:hAnsi="Times New Roman" w:cs="Times New Roman"/>
          <w:kern w:val="0"/>
          <w:sz w:val="24"/>
          <w:szCs w:val="24"/>
          <w:lang w:eastAsia="en-GB"/>
          <w14:ligatures w14:val="none"/>
        </w:rPr>
        <w:t>These</w:t>
      </w:r>
      <w:proofErr w:type="gramEnd"/>
      <w:r w:rsidRPr="00B532C6">
        <w:rPr>
          <w:rFonts w:ascii="Times New Roman" w:eastAsia="Times New Roman" w:hAnsi="Times New Roman" w:cs="Times New Roman"/>
          <w:kern w:val="0"/>
          <w:sz w:val="24"/>
          <w:szCs w:val="24"/>
          <w:lang w:eastAsia="en-GB"/>
          <w14:ligatures w14:val="none"/>
        </w:rPr>
        <w:t xml:space="preserve"> principles align closely with PCC and PW by promoting respect, fairness, and collaboration. Ethical practice ensures that care is not only clinically effective but also morally sound, reinforcing trust between patients and professionals.</w:t>
      </w:r>
    </w:p>
    <w:p w:rsidR="00B532C6" w:rsidRPr="00B532C6" w:rsidRDefault="00B532C6" w:rsidP="00B532C6">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GB"/>
          <w14:ligatures w14:val="none"/>
        </w:rPr>
      </w:pPr>
      <w:r w:rsidRPr="005B03D2">
        <w:rPr>
          <w:rFonts w:ascii="Times New Roman" w:eastAsia="Times New Roman" w:hAnsi="Times New Roman" w:cs="Times New Roman"/>
          <w:b/>
          <w:bCs/>
          <w:kern w:val="0"/>
          <w:sz w:val="27"/>
          <w:szCs w:val="27"/>
          <w:u w:val="single"/>
          <w:lang w:eastAsia="en-GB"/>
          <w14:ligatures w14:val="none"/>
        </w:rPr>
        <w:t>Evaluation of Partnership Working in Hospital Settings</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Definition and Importance</w:t>
      </w:r>
      <w:r w:rsidRPr="00B532C6">
        <w:rPr>
          <w:rFonts w:ascii="Times New Roman" w:eastAsia="Times New Roman" w:hAnsi="Times New Roman" w:cs="Times New Roman"/>
          <w:kern w:val="0"/>
          <w:sz w:val="24"/>
          <w:szCs w:val="24"/>
          <w:lang w:eastAsia="en-GB"/>
          <w14:ligatures w14:val="none"/>
        </w:rPr>
        <w:br/>
        <w:t xml:space="preserve">Partnership Working (PW) refers to collaborative arrangements between healthcare professionals, patients, families, and external agencies to deliver integrated and holistic care. In the UK, PW is reinforced by the introduction of </w:t>
      </w:r>
      <w:r w:rsidRPr="00B532C6">
        <w:rPr>
          <w:rFonts w:ascii="Times New Roman" w:eastAsia="Times New Roman" w:hAnsi="Times New Roman" w:cs="Times New Roman"/>
          <w:b/>
          <w:bCs/>
          <w:kern w:val="0"/>
          <w:sz w:val="24"/>
          <w:szCs w:val="24"/>
          <w:lang w:eastAsia="en-GB"/>
          <w14:ligatures w14:val="none"/>
        </w:rPr>
        <w:t>Integrated Care Systems (ICS)</w:t>
      </w:r>
      <w:r w:rsidRPr="00B532C6">
        <w:rPr>
          <w:rFonts w:ascii="Times New Roman" w:eastAsia="Times New Roman" w:hAnsi="Times New Roman" w:cs="Times New Roman"/>
          <w:kern w:val="0"/>
          <w:sz w:val="24"/>
          <w:szCs w:val="24"/>
          <w:lang w:eastAsia="en-GB"/>
          <w14:ligatures w14:val="none"/>
        </w:rPr>
        <w:t xml:space="preserve"> under the Health and Care Act 2022, which aim to improve coordination across health and social care sectors (NHS England, 2022).</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Benefits of PW</w:t>
      </w:r>
      <w:r w:rsidRPr="00B532C6">
        <w:rPr>
          <w:rFonts w:ascii="Times New Roman" w:eastAsia="Times New Roman" w:hAnsi="Times New Roman" w:cs="Times New Roman"/>
          <w:kern w:val="0"/>
          <w:sz w:val="24"/>
          <w:szCs w:val="24"/>
          <w:lang w:eastAsia="en-GB"/>
          <w14:ligatures w14:val="none"/>
        </w:rPr>
        <w:br/>
        <w:t>PW enhances service delivery by reducing duplication, improving continuity of care, and ensuring that patients receive comprehensive support. In hospitals, multidisciplinary teams—comprising doctors, nurses, social workers, and allied health professionals—work together to manage complex cases such as stroke rehabilitation or cancer treatment. Evidence shows that effective PW improves patient outcomes, reduces hospital readmissions, and promotes patient satisfaction (Care Learning, 2025).</w:t>
      </w:r>
    </w:p>
    <w:p w:rsidR="00B532C6" w:rsidRP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Challenges of PW</w:t>
      </w:r>
      <w:r w:rsidRPr="00B532C6">
        <w:rPr>
          <w:rFonts w:ascii="Times New Roman" w:eastAsia="Times New Roman" w:hAnsi="Times New Roman" w:cs="Times New Roman"/>
          <w:kern w:val="0"/>
          <w:sz w:val="24"/>
          <w:szCs w:val="24"/>
          <w:lang w:eastAsia="en-GB"/>
          <w14:ligatures w14:val="none"/>
        </w:rPr>
        <w:br/>
        <w:t>Despite its benefits, PW faces challenges including communication barriers, differing professional priorities, and organizational constraints. For example, in hospitals, delays in information sharing between departments can lead to fragmented care. Cultural differences among professionals and hierarchical structures may also hinder collaboration.</w:t>
      </w:r>
    </w:p>
    <w:p w:rsidR="00B532C6" w:rsidRDefault="00B532C6" w:rsidP="00B532C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2C6">
        <w:rPr>
          <w:rFonts w:ascii="Times New Roman" w:eastAsia="Times New Roman" w:hAnsi="Times New Roman" w:cs="Times New Roman"/>
          <w:b/>
          <w:bCs/>
          <w:kern w:val="0"/>
          <w:sz w:val="24"/>
          <w:szCs w:val="24"/>
          <w:lang w:eastAsia="en-GB"/>
          <w14:ligatures w14:val="none"/>
        </w:rPr>
        <w:t>Impact on Health and Social Care Services</w:t>
      </w:r>
      <w:r w:rsidRPr="00B532C6">
        <w:rPr>
          <w:rFonts w:ascii="Times New Roman" w:eastAsia="Times New Roman" w:hAnsi="Times New Roman" w:cs="Times New Roman"/>
          <w:kern w:val="0"/>
          <w:sz w:val="24"/>
          <w:szCs w:val="24"/>
          <w:lang w:eastAsia="en-GB"/>
          <w14:ligatures w14:val="none"/>
        </w:rPr>
        <w:br/>
        <w:t>PW transforms hospital care by promoting integrated discharge planning and linking patients to community services. This approach supports PCC by ensuring that care extends beyond the hospital setting, addressing social determinants of health and reducing inequalities.</w:t>
      </w:r>
    </w:p>
    <w:p w:rsidR="00E44F08" w:rsidRPr="00E44F08" w:rsidRDefault="00E44F08" w:rsidP="00E44F08">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GB"/>
          <w14:ligatures w14:val="none"/>
        </w:rPr>
      </w:pPr>
      <w:r w:rsidRPr="00702A95">
        <w:rPr>
          <w:rFonts w:ascii="Times New Roman" w:eastAsia="Times New Roman" w:hAnsi="Times New Roman" w:cs="Times New Roman"/>
          <w:b/>
          <w:bCs/>
          <w:kern w:val="0"/>
          <w:sz w:val="27"/>
          <w:szCs w:val="27"/>
          <w:u w:val="single"/>
          <w:lang w:eastAsia="en-GB"/>
          <w14:ligatures w14:val="none"/>
        </w:rPr>
        <w:t>Policy and Legislation in Relation to PCC and PW</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kern w:val="0"/>
          <w:sz w:val="24"/>
          <w:szCs w:val="24"/>
          <w:lang w:eastAsia="en-GB"/>
          <w14:ligatures w14:val="none"/>
        </w:rPr>
        <w:t>Several key UK policies and laws shape the delivery of Person-Centred Care (PCC) and Partnership Working (PW) in hospital settings: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Health and Care Act 2022</w:t>
      </w:r>
      <w:r w:rsidRPr="00E44F08">
        <w:rPr>
          <w:rFonts w:ascii="Times New Roman" w:eastAsia="Times New Roman" w:hAnsi="Times New Roman" w:cs="Times New Roman"/>
          <w:kern w:val="0"/>
          <w:sz w:val="24"/>
          <w:szCs w:val="24"/>
          <w:lang w:eastAsia="en-GB"/>
          <w14:ligatures w14:val="none"/>
        </w:rPr>
        <w:br/>
        <w:t xml:space="preserve">This Act introduced </w:t>
      </w:r>
      <w:r w:rsidRPr="00E44F08">
        <w:rPr>
          <w:rFonts w:ascii="Times New Roman" w:eastAsia="Times New Roman" w:hAnsi="Times New Roman" w:cs="Times New Roman"/>
          <w:b/>
          <w:bCs/>
          <w:kern w:val="0"/>
          <w:sz w:val="24"/>
          <w:szCs w:val="24"/>
          <w:lang w:eastAsia="en-GB"/>
          <w14:ligatures w14:val="none"/>
        </w:rPr>
        <w:t>Integrated Care Systems (ICS)</w:t>
      </w:r>
      <w:r w:rsidRPr="00E44F08">
        <w:rPr>
          <w:rFonts w:ascii="Times New Roman" w:eastAsia="Times New Roman" w:hAnsi="Times New Roman" w:cs="Times New Roman"/>
          <w:kern w:val="0"/>
          <w:sz w:val="24"/>
          <w:szCs w:val="24"/>
          <w:lang w:eastAsia="en-GB"/>
          <w14:ligatures w14:val="none"/>
        </w:rPr>
        <w:t>, promoting collaboration between health and social care providers. It supports PW by encouraging joint planning and resource sharing, which improves continuity of care for hospital patients transitioning to community services (NHS England, 2022).</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lastRenderedPageBreak/>
        <w:t>Health and Social Care Act 2012</w:t>
      </w:r>
      <w:r w:rsidRPr="00E44F08">
        <w:rPr>
          <w:rFonts w:ascii="Times New Roman" w:eastAsia="Times New Roman" w:hAnsi="Times New Roman" w:cs="Times New Roman"/>
          <w:kern w:val="0"/>
          <w:sz w:val="24"/>
          <w:szCs w:val="24"/>
          <w:lang w:eastAsia="en-GB"/>
          <w14:ligatures w14:val="none"/>
        </w:rPr>
        <w:br/>
      </w:r>
      <w:proofErr w:type="gramStart"/>
      <w:r w:rsidRPr="00E44F08">
        <w:rPr>
          <w:rFonts w:ascii="Times New Roman" w:eastAsia="Times New Roman" w:hAnsi="Times New Roman" w:cs="Times New Roman"/>
          <w:kern w:val="0"/>
          <w:sz w:val="24"/>
          <w:szCs w:val="24"/>
          <w:lang w:eastAsia="en-GB"/>
          <w14:ligatures w14:val="none"/>
        </w:rPr>
        <w:t>This</w:t>
      </w:r>
      <w:proofErr w:type="gramEnd"/>
      <w:r w:rsidRPr="00E44F08">
        <w:rPr>
          <w:rFonts w:ascii="Times New Roman" w:eastAsia="Times New Roman" w:hAnsi="Times New Roman" w:cs="Times New Roman"/>
          <w:kern w:val="0"/>
          <w:sz w:val="24"/>
          <w:szCs w:val="24"/>
          <w:lang w:eastAsia="en-GB"/>
          <w14:ligatures w14:val="none"/>
        </w:rPr>
        <w:t xml:space="preserve"> legislation emphasizes patient choice and involvement, aligning with PCC principles. In hospitals, it mandates transparency and accountability, ensuring patients are informed and engaged in decisions about their treatment.</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Times New Roman" w:cs="Times New Roman"/>
          <w:b/>
          <w:bCs/>
          <w:kern w:val="0"/>
          <w:sz w:val="24"/>
          <w:szCs w:val="24"/>
          <w:lang w:eastAsia="en-GB"/>
          <w14:ligatures w14:val="none"/>
        </w:rPr>
        <w:t>Care</w:t>
      </w:r>
      <w:proofErr w:type="gramEnd"/>
      <w:r w:rsidRPr="00E44F08">
        <w:rPr>
          <w:rFonts w:ascii="Times New Roman" w:eastAsia="Times New Roman" w:hAnsi="Times New Roman" w:cs="Times New Roman"/>
          <w:b/>
          <w:bCs/>
          <w:kern w:val="0"/>
          <w:sz w:val="24"/>
          <w:szCs w:val="24"/>
          <w:lang w:eastAsia="en-GB"/>
          <w14:ligatures w14:val="none"/>
        </w:rPr>
        <w:t xml:space="preserve"> Act 2014</w:t>
      </w:r>
      <w:r w:rsidRPr="00E44F08">
        <w:rPr>
          <w:rFonts w:ascii="Times New Roman" w:eastAsia="Times New Roman" w:hAnsi="Times New Roman" w:cs="Times New Roman"/>
          <w:kern w:val="0"/>
          <w:sz w:val="24"/>
          <w:szCs w:val="24"/>
          <w:lang w:eastAsia="en-GB"/>
          <w14:ligatures w14:val="none"/>
        </w:rPr>
        <w:br/>
        <w:t>Although primarily focused on social care, the Care Act reinforces well-being and personalized care, which hospitals must consider during discharge planning and coordination with community services.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Human Rights Act 1998</w:t>
      </w:r>
      <w:r w:rsidRPr="00E44F08">
        <w:rPr>
          <w:rFonts w:ascii="Times New Roman" w:eastAsia="Times New Roman" w:hAnsi="Times New Roman" w:cs="Times New Roman"/>
          <w:kern w:val="0"/>
          <w:sz w:val="24"/>
          <w:szCs w:val="24"/>
          <w:lang w:eastAsia="en-GB"/>
          <w14:ligatures w14:val="none"/>
        </w:rPr>
        <w:br/>
        <w:t>This Act protects fundamental rights such as dignity and autonomy, which are central to PCC. Hospitals must respect these rights when delivering care, particularly in end-of-life decisions or consent processes.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Equality Act 2010</w:t>
      </w:r>
      <w:r w:rsidRPr="00E44F08">
        <w:rPr>
          <w:rFonts w:ascii="Times New Roman" w:eastAsia="Times New Roman" w:hAnsi="Times New Roman" w:cs="Times New Roman"/>
          <w:kern w:val="0"/>
          <w:sz w:val="24"/>
          <w:szCs w:val="24"/>
          <w:lang w:eastAsia="en-GB"/>
          <w14:ligatures w14:val="none"/>
        </w:rPr>
        <w:br/>
        <w:t>This legislation ensures non-discrimination in healthcare. Hospitals must provide equitable access and culturally sensitive care, supporting PCC and PW by addressing health inequalities.</w:t>
      </w:r>
    </w:p>
    <w:p w:rsid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Implications for Hospital Practice</w:t>
      </w:r>
      <w:r w:rsidRPr="00E44F08">
        <w:rPr>
          <w:rFonts w:ascii="Times New Roman" w:eastAsia="Times New Roman" w:hAnsi="Times New Roman" w:cs="Times New Roman"/>
          <w:kern w:val="0"/>
          <w:sz w:val="24"/>
          <w:szCs w:val="24"/>
          <w:lang w:eastAsia="en-GB"/>
          <w14:ligatures w14:val="none"/>
        </w:rPr>
        <w:br/>
      </w:r>
      <w:proofErr w:type="gramStart"/>
      <w:r w:rsidRPr="00E44F08">
        <w:rPr>
          <w:rFonts w:ascii="Times New Roman" w:eastAsia="Times New Roman" w:hAnsi="Times New Roman" w:cs="Times New Roman"/>
          <w:kern w:val="0"/>
          <w:sz w:val="24"/>
          <w:szCs w:val="24"/>
          <w:lang w:eastAsia="en-GB"/>
          <w14:ligatures w14:val="none"/>
        </w:rPr>
        <w:t>These</w:t>
      </w:r>
      <w:proofErr w:type="gramEnd"/>
      <w:r w:rsidRPr="00E44F08">
        <w:rPr>
          <w:rFonts w:ascii="Times New Roman" w:eastAsia="Times New Roman" w:hAnsi="Times New Roman" w:cs="Times New Roman"/>
          <w:kern w:val="0"/>
          <w:sz w:val="24"/>
          <w:szCs w:val="24"/>
          <w:lang w:eastAsia="en-GB"/>
          <w14:ligatures w14:val="none"/>
        </w:rPr>
        <w:t xml:space="preserve"> policies collectively promote PCC and PW but can be hindered by resource constraints and workforce shortages. For example, while ICS aims to improve integration, hospitals often face challenges in aligning IT systems and coordinating across multiple agencies.</w:t>
      </w:r>
    </w:p>
    <w:p w:rsid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E44F08" w:rsidRPr="00E44F08" w:rsidRDefault="00E44F08" w:rsidP="00E44F08">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GB"/>
          <w14:ligatures w14:val="none"/>
        </w:rPr>
      </w:pPr>
      <w:r w:rsidRPr="005B03D2">
        <w:rPr>
          <w:rFonts w:ascii="Times New Roman" w:eastAsia="Times New Roman" w:hAnsi="Times New Roman" w:cs="Times New Roman"/>
          <w:b/>
          <w:bCs/>
          <w:kern w:val="0"/>
          <w:sz w:val="27"/>
          <w:szCs w:val="27"/>
          <w:u w:val="single"/>
          <w:lang w:eastAsia="en-GB"/>
          <w14:ligatures w14:val="none"/>
        </w:rPr>
        <w:t>Recommendations for Improving PCC and PW in Hospital Settings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kern w:val="0"/>
          <w:sz w:val="24"/>
          <w:szCs w:val="24"/>
          <w:lang w:eastAsia="en-GB"/>
          <w14:ligatures w14:val="none"/>
        </w:rPr>
        <w:t>Despite progress in implementing Person-Centred Care (PCC) and Partnership Working (PW), gaps remain in consistency, resource allocation, and integration. The following evidence-based recommendations aim to strengthen these approaches: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1. Enhanced Staff Training</w:t>
      </w:r>
      <w:r w:rsidRPr="00E44F08">
        <w:rPr>
          <w:rFonts w:ascii="Times New Roman" w:eastAsia="Times New Roman" w:hAnsi="Times New Roman" w:cs="Times New Roman"/>
          <w:kern w:val="0"/>
          <w:sz w:val="24"/>
          <w:szCs w:val="24"/>
          <w:lang w:eastAsia="en-GB"/>
          <w14:ligatures w14:val="none"/>
        </w:rPr>
        <w:br/>
        <w:t>Hospitals should invest in continuous professional development focused on communication, cultural competence, and shared decision-making. Training ensures staff can deliver PCC effectively and collaborate across disciplines (Chapman, 2017).</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2. Technology Integration</w:t>
      </w:r>
      <w:r w:rsidRPr="00E44F08">
        <w:rPr>
          <w:rFonts w:ascii="Times New Roman" w:eastAsia="Times New Roman" w:hAnsi="Times New Roman" w:cs="Times New Roman"/>
          <w:kern w:val="0"/>
          <w:sz w:val="24"/>
          <w:szCs w:val="24"/>
          <w:lang w:eastAsia="en-GB"/>
          <w14:ligatures w14:val="none"/>
        </w:rPr>
        <w:br/>
        <w:t>Adopting electronic health records (EHRs) and digital communication tools can improve information sharing between hospital teams and external agencies, reducing delays and fragmentation in care (</w:t>
      </w:r>
      <w:proofErr w:type="spellStart"/>
      <w:r w:rsidRPr="00E44F08">
        <w:rPr>
          <w:rFonts w:ascii="Times New Roman" w:eastAsia="Times New Roman" w:hAnsi="Times New Roman" w:cs="Times New Roman"/>
          <w:kern w:val="0"/>
          <w:sz w:val="24"/>
          <w:szCs w:val="24"/>
          <w:lang w:eastAsia="en-GB"/>
          <w14:ligatures w14:val="none"/>
        </w:rPr>
        <w:t>Montori</w:t>
      </w:r>
      <w:proofErr w:type="spellEnd"/>
      <w:r w:rsidRPr="00E44F08">
        <w:rPr>
          <w:rFonts w:ascii="Times New Roman" w:eastAsia="Times New Roman" w:hAnsi="Times New Roman" w:cs="Times New Roman"/>
          <w:kern w:val="0"/>
          <w:sz w:val="24"/>
          <w:szCs w:val="24"/>
          <w:lang w:eastAsia="en-GB"/>
          <w14:ligatures w14:val="none"/>
        </w:rPr>
        <w:t xml:space="preserve"> et al., 2022).</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3. Strengthening Collaborative Partnerships</w:t>
      </w:r>
      <w:r w:rsidRPr="00E44F08">
        <w:rPr>
          <w:rFonts w:ascii="Times New Roman" w:eastAsia="Times New Roman" w:hAnsi="Times New Roman" w:cs="Times New Roman"/>
          <w:kern w:val="0"/>
          <w:sz w:val="24"/>
          <w:szCs w:val="24"/>
          <w:lang w:eastAsia="en-GB"/>
          <w14:ligatures w14:val="none"/>
        </w:rPr>
        <w:br/>
        <w:t>Hospitals should build stronger links with community services and social care providers through Integrated Care Systems (ICS). This supports seamless transitions from hospital to home and addresses social determinants of health (NHS England, 2022).</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lastRenderedPageBreak/>
        <w:t>4. Policy Development and Research</w:t>
      </w:r>
      <w:r w:rsidRPr="00E44F08">
        <w:rPr>
          <w:rFonts w:ascii="Times New Roman" w:eastAsia="Times New Roman" w:hAnsi="Times New Roman" w:cs="Times New Roman"/>
          <w:kern w:val="0"/>
          <w:sz w:val="24"/>
          <w:szCs w:val="24"/>
          <w:lang w:eastAsia="en-GB"/>
          <w14:ligatures w14:val="none"/>
        </w:rPr>
        <w:br/>
        <w:t>Further research into PCC outcomes and barriers should inform policy updates. Hospitals must advocate for funding and workforce planning to overcome resource constraints.</w:t>
      </w:r>
    </w:p>
    <w:p w:rsidR="005B03D2" w:rsidRDefault="00E44F08" w:rsidP="005B03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b/>
          <w:bCs/>
          <w:kern w:val="0"/>
          <w:sz w:val="24"/>
          <w:szCs w:val="24"/>
          <w:lang w:eastAsia="en-GB"/>
          <w14:ligatures w14:val="none"/>
        </w:rPr>
        <w:t>Potential Barriers</w:t>
      </w:r>
      <w:r w:rsidRPr="00E44F08">
        <w:rPr>
          <w:rFonts w:ascii="Times New Roman" w:eastAsia="Times New Roman" w:hAnsi="Times New Roman" w:cs="Times New Roman"/>
          <w:kern w:val="0"/>
          <w:sz w:val="24"/>
          <w:szCs w:val="24"/>
          <w:lang w:eastAsia="en-GB"/>
          <w14:ligatures w14:val="none"/>
        </w:rPr>
        <w:br/>
        <w:t>Challenges include financial limitations, resistance to cultural change, and technological disparities. Addressing these requires phased implementation, stakeholder engagement, and government support.</w:t>
      </w:r>
    </w:p>
    <w:p w:rsidR="00E44F08" w:rsidRPr="00E44F08" w:rsidRDefault="00E44F08" w:rsidP="005B03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03D2">
        <w:rPr>
          <w:rFonts w:ascii="Times New Roman" w:eastAsia="Times New Roman" w:hAnsi="Times New Roman" w:cs="Times New Roman"/>
          <w:b/>
          <w:bCs/>
          <w:kern w:val="0"/>
          <w:sz w:val="27"/>
          <w:szCs w:val="27"/>
          <w:u w:val="single"/>
          <w:lang w:eastAsia="en-GB"/>
          <w14:ligatures w14:val="none"/>
        </w:rPr>
        <w:t>Conclusion</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kern w:val="0"/>
          <w:sz w:val="24"/>
          <w:szCs w:val="24"/>
          <w:lang w:eastAsia="en-GB"/>
          <w14:ligatures w14:val="none"/>
        </w:rPr>
        <w:t>Person-Centred Care (PCC) and Partnership Working (PW) are essential components of modern healthcare, particularly in hospital settings where patients often present with complex needs. This report has explored the definitions, theoretical foundations, ethical principles, and practical applications of PCC and PW, highlighting their role in improving patient satisfaction, safety, and outcomes.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kern w:val="0"/>
          <w:sz w:val="24"/>
          <w:szCs w:val="24"/>
          <w:lang w:eastAsia="en-GB"/>
          <w14:ligatures w14:val="none"/>
        </w:rPr>
        <w:t>The analysis shows that PCC ensures individualized care through respect for autonomy and shared decision-making, while PW fosters collaboration among multidisciplinary teams and external agencies. Policies such as the Health and Care Act 2022 and Equality Act 2010 provide a strong legislative framework, although resource constraints and communication barriers remain significant challenges.</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kern w:val="0"/>
          <w:sz w:val="24"/>
          <w:szCs w:val="24"/>
          <w:lang w:eastAsia="en-GB"/>
          <w14:ligatures w14:val="none"/>
        </w:rPr>
        <w:t>Recommendations emphasize enhanced staff training, technology integration, stronger collaborative partnerships, and policy development to overcome these barriers. Implementing these strategies will require commitment, funding, and cultural change, but the benefits—improved quality of care, equity, and patient empowerment—are substantial.</w:t>
      </w: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44F08">
        <w:rPr>
          <w:rFonts w:ascii="Times New Roman" w:eastAsia="Times New Roman" w:hAnsi="Times New Roman" w:cs="Times New Roman"/>
          <w:kern w:val="0"/>
          <w:sz w:val="24"/>
          <w:szCs w:val="24"/>
          <w:lang w:eastAsia="en-GB"/>
          <w14:ligatures w14:val="none"/>
        </w:rPr>
        <w:t>Ultimately, embedding PCC and PW into hospital practice is not only a clinical necessity but an ethical obligation, ensuring care that is holistic, inclusive, and responsive to the needs of every patient.</w:t>
      </w:r>
    </w:p>
    <w:p w:rsid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E44F08" w:rsidRPr="00E44F08" w:rsidRDefault="00E44F08" w:rsidP="00E44F0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E44F08" w:rsidRDefault="00E44F08" w:rsidP="00585013">
      <w:pPr>
        <w:rPr>
          <w:rFonts w:ascii="Times New Roman" w:eastAsia="Times New Roman" w:hAnsi="Times New Roman" w:cs="Times New Roman"/>
          <w:kern w:val="0"/>
          <w:sz w:val="24"/>
          <w:szCs w:val="24"/>
          <w:lang w:eastAsia="en-GB"/>
          <w14:ligatures w14:val="none"/>
        </w:rPr>
      </w:pPr>
    </w:p>
    <w:p w:rsidR="005B03D2" w:rsidRDefault="005B03D2" w:rsidP="00585013">
      <w:pPr>
        <w:rPr>
          <w:rFonts w:ascii="Arial" w:hAnsi="Arial" w:cs="Arial"/>
          <w:u w:val="single"/>
        </w:rPr>
      </w:pPr>
    </w:p>
    <w:p w:rsidR="005B03D2" w:rsidRDefault="005B03D2" w:rsidP="00585013">
      <w:pPr>
        <w:rPr>
          <w:rFonts w:ascii="Arial" w:hAnsi="Arial" w:cs="Arial"/>
          <w:u w:val="single"/>
        </w:rPr>
      </w:pPr>
    </w:p>
    <w:p w:rsidR="005B03D2" w:rsidRDefault="005B03D2" w:rsidP="00585013">
      <w:pPr>
        <w:rPr>
          <w:rFonts w:ascii="Arial" w:hAnsi="Arial" w:cs="Arial"/>
          <w:u w:val="single"/>
        </w:rPr>
      </w:pPr>
    </w:p>
    <w:p w:rsidR="005B03D2" w:rsidRDefault="005B03D2" w:rsidP="00585013">
      <w:pPr>
        <w:rPr>
          <w:rFonts w:ascii="Arial" w:hAnsi="Arial" w:cs="Arial"/>
          <w:u w:val="single"/>
        </w:rPr>
      </w:pPr>
    </w:p>
    <w:p w:rsidR="005B03D2" w:rsidRDefault="005B03D2" w:rsidP="00585013">
      <w:pPr>
        <w:rPr>
          <w:rFonts w:ascii="Arial" w:hAnsi="Arial" w:cs="Arial"/>
          <w:u w:val="single"/>
        </w:rPr>
      </w:pPr>
    </w:p>
    <w:p w:rsidR="00702A95" w:rsidRDefault="00702A95" w:rsidP="00585013">
      <w:pPr>
        <w:rPr>
          <w:rFonts w:ascii="Arial" w:hAnsi="Arial" w:cs="Arial"/>
          <w:u w:val="single"/>
        </w:rPr>
      </w:pPr>
    </w:p>
    <w:p w:rsidR="00556866" w:rsidRDefault="00556866" w:rsidP="00585013">
      <w:pPr>
        <w:rPr>
          <w:rFonts w:ascii="Arial" w:hAnsi="Arial" w:cs="Arial"/>
          <w:u w:val="single"/>
        </w:rPr>
      </w:pPr>
      <w:r>
        <w:rPr>
          <w:rFonts w:ascii="Arial" w:hAnsi="Arial" w:cs="Arial"/>
          <w:u w:val="single"/>
        </w:rPr>
        <w:t xml:space="preserve">Reference list </w:t>
      </w:r>
    </w:p>
    <w:p w:rsidR="00556866" w:rsidRPr="00556866" w:rsidRDefault="00556866" w:rsidP="00556866">
      <w:pPr>
        <w:rPr>
          <w:rFonts w:ascii="Arial" w:hAnsi="Arial" w:cs="Arial"/>
        </w:rPr>
      </w:pPr>
      <w:r w:rsidRPr="00556866">
        <w:rPr>
          <w:rFonts w:ascii="Arial" w:hAnsi="Arial" w:cs="Arial"/>
        </w:rPr>
        <w:t>Care Learning. (2025). What are Person-Centred Approaches in Health and Social Care? [1†source]</w:t>
      </w:r>
    </w:p>
    <w:p w:rsidR="00556866" w:rsidRPr="00556866" w:rsidRDefault="00556866" w:rsidP="00556866">
      <w:pPr>
        <w:rPr>
          <w:rFonts w:ascii="Arial" w:hAnsi="Arial" w:cs="Arial"/>
        </w:rPr>
      </w:pPr>
      <w:r w:rsidRPr="00556866">
        <w:rPr>
          <w:rFonts w:ascii="Arial" w:hAnsi="Arial" w:cs="Arial"/>
        </w:rPr>
        <w:t>NHS England. (2025). Person-cen</w:t>
      </w:r>
      <w:r>
        <w:rPr>
          <w:rFonts w:ascii="Arial" w:hAnsi="Arial" w:cs="Arial"/>
        </w:rPr>
        <w:t>tred care framework. [2†source]</w:t>
      </w:r>
      <w:r w:rsidRPr="00556866">
        <w:rPr>
          <w:rFonts w:ascii="Arial" w:hAnsi="Arial" w:cs="Arial"/>
        </w:rPr>
        <w:tab/>
        <w:t>Care Quality Commission. (2025). Regulation 9: Person-centred care. [3†source]</w:t>
      </w:r>
    </w:p>
    <w:p w:rsidR="00556866" w:rsidRPr="00556866" w:rsidRDefault="00556866" w:rsidP="00556866">
      <w:pPr>
        <w:rPr>
          <w:rFonts w:ascii="Arial" w:hAnsi="Arial" w:cs="Arial"/>
        </w:rPr>
      </w:pPr>
      <w:r w:rsidRPr="00556866">
        <w:rPr>
          <w:rFonts w:ascii="Arial" w:hAnsi="Arial" w:cs="Arial"/>
        </w:rPr>
        <w:t>Skills for Health. (2025). Person-Centred Care: What it means and why it matters. [4†source]</w:t>
      </w:r>
    </w:p>
    <w:p w:rsidR="00556866" w:rsidRDefault="00556866" w:rsidP="00556866">
      <w:pPr>
        <w:rPr>
          <w:rFonts w:ascii="Arial" w:hAnsi="Arial" w:cs="Arial"/>
        </w:rPr>
      </w:pPr>
      <w:r w:rsidRPr="00556866">
        <w:rPr>
          <w:rFonts w:ascii="Arial" w:hAnsi="Arial" w:cs="Arial"/>
        </w:rPr>
        <w:t>Skills for Care. (2025). Person-centred approaches in health and care. [5†source]</w:t>
      </w:r>
    </w:p>
    <w:p w:rsidR="006A17D4" w:rsidRPr="006A17D4" w:rsidRDefault="006A17D4" w:rsidP="006A17D4">
      <w:pPr>
        <w:spacing w:after="0" w:line="240" w:lineRule="auto"/>
        <w:rPr>
          <w:rFonts w:ascii="Times New Roman" w:eastAsia="Times New Roman" w:hAnsi="Times New Roman" w:cs="Times New Roman"/>
          <w:kern w:val="0"/>
          <w:sz w:val="24"/>
          <w:szCs w:val="24"/>
          <w:lang w:eastAsia="en-GB"/>
          <w14:ligatures w14:val="none"/>
        </w:rPr>
      </w:pPr>
      <w:proofErr w:type="gramStart"/>
      <w:r w:rsidRPr="006A17D4">
        <w:rPr>
          <w:rFonts w:ascii="Times New Roman" w:eastAsia="Times New Roman" w:hAnsi="Symbol" w:cs="Times New Roman"/>
          <w:kern w:val="0"/>
          <w:sz w:val="24"/>
          <w:szCs w:val="24"/>
          <w:lang w:eastAsia="en-GB"/>
          <w14:ligatures w14:val="none"/>
        </w:rPr>
        <w:t></w:t>
      </w:r>
      <w:r w:rsidRPr="006A17D4">
        <w:rPr>
          <w:rFonts w:ascii="Times New Roman" w:eastAsia="Times New Roman" w:hAnsi="Times New Roman" w:cs="Times New Roman"/>
          <w:kern w:val="0"/>
          <w:sz w:val="24"/>
          <w:szCs w:val="24"/>
          <w:lang w:eastAsia="en-GB"/>
          <w14:ligatures w14:val="none"/>
        </w:rPr>
        <w:t xml:space="preserve">  Grover</w:t>
      </w:r>
      <w:proofErr w:type="gramEnd"/>
      <w:r w:rsidRPr="006A17D4">
        <w:rPr>
          <w:rFonts w:ascii="Times New Roman" w:eastAsia="Times New Roman" w:hAnsi="Times New Roman" w:cs="Times New Roman"/>
          <w:kern w:val="0"/>
          <w:sz w:val="24"/>
          <w:szCs w:val="24"/>
          <w:lang w:eastAsia="en-GB"/>
          <w14:ligatures w14:val="none"/>
        </w:rPr>
        <w:t xml:space="preserve">, S. et al. (2022) </w:t>
      </w:r>
      <w:r w:rsidRPr="006A17D4">
        <w:rPr>
          <w:rFonts w:ascii="Times New Roman" w:eastAsia="Times New Roman" w:hAnsi="Times New Roman" w:cs="Times New Roman"/>
          <w:i/>
          <w:iCs/>
          <w:kern w:val="0"/>
          <w:sz w:val="24"/>
          <w:szCs w:val="24"/>
          <w:lang w:eastAsia="en-GB"/>
          <w14:ligatures w14:val="none"/>
        </w:rPr>
        <w:t>Defining and implementing patient-</w:t>
      </w:r>
      <w:proofErr w:type="spellStart"/>
      <w:r w:rsidRPr="006A17D4">
        <w:rPr>
          <w:rFonts w:ascii="Times New Roman" w:eastAsia="Times New Roman" w:hAnsi="Times New Roman" w:cs="Times New Roman"/>
          <w:i/>
          <w:iCs/>
          <w:kern w:val="0"/>
          <w:sz w:val="24"/>
          <w:szCs w:val="24"/>
          <w:lang w:eastAsia="en-GB"/>
          <w14:ligatures w14:val="none"/>
        </w:rPr>
        <w:t>centered</w:t>
      </w:r>
      <w:proofErr w:type="spellEnd"/>
      <w:r w:rsidRPr="006A17D4">
        <w:rPr>
          <w:rFonts w:ascii="Times New Roman" w:eastAsia="Times New Roman" w:hAnsi="Times New Roman" w:cs="Times New Roman"/>
          <w:i/>
          <w:iCs/>
          <w:kern w:val="0"/>
          <w:sz w:val="24"/>
          <w:szCs w:val="24"/>
          <w:lang w:eastAsia="en-GB"/>
          <w14:ligatures w14:val="none"/>
        </w:rPr>
        <w:t xml:space="preserve"> care: An umbrella review</w:t>
      </w:r>
      <w:r w:rsidRPr="006A17D4">
        <w:rPr>
          <w:rFonts w:ascii="Times New Roman" w:eastAsia="Times New Roman" w:hAnsi="Times New Roman" w:cs="Times New Roman"/>
          <w:kern w:val="0"/>
          <w:sz w:val="24"/>
          <w:szCs w:val="24"/>
          <w:lang w:eastAsia="en-GB"/>
          <w14:ligatures w14:val="none"/>
        </w:rPr>
        <w:t xml:space="preserve">. </w:t>
      </w:r>
      <w:proofErr w:type="gramStart"/>
      <w:r w:rsidRPr="006A17D4">
        <w:rPr>
          <w:rFonts w:ascii="Times New Roman" w:eastAsia="Times New Roman" w:hAnsi="Times New Roman" w:cs="Times New Roman"/>
          <w:i/>
          <w:iCs/>
          <w:kern w:val="0"/>
          <w:sz w:val="24"/>
          <w:szCs w:val="24"/>
          <w:lang w:eastAsia="en-GB"/>
          <w14:ligatures w14:val="none"/>
        </w:rPr>
        <w:t xml:space="preserve">Patient Education and </w:t>
      </w:r>
      <w:proofErr w:type="spellStart"/>
      <w:r w:rsidRPr="006A17D4">
        <w:rPr>
          <w:rFonts w:ascii="Times New Roman" w:eastAsia="Times New Roman" w:hAnsi="Times New Roman" w:cs="Times New Roman"/>
          <w:i/>
          <w:iCs/>
          <w:kern w:val="0"/>
          <w:sz w:val="24"/>
          <w:szCs w:val="24"/>
          <w:lang w:eastAsia="en-GB"/>
          <w14:ligatures w14:val="none"/>
        </w:rPr>
        <w:t>Counseling</w:t>
      </w:r>
      <w:proofErr w:type="spellEnd"/>
      <w:r w:rsidRPr="006A17D4">
        <w:rPr>
          <w:rFonts w:ascii="Times New Roman" w:eastAsia="Times New Roman" w:hAnsi="Times New Roman" w:cs="Times New Roman"/>
          <w:kern w:val="0"/>
          <w:sz w:val="24"/>
          <w:szCs w:val="24"/>
          <w:lang w:eastAsia="en-GB"/>
          <w14:ligatures w14:val="none"/>
        </w:rPr>
        <w:t>, 105(7), pp.1679–1688.</w:t>
      </w:r>
      <w:proofErr w:type="gramEnd"/>
      <w:r w:rsidRPr="006A17D4">
        <w:rPr>
          <w:rFonts w:ascii="Times New Roman" w:eastAsia="Times New Roman" w:hAnsi="Times New Roman" w:cs="Times New Roman"/>
          <w:kern w:val="0"/>
          <w:sz w:val="24"/>
          <w:szCs w:val="24"/>
          <w:lang w:eastAsia="en-GB"/>
          <w14:ligatures w14:val="none"/>
        </w:rPr>
        <w:t xml:space="preserve"> </w:t>
      </w:r>
      <w:hyperlink r:id="rId6" w:tgtFrame="_blank" w:history="1">
        <w:r w:rsidRPr="006A17D4">
          <w:rPr>
            <w:rFonts w:ascii="Times New Roman" w:eastAsia="Times New Roman" w:hAnsi="Times New Roman" w:cs="Times New Roman"/>
            <w:color w:val="0000FF"/>
            <w:kern w:val="0"/>
            <w:sz w:val="24"/>
            <w:szCs w:val="24"/>
            <w:u w:val="single"/>
            <w:lang w:eastAsia="en-GB"/>
            <w14:ligatures w14:val="none"/>
          </w:rPr>
          <w:t>Link</w:t>
        </w:r>
      </w:hyperlink>
      <w:r w:rsidRPr="006A17D4">
        <w:rPr>
          <w:rFonts w:ascii="Times New Roman" w:eastAsia="Times New Roman" w:hAnsi="Times New Roman" w:cs="Times New Roman"/>
          <w:kern w:val="0"/>
          <w:sz w:val="24"/>
          <w:szCs w:val="24"/>
          <w:lang w:eastAsia="en-GB"/>
          <w14:ligatures w14:val="none"/>
        </w:rPr>
        <w:t xml:space="preserve"> </w:t>
      </w:r>
      <w:hyperlink r:id="rId7" w:history="1">
        <w:r w:rsidRPr="006A17D4">
          <w:rPr>
            <w:rFonts w:ascii="Times New Roman" w:eastAsia="Times New Roman" w:hAnsi="Times New Roman" w:cs="Times New Roman"/>
            <w:color w:val="0000FF"/>
            <w:kern w:val="0"/>
            <w:sz w:val="24"/>
            <w:szCs w:val="24"/>
            <w:u w:val="single"/>
            <w:lang w:eastAsia="en-GB"/>
            <w14:ligatures w14:val="none"/>
          </w:rPr>
          <w:t>[psycnet.apa.org]</w:t>
        </w:r>
      </w:hyperlink>
      <w:r w:rsidRPr="006A17D4">
        <w:rPr>
          <w:rFonts w:ascii="Times New Roman" w:eastAsia="Times New Roman" w:hAnsi="Times New Roman" w:cs="Times New Roman"/>
          <w:kern w:val="0"/>
          <w:sz w:val="24"/>
          <w:szCs w:val="24"/>
          <w:lang w:eastAsia="en-GB"/>
          <w14:ligatures w14:val="none"/>
        </w:rPr>
        <w:t xml:space="preserve"> </w:t>
      </w:r>
    </w:p>
    <w:p w:rsidR="006A17D4" w:rsidRPr="006A17D4" w:rsidRDefault="006A17D4" w:rsidP="006A17D4">
      <w:pPr>
        <w:spacing w:after="0" w:line="240" w:lineRule="auto"/>
        <w:rPr>
          <w:rFonts w:ascii="Times New Roman" w:eastAsia="Times New Roman" w:hAnsi="Times New Roman" w:cs="Times New Roman"/>
          <w:kern w:val="0"/>
          <w:sz w:val="24"/>
          <w:szCs w:val="24"/>
          <w:lang w:eastAsia="en-GB"/>
          <w14:ligatures w14:val="none"/>
        </w:rPr>
      </w:pPr>
      <w:proofErr w:type="gramStart"/>
      <w:r w:rsidRPr="006A17D4">
        <w:rPr>
          <w:rFonts w:ascii="Times New Roman" w:eastAsia="Times New Roman" w:hAnsi="Symbol" w:cs="Times New Roman"/>
          <w:kern w:val="0"/>
          <w:sz w:val="24"/>
          <w:szCs w:val="24"/>
          <w:lang w:eastAsia="en-GB"/>
          <w14:ligatures w14:val="none"/>
        </w:rPr>
        <w:t></w:t>
      </w:r>
      <w:r w:rsidRPr="006A17D4">
        <w:rPr>
          <w:rFonts w:ascii="Times New Roman" w:eastAsia="Times New Roman" w:hAnsi="Times New Roman" w:cs="Times New Roman"/>
          <w:kern w:val="0"/>
          <w:sz w:val="24"/>
          <w:szCs w:val="24"/>
          <w:lang w:eastAsia="en-GB"/>
          <w14:ligatures w14:val="none"/>
        </w:rPr>
        <w:t xml:space="preserve">  </w:t>
      </w:r>
      <w:proofErr w:type="spellStart"/>
      <w:r w:rsidRPr="006A17D4">
        <w:rPr>
          <w:rFonts w:ascii="Times New Roman" w:eastAsia="Times New Roman" w:hAnsi="Times New Roman" w:cs="Times New Roman"/>
          <w:kern w:val="0"/>
          <w:sz w:val="24"/>
          <w:szCs w:val="24"/>
          <w:lang w:eastAsia="en-GB"/>
          <w14:ligatures w14:val="none"/>
        </w:rPr>
        <w:t>Berntsen</w:t>
      </w:r>
      <w:proofErr w:type="spellEnd"/>
      <w:proofErr w:type="gramEnd"/>
      <w:r w:rsidRPr="006A17D4">
        <w:rPr>
          <w:rFonts w:ascii="Times New Roman" w:eastAsia="Times New Roman" w:hAnsi="Times New Roman" w:cs="Times New Roman"/>
          <w:kern w:val="0"/>
          <w:sz w:val="24"/>
          <w:szCs w:val="24"/>
          <w:lang w:eastAsia="en-GB"/>
          <w14:ligatures w14:val="none"/>
        </w:rPr>
        <w:t xml:space="preserve">, G.R. et al. (2021) </w:t>
      </w:r>
      <w:r w:rsidRPr="006A17D4">
        <w:rPr>
          <w:rFonts w:ascii="Times New Roman" w:eastAsia="Times New Roman" w:hAnsi="Times New Roman" w:cs="Times New Roman"/>
          <w:i/>
          <w:iCs/>
          <w:kern w:val="0"/>
          <w:sz w:val="24"/>
          <w:szCs w:val="24"/>
          <w:lang w:eastAsia="en-GB"/>
          <w14:ligatures w14:val="none"/>
        </w:rPr>
        <w:t>Person-</w:t>
      </w:r>
      <w:proofErr w:type="spellStart"/>
      <w:r w:rsidRPr="006A17D4">
        <w:rPr>
          <w:rFonts w:ascii="Times New Roman" w:eastAsia="Times New Roman" w:hAnsi="Times New Roman" w:cs="Times New Roman"/>
          <w:i/>
          <w:iCs/>
          <w:kern w:val="0"/>
          <w:sz w:val="24"/>
          <w:szCs w:val="24"/>
          <w:lang w:eastAsia="en-GB"/>
          <w14:ligatures w14:val="none"/>
        </w:rPr>
        <w:t>centered</w:t>
      </w:r>
      <w:proofErr w:type="spellEnd"/>
      <w:r w:rsidRPr="006A17D4">
        <w:rPr>
          <w:rFonts w:ascii="Times New Roman" w:eastAsia="Times New Roman" w:hAnsi="Times New Roman" w:cs="Times New Roman"/>
          <w:i/>
          <w:iCs/>
          <w:kern w:val="0"/>
          <w:sz w:val="24"/>
          <w:szCs w:val="24"/>
          <w:lang w:eastAsia="en-GB"/>
          <w14:ligatures w14:val="none"/>
        </w:rPr>
        <w:t xml:space="preserve"> care (PCC): the people’s perspective</w:t>
      </w:r>
      <w:r w:rsidRPr="006A17D4">
        <w:rPr>
          <w:rFonts w:ascii="Times New Roman" w:eastAsia="Times New Roman" w:hAnsi="Times New Roman" w:cs="Times New Roman"/>
          <w:kern w:val="0"/>
          <w:sz w:val="24"/>
          <w:szCs w:val="24"/>
          <w:lang w:eastAsia="en-GB"/>
          <w14:ligatures w14:val="none"/>
        </w:rPr>
        <w:t xml:space="preserve">. </w:t>
      </w:r>
      <w:proofErr w:type="gramStart"/>
      <w:r w:rsidRPr="006A17D4">
        <w:rPr>
          <w:rFonts w:ascii="Times New Roman" w:eastAsia="Times New Roman" w:hAnsi="Times New Roman" w:cs="Times New Roman"/>
          <w:i/>
          <w:iCs/>
          <w:kern w:val="0"/>
          <w:sz w:val="24"/>
          <w:szCs w:val="24"/>
          <w:lang w:eastAsia="en-GB"/>
          <w14:ligatures w14:val="none"/>
        </w:rPr>
        <w:t>International Journal for Quality in Health Care</w:t>
      </w:r>
      <w:r w:rsidRPr="006A17D4">
        <w:rPr>
          <w:rFonts w:ascii="Times New Roman" w:eastAsia="Times New Roman" w:hAnsi="Times New Roman" w:cs="Times New Roman"/>
          <w:kern w:val="0"/>
          <w:sz w:val="24"/>
          <w:szCs w:val="24"/>
          <w:lang w:eastAsia="en-GB"/>
          <w14:ligatures w14:val="none"/>
        </w:rPr>
        <w:t>, 33(Supplement_2), pp.ii23–ii26.</w:t>
      </w:r>
      <w:proofErr w:type="gramEnd"/>
      <w:r w:rsidRPr="006A17D4">
        <w:rPr>
          <w:rFonts w:ascii="Times New Roman" w:eastAsia="Times New Roman" w:hAnsi="Times New Roman" w:cs="Times New Roman"/>
          <w:kern w:val="0"/>
          <w:sz w:val="24"/>
          <w:szCs w:val="24"/>
          <w:lang w:eastAsia="en-GB"/>
          <w14:ligatures w14:val="none"/>
        </w:rPr>
        <w:t xml:space="preserve"> </w:t>
      </w:r>
      <w:hyperlink r:id="rId8" w:tgtFrame="_blank" w:history="1">
        <w:r w:rsidRPr="006A17D4">
          <w:rPr>
            <w:rFonts w:ascii="Times New Roman" w:eastAsia="Times New Roman" w:hAnsi="Times New Roman" w:cs="Times New Roman"/>
            <w:color w:val="0000FF"/>
            <w:kern w:val="0"/>
            <w:sz w:val="24"/>
            <w:szCs w:val="24"/>
            <w:u w:val="single"/>
            <w:lang w:eastAsia="en-GB"/>
            <w14:ligatures w14:val="none"/>
          </w:rPr>
          <w:t>Link</w:t>
        </w:r>
      </w:hyperlink>
      <w:r w:rsidRPr="006A17D4">
        <w:rPr>
          <w:rFonts w:ascii="Times New Roman" w:eastAsia="Times New Roman" w:hAnsi="Times New Roman" w:cs="Times New Roman"/>
          <w:kern w:val="0"/>
          <w:sz w:val="24"/>
          <w:szCs w:val="24"/>
          <w:lang w:eastAsia="en-GB"/>
          <w14:ligatures w14:val="none"/>
        </w:rPr>
        <w:t xml:space="preserve"> </w:t>
      </w:r>
      <w:hyperlink r:id="rId9" w:history="1">
        <w:r w:rsidRPr="006A17D4">
          <w:rPr>
            <w:rFonts w:ascii="Times New Roman" w:eastAsia="Times New Roman" w:hAnsi="Times New Roman" w:cs="Times New Roman"/>
            <w:color w:val="0000FF"/>
            <w:kern w:val="0"/>
            <w:sz w:val="24"/>
            <w:szCs w:val="24"/>
            <w:u w:val="single"/>
            <w:lang w:eastAsia="en-GB"/>
            <w14:ligatures w14:val="none"/>
          </w:rPr>
          <w:t>[academic.oup.com]</w:t>
        </w:r>
      </w:hyperlink>
      <w:r w:rsidRPr="006A17D4">
        <w:rPr>
          <w:rFonts w:ascii="Times New Roman" w:eastAsia="Times New Roman" w:hAnsi="Times New Roman" w:cs="Times New Roman"/>
          <w:kern w:val="0"/>
          <w:sz w:val="24"/>
          <w:szCs w:val="24"/>
          <w:lang w:eastAsia="en-GB"/>
          <w14:ligatures w14:val="none"/>
        </w:rPr>
        <w:t xml:space="preserve"> </w:t>
      </w:r>
    </w:p>
    <w:p w:rsidR="006A17D4" w:rsidRDefault="006A17D4" w:rsidP="006A17D4">
      <w:pPr>
        <w:rPr>
          <w:rFonts w:ascii="Arial" w:hAnsi="Arial" w:cs="Arial"/>
        </w:rPr>
      </w:pPr>
      <w:proofErr w:type="gramStart"/>
      <w:r w:rsidRPr="006A17D4">
        <w:rPr>
          <w:rFonts w:ascii="Times New Roman" w:eastAsia="Times New Roman" w:hAnsi="Symbol" w:cs="Times New Roman"/>
          <w:kern w:val="0"/>
          <w:sz w:val="24"/>
          <w:szCs w:val="24"/>
          <w:lang w:eastAsia="en-GB"/>
          <w14:ligatures w14:val="none"/>
        </w:rPr>
        <w:t></w:t>
      </w:r>
      <w:r w:rsidRPr="006A17D4">
        <w:rPr>
          <w:rFonts w:ascii="Times New Roman" w:eastAsia="Times New Roman" w:hAnsi="Times New Roman" w:cs="Times New Roman"/>
          <w:kern w:val="0"/>
          <w:sz w:val="24"/>
          <w:szCs w:val="24"/>
          <w:lang w:eastAsia="en-GB"/>
          <w14:ligatures w14:val="none"/>
        </w:rPr>
        <w:t xml:space="preserve">  Byrne</w:t>
      </w:r>
      <w:proofErr w:type="gramEnd"/>
      <w:r w:rsidRPr="006A17D4">
        <w:rPr>
          <w:rFonts w:ascii="Times New Roman" w:eastAsia="Times New Roman" w:hAnsi="Times New Roman" w:cs="Times New Roman"/>
          <w:kern w:val="0"/>
          <w:sz w:val="24"/>
          <w:szCs w:val="24"/>
          <w:lang w:eastAsia="en-GB"/>
          <w14:ligatures w14:val="none"/>
        </w:rPr>
        <w:t xml:space="preserve">, A-L., Baldwin, A. &amp; Harvey, C. (2020) </w:t>
      </w:r>
      <w:r w:rsidRPr="006A17D4">
        <w:rPr>
          <w:rFonts w:ascii="Times New Roman" w:eastAsia="Times New Roman" w:hAnsi="Times New Roman" w:cs="Times New Roman"/>
          <w:i/>
          <w:iCs/>
          <w:kern w:val="0"/>
          <w:sz w:val="24"/>
          <w:szCs w:val="24"/>
          <w:lang w:eastAsia="en-GB"/>
          <w14:ligatures w14:val="none"/>
        </w:rPr>
        <w:t xml:space="preserve">Whose centre is it anyway? </w:t>
      </w:r>
      <w:proofErr w:type="gramStart"/>
      <w:r w:rsidRPr="006A17D4">
        <w:rPr>
          <w:rFonts w:ascii="Times New Roman" w:eastAsia="Times New Roman" w:hAnsi="Times New Roman" w:cs="Times New Roman"/>
          <w:i/>
          <w:iCs/>
          <w:kern w:val="0"/>
          <w:sz w:val="24"/>
          <w:szCs w:val="24"/>
          <w:lang w:eastAsia="en-GB"/>
          <w14:ligatures w14:val="none"/>
        </w:rPr>
        <w:t>Defining person-centred care in nursing: An integrative review</w:t>
      </w:r>
      <w:r w:rsidRPr="006A17D4">
        <w:rPr>
          <w:rFonts w:ascii="Times New Roman" w:eastAsia="Times New Roman" w:hAnsi="Times New Roman" w:cs="Times New Roman"/>
          <w:kern w:val="0"/>
          <w:sz w:val="24"/>
          <w:szCs w:val="24"/>
          <w:lang w:eastAsia="en-GB"/>
          <w14:ligatures w14:val="none"/>
        </w:rPr>
        <w:t>.</w:t>
      </w:r>
      <w:proofErr w:type="gramEnd"/>
      <w:r w:rsidRPr="006A17D4">
        <w:rPr>
          <w:rFonts w:ascii="Times New Roman" w:eastAsia="Times New Roman" w:hAnsi="Times New Roman" w:cs="Times New Roman"/>
          <w:kern w:val="0"/>
          <w:sz w:val="24"/>
          <w:szCs w:val="24"/>
          <w:lang w:eastAsia="en-GB"/>
          <w14:ligatures w14:val="none"/>
        </w:rPr>
        <w:t xml:space="preserve"> </w:t>
      </w:r>
      <w:r w:rsidRPr="006A17D4">
        <w:rPr>
          <w:rFonts w:ascii="Times New Roman" w:eastAsia="Times New Roman" w:hAnsi="Times New Roman" w:cs="Times New Roman"/>
          <w:i/>
          <w:iCs/>
          <w:kern w:val="0"/>
          <w:sz w:val="24"/>
          <w:szCs w:val="24"/>
          <w:lang w:eastAsia="en-GB"/>
          <w14:ligatures w14:val="none"/>
        </w:rPr>
        <w:t>PLOS ONE</w:t>
      </w:r>
      <w:r w:rsidRPr="006A17D4">
        <w:rPr>
          <w:rFonts w:ascii="Times New Roman" w:eastAsia="Times New Roman" w:hAnsi="Times New Roman" w:cs="Times New Roman"/>
          <w:kern w:val="0"/>
          <w:sz w:val="24"/>
          <w:szCs w:val="24"/>
          <w:lang w:eastAsia="en-GB"/>
          <w14:ligatures w14:val="none"/>
        </w:rPr>
        <w:t xml:space="preserve">, 15(3): e0229923. </w:t>
      </w:r>
      <w:hyperlink r:id="rId10" w:tgtFrame="_blank" w:history="1">
        <w:r w:rsidRPr="006A17D4">
          <w:rPr>
            <w:rFonts w:ascii="Times New Roman" w:eastAsia="Times New Roman" w:hAnsi="Times New Roman" w:cs="Times New Roman"/>
            <w:color w:val="0000FF"/>
            <w:kern w:val="0"/>
            <w:sz w:val="24"/>
            <w:szCs w:val="24"/>
            <w:u w:val="single"/>
            <w:lang w:eastAsia="en-GB"/>
            <w14:ligatures w14:val="none"/>
          </w:rPr>
          <w:t>Link</w:t>
        </w:r>
      </w:hyperlink>
      <w:r w:rsidRPr="006A17D4">
        <w:rPr>
          <w:rFonts w:ascii="Times New Roman" w:eastAsia="Times New Roman" w:hAnsi="Times New Roman" w:cs="Times New Roman"/>
          <w:kern w:val="0"/>
          <w:sz w:val="24"/>
          <w:szCs w:val="24"/>
          <w:lang w:eastAsia="en-GB"/>
          <w14:ligatures w14:val="none"/>
        </w:rPr>
        <w:t xml:space="preserve"> </w:t>
      </w:r>
      <w:hyperlink r:id="rId11" w:history="1">
        <w:r w:rsidRPr="006A17D4">
          <w:rPr>
            <w:rFonts w:ascii="Times New Roman" w:eastAsia="Times New Roman" w:hAnsi="Times New Roman" w:cs="Times New Roman"/>
            <w:color w:val="0000FF"/>
            <w:kern w:val="0"/>
            <w:sz w:val="24"/>
            <w:szCs w:val="24"/>
            <w:u w:val="single"/>
            <w:lang w:eastAsia="en-GB"/>
            <w14:ligatures w14:val="none"/>
          </w:rPr>
          <w:t>[journals.plos.org]</w:t>
        </w:r>
      </w:hyperlink>
    </w:p>
    <w:p w:rsidR="00FD1188" w:rsidRPr="00FD1188" w:rsidRDefault="00FD1188" w:rsidP="00FD1188">
      <w:pPr>
        <w:spacing w:after="0" w:line="240" w:lineRule="auto"/>
        <w:rPr>
          <w:rFonts w:ascii="Times New Roman" w:eastAsia="Times New Roman" w:hAnsi="Times New Roman" w:cs="Times New Roman"/>
          <w:kern w:val="0"/>
          <w:sz w:val="24"/>
          <w:szCs w:val="24"/>
          <w:lang w:eastAsia="en-GB"/>
          <w14:ligatures w14:val="none"/>
        </w:rPr>
      </w:pPr>
      <w:proofErr w:type="gramStart"/>
      <w:r w:rsidRPr="00FD1188">
        <w:rPr>
          <w:rFonts w:ascii="Times New Roman" w:eastAsia="Times New Roman" w:hAnsi="Symbol" w:cs="Times New Roman"/>
          <w:kern w:val="0"/>
          <w:sz w:val="24"/>
          <w:szCs w:val="24"/>
          <w:lang w:eastAsia="en-GB"/>
          <w14:ligatures w14:val="none"/>
        </w:rPr>
        <w:t></w:t>
      </w:r>
      <w:r w:rsidRPr="00FD1188">
        <w:rPr>
          <w:rFonts w:ascii="Times New Roman" w:eastAsia="Times New Roman" w:hAnsi="Times New Roman" w:cs="Times New Roman"/>
          <w:kern w:val="0"/>
          <w:sz w:val="24"/>
          <w:szCs w:val="24"/>
          <w:lang w:eastAsia="en-GB"/>
          <w14:ligatures w14:val="none"/>
        </w:rPr>
        <w:t xml:space="preserve">  McLeod</w:t>
      </w:r>
      <w:proofErr w:type="gramEnd"/>
      <w:r w:rsidRPr="00FD1188">
        <w:rPr>
          <w:rFonts w:ascii="Times New Roman" w:eastAsia="Times New Roman" w:hAnsi="Times New Roman" w:cs="Times New Roman"/>
          <w:kern w:val="0"/>
          <w:sz w:val="24"/>
          <w:szCs w:val="24"/>
          <w:lang w:eastAsia="en-GB"/>
          <w14:ligatures w14:val="none"/>
        </w:rPr>
        <w:t xml:space="preserve">, S. (2023) </w:t>
      </w:r>
      <w:r w:rsidRPr="00FD1188">
        <w:rPr>
          <w:rFonts w:ascii="Times New Roman" w:eastAsia="Times New Roman" w:hAnsi="Times New Roman" w:cs="Times New Roman"/>
          <w:i/>
          <w:iCs/>
          <w:kern w:val="0"/>
          <w:sz w:val="24"/>
          <w:szCs w:val="24"/>
          <w:lang w:eastAsia="en-GB"/>
          <w14:ligatures w14:val="none"/>
        </w:rPr>
        <w:t>Maslow’s Hierarchy of Needs</w:t>
      </w:r>
      <w:r w:rsidRPr="00FD1188">
        <w:rPr>
          <w:rFonts w:ascii="Times New Roman" w:eastAsia="Times New Roman" w:hAnsi="Times New Roman" w:cs="Times New Roman"/>
          <w:kern w:val="0"/>
          <w:sz w:val="24"/>
          <w:szCs w:val="24"/>
          <w:lang w:eastAsia="en-GB"/>
          <w14:ligatures w14:val="none"/>
        </w:rPr>
        <w:t xml:space="preserve">. </w:t>
      </w:r>
      <w:proofErr w:type="gramStart"/>
      <w:r w:rsidRPr="00FD1188">
        <w:rPr>
          <w:rFonts w:ascii="Times New Roman" w:eastAsia="Times New Roman" w:hAnsi="Times New Roman" w:cs="Times New Roman"/>
          <w:kern w:val="0"/>
          <w:sz w:val="24"/>
          <w:szCs w:val="24"/>
          <w:lang w:eastAsia="en-GB"/>
          <w14:ligatures w14:val="none"/>
        </w:rPr>
        <w:t>Simply Psychology.</w:t>
      </w:r>
      <w:proofErr w:type="gramEnd"/>
      <w:r w:rsidRPr="00FD1188">
        <w:rPr>
          <w:rFonts w:ascii="Times New Roman" w:eastAsia="Times New Roman" w:hAnsi="Times New Roman" w:cs="Times New Roman"/>
          <w:kern w:val="0"/>
          <w:sz w:val="24"/>
          <w:szCs w:val="24"/>
          <w:lang w:eastAsia="en-GB"/>
          <w14:ligatures w14:val="none"/>
        </w:rPr>
        <w:t xml:space="preserve"> Available at: https://www.simplypsychology.org/maslow.html </w:t>
      </w:r>
    </w:p>
    <w:p w:rsidR="00556866" w:rsidRDefault="00FD1188" w:rsidP="00FD1188">
      <w:pPr>
        <w:rPr>
          <w:rFonts w:ascii="Times New Roman" w:eastAsia="Times New Roman" w:hAnsi="Times New Roman" w:cs="Times New Roman"/>
          <w:kern w:val="0"/>
          <w:sz w:val="24"/>
          <w:szCs w:val="24"/>
          <w:lang w:eastAsia="en-GB"/>
          <w14:ligatures w14:val="none"/>
        </w:rPr>
      </w:pPr>
      <w:proofErr w:type="gramStart"/>
      <w:r w:rsidRPr="00FD1188">
        <w:rPr>
          <w:rFonts w:ascii="Times New Roman" w:eastAsia="Times New Roman" w:hAnsi="Symbol" w:cs="Times New Roman"/>
          <w:kern w:val="0"/>
          <w:sz w:val="24"/>
          <w:szCs w:val="24"/>
          <w:lang w:eastAsia="en-GB"/>
          <w14:ligatures w14:val="none"/>
        </w:rPr>
        <w:t></w:t>
      </w:r>
      <w:r w:rsidRPr="00FD1188">
        <w:rPr>
          <w:rFonts w:ascii="Times New Roman" w:eastAsia="Times New Roman" w:hAnsi="Times New Roman" w:cs="Times New Roman"/>
          <w:kern w:val="0"/>
          <w:sz w:val="24"/>
          <w:szCs w:val="24"/>
          <w:lang w:eastAsia="en-GB"/>
          <w14:ligatures w14:val="none"/>
        </w:rPr>
        <w:t xml:space="preserve">  Maslow</w:t>
      </w:r>
      <w:proofErr w:type="gramEnd"/>
      <w:r w:rsidRPr="00FD1188">
        <w:rPr>
          <w:rFonts w:ascii="Times New Roman" w:eastAsia="Times New Roman" w:hAnsi="Times New Roman" w:cs="Times New Roman"/>
          <w:kern w:val="0"/>
          <w:sz w:val="24"/>
          <w:szCs w:val="24"/>
          <w:lang w:eastAsia="en-GB"/>
          <w14:ligatures w14:val="none"/>
        </w:rPr>
        <w:t xml:space="preserve">, A.H. (1943) ‘A theory of human motivation’, </w:t>
      </w:r>
      <w:r w:rsidRPr="00FD1188">
        <w:rPr>
          <w:rFonts w:ascii="Times New Roman" w:eastAsia="Times New Roman" w:hAnsi="Times New Roman" w:cs="Times New Roman"/>
          <w:i/>
          <w:iCs/>
          <w:kern w:val="0"/>
          <w:sz w:val="24"/>
          <w:szCs w:val="24"/>
          <w:lang w:eastAsia="en-GB"/>
          <w14:ligatures w14:val="none"/>
        </w:rPr>
        <w:t>Psychological Review</w:t>
      </w:r>
      <w:r w:rsidRPr="00FD1188">
        <w:rPr>
          <w:rFonts w:ascii="Times New Roman" w:eastAsia="Times New Roman" w:hAnsi="Times New Roman" w:cs="Times New Roman"/>
          <w:kern w:val="0"/>
          <w:sz w:val="24"/>
          <w:szCs w:val="24"/>
          <w:lang w:eastAsia="en-GB"/>
          <w14:ligatures w14:val="none"/>
        </w:rPr>
        <w:t>, 50(4), pp.370–396.</w:t>
      </w:r>
    </w:p>
    <w:p w:rsidR="00B532C6" w:rsidRPr="00B532C6" w:rsidRDefault="00B532C6" w:rsidP="00B532C6">
      <w:pPr>
        <w:spacing w:after="0" w:line="240" w:lineRule="auto"/>
        <w:rPr>
          <w:rFonts w:ascii="Times New Roman" w:eastAsia="Times New Roman" w:hAnsi="Times New Roman" w:cs="Times New Roman"/>
          <w:kern w:val="0"/>
          <w:sz w:val="24"/>
          <w:szCs w:val="24"/>
          <w:lang w:eastAsia="en-GB"/>
          <w14:ligatures w14:val="none"/>
        </w:rPr>
      </w:pPr>
      <w:proofErr w:type="gramStart"/>
      <w:r w:rsidRPr="00B532C6">
        <w:rPr>
          <w:rFonts w:ascii="Times New Roman" w:eastAsia="Times New Roman" w:hAnsi="Symbol" w:cs="Times New Roman"/>
          <w:kern w:val="0"/>
          <w:sz w:val="24"/>
          <w:szCs w:val="24"/>
          <w:lang w:eastAsia="en-GB"/>
          <w14:ligatures w14:val="none"/>
        </w:rPr>
        <w:t></w:t>
      </w:r>
      <w:r w:rsidRPr="00B532C6">
        <w:rPr>
          <w:rFonts w:ascii="Times New Roman" w:eastAsia="Times New Roman" w:hAnsi="Times New Roman" w:cs="Times New Roman"/>
          <w:kern w:val="0"/>
          <w:sz w:val="24"/>
          <w:szCs w:val="24"/>
          <w:lang w:eastAsia="en-GB"/>
          <w14:ligatures w14:val="none"/>
        </w:rPr>
        <w:t xml:space="preserve">  Beauchamp</w:t>
      </w:r>
      <w:proofErr w:type="gramEnd"/>
      <w:r w:rsidRPr="00B532C6">
        <w:rPr>
          <w:rFonts w:ascii="Times New Roman" w:eastAsia="Times New Roman" w:hAnsi="Times New Roman" w:cs="Times New Roman"/>
          <w:kern w:val="0"/>
          <w:sz w:val="24"/>
          <w:szCs w:val="24"/>
          <w:lang w:eastAsia="en-GB"/>
          <w14:ligatures w14:val="none"/>
        </w:rPr>
        <w:t xml:space="preserve">, T.L. and Childress, J.F. (2019) </w:t>
      </w:r>
      <w:r w:rsidRPr="00B532C6">
        <w:rPr>
          <w:rFonts w:ascii="Times New Roman" w:eastAsia="Times New Roman" w:hAnsi="Times New Roman" w:cs="Times New Roman"/>
          <w:i/>
          <w:iCs/>
          <w:kern w:val="0"/>
          <w:sz w:val="24"/>
          <w:szCs w:val="24"/>
          <w:lang w:eastAsia="en-GB"/>
          <w14:ligatures w14:val="none"/>
        </w:rPr>
        <w:t>Principles of Biomedical Ethics</w:t>
      </w:r>
      <w:r w:rsidRPr="00B532C6">
        <w:rPr>
          <w:rFonts w:ascii="Times New Roman" w:eastAsia="Times New Roman" w:hAnsi="Times New Roman" w:cs="Times New Roman"/>
          <w:kern w:val="0"/>
          <w:sz w:val="24"/>
          <w:szCs w:val="24"/>
          <w:lang w:eastAsia="en-GB"/>
          <w14:ligatures w14:val="none"/>
        </w:rPr>
        <w:t xml:space="preserve">. </w:t>
      </w:r>
      <w:proofErr w:type="gramStart"/>
      <w:r w:rsidRPr="00B532C6">
        <w:rPr>
          <w:rFonts w:ascii="Times New Roman" w:eastAsia="Times New Roman" w:hAnsi="Times New Roman" w:cs="Times New Roman"/>
          <w:kern w:val="0"/>
          <w:sz w:val="24"/>
          <w:szCs w:val="24"/>
          <w:lang w:eastAsia="en-GB"/>
          <w14:ligatures w14:val="none"/>
        </w:rPr>
        <w:t xml:space="preserve">8th </w:t>
      </w:r>
      <w:proofErr w:type="spellStart"/>
      <w:r w:rsidRPr="00B532C6">
        <w:rPr>
          <w:rFonts w:ascii="Times New Roman" w:eastAsia="Times New Roman" w:hAnsi="Times New Roman" w:cs="Times New Roman"/>
          <w:kern w:val="0"/>
          <w:sz w:val="24"/>
          <w:szCs w:val="24"/>
          <w:lang w:eastAsia="en-GB"/>
          <w14:ligatures w14:val="none"/>
        </w:rPr>
        <w:t>edn</w:t>
      </w:r>
      <w:proofErr w:type="spellEnd"/>
      <w:r w:rsidRPr="00B532C6">
        <w:rPr>
          <w:rFonts w:ascii="Times New Roman" w:eastAsia="Times New Roman" w:hAnsi="Times New Roman" w:cs="Times New Roman"/>
          <w:kern w:val="0"/>
          <w:sz w:val="24"/>
          <w:szCs w:val="24"/>
          <w:lang w:eastAsia="en-GB"/>
          <w14:ligatures w14:val="none"/>
        </w:rPr>
        <w:t>.</w:t>
      </w:r>
      <w:proofErr w:type="gramEnd"/>
      <w:r w:rsidRPr="00B532C6">
        <w:rPr>
          <w:rFonts w:ascii="Times New Roman" w:eastAsia="Times New Roman" w:hAnsi="Times New Roman" w:cs="Times New Roman"/>
          <w:kern w:val="0"/>
          <w:sz w:val="24"/>
          <w:szCs w:val="24"/>
          <w:lang w:eastAsia="en-GB"/>
          <w14:ligatures w14:val="none"/>
        </w:rPr>
        <w:t xml:space="preserve"> Oxford: Oxford University Press. </w:t>
      </w:r>
    </w:p>
    <w:p w:rsidR="00B532C6" w:rsidRPr="00B532C6" w:rsidRDefault="00B532C6" w:rsidP="00B532C6">
      <w:pPr>
        <w:spacing w:after="0" w:line="240" w:lineRule="auto"/>
        <w:rPr>
          <w:rFonts w:ascii="Times New Roman" w:eastAsia="Times New Roman" w:hAnsi="Times New Roman" w:cs="Times New Roman"/>
          <w:kern w:val="0"/>
          <w:sz w:val="24"/>
          <w:szCs w:val="24"/>
          <w:lang w:eastAsia="en-GB"/>
          <w14:ligatures w14:val="none"/>
        </w:rPr>
      </w:pPr>
      <w:proofErr w:type="gramStart"/>
      <w:r w:rsidRPr="00B532C6">
        <w:rPr>
          <w:rFonts w:ascii="Times New Roman" w:eastAsia="Times New Roman" w:hAnsi="Symbol" w:cs="Times New Roman"/>
          <w:kern w:val="0"/>
          <w:sz w:val="24"/>
          <w:szCs w:val="24"/>
          <w:lang w:eastAsia="en-GB"/>
          <w14:ligatures w14:val="none"/>
        </w:rPr>
        <w:t></w:t>
      </w:r>
      <w:r w:rsidRPr="00B532C6">
        <w:rPr>
          <w:rFonts w:ascii="Times New Roman" w:eastAsia="Times New Roman" w:hAnsi="Times New Roman" w:cs="Times New Roman"/>
          <w:kern w:val="0"/>
          <w:sz w:val="24"/>
          <w:szCs w:val="24"/>
          <w:lang w:eastAsia="en-GB"/>
          <w14:ligatures w14:val="none"/>
        </w:rPr>
        <w:t xml:space="preserve">  American</w:t>
      </w:r>
      <w:proofErr w:type="gramEnd"/>
      <w:r w:rsidRPr="00B532C6">
        <w:rPr>
          <w:rFonts w:ascii="Times New Roman" w:eastAsia="Times New Roman" w:hAnsi="Times New Roman" w:cs="Times New Roman"/>
          <w:kern w:val="0"/>
          <w:sz w:val="24"/>
          <w:szCs w:val="24"/>
          <w:lang w:eastAsia="en-GB"/>
          <w14:ligatures w14:val="none"/>
        </w:rPr>
        <w:t xml:space="preserve"> University of Antigua (2025) ‘Medical Ethics: Key Principles &amp; Ethical Dilemmas’. Available at: </w:t>
      </w:r>
      <w:hyperlink r:id="rId12" w:tgtFrame="_blank" w:history="1">
        <w:r w:rsidRPr="00B532C6">
          <w:rPr>
            <w:rFonts w:ascii="Times New Roman" w:eastAsia="Times New Roman" w:hAnsi="Times New Roman" w:cs="Times New Roman"/>
            <w:color w:val="0000FF"/>
            <w:kern w:val="0"/>
            <w:sz w:val="24"/>
            <w:szCs w:val="24"/>
            <w:u w:val="single"/>
            <w:lang w:eastAsia="en-GB"/>
            <w14:ligatures w14:val="none"/>
          </w:rPr>
          <w:t>https://www.auamed.org/blog/medical-ethics/</w:t>
        </w:r>
      </w:hyperlink>
      <w:r w:rsidRPr="00B532C6">
        <w:rPr>
          <w:rFonts w:ascii="Times New Roman" w:eastAsia="Times New Roman" w:hAnsi="Times New Roman" w:cs="Times New Roman"/>
          <w:kern w:val="0"/>
          <w:sz w:val="24"/>
          <w:szCs w:val="24"/>
          <w:lang w:eastAsia="en-GB"/>
          <w14:ligatures w14:val="none"/>
        </w:rPr>
        <w:t xml:space="preserve"> (Accessed: 16 November 2025). </w:t>
      </w:r>
    </w:p>
    <w:p w:rsidR="00B532C6" w:rsidRPr="00B532C6" w:rsidRDefault="00B532C6" w:rsidP="00B532C6">
      <w:pPr>
        <w:spacing w:after="0" w:line="240" w:lineRule="auto"/>
        <w:rPr>
          <w:rFonts w:ascii="Times New Roman" w:eastAsia="Times New Roman" w:hAnsi="Times New Roman" w:cs="Times New Roman"/>
          <w:kern w:val="0"/>
          <w:sz w:val="24"/>
          <w:szCs w:val="24"/>
          <w:lang w:eastAsia="en-GB"/>
          <w14:ligatures w14:val="none"/>
        </w:rPr>
      </w:pPr>
      <w:proofErr w:type="gramStart"/>
      <w:r w:rsidRPr="00B532C6">
        <w:rPr>
          <w:rFonts w:ascii="Times New Roman" w:eastAsia="Times New Roman" w:hAnsi="Symbol" w:cs="Times New Roman"/>
          <w:kern w:val="0"/>
          <w:sz w:val="24"/>
          <w:szCs w:val="24"/>
          <w:lang w:eastAsia="en-GB"/>
          <w14:ligatures w14:val="none"/>
        </w:rPr>
        <w:t></w:t>
      </w:r>
      <w:r w:rsidRPr="00B532C6">
        <w:rPr>
          <w:rFonts w:ascii="Times New Roman" w:eastAsia="Times New Roman" w:hAnsi="Times New Roman" w:cs="Times New Roman"/>
          <w:kern w:val="0"/>
          <w:sz w:val="24"/>
          <w:szCs w:val="24"/>
          <w:lang w:eastAsia="en-GB"/>
          <w14:ligatures w14:val="none"/>
        </w:rPr>
        <w:t xml:space="preserve">  </w:t>
      </w:r>
      <w:proofErr w:type="spellStart"/>
      <w:r w:rsidRPr="00B532C6">
        <w:rPr>
          <w:rFonts w:ascii="Times New Roman" w:eastAsia="Times New Roman" w:hAnsi="Times New Roman" w:cs="Times New Roman"/>
          <w:kern w:val="0"/>
          <w:sz w:val="24"/>
          <w:szCs w:val="24"/>
          <w:lang w:eastAsia="en-GB"/>
          <w14:ligatures w14:val="none"/>
        </w:rPr>
        <w:t>Centers</w:t>
      </w:r>
      <w:proofErr w:type="spellEnd"/>
      <w:proofErr w:type="gramEnd"/>
      <w:r w:rsidRPr="00B532C6">
        <w:rPr>
          <w:rFonts w:ascii="Times New Roman" w:eastAsia="Times New Roman" w:hAnsi="Times New Roman" w:cs="Times New Roman"/>
          <w:kern w:val="0"/>
          <w:sz w:val="24"/>
          <w:szCs w:val="24"/>
          <w:lang w:eastAsia="en-GB"/>
          <w14:ligatures w14:val="none"/>
        </w:rPr>
        <w:t xml:space="preserve"> for Disease Control and Prevention (CDC) (2022) ‘Ethical Principles’. Available at: </w:t>
      </w:r>
      <w:hyperlink r:id="rId13" w:tgtFrame="_blank" w:history="1">
        <w:r w:rsidRPr="00B532C6">
          <w:rPr>
            <w:rFonts w:ascii="Times New Roman" w:eastAsia="Times New Roman" w:hAnsi="Times New Roman" w:cs="Times New Roman"/>
            <w:color w:val="0000FF"/>
            <w:kern w:val="0"/>
            <w:sz w:val="24"/>
            <w:szCs w:val="24"/>
            <w:u w:val="single"/>
            <w:lang w:eastAsia="en-GB"/>
            <w14:ligatures w14:val="none"/>
          </w:rPr>
          <w:t>https://www.cdc.gov/niosh/learning/safetyculturehc/module-5/11.html</w:t>
        </w:r>
      </w:hyperlink>
      <w:r w:rsidRPr="00B532C6">
        <w:rPr>
          <w:rFonts w:ascii="Times New Roman" w:eastAsia="Times New Roman" w:hAnsi="Times New Roman" w:cs="Times New Roman"/>
          <w:kern w:val="0"/>
          <w:sz w:val="24"/>
          <w:szCs w:val="24"/>
          <w:lang w:eastAsia="en-GB"/>
          <w14:ligatures w14:val="none"/>
        </w:rPr>
        <w:t xml:space="preserve"> (Accessed: 16 November 2025). </w:t>
      </w:r>
    </w:p>
    <w:p w:rsidR="00B532C6" w:rsidRDefault="00B532C6" w:rsidP="00B532C6">
      <w:pPr>
        <w:rPr>
          <w:rFonts w:ascii="Times New Roman" w:eastAsia="Times New Roman" w:hAnsi="Times New Roman" w:cs="Times New Roman"/>
          <w:kern w:val="0"/>
          <w:sz w:val="24"/>
          <w:szCs w:val="24"/>
          <w:lang w:eastAsia="en-GB"/>
          <w14:ligatures w14:val="none"/>
        </w:rPr>
      </w:pPr>
      <w:proofErr w:type="gramStart"/>
      <w:r w:rsidRPr="00B532C6">
        <w:rPr>
          <w:rFonts w:ascii="Times New Roman" w:eastAsia="Times New Roman" w:hAnsi="Symbol" w:cs="Times New Roman"/>
          <w:kern w:val="0"/>
          <w:sz w:val="24"/>
          <w:szCs w:val="24"/>
          <w:lang w:eastAsia="en-GB"/>
          <w14:ligatures w14:val="none"/>
        </w:rPr>
        <w:t></w:t>
      </w:r>
      <w:r w:rsidRPr="00B532C6">
        <w:rPr>
          <w:rFonts w:ascii="Times New Roman" w:eastAsia="Times New Roman" w:hAnsi="Times New Roman" w:cs="Times New Roman"/>
          <w:kern w:val="0"/>
          <w:sz w:val="24"/>
          <w:szCs w:val="24"/>
          <w:lang w:eastAsia="en-GB"/>
          <w14:ligatures w14:val="none"/>
        </w:rPr>
        <w:t xml:space="preserve">  Nursing</w:t>
      </w:r>
      <w:proofErr w:type="gramEnd"/>
      <w:r w:rsidRPr="00B532C6">
        <w:rPr>
          <w:rFonts w:ascii="Times New Roman" w:eastAsia="Times New Roman" w:hAnsi="Times New Roman" w:cs="Times New Roman"/>
          <w:kern w:val="0"/>
          <w:sz w:val="24"/>
          <w:szCs w:val="24"/>
          <w:lang w:eastAsia="en-GB"/>
          <w14:ligatures w14:val="none"/>
        </w:rPr>
        <w:t xml:space="preserve"> and Midwifery Council (NMC) (2018) </w:t>
      </w:r>
      <w:r w:rsidRPr="00B532C6">
        <w:rPr>
          <w:rFonts w:ascii="Times New Roman" w:eastAsia="Times New Roman" w:hAnsi="Times New Roman" w:cs="Times New Roman"/>
          <w:i/>
          <w:iCs/>
          <w:kern w:val="0"/>
          <w:sz w:val="24"/>
          <w:szCs w:val="24"/>
          <w:lang w:eastAsia="en-GB"/>
          <w14:ligatures w14:val="none"/>
        </w:rPr>
        <w:t>The Code: Professional standards of practice and behaviour for nurses, midwives and nursing associates</w:t>
      </w:r>
      <w:r w:rsidRPr="00B532C6">
        <w:rPr>
          <w:rFonts w:ascii="Times New Roman" w:eastAsia="Times New Roman" w:hAnsi="Times New Roman" w:cs="Times New Roman"/>
          <w:kern w:val="0"/>
          <w:sz w:val="24"/>
          <w:szCs w:val="24"/>
          <w:lang w:eastAsia="en-GB"/>
          <w14:ligatures w14:val="none"/>
        </w:rPr>
        <w:t>. Available at: https://www.nmc.org.uk/standards/code/ (Accessed: 16 November 2025).</w:t>
      </w:r>
    </w:p>
    <w:p w:rsidR="00B532C6" w:rsidRPr="00B532C6" w:rsidRDefault="00B532C6" w:rsidP="00B532C6">
      <w:pPr>
        <w:spacing w:after="0" w:line="240" w:lineRule="auto"/>
        <w:rPr>
          <w:rFonts w:ascii="Times New Roman" w:eastAsia="Times New Roman" w:hAnsi="Times New Roman" w:cs="Times New Roman"/>
          <w:kern w:val="0"/>
          <w:sz w:val="24"/>
          <w:szCs w:val="24"/>
          <w:lang w:eastAsia="en-GB"/>
          <w14:ligatures w14:val="none"/>
        </w:rPr>
      </w:pPr>
      <w:proofErr w:type="gramStart"/>
      <w:r w:rsidRPr="00B532C6">
        <w:rPr>
          <w:rFonts w:ascii="Times New Roman" w:eastAsia="Times New Roman" w:hAnsi="Symbol" w:cs="Times New Roman"/>
          <w:kern w:val="0"/>
          <w:sz w:val="24"/>
          <w:szCs w:val="24"/>
          <w:lang w:eastAsia="en-GB"/>
          <w14:ligatures w14:val="none"/>
        </w:rPr>
        <w:t></w:t>
      </w:r>
      <w:r w:rsidRPr="00B532C6">
        <w:rPr>
          <w:rFonts w:ascii="Times New Roman" w:eastAsia="Times New Roman" w:hAnsi="Times New Roman" w:cs="Times New Roman"/>
          <w:kern w:val="0"/>
          <w:sz w:val="24"/>
          <w:szCs w:val="24"/>
          <w:lang w:eastAsia="en-GB"/>
          <w14:ligatures w14:val="none"/>
        </w:rPr>
        <w:t xml:space="preserve">  NHS</w:t>
      </w:r>
      <w:proofErr w:type="gramEnd"/>
      <w:r w:rsidRPr="00B532C6">
        <w:rPr>
          <w:rFonts w:ascii="Times New Roman" w:eastAsia="Times New Roman" w:hAnsi="Times New Roman" w:cs="Times New Roman"/>
          <w:kern w:val="0"/>
          <w:sz w:val="24"/>
          <w:szCs w:val="24"/>
          <w:lang w:eastAsia="en-GB"/>
          <w14:ligatures w14:val="none"/>
        </w:rPr>
        <w:t xml:space="preserve"> England (2022) </w:t>
      </w:r>
      <w:r w:rsidRPr="00B532C6">
        <w:rPr>
          <w:rFonts w:ascii="Times New Roman" w:eastAsia="Times New Roman" w:hAnsi="Times New Roman" w:cs="Times New Roman"/>
          <w:i/>
          <w:iCs/>
          <w:kern w:val="0"/>
          <w:sz w:val="24"/>
          <w:szCs w:val="24"/>
          <w:lang w:eastAsia="en-GB"/>
          <w14:ligatures w14:val="none"/>
        </w:rPr>
        <w:t>Working in partnership with people and communities: Statutory guidance</w:t>
      </w:r>
      <w:r w:rsidRPr="00B532C6">
        <w:rPr>
          <w:rFonts w:ascii="Times New Roman" w:eastAsia="Times New Roman" w:hAnsi="Times New Roman" w:cs="Times New Roman"/>
          <w:kern w:val="0"/>
          <w:sz w:val="24"/>
          <w:szCs w:val="24"/>
          <w:lang w:eastAsia="en-GB"/>
          <w14:ligatures w14:val="none"/>
        </w:rPr>
        <w:t xml:space="preserve">. Available at: </w:t>
      </w:r>
      <w:hyperlink r:id="rId14" w:tgtFrame="_blank" w:history="1">
        <w:r w:rsidRPr="00B532C6">
          <w:rPr>
            <w:rFonts w:ascii="Times New Roman" w:eastAsia="Times New Roman" w:hAnsi="Times New Roman" w:cs="Times New Roman"/>
            <w:color w:val="0000FF"/>
            <w:kern w:val="0"/>
            <w:sz w:val="24"/>
            <w:szCs w:val="24"/>
            <w:u w:val="single"/>
            <w:lang w:eastAsia="en-GB"/>
            <w14:ligatures w14:val="none"/>
          </w:rPr>
          <w:t>https://www.england.nhs.uk/long-read/working-in-partnership-with-people-and-communities-statutory-guidance/</w:t>
        </w:r>
      </w:hyperlink>
      <w:r w:rsidRPr="00B532C6">
        <w:rPr>
          <w:rFonts w:ascii="Times New Roman" w:eastAsia="Times New Roman" w:hAnsi="Times New Roman" w:cs="Times New Roman"/>
          <w:kern w:val="0"/>
          <w:sz w:val="24"/>
          <w:szCs w:val="24"/>
          <w:lang w:eastAsia="en-GB"/>
          <w14:ligatures w14:val="none"/>
        </w:rPr>
        <w:t xml:space="preserve"> (Accessed: 16 November 2025). </w:t>
      </w:r>
    </w:p>
    <w:p w:rsidR="00B532C6" w:rsidRDefault="00B532C6" w:rsidP="00B532C6">
      <w:pPr>
        <w:rPr>
          <w:rFonts w:ascii="Times New Roman" w:eastAsia="Times New Roman" w:hAnsi="Times New Roman" w:cs="Times New Roman"/>
          <w:kern w:val="0"/>
          <w:sz w:val="24"/>
          <w:szCs w:val="24"/>
          <w:lang w:eastAsia="en-GB"/>
          <w14:ligatures w14:val="none"/>
        </w:rPr>
      </w:pPr>
      <w:proofErr w:type="gramStart"/>
      <w:r w:rsidRPr="00B532C6">
        <w:rPr>
          <w:rFonts w:ascii="Times New Roman" w:eastAsia="Times New Roman" w:hAnsi="Symbol" w:cs="Times New Roman"/>
          <w:kern w:val="0"/>
          <w:sz w:val="24"/>
          <w:szCs w:val="24"/>
          <w:lang w:eastAsia="en-GB"/>
          <w14:ligatures w14:val="none"/>
        </w:rPr>
        <w:t></w:t>
      </w:r>
      <w:r w:rsidRPr="00B532C6">
        <w:rPr>
          <w:rFonts w:ascii="Times New Roman" w:eastAsia="Times New Roman" w:hAnsi="Times New Roman" w:cs="Times New Roman"/>
          <w:kern w:val="0"/>
          <w:sz w:val="24"/>
          <w:szCs w:val="24"/>
          <w:lang w:eastAsia="en-GB"/>
          <w14:ligatures w14:val="none"/>
        </w:rPr>
        <w:t xml:space="preserve">  Care</w:t>
      </w:r>
      <w:proofErr w:type="gramEnd"/>
      <w:r w:rsidRPr="00B532C6">
        <w:rPr>
          <w:rFonts w:ascii="Times New Roman" w:eastAsia="Times New Roman" w:hAnsi="Times New Roman" w:cs="Times New Roman"/>
          <w:kern w:val="0"/>
          <w:sz w:val="24"/>
          <w:szCs w:val="24"/>
          <w:lang w:eastAsia="en-GB"/>
          <w14:ligatures w14:val="none"/>
        </w:rPr>
        <w:t xml:space="preserve"> Learning (2025) </w:t>
      </w:r>
      <w:r w:rsidRPr="00B532C6">
        <w:rPr>
          <w:rFonts w:ascii="Times New Roman" w:eastAsia="Times New Roman" w:hAnsi="Times New Roman" w:cs="Times New Roman"/>
          <w:i/>
          <w:iCs/>
          <w:kern w:val="0"/>
          <w:sz w:val="24"/>
          <w:szCs w:val="24"/>
          <w:lang w:eastAsia="en-GB"/>
          <w14:ligatures w14:val="none"/>
        </w:rPr>
        <w:t>What is Partnership Working in Health and Social Care?</w:t>
      </w:r>
      <w:r w:rsidRPr="00B532C6">
        <w:rPr>
          <w:rFonts w:ascii="Times New Roman" w:eastAsia="Times New Roman" w:hAnsi="Times New Roman" w:cs="Times New Roman"/>
          <w:kern w:val="0"/>
          <w:sz w:val="24"/>
          <w:szCs w:val="24"/>
          <w:lang w:eastAsia="en-GB"/>
          <w14:ligatures w14:val="none"/>
        </w:rPr>
        <w:t xml:space="preserve">. Available at: </w:t>
      </w:r>
      <w:hyperlink r:id="rId15" w:tgtFrame="_blank" w:history="1">
        <w:r w:rsidRPr="00B532C6">
          <w:rPr>
            <w:rFonts w:ascii="Times New Roman" w:eastAsia="Times New Roman" w:hAnsi="Times New Roman" w:cs="Times New Roman"/>
            <w:color w:val="0000FF"/>
            <w:kern w:val="0"/>
            <w:sz w:val="24"/>
            <w:szCs w:val="24"/>
            <w:u w:val="single"/>
            <w:lang w:eastAsia="en-GB"/>
            <w14:ligatures w14:val="none"/>
          </w:rPr>
          <w:t>https://carelearning.org.uk/blog/settings/what-is-partnership-working-in-health-and-social-care/</w:t>
        </w:r>
      </w:hyperlink>
      <w:r w:rsidRPr="00B532C6">
        <w:rPr>
          <w:rFonts w:ascii="Times New Roman" w:eastAsia="Times New Roman" w:hAnsi="Times New Roman" w:cs="Times New Roman"/>
          <w:kern w:val="0"/>
          <w:sz w:val="24"/>
          <w:szCs w:val="24"/>
          <w:lang w:eastAsia="en-GB"/>
          <w14:ligatures w14:val="none"/>
        </w:rPr>
        <w:t xml:space="preserve"> (Accessed: 16 November 2025).</w:t>
      </w:r>
    </w:p>
    <w:p w:rsidR="00E44F08" w:rsidRPr="00E44F08" w:rsidRDefault="00E44F08" w:rsidP="00E44F08">
      <w:pPr>
        <w:spacing w:after="0" w:line="240" w:lineRule="auto"/>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lastRenderedPageBreak/>
        <w:t></w:t>
      </w:r>
      <w:r w:rsidRPr="00E44F08">
        <w:rPr>
          <w:rFonts w:ascii="Times New Roman" w:eastAsia="Times New Roman" w:hAnsi="Times New Roman" w:cs="Times New Roman"/>
          <w:kern w:val="0"/>
          <w:sz w:val="24"/>
          <w:szCs w:val="24"/>
          <w:lang w:eastAsia="en-GB"/>
          <w14:ligatures w14:val="none"/>
        </w:rPr>
        <w:t xml:space="preserve">  GOV.UK</w:t>
      </w:r>
      <w:proofErr w:type="gramEnd"/>
      <w:r w:rsidRPr="00E44F08">
        <w:rPr>
          <w:rFonts w:ascii="Times New Roman" w:eastAsia="Times New Roman" w:hAnsi="Times New Roman" w:cs="Times New Roman"/>
          <w:kern w:val="0"/>
          <w:sz w:val="24"/>
          <w:szCs w:val="24"/>
          <w:lang w:eastAsia="en-GB"/>
          <w14:ligatures w14:val="none"/>
        </w:rPr>
        <w:t xml:space="preserve"> (2022) </w:t>
      </w:r>
      <w:r w:rsidRPr="00E44F08">
        <w:rPr>
          <w:rFonts w:ascii="Times New Roman" w:eastAsia="Times New Roman" w:hAnsi="Times New Roman" w:cs="Times New Roman"/>
          <w:i/>
          <w:iCs/>
          <w:kern w:val="0"/>
          <w:sz w:val="24"/>
          <w:szCs w:val="24"/>
          <w:lang w:eastAsia="en-GB"/>
          <w14:ligatures w14:val="none"/>
        </w:rPr>
        <w:t>Health and Care Act 2022</w:t>
      </w:r>
      <w:r w:rsidRPr="00E44F08">
        <w:rPr>
          <w:rFonts w:ascii="Times New Roman" w:eastAsia="Times New Roman" w:hAnsi="Times New Roman" w:cs="Times New Roman"/>
          <w:kern w:val="0"/>
          <w:sz w:val="24"/>
          <w:szCs w:val="24"/>
          <w:lang w:eastAsia="en-GB"/>
          <w14:ligatures w14:val="none"/>
        </w:rPr>
        <w:t xml:space="preserve">. Available at: </w:t>
      </w:r>
      <w:hyperlink r:id="rId16" w:tgtFrame="_blank" w:history="1">
        <w:r w:rsidRPr="00E44F08">
          <w:rPr>
            <w:rFonts w:ascii="Times New Roman" w:eastAsia="Times New Roman" w:hAnsi="Times New Roman" w:cs="Times New Roman"/>
            <w:color w:val="0000FF"/>
            <w:kern w:val="0"/>
            <w:sz w:val="24"/>
            <w:szCs w:val="24"/>
            <w:u w:val="single"/>
            <w:lang w:eastAsia="en-GB"/>
            <w14:ligatures w14:val="none"/>
          </w:rPr>
          <w:t>https://www.gov.uk/government/collections/health-and-care-act-2022</w:t>
        </w:r>
      </w:hyperlink>
      <w:r w:rsidRPr="00E44F08">
        <w:rPr>
          <w:rFonts w:ascii="Times New Roman" w:eastAsia="Times New Roman" w:hAnsi="Times New Roman" w:cs="Times New Roman"/>
          <w:kern w:val="0"/>
          <w:sz w:val="24"/>
          <w:szCs w:val="24"/>
          <w:lang w:eastAsia="en-GB"/>
          <w14:ligatures w14:val="none"/>
        </w:rPr>
        <w:t xml:space="preserve"> (Accessed: 16 November 2025). </w:t>
      </w:r>
    </w:p>
    <w:p w:rsidR="00E44F08" w:rsidRPr="00E44F08" w:rsidRDefault="00E44F08" w:rsidP="00E44F08">
      <w:pPr>
        <w:spacing w:after="0" w:line="240" w:lineRule="auto"/>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t></w:t>
      </w:r>
      <w:r w:rsidRPr="00E44F08">
        <w:rPr>
          <w:rFonts w:ascii="Times New Roman" w:eastAsia="Times New Roman" w:hAnsi="Times New Roman" w:cs="Times New Roman"/>
          <w:kern w:val="0"/>
          <w:sz w:val="24"/>
          <w:szCs w:val="24"/>
          <w:lang w:eastAsia="en-GB"/>
          <w14:ligatures w14:val="none"/>
        </w:rPr>
        <w:t xml:space="preserve">  GOV.UK</w:t>
      </w:r>
      <w:proofErr w:type="gramEnd"/>
      <w:r w:rsidRPr="00E44F08">
        <w:rPr>
          <w:rFonts w:ascii="Times New Roman" w:eastAsia="Times New Roman" w:hAnsi="Times New Roman" w:cs="Times New Roman"/>
          <w:kern w:val="0"/>
          <w:sz w:val="24"/>
          <w:szCs w:val="24"/>
          <w:lang w:eastAsia="en-GB"/>
          <w14:ligatures w14:val="none"/>
        </w:rPr>
        <w:t xml:space="preserve"> (2014) </w:t>
      </w:r>
      <w:r w:rsidRPr="00E44F08">
        <w:rPr>
          <w:rFonts w:ascii="Times New Roman" w:eastAsia="Times New Roman" w:hAnsi="Times New Roman" w:cs="Times New Roman"/>
          <w:i/>
          <w:iCs/>
          <w:kern w:val="0"/>
          <w:sz w:val="24"/>
          <w:szCs w:val="24"/>
          <w:lang w:eastAsia="en-GB"/>
          <w14:ligatures w14:val="none"/>
        </w:rPr>
        <w:t>Care Act 2014</w:t>
      </w:r>
      <w:r w:rsidRPr="00E44F08">
        <w:rPr>
          <w:rFonts w:ascii="Times New Roman" w:eastAsia="Times New Roman" w:hAnsi="Times New Roman" w:cs="Times New Roman"/>
          <w:kern w:val="0"/>
          <w:sz w:val="24"/>
          <w:szCs w:val="24"/>
          <w:lang w:eastAsia="en-GB"/>
          <w14:ligatures w14:val="none"/>
        </w:rPr>
        <w:t xml:space="preserve">. Available at: https://www.legislation.gov.uk/ukpga/2014/23/contents (Accessed: 16 November 2025). </w:t>
      </w:r>
    </w:p>
    <w:p w:rsidR="00E44F08" w:rsidRPr="00E44F08" w:rsidRDefault="00E44F08" w:rsidP="00E44F08">
      <w:pPr>
        <w:spacing w:after="0" w:line="240" w:lineRule="auto"/>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t></w:t>
      </w:r>
      <w:r w:rsidRPr="00E44F08">
        <w:rPr>
          <w:rFonts w:ascii="Times New Roman" w:eastAsia="Times New Roman" w:hAnsi="Times New Roman" w:cs="Times New Roman"/>
          <w:kern w:val="0"/>
          <w:sz w:val="24"/>
          <w:szCs w:val="24"/>
          <w:lang w:eastAsia="en-GB"/>
          <w14:ligatures w14:val="none"/>
        </w:rPr>
        <w:t xml:space="preserve">  GOV.UK</w:t>
      </w:r>
      <w:proofErr w:type="gramEnd"/>
      <w:r w:rsidRPr="00E44F08">
        <w:rPr>
          <w:rFonts w:ascii="Times New Roman" w:eastAsia="Times New Roman" w:hAnsi="Times New Roman" w:cs="Times New Roman"/>
          <w:kern w:val="0"/>
          <w:sz w:val="24"/>
          <w:szCs w:val="24"/>
          <w:lang w:eastAsia="en-GB"/>
          <w14:ligatures w14:val="none"/>
        </w:rPr>
        <w:t xml:space="preserve"> (2010) </w:t>
      </w:r>
      <w:r w:rsidRPr="00E44F08">
        <w:rPr>
          <w:rFonts w:ascii="Times New Roman" w:eastAsia="Times New Roman" w:hAnsi="Times New Roman" w:cs="Times New Roman"/>
          <w:i/>
          <w:iCs/>
          <w:kern w:val="0"/>
          <w:sz w:val="24"/>
          <w:szCs w:val="24"/>
          <w:lang w:eastAsia="en-GB"/>
          <w14:ligatures w14:val="none"/>
        </w:rPr>
        <w:t>Equality Act 2010</w:t>
      </w:r>
      <w:r w:rsidRPr="00E44F08">
        <w:rPr>
          <w:rFonts w:ascii="Times New Roman" w:eastAsia="Times New Roman" w:hAnsi="Times New Roman" w:cs="Times New Roman"/>
          <w:kern w:val="0"/>
          <w:sz w:val="24"/>
          <w:szCs w:val="24"/>
          <w:lang w:eastAsia="en-GB"/>
          <w14:ligatures w14:val="none"/>
        </w:rPr>
        <w:t xml:space="preserve">. Available at: https://www.legislation.gov.uk/ukpga/2010/15/contents (Accessed: 16 November 2025). </w:t>
      </w:r>
    </w:p>
    <w:p w:rsidR="00FD1188" w:rsidRDefault="00E44F08" w:rsidP="00E44F08">
      <w:pPr>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t></w:t>
      </w:r>
      <w:r w:rsidRPr="00E44F08">
        <w:rPr>
          <w:rFonts w:ascii="Times New Roman" w:eastAsia="Times New Roman" w:hAnsi="Times New Roman" w:cs="Times New Roman"/>
          <w:kern w:val="0"/>
          <w:sz w:val="24"/>
          <w:szCs w:val="24"/>
          <w:lang w:eastAsia="en-GB"/>
          <w14:ligatures w14:val="none"/>
        </w:rPr>
        <w:t xml:space="preserve">  GOV.UK</w:t>
      </w:r>
      <w:proofErr w:type="gramEnd"/>
      <w:r w:rsidRPr="00E44F08">
        <w:rPr>
          <w:rFonts w:ascii="Times New Roman" w:eastAsia="Times New Roman" w:hAnsi="Times New Roman" w:cs="Times New Roman"/>
          <w:kern w:val="0"/>
          <w:sz w:val="24"/>
          <w:szCs w:val="24"/>
          <w:lang w:eastAsia="en-GB"/>
          <w14:ligatures w14:val="none"/>
        </w:rPr>
        <w:t xml:space="preserve"> (1998) </w:t>
      </w:r>
      <w:r w:rsidRPr="00E44F08">
        <w:rPr>
          <w:rFonts w:ascii="Times New Roman" w:eastAsia="Times New Roman" w:hAnsi="Times New Roman" w:cs="Times New Roman"/>
          <w:i/>
          <w:iCs/>
          <w:kern w:val="0"/>
          <w:sz w:val="24"/>
          <w:szCs w:val="24"/>
          <w:lang w:eastAsia="en-GB"/>
          <w14:ligatures w14:val="none"/>
        </w:rPr>
        <w:t>Human Rights Act 1998</w:t>
      </w:r>
      <w:r w:rsidRPr="00E44F08">
        <w:rPr>
          <w:rFonts w:ascii="Times New Roman" w:eastAsia="Times New Roman" w:hAnsi="Times New Roman" w:cs="Times New Roman"/>
          <w:kern w:val="0"/>
          <w:sz w:val="24"/>
          <w:szCs w:val="24"/>
          <w:lang w:eastAsia="en-GB"/>
          <w14:ligatures w14:val="none"/>
        </w:rPr>
        <w:t>. Available at: https://www.legislation.gov.uk/ukpga/1998/42/contents (Accessed: 16 November 2025).</w:t>
      </w:r>
    </w:p>
    <w:p w:rsidR="00E44F08" w:rsidRPr="00E44F08" w:rsidRDefault="00E44F08" w:rsidP="00E44F08">
      <w:pPr>
        <w:spacing w:after="0" w:line="240" w:lineRule="auto"/>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t></w:t>
      </w:r>
      <w:r w:rsidRPr="00E44F08">
        <w:rPr>
          <w:rFonts w:ascii="Times New Roman" w:eastAsia="Times New Roman" w:hAnsi="Times New Roman" w:cs="Times New Roman"/>
          <w:kern w:val="0"/>
          <w:sz w:val="24"/>
          <w:szCs w:val="24"/>
          <w:lang w:eastAsia="en-GB"/>
          <w14:ligatures w14:val="none"/>
        </w:rPr>
        <w:t xml:space="preserve">  Chapman</w:t>
      </w:r>
      <w:proofErr w:type="gramEnd"/>
      <w:r w:rsidRPr="00E44F08">
        <w:rPr>
          <w:rFonts w:ascii="Times New Roman" w:eastAsia="Times New Roman" w:hAnsi="Times New Roman" w:cs="Times New Roman"/>
          <w:kern w:val="0"/>
          <w:sz w:val="24"/>
          <w:szCs w:val="24"/>
          <w:lang w:eastAsia="en-GB"/>
          <w14:ligatures w14:val="none"/>
        </w:rPr>
        <w:t xml:space="preserve">, H. (2017) </w:t>
      </w:r>
      <w:r w:rsidRPr="00E44F08">
        <w:rPr>
          <w:rFonts w:ascii="Times New Roman" w:eastAsia="Times New Roman" w:hAnsi="Times New Roman" w:cs="Times New Roman"/>
          <w:i/>
          <w:iCs/>
          <w:kern w:val="0"/>
          <w:sz w:val="24"/>
          <w:szCs w:val="24"/>
          <w:lang w:eastAsia="en-GB"/>
          <w14:ligatures w14:val="none"/>
        </w:rPr>
        <w:t>Nursing theories 1: person-centred care</w:t>
      </w:r>
      <w:r w:rsidRPr="00E44F08">
        <w:rPr>
          <w:rFonts w:ascii="Times New Roman" w:eastAsia="Times New Roman" w:hAnsi="Times New Roman" w:cs="Times New Roman"/>
          <w:kern w:val="0"/>
          <w:sz w:val="24"/>
          <w:szCs w:val="24"/>
          <w:lang w:eastAsia="en-GB"/>
          <w14:ligatures w14:val="none"/>
        </w:rPr>
        <w:t xml:space="preserve">. </w:t>
      </w:r>
      <w:proofErr w:type="gramStart"/>
      <w:r w:rsidRPr="00E44F08">
        <w:rPr>
          <w:rFonts w:ascii="Times New Roman" w:eastAsia="Times New Roman" w:hAnsi="Times New Roman" w:cs="Times New Roman"/>
          <w:kern w:val="0"/>
          <w:sz w:val="24"/>
          <w:szCs w:val="24"/>
          <w:lang w:eastAsia="en-GB"/>
          <w14:ligatures w14:val="none"/>
        </w:rPr>
        <w:t>Nursing Times.</w:t>
      </w:r>
      <w:proofErr w:type="gramEnd"/>
      <w:r w:rsidRPr="00E44F08">
        <w:rPr>
          <w:rFonts w:ascii="Times New Roman" w:eastAsia="Times New Roman" w:hAnsi="Times New Roman" w:cs="Times New Roman"/>
          <w:kern w:val="0"/>
          <w:sz w:val="24"/>
          <w:szCs w:val="24"/>
          <w:lang w:eastAsia="en-GB"/>
          <w14:ligatures w14:val="none"/>
        </w:rPr>
        <w:t xml:space="preserve"> </w:t>
      </w:r>
    </w:p>
    <w:p w:rsidR="00E44F08" w:rsidRPr="00E44F08" w:rsidRDefault="00E44F08" w:rsidP="00E44F08">
      <w:pPr>
        <w:spacing w:after="0" w:line="240" w:lineRule="auto"/>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t></w:t>
      </w:r>
      <w:r w:rsidRPr="00E44F08">
        <w:rPr>
          <w:rFonts w:ascii="Times New Roman" w:eastAsia="Times New Roman" w:hAnsi="Times New Roman" w:cs="Times New Roman"/>
          <w:kern w:val="0"/>
          <w:sz w:val="24"/>
          <w:szCs w:val="24"/>
          <w:lang w:eastAsia="en-GB"/>
          <w14:ligatures w14:val="none"/>
        </w:rPr>
        <w:t xml:space="preserve">  </w:t>
      </w:r>
      <w:proofErr w:type="spellStart"/>
      <w:r w:rsidRPr="00E44F08">
        <w:rPr>
          <w:rFonts w:ascii="Times New Roman" w:eastAsia="Times New Roman" w:hAnsi="Times New Roman" w:cs="Times New Roman"/>
          <w:kern w:val="0"/>
          <w:sz w:val="24"/>
          <w:szCs w:val="24"/>
          <w:lang w:eastAsia="en-GB"/>
          <w14:ligatures w14:val="none"/>
        </w:rPr>
        <w:t>Montori</w:t>
      </w:r>
      <w:proofErr w:type="spellEnd"/>
      <w:proofErr w:type="gramEnd"/>
      <w:r w:rsidRPr="00E44F08">
        <w:rPr>
          <w:rFonts w:ascii="Times New Roman" w:eastAsia="Times New Roman" w:hAnsi="Times New Roman" w:cs="Times New Roman"/>
          <w:kern w:val="0"/>
          <w:sz w:val="24"/>
          <w:szCs w:val="24"/>
          <w:lang w:eastAsia="en-GB"/>
          <w14:ligatures w14:val="none"/>
        </w:rPr>
        <w:t xml:space="preserve">, V.M., </w:t>
      </w:r>
      <w:proofErr w:type="spellStart"/>
      <w:r w:rsidRPr="00E44F08">
        <w:rPr>
          <w:rFonts w:ascii="Times New Roman" w:eastAsia="Times New Roman" w:hAnsi="Times New Roman" w:cs="Times New Roman"/>
          <w:kern w:val="0"/>
          <w:sz w:val="24"/>
          <w:szCs w:val="24"/>
          <w:lang w:eastAsia="en-GB"/>
          <w14:ligatures w14:val="none"/>
        </w:rPr>
        <w:t>Brito</w:t>
      </w:r>
      <w:proofErr w:type="spellEnd"/>
      <w:r w:rsidRPr="00E44F08">
        <w:rPr>
          <w:rFonts w:ascii="Times New Roman" w:eastAsia="Times New Roman" w:hAnsi="Times New Roman" w:cs="Times New Roman"/>
          <w:kern w:val="0"/>
          <w:sz w:val="24"/>
          <w:szCs w:val="24"/>
          <w:lang w:eastAsia="en-GB"/>
          <w14:ligatures w14:val="none"/>
        </w:rPr>
        <w:t xml:space="preserve">, J.P. and </w:t>
      </w:r>
      <w:proofErr w:type="spellStart"/>
      <w:r w:rsidRPr="00E44F08">
        <w:rPr>
          <w:rFonts w:ascii="Times New Roman" w:eastAsia="Times New Roman" w:hAnsi="Times New Roman" w:cs="Times New Roman"/>
          <w:kern w:val="0"/>
          <w:sz w:val="24"/>
          <w:szCs w:val="24"/>
          <w:lang w:eastAsia="en-GB"/>
          <w14:ligatures w14:val="none"/>
        </w:rPr>
        <w:t>Murad</w:t>
      </w:r>
      <w:proofErr w:type="spellEnd"/>
      <w:r w:rsidRPr="00E44F08">
        <w:rPr>
          <w:rFonts w:ascii="Times New Roman" w:eastAsia="Times New Roman" w:hAnsi="Times New Roman" w:cs="Times New Roman"/>
          <w:kern w:val="0"/>
          <w:sz w:val="24"/>
          <w:szCs w:val="24"/>
          <w:lang w:eastAsia="en-GB"/>
          <w14:ligatures w14:val="none"/>
        </w:rPr>
        <w:t xml:space="preserve">, M.H. (2022) ‘Shared decision-making as a method of care’, </w:t>
      </w:r>
      <w:r w:rsidRPr="00E44F08">
        <w:rPr>
          <w:rFonts w:ascii="Times New Roman" w:eastAsia="Times New Roman" w:hAnsi="Times New Roman" w:cs="Times New Roman"/>
          <w:i/>
          <w:iCs/>
          <w:kern w:val="0"/>
          <w:sz w:val="24"/>
          <w:szCs w:val="24"/>
          <w:lang w:eastAsia="en-GB"/>
          <w14:ligatures w14:val="none"/>
        </w:rPr>
        <w:t>BMJ Evidence-Based Medicine</w:t>
      </w:r>
      <w:r w:rsidRPr="00E44F08">
        <w:rPr>
          <w:rFonts w:ascii="Times New Roman" w:eastAsia="Times New Roman" w:hAnsi="Times New Roman" w:cs="Times New Roman"/>
          <w:kern w:val="0"/>
          <w:sz w:val="24"/>
          <w:szCs w:val="24"/>
          <w:lang w:eastAsia="en-GB"/>
          <w14:ligatures w14:val="none"/>
        </w:rPr>
        <w:t xml:space="preserve">, 28(4), pp.213–216. </w:t>
      </w:r>
    </w:p>
    <w:p w:rsidR="00E44F08" w:rsidRDefault="00E44F08" w:rsidP="00E44F08">
      <w:pPr>
        <w:rPr>
          <w:rFonts w:ascii="Times New Roman" w:eastAsia="Times New Roman" w:hAnsi="Times New Roman" w:cs="Times New Roman"/>
          <w:kern w:val="0"/>
          <w:sz w:val="24"/>
          <w:szCs w:val="24"/>
          <w:lang w:eastAsia="en-GB"/>
          <w14:ligatures w14:val="none"/>
        </w:rPr>
      </w:pPr>
      <w:proofErr w:type="gramStart"/>
      <w:r w:rsidRPr="00E44F08">
        <w:rPr>
          <w:rFonts w:ascii="Times New Roman" w:eastAsia="Times New Roman" w:hAnsi="Symbol" w:cs="Times New Roman"/>
          <w:kern w:val="0"/>
          <w:sz w:val="24"/>
          <w:szCs w:val="24"/>
          <w:lang w:eastAsia="en-GB"/>
          <w14:ligatures w14:val="none"/>
        </w:rPr>
        <w:t></w:t>
      </w:r>
      <w:r w:rsidRPr="00E44F08">
        <w:rPr>
          <w:rFonts w:ascii="Times New Roman" w:eastAsia="Times New Roman" w:hAnsi="Times New Roman" w:cs="Times New Roman"/>
          <w:kern w:val="0"/>
          <w:sz w:val="24"/>
          <w:szCs w:val="24"/>
          <w:lang w:eastAsia="en-GB"/>
          <w14:ligatures w14:val="none"/>
        </w:rPr>
        <w:t xml:space="preserve">  NHS</w:t>
      </w:r>
      <w:proofErr w:type="gramEnd"/>
      <w:r w:rsidRPr="00E44F08">
        <w:rPr>
          <w:rFonts w:ascii="Times New Roman" w:eastAsia="Times New Roman" w:hAnsi="Times New Roman" w:cs="Times New Roman"/>
          <w:kern w:val="0"/>
          <w:sz w:val="24"/>
          <w:szCs w:val="24"/>
          <w:lang w:eastAsia="en-GB"/>
          <w14:ligatures w14:val="none"/>
        </w:rPr>
        <w:t xml:space="preserve"> England (2022) </w:t>
      </w:r>
      <w:r w:rsidRPr="00E44F08">
        <w:rPr>
          <w:rFonts w:ascii="Times New Roman" w:eastAsia="Times New Roman" w:hAnsi="Times New Roman" w:cs="Times New Roman"/>
          <w:i/>
          <w:iCs/>
          <w:kern w:val="0"/>
          <w:sz w:val="24"/>
          <w:szCs w:val="24"/>
          <w:lang w:eastAsia="en-GB"/>
          <w14:ligatures w14:val="none"/>
        </w:rPr>
        <w:t>Working in partnership with people and communities: Statutory guidance</w:t>
      </w:r>
      <w:r w:rsidRPr="00E44F08">
        <w:rPr>
          <w:rFonts w:ascii="Times New Roman" w:eastAsia="Times New Roman" w:hAnsi="Times New Roman" w:cs="Times New Roman"/>
          <w:kern w:val="0"/>
          <w:sz w:val="24"/>
          <w:szCs w:val="24"/>
          <w:lang w:eastAsia="en-GB"/>
          <w14:ligatures w14:val="none"/>
        </w:rPr>
        <w:t>.</w:t>
      </w:r>
    </w:p>
    <w:p w:rsidR="00531C3B" w:rsidRPr="00531C3B" w:rsidRDefault="00531C3B" w:rsidP="00531C3B">
      <w:pPr>
        <w:spacing w:after="0" w:line="240" w:lineRule="auto"/>
        <w:rPr>
          <w:rFonts w:ascii="Times New Roman" w:eastAsia="Times New Roman" w:hAnsi="Times New Roman" w:cs="Times New Roman"/>
          <w:kern w:val="0"/>
          <w:sz w:val="24"/>
          <w:szCs w:val="24"/>
          <w:lang w:eastAsia="en-GB"/>
          <w14:ligatures w14:val="none"/>
        </w:rPr>
      </w:pPr>
      <w:proofErr w:type="gramStart"/>
      <w:r w:rsidRPr="00531C3B">
        <w:rPr>
          <w:rFonts w:ascii="Times New Roman" w:eastAsia="Times New Roman" w:hAnsi="Symbol" w:cs="Times New Roman"/>
          <w:kern w:val="0"/>
          <w:sz w:val="24"/>
          <w:szCs w:val="24"/>
          <w:lang w:eastAsia="en-GB"/>
          <w14:ligatures w14:val="none"/>
        </w:rPr>
        <w:t></w:t>
      </w:r>
      <w:r w:rsidRPr="00531C3B">
        <w:rPr>
          <w:rFonts w:ascii="Times New Roman" w:eastAsia="Times New Roman" w:hAnsi="Times New Roman" w:cs="Times New Roman"/>
          <w:kern w:val="0"/>
          <w:sz w:val="24"/>
          <w:szCs w:val="24"/>
          <w:lang w:eastAsia="en-GB"/>
          <w14:ligatures w14:val="none"/>
        </w:rPr>
        <w:t xml:space="preserve">  McCormack</w:t>
      </w:r>
      <w:proofErr w:type="gramEnd"/>
      <w:r w:rsidRPr="00531C3B">
        <w:rPr>
          <w:rFonts w:ascii="Times New Roman" w:eastAsia="Times New Roman" w:hAnsi="Times New Roman" w:cs="Times New Roman"/>
          <w:kern w:val="0"/>
          <w:sz w:val="24"/>
          <w:szCs w:val="24"/>
          <w:lang w:eastAsia="en-GB"/>
          <w14:ligatures w14:val="none"/>
        </w:rPr>
        <w:t xml:space="preserve">, B. (2016) </w:t>
      </w:r>
      <w:r w:rsidRPr="00531C3B">
        <w:rPr>
          <w:rFonts w:ascii="Times New Roman" w:eastAsia="Times New Roman" w:hAnsi="Times New Roman" w:cs="Times New Roman"/>
          <w:i/>
          <w:iCs/>
          <w:kern w:val="0"/>
          <w:sz w:val="24"/>
          <w:szCs w:val="24"/>
          <w:lang w:eastAsia="en-GB"/>
          <w14:ligatures w14:val="none"/>
        </w:rPr>
        <w:t>Person-Centred Practice in Nursing and Health Care: Theory and Practice</w:t>
      </w:r>
      <w:r w:rsidRPr="00531C3B">
        <w:rPr>
          <w:rFonts w:ascii="Times New Roman" w:eastAsia="Times New Roman" w:hAnsi="Times New Roman" w:cs="Times New Roman"/>
          <w:kern w:val="0"/>
          <w:sz w:val="24"/>
          <w:szCs w:val="24"/>
          <w:lang w:eastAsia="en-GB"/>
          <w14:ligatures w14:val="none"/>
        </w:rPr>
        <w:t xml:space="preserve">. </w:t>
      </w:r>
      <w:proofErr w:type="gramStart"/>
      <w:r w:rsidRPr="00531C3B">
        <w:rPr>
          <w:rFonts w:ascii="Times New Roman" w:eastAsia="Times New Roman" w:hAnsi="Times New Roman" w:cs="Times New Roman"/>
          <w:kern w:val="0"/>
          <w:sz w:val="24"/>
          <w:szCs w:val="24"/>
          <w:lang w:eastAsia="en-GB"/>
          <w14:ligatures w14:val="none"/>
        </w:rPr>
        <w:t xml:space="preserve">2nd </w:t>
      </w:r>
      <w:proofErr w:type="spellStart"/>
      <w:r w:rsidRPr="00531C3B">
        <w:rPr>
          <w:rFonts w:ascii="Times New Roman" w:eastAsia="Times New Roman" w:hAnsi="Times New Roman" w:cs="Times New Roman"/>
          <w:kern w:val="0"/>
          <w:sz w:val="24"/>
          <w:szCs w:val="24"/>
          <w:lang w:eastAsia="en-GB"/>
          <w14:ligatures w14:val="none"/>
        </w:rPr>
        <w:t>edn</w:t>
      </w:r>
      <w:proofErr w:type="spellEnd"/>
      <w:r w:rsidRPr="00531C3B">
        <w:rPr>
          <w:rFonts w:ascii="Times New Roman" w:eastAsia="Times New Roman" w:hAnsi="Times New Roman" w:cs="Times New Roman"/>
          <w:kern w:val="0"/>
          <w:sz w:val="24"/>
          <w:szCs w:val="24"/>
          <w:lang w:eastAsia="en-GB"/>
          <w14:ligatures w14:val="none"/>
        </w:rPr>
        <w:t>.</w:t>
      </w:r>
      <w:proofErr w:type="gramEnd"/>
      <w:r w:rsidRPr="00531C3B">
        <w:rPr>
          <w:rFonts w:ascii="Times New Roman" w:eastAsia="Times New Roman" w:hAnsi="Times New Roman" w:cs="Times New Roman"/>
          <w:kern w:val="0"/>
          <w:sz w:val="24"/>
          <w:szCs w:val="24"/>
          <w:lang w:eastAsia="en-GB"/>
          <w14:ligatures w14:val="none"/>
        </w:rPr>
        <w:t xml:space="preserve"> Oxford: Wiley-Blackwell. </w:t>
      </w:r>
    </w:p>
    <w:p w:rsidR="00531C3B" w:rsidRPr="00531C3B" w:rsidRDefault="00531C3B" w:rsidP="00531C3B">
      <w:pPr>
        <w:spacing w:after="0" w:line="240" w:lineRule="auto"/>
        <w:rPr>
          <w:rFonts w:ascii="Times New Roman" w:eastAsia="Times New Roman" w:hAnsi="Times New Roman" w:cs="Times New Roman"/>
          <w:kern w:val="0"/>
          <w:sz w:val="24"/>
          <w:szCs w:val="24"/>
          <w:lang w:eastAsia="en-GB"/>
          <w14:ligatures w14:val="none"/>
        </w:rPr>
      </w:pPr>
      <w:proofErr w:type="gramStart"/>
      <w:r w:rsidRPr="00531C3B">
        <w:rPr>
          <w:rFonts w:ascii="Times New Roman" w:eastAsia="Times New Roman" w:hAnsi="Symbol" w:cs="Times New Roman"/>
          <w:kern w:val="0"/>
          <w:sz w:val="24"/>
          <w:szCs w:val="24"/>
          <w:lang w:eastAsia="en-GB"/>
          <w14:ligatures w14:val="none"/>
        </w:rPr>
        <w:t></w:t>
      </w:r>
      <w:r w:rsidRPr="00531C3B">
        <w:rPr>
          <w:rFonts w:ascii="Times New Roman" w:eastAsia="Times New Roman" w:hAnsi="Times New Roman" w:cs="Times New Roman"/>
          <w:kern w:val="0"/>
          <w:sz w:val="24"/>
          <w:szCs w:val="24"/>
          <w:lang w:eastAsia="en-GB"/>
          <w14:ligatures w14:val="none"/>
        </w:rPr>
        <w:t xml:space="preserve">  Price</w:t>
      </w:r>
      <w:proofErr w:type="gramEnd"/>
      <w:r w:rsidRPr="00531C3B">
        <w:rPr>
          <w:rFonts w:ascii="Times New Roman" w:eastAsia="Times New Roman" w:hAnsi="Times New Roman" w:cs="Times New Roman"/>
          <w:kern w:val="0"/>
          <w:sz w:val="24"/>
          <w:szCs w:val="24"/>
          <w:lang w:eastAsia="en-GB"/>
          <w14:ligatures w14:val="none"/>
        </w:rPr>
        <w:t xml:space="preserve">, B. (2019) </w:t>
      </w:r>
      <w:r w:rsidRPr="00531C3B">
        <w:rPr>
          <w:rFonts w:ascii="Times New Roman" w:eastAsia="Times New Roman" w:hAnsi="Times New Roman" w:cs="Times New Roman"/>
          <w:i/>
          <w:iCs/>
          <w:kern w:val="0"/>
          <w:sz w:val="24"/>
          <w:szCs w:val="24"/>
          <w:lang w:eastAsia="en-GB"/>
          <w14:ligatures w14:val="none"/>
        </w:rPr>
        <w:t>Delivering Person-Centred Care in Nursing</w:t>
      </w:r>
      <w:r w:rsidRPr="00531C3B">
        <w:rPr>
          <w:rFonts w:ascii="Times New Roman" w:eastAsia="Times New Roman" w:hAnsi="Times New Roman" w:cs="Times New Roman"/>
          <w:kern w:val="0"/>
          <w:sz w:val="24"/>
          <w:szCs w:val="24"/>
          <w:lang w:eastAsia="en-GB"/>
          <w14:ligatures w14:val="none"/>
        </w:rPr>
        <w:t xml:space="preserve">. London: Learning Matters. </w:t>
      </w:r>
    </w:p>
    <w:p w:rsidR="00531C3B" w:rsidRPr="00531C3B" w:rsidRDefault="00531C3B" w:rsidP="00531C3B">
      <w:pPr>
        <w:spacing w:after="0" w:line="240" w:lineRule="auto"/>
        <w:rPr>
          <w:rFonts w:ascii="Times New Roman" w:eastAsia="Times New Roman" w:hAnsi="Times New Roman" w:cs="Times New Roman"/>
          <w:kern w:val="0"/>
          <w:sz w:val="24"/>
          <w:szCs w:val="24"/>
          <w:lang w:eastAsia="en-GB"/>
          <w14:ligatures w14:val="none"/>
        </w:rPr>
      </w:pPr>
      <w:proofErr w:type="gramStart"/>
      <w:r w:rsidRPr="00531C3B">
        <w:rPr>
          <w:rFonts w:ascii="Times New Roman" w:eastAsia="Times New Roman" w:hAnsi="Symbol" w:cs="Times New Roman"/>
          <w:kern w:val="0"/>
          <w:sz w:val="24"/>
          <w:szCs w:val="24"/>
          <w:lang w:eastAsia="en-GB"/>
          <w14:ligatures w14:val="none"/>
        </w:rPr>
        <w:t></w:t>
      </w:r>
      <w:r w:rsidRPr="00531C3B">
        <w:rPr>
          <w:rFonts w:ascii="Times New Roman" w:eastAsia="Times New Roman" w:hAnsi="Times New Roman" w:cs="Times New Roman"/>
          <w:kern w:val="0"/>
          <w:sz w:val="24"/>
          <w:szCs w:val="24"/>
          <w:lang w:eastAsia="en-GB"/>
          <w14:ligatures w14:val="none"/>
        </w:rPr>
        <w:t xml:space="preserve">  Wolf</w:t>
      </w:r>
      <w:proofErr w:type="gramEnd"/>
      <w:r w:rsidRPr="00531C3B">
        <w:rPr>
          <w:rFonts w:ascii="Times New Roman" w:eastAsia="Times New Roman" w:hAnsi="Times New Roman" w:cs="Times New Roman"/>
          <w:kern w:val="0"/>
          <w:sz w:val="24"/>
          <w:szCs w:val="24"/>
          <w:lang w:eastAsia="en-GB"/>
          <w14:ligatures w14:val="none"/>
        </w:rPr>
        <w:t xml:space="preserve">, A., Moore, L., </w:t>
      </w:r>
      <w:proofErr w:type="spellStart"/>
      <w:r w:rsidRPr="00531C3B">
        <w:rPr>
          <w:rFonts w:ascii="Times New Roman" w:eastAsia="Times New Roman" w:hAnsi="Times New Roman" w:cs="Times New Roman"/>
          <w:kern w:val="0"/>
          <w:sz w:val="24"/>
          <w:szCs w:val="24"/>
          <w:lang w:eastAsia="en-GB"/>
          <w14:ligatures w14:val="none"/>
        </w:rPr>
        <w:t>Lydahl</w:t>
      </w:r>
      <w:proofErr w:type="spellEnd"/>
      <w:r w:rsidRPr="00531C3B">
        <w:rPr>
          <w:rFonts w:ascii="Times New Roman" w:eastAsia="Times New Roman" w:hAnsi="Times New Roman" w:cs="Times New Roman"/>
          <w:kern w:val="0"/>
          <w:sz w:val="24"/>
          <w:szCs w:val="24"/>
          <w:lang w:eastAsia="en-GB"/>
          <w14:ligatures w14:val="none"/>
        </w:rPr>
        <w:t xml:space="preserve">, D., </w:t>
      </w:r>
      <w:proofErr w:type="spellStart"/>
      <w:r w:rsidRPr="00531C3B">
        <w:rPr>
          <w:rFonts w:ascii="Times New Roman" w:eastAsia="Times New Roman" w:hAnsi="Times New Roman" w:cs="Times New Roman"/>
          <w:kern w:val="0"/>
          <w:sz w:val="24"/>
          <w:szCs w:val="24"/>
          <w:lang w:eastAsia="en-GB"/>
          <w14:ligatures w14:val="none"/>
        </w:rPr>
        <w:t>Naldemirci</w:t>
      </w:r>
      <w:proofErr w:type="spellEnd"/>
      <w:r w:rsidRPr="00531C3B">
        <w:rPr>
          <w:rFonts w:ascii="Times New Roman" w:eastAsia="Times New Roman" w:hAnsi="Times New Roman" w:cs="Times New Roman"/>
          <w:kern w:val="0"/>
          <w:sz w:val="24"/>
          <w:szCs w:val="24"/>
          <w:lang w:eastAsia="en-GB"/>
          <w14:ligatures w14:val="none"/>
        </w:rPr>
        <w:t xml:space="preserve">, Ö., Elam, M. and Britten, N. (2017) ‘The realities of partnership in person-centred care: a qualitative interview study with patients and professionals’, </w:t>
      </w:r>
      <w:r w:rsidRPr="00531C3B">
        <w:rPr>
          <w:rFonts w:ascii="Times New Roman" w:eastAsia="Times New Roman" w:hAnsi="Times New Roman" w:cs="Times New Roman"/>
          <w:i/>
          <w:iCs/>
          <w:kern w:val="0"/>
          <w:sz w:val="24"/>
          <w:szCs w:val="24"/>
          <w:lang w:eastAsia="en-GB"/>
          <w14:ligatures w14:val="none"/>
        </w:rPr>
        <w:t>BMJ Open</w:t>
      </w:r>
      <w:r w:rsidRPr="00531C3B">
        <w:rPr>
          <w:rFonts w:ascii="Times New Roman" w:eastAsia="Times New Roman" w:hAnsi="Times New Roman" w:cs="Times New Roman"/>
          <w:kern w:val="0"/>
          <w:sz w:val="24"/>
          <w:szCs w:val="24"/>
          <w:lang w:eastAsia="en-GB"/>
          <w14:ligatures w14:val="none"/>
        </w:rPr>
        <w:t xml:space="preserve">, 7(7), e016491. Available at: </w:t>
      </w:r>
      <w:hyperlink r:id="rId17" w:tgtFrame="_blank" w:history="1">
        <w:r w:rsidRPr="00531C3B">
          <w:rPr>
            <w:rFonts w:ascii="Times New Roman" w:eastAsia="Times New Roman" w:hAnsi="Times New Roman" w:cs="Times New Roman"/>
            <w:color w:val="0000FF"/>
            <w:kern w:val="0"/>
            <w:sz w:val="24"/>
            <w:szCs w:val="24"/>
            <w:u w:val="single"/>
            <w:lang w:eastAsia="en-GB"/>
            <w14:ligatures w14:val="none"/>
          </w:rPr>
          <w:t>https://bmjopen.bmj.com/content/7/7/e016491</w:t>
        </w:r>
      </w:hyperlink>
      <w:r w:rsidRPr="00531C3B">
        <w:rPr>
          <w:rFonts w:ascii="Times New Roman" w:eastAsia="Times New Roman" w:hAnsi="Times New Roman" w:cs="Times New Roman"/>
          <w:kern w:val="0"/>
          <w:sz w:val="24"/>
          <w:szCs w:val="24"/>
          <w:lang w:eastAsia="en-GB"/>
          <w14:ligatures w14:val="none"/>
        </w:rPr>
        <w:t xml:space="preserve"> (Accessed: 16 November 2025). </w:t>
      </w:r>
    </w:p>
    <w:p w:rsidR="00531C3B" w:rsidRPr="00531C3B" w:rsidRDefault="00531C3B" w:rsidP="00531C3B">
      <w:pPr>
        <w:spacing w:after="0" w:line="240" w:lineRule="auto"/>
        <w:rPr>
          <w:rFonts w:ascii="Times New Roman" w:eastAsia="Times New Roman" w:hAnsi="Times New Roman" w:cs="Times New Roman"/>
          <w:kern w:val="0"/>
          <w:sz w:val="24"/>
          <w:szCs w:val="24"/>
          <w:lang w:eastAsia="en-GB"/>
          <w14:ligatures w14:val="none"/>
        </w:rPr>
      </w:pPr>
      <w:proofErr w:type="gramStart"/>
      <w:r w:rsidRPr="00531C3B">
        <w:rPr>
          <w:rFonts w:ascii="Times New Roman" w:eastAsia="Times New Roman" w:hAnsi="Symbol" w:cs="Times New Roman"/>
          <w:kern w:val="0"/>
          <w:sz w:val="24"/>
          <w:szCs w:val="24"/>
          <w:lang w:eastAsia="en-GB"/>
          <w14:ligatures w14:val="none"/>
        </w:rPr>
        <w:t></w:t>
      </w:r>
      <w:r w:rsidRPr="00531C3B">
        <w:rPr>
          <w:rFonts w:ascii="Times New Roman" w:eastAsia="Times New Roman" w:hAnsi="Times New Roman" w:cs="Times New Roman"/>
          <w:kern w:val="0"/>
          <w:sz w:val="24"/>
          <w:szCs w:val="24"/>
          <w:lang w:eastAsia="en-GB"/>
          <w14:ligatures w14:val="none"/>
        </w:rPr>
        <w:t xml:space="preserve">  </w:t>
      </w:r>
      <w:proofErr w:type="spellStart"/>
      <w:r w:rsidRPr="00531C3B">
        <w:rPr>
          <w:rFonts w:ascii="Times New Roman" w:eastAsia="Times New Roman" w:hAnsi="Times New Roman" w:cs="Times New Roman"/>
          <w:kern w:val="0"/>
          <w:sz w:val="24"/>
          <w:szCs w:val="24"/>
          <w:lang w:eastAsia="en-GB"/>
          <w14:ligatures w14:val="none"/>
        </w:rPr>
        <w:t>Tomaselli</w:t>
      </w:r>
      <w:proofErr w:type="spellEnd"/>
      <w:proofErr w:type="gramEnd"/>
      <w:r w:rsidRPr="00531C3B">
        <w:rPr>
          <w:rFonts w:ascii="Times New Roman" w:eastAsia="Times New Roman" w:hAnsi="Times New Roman" w:cs="Times New Roman"/>
          <w:kern w:val="0"/>
          <w:sz w:val="24"/>
          <w:szCs w:val="24"/>
          <w:lang w:eastAsia="en-GB"/>
          <w14:ligatures w14:val="none"/>
        </w:rPr>
        <w:t xml:space="preserve">, G., </w:t>
      </w:r>
      <w:proofErr w:type="spellStart"/>
      <w:r w:rsidRPr="00531C3B">
        <w:rPr>
          <w:rFonts w:ascii="Times New Roman" w:eastAsia="Times New Roman" w:hAnsi="Times New Roman" w:cs="Times New Roman"/>
          <w:kern w:val="0"/>
          <w:sz w:val="24"/>
          <w:szCs w:val="24"/>
          <w:lang w:eastAsia="en-GB"/>
          <w14:ligatures w14:val="none"/>
        </w:rPr>
        <w:t>Buttigieg</w:t>
      </w:r>
      <w:proofErr w:type="spellEnd"/>
      <w:r w:rsidRPr="00531C3B">
        <w:rPr>
          <w:rFonts w:ascii="Times New Roman" w:eastAsia="Times New Roman" w:hAnsi="Times New Roman" w:cs="Times New Roman"/>
          <w:kern w:val="0"/>
          <w:sz w:val="24"/>
          <w:szCs w:val="24"/>
          <w:lang w:eastAsia="en-GB"/>
          <w14:ligatures w14:val="none"/>
        </w:rPr>
        <w:t xml:space="preserve">, S.C., </w:t>
      </w:r>
      <w:proofErr w:type="spellStart"/>
      <w:r w:rsidRPr="00531C3B">
        <w:rPr>
          <w:rFonts w:ascii="Times New Roman" w:eastAsia="Times New Roman" w:hAnsi="Times New Roman" w:cs="Times New Roman"/>
          <w:kern w:val="0"/>
          <w:sz w:val="24"/>
          <w:szCs w:val="24"/>
          <w:lang w:eastAsia="en-GB"/>
          <w14:ligatures w14:val="none"/>
        </w:rPr>
        <w:t>Rosano</w:t>
      </w:r>
      <w:proofErr w:type="spellEnd"/>
      <w:r w:rsidRPr="00531C3B">
        <w:rPr>
          <w:rFonts w:ascii="Times New Roman" w:eastAsia="Times New Roman" w:hAnsi="Times New Roman" w:cs="Times New Roman"/>
          <w:kern w:val="0"/>
          <w:sz w:val="24"/>
          <w:szCs w:val="24"/>
          <w:lang w:eastAsia="en-GB"/>
          <w14:ligatures w14:val="none"/>
        </w:rPr>
        <w:t xml:space="preserve">, A., </w:t>
      </w:r>
      <w:proofErr w:type="spellStart"/>
      <w:r w:rsidRPr="00531C3B">
        <w:rPr>
          <w:rFonts w:ascii="Times New Roman" w:eastAsia="Times New Roman" w:hAnsi="Times New Roman" w:cs="Times New Roman"/>
          <w:kern w:val="0"/>
          <w:sz w:val="24"/>
          <w:szCs w:val="24"/>
          <w:lang w:eastAsia="en-GB"/>
          <w14:ligatures w14:val="none"/>
        </w:rPr>
        <w:t>Cassar</w:t>
      </w:r>
      <w:proofErr w:type="spellEnd"/>
      <w:r w:rsidRPr="00531C3B">
        <w:rPr>
          <w:rFonts w:ascii="Times New Roman" w:eastAsia="Times New Roman" w:hAnsi="Times New Roman" w:cs="Times New Roman"/>
          <w:kern w:val="0"/>
          <w:sz w:val="24"/>
          <w:szCs w:val="24"/>
          <w:lang w:eastAsia="en-GB"/>
          <w14:ligatures w14:val="none"/>
        </w:rPr>
        <w:t xml:space="preserve">, M. and </w:t>
      </w:r>
      <w:proofErr w:type="spellStart"/>
      <w:r w:rsidRPr="00531C3B">
        <w:rPr>
          <w:rFonts w:ascii="Times New Roman" w:eastAsia="Times New Roman" w:hAnsi="Times New Roman" w:cs="Times New Roman"/>
          <w:kern w:val="0"/>
          <w:sz w:val="24"/>
          <w:szCs w:val="24"/>
          <w:lang w:eastAsia="en-GB"/>
          <w14:ligatures w14:val="none"/>
        </w:rPr>
        <w:t>Grima</w:t>
      </w:r>
      <w:proofErr w:type="spellEnd"/>
      <w:r w:rsidRPr="00531C3B">
        <w:rPr>
          <w:rFonts w:ascii="Times New Roman" w:eastAsia="Times New Roman" w:hAnsi="Times New Roman" w:cs="Times New Roman"/>
          <w:kern w:val="0"/>
          <w:sz w:val="24"/>
          <w:szCs w:val="24"/>
          <w:lang w:eastAsia="en-GB"/>
          <w14:ligatures w14:val="none"/>
        </w:rPr>
        <w:t>, G. (2020) ‘Person-</w:t>
      </w:r>
      <w:proofErr w:type="spellStart"/>
      <w:r w:rsidRPr="00531C3B">
        <w:rPr>
          <w:rFonts w:ascii="Times New Roman" w:eastAsia="Times New Roman" w:hAnsi="Times New Roman" w:cs="Times New Roman"/>
          <w:kern w:val="0"/>
          <w:sz w:val="24"/>
          <w:szCs w:val="24"/>
          <w:lang w:eastAsia="en-GB"/>
          <w14:ligatures w14:val="none"/>
        </w:rPr>
        <w:t>Centered</w:t>
      </w:r>
      <w:proofErr w:type="spellEnd"/>
      <w:r w:rsidRPr="00531C3B">
        <w:rPr>
          <w:rFonts w:ascii="Times New Roman" w:eastAsia="Times New Roman" w:hAnsi="Times New Roman" w:cs="Times New Roman"/>
          <w:kern w:val="0"/>
          <w:sz w:val="24"/>
          <w:szCs w:val="24"/>
          <w:lang w:eastAsia="en-GB"/>
          <w14:ligatures w14:val="none"/>
        </w:rPr>
        <w:t xml:space="preserve"> Care From a Relational Ethics Perspective for the Delivery of High Quality and Safe Healthcare: A Scoping Review’, </w:t>
      </w:r>
      <w:r w:rsidRPr="00531C3B">
        <w:rPr>
          <w:rFonts w:ascii="Times New Roman" w:eastAsia="Times New Roman" w:hAnsi="Times New Roman" w:cs="Times New Roman"/>
          <w:i/>
          <w:iCs/>
          <w:kern w:val="0"/>
          <w:sz w:val="24"/>
          <w:szCs w:val="24"/>
          <w:lang w:eastAsia="en-GB"/>
          <w14:ligatures w14:val="none"/>
        </w:rPr>
        <w:t>Frontiers in Public Health</w:t>
      </w:r>
      <w:r w:rsidRPr="00531C3B">
        <w:rPr>
          <w:rFonts w:ascii="Times New Roman" w:eastAsia="Times New Roman" w:hAnsi="Times New Roman" w:cs="Times New Roman"/>
          <w:kern w:val="0"/>
          <w:sz w:val="24"/>
          <w:szCs w:val="24"/>
          <w:lang w:eastAsia="en-GB"/>
          <w14:ligatures w14:val="none"/>
        </w:rPr>
        <w:t xml:space="preserve">, 8, 44. Available at: https://doi.org/10.3389/fpubh.2020.00044 (Accessed: 16 November 2025). </w:t>
      </w:r>
    </w:p>
    <w:p w:rsidR="005B03D2" w:rsidRDefault="00531C3B" w:rsidP="00531C3B">
      <w:pPr>
        <w:rPr>
          <w:rFonts w:ascii="Times New Roman" w:eastAsia="Times New Roman" w:hAnsi="Times New Roman" w:cs="Times New Roman"/>
          <w:kern w:val="0"/>
          <w:sz w:val="24"/>
          <w:szCs w:val="24"/>
          <w:lang w:eastAsia="en-GB"/>
          <w14:ligatures w14:val="none"/>
        </w:rPr>
      </w:pPr>
      <w:proofErr w:type="gramStart"/>
      <w:r w:rsidRPr="00531C3B">
        <w:rPr>
          <w:rFonts w:ascii="Times New Roman" w:eastAsia="Times New Roman" w:hAnsi="Symbol" w:cs="Times New Roman"/>
          <w:kern w:val="0"/>
          <w:sz w:val="24"/>
          <w:szCs w:val="24"/>
          <w:lang w:eastAsia="en-GB"/>
          <w14:ligatures w14:val="none"/>
        </w:rPr>
        <w:t></w:t>
      </w:r>
      <w:r w:rsidRPr="00531C3B">
        <w:rPr>
          <w:rFonts w:ascii="Times New Roman" w:eastAsia="Times New Roman" w:hAnsi="Times New Roman" w:cs="Times New Roman"/>
          <w:kern w:val="0"/>
          <w:sz w:val="24"/>
          <w:szCs w:val="24"/>
          <w:lang w:eastAsia="en-GB"/>
          <w14:ligatures w14:val="none"/>
        </w:rPr>
        <w:t xml:space="preserve">  </w:t>
      </w:r>
      <w:proofErr w:type="spellStart"/>
      <w:r w:rsidRPr="00531C3B">
        <w:rPr>
          <w:rFonts w:ascii="Times New Roman" w:eastAsia="Times New Roman" w:hAnsi="Times New Roman" w:cs="Times New Roman"/>
          <w:kern w:val="0"/>
          <w:sz w:val="24"/>
          <w:szCs w:val="24"/>
          <w:lang w:eastAsia="en-GB"/>
          <w14:ligatures w14:val="none"/>
        </w:rPr>
        <w:t>Gyllensten</w:t>
      </w:r>
      <w:proofErr w:type="spellEnd"/>
      <w:proofErr w:type="gramEnd"/>
      <w:r w:rsidRPr="00531C3B">
        <w:rPr>
          <w:rFonts w:ascii="Times New Roman" w:eastAsia="Times New Roman" w:hAnsi="Times New Roman" w:cs="Times New Roman"/>
          <w:kern w:val="0"/>
          <w:sz w:val="24"/>
          <w:szCs w:val="24"/>
          <w:lang w:eastAsia="en-GB"/>
          <w14:ligatures w14:val="none"/>
        </w:rPr>
        <w:t xml:space="preserve">, H., </w:t>
      </w:r>
      <w:proofErr w:type="spellStart"/>
      <w:r w:rsidRPr="00531C3B">
        <w:rPr>
          <w:rFonts w:ascii="Times New Roman" w:eastAsia="Times New Roman" w:hAnsi="Times New Roman" w:cs="Times New Roman"/>
          <w:kern w:val="0"/>
          <w:sz w:val="24"/>
          <w:szCs w:val="24"/>
          <w:lang w:eastAsia="en-GB"/>
          <w14:ligatures w14:val="none"/>
        </w:rPr>
        <w:t>Cederberg</w:t>
      </w:r>
      <w:proofErr w:type="spellEnd"/>
      <w:r w:rsidRPr="00531C3B">
        <w:rPr>
          <w:rFonts w:ascii="Times New Roman" w:eastAsia="Times New Roman" w:hAnsi="Times New Roman" w:cs="Times New Roman"/>
          <w:kern w:val="0"/>
          <w:sz w:val="24"/>
          <w:szCs w:val="24"/>
          <w:lang w:eastAsia="en-GB"/>
          <w14:ligatures w14:val="none"/>
        </w:rPr>
        <w:t xml:space="preserve">, M., </w:t>
      </w:r>
      <w:proofErr w:type="spellStart"/>
      <w:r w:rsidRPr="00531C3B">
        <w:rPr>
          <w:rFonts w:ascii="Times New Roman" w:eastAsia="Times New Roman" w:hAnsi="Times New Roman" w:cs="Times New Roman"/>
          <w:kern w:val="0"/>
          <w:sz w:val="24"/>
          <w:szCs w:val="24"/>
          <w:lang w:eastAsia="en-GB"/>
          <w14:ligatures w14:val="none"/>
        </w:rPr>
        <w:t>Alsén</w:t>
      </w:r>
      <w:proofErr w:type="spellEnd"/>
      <w:r w:rsidRPr="00531C3B">
        <w:rPr>
          <w:rFonts w:ascii="Times New Roman" w:eastAsia="Times New Roman" w:hAnsi="Times New Roman" w:cs="Times New Roman"/>
          <w:kern w:val="0"/>
          <w:sz w:val="24"/>
          <w:szCs w:val="24"/>
          <w:lang w:eastAsia="en-GB"/>
          <w14:ligatures w14:val="none"/>
        </w:rPr>
        <w:t xml:space="preserve">, S., et al. (2025) ‘Person-Centred Care: State-of-the-Art and Future Perspectives’, </w:t>
      </w:r>
      <w:r w:rsidRPr="00531C3B">
        <w:rPr>
          <w:rFonts w:ascii="Times New Roman" w:eastAsia="Times New Roman" w:hAnsi="Times New Roman" w:cs="Times New Roman"/>
          <w:i/>
          <w:iCs/>
          <w:kern w:val="0"/>
          <w:sz w:val="24"/>
          <w:szCs w:val="24"/>
          <w:lang w:eastAsia="en-GB"/>
          <w14:ligatures w14:val="none"/>
        </w:rPr>
        <w:t>Current Heart Failure Reports</w:t>
      </w:r>
      <w:r w:rsidRPr="00531C3B">
        <w:rPr>
          <w:rFonts w:ascii="Times New Roman" w:eastAsia="Times New Roman" w:hAnsi="Times New Roman" w:cs="Times New Roman"/>
          <w:kern w:val="0"/>
          <w:sz w:val="24"/>
          <w:szCs w:val="24"/>
          <w:lang w:eastAsia="en-GB"/>
          <w14:ligatures w14:val="none"/>
        </w:rPr>
        <w:t xml:space="preserve">, 22(15). Available at: </w:t>
      </w:r>
      <w:hyperlink r:id="rId18" w:tgtFrame="_blank" w:history="1">
        <w:r w:rsidRPr="00531C3B">
          <w:rPr>
            <w:rFonts w:ascii="Times New Roman" w:eastAsia="Times New Roman" w:hAnsi="Times New Roman" w:cs="Times New Roman"/>
            <w:color w:val="0000FF"/>
            <w:kern w:val="0"/>
            <w:sz w:val="24"/>
            <w:szCs w:val="24"/>
            <w:u w:val="single"/>
            <w:lang w:eastAsia="en-GB"/>
            <w14:ligatures w14:val="none"/>
          </w:rPr>
          <w:t>https://link.springer.com/article/10.1007/s11897-025-00702-3</w:t>
        </w:r>
      </w:hyperlink>
      <w:r w:rsidRPr="00531C3B">
        <w:rPr>
          <w:rFonts w:ascii="Times New Roman" w:eastAsia="Times New Roman" w:hAnsi="Times New Roman" w:cs="Times New Roman"/>
          <w:kern w:val="0"/>
          <w:sz w:val="24"/>
          <w:szCs w:val="24"/>
          <w:lang w:eastAsia="en-GB"/>
          <w14:ligatures w14:val="none"/>
        </w:rPr>
        <w:t xml:space="preserve"> (Accessed: 16 November 2025).</w:t>
      </w:r>
    </w:p>
    <w:p w:rsidR="00531C3B" w:rsidRDefault="00531C3B" w:rsidP="00531C3B">
      <w:pPr>
        <w:rPr>
          <w:rFonts w:ascii="Times New Roman" w:eastAsia="Times New Roman" w:hAnsi="Times New Roman" w:cs="Times New Roman"/>
          <w:kern w:val="0"/>
          <w:sz w:val="24"/>
          <w:szCs w:val="24"/>
          <w:lang w:eastAsia="en-GB"/>
          <w14:ligatures w14:val="none"/>
        </w:rPr>
      </w:pPr>
    </w:p>
    <w:p w:rsidR="00FD1188" w:rsidRPr="00556866" w:rsidRDefault="00FD1188" w:rsidP="00FD1188">
      <w:pPr>
        <w:rPr>
          <w:rFonts w:ascii="Arial" w:hAnsi="Arial" w:cs="Arial"/>
        </w:rPr>
      </w:pPr>
    </w:p>
    <w:p w:rsidR="00585013" w:rsidRPr="00585013" w:rsidRDefault="00585013" w:rsidP="00585013"/>
    <w:sectPr w:rsidR="00585013" w:rsidRPr="00585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0006D3E"/>
    <w:multiLevelType w:val="multilevel"/>
    <w:tmpl w:val="60A035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5013"/>
    <w:rsid w:val="000C6425"/>
    <w:rsid w:val="001C3950"/>
    <w:rsid w:val="00531C3B"/>
    <w:rsid w:val="00556866"/>
    <w:rsid w:val="00585013"/>
    <w:rsid w:val="005B03D2"/>
    <w:rsid w:val="006A17D4"/>
    <w:rsid w:val="00702A95"/>
    <w:rsid w:val="00AD714A"/>
    <w:rsid w:val="00B532C6"/>
    <w:rsid w:val="00E44F08"/>
    <w:rsid w:val="00E86FF1"/>
    <w:rsid w:val="00EA7EA4"/>
    <w:rsid w:val="00FD1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94071">
      <w:bodyDiv w:val="1"/>
      <w:marLeft w:val="0"/>
      <w:marRight w:val="0"/>
      <w:marTop w:val="0"/>
      <w:marBottom w:val="0"/>
      <w:divBdr>
        <w:top w:val="none" w:sz="0" w:space="0" w:color="auto"/>
        <w:left w:val="none" w:sz="0" w:space="0" w:color="auto"/>
        <w:bottom w:val="none" w:sz="0" w:space="0" w:color="auto"/>
        <w:right w:val="none" w:sz="0" w:space="0" w:color="auto"/>
      </w:divBdr>
    </w:div>
    <w:div w:id="166869806">
      <w:bodyDiv w:val="1"/>
      <w:marLeft w:val="0"/>
      <w:marRight w:val="0"/>
      <w:marTop w:val="0"/>
      <w:marBottom w:val="0"/>
      <w:divBdr>
        <w:top w:val="none" w:sz="0" w:space="0" w:color="auto"/>
        <w:left w:val="none" w:sz="0" w:space="0" w:color="auto"/>
        <w:bottom w:val="none" w:sz="0" w:space="0" w:color="auto"/>
        <w:right w:val="none" w:sz="0" w:space="0" w:color="auto"/>
      </w:divBdr>
    </w:div>
    <w:div w:id="249777525">
      <w:bodyDiv w:val="1"/>
      <w:marLeft w:val="0"/>
      <w:marRight w:val="0"/>
      <w:marTop w:val="0"/>
      <w:marBottom w:val="0"/>
      <w:divBdr>
        <w:top w:val="none" w:sz="0" w:space="0" w:color="auto"/>
        <w:left w:val="none" w:sz="0" w:space="0" w:color="auto"/>
        <w:bottom w:val="none" w:sz="0" w:space="0" w:color="auto"/>
        <w:right w:val="none" w:sz="0" w:space="0" w:color="auto"/>
      </w:divBdr>
    </w:div>
    <w:div w:id="581255312">
      <w:bodyDiv w:val="1"/>
      <w:marLeft w:val="0"/>
      <w:marRight w:val="0"/>
      <w:marTop w:val="0"/>
      <w:marBottom w:val="0"/>
      <w:divBdr>
        <w:top w:val="none" w:sz="0" w:space="0" w:color="auto"/>
        <w:left w:val="none" w:sz="0" w:space="0" w:color="auto"/>
        <w:bottom w:val="none" w:sz="0" w:space="0" w:color="auto"/>
        <w:right w:val="none" w:sz="0" w:space="0" w:color="auto"/>
      </w:divBdr>
    </w:div>
    <w:div w:id="596257571">
      <w:bodyDiv w:val="1"/>
      <w:marLeft w:val="0"/>
      <w:marRight w:val="0"/>
      <w:marTop w:val="0"/>
      <w:marBottom w:val="0"/>
      <w:divBdr>
        <w:top w:val="none" w:sz="0" w:space="0" w:color="auto"/>
        <w:left w:val="none" w:sz="0" w:space="0" w:color="auto"/>
        <w:bottom w:val="none" w:sz="0" w:space="0" w:color="auto"/>
        <w:right w:val="none" w:sz="0" w:space="0" w:color="auto"/>
      </w:divBdr>
    </w:div>
    <w:div w:id="739787460">
      <w:bodyDiv w:val="1"/>
      <w:marLeft w:val="0"/>
      <w:marRight w:val="0"/>
      <w:marTop w:val="0"/>
      <w:marBottom w:val="0"/>
      <w:divBdr>
        <w:top w:val="none" w:sz="0" w:space="0" w:color="auto"/>
        <w:left w:val="none" w:sz="0" w:space="0" w:color="auto"/>
        <w:bottom w:val="none" w:sz="0" w:space="0" w:color="auto"/>
        <w:right w:val="none" w:sz="0" w:space="0" w:color="auto"/>
      </w:divBdr>
    </w:div>
    <w:div w:id="806553171">
      <w:bodyDiv w:val="1"/>
      <w:marLeft w:val="0"/>
      <w:marRight w:val="0"/>
      <w:marTop w:val="0"/>
      <w:marBottom w:val="0"/>
      <w:divBdr>
        <w:top w:val="none" w:sz="0" w:space="0" w:color="auto"/>
        <w:left w:val="none" w:sz="0" w:space="0" w:color="auto"/>
        <w:bottom w:val="none" w:sz="0" w:space="0" w:color="auto"/>
        <w:right w:val="none" w:sz="0" w:space="0" w:color="auto"/>
      </w:divBdr>
    </w:div>
    <w:div w:id="941886660">
      <w:bodyDiv w:val="1"/>
      <w:marLeft w:val="0"/>
      <w:marRight w:val="0"/>
      <w:marTop w:val="0"/>
      <w:marBottom w:val="0"/>
      <w:divBdr>
        <w:top w:val="none" w:sz="0" w:space="0" w:color="auto"/>
        <w:left w:val="none" w:sz="0" w:space="0" w:color="auto"/>
        <w:bottom w:val="none" w:sz="0" w:space="0" w:color="auto"/>
        <w:right w:val="none" w:sz="0" w:space="0" w:color="auto"/>
      </w:divBdr>
    </w:div>
    <w:div w:id="1135951451">
      <w:bodyDiv w:val="1"/>
      <w:marLeft w:val="0"/>
      <w:marRight w:val="0"/>
      <w:marTop w:val="0"/>
      <w:marBottom w:val="0"/>
      <w:divBdr>
        <w:top w:val="none" w:sz="0" w:space="0" w:color="auto"/>
        <w:left w:val="none" w:sz="0" w:space="0" w:color="auto"/>
        <w:bottom w:val="none" w:sz="0" w:space="0" w:color="auto"/>
        <w:right w:val="none" w:sz="0" w:space="0" w:color="auto"/>
      </w:divBdr>
    </w:div>
    <w:div w:id="1152867885">
      <w:bodyDiv w:val="1"/>
      <w:marLeft w:val="0"/>
      <w:marRight w:val="0"/>
      <w:marTop w:val="0"/>
      <w:marBottom w:val="0"/>
      <w:divBdr>
        <w:top w:val="none" w:sz="0" w:space="0" w:color="auto"/>
        <w:left w:val="none" w:sz="0" w:space="0" w:color="auto"/>
        <w:bottom w:val="none" w:sz="0" w:space="0" w:color="auto"/>
        <w:right w:val="none" w:sz="0" w:space="0" w:color="auto"/>
      </w:divBdr>
    </w:div>
    <w:div w:id="1578443864">
      <w:bodyDiv w:val="1"/>
      <w:marLeft w:val="0"/>
      <w:marRight w:val="0"/>
      <w:marTop w:val="0"/>
      <w:marBottom w:val="0"/>
      <w:divBdr>
        <w:top w:val="none" w:sz="0" w:space="0" w:color="auto"/>
        <w:left w:val="none" w:sz="0" w:space="0" w:color="auto"/>
        <w:bottom w:val="none" w:sz="0" w:space="0" w:color="auto"/>
        <w:right w:val="none" w:sz="0" w:space="0" w:color="auto"/>
      </w:divBdr>
    </w:div>
    <w:div w:id="1695618610">
      <w:bodyDiv w:val="1"/>
      <w:marLeft w:val="0"/>
      <w:marRight w:val="0"/>
      <w:marTop w:val="0"/>
      <w:marBottom w:val="0"/>
      <w:divBdr>
        <w:top w:val="none" w:sz="0" w:space="0" w:color="auto"/>
        <w:left w:val="none" w:sz="0" w:space="0" w:color="auto"/>
        <w:bottom w:val="none" w:sz="0" w:space="0" w:color="auto"/>
        <w:right w:val="none" w:sz="0" w:space="0" w:color="auto"/>
      </w:divBdr>
    </w:div>
    <w:div w:id="1719238582">
      <w:bodyDiv w:val="1"/>
      <w:marLeft w:val="0"/>
      <w:marRight w:val="0"/>
      <w:marTop w:val="0"/>
      <w:marBottom w:val="0"/>
      <w:divBdr>
        <w:top w:val="none" w:sz="0" w:space="0" w:color="auto"/>
        <w:left w:val="none" w:sz="0" w:space="0" w:color="auto"/>
        <w:bottom w:val="none" w:sz="0" w:space="0" w:color="auto"/>
        <w:right w:val="none" w:sz="0" w:space="0" w:color="auto"/>
      </w:divBdr>
    </w:div>
    <w:div w:id="172282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intqhc/article/33/Supplement_2/ii23/6445897" TargetMode="External"/><Relationship Id="rId13" Type="http://schemas.openxmlformats.org/officeDocument/2006/relationships/hyperlink" Target="https://www.cdc.gov/niosh/learning/safetyculturehc/module-5/11.html" TargetMode="External"/><Relationship Id="rId18" Type="http://schemas.openxmlformats.org/officeDocument/2006/relationships/hyperlink" Target="https://link.springer.com/article/10.1007/s11897-025-00702-3" TargetMode="External"/><Relationship Id="rId3" Type="http://schemas.microsoft.com/office/2007/relationships/stylesWithEffects" Target="stylesWithEffects.xml"/><Relationship Id="rId7" Type="http://schemas.openxmlformats.org/officeDocument/2006/relationships/hyperlink" Target="https://psycnet.apa.org/record/2022-09819-001" TargetMode="External"/><Relationship Id="rId12" Type="http://schemas.openxmlformats.org/officeDocument/2006/relationships/hyperlink" Target="https://www.auamed.org/blog/medical-ethics/" TargetMode="External"/><Relationship Id="rId17" Type="http://schemas.openxmlformats.org/officeDocument/2006/relationships/hyperlink" Target="https://bmjopen.bmj.com/content/7/7/e016491" TargetMode="External"/><Relationship Id="rId2" Type="http://schemas.openxmlformats.org/officeDocument/2006/relationships/styles" Target="styles.xml"/><Relationship Id="rId16" Type="http://schemas.openxmlformats.org/officeDocument/2006/relationships/hyperlink" Target="https://www.gov.uk/government/collections/health-and-care-act-202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sycnet.apa.org/record/2022-09819-001" TargetMode="External"/><Relationship Id="rId11" Type="http://schemas.openxmlformats.org/officeDocument/2006/relationships/hyperlink" Target="https://journals.plos.org/plosone/article?id=10.1371/journal.pone.0229923" TargetMode="External"/><Relationship Id="rId5" Type="http://schemas.openxmlformats.org/officeDocument/2006/relationships/webSettings" Target="webSettings.xml"/><Relationship Id="rId15" Type="http://schemas.openxmlformats.org/officeDocument/2006/relationships/hyperlink" Target="https://carelearning.org.uk/blog/settings/what-is-partnership-working-in-health-and-social-care/" TargetMode="External"/><Relationship Id="rId10" Type="http://schemas.openxmlformats.org/officeDocument/2006/relationships/hyperlink" Target="https://journals.plos.org/plosone/article?id=10.1371/journal.pone.022992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ademic.oup.com/intqhc/article/33/Supplement_2/ii23/6445897" TargetMode="External"/><Relationship Id="rId14" Type="http://schemas.openxmlformats.org/officeDocument/2006/relationships/hyperlink" Target="https://www.england.nhs.uk/long-read/working-in-partnership-with-people-and-communities-statutory-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2615</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2025-11-17T10:55:00Z</dcterms:created>
  <dcterms:modified xsi:type="dcterms:W3CDTF">2025-11-17T10:55:00Z</dcterms:modified>
</cp:coreProperties>
</file>