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80C91" w14:textId="77777777" w:rsidR="00870822" w:rsidRPr="00870822" w:rsidRDefault="00870822" w:rsidP="00870822">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22F5CE6E" wp14:editId="4AFD1386">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0170AAA" w14:textId="77777777" w:rsidR="00870822" w:rsidRPr="00870822" w:rsidRDefault="00870822" w:rsidP="00870822">
      <w:pPr>
        <w:rPr>
          <w:rFonts w:ascii="Arial" w:hAnsi="Arial" w:cs="Arial"/>
          <w:color w:val="0D0D0D" w:themeColor="text1" w:themeTint="F2"/>
        </w:rPr>
      </w:pPr>
    </w:p>
    <w:p w14:paraId="1F00FC7E" w14:textId="0EA561CC" w:rsidR="00870822" w:rsidRPr="00870822" w:rsidRDefault="00870822" w:rsidP="00870822">
      <w:pPr>
        <w:jc w:val="center"/>
        <w:rPr>
          <w:rFonts w:ascii="Arial" w:hAnsi="Arial" w:cs="Arial"/>
          <w:b/>
          <w:bCs/>
          <w:color w:val="0D0D0D" w:themeColor="text1" w:themeTint="F2"/>
        </w:rPr>
      </w:pPr>
      <w:r w:rsidRPr="00870822">
        <w:rPr>
          <w:rFonts w:ascii="Arial" w:hAnsi="Arial" w:cs="Arial"/>
          <w:b/>
          <w:bCs/>
          <w:color w:val="0D0D0D" w:themeColor="text1" w:themeTint="F2"/>
        </w:rPr>
        <w:t>Student Name:</w:t>
      </w:r>
      <w:r w:rsidR="007A0107">
        <w:rPr>
          <w:rFonts w:ascii="Arial" w:hAnsi="Arial" w:cs="Arial"/>
          <w:b/>
          <w:bCs/>
          <w:color w:val="0D0D0D" w:themeColor="text1" w:themeTint="F2"/>
        </w:rPr>
        <w:t xml:space="preserve"> AMINUR ISLAM</w:t>
      </w:r>
    </w:p>
    <w:p w14:paraId="03E3345C" w14:textId="155E64C3" w:rsidR="00870822" w:rsidRPr="00870822" w:rsidRDefault="00870822" w:rsidP="00870822">
      <w:pPr>
        <w:jc w:val="center"/>
        <w:rPr>
          <w:rFonts w:ascii="Arial" w:hAnsi="Arial" w:cs="Arial"/>
          <w:b/>
          <w:bCs/>
          <w:color w:val="0D0D0D" w:themeColor="text1" w:themeTint="F2"/>
        </w:rPr>
      </w:pPr>
      <w:r w:rsidRPr="00870822">
        <w:rPr>
          <w:rFonts w:ascii="Arial" w:hAnsi="Arial" w:cs="Arial"/>
          <w:b/>
          <w:bCs/>
          <w:color w:val="0D0D0D" w:themeColor="text1" w:themeTint="F2"/>
        </w:rPr>
        <w:t>Student ID:</w:t>
      </w:r>
      <w:r w:rsidR="007A0107">
        <w:rPr>
          <w:rFonts w:ascii="Arial" w:hAnsi="Arial" w:cs="Arial"/>
          <w:b/>
          <w:bCs/>
          <w:color w:val="0D0D0D" w:themeColor="text1" w:themeTint="F2"/>
        </w:rPr>
        <w:t xml:space="preserve"> 2437199</w:t>
      </w:r>
    </w:p>
    <w:p w14:paraId="3E5C64F2" w14:textId="77777777" w:rsidR="00870822" w:rsidRPr="00870822" w:rsidRDefault="00870822" w:rsidP="00870822">
      <w:pPr>
        <w:jc w:val="center"/>
        <w:rPr>
          <w:rFonts w:ascii="Arial" w:hAnsi="Arial" w:cs="Arial"/>
          <w:b/>
          <w:bCs/>
          <w:color w:val="0D0D0D" w:themeColor="text1" w:themeTint="F2"/>
        </w:rPr>
      </w:pPr>
      <w:r w:rsidRPr="00870822">
        <w:rPr>
          <w:rFonts w:ascii="Arial" w:hAnsi="Arial" w:cs="Arial"/>
          <w:b/>
          <w:bCs/>
          <w:color w:val="0D0D0D" w:themeColor="text1" w:themeTint="F2"/>
        </w:rPr>
        <w:t xml:space="preserve">Module Name: </w:t>
      </w:r>
      <w:r w:rsidRPr="00870822">
        <w:rPr>
          <w:rFonts w:ascii="Arial" w:eastAsia="Arial MT" w:hAnsi="Arial" w:cs="Arial"/>
          <w:b/>
          <w:color w:val="0D0D0D" w:themeColor="text1" w:themeTint="F2"/>
        </w:rPr>
        <w:t>Financial Management</w:t>
      </w:r>
    </w:p>
    <w:p w14:paraId="7999623D" w14:textId="77777777" w:rsidR="00870822" w:rsidRPr="00870822" w:rsidRDefault="00870822" w:rsidP="00870822">
      <w:pPr>
        <w:jc w:val="center"/>
        <w:rPr>
          <w:rFonts w:ascii="Arial" w:eastAsia="Arial MT" w:hAnsi="Arial" w:cs="Arial"/>
          <w:b/>
          <w:color w:val="0D0D0D" w:themeColor="text1" w:themeTint="F2"/>
          <w:spacing w:val="-2"/>
        </w:rPr>
      </w:pPr>
      <w:r w:rsidRPr="00870822">
        <w:rPr>
          <w:rFonts w:ascii="Arial" w:hAnsi="Arial" w:cs="Arial"/>
          <w:b/>
          <w:bCs/>
          <w:color w:val="0D0D0D" w:themeColor="text1" w:themeTint="F2"/>
        </w:rPr>
        <w:t xml:space="preserve">Module Code: </w:t>
      </w:r>
      <w:r w:rsidRPr="00870822">
        <w:rPr>
          <w:rFonts w:ascii="Arial" w:eastAsia="Arial MT" w:hAnsi="Arial" w:cs="Arial"/>
          <w:b/>
          <w:color w:val="0D0D0D" w:themeColor="text1" w:themeTint="F2"/>
          <w:spacing w:val="-2"/>
        </w:rPr>
        <w:t>LCMB7002</w:t>
      </w:r>
    </w:p>
    <w:p w14:paraId="0C5AC58F" w14:textId="77777777" w:rsidR="00870822" w:rsidRPr="00870822" w:rsidRDefault="00870822" w:rsidP="00870822">
      <w:pPr>
        <w:jc w:val="center"/>
        <w:rPr>
          <w:rFonts w:ascii="Arial" w:eastAsia="Arial MT" w:hAnsi="Arial" w:cs="Arial"/>
          <w:b/>
          <w:color w:val="0D0D0D" w:themeColor="text1" w:themeTint="F2"/>
          <w:spacing w:val="-2"/>
        </w:rPr>
      </w:pPr>
    </w:p>
    <w:p w14:paraId="1159BB1F" w14:textId="77777777" w:rsidR="00870822" w:rsidRPr="00870822" w:rsidRDefault="00870822" w:rsidP="00870822">
      <w:pPr>
        <w:jc w:val="center"/>
        <w:rPr>
          <w:rFonts w:ascii="Arial" w:eastAsia="Arial MT" w:hAnsi="Arial" w:cs="Arial"/>
          <w:b/>
          <w:color w:val="0D0D0D" w:themeColor="text1" w:themeTint="F2"/>
          <w:spacing w:val="-2"/>
        </w:rPr>
      </w:pPr>
      <w:r w:rsidRPr="00870822">
        <w:rPr>
          <w:rFonts w:ascii="Arial" w:eastAsia="Arial MT" w:hAnsi="Arial" w:cs="Arial"/>
          <w:b/>
          <w:color w:val="0D0D0D" w:themeColor="text1" w:themeTint="F2"/>
          <w:spacing w:val="-2"/>
        </w:rPr>
        <w:t>Assessment component: Financial performance and management</w:t>
      </w:r>
    </w:p>
    <w:p w14:paraId="3A6C4245" w14:textId="77777777" w:rsidR="00870822" w:rsidRPr="00870822" w:rsidRDefault="00870822" w:rsidP="00870822">
      <w:pPr>
        <w:jc w:val="center"/>
        <w:rPr>
          <w:rFonts w:ascii="Arial" w:hAnsi="Arial" w:cs="Arial"/>
          <w:b/>
          <w:bCs/>
          <w:color w:val="0D0D0D" w:themeColor="text1" w:themeTint="F2"/>
        </w:rPr>
      </w:pPr>
      <w:r w:rsidRPr="00870822">
        <w:rPr>
          <w:rFonts w:ascii="Arial" w:hAnsi="Arial" w:cs="Arial"/>
          <w:b/>
          <w:bCs/>
          <w:color w:val="0D0D0D" w:themeColor="text1" w:themeTint="F2"/>
        </w:rPr>
        <w:t xml:space="preserve">Lecturer’s Name: </w:t>
      </w:r>
      <w:proofErr w:type="spellStart"/>
      <w:r w:rsidRPr="00870822">
        <w:rPr>
          <w:rFonts w:ascii="Arial" w:hAnsi="Arial" w:cs="Arial"/>
          <w:b/>
          <w:bCs/>
          <w:color w:val="0D0D0D" w:themeColor="text1" w:themeTint="F2"/>
        </w:rPr>
        <w:t>Shengfeng</w:t>
      </w:r>
      <w:proofErr w:type="spellEnd"/>
      <w:r w:rsidRPr="00870822">
        <w:rPr>
          <w:rFonts w:ascii="Arial" w:hAnsi="Arial" w:cs="Arial"/>
          <w:b/>
          <w:bCs/>
          <w:color w:val="0D0D0D" w:themeColor="text1" w:themeTint="F2"/>
        </w:rPr>
        <w:t xml:space="preserve"> Mei (London)</w:t>
      </w:r>
    </w:p>
    <w:p w14:paraId="663718C5" w14:textId="77777777" w:rsidR="00870822" w:rsidRPr="00870822" w:rsidRDefault="00870822" w:rsidP="00870822">
      <w:pPr>
        <w:jc w:val="center"/>
        <w:rPr>
          <w:rFonts w:ascii="Arial" w:hAnsi="Arial" w:cs="Arial"/>
          <w:b/>
          <w:bCs/>
          <w:color w:val="0D0D0D" w:themeColor="text1" w:themeTint="F2"/>
        </w:rPr>
      </w:pPr>
      <w:r w:rsidRPr="00870822">
        <w:rPr>
          <w:rFonts w:ascii="Arial" w:hAnsi="Arial" w:cs="Arial"/>
          <w:b/>
          <w:bCs/>
          <w:color w:val="0D0D0D" w:themeColor="text1" w:themeTint="F2"/>
        </w:rPr>
        <w:t>Work Count: 5357 (main body)</w:t>
      </w:r>
    </w:p>
    <w:p w14:paraId="6ABE373F" w14:textId="77777777" w:rsidR="00870822" w:rsidRPr="00870822" w:rsidRDefault="00870822" w:rsidP="00870822">
      <w:pPr>
        <w:rPr>
          <w:rFonts w:ascii="Arial" w:hAnsi="Arial" w:cs="Arial"/>
          <w:b/>
          <w:bCs/>
          <w:color w:val="0D0D0D" w:themeColor="text1" w:themeTint="F2"/>
        </w:rPr>
      </w:pPr>
    </w:p>
    <w:p w14:paraId="1E5A6B7E" w14:textId="77777777" w:rsidR="00870822" w:rsidRPr="00870822" w:rsidRDefault="00870822" w:rsidP="00870822">
      <w:pPr>
        <w:jc w:val="center"/>
        <w:rPr>
          <w:rFonts w:ascii="Arial" w:hAnsi="Arial" w:cs="Arial"/>
          <w:b/>
          <w:bCs/>
          <w:color w:val="0D0D0D" w:themeColor="text1" w:themeTint="F2"/>
        </w:rPr>
      </w:pPr>
    </w:p>
    <w:p w14:paraId="0DDA8111" w14:textId="77777777" w:rsidR="00870822" w:rsidRPr="00870822" w:rsidRDefault="00870822" w:rsidP="00870822">
      <w:pPr>
        <w:jc w:val="center"/>
        <w:rPr>
          <w:rFonts w:ascii="Arial" w:hAnsi="Arial" w:cs="Arial"/>
          <w:b/>
          <w:bCs/>
          <w:color w:val="0D0D0D" w:themeColor="text1" w:themeTint="F2"/>
        </w:rPr>
      </w:pPr>
      <w:r w:rsidRPr="00870822">
        <w:rPr>
          <w:rFonts w:ascii="Arial" w:hAnsi="Arial" w:cs="Arial"/>
          <w:b/>
          <w:bCs/>
          <w:color w:val="0D0D0D" w:themeColor="text1" w:themeTint="F2"/>
        </w:rPr>
        <w:t>Term 1</w:t>
      </w:r>
    </w:p>
    <w:p w14:paraId="129616CF" w14:textId="77777777" w:rsidR="00870822" w:rsidRPr="00870822" w:rsidRDefault="00870822" w:rsidP="00870822">
      <w:pPr>
        <w:spacing w:line="259" w:lineRule="auto"/>
        <w:jc w:val="left"/>
        <w:rPr>
          <w:rFonts w:ascii="Arial" w:hAnsi="Arial" w:cs="Arial"/>
          <w:b/>
          <w:color w:val="0D0D0D" w:themeColor="text1" w:themeTint="F2"/>
          <w:sz w:val="28"/>
        </w:rPr>
      </w:pPr>
    </w:p>
    <w:p w14:paraId="5C26EC10" w14:textId="77777777" w:rsidR="00CC1047" w:rsidRPr="00870822" w:rsidRDefault="00CC1047" w:rsidP="001106C9">
      <w:pPr>
        <w:rPr>
          <w:rFonts w:ascii="Arial" w:hAnsi="Arial" w:cs="Arial"/>
          <w:color w:val="0D0D0D" w:themeColor="text1" w:themeTint="F2"/>
        </w:rPr>
      </w:pPr>
    </w:p>
    <w:p w14:paraId="360D7665" w14:textId="77777777" w:rsidR="00EF187F" w:rsidRPr="00870822" w:rsidRDefault="00EF187F" w:rsidP="001106C9">
      <w:pPr>
        <w:rPr>
          <w:rFonts w:ascii="Arial" w:hAnsi="Arial" w:cs="Arial"/>
          <w:color w:val="0D0D0D" w:themeColor="text1" w:themeTint="F2"/>
        </w:rPr>
      </w:pPr>
    </w:p>
    <w:p w14:paraId="7447FF68" w14:textId="77777777" w:rsidR="00EF187F" w:rsidRPr="00870822" w:rsidRDefault="00EF187F" w:rsidP="001106C9">
      <w:pPr>
        <w:rPr>
          <w:rFonts w:ascii="Arial" w:hAnsi="Arial" w:cs="Arial"/>
          <w:color w:val="0D0D0D" w:themeColor="text1" w:themeTint="F2"/>
        </w:rPr>
      </w:pPr>
    </w:p>
    <w:p w14:paraId="64A2CE24" w14:textId="54CB2660" w:rsidR="00EF187F" w:rsidRPr="00870822" w:rsidRDefault="00EF187F" w:rsidP="001106C9">
      <w:pPr>
        <w:rPr>
          <w:rFonts w:ascii="Arial" w:hAnsi="Arial" w:cs="Arial"/>
          <w:color w:val="0D0D0D" w:themeColor="text1" w:themeTint="F2"/>
        </w:rPr>
      </w:pPr>
      <w:r w:rsidRPr="00870822">
        <w:rPr>
          <w:rFonts w:ascii="Arial" w:hAnsi="Arial" w:cs="Arial"/>
          <w:color w:val="0D0D0D" w:themeColor="text1" w:themeTint="F2"/>
        </w:rPr>
        <w:br w:type="page"/>
      </w:r>
    </w:p>
    <w:sdt>
      <w:sdtPr>
        <w:rPr>
          <w:rFonts w:ascii="Arial" w:eastAsiaTheme="minorEastAsia" w:hAnsi="Arial" w:cs="Arial"/>
          <w:color w:val="0D0D0D" w:themeColor="text1" w:themeTint="F2"/>
          <w:sz w:val="22"/>
          <w:szCs w:val="22"/>
          <w:lang w:val="en-GB" w:eastAsia="en-GB"/>
        </w:rPr>
        <w:id w:val="-1213423594"/>
        <w:docPartObj>
          <w:docPartGallery w:val="Table of Contents"/>
          <w:docPartUnique/>
        </w:docPartObj>
      </w:sdtPr>
      <w:sdtEndPr>
        <w:rPr>
          <w:noProof/>
          <w:sz w:val="24"/>
          <w:szCs w:val="24"/>
        </w:rPr>
      </w:sdtEndPr>
      <w:sdtContent>
        <w:p w14:paraId="0F97683D" w14:textId="77777777" w:rsidR="007934D7" w:rsidRPr="00870822" w:rsidRDefault="007934D7" w:rsidP="007934D7">
          <w:pPr>
            <w:pStyle w:val="TOCHeading"/>
            <w:rPr>
              <w:rFonts w:ascii="Arial" w:hAnsi="Arial" w:cs="Arial"/>
              <w:b/>
              <w:bCs/>
              <w:color w:val="0D0D0D" w:themeColor="text1" w:themeTint="F2"/>
              <w:lang w:val="en-GB"/>
            </w:rPr>
          </w:pPr>
          <w:r w:rsidRPr="00870822">
            <w:rPr>
              <w:rFonts w:ascii="Arial" w:hAnsi="Arial" w:cs="Arial"/>
              <w:b/>
              <w:bCs/>
              <w:color w:val="0D0D0D" w:themeColor="text1" w:themeTint="F2"/>
              <w:lang w:val="en-GB"/>
            </w:rPr>
            <w:t>Table of Contents</w:t>
          </w:r>
        </w:p>
        <w:p w14:paraId="4E304CC7" w14:textId="4762DD0B" w:rsidR="00126774" w:rsidRPr="00870822" w:rsidRDefault="007934D7">
          <w:pPr>
            <w:pStyle w:val="TOC1"/>
            <w:rPr>
              <w:rFonts w:ascii="Arial" w:hAnsi="Arial" w:cs="Arial"/>
              <w:noProof/>
              <w:color w:val="0D0D0D" w:themeColor="text1" w:themeTint="F2"/>
              <w:kern w:val="2"/>
              <w:szCs w:val="24"/>
              <w:lang w:val="en-US" w:eastAsia="en-US"/>
              <w14:ligatures w14:val="standardContextual"/>
            </w:rPr>
          </w:pPr>
          <w:r w:rsidRPr="00870822">
            <w:rPr>
              <w:rFonts w:ascii="Arial" w:hAnsi="Arial" w:cs="Arial"/>
              <w:color w:val="0D0D0D" w:themeColor="text1" w:themeTint="F2"/>
              <w:szCs w:val="24"/>
            </w:rPr>
            <w:fldChar w:fldCharType="begin"/>
          </w:r>
          <w:r w:rsidRPr="00870822">
            <w:rPr>
              <w:rFonts w:ascii="Arial" w:hAnsi="Arial" w:cs="Arial"/>
              <w:color w:val="0D0D0D" w:themeColor="text1" w:themeTint="F2"/>
              <w:szCs w:val="24"/>
            </w:rPr>
            <w:instrText xml:space="preserve"> TOC \o "1-3" \h \z \u </w:instrText>
          </w:r>
          <w:r w:rsidRPr="00870822">
            <w:rPr>
              <w:rFonts w:ascii="Arial" w:hAnsi="Arial" w:cs="Arial"/>
              <w:color w:val="0D0D0D" w:themeColor="text1" w:themeTint="F2"/>
              <w:szCs w:val="24"/>
            </w:rPr>
            <w:fldChar w:fldCharType="separate"/>
          </w:r>
          <w:hyperlink w:anchor="_Toc217209457" w:history="1">
            <w:r w:rsidR="00126774" w:rsidRPr="00870822">
              <w:rPr>
                <w:rStyle w:val="Hyperlink"/>
                <w:rFonts w:ascii="Arial" w:hAnsi="Arial" w:cs="Arial"/>
                <w:noProof/>
                <w:color w:val="0D0D0D" w:themeColor="text1" w:themeTint="F2"/>
              </w:rPr>
              <w:t>Introduction</w:t>
            </w:r>
            <w:r w:rsidR="00126774" w:rsidRPr="00870822">
              <w:rPr>
                <w:rFonts w:ascii="Arial" w:hAnsi="Arial" w:cs="Arial"/>
                <w:noProof/>
                <w:webHidden/>
                <w:color w:val="0D0D0D" w:themeColor="text1" w:themeTint="F2"/>
              </w:rPr>
              <w:tab/>
            </w:r>
            <w:r w:rsidR="00126774" w:rsidRPr="00870822">
              <w:rPr>
                <w:rFonts w:ascii="Arial" w:hAnsi="Arial" w:cs="Arial"/>
                <w:noProof/>
                <w:webHidden/>
                <w:color w:val="0D0D0D" w:themeColor="text1" w:themeTint="F2"/>
              </w:rPr>
              <w:fldChar w:fldCharType="begin"/>
            </w:r>
            <w:r w:rsidR="00126774" w:rsidRPr="00870822">
              <w:rPr>
                <w:rFonts w:ascii="Arial" w:hAnsi="Arial" w:cs="Arial"/>
                <w:noProof/>
                <w:webHidden/>
                <w:color w:val="0D0D0D" w:themeColor="text1" w:themeTint="F2"/>
              </w:rPr>
              <w:instrText xml:space="preserve"> PAGEREF _Toc217209457 \h </w:instrText>
            </w:r>
            <w:r w:rsidR="00126774" w:rsidRPr="00870822">
              <w:rPr>
                <w:rFonts w:ascii="Arial" w:hAnsi="Arial" w:cs="Arial"/>
                <w:noProof/>
                <w:webHidden/>
                <w:color w:val="0D0D0D" w:themeColor="text1" w:themeTint="F2"/>
              </w:rPr>
            </w:r>
            <w:r w:rsidR="00126774"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3</w:t>
            </w:r>
            <w:r w:rsidR="00126774" w:rsidRPr="00870822">
              <w:rPr>
                <w:rFonts w:ascii="Arial" w:hAnsi="Arial" w:cs="Arial"/>
                <w:noProof/>
                <w:webHidden/>
                <w:color w:val="0D0D0D" w:themeColor="text1" w:themeTint="F2"/>
              </w:rPr>
              <w:fldChar w:fldCharType="end"/>
            </w:r>
          </w:hyperlink>
        </w:p>
        <w:p w14:paraId="2DFE4F40" w14:textId="01FB92E8" w:rsidR="00126774" w:rsidRPr="00870822" w:rsidRDefault="00126774">
          <w:pPr>
            <w:pStyle w:val="TOC1"/>
            <w:rPr>
              <w:rFonts w:ascii="Arial" w:hAnsi="Arial" w:cs="Arial"/>
              <w:noProof/>
              <w:color w:val="0D0D0D" w:themeColor="text1" w:themeTint="F2"/>
              <w:kern w:val="2"/>
              <w:szCs w:val="24"/>
              <w:lang w:val="en-US" w:eastAsia="en-US"/>
              <w14:ligatures w14:val="standardContextual"/>
            </w:rPr>
          </w:pPr>
          <w:hyperlink w:anchor="_Toc217209458" w:history="1">
            <w:r w:rsidRPr="00870822">
              <w:rPr>
                <w:rStyle w:val="Hyperlink"/>
                <w:rFonts w:ascii="Arial" w:hAnsi="Arial" w:cs="Arial"/>
                <w:noProof/>
                <w:color w:val="0D0D0D" w:themeColor="text1" w:themeTint="F2"/>
              </w:rPr>
              <w:t>1. Financial Health Check</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_Toc217209458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4</w:t>
            </w:r>
            <w:r w:rsidRPr="00870822">
              <w:rPr>
                <w:rFonts w:ascii="Arial" w:hAnsi="Arial" w:cs="Arial"/>
                <w:noProof/>
                <w:webHidden/>
                <w:color w:val="0D0D0D" w:themeColor="text1" w:themeTint="F2"/>
              </w:rPr>
              <w:fldChar w:fldCharType="end"/>
            </w:r>
          </w:hyperlink>
        </w:p>
        <w:p w14:paraId="103325BE" w14:textId="3E30E35A"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59" w:history="1">
            <w:r w:rsidRPr="00870822">
              <w:rPr>
                <w:rStyle w:val="Hyperlink"/>
                <w:rFonts w:ascii="Arial" w:hAnsi="Arial" w:cs="Arial"/>
                <w:noProof/>
                <w:color w:val="0D0D0D" w:themeColor="text1" w:themeTint="F2"/>
              </w:rPr>
              <w:t>1.1 Profitability Analysis: A Precipitous Decline</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_Toc217209459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4</w:t>
            </w:r>
            <w:r w:rsidRPr="00870822">
              <w:rPr>
                <w:rFonts w:ascii="Arial" w:hAnsi="Arial" w:cs="Arial"/>
                <w:noProof/>
                <w:webHidden/>
                <w:color w:val="0D0D0D" w:themeColor="text1" w:themeTint="F2"/>
              </w:rPr>
              <w:fldChar w:fldCharType="end"/>
            </w:r>
          </w:hyperlink>
        </w:p>
        <w:p w14:paraId="153B952F" w14:textId="2211793E"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0" w:history="1">
            <w:r w:rsidRPr="00870822">
              <w:rPr>
                <w:rStyle w:val="Hyperlink"/>
                <w:rFonts w:ascii="Arial" w:hAnsi="Arial" w:cs="Arial"/>
                <w:noProof/>
                <w:color w:val="0D0D0D" w:themeColor="text1" w:themeTint="F2"/>
              </w:rPr>
              <w:t>1.2 Liquidity Analysis: A Tightening Noose</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_Toc217209460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5</w:t>
            </w:r>
            <w:r w:rsidRPr="00870822">
              <w:rPr>
                <w:rFonts w:ascii="Arial" w:hAnsi="Arial" w:cs="Arial"/>
                <w:noProof/>
                <w:webHidden/>
                <w:color w:val="0D0D0D" w:themeColor="text1" w:themeTint="F2"/>
              </w:rPr>
              <w:fldChar w:fldCharType="end"/>
            </w:r>
          </w:hyperlink>
        </w:p>
        <w:p w14:paraId="29D6F787" w14:textId="240D0A30"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1" w:history="1">
            <w:r w:rsidRPr="00870822">
              <w:rPr>
                <w:rStyle w:val="Hyperlink"/>
                <w:rFonts w:ascii="Arial" w:hAnsi="Arial" w:cs="Arial"/>
                <w:noProof/>
                <w:color w:val="0D0D0D" w:themeColor="text1" w:themeTint="F2"/>
              </w:rPr>
              <w:t>1.3 Efficiency (Activity) Analysis: Operational Stagnation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_Toc217209461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6</w:t>
            </w:r>
            <w:r w:rsidRPr="00870822">
              <w:rPr>
                <w:rFonts w:ascii="Arial" w:hAnsi="Arial" w:cs="Arial"/>
                <w:noProof/>
                <w:webHidden/>
                <w:color w:val="0D0D0D" w:themeColor="text1" w:themeTint="F2"/>
              </w:rPr>
              <w:fldChar w:fldCharType="end"/>
            </w:r>
          </w:hyperlink>
        </w:p>
        <w:p w14:paraId="36E2CC83" w14:textId="4F61114F"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2" w:history="1">
            <w:r w:rsidRPr="00870822">
              <w:rPr>
                <w:rStyle w:val="Hyperlink"/>
                <w:rFonts w:ascii="Arial" w:hAnsi="Arial" w:cs="Arial"/>
                <w:noProof/>
                <w:color w:val="0D0D0D" w:themeColor="text1" w:themeTint="F2"/>
              </w:rPr>
              <w:t>1.4 Gearing (Leverage) Analysis: A Growing Debt Burden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_Toc217209462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7</w:t>
            </w:r>
            <w:r w:rsidRPr="00870822">
              <w:rPr>
                <w:rFonts w:ascii="Arial" w:hAnsi="Arial" w:cs="Arial"/>
                <w:noProof/>
                <w:webHidden/>
                <w:color w:val="0D0D0D" w:themeColor="text1" w:themeTint="F2"/>
              </w:rPr>
              <w:fldChar w:fldCharType="end"/>
            </w:r>
          </w:hyperlink>
        </w:p>
        <w:p w14:paraId="35CC8898" w14:textId="4B023187"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3" w:history="1">
            <w:r w:rsidRPr="00870822">
              <w:rPr>
                <w:rStyle w:val="Hyperlink"/>
                <w:rFonts w:ascii="Arial" w:hAnsi="Arial" w:cs="Arial"/>
                <w:noProof/>
                <w:color w:val="0D0D0D" w:themeColor="text1" w:themeTint="F2"/>
              </w:rPr>
              <w:t>1.5 Cash Flow Analysis: The Pulse of the Enterprise</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_Toc217209463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8</w:t>
            </w:r>
            <w:r w:rsidRPr="00870822">
              <w:rPr>
                <w:rFonts w:ascii="Arial" w:hAnsi="Arial" w:cs="Arial"/>
                <w:noProof/>
                <w:webHidden/>
                <w:color w:val="0D0D0D" w:themeColor="text1" w:themeTint="F2"/>
              </w:rPr>
              <w:fldChar w:fldCharType="end"/>
            </w:r>
          </w:hyperlink>
        </w:p>
        <w:p w14:paraId="02A1023E" w14:textId="6F10C3CA"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4" w:history="1">
            <w:r w:rsidRPr="00870822">
              <w:rPr>
                <w:rStyle w:val="Hyperlink"/>
                <w:rFonts w:ascii="Arial" w:hAnsi="Arial" w:cs="Arial"/>
                <w:noProof/>
                <w:color w:val="0D0D0D" w:themeColor="text1" w:themeTint="F2"/>
              </w:rPr>
              <w:t>1.6 Corporate Failure Prediction: The Altman Z-Score</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_Toc217209464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9</w:t>
            </w:r>
            <w:r w:rsidRPr="00870822">
              <w:rPr>
                <w:rFonts w:ascii="Arial" w:hAnsi="Arial" w:cs="Arial"/>
                <w:noProof/>
                <w:webHidden/>
                <w:color w:val="0D0D0D" w:themeColor="text1" w:themeTint="F2"/>
              </w:rPr>
              <w:fldChar w:fldCharType="end"/>
            </w:r>
          </w:hyperlink>
        </w:p>
        <w:p w14:paraId="75DFC1E3" w14:textId="77DA70FE"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5" w:history="1">
            <w:r w:rsidRPr="00870822">
              <w:rPr>
                <w:rStyle w:val="Hyperlink"/>
                <w:rFonts w:ascii="Arial" w:hAnsi="Arial" w:cs="Arial"/>
                <w:noProof/>
                <w:color w:val="0D0D0D" w:themeColor="text1" w:themeTint="F2"/>
              </w:rPr>
              <w:t>1.7 Synthesis: Core Problems Identified</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_Toc217209465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9</w:t>
            </w:r>
            <w:r w:rsidRPr="00870822">
              <w:rPr>
                <w:rFonts w:ascii="Arial" w:hAnsi="Arial" w:cs="Arial"/>
                <w:noProof/>
                <w:webHidden/>
                <w:color w:val="0D0D0D" w:themeColor="text1" w:themeTint="F2"/>
              </w:rPr>
              <w:fldChar w:fldCharType="end"/>
            </w:r>
          </w:hyperlink>
        </w:p>
        <w:p w14:paraId="241E189B" w14:textId="0123CFBA" w:rsidR="00126774" w:rsidRPr="00870822" w:rsidRDefault="00126774">
          <w:pPr>
            <w:pStyle w:val="TOC1"/>
            <w:rPr>
              <w:rFonts w:ascii="Arial" w:hAnsi="Arial" w:cs="Arial"/>
              <w:noProof/>
              <w:color w:val="0D0D0D" w:themeColor="text1" w:themeTint="F2"/>
              <w:kern w:val="2"/>
              <w:szCs w:val="24"/>
              <w:lang w:val="en-US" w:eastAsia="en-US"/>
              <w14:ligatures w14:val="standardContextual"/>
            </w:rPr>
          </w:pPr>
          <w:hyperlink w:anchor="_Toc217209466" w:history="1">
            <w:r w:rsidRPr="00870822">
              <w:rPr>
                <w:rStyle w:val="Hyperlink"/>
                <w:rFonts w:ascii="Arial" w:hAnsi="Arial" w:cs="Arial"/>
                <w:noProof/>
                <w:color w:val="0D0D0D" w:themeColor="text1" w:themeTint="F2"/>
              </w:rPr>
              <w:t>2. Working Capital Management Analysis</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_Toc217209466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11</w:t>
            </w:r>
            <w:r w:rsidRPr="00870822">
              <w:rPr>
                <w:rFonts w:ascii="Arial" w:hAnsi="Arial" w:cs="Arial"/>
                <w:noProof/>
                <w:webHidden/>
                <w:color w:val="0D0D0D" w:themeColor="text1" w:themeTint="F2"/>
              </w:rPr>
              <w:fldChar w:fldCharType="end"/>
            </w:r>
          </w:hyperlink>
        </w:p>
        <w:p w14:paraId="31A2B585" w14:textId="421EC819"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7" w:history="1">
            <w:r w:rsidRPr="00870822">
              <w:rPr>
                <w:rStyle w:val="Hyperlink"/>
                <w:rFonts w:ascii="Arial" w:hAnsi="Arial" w:cs="Arial"/>
                <w:noProof/>
                <w:color w:val="0D0D0D" w:themeColor="text1" w:themeTint="F2"/>
              </w:rPr>
              <w:t>2.1 Cash Operating Cycle (COC) Analysis</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_Toc217209467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11</w:t>
            </w:r>
            <w:r w:rsidRPr="00870822">
              <w:rPr>
                <w:rFonts w:ascii="Arial" w:hAnsi="Arial" w:cs="Arial"/>
                <w:noProof/>
                <w:webHidden/>
                <w:color w:val="0D0D0D" w:themeColor="text1" w:themeTint="F2"/>
              </w:rPr>
              <w:fldChar w:fldCharType="end"/>
            </w:r>
          </w:hyperlink>
        </w:p>
        <w:p w14:paraId="4A1A8688" w14:textId="404A4A0C"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8" w:history="1">
            <w:r w:rsidRPr="00870822">
              <w:rPr>
                <w:rStyle w:val="Hyperlink"/>
                <w:rFonts w:ascii="Arial" w:hAnsi="Arial" w:cs="Arial"/>
                <w:noProof/>
                <w:color w:val="0D0D0D" w:themeColor="text1" w:themeTint="F2"/>
              </w:rPr>
              <w:t>2.2 Recommended Strategies for Working Capital Reform</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_Toc217209468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12</w:t>
            </w:r>
            <w:r w:rsidRPr="00870822">
              <w:rPr>
                <w:rFonts w:ascii="Arial" w:hAnsi="Arial" w:cs="Arial"/>
                <w:noProof/>
                <w:webHidden/>
                <w:color w:val="0D0D0D" w:themeColor="text1" w:themeTint="F2"/>
              </w:rPr>
              <w:fldChar w:fldCharType="end"/>
            </w:r>
          </w:hyperlink>
        </w:p>
        <w:p w14:paraId="76A7F9BA" w14:textId="25AD5671"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69" w:history="1">
            <w:r w:rsidRPr="00870822">
              <w:rPr>
                <w:rStyle w:val="Hyperlink"/>
                <w:rFonts w:ascii="Arial" w:hAnsi="Arial" w:cs="Arial"/>
                <w:noProof/>
                <w:color w:val="0D0D0D" w:themeColor="text1" w:themeTint="F2"/>
              </w:rPr>
              <w:t>2.3 Short-Term vs. Long-Term Financing Options</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_Toc217209469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13</w:t>
            </w:r>
            <w:r w:rsidRPr="00870822">
              <w:rPr>
                <w:rFonts w:ascii="Arial" w:hAnsi="Arial" w:cs="Arial"/>
                <w:noProof/>
                <w:webHidden/>
                <w:color w:val="0D0D0D" w:themeColor="text1" w:themeTint="F2"/>
              </w:rPr>
              <w:fldChar w:fldCharType="end"/>
            </w:r>
          </w:hyperlink>
        </w:p>
        <w:p w14:paraId="25244B1C" w14:textId="15AC4882" w:rsidR="00126774" w:rsidRPr="00870822" w:rsidRDefault="00126774">
          <w:pPr>
            <w:pStyle w:val="TOC1"/>
            <w:rPr>
              <w:rFonts w:ascii="Arial" w:hAnsi="Arial" w:cs="Arial"/>
              <w:noProof/>
              <w:color w:val="0D0D0D" w:themeColor="text1" w:themeTint="F2"/>
              <w:kern w:val="2"/>
              <w:szCs w:val="24"/>
              <w:lang w:val="en-US" w:eastAsia="en-US"/>
              <w14:ligatures w14:val="standardContextual"/>
            </w:rPr>
          </w:pPr>
          <w:hyperlink w:anchor="_Toc217209470" w:history="1">
            <w:r w:rsidRPr="00870822">
              <w:rPr>
                <w:rStyle w:val="Hyperlink"/>
                <w:rFonts w:ascii="Arial" w:hAnsi="Arial" w:cs="Arial"/>
                <w:noProof/>
                <w:color w:val="0D0D0D" w:themeColor="text1" w:themeTint="F2"/>
              </w:rPr>
              <w:t>3. Strategic Financial Restructuring Plan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_Toc217209470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15</w:t>
            </w:r>
            <w:r w:rsidRPr="00870822">
              <w:rPr>
                <w:rFonts w:ascii="Arial" w:hAnsi="Arial" w:cs="Arial"/>
                <w:noProof/>
                <w:webHidden/>
                <w:color w:val="0D0D0D" w:themeColor="text1" w:themeTint="F2"/>
              </w:rPr>
              <w:fldChar w:fldCharType="end"/>
            </w:r>
          </w:hyperlink>
        </w:p>
        <w:p w14:paraId="7C62326E" w14:textId="2994CF03"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71" w:history="1">
            <w:r w:rsidRPr="00870822">
              <w:rPr>
                <w:rStyle w:val="Hyperlink"/>
                <w:rFonts w:ascii="Arial" w:hAnsi="Arial" w:cs="Arial"/>
                <w:noProof/>
                <w:color w:val="0D0D0D" w:themeColor="text1" w:themeTint="F2"/>
              </w:rPr>
              <w:t>3.1 Introduction: The Imperative for Restructuring</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_Toc217209471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15</w:t>
            </w:r>
            <w:r w:rsidRPr="00870822">
              <w:rPr>
                <w:rFonts w:ascii="Arial" w:hAnsi="Arial" w:cs="Arial"/>
                <w:noProof/>
                <w:webHidden/>
                <w:color w:val="0D0D0D" w:themeColor="text1" w:themeTint="F2"/>
              </w:rPr>
              <w:fldChar w:fldCharType="end"/>
            </w:r>
          </w:hyperlink>
        </w:p>
        <w:p w14:paraId="5E35AE2E" w14:textId="5B8F23CA"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72" w:history="1">
            <w:r w:rsidRPr="00870822">
              <w:rPr>
                <w:rStyle w:val="Hyperlink"/>
                <w:rFonts w:ascii="Arial" w:hAnsi="Arial" w:cs="Arial"/>
                <w:noProof/>
                <w:color w:val="0D0D0D" w:themeColor="text1" w:themeTint="F2"/>
              </w:rPr>
              <w:t>3.2 Recommended Financial Restructuring Options</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_Toc217209472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15</w:t>
            </w:r>
            <w:r w:rsidRPr="00870822">
              <w:rPr>
                <w:rFonts w:ascii="Arial" w:hAnsi="Arial" w:cs="Arial"/>
                <w:noProof/>
                <w:webHidden/>
                <w:color w:val="0D0D0D" w:themeColor="text1" w:themeTint="F2"/>
              </w:rPr>
              <w:fldChar w:fldCharType="end"/>
            </w:r>
          </w:hyperlink>
        </w:p>
        <w:p w14:paraId="4C67FD3E" w14:textId="0CBE63F4"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73" w:history="1">
            <w:r w:rsidRPr="00870822">
              <w:rPr>
                <w:rStyle w:val="Hyperlink"/>
                <w:rFonts w:ascii="Arial" w:hAnsi="Arial" w:cs="Arial"/>
                <w:noProof/>
                <w:color w:val="0D0D0D" w:themeColor="text1" w:themeTint="F2"/>
              </w:rPr>
              <w:t>3.3 Evaluation of Impact</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_Toc217209473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16</w:t>
            </w:r>
            <w:r w:rsidRPr="00870822">
              <w:rPr>
                <w:rFonts w:ascii="Arial" w:hAnsi="Arial" w:cs="Arial"/>
                <w:noProof/>
                <w:webHidden/>
                <w:color w:val="0D0D0D" w:themeColor="text1" w:themeTint="F2"/>
              </w:rPr>
              <w:fldChar w:fldCharType="end"/>
            </w:r>
          </w:hyperlink>
        </w:p>
        <w:p w14:paraId="4C6B07E4" w14:textId="3945C3B6"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74" w:history="1">
            <w:r w:rsidRPr="00870822">
              <w:rPr>
                <w:rStyle w:val="Hyperlink"/>
                <w:rFonts w:ascii="Arial" w:hAnsi="Arial" w:cs="Arial"/>
                <w:noProof/>
                <w:color w:val="0D0D0D" w:themeColor="text1" w:themeTint="F2"/>
              </w:rPr>
              <w:t>3.4 International and Ethical Considerations</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_Toc217209474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17</w:t>
            </w:r>
            <w:r w:rsidRPr="00870822">
              <w:rPr>
                <w:rFonts w:ascii="Arial" w:hAnsi="Arial" w:cs="Arial"/>
                <w:noProof/>
                <w:webHidden/>
                <w:color w:val="0D0D0D" w:themeColor="text1" w:themeTint="F2"/>
              </w:rPr>
              <w:fldChar w:fldCharType="end"/>
            </w:r>
          </w:hyperlink>
        </w:p>
        <w:p w14:paraId="411AA3E6" w14:textId="5FD48C70" w:rsidR="00126774" w:rsidRPr="00870822" w:rsidRDefault="00126774">
          <w:pPr>
            <w:pStyle w:val="TOC1"/>
            <w:rPr>
              <w:rFonts w:ascii="Arial" w:hAnsi="Arial" w:cs="Arial"/>
              <w:noProof/>
              <w:color w:val="0D0D0D" w:themeColor="text1" w:themeTint="F2"/>
              <w:kern w:val="2"/>
              <w:szCs w:val="24"/>
              <w:lang w:val="en-US" w:eastAsia="en-US"/>
              <w14:ligatures w14:val="standardContextual"/>
            </w:rPr>
          </w:pPr>
          <w:hyperlink w:anchor="_Toc217209475" w:history="1">
            <w:r w:rsidRPr="00870822">
              <w:rPr>
                <w:rStyle w:val="Hyperlink"/>
                <w:rFonts w:ascii="Arial" w:hAnsi="Arial" w:cs="Arial"/>
                <w:noProof/>
                <w:color w:val="0D0D0D" w:themeColor="text1" w:themeTint="F2"/>
              </w:rPr>
              <w:t>4. Investment Appraisal and Capital Budgeting</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_Toc217209475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19</w:t>
            </w:r>
            <w:r w:rsidRPr="00870822">
              <w:rPr>
                <w:rFonts w:ascii="Arial" w:hAnsi="Arial" w:cs="Arial"/>
                <w:noProof/>
                <w:webHidden/>
                <w:color w:val="0D0D0D" w:themeColor="text1" w:themeTint="F2"/>
              </w:rPr>
              <w:fldChar w:fldCharType="end"/>
            </w:r>
          </w:hyperlink>
        </w:p>
        <w:p w14:paraId="360E81E0" w14:textId="7A39FB2D"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76" w:history="1">
            <w:r w:rsidRPr="00870822">
              <w:rPr>
                <w:rStyle w:val="Hyperlink"/>
                <w:rFonts w:ascii="Arial" w:hAnsi="Arial" w:cs="Arial"/>
                <w:noProof/>
                <w:color w:val="0D0D0D" w:themeColor="text1" w:themeTint="F2"/>
              </w:rPr>
              <w:t>4.1 Payback Period (PBP) Interpretation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_Toc217209476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19</w:t>
            </w:r>
            <w:r w:rsidRPr="00870822">
              <w:rPr>
                <w:rFonts w:ascii="Arial" w:hAnsi="Arial" w:cs="Arial"/>
                <w:noProof/>
                <w:webHidden/>
                <w:color w:val="0D0D0D" w:themeColor="text1" w:themeTint="F2"/>
              </w:rPr>
              <w:fldChar w:fldCharType="end"/>
            </w:r>
          </w:hyperlink>
        </w:p>
        <w:p w14:paraId="6599479D" w14:textId="671B3137"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77" w:history="1">
            <w:r w:rsidRPr="00870822">
              <w:rPr>
                <w:rStyle w:val="Hyperlink"/>
                <w:rFonts w:ascii="Arial" w:hAnsi="Arial" w:cs="Arial"/>
                <w:noProof/>
                <w:color w:val="0D0D0D" w:themeColor="text1" w:themeTint="F2"/>
              </w:rPr>
              <w:t>4.2 Accounting Rate of Return (ARR) Interpretation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_Toc217209477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20</w:t>
            </w:r>
            <w:r w:rsidRPr="00870822">
              <w:rPr>
                <w:rFonts w:ascii="Arial" w:hAnsi="Arial" w:cs="Arial"/>
                <w:noProof/>
                <w:webHidden/>
                <w:color w:val="0D0D0D" w:themeColor="text1" w:themeTint="F2"/>
              </w:rPr>
              <w:fldChar w:fldCharType="end"/>
            </w:r>
          </w:hyperlink>
        </w:p>
        <w:p w14:paraId="445D38B0" w14:textId="2A6436DA"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78" w:history="1">
            <w:r w:rsidRPr="00870822">
              <w:rPr>
                <w:rStyle w:val="Hyperlink"/>
                <w:rFonts w:ascii="Arial" w:hAnsi="Arial" w:cs="Arial"/>
                <w:noProof/>
                <w:color w:val="0D0D0D" w:themeColor="text1" w:themeTint="F2"/>
              </w:rPr>
              <w:t>4.3 Net Present Value (NPV) Interpretation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_Toc217209478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21</w:t>
            </w:r>
            <w:r w:rsidRPr="00870822">
              <w:rPr>
                <w:rFonts w:ascii="Arial" w:hAnsi="Arial" w:cs="Arial"/>
                <w:noProof/>
                <w:webHidden/>
                <w:color w:val="0D0D0D" w:themeColor="text1" w:themeTint="F2"/>
              </w:rPr>
              <w:fldChar w:fldCharType="end"/>
            </w:r>
          </w:hyperlink>
        </w:p>
        <w:p w14:paraId="47548BEF" w14:textId="4597FEDB"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79" w:history="1">
            <w:r w:rsidRPr="00870822">
              <w:rPr>
                <w:rStyle w:val="Hyperlink"/>
                <w:rFonts w:ascii="Arial" w:hAnsi="Arial" w:cs="Arial"/>
                <w:noProof/>
                <w:color w:val="0D0D0D" w:themeColor="text1" w:themeTint="F2"/>
              </w:rPr>
              <w:t>4.4 Profitability Index (PI) Interpretation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_Toc217209479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22</w:t>
            </w:r>
            <w:r w:rsidRPr="00870822">
              <w:rPr>
                <w:rFonts w:ascii="Arial" w:hAnsi="Arial" w:cs="Arial"/>
                <w:noProof/>
                <w:webHidden/>
                <w:color w:val="0D0D0D" w:themeColor="text1" w:themeTint="F2"/>
              </w:rPr>
              <w:fldChar w:fldCharType="end"/>
            </w:r>
          </w:hyperlink>
        </w:p>
        <w:p w14:paraId="11891B0E" w14:textId="1C8D6347"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80" w:history="1">
            <w:r w:rsidRPr="00870822">
              <w:rPr>
                <w:rStyle w:val="Hyperlink"/>
                <w:rFonts w:ascii="Arial" w:hAnsi="Arial" w:cs="Arial"/>
                <w:noProof/>
                <w:color w:val="0D0D0D" w:themeColor="text1" w:themeTint="F2"/>
              </w:rPr>
              <w:t>4.5 Internal Rate of Return (IRR) Interpretation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_Toc217209480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23</w:t>
            </w:r>
            <w:r w:rsidRPr="00870822">
              <w:rPr>
                <w:rFonts w:ascii="Arial" w:hAnsi="Arial" w:cs="Arial"/>
                <w:noProof/>
                <w:webHidden/>
                <w:color w:val="0D0D0D" w:themeColor="text1" w:themeTint="F2"/>
              </w:rPr>
              <w:fldChar w:fldCharType="end"/>
            </w:r>
          </w:hyperlink>
        </w:p>
        <w:p w14:paraId="53DFA9A6" w14:textId="12D7C747"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81" w:history="1">
            <w:r w:rsidRPr="00870822">
              <w:rPr>
                <w:rStyle w:val="Hyperlink"/>
                <w:rFonts w:ascii="Arial" w:hAnsi="Arial" w:cs="Arial"/>
                <w:noProof/>
                <w:color w:val="0D0D0D" w:themeColor="text1" w:themeTint="F2"/>
              </w:rPr>
              <w:t>4.6 Comparative Evaluation and Synthesis</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_Toc217209481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23</w:t>
            </w:r>
            <w:r w:rsidRPr="00870822">
              <w:rPr>
                <w:rFonts w:ascii="Arial" w:hAnsi="Arial" w:cs="Arial"/>
                <w:noProof/>
                <w:webHidden/>
                <w:color w:val="0D0D0D" w:themeColor="text1" w:themeTint="F2"/>
              </w:rPr>
              <w:fldChar w:fldCharType="end"/>
            </w:r>
          </w:hyperlink>
        </w:p>
        <w:p w14:paraId="467C1CAC" w14:textId="7C44FD90"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82" w:history="1">
            <w:r w:rsidRPr="00870822">
              <w:rPr>
                <w:rStyle w:val="Hyperlink"/>
                <w:rFonts w:ascii="Arial" w:hAnsi="Arial" w:cs="Arial"/>
                <w:noProof/>
                <w:color w:val="0D0D0D" w:themeColor="text1" w:themeTint="F2"/>
              </w:rPr>
              <w:t>4.7 Capital Rationing and Optimal Investment Choice</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_Toc217209482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24</w:t>
            </w:r>
            <w:r w:rsidRPr="00870822">
              <w:rPr>
                <w:rFonts w:ascii="Arial" w:hAnsi="Arial" w:cs="Arial"/>
                <w:noProof/>
                <w:webHidden/>
                <w:color w:val="0D0D0D" w:themeColor="text1" w:themeTint="F2"/>
              </w:rPr>
              <w:fldChar w:fldCharType="end"/>
            </w:r>
          </w:hyperlink>
        </w:p>
        <w:p w14:paraId="2264C462" w14:textId="5ADB96E0" w:rsidR="00126774" w:rsidRPr="00870822" w:rsidRDefault="00126774">
          <w:pPr>
            <w:pStyle w:val="TOC2"/>
            <w:tabs>
              <w:tab w:val="right" w:leader="dot" w:pos="9016"/>
            </w:tabs>
            <w:rPr>
              <w:rFonts w:ascii="Arial" w:hAnsi="Arial" w:cs="Arial"/>
              <w:noProof/>
              <w:color w:val="0D0D0D" w:themeColor="text1" w:themeTint="F2"/>
              <w:kern w:val="2"/>
              <w:szCs w:val="24"/>
              <w:lang w:val="en-US" w:eastAsia="en-US"/>
              <w14:ligatures w14:val="standardContextual"/>
            </w:rPr>
          </w:pPr>
          <w:hyperlink w:anchor="_Toc217209483" w:history="1">
            <w:r w:rsidRPr="00870822">
              <w:rPr>
                <w:rStyle w:val="Hyperlink"/>
                <w:rFonts w:ascii="Arial" w:hAnsi="Arial" w:cs="Arial"/>
                <w:noProof/>
                <w:color w:val="0D0D0D" w:themeColor="text1" w:themeTint="F2"/>
              </w:rPr>
              <w:t>4.8 Recommendation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_Toc217209483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24</w:t>
            </w:r>
            <w:r w:rsidRPr="00870822">
              <w:rPr>
                <w:rFonts w:ascii="Arial" w:hAnsi="Arial" w:cs="Arial"/>
                <w:noProof/>
                <w:webHidden/>
                <w:color w:val="0D0D0D" w:themeColor="text1" w:themeTint="F2"/>
              </w:rPr>
              <w:fldChar w:fldCharType="end"/>
            </w:r>
          </w:hyperlink>
        </w:p>
        <w:p w14:paraId="0ECEAB89" w14:textId="3C93394F" w:rsidR="00126774" w:rsidRPr="00870822" w:rsidRDefault="00126774">
          <w:pPr>
            <w:pStyle w:val="TOC1"/>
            <w:rPr>
              <w:rFonts w:ascii="Arial" w:hAnsi="Arial" w:cs="Arial"/>
              <w:noProof/>
              <w:color w:val="0D0D0D" w:themeColor="text1" w:themeTint="F2"/>
              <w:kern w:val="2"/>
              <w:szCs w:val="24"/>
              <w:lang w:val="en-US" w:eastAsia="en-US"/>
              <w14:ligatures w14:val="standardContextual"/>
            </w:rPr>
          </w:pPr>
          <w:hyperlink w:anchor="_Toc217209484" w:history="1">
            <w:r w:rsidRPr="00870822">
              <w:rPr>
                <w:rStyle w:val="Hyperlink"/>
                <w:rFonts w:ascii="Arial" w:hAnsi="Arial" w:cs="Arial"/>
                <w:noProof/>
                <w:color w:val="0D0D0D" w:themeColor="text1" w:themeTint="F2"/>
              </w:rPr>
              <w:t>Conclusion</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_Toc217209484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26</w:t>
            </w:r>
            <w:r w:rsidRPr="00870822">
              <w:rPr>
                <w:rFonts w:ascii="Arial" w:hAnsi="Arial" w:cs="Arial"/>
                <w:noProof/>
                <w:webHidden/>
                <w:color w:val="0D0D0D" w:themeColor="text1" w:themeTint="F2"/>
              </w:rPr>
              <w:fldChar w:fldCharType="end"/>
            </w:r>
          </w:hyperlink>
        </w:p>
        <w:p w14:paraId="299768A2" w14:textId="64117A5F" w:rsidR="00126774" w:rsidRPr="00870822" w:rsidRDefault="00126774">
          <w:pPr>
            <w:pStyle w:val="TOC1"/>
            <w:rPr>
              <w:rFonts w:ascii="Arial" w:hAnsi="Arial" w:cs="Arial"/>
              <w:noProof/>
              <w:color w:val="0D0D0D" w:themeColor="text1" w:themeTint="F2"/>
              <w:kern w:val="2"/>
              <w:szCs w:val="24"/>
              <w:lang w:val="en-US" w:eastAsia="en-US"/>
              <w14:ligatures w14:val="standardContextual"/>
            </w:rPr>
          </w:pPr>
          <w:hyperlink w:anchor="_Toc217209485" w:history="1">
            <w:r w:rsidRPr="00870822">
              <w:rPr>
                <w:rStyle w:val="Hyperlink"/>
                <w:rFonts w:ascii="Arial" w:hAnsi="Arial" w:cs="Arial"/>
                <w:noProof/>
                <w:color w:val="0D0D0D" w:themeColor="text1" w:themeTint="F2"/>
                <w:lang w:val="en-US"/>
              </w:rPr>
              <w:t>References</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_Toc217209485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27</w:t>
            </w:r>
            <w:r w:rsidRPr="00870822">
              <w:rPr>
                <w:rFonts w:ascii="Arial" w:hAnsi="Arial" w:cs="Arial"/>
                <w:noProof/>
                <w:webHidden/>
                <w:color w:val="0D0D0D" w:themeColor="text1" w:themeTint="F2"/>
              </w:rPr>
              <w:fldChar w:fldCharType="end"/>
            </w:r>
          </w:hyperlink>
        </w:p>
        <w:p w14:paraId="3095DBBB" w14:textId="7D63D84A" w:rsidR="00126774" w:rsidRPr="00870822" w:rsidRDefault="00126774">
          <w:pPr>
            <w:pStyle w:val="TOC1"/>
            <w:rPr>
              <w:rFonts w:ascii="Arial" w:hAnsi="Arial" w:cs="Arial"/>
              <w:noProof/>
              <w:color w:val="0D0D0D" w:themeColor="text1" w:themeTint="F2"/>
              <w:kern w:val="2"/>
              <w:szCs w:val="24"/>
              <w:lang w:val="en-US" w:eastAsia="en-US"/>
              <w14:ligatures w14:val="standardContextual"/>
            </w:rPr>
          </w:pPr>
          <w:hyperlink w:anchor="_Toc217209486" w:history="1">
            <w:r w:rsidRPr="00870822">
              <w:rPr>
                <w:rStyle w:val="Hyperlink"/>
                <w:rFonts w:ascii="Arial" w:hAnsi="Arial" w:cs="Arial"/>
                <w:noProof/>
                <w:color w:val="0D0D0D" w:themeColor="text1" w:themeTint="F2"/>
                <w:lang w:val="en-US"/>
              </w:rPr>
              <w:t>Appendix</w:t>
            </w:r>
            <w:r w:rsidRPr="00870822">
              <w:rPr>
                <w:rFonts w:ascii="Arial" w:hAnsi="Arial" w:cs="Arial"/>
                <w:noProof/>
                <w:webHidden/>
                <w:color w:val="0D0D0D" w:themeColor="text1" w:themeTint="F2"/>
              </w:rPr>
              <w:tab/>
            </w:r>
            <w:r w:rsidRPr="00870822">
              <w:rPr>
                <w:rFonts w:ascii="Arial" w:hAnsi="Arial" w:cs="Arial"/>
                <w:noProof/>
                <w:webHidden/>
                <w:color w:val="0D0D0D" w:themeColor="text1" w:themeTint="F2"/>
              </w:rPr>
              <w:fldChar w:fldCharType="begin"/>
            </w:r>
            <w:r w:rsidRPr="00870822">
              <w:rPr>
                <w:rFonts w:ascii="Arial" w:hAnsi="Arial" w:cs="Arial"/>
                <w:noProof/>
                <w:webHidden/>
                <w:color w:val="0D0D0D" w:themeColor="text1" w:themeTint="F2"/>
              </w:rPr>
              <w:instrText xml:space="preserve"> PAGEREF _Toc217209486 \h </w:instrText>
            </w:r>
            <w:r w:rsidRPr="00870822">
              <w:rPr>
                <w:rFonts w:ascii="Arial" w:hAnsi="Arial" w:cs="Arial"/>
                <w:noProof/>
                <w:webHidden/>
                <w:color w:val="0D0D0D" w:themeColor="text1" w:themeTint="F2"/>
              </w:rPr>
            </w:r>
            <w:r w:rsidRPr="00870822">
              <w:rPr>
                <w:rFonts w:ascii="Arial" w:hAnsi="Arial" w:cs="Arial"/>
                <w:noProof/>
                <w:webHidden/>
                <w:color w:val="0D0D0D" w:themeColor="text1" w:themeTint="F2"/>
              </w:rPr>
              <w:fldChar w:fldCharType="separate"/>
            </w:r>
            <w:r w:rsidR="007A0107">
              <w:rPr>
                <w:rFonts w:ascii="Arial" w:hAnsi="Arial" w:cs="Arial"/>
                <w:noProof/>
                <w:webHidden/>
                <w:color w:val="0D0D0D" w:themeColor="text1" w:themeTint="F2"/>
              </w:rPr>
              <w:t>30</w:t>
            </w:r>
            <w:r w:rsidRPr="00870822">
              <w:rPr>
                <w:rFonts w:ascii="Arial" w:hAnsi="Arial" w:cs="Arial"/>
                <w:noProof/>
                <w:webHidden/>
                <w:color w:val="0D0D0D" w:themeColor="text1" w:themeTint="F2"/>
              </w:rPr>
              <w:fldChar w:fldCharType="end"/>
            </w:r>
          </w:hyperlink>
        </w:p>
        <w:p w14:paraId="5A9BA3CB" w14:textId="001B565A" w:rsidR="007934D7" w:rsidRPr="00870822" w:rsidRDefault="007934D7" w:rsidP="007934D7">
          <w:pPr>
            <w:rPr>
              <w:rFonts w:ascii="Arial" w:hAnsi="Arial" w:cs="Arial"/>
              <w:noProof/>
              <w:color w:val="0D0D0D" w:themeColor="text1" w:themeTint="F2"/>
              <w:szCs w:val="24"/>
            </w:rPr>
          </w:pPr>
          <w:r w:rsidRPr="00870822">
            <w:rPr>
              <w:rFonts w:ascii="Arial" w:hAnsi="Arial" w:cs="Arial"/>
              <w:noProof/>
              <w:color w:val="0D0D0D" w:themeColor="text1" w:themeTint="F2"/>
              <w:szCs w:val="24"/>
            </w:rPr>
            <w:fldChar w:fldCharType="end"/>
          </w:r>
        </w:p>
      </w:sdtContent>
    </w:sdt>
    <w:p w14:paraId="108C0EEA" w14:textId="77777777" w:rsidR="00EF187F" w:rsidRPr="00870822" w:rsidRDefault="00EF187F" w:rsidP="00E00FEC">
      <w:pPr>
        <w:rPr>
          <w:rFonts w:ascii="Arial" w:hAnsi="Arial" w:cs="Arial"/>
          <w:color w:val="0D0D0D" w:themeColor="text1" w:themeTint="F2"/>
        </w:rPr>
      </w:pPr>
    </w:p>
    <w:p w14:paraId="3043A0D4" w14:textId="77777777" w:rsidR="00FE6097" w:rsidRPr="00870822" w:rsidRDefault="00FE6097" w:rsidP="00E00FEC">
      <w:pPr>
        <w:rPr>
          <w:rFonts w:ascii="Arial" w:hAnsi="Arial" w:cs="Arial"/>
          <w:color w:val="0D0D0D" w:themeColor="text1" w:themeTint="F2"/>
        </w:rPr>
      </w:pPr>
    </w:p>
    <w:p w14:paraId="47529FCE" w14:textId="47C987F7" w:rsidR="00FE6097" w:rsidRPr="00870822" w:rsidRDefault="00FE6097">
      <w:pPr>
        <w:spacing w:line="259" w:lineRule="auto"/>
        <w:jc w:val="left"/>
        <w:rPr>
          <w:rFonts w:ascii="Arial" w:hAnsi="Arial" w:cs="Arial"/>
          <w:color w:val="0D0D0D" w:themeColor="text1" w:themeTint="F2"/>
        </w:rPr>
      </w:pPr>
      <w:r w:rsidRPr="00870822">
        <w:rPr>
          <w:rFonts w:ascii="Arial" w:hAnsi="Arial" w:cs="Arial"/>
          <w:color w:val="0D0D0D" w:themeColor="text1" w:themeTint="F2"/>
        </w:rPr>
        <w:br w:type="page"/>
      </w:r>
    </w:p>
    <w:p w14:paraId="454940CD" w14:textId="77777777" w:rsidR="00FE6097" w:rsidRPr="00870822" w:rsidRDefault="00FE6097" w:rsidP="00C302E9">
      <w:pPr>
        <w:pStyle w:val="Heading1"/>
        <w:rPr>
          <w:rFonts w:ascii="Arial" w:hAnsi="Arial" w:cs="Arial"/>
          <w:color w:val="0D0D0D" w:themeColor="text1" w:themeTint="F2"/>
        </w:rPr>
      </w:pPr>
      <w:bookmarkStart w:id="0" w:name="_Toc217209457"/>
      <w:r w:rsidRPr="00870822">
        <w:rPr>
          <w:rFonts w:ascii="Arial" w:hAnsi="Arial" w:cs="Arial"/>
          <w:color w:val="0D0D0D" w:themeColor="text1" w:themeTint="F2"/>
        </w:rPr>
        <w:lastRenderedPageBreak/>
        <w:t>Introduction</w:t>
      </w:r>
      <w:bookmarkEnd w:id="0"/>
    </w:p>
    <w:p w14:paraId="6AAF1AFF" w14:textId="77777777" w:rsidR="0032433C" w:rsidRPr="00870822" w:rsidRDefault="0032433C" w:rsidP="0032433C">
      <w:pPr>
        <w:rPr>
          <w:rFonts w:ascii="Arial" w:hAnsi="Arial" w:cs="Arial"/>
          <w:color w:val="0D0D0D" w:themeColor="text1" w:themeTint="F2"/>
        </w:rPr>
      </w:pPr>
      <w:r w:rsidRPr="00870822">
        <w:rPr>
          <w:rFonts w:ascii="Arial" w:hAnsi="Arial" w:cs="Arial"/>
          <w:color w:val="0D0D0D" w:themeColor="text1" w:themeTint="F2"/>
        </w:rPr>
        <w:t>This report provides the detailed financial turnaround plan of General Electronics, a leading consumer electronics company that has a condition of severe financial distress in the world. The Chief Financial Officer is appointed with the mandate to be able to diagnose the fundamental problems and prescribe a practical road to recovery. The analysis starts by a forensic analysis of the financial health of the company in the last five years, which will be based on ratio analysis and a failure predicting model. It then goes ahead to recommend radical changes in working capital management, suggests a strategic financial restructuring to guarantee solvency and considers new investment opportunities with a tight capital rationing. The overall goal is to provide a financially viable, ethically based and globally implementable strategy that would salvage the ailing business and bring it back to a profitable state of sustainability.</w:t>
      </w:r>
    </w:p>
    <w:p w14:paraId="1971D850" w14:textId="77777777" w:rsidR="00FE6097" w:rsidRPr="00870822" w:rsidRDefault="00FE6097" w:rsidP="00E00FEC">
      <w:pPr>
        <w:rPr>
          <w:rFonts w:ascii="Arial" w:hAnsi="Arial" w:cs="Arial"/>
          <w:color w:val="0D0D0D" w:themeColor="text1" w:themeTint="F2"/>
        </w:rPr>
      </w:pPr>
    </w:p>
    <w:p w14:paraId="0491BA08" w14:textId="77777777" w:rsidR="00EF187F" w:rsidRPr="00870822" w:rsidRDefault="00EF187F" w:rsidP="00E00FEC">
      <w:pPr>
        <w:rPr>
          <w:rFonts w:ascii="Arial" w:hAnsi="Arial" w:cs="Arial"/>
          <w:color w:val="0D0D0D" w:themeColor="text1" w:themeTint="F2"/>
        </w:rPr>
      </w:pPr>
    </w:p>
    <w:p w14:paraId="5AFFFDDC" w14:textId="77777777" w:rsidR="00E00FEC" w:rsidRPr="00870822" w:rsidRDefault="00E00FEC" w:rsidP="00E00FEC">
      <w:pPr>
        <w:rPr>
          <w:rFonts w:ascii="Arial" w:hAnsi="Arial" w:cs="Arial"/>
          <w:color w:val="0D0D0D" w:themeColor="text1" w:themeTint="F2"/>
        </w:rPr>
      </w:pPr>
    </w:p>
    <w:p w14:paraId="004486D8" w14:textId="5FF5CF9A" w:rsidR="00E00FEC" w:rsidRPr="00870822" w:rsidRDefault="00E00FEC">
      <w:pPr>
        <w:spacing w:line="259" w:lineRule="auto"/>
        <w:jc w:val="left"/>
        <w:rPr>
          <w:rFonts w:ascii="Arial" w:hAnsi="Arial" w:cs="Arial"/>
          <w:color w:val="0D0D0D" w:themeColor="text1" w:themeTint="F2"/>
        </w:rPr>
      </w:pPr>
      <w:r w:rsidRPr="00870822">
        <w:rPr>
          <w:rFonts w:ascii="Arial" w:hAnsi="Arial" w:cs="Arial"/>
          <w:color w:val="0D0D0D" w:themeColor="text1" w:themeTint="F2"/>
        </w:rPr>
        <w:br w:type="page"/>
      </w:r>
    </w:p>
    <w:p w14:paraId="489E0F40" w14:textId="16C2EEDC" w:rsidR="00D9166F" w:rsidRPr="00870822" w:rsidRDefault="00D9166F" w:rsidP="00D9166F">
      <w:pPr>
        <w:pStyle w:val="Heading1"/>
        <w:rPr>
          <w:rFonts w:ascii="Arial" w:hAnsi="Arial" w:cs="Arial"/>
          <w:color w:val="0D0D0D" w:themeColor="text1" w:themeTint="F2"/>
        </w:rPr>
      </w:pPr>
      <w:bookmarkStart w:id="1" w:name="_Toc217209458"/>
      <w:r w:rsidRPr="00870822">
        <w:rPr>
          <w:rFonts w:ascii="Arial" w:hAnsi="Arial" w:cs="Arial"/>
          <w:color w:val="0D0D0D" w:themeColor="text1" w:themeTint="F2"/>
        </w:rPr>
        <w:lastRenderedPageBreak/>
        <w:t>1. Financial Health Check</w:t>
      </w:r>
      <w:bookmarkEnd w:id="1"/>
    </w:p>
    <w:p w14:paraId="6828F96E" w14:textId="77777777" w:rsidR="00F836E2" w:rsidRPr="00870822" w:rsidRDefault="00F836E2" w:rsidP="00F836E2">
      <w:pPr>
        <w:rPr>
          <w:rFonts w:ascii="Arial" w:hAnsi="Arial" w:cs="Arial"/>
          <w:color w:val="0D0D0D" w:themeColor="text1" w:themeTint="F2"/>
        </w:rPr>
      </w:pPr>
      <w:r w:rsidRPr="00870822">
        <w:rPr>
          <w:rFonts w:ascii="Arial" w:hAnsi="Arial" w:cs="Arial"/>
          <w:color w:val="0D0D0D" w:themeColor="text1" w:themeTint="F2"/>
        </w:rPr>
        <w:t xml:space="preserve">This part will conduct a comprehensive ratio analysis of financial statements of five years (2020-2024) in the key dimensions of performance namely: profitability, liquidity, efficiency, gearing, and cash flow. This is to not only go beyond the surface symptoms in order to establish the underlying pathologies tormenting the firm leading to a final quantitative measurement of the risk of bankruptcy through the Altman Z-Score model. </w:t>
      </w:r>
    </w:p>
    <w:p w14:paraId="703B95DD" w14:textId="60084DF9" w:rsidR="00D9166F" w:rsidRPr="00870822" w:rsidRDefault="00D9166F" w:rsidP="00D9166F">
      <w:pPr>
        <w:pStyle w:val="Heading2"/>
        <w:rPr>
          <w:rFonts w:ascii="Arial" w:hAnsi="Arial" w:cs="Arial"/>
          <w:color w:val="0D0D0D" w:themeColor="text1" w:themeTint="F2"/>
        </w:rPr>
      </w:pPr>
      <w:bookmarkStart w:id="2" w:name="_Toc217209459"/>
      <w:r w:rsidRPr="00870822">
        <w:rPr>
          <w:rFonts w:ascii="Arial" w:hAnsi="Arial" w:cs="Arial"/>
          <w:color w:val="0D0D0D" w:themeColor="text1" w:themeTint="F2"/>
        </w:rPr>
        <w:t>1.1 Profitability Analysis: A Precipitous Decline</w:t>
      </w:r>
      <w:bookmarkEnd w:id="2"/>
    </w:p>
    <w:p w14:paraId="0C54DB74" w14:textId="14E50079" w:rsidR="00FA5C9D" w:rsidRPr="00870822" w:rsidRDefault="00FA5C9D" w:rsidP="00D9166F">
      <w:pPr>
        <w:rPr>
          <w:rFonts w:ascii="Arial" w:hAnsi="Arial" w:cs="Arial"/>
          <w:color w:val="0D0D0D" w:themeColor="text1" w:themeTint="F2"/>
        </w:rPr>
      </w:pPr>
      <w:r w:rsidRPr="00870822">
        <w:rPr>
          <w:rFonts w:ascii="Arial" w:hAnsi="Arial" w:cs="Arial"/>
          <w:color w:val="0D0D0D" w:themeColor="text1" w:themeTint="F2"/>
        </w:rPr>
        <w:t>Profitability is the blood of any company, and in this case, General Electronics has the most agitating symptoms of discomfort. The trends display a drastic and fast loss of the capacity of the company to earn profits.</w:t>
      </w:r>
    </w:p>
    <w:p w14:paraId="4B155049" w14:textId="42775BB1" w:rsidR="007F2C9E" w:rsidRPr="00870822" w:rsidRDefault="007F2C9E" w:rsidP="007F2C9E">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7805688B" wp14:editId="38ECC057">
            <wp:extent cx="5340624" cy="1314518"/>
            <wp:effectExtent l="0" t="0" r="0" b="0"/>
            <wp:docPr id="95337262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72628" name="Picture 1" descr="A screenshot of a graph&#10;&#10;AI-generated content may be incorrect."/>
                    <pic:cNvPicPr/>
                  </pic:nvPicPr>
                  <pic:blipFill>
                    <a:blip r:embed="rId8"/>
                    <a:stretch>
                      <a:fillRect/>
                    </a:stretch>
                  </pic:blipFill>
                  <pic:spPr>
                    <a:xfrm>
                      <a:off x="0" y="0"/>
                      <a:ext cx="5340624" cy="1314518"/>
                    </a:xfrm>
                    <a:prstGeom prst="rect">
                      <a:avLst/>
                    </a:prstGeom>
                  </pic:spPr>
                </pic:pic>
              </a:graphicData>
            </a:graphic>
          </wp:inline>
        </w:drawing>
      </w:r>
    </w:p>
    <w:p w14:paraId="471C4F57" w14:textId="77777777" w:rsidR="00F836E2" w:rsidRPr="00870822" w:rsidRDefault="00D9166F" w:rsidP="00F836E2">
      <w:pPr>
        <w:rPr>
          <w:rFonts w:ascii="Arial" w:hAnsi="Arial" w:cs="Arial"/>
          <w:color w:val="0D0D0D" w:themeColor="text1" w:themeTint="F2"/>
        </w:rPr>
      </w:pPr>
      <w:r w:rsidRPr="00870822">
        <w:rPr>
          <w:rFonts w:ascii="Arial" w:hAnsi="Arial" w:cs="Arial"/>
          <w:b/>
          <w:bCs/>
          <w:color w:val="0D0D0D" w:themeColor="text1" w:themeTint="F2"/>
        </w:rPr>
        <w:t>Gross Profit Margin: </w:t>
      </w:r>
      <w:r w:rsidR="00F836E2" w:rsidRPr="00870822">
        <w:rPr>
          <w:rFonts w:ascii="Arial" w:hAnsi="Arial" w:cs="Arial"/>
          <w:color w:val="0D0D0D" w:themeColor="text1" w:themeTint="F2"/>
        </w:rPr>
        <w:t>The gross margin has been surprisingly resilient, with a range of 28-29% between 2020 and 2022, followed by a sharp decrease to 23.20 in 2023 and an increase to 28.87 in 2024. This implies that the central production and cost-of-goods-sold processes do not cause the crisis the most (Islam, 2014). The 2023 dip may be a sign of pressure on prices, inventory write-downs or a one-time spike in input costs. The rebound of 2024 is a good development, showing that the company still might have pricing power or managed to apply a strict control of costs to the production front.</w:t>
      </w:r>
    </w:p>
    <w:p w14:paraId="7160D1B8" w14:textId="07EFBC33" w:rsidR="00FA5C9D" w:rsidRPr="00870822" w:rsidRDefault="00D9166F" w:rsidP="00FA5C9D">
      <w:pPr>
        <w:rPr>
          <w:rFonts w:ascii="Arial" w:hAnsi="Arial" w:cs="Arial"/>
          <w:color w:val="0D0D0D" w:themeColor="text1" w:themeTint="F2"/>
        </w:rPr>
      </w:pPr>
      <w:r w:rsidRPr="00870822">
        <w:rPr>
          <w:rFonts w:ascii="Arial" w:hAnsi="Arial" w:cs="Arial"/>
          <w:b/>
          <w:bCs/>
          <w:color w:val="0D0D0D" w:themeColor="text1" w:themeTint="F2"/>
        </w:rPr>
        <w:t>Operating and Net Profit Margins: </w:t>
      </w:r>
      <w:r w:rsidR="00F836E2" w:rsidRPr="00870822">
        <w:rPr>
          <w:rFonts w:ascii="Arial" w:hAnsi="Arial" w:cs="Arial"/>
          <w:color w:val="0D0D0D" w:themeColor="text1" w:themeTint="F2"/>
        </w:rPr>
        <w:t xml:space="preserve">The situation becomes extremely deplorable past the gross profit line. Operating Margin which had been performing well with 6.06% in 2020 crumbled to heartbreaking -20.29% in 2023, before recovering slightly to -3.87% in 2024. This is a clear indicator of a disastrous growth in Operating Expenses. This is verified by a closer analysis of the income statement: Operating Expenses increased to 182,861m in 2023, which is more than the 137,744m in 2022, even when the sales dropped significantly. This implies gross operational </w:t>
      </w:r>
      <w:r w:rsidR="00F836E2" w:rsidRPr="00870822">
        <w:rPr>
          <w:rFonts w:ascii="Arial" w:hAnsi="Arial" w:cs="Arial"/>
          <w:color w:val="0D0D0D" w:themeColor="text1" w:themeTint="F2"/>
        </w:rPr>
        <w:lastRenderedPageBreak/>
        <w:t xml:space="preserve">inefficiencies (which may be large administrative hierarchies, high marketing expenses with a low payoff, or even, as indicated in the cash flow statement, huge impairment expenses (£49,075m in 2023) (Jihadi et al., 2021). </w:t>
      </w:r>
      <w:r w:rsidR="00FA5C9D" w:rsidRPr="00870822">
        <w:rPr>
          <w:rFonts w:ascii="Arial" w:hAnsi="Arial" w:cs="Arial"/>
          <w:color w:val="0D0D0D" w:themeColor="text1" w:themeTint="F2"/>
        </w:rPr>
        <w:t>The Net Profit Margin is on this catastrophic path, as it has fallen down to -23.36% in 2023 and -6.09% in 2024 since 2020, when its value was 6.28%. The 2023 and 2024 net losses (of (£98,238m and (24,029m), respectively) are so large that they pose a threat to the very existence of the company.</w:t>
      </w:r>
    </w:p>
    <w:p w14:paraId="10911C7C" w14:textId="75E330E0" w:rsidR="00D9166F" w:rsidRPr="00870822" w:rsidRDefault="00D9166F" w:rsidP="00654FA6">
      <w:pPr>
        <w:rPr>
          <w:rFonts w:ascii="Arial" w:hAnsi="Arial" w:cs="Arial"/>
          <w:color w:val="0D0D0D" w:themeColor="text1" w:themeTint="F2"/>
        </w:rPr>
      </w:pPr>
      <w:r w:rsidRPr="00870822">
        <w:rPr>
          <w:rFonts w:ascii="Arial" w:hAnsi="Arial" w:cs="Arial"/>
          <w:b/>
          <w:bCs/>
          <w:color w:val="0D0D0D" w:themeColor="text1" w:themeTint="F2"/>
        </w:rPr>
        <w:t>Return on Assets (ROA) and Return on Equity (ROE): </w:t>
      </w:r>
      <w:r w:rsidR="00654FA6" w:rsidRPr="00870822">
        <w:rPr>
          <w:rFonts w:ascii="Arial" w:hAnsi="Arial" w:cs="Arial"/>
          <w:color w:val="0D0D0D" w:themeColor="text1" w:themeTint="F2"/>
        </w:rPr>
        <w:t>These ratios will be used to compare the efficiency of the firm in its use of asset base and shareholder capital to make profits. The ROA has become very negative as compared to 7.56, becoming negative at 27.60 and 7.43 in 2023 and 2024 respectively. This means that the massive asset base of General Electronics is not utilized properly and, on the contrary, it is annihilating value (Robert et al., 2023).</w:t>
      </w:r>
      <w:r w:rsidR="007E2C66" w:rsidRPr="00870822">
        <w:rPr>
          <w:rFonts w:ascii="Arial" w:hAnsi="Arial" w:cs="Arial"/>
          <w:color w:val="0D0D0D" w:themeColor="text1" w:themeTint="F2"/>
        </w:rPr>
        <w:t xml:space="preserve"> </w:t>
      </w:r>
      <w:r w:rsidR="00654FA6" w:rsidRPr="00870822">
        <w:rPr>
          <w:rFonts w:ascii="Arial" w:hAnsi="Arial" w:cs="Arial"/>
          <w:color w:val="0D0D0D" w:themeColor="text1" w:themeTint="F2"/>
        </w:rPr>
        <w:t>The ROE is even more frightening to the shareholders, having fallen down to -54.91% and -15.69% in 2023 and 2024, respectively. These devastating adverse returns destroy shareholder wealth and will mean that it becomes impossible to raise new equity capital in a typical environment (</w:t>
      </w:r>
      <w:proofErr w:type="spellStart"/>
      <w:r w:rsidR="00654FA6" w:rsidRPr="00870822">
        <w:rPr>
          <w:rFonts w:ascii="Arial" w:hAnsi="Arial" w:cs="Arial"/>
          <w:color w:val="0D0D0D" w:themeColor="text1" w:themeTint="F2"/>
        </w:rPr>
        <w:t>Noviyana</w:t>
      </w:r>
      <w:proofErr w:type="spellEnd"/>
      <w:r w:rsidR="00654FA6" w:rsidRPr="00870822">
        <w:rPr>
          <w:rFonts w:ascii="Arial" w:hAnsi="Arial" w:cs="Arial"/>
          <w:color w:val="0D0D0D" w:themeColor="text1" w:themeTint="F2"/>
        </w:rPr>
        <w:t xml:space="preserve"> et al., 2023). The 2020-24 trend is the only differing trend, and it is characterized by an uninterrupted decrease that indicates the fundamental failure of the profit-making model of the company.</w:t>
      </w:r>
    </w:p>
    <w:p w14:paraId="29FE74C0" w14:textId="6A9CF8C0" w:rsidR="00D9166F" w:rsidRPr="00870822" w:rsidRDefault="00D9166F" w:rsidP="00D9166F">
      <w:pPr>
        <w:pStyle w:val="Heading2"/>
        <w:rPr>
          <w:rFonts w:ascii="Arial" w:hAnsi="Arial" w:cs="Arial"/>
          <w:color w:val="0D0D0D" w:themeColor="text1" w:themeTint="F2"/>
        </w:rPr>
      </w:pPr>
      <w:bookmarkStart w:id="3" w:name="_Toc217209460"/>
      <w:r w:rsidRPr="00870822">
        <w:rPr>
          <w:rFonts w:ascii="Arial" w:hAnsi="Arial" w:cs="Arial"/>
          <w:color w:val="0D0D0D" w:themeColor="text1" w:themeTint="F2"/>
        </w:rPr>
        <w:t>1.2 Liquidity Analysis: A Tightening Noose</w:t>
      </w:r>
      <w:bookmarkEnd w:id="3"/>
    </w:p>
    <w:p w14:paraId="304FDA9B" w14:textId="77777777" w:rsidR="00EC4940" w:rsidRPr="00870822" w:rsidRDefault="00EC4940" w:rsidP="00EC4940">
      <w:pPr>
        <w:rPr>
          <w:rFonts w:ascii="Arial" w:hAnsi="Arial" w:cs="Arial"/>
          <w:color w:val="0D0D0D" w:themeColor="text1" w:themeTint="F2"/>
        </w:rPr>
      </w:pPr>
      <w:r w:rsidRPr="00870822">
        <w:rPr>
          <w:rFonts w:ascii="Arial" w:hAnsi="Arial" w:cs="Arial"/>
          <w:color w:val="0D0D0D" w:themeColor="text1" w:themeTint="F2"/>
        </w:rPr>
        <w:t>Liquidity is the blood of day-to-day operations and, even though the situation is not critical yet, the trends are worrying and show a narrowing safety net.</w:t>
      </w:r>
    </w:p>
    <w:p w14:paraId="07DCD273" w14:textId="601F88EC" w:rsidR="007F2C9E" w:rsidRPr="00870822" w:rsidRDefault="007F2C9E" w:rsidP="007F2C9E">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34D4B621" wp14:editId="5902FC17">
            <wp:extent cx="5448580" cy="1009702"/>
            <wp:effectExtent l="0" t="0" r="0" b="0"/>
            <wp:docPr id="1642587465" name="Picture 1" descr="A number of number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587465" name="Picture 1" descr="A number of numbers on a white background&#10;&#10;AI-generated content may be incorrect."/>
                    <pic:cNvPicPr/>
                  </pic:nvPicPr>
                  <pic:blipFill>
                    <a:blip r:embed="rId9"/>
                    <a:stretch>
                      <a:fillRect/>
                    </a:stretch>
                  </pic:blipFill>
                  <pic:spPr>
                    <a:xfrm>
                      <a:off x="0" y="0"/>
                      <a:ext cx="5448580" cy="1009702"/>
                    </a:xfrm>
                    <a:prstGeom prst="rect">
                      <a:avLst/>
                    </a:prstGeom>
                  </pic:spPr>
                </pic:pic>
              </a:graphicData>
            </a:graphic>
          </wp:inline>
        </w:drawing>
      </w:r>
    </w:p>
    <w:p w14:paraId="1FDF1719" w14:textId="6CC14623" w:rsidR="00573CAD" w:rsidRPr="00870822" w:rsidRDefault="00D9166F" w:rsidP="00573CAD">
      <w:pPr>
        <w:rPr>
          <w:rFonts w:ascii="Arial" w:hAnsi="Arial" w:cs="Arial"/>
          <w:color w:val="0D0D0D" w:themeColor="text1" w:themeTint="F2"/>
        </w:rPr>
      </w:pPr>
      <w:r w:rsidRPr="00870822">
        <w:rPr>
          <w:rFonts w:ascii="Arial" w:hAnsi="Arial" w:cs="Arial"/>
          <w:b/>
          <w:bCs/>
          <w:color w:val="0D0D0D" w:themeColor="text1" w:themeTint="F2"/>
        </w:rPr>
        <w:t>Current Ratio:</w:t>
      </w:r>
      <w:r w:rsidRPr="00870822">
        <w:rPr>
          <w:rFonts w:ascii="Arial" w:hAnsi="Arial" w:cs="Arial"/>
          <w:color w:val="0D0D0D" w:themeColor="text1" w:themeTint="F2"/>
        </w:rPr>
        <w:t> </w:t>
      </w:r>
      <w:r w:rsidR="00573CAD" w:rsidRPr="00870822">
        <w:rPr>
          <w:rFonts w:ascii="Arial" w:hAnsi="Arial" w:cs="Arial"/>
          <w:color w:val="0D0D0D" w:themeColor="text1" w:themeTint="F2"/>
        </w:rPr>
        <w:t xml:space="preserve">The ratio decreased consistently since its comfortable level of 1.82 in 2020 to 1.53 in 2024. Although a ratio of above 1.0 is conventional, the trend is declining steadily, which indicates that the company is experiencing a higher growth in the current liabilities than in the current assets, which will diminish the buffer of the company to </w:t>
      </w:r>
      <w:r w:rsidR="00BC7791" w:rsidRPr="00870822">
        <w:rPr>
          <w:rFonts w:ascii="Arial" w:hAnsi="Arial" w:cs="Arial"/>
          <w:color w:val="0D0D0D" w:themeColor="text1" w:themeTint="F2"/>
        </w:rPr>
        <w:t>fulfil</w:t>
      </w:r>
      <w:r w:rsidR="00573CAD" w:rsidRPr="00870822">
        <w:rPr>
          <w:rFonts w:ascii="Arial" w:hAnsi="Arial" w:cs="Arial"/>
          <w:color w:val="0D0D0D" w:themeColor="text1" w:themeTint="F2"/>
        </w:rPr>
        <w:t xml:space="preserve"> the short-term commitments (Zhang et al., 2025). The 2024 figure of 1.53 is acceptable on its own but is a low of five years and needs to be monitored.</w:t>
      </w:r>
    </w:p>
    <w:p w14:paraId="2C05BC47" w14:textId="77777777" w:rsidR="002C3776" w:rsidRPr="00870822" w:rsidRDefault="00D9166F" w:rsidP="002C3776">
      <w:pPr>
        <w:rPr>
          <w:rFonts w:ascii="Arial" w:hAnsi="Arial" w:cs="Arial"/>
          <w:color w:val="0D0D0D" w:themeColor="text1" w:themeTint="F2"/>
        </w:rPr>
      </w:pPr>
      <w:r w:rsidRPr="00870822">
        <w:rPr>
          <w:rFonts w:ascii="Arial" w:hAnsi="Arial" w:cs="Arial"/>
          <w:b/>
          <w:bCs/>
          <w:color w:val="0D0D0D" w:themeColor="text1" w:themeTint="F2"/>
        </w:rPr>
        <w:lastRenderedPageBreak/>
        <w:t>Quick Ratio:</w:t>
      </w:r>
      <w:r w:rsidRPr="00870822">
        <w:rPr>
          <w:rFonts w:ascii="Arial" w:hAnsi="Arial" w:cs="Arial"/>
          <w:color w:val="0D0D0D" w:themeColor="text1" w:themeTint="F2"/>
        </w:rPr>
        <w:t> </w:t>
      </w:r>
      <w:r w:rsidR="002C3776" w:rsidRPr="00870822">
        <w:rPr>
          <w:rFonts w:ascii="Arial" w:hAnsi="Arial" w:cs="Arial"/>
          <w:color w:val="0D0D0D" w:themeColor="text1" w:themeTint="F2"/>
        </w:rPr>
        <w:t xml:space="preserve">This stricter measure (excluding inventories) shows a more urgent problem. It decreased to a concerning figure of 0.91 in 2022 (down 1.15 in 2020) which means that, without the sale of inventory, the company had </w:t>
      </w:r>
      <w:proofErr w:type="gramStart"/>
      <w:r w:rsidR="002C3776" w:rsidRPr="00870822">
        <w:rPr>
          <w:rFonts w:ascii="Arial" w:hAnsi="Arial" w:cs="Arial"/>
          <w:color w:val="0D0D0D" w:themeColor="text1" w:themeTint="F2"/>
        </w:rPr>
        <w:t>less</w:t>
      </w:r>
      <w:proofErr w:type="gramEnd"/>
      <w:r w:rsidR="002C3776" w:rsidRPr="00870822">
        <w:rPr>
          <w:rFonts w:ascii="Arial" w:hAnsi="Arial" w:cs="Arial"/>
          <w:color w:val="0D0D0D" w:themeColor="text1" w:themeTint="F2"/>
        </w:rPr>
        <w:t xml:space="preserve"> liquid assets than its immediate liabilities. Even though it has since recovered to 1.03 in 2024, it is still a slim margin of call.</w:t>
      </w:r>
    </w:p>
    <w:p w14:paraId="1682234B" w14:textId="77777777" w:rsidR="002C3776" w:rsidRPr="00870822" w:rsidRDefault="00D9166F" w:rsidP="002C3776">
      <w:pPr>
        <w:rPr>
          <w:rFonts w:ascii="Arial" w:hAnsi="Arial" w:cs="Arial"/>
          <w:color w:val="0D0D0D" w:themeColor="text1" w:themeTint="F2"/>
        </w:rPr>
      </w:pPr>
      <w:r w:rsidRPr="00870822">
        <w:rPr>
          <w:rFonts w:ascii="Arial" w:hAnsi="Arial" w:cs="Arial"/>
          <w:b/>
          <w:bCs/>
          <w:color w:val="0D0D0D" w:themeColor="text1" w:themeTint="F2"/>
        </w:rPr>
        <w:t>Cash Ratio:</w:t>
      </w:r>
      <w:r w:rsidRPr="00870822">
        <w:rPr>
          <w:rFonts w:ascii="Arial" w:hAnsi="Arial" w:cs="Arial"/>
          <w:color w:val="0D0D0D" w:themeColor="text1" w:themeTint="F2"/>
        </w:rPr>
        <w:t> </w:t>
      </w:r>
      <w:r w:rsidR="002C3776" w:rsidRPr="00870822">
        <w:rPr>
          <w:rFonts w:ascii="Arial" w:hAnsi="Arial" w:cs="Arial"/>
          <w:color w:val="0D0D0D" w:themeColor="text1" w:themeTint="F2"/>
        </w:rPr>
        <w:t>This is the most threatening liquidity ratio. The cash ratio has also been reduced by half, 0.32 and 0.17 respectively in 2020 and 2024 respectively. This implies that all the cash available to meet the current liabilities is only 17 pence to every pound. The cash balance alone is now down to only 26,783m when compared to the 66,740m in 2022. This intense cash drainage, which is reflected in the cash flow statement, is caused by operating losses and high financing transactions (debts repayment and share buybacks) (</w:t>
      </w:r>
      <w:proofErr w:type="spellStart"/>
      <w:r w:rsidR="002C3776" w:rsidRPr="00870822">
        <w:rPr>
          <w:rFonts w:ascii="Arial" w:hAnsi="Arial" w:cs="Arial"/>
          <w:color w:val="0D0D0D" w:themeColor="text1" w:themeTint="F2"/>
        </w:rPr>
        <w:t>Palacín</w:t>
      </w:r>
      <w:proofErr w:type="spellEnd"/>
      <w:r w:rsidR="002C3776" w:rsidRPr="00870822">
        <w:rPr>
          <w:rFonts w:ascii="Arial" w:hAnsi="Arial" w:cs="Arial"/>
          <w:color w:val="0D0D0D" w:themeColor="text1" w:themeTint="F2"/>
        </w:rPr>
        <w:t>-Sánchez et al., 2023). This low level of cash ratio seriously limits strategic flexibility of the company and makes it more susceptible to any unexpected shocks or a narrowing of the credit lines.</w:t>
      </w:r>
    </w:p>
    <w:p w14:paraId="2DC705C8" w14:textId="4B9C9AB4" w:rsidR="00D9166F" w:rsidRPr="00870822" w:rsidRDefault="00D9166F" w:rsidP="00D9166F">
      <w:pPr>
        <w:pStyle w:val="Heading2"/>
        <w:rPr>
          <w:rFonts w:ascii="Arial" w:hAnsi="Arial" w:cs="Arial"/>
          <w:color w:val="0D0D0D" w:themeColor="text1" w:themeTint="F2"/>
        </w:rPr>
      </w:pPr>
      <w:bookmarkStart w:id="4" w:name="_Toc217209461"/>
      <w:r w:rsidRPr="00870822">
        <w:rPr>
          <w:rFonts w:ascii="Arial" w:hAnsi="Arial" w:cs="Arial"/>
          <w:color w:val="0D0D0D" w:themeColor="text1" w:themeTint="F2"/>
        </w:rPr>
        <w:t>1.3 Efficiency (Activity) Analysis: Operational Stagnation</w:t>
      </w:r>
      <w:bookmarkEnd w:id="4"/>
    </w:p>
    <w:p w14:paraId="3328729C" w14:textId="77777777" w:rsidR="002C3776" w:rsidRPr="00870822" w:rsidRDefault="002C3776" w:rsidP="002C3776">
      <w:pPr>
        <w:rPr>
          <w:rFonts w:ascii="Arial" w:hAnsi="Arial" w:cs="Arial"/>
          <w:color w:val="0D0D0D" w:themeColor="text1" w:themeTint="F2"/>
        </w:rPr>
      </w:pPr>
      <w:r w:rsidRPr="00870822">
        <w:rPr>
          <w:rFonts w:ascii="Arial" w:hAnsi="Arial" w:cs="Arial"/>
          <w:color w:val="0D0D0D" w:themeColor="text1" w:themeTint="F2"/>
        </w:rPr>
        <w:t>Efficiency ratios determine the performance of the company in utilizing its major assets. The trends in this case show a lack of operational stagnation and bad working capital management.</w:t>
      </w:r>
    </w:p>
    <w:p w14:paraId="7ABC5904" w14:textId="4748797E" w:rsidR="007F2C9E" w:rsidRPr="00870822" w:rsidRDefault="007F2C9E" w:rsidP="007F2C9E">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4269B63B" wp14:editId="744A2329">
            <wp:extent cx="5378726" cy="1060505"/>
            <wp:effectExtent l="0" t="0" r="0" b="6350"/>
            <wp:docPr id="2133834015" name="Picture 1"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834015" name="Picture 1" descr="A table with numbers and numbers&#10;&#10;AI-generated content may be incorrect."/>
                    <pic:cNvPicPr/>
                  </pic:nvPicPr>
                  <pic:blipFill>
                    <a:blip r:embed="rId10"/>
                    <a:stretch>
                      <a:fillRect/>
                    </a:stretch>
                  </pic:blipFill>
                  <pic:spPr>
                    <a:xfrm>
                      <a:off x="0" y="0"/>
                      <a:ext cx="5378726" cy="1060505"/>
                    </a:xfrm>
                    <a:prstGeom prst="rect">
                      <a:avLst/>
                    </a:prstGeom>
                  </pic:spPr>
                </pic:pic>
              </a:graphicData>
            </a:graphic>
          </wp:inline>
        </w:drawing>
      </w:r>
    </w:p>
    <w:p w14:paraId="657413E7" w14:textId="77777777" w:rsidR="00C46375" w:rsidRPr="00870822" w:rsidRDefault="00D9166F" w:rsidP="00C46375">
      <w:pPr>
        <w:rPr>
          <w:rFonts w:ascii="Arial" w:hAnsi="Arial" w:cs="Arial"/>
          <w:color w:val="0D0D0D" w:themeColor="text1" w:themeTint="F2"/>
        </w:rPr>
      </w:pPr>
      <w:r w:rsidRPr="00870822">
        <w:rPr>
          <w:rFonts w:ascii="Arial" w:hAnsi="Arial" w:cs="Arial"/>
          <w:b/>
          <w:bCs/>
          <w:color w:val="0D0D0D" w:themeColor="text1" w:themeTint="F2"/>
        </w:rPr>
        <w:t>Inventory Turnover:</w:t>
      </w:r>
      <w:r w:rsidRPr="00870822">
        <w:rPr>
          <w:rFonts w:ascii="Arial" w:hAnsi="Arial" w:cs="Arial"/>
          <w:color w:val="0D0D0D" w:themeColor="text1" w:themeTint="F2"/>
        </w:rPr>
        <w:t> </w:t>
      </w:r>
      <w:r w:rsidR="00C46375" w:rsidRPr="00870822">
        <w:rPr>
          <w:rFonts w:ascii="Arial" w:hAnsi="Arial" w:cs="Arial"/>
          <w:color w:val="0D0D0D" w:themeColor="text1" w:themeTint="F2"/>
        </w:rPr>
        <w:t xml:space="preserve">It has fluctuated with a low of 2.79x in 2022 and a high value of circa 3.5-3.6x in 2023-2024. This low 2022 figure and the large inventory balance sheet (£140,181m) indicates that there was a phase of extreme inventories accumulation or that it could not sell the products, maybe through obsolete line of products or low demand. The recent positive change should be continued (Nurullah and </w:t>
      </w:r>
      <w:proofErr w:type="spellStart"/>
      <w:r w:rsidR="00C46375" w:rsidRPr="00870822">
        <w:rPr>
          <w:rFonts w:ascii="Arial" w:hAnsi="Arial" w:cs="Arial"/>
          <w:color w:val="0D0D0D" w:themeColor="text1" w:themeTint="F2"/>
        </w:rPr>
        <w:t>Kengatharan</w:t>
      </w:r>
      <w:proofErr w:type="spellEnd"/>
      <w:r w:rsidR="00C46375" w:rsidRPr="00870822">
        <w:rPr>
          <w:rFonts w:ascii="Arial" w:hAnsi="Arial" w:cs="Arial"/>
          <w:color w:val="0D0D0D" w:themeColor="text1" w:themeTint="F2"/>
        </w:rPr>
        <w:t>, 2015).</w:t>
      </w:r>
    </w:p>
    <w:p w14:paraId="23BAB485" w14:textId="77777777" w:rsidR="00C13DE0" w:rsidRPr="00870822" w:rsidRDefault="00D9166F" w:rsidP="00C13DE0">
      <w:pPr>
        <w:rPr>
          <w:rFonts w:ascii="Arial" w:hAnsi="Arial" w:cs="Arial"/>
          <w:color w:val="0D0D0D" w:themeColor="text1" w:themeTint="F2"/>
        </w:rPr>
      </w:pPr>
      <w:r w:rsidRPr="00870822">
        <w:rPr>
          <w:rFonts w:ascii="Arial" w:hAnsi="Arial" w:cs="Arial"/>
          <w:b/>
          <w:bCs/>
          <w:color w:val="0D0D0D" w:themeColor="text1" w:themeTint="F2"/>
        </w:rPr>
        <w:t>Receivables Turnover:</w:t>
      </w:r>
      <w:r w:rsidRPr="00870822">
        <w:rPr>
          <w:rFonts w:ascii="Arial" w:hAnsi="Arial" w:cs="Arial"/>
          <w:color w:val="0D0D0D" w:themeColor="text1" w:themeTint="F2"/>
        </w:rPr>
        <w:t> </w:t>
      </w:r>
      <w:r w:rsidR="00C13DE0" w:rsidRPr="00870822">
        <w:rPr>
          <w:rFonts w:ascii="Arial" w:hAnsi="Arial" w:cs="Arial"/>
          <w:color w:val="0D0D0D" w:themeColor="text1" w:themeTint="F2"/>
        </w:rPr>
        <w:t xml:space="preserve">This ratio has been steadily and alarmingly decreasing, where the ratio was 4.75x in 2020 and 3.46x in 2024. This implies that it is becoming increasingly taking the company a long time to receive payments on its customers </w:t>
      </w:r>
      <w:r w:rsidR="00C13DE0" w:rsidRPr="00870822">
        <w:rPr>
          <w:rFonts w:ascii="Arial" w:hAnsi="Arial" w:cs="Arial"/>
          <w:color w:val="0D0D0D" w:themeColor="text1" w:themeTint="F2"/>
        </w:rPr>
        <w:lastRenderedPageBreak/>
        <w:t>(Zhang et al., 2025). The collection period has gone up to a figure of more than 105 days against a figure of about 77 days. This invests important working capital and can be a sign of less restrictive credit conditions to boost sales or worsening customer quality.</w:t>
      </w:r>
    </w:p>
    <w:p w14:paraId="6C622FAE" w14:textId="10B9B0EE" w:rsidR="00D9166F" w:rsidRPr="00870822" w:rsidRDefault="00D9166F" w:rsidP="00D9166F">
      <w:pPr>
        <w:rPr>
          <w:rFonts w:ascii="Arial" w:hAnsi="Arial" w:cs="Arial"/>
          <w:color w:val="0D0D0D" w:themeColor="text1" w:themeTint="F2"/>
        </w:rPr>
      </w:pPr>
      <w:r w:rsidRPr="00870822">
        <w:rPr>
          <w:rFonts w:ascii="Arial" w:hAnsi="Arial" w:cs="Arial"/>
          <w:b/>
          <w:bCs/>
          <w:color w:val="0D0D0D" w:themeColor="text1" w:themeTint="F2"/>
        </w:rPr>
        <w:t>Asset Turnover:</w:t>
      </w:r>
      <w:r w:rsidRPr="00870822">
        <w:rPr>
          <w:rFonts w:ascii="Arial" w:hAnsi="Arial" w:cs="Arial"/>
          <w:color w:val="0D0D0D" w:themeColor="text1" w:themeTint="F2"/>
        </w:rPr>
        <w:t> </w:t>
      </w:r>
      <w:r w:rsidR="00C13DE0" w:rsidRPr="00870822">
        <w:rPr>
          <w:rFonts w:ascii="Arial" w:hAnsi="Arial" w:cs="Arial"/>
          <w:color w:val="0D0D0D" w:themeColor="text1" w:themeTint="F2"/>
        </w:rPr>
        <w:t>This ratio has shown to be quite constant with an average of 1.2x. This implies that the decrease in sales has been approximating the same as the decrease in total asset base. Nevertheless, stability in this case is not a virtue; it means that the company became less efficient in producing sales out of its assets (Supriyanto and Darmawan, 2018). To achieve a turnaround, it will be important to improve on this ratio.</w:t>
      </w:r>
    </w:p>
    <w:p w14:paraId="0DCC1290" w14:textId="4235E93D" w:rsidR="00D9166F" w:rsidRPr="00870822" w:rsidRDefault="00D9166F" w:rsidP="00D9166F">
      <w:pPr>
        <w:pStyle w:val="Heading2"/>
        <w:rPr>
          <w:rFonts w:ascii="Arial" w:hAnsi="Arial" w:cs="Arial"/>
          <w:color w:val="0D0D0D" w:themeColor="text1" w:themeTint="F2"/>
        </w:rPr>
      </w:pPr>
      <w:bookmarkStart w:id="5" w:name="_Toc217209462"/>
      <w:r w:rsidRPr="00870822">
        <w:rPr>
          <w:rFonts w:ascii="Arial" w:hAnsi="Arial" w:cs="Arial"/>
          <w:color w:val="0D0D0D" w:themeColor="text1" w:themeTint="F2"/>
        </w:rPr>
        <w:t>1.4 Gearing (Leverage) Analysis: A Growing Debt Burden</w:t>
      </w:r>
      <w:bookmarkEnd w:id="5"/>
    </w:p>
    <w:p w14:paraId="68F0C499" w14:textId="77777777" w:rsidR="00D9166F" w:rsidRPr="00870822" w:rsidRDefault="00D9166F" w:rsidP="00D9166F">
      <w:pPr>
        <w:rPr>
          <w:rFonts w:ascii="Arial" w:hAnsi="Arial" w:cs="Arial"/>
          <w:color w:val="0D0D0D" w:themeColor="text1" w:themeTint="F2"/>
        </w:rPr>
      </w:pPr>
      <w:r w:rsidRPr="00870822">
        <w:rPr>
          <w:rFonts w:ascii="Arial" w:hAnsi="Arial" w:cs="Arial"/>
          <w:color w:val="0D0D0D" w:themeColor="text1" w:themeTint="F2"/>
        </w:rPr>
        <w:t>The company's financial risk has increased significantly, as evidenced by its deteriorating leverage and coverage ratios.</w:t>
      </w:r>
    </w:p>
    <w:p w14:paraId="6C53A213" w14:textId="256DC613" w:rsidR="007F2C9E" w:rsidRPr="00870822" w:rsidRDefault="00FC525E" w:rsidP="00FC525E">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7F549AD2" wp14:editId="56ECF62B">
            <wp:extent cx="5340624" cy="1028753"/>
            <wp:effectExtent l="0" t="0" r="0" b="0"/>
            <wp:docPr id="140195481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54815" name="Picture 1" descr="A screenshot of a graph&#10;&#10;AI-generated content may be incorrect."/>
                    <pic:cNvPicPr/>
                  </pic:nvPicPr>
                  <pic:blipFill>
                    <a:blip r:embed="rId11"/>
                    <a:stretch>
                      <a:fillRect/>
                    </a:stretch>
                  </pic:blipFill>
                  <pic:spPr>
                    <a:xfrm>
                      <a:off x="0" y="0"/>
                      <a:ext cx="5340624" cy="1028753"/>
                    </a:xfrm>
                    <a:prstGeom prst="rect">
                      <a:avLst/>
                    </a:prstGeom>
                  </pic:spPr>
                </pic:pic>
              </a:graphicData>
            </a:graphic>
          </wp:inline>
        </w:drawing>
      </w:r>
    </w:p>
    <w:p w14:paraId="7C192442" w14:textId="77777777" w:rsidR="003D1EE6" w:rsidRPr="00870822" w:rsidRDefault="00D9166F" w:rsidP="003D1EE6">
      <w:pPr>
        <w:rPr>
          <w:rFonts w:ascii="Arial" w:hAnsi="Arial" w:cs="Arial"/>
          <w:color w:val="0D0D0D" w:themeColor="text1" w:themeTint="F2"/>
        </w:rPr>
      </w:pPr>
      <w:r w:rsidRPr="00870822">
        <w:rPr>
          <w:rFonts w:ascii="Arial" w:hAnsi="Arial" w:cs="Arial"/>
          <w:b/>
          <w:bCs/>
          <w:color w:val="0D0D0D" w:themeColor="text1" w:themeTint="F2"/>
        </w:rPr>
        <w:t>Debt-to-Equity Ratio: </w:t>
      </w:r>
      <w:r w:rsidR="003D1EE6" w:rsidRPr="00870822">
        <w:rPr>
          <w:rFonts w:ascii="Arial" w:hAnsi="Arial" w:cs="Arial"/>
          <w:color w:val="0D0D0D" w:themeColor="text1" w:themeTint="F2"/>
        </w:rPr>
        <w:t>This has increased frighteningly to 0.63x in 2020 and then 1.11x in 2024. This implies that creditors will have an increased claim of assets of the company than the shareholders. The rising leverage is the direct consequence of the growing and growing losses (which dilute equity) and the growing dependence on debt funding, which become quite apparent in the "Lines of Credit" on the balance sheet. This is a high leverage risk that raises the financial risk and future borrowing expenses (</w:t>
      </w:r>
      <w:proofErr w:type="spellStart"/>
      <w:r w:rsidR="003D1EE6" w:rsidRPr="00870822">
        <w:rPr>
          <w:rFonts w:ascii="Arial" w:hAnsi="Arial" w:cs="Arial"/>
          <w:color w:val="0D0D0D" w:themeColor="text1" w:themeTint="F2"/>
        </w:rPr>
        <w:t>Palacín</w:t>
      </w:r>
      <w:proofErr w:type="spellEnd"/>
      <w:r w:rsidR="003D1EE6" w:rsidRPr="00870822">
        <w:rPr>
          <w:rFonts w:ascii="Arial" w:hAnsi="Arial" w:cs="Arial"/>
          <w:color w:val="0D0D0D" w:themeColor="text1" w:themeTint="F2"/>
        </w:rPr>
        <w:t>-Sánchez et al., 2023).</w:t>
      </w:r>
    </w:p>
    <w:p w14:paraId="3B0E4BF3" w14:textId="22ED25E0" w:rsidR="003D1EE6" w:rsidRPr="00870822" w:rsidRDefault="00D9166F" w:rsidP="003D1EE6">
      <w:pPr>
        <w:rPr>
          <w:rFonts w:ascii="Arial" w:hAnsi="Arial" w:cs="Arial"/>
          <w:color w:val="0D0D0D" w:themeColor="text1" w:themeTint="F2"/>
        </w:rPr>
      </w:pPr>
      <w:r w:rsidRPr="00870822">
        <w:rPr>
          <w:rFonts w:ascii="Arial" w:hAnsi="Arial" w:cs="Arial"/>
          <w:b/>
          <w:bCs/>
          <w:color w:val="0D0D0D" w:themeColor="text1" w:themeTint="F2"/>
        </w:rPr>
        <w:t>Interest Coverage Ratio: </w:t>
      </w:r>
      <w:r w:rsidR="003D1EE6" w:rsidRPr="00870822">
        <w:rPr>
          <w:rFonts w:ascii="Arial" w:hAnsi="Arial" w:cs="Arial"/>
          <w:color w:val="0D0D0D" w:themeColor="text1" w:themeTint="F2"/>
        </w:rPr>
        <w:t xml:space="preserve">It is probably the most important ratio in the present situation. It has fallen sharply down to a very safe 26.21x in 2020 to seriously negative values (-19.69x in 2023 and -4.55x in 2024). When the ratio is negative, it will indicate that the company has no operating earnings to meet its interest liability (Easton et al., 2018). This is a huge solvency alarm. </w:t>
      </w:r>
    </w:p>
    <w:p w14:paraId="1A989F9E" w14:textId="3A89BAE7" w:rsidR="003D1EE6" w:rsidRPr="00870822" w:rsidRDefault="00D9166F" w:rsidP="003D1EE6">
      <w:pPr>
        <w:rPr>
          <w:rFonts w:ascii="Arial" w:hAnsi="Arial" w:cs="Arial"/>
          <w:color w:val="0D0D0D" w:themeColor="text1" w:themeTint="F2"/>
        </w:rPr>
      </w:pPr>
      <w:r w:rsidRPr="00870822">
        <w:rPr>
          <w:rFonts w:ascii="Arial" w:hAnsi="Arial" w:cs="Arial"/>
          <w:b/>
          <w:bCs/>
          <w:color w:val="0D0D0D" w:themeColor="text1" w:themeTint="F2"/>
        </w:rPr>
        <w:lastRenderedPageBreak/>
        <w:t>Debt Ratio:</w:t>
      </w:r>
      <w:r w:rsidRPr="00870822">
        <w:rPr>
          <w:rFonts w:ascii="Arial" w:hAnsi="Arial" w:cs="Arial"/>
          <w:color w:val="0D0D0D" w:themeColor="text1" w:themeTint="F2"/>
        </w:rPr>
        <w:t> </w:t>
      </w:r>
      <w:r w:rsidR="003D1EE6" w:rsidRPr="00870822">
        <w:rPr>
          <w:rFonts w:ascii="Arial" w:hAnsi="Arial" w:cs="Arial"/>
          <w:color w:val="0D0D0D" w:themeColor="text1" w:themeTint="F2"/>
        </w:rPr>
        <w:t>The debt-funded portion of the assets has increased to 53% in the past five years, as compared to 39%, which proves the tendency of increasing the dependence on debt and the subsequent increase of the financial risk.</w:t>
      </w:r>
    </w:p>
    <w:p w14:paraId="3106A98A" w14:textId="58224C92" w:rsidR="00D9166F" w:rsidRPr="00870822" w:rsidRDefault="00D9166F" w:rsidP="00D9166F">
      <w:pPr>
        <w:pStyle w:val="Heading2"/>
        <w:rPr>
          <w:rFonts w:ascii="Arial" w:hAnsi="Arial" w:cs="Arial"/>
          <w:color w:val="0D0D0D" w:themeColor="text1" w:themeTint="F2"/>
        </w:rPr>
      </w:pPr>
      <w:bookmarkStart w:id="6" w:name="_Toc217209463"/>
      <w:r w:rsidRPr="00870822">
        <w:rPr>
          <w:rFonts w:ascii="Arial" w:hAnsi="Arial" w:cs="Arial"/>
          <w:color w:val="0D0D0D" w:themeColor="text1" w:themeTint="F2"/>
        </w:rPr>
        <w:t>1.5 Cash Flow Analysis: The Pulse of the Enterprise</w:t>
      </w:r>
      <w:bookmarkEnd w:id="6"/>
    </w:p>
    <w:p w14:paraId="67A2EF5E" w14:textId="77777777" w:rsidR="00D9166F" w:rsidRPr="00870822" w:rsidRDefault="00D9166F" w:rsidP="00D9166F">
      <w:pPr>
        <w:rPr>
          <w:rFonts w:ascii="Arial" w:hAnsi="Arial" w:cs="Arial"/>
          <w:color w:val="0D0D0D" w:themeColor="text1" w:themeTint="F2"/>
        </w:rPr>
      </w:pPr>
      <w:r w:rsidRPr="00870822">
        <w:rPr>
          <w:rFonts w:ascii="Arial" w:hAnsi="Arial" w:cs="Arial"/>
          <w:color w:val="0D0D0D" w:themeColor="text1" w:themeTint="F2"/>
        </w:rPr>
        <w:t>The cash flow statement reveals the tangible consequences of the profitability and liquidity issues.</w:t>
      </w:r>
    </w:p>
    <w:p w14:paraId="0CC244F4" w14:textId="358B5D26" w:rsidR="00FC525E" w:rsidRPr="00870822" w:rsidRDefault="00A35019" w:rsidP="00CB08BD">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3E81517F" wp14:editId="4511FBFC">
            <wp:extent cx="5731510" cy="1122045"/>
            <wp:effectExtent l="0" t="0" r="2540" b="1905"/>
            <wp:docPr id="1541790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790981" name=""/>
                    <pic:cNvPicPr/>
                  </pic:nvPicPr>
                  <pic:blipFill>
                    <a:blip r:embed="rId12"/>
                    <a:stretch>
                      <a:fillRect/>
                    </a:stretch>
                  </pic:blipFill>
                  <pic:spPr>
                    <a:xfrm>
                      <a:off x="0" y="0"/>
                      <a:ext cx="5731510" cy="1122045"/>
                    </a:xfrm>
                    <a:prstGeom prst="rect">
                      <a:avLst/>
                    </a:prstGeom>
                  </pic:spPr>
                </pic:pic>
              </a:graphicData>
            </a:graphic>
          </wp:inline>
        </w:drawing>
      </w:r>
    </w:p>
    <w:p w14:paraId="2509EA0E" w14:textId="0C506093" w:rsidR="00E04E56" w:rsidRPr="00870822" w:rsidRDefault="00E04E56" w:rsidP="00E04E56">
      <w:pPr>
        <w:rPr>
          <w:rFonts w:ascii="Arial" w:hAnsi="Arial" w:cs="Arial"/>
          <w:color w:val="0D0D0D" w:themeColor="text1" w:themeTint="F2"/>
        </w:rPr>
      </w:pPr>
      <w:r w:rsidRPr="00870822">
        <w:rPr>
          <w:rFonts w:ascii="Arial" w:hAnsi="Arial" w:cs="Arial"/>
          <w:color w:val="0D0D0D" w:themeColor="text1" w:themeTint="F2"/>
        </w:rPr>
        <w:t xml:space="preserve">This figure shows the analysis of the quality and effectiveness of cash generation by General Electronics between 2020 and 2024. </w:t>
      </w:r>
      <w:r w:rsidR="00933898" w:rsidRPr="00870822">
        <w:rPr>
          <w:rFonts w:ascii="Arial" w:hAnsi="Arial" w:cs="Arial"/>
          <w:color w:val="0D0D0D" w:themeColor="text1" w:themeTint="F2"/>
        </w:rPr>
        <w:t>Crucially</w:t>
      </w:r>
      <w:r w:rsidRPr="00870822">
        <w:rPr>
          <w:rFonts w:ascii="Arial" w:hAnsi="Arial" w:cs="Arial"/>
          <w:color w:val="0D0D0D" w:themeColor="text1" w:themeTint="F2"/>
        </w:rPr>
        <w:t>, the overall trend of the three ratios has been of a strong and steady upward trend throughout the period which appears paradoxical when it comes to the steep losses of the firm</w:t>
      </w:r>
      <w:r w:rsidR="00AD231A" w:rsidRPr="00870822">
        <w:rPr>
          <w:rFonts w:ascii="Arial" w:hAnsi="Arial" w:cs="Arial"/>
          <w:color w:val="0D0D0D" w:themeColor="text1" w:themeTint="F2"/>
        </w:rPr>
        <w:t xml:space="preserve"> (Zhang et al., 2025)</w:t>
      </w:r>
      <w:r w:rsidRPr="00870822">
        <w:rPr>
          <w:rFonts w:ascii="Arial" w:hAnsi="Arial" w:cs="Arial"/>
          <w:color w:val="0D0D0D" w:themeColor="text1" w:themeTint="F2"/>
        </w:rPr>
        <w:t>.</w:t>
      </w:r>
      <w:r w:rsidR="00AD231A" w:rsidRPr="00870822">
        <w:rPr>
          <w:rFonts w:ascii="Arial" w:hAnsi="Arial" w:cs="Arial"/>
          <w:color w:val="0D0D0D" w:themeColor="text1" w:themeTint="F2"/>
        </w:rPr>
        <w:t xml:space="preserve"> </w:t>
      </w:r>
      <w:r w:rsidR="00396093" w:rsidRPr="00870822">
        <w:rPr>
          <w:rFonts w:ascii="Arial" w:hAnsi="Arial" w:cs="Arial"/>
          <w:color w:val="0D0D0D" w:themeColor="text1" w:themeTint="F2"/>
        </w:rPr>
        <w:t>The reason lies in the underlying numbers.</w:t>
      </w:r>
      <w:r w:rsidRPr="00870822">
        <w:rPr>
          <w:rFonts w:ascii="Arial" w:hAnsi="Arial" w:cs="Arial"/>
          <w:color w:val="0D0D0D" w:themeColor="text1" w:themeTint="F2"/>
        </w:rPr>
        <w:t xml:space="preserve"> The Operating Cash Flow Ratio (Operating Cash Flow / Current Liabilities) increased to 46.37 percent. This implies that the current liabilities of 158,291 million will be covered by the operations generated 46.37% of the operations generated by the company in 2024 as compared to the 40.88% in 2020 when the operations generated by the company was 73,392 million (Tyagi and Tomar, 2021). Equally, the rising Cash Flow Coverage Ratio is a good indicator of the increasing capacity of the operational cash flow (£14,822m in 2024) to meet overall debt.</w:t>
      </w:r>
      <w:r w:rsidR="00B11A79" w:rsidRPr="00870822">
        <w:rPr>
          <w:rFonts w:ascii="Arial" w:hAnsi="Arial" w:cs="Arial"/>
          <w:color w:val="0D0D0D" w:themeColor="text1" w:themeTint="F2"/>
        </w:rPr>
        <w:t xml:space="preserve"> </w:t>
      </w:r>
    </w:p>
    <w:p w14:paraId="0864D05D" w14:textId="2ADFB201" w:rsidR="00E04E56" w:rsidRPr="00870822" w:rsidRDefault="00E04E56" w:rsidP="00E04E56">
      <w:pPr>
        <w:rPr>
          <w:rFonts w:ascii="Arial" w:hAnsi="Arial" w:cs="Arial"/>
          <w:color w:val="0D0D0D" w:themeColor="text1" w:themeTint="F2"/>
        </w:rPr>
      </w:pPr>
      <w:r w:rsidRPr="00870822">
        <w:rPr>
          <w:rFonts w:ascii="Arial" w:hAnsi="Arial" w:cs="Arial"/>
          <w:color w:val="0D0D0D" w:themeColor="text1" w:themeTint="F2"/>
        </w:rPr>
        <w:t>The Cash Flow Margin is the most informative, as it rose by 11.94</w:t>
      </w:r>
      <w:r w:rsidR="00FE284F" w:rsidRPr="00870822">
        <w:rPr>
          <w:rFonts w:ascii="Arial" w:hAnsi="Arial" w:cs="Arial"/>
          <w:color w:val="0D0D0D" w:themeColor="text1" w:themeTint="F2"/>
        </w:rPr>
        <w:t>%</w:t>
      </w:r>
      <w:r w:rsidRPr="00870822">
        <w:rPr>
          <w:rFonts w:ascii="Arial" w:hAnsi="Arial" w:cs="Arial"/>
          <w:color w:val="0D0D0D" w:themeColor="text1" w:themeTint="F2"/>
        </w:rPr>
        <w:t xml:space="preserve"> to 18.59</w:t>
      </w:r>
      <w:r w:rsidR="00FE284F" w:rsidRPr="00870822">
        <w:rPr>
          <w:rFonts w:ascii="Arial" w:hAnsi="Arial" w:cs="Arial"/>
          <w:color w:val="0D0D0D" w:themeColor="text1" w:themeTint="F2"/>
        </w:rPr>
        <w:t>%</w:t>
      </w:r>
      <w:r w:rsidRPr="00870822">
        <w:rPr>
          <w:rFonts w:ascii="Arial" w:hAnsi="Arial" w:cs="Arial"/>
          <w:color w:val="0D0D0D" w:themeColor="text1" w:themeTint="F2"/>
        </w:rPr>
        <w:t>. This is a significant change of operations: even though net sales dropped to 394,879 million (compared to 614,680 million), the company became much more efficient in turning the revenue into cash. This is a strong trend, which is motivated by the non-cash impairments and working capital alterations, which is needed to offer the much-needed cash monetary life, actual cash, to implement the recommended turnaround</w:t>
      </w:r>
      <w:r w:rsidR="00FE0F18" w:rsidRPr="00870822">
        <w:rPr>
          <w:rFonts w:ascii="Arial" w:hAnsi="Arial" w:cs="Arial"/>
          <w:color w:val="0D0D0D" w:themeColor="text1" w:themeTint="F2"/>
        </w:rPr>
        <w:t xml:space="preserve"> (Schlegel et al., 2016)</w:t>
      </w:r>
      <w:r w:rsidRPr="00870822">
        <w:rPr>
          <w:rFonts w:ascii="Arial" w:hAnsi="Arial" w:cs="Arial"/>
          <w:color w:val="0D0D0D" w:themeColor="text1" w:themeTint="F2"/>
        </w:rPr>
        <w:t>.</w:t>
      </w:r>
    </w:p>
    <w:p w14:paraId="0B752060" w14:textId="77777777" w:rsidR="00E04E56" w:rsidRPr="00870822" w:rsidRDefault="00E04E56" w:rsidP="003D1EE6">
      <w:pPr>
        <w:rPr>
          <w:rFonts w:ascii="Arial" w:hAnsi="Arial" w:cs="Arial"/>
          <w:color w:val="0D0D0D" w:themeColor="text1" w:themeTint="F2"/>
        </w:rPr>
      </w:pPr>
    </w:p>
    <w:p w14:paraId="116DC0BD" w14:textId="5A26883E" w:rsidR="00D9166F" w:rsidRPr="00870822" w:rsidRDefault="00D9166F" w:rsidP="00D9166F">
      <w:pPr>
        <w:pStyle w:val="Heading2"/>
        <w:rPr>
          <w:rFonts w:ascii="Arial" w:hAnsi="Arial" w:cs="Arial"/>
          <w:color w:val="0D0D0D" w:themeColor="text1" w:themeTint="F2"/>
        </w:rPr>
      </w:pPr>
      <w:bookmarkStart w:id="7" w:name="_Toc217209464"/>
      <w:r w:rsidRPr="00870822">
        <w:rPr>
          <w:rFonts w:ascii="Arial" w:hAnsi="Arial" w:cs="Arial"/>
          <w:color w:val="0D0D0D" w:themeColor="text1" w:themeTint="F2"/>
        </w:rPr>
        <w:lastRenderedPageBreak/>
        <w:t>1.6 Corporate Failure Prediction: The Altman Z-Score</w:t>
      </w:r>
      <w:bookmarkEnd w:id="7"/>
    </w:p>
    <w:p w14:paraId="7AAFB69A" w14:textId="77777777" w:rsidR="00FE5552" w:rsidRPr="00870822" w:rsidRDefault="00C774A1" w:rsidP="00C774A1">
      <w:pPr>
        <w:rPr>
          <w:rFonts w:ascii="Arial" w:hAnsi="Arial" w:cs="Arial"/>
          <w:color w:val="0D0D0D" w:themeColor="text1" w:themeTint="F2"/>
        </w:rPr>
      </w:pPr>
      <w:r w:rsidRPr="00870822">
        <w:rPr>
          <w:rFonts w:ascii="Arial" w:hAnsi="Arial" w:cs="Arial"/>
          <w:color w:val="0D0D0D" w:themeColor="text1" w:themeTint="F2"/>
        </w:rPr>
        <w:t>Altman Z-Score is a famous model of prediction of corporate bankruptcy. In the case of manufacturing companies, a Z-Score that is less than 1.81 represents a distress zone, a score that falls between 1.81 and 2.99 represent a grey zone and above a 2.99 is safe.</w:t>
      </w:r>
      <w:r w:rsidR="007E2C66" w:rsidRPr="00870822">
        <w:rPr>
          <w:rFonts w:ascii="Arial" w:hAnsi="Arial" w:cs="Arial"/>
          <w:color w:val="0D0D0D" w:themeColor="text1" w:themeTint="F2"/>
        </w:rPr>
        <w:t xml:space="preserve"> </w:t>
      </w:r>
    </w:p>
    <w:p w14:paraId="2AE99D00" w14:textId="134FF172" w:rsidR="00FE5552" w:rsidRPr="00870822" w:rsidRDefault="00FE5552" w:rsidP="00FE5552">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7CEE63C0" wp14:editId="4CF65F74">
            <wp:extent cx="4216617" cy="2571882"/>
            <wp:effectExtent l="0" t="0" r="0" b="0"/>
            <wp:docPr id="130596545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965451" name="Picture 1" descr="A screenshot of a computer screen&#10;&#10;AI-generated content may be incorrect."/>
                    <pic:cNvPicPr/>
                  </pic:nvPicPr>
                  <pic:blipFill>
                    <a:blip r:embed="rId13"/>
                    <a:stretch>
                      <a:fillRect/>
                    </a:stretch>
                  </pic:blipFill>
                  <pic:spPr>
                    <a:xfrm>
                      <a:off x="0" y="0"/>
                      <a:ext cx="4216617" cy="2571882"/>
                    </a:xfrm>
                    <a:prstGeom prst="rect">
                      <a:avLst/>
                    </a:prstGeom>
                  </pic:spPr>
                </pic:pic>
              </a:graphicData>
            </a:graphic>
          </wp:inline>
        </w:drawing>
      </w:r>
    </w:p>
    <w:p w14:paraId="08735D31" w14:textId="41FD3BBD" w:rsidR="00C774A1" w:rsidRPr="00870822" w:rsidRDefault="00C774A1" w:rsidP="00C774A1">
      <w:pPr>
        <w:rPr>
          <w:rFonts w:ascii="Arial" w:hAnsi="Arial" w:cs="Arial"/>
          <w:color w:val="0D0D0D" w:themeColor="text1" w:themeTint="F2"/>
        </w:rPr>
      </w:pPr>
      <w:r w:rsidRPr="00870822">
        <w:rPr>
          <w:rFonts w:ascii="Arial" w:hAnsi="Arial" w:cs="Arial"/>
          <w:color w:val="0D0D0D" w:themeColor="text1" w:themeTint="F2"/>
        </w:rPr>
        <w:t>Based on the provided calculation, the Altman Z-Score of General Electronics in 2024 will be 2.38. This puts the firm in a solid position of the Grey Zone or high risk. Although it is still not in the Distress Zone this score is a strong quantitative validation of the high levels of financial distress as has been determined in the ratio analysis (Altman, 2018). It is an indicator of high chances of the company failing in financial terms in a period of less than two years unless vigorous corrective measures are put in place. The still-significant sales volume and retained earnings are, probably, bolstering the score, but they are historic areas of strength that are being burnt off fast (Altman et al., 2019).</w:t>
      </w:r>
    </w:p>
    <w:p w14:paraId="6AD139F1" w14:textId="6EB936DC" w:rsidR="00D9166F" w:rsidRPr="00870822" w:rsidRDefault="00D9166F" w:rsidP="00D9166F">
      <w:pPr>
        <w:pStyle w:val="Heading2"/>
        <w:rPr>
          <w:rFonts w:ascii="Arial" w:hAnsi="Arial" w:cs="Arial"/>
          <w:color w:val="0D0D0D" w:themeColor="text1" w:themeTint="F2"/>
        </w:rPr>
      </w:pPr>
      <w:bookmarkStart w:id="8" w:name="_Toc217209465"/>
      <w:r w:rsidRPr="00870822">
        <w:rPr>
          <w:rFonts w:ascii="Arial" w:hAnsi="Arial" w:cs="Arial"/>
          <w:color w:val="0D0D0D" w:themeColor="text1" w:themeTint="F2"/>
        </w:rPr>
        <w:t>1.7 Synthesis: Core Problems Identified</w:t>
      </w:r>
      <w:bookmarkEnd w:id="8"/>
    </w:p>
    <w:p w14:paraId="77A8B8D3" w14:textId="77777777" w:rsidR="00D9166F" w:rsidRPr="00870822" w:rsidRDefault="00D9166F" w:rsidP="00D9166F">
      <w:pPr>
        <w:rPr>
          <w:rFonts w:ascii="Arial" w:hAnsi="Arial" w:cs="Arial"/>
          <w:color w:val="0D0D0D" w:themeColor="text1" w:themeTint="F2"/>
        </w:rPr>
      </w:pPr>
      <w:r w:rsidRPr="00870822">
        <w:rPr>
          <w:rFonts w:ascii="Arial" w:hAnsi="Arial" w:cs="Arial"/>
          <w:color w:val="0D0D0D" w:themeColor="text1" w:themeTint="F2"/>
        </w:rPr>
        <w:t>The financial health check reveals a company in a deep crisis, with the following core problems:</w:t>
      </w:r>
    </w:p>
    <w:p w14:paraId="1EC7749C" w14:textId="18FCF00D" w:rsidR="00D9166F" w:rsidRPr="00870822" w:rsidRDefault="00D9166F" w:rsidP="00D9166F">
      <w:pPr>
        <w:rPr>
          <w:rFonts w:ascii="Arial" w:hAnsi="Arial" w:cs="Arial"/>
          <w:color w:val="0D0D0D" w:themeColor="text1" w:themeTint="F2"/>
        </w:rPr>
      </w:pPr>
      <w:r w:rsidRPr="00870822">
        <w:rPr>
          <w:rFonts w:ascii="Arial" w:hAnsi="Arial" w:cs="Arial"/>
          <w:b/>
          <w:bCs/>
          <w:color w:val="0D0D0D" w:themeColor="text1" w:themeTint="F2"/>
        </w:rPr>
        <w:t>Catastrophic Profitability Erosion:</w:t>
      </w:r>
      <w:r w:rsidRPr="00870822">
        <w:rPr>
          <w:rFonts w:ascii="Arial" w:hAnsi="Arial" w:cs="Arial"/>
          <w:color w:val="0D0D0D" w:themeColor="text1" w:themeTint="F2"/>
        </w:rPr>
        <w:t xml:space="preserve"> The primary issue </w:t>
      </w:r>
      <w:r w:rsidR="00C774A1" w:rsidRPr="00870822">
        <w:rPr>
          <w:rFonts w:ascii="Arial" w:hAnsi="Arial" w:cs="Arial"/>
          <w:color w:val="0D0D0D" w:themeColor="text1" w:themeTint="F2"/>
        </w:rPr>
        <w:t xml:space="preserve">is </w:t>
      </w:r>
      <w:r w:rsidR="003F74E1" w:rsidRPr="00870822">
        <w:rPr>
          <w:rFonts w:ascii="Arial" w:hAnsi="Arial" w:cs="Arial"/>
          <w:color w:val="0D0D0D" w:themeColor="text1" w:themeTint="F2"/>
        </w:rPr>
        <w:t>the explosion in operating expenses, leading to massive operating and net losses</w:t>
      </w:r>
      <w:r w:rsidR="00C774A1" w:rsidRPr="00870822">
        <w:rPr>
          <w:rFonts w:ascii="Arial" w:hAnsi="Arial" w:cs="Arial"/>
          <w:color w:val="0D0D0D" w:themeColor="text1" w:themeTint="F2"/>
        </w:rPr>
        <w:t>. It is being propelled by inefficiency in operations, high impairments of assets, which signify ineffective past investments and may be outdated operations (Kamaluddin et al., 2019).</w:t>
      </w:r>
    </w:p>
    <w:p w14:paraId="057E800B" w14:textId="77777777" w:rsidR="00852F40" w:rsidRPr="00870822" w:rsidRDefault="00D9166F" w:rsidP="00852F40">
      <w:pPr>
        <w:rPr>
          <w:rFonts w:ascii="Arial" w:hAnsi="Arial" w:cs="Arial"/>
          <w:color w:val="0D0D0D" w:themeColor="text1" w:themeTint="F2"/>
        </w:rPr>
      </w:pPr>
      <w:r w:rsidRPr="00870822">
        <w:rPr>
          <w:rFonts w:ascii="Arial" w:hAnsi="Arial" w:cs="Arial"/>
          <w:b/>
          <w:bCs/>
          <w:color w:val="0D0D0D" w:themeColor="text1" w:themeTint="F2"/>
        </w:rPr>
        <w:lastRenderedPageBreak/>
        <w:t>Severe Cash Drain and Deteriorating Liquidity:</w:t>
      </w:r>
      <w:r w:rsidRPr="00870822">
        <w:rPr>
          <w:rFonts w:ascii="Arial" w:hAnsi="Arial" w:cs="Arial"/>
          <w:color w:val="0D0D0D" w:themeColor="text1" w:themeTint="F2"/>
        </w:rPr>
        <w:t> </w:t>
      </w:r>
      <w:r w:rsidR="00852F40" w:rsidRPr="00870822">
        <w:rPr>
          <w:rFonts w:ascii="Arial" w:hAnsi="Arial" w:cs="Arial"/>
          <w:color w:val="0D0D0D" w:themeColor="text1" w:themeTint="F2"/>
        </w:rPr>
        <w:t>The company is draining its cash resources at an alarming pace and cash ratio is becoming dangerously low. This is worsened by the poor working capital management, in terms of slower rate of customer collection.</w:t>
      </w:r>
    </w:p>
    <w:p w14:paraId="0A8B68E8" w14:textId="77777777" w:rsidR="00852F40" w:rsidRPr="00870822" w:rsidRDefault="00D9166F" w:rsidP="00852F40">
      <w:pPr>
        <w:rPr>
          <w:rFonts w:ascii="Arial" w:hAnsi="Arial" w:cs="Arial"/>
          <w:color w:val="0D0D0D" w:themeColor="text1" w:themeTint="F2"/>
        </w:rPr>
      </w:pPr>
      <w:r w:rsidRPr="00870822">
        <w:rPr>
          <w:rFonts w:ascii="Arial" w:hAnsi="Arial" w:cs="Arial"/>
          <w:b/>
          <w:bCs/>
          <w:color w:val="0D0D0D" w:themeColor="text1" w:themeTint="F2"/>
        </w:rPr>
        <w:t>Unsustainable Financial Leverage:</w:t>
      </w:r>
      <w:r w:rsidRPr="00870822">
        <w:rPr>
          <w:rFonts w:ascii="Arial" w:hAnsi="Arial" w:cs="Arial"/>
          <w:color w:val="0D0D0D" w:themeColor="text1" w:themeTint="F2"/>
        </w:rPr>
        <w:t> </w:t>
      </w:r>
      <w:r w:rsidR="00852F40" w:rsidRPr="00870822">
        <w:rPr>
          <w:rFonts w:ascii="Arial" w:hAnsi="Arial" w:cs="Arial"/>
          <w:color w:val="0D0D0D" w:themeColor="text1" w:themeTint="F2"/>
        </w:rPr>
        <w:t>The swift rise in the Debt-to-Equity ratio, along with the negative Interest Coverage Ratio, puts the company in an unsafe debt trap. The company is not able to service its debt in its operations (Zhang et al., 2025).</w:t>
      </w:r>
    </w:p>
    <w:p w14:paraId="0A8CD25A" w14:textId="77777777" w:rsidR="00852F40" w:rsidRPr="00870822" w:rsidRDefault="00D9166F" w:rsidP="00852F40">
      <w:pPr>
        <w:rPr>
          <w:rFonts w:ascii="Arial" w:hAnsi="Arial" w:cs="Arial"/>
          <w:color w:val="0D0D0D" w:themeColor="text1" w:themeTint="F2"/>
        </w:rPr>
      </w:pPr>
      <w:r w:rsidRPr="00870822">
        <w:rPr>
          <w:rFonts w:ascii="Arial" w:hAnsi="Arial" w:cs="Arial"/>
          <w:b/>
          <w:bCs/>
          <w:color w:val="0D0D0D" w:themeColor="text1" w:themeTint="F2"/>
        </w:rPr>
        <w:t>Questionable Strategic Capital Allocation:</w:t>
      </w:r>
      <w:r w:rsidRPr="00870822">
        <w:rPr>
          <w:rFonts w:ascii="Arial" w:hAnsi="Arial" w:cs="Arial"/>
          <w:color w:val="0D0D0D" w:themeColor="text1" w:themeTint="F2"/>
        </w:rPr>
        <w:t> </w:t>
      </w:r>
      <w:r w:rsidR="00852F40" w:rsidRPr="00870822">
        <w:rPr>
          <w:rFonts w:ascii="Arial" w:hAnsi="Arial" w:cs="Arial"/>
          <w:color w:val="0D0D0D" w:themeColor="text1" w:themeTint="F2"/>
        </w:rPr>
        <w:t>The fact that the share buybacks have continued as the company is posting huge losses and its cash reserves are getting smaller reflects a grave malfunction in its capital allocation policy that directly damages creditor and shareholder interests (Ko et al., 2017).</w:t>
      </w:r>
    </w:p>
    <w:p w14:paraId="43839DCA" w14:textId="77777777" w:rsidR="002F0362" w:rsidRPr="00870822" w:rsidRDefault="002F0362" w:rsidP="00D9166F">
      <w:pPr>
        <w:rPr>
          <w:rFonts w:ascii="Arial" w:hAnsi="Arial" w:cs="Arial"/>
          <w:color w:val="0D0D0D" w:themeColor="text1" w:themeTint="F2"/>
        </w:rPr>
      </w:pPr>
    </w:p>
    <w:p w14:paraId="7DA0E2F6" w14:textId="77777777" w:rsidR="00324276" w:rsidRPr="00870822" w:rsidRDefault="00324276" w:rsidP="00D9166F">
      <w:pPr>
        <w:rPr>
          <w:rFonts w:ascii="Arial" w:hAnsi="Arial" w:cs="Arial"/>
          <w:color w:val="0D0D0D" w:themeColor="text1" w:themeTint="F2"/>
        </w:rPr>
      </w:pPr>
    </w:p>
    <w:p w14:paraId="330008B4" w14:textId="77777777" w:rsidR="002F0362" w:rsidRPr="00870822" w:rsidRDefault="002F0362" w:rsidP="00D9166F">
      <w:pPr>
        <w:rPr>
          <w:rFonts w:ascii="Arial" w:hAnsi="Arial" w:cs="Arial"/>
          <w:color w:val="0D0D0D" w:themeColor="text1" w:themeTint="F2"/>
        </w:rPr>
      </w:pPr>
      <w:r w:rsidRPr="00870822">
        <w:rPr>
          <w:rFonts w:ascii="Arial" w:hAnsi="Arial" w:cs="Arial"/>
          <w:color w:val="0D0D0D" w:themeColor="text1" w:themeTint="F2"/>
        </w:rPr>
        <w:br w:type="page"/>
      </w:r>
    </w:p>
    <w:p w14:paraId="26A584E6" w14:textId="2B493842" w:rsidR="00ED1AD3" w:rsidRPr="00870822" w:rsidRDefault="00ED1AD3" w:rsidP="00ED1AD3">
      <w:pPr>
        <w:pStyle w:val="Heading1"/>
        <w:rPr>
          <w:rFonts w:ascii="Arial" w:hAnsi="Arial" w:cs="Arial"/>
          <w:color w:val="0D0D0D" w:themeColor="text1" w:themeTint="F2"/>
        </w:rPr>
      </w:pPr>
      <w:bookmarkStart w:id="9" w:name="_Toc217209466"/>
      <w:r w:rsidRPr="00870822">
        <w:rPr>
          <w:rFonts w:ascii="Arial" w:hAnsi="Arial" w:cs="Arial"/>
          <w:color w:val="0D0D0D" w:themeColor="text1" w:themeTint="F2"/>
        </w:rPr>
        <w:lastRenderedPageBreak/>
        <w:t>2. Working Capital Management Analysis</w:t>
      </w:r>
      <w:bookmarkEnd w:id="9"/>
    </w:p>
    <w:p w14:paraId="36E838E2" w14:textId="77777777" w:rsidR="00ED1AD3" w:rsidRPr="00870822" w:rsidRDefault="00ED1AD3" w:rsidP="00ED1AD3">
      <w:pPr>
        <w:pStyle w:val="Heading2"/>
        <w:rPr>
          <w:rFonts w:ascii="Arial" w:hAnsi="Arial" w:cs="Arial"/>
          <w:color w:val="0D0D0D" w:themeColor="text1" w:themeTint="F2"/>
        </w:rPr>
      </w:pPr>
      <w:bookmarkStart w:id="10" w:name="_Toc217209467"/>
      <w:r w:rsidRPr="00870822">
        <w:rPr>
          <w:rFonts w:ascii="Arial" w:hAnsi="Arial" w:cs="Arial"/>
          <w:color w:val="0D0D0D" w:themeColor="text1" w:themeTint="F2"/>
        </w:rPr>
        <w:t>2.1 Cash Operating Cycle (COC) Analysis</w:t>
      </w:r>
      <w:bookmarkEnd w:id="10"/>
    </w:p>
    <w:p w14:paraId="05DAFAF7" w14:textId="33F787D5" w:rsidR="00ED1AD3" w:rsidRPr="00870822" w:rsidRDefault="005E731E" w:rsidP="00ED1AD3">
      <w:pPr>
        <w:rPr>
          <w:rFonts w:ascii="Arial" w:hAnsi="Arial" w:cs="Arial"/>
          <w:color w:val="0D0D0D" w:themeColor="text1" w:themeTint="F2"/>
        </w:rPr>
      </w:pPr>
      <w:r w:rsidRPr="00870822">
        <w:rPr>
          <w:rFonts w:ascii="Arial" w:hAnsi="Arial" w:cs="Arial"/>
          <w:color w:val="0D0D0D" w:themeColor="text1" w:themeTint="F2"/>
        </w:rPr>
        <w:t>The Cash Operating Cycle (COC) is used to determine how many days it takes the company to pay its suppliers and how many days its customers take to pay.</w:t>
      </w:r>
      <w:r w:rsidR="00392973" w:rsidRPr="00870822">
        <w:rPr>
          <w:rFonts w:ascii="Arial" w:hAnsi="Arial" w:cs="Arial"/>
          <w:color w:val="0D0D0D" w:themeColor="text1" w:themeTint="F2"/>
        </w:rPr>
        <w:t xml:space="preserve"> The shortest cycle is better, as it means that the company does not keep its cash unutilized during long durations of operation (Aktas et al., 2015). The given figures indicate a very disturbing development in the case of General Electronics. </w:t>
      </w:r>
      <w:r w:rsidR="00ED1AD3" w:rsidRPr="00870822">
        <w:rPr>
          <w:rFonts w:ascii="Arial" w:hAnsi="Arial" w:cs="Arial"/>
          <w:color w:val="0D0D0D" w:themeColor="text1" w:themeTint="F2"/>
        </w:rPr>
        <w:t>The formula is:</w:t>
      </w:r>
    </w:p>
    <w:p w14:paraId="3CDA866F" w14:textId="77777777" w:rsidR="00ED1AD3" w:rsidRPr="00870822" w:rsidRDefault="00ED1AD3" w:rsidP="00C95BA8">
      <w:pPr>
        <w:jc w:val="center"/>
        <w:rPr>
          <w:rFonts w:ascii="Arial" w:hAnsi="Arial" w:cs="Arial"/>
          <w:b/>
          <w:bCs/>
          <w:color w:val="0D0D0D" w:themeColor="text1" w:themeTint="F2"/>
        </w:rPr>
      </w:pPr>
      <w:r w:rsidRPr="00870822">
        <w:rPr>
          <w:rFonts w:ascii="Arial" w:hAnsi="Arial" w:cs="Arial"/>
          <w:b/>
          <w:bCs/>
          <w:color w:val="0D0D0D" w:themeColor="text1" w:themeTint="F2"/>
        </w:rPr>
        <w:t>COC = Inventory Days + Receivable Days – Payable Days</w:t>
      </w:r>
    </w:p>
    <w:p w14:paraId="476B3ECE" w14:textId="77777777" w:rsidR="00ED1AD3" w:rsidRPr="00870822" w:rsidRDefault="00ED1AD3" w:rsidP="00ED1AD3">
      <w:pPr>
        <w:rPr>
          <w:rFonts w:ascii="Arial" w:hAnsi="Arial" w:cs="Arial"/>
          <w:color w:val="0D0D0D" w:themeColor="text1" w:themeTint="F2"/>
        </w:rPr>
      </w:pPr>
      <w:r w:rsidRPr="00870822">
        <w:rPr>
          <w:rFonts w:ascii="Arial" w:hAnsi="Arial" w:cs="Arial"/>
          <w:color w:val="0D0D0D" w:themeColor="text1" w:themeTint="F2"/>
        </w:rPr>
        <w:t>The given data for the period 2020–2024 show the following results:</w:t>
      </w:r>
    </w:p>
    <w:p w14:paraId="0A7A3C57" w14:textId="0BD2CCD9" w:rsidR="00ED1AD3" w:rsidRPr="00870822" w:rsidRDefault="00CF170F" w:rsidP="00CF170F">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31095356" wp14:editId="0B39B1F5">
            <wp:extent cx="5512083" cy="1612983"/>
            <wp:effectExtent l="0" t="0" r="0" b="6350"/>
            <wp:docPr id="1486416230" name="Picture 1" descr="A graph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416230" name="Picture 1" descr="A graph with numbers and numbers&#10;&#10;AI-generated content may be incorrect."/>
                    <pic:cNvPicPr/>
                  </pic:nvPicPr>
                  <pic:blipFill>
                    <a:blip r:embed="rId14"/>
                    <a:stretch>
                      <a:fillRect/>
                    </a:stretch>
                  </pic:blipFill>
                  <pic:spPr>
                    <a:xfrm>
                      <a:off x="0" y="0"/>
                      <a:ext cx="5512083" cy="1612983"/>
                    </a:xfrm>
                    <a:prstGeom prst="rect">
                      <a:avLst/>
                    </a:prstGeom>
                  </pic:spPr>
                </pic:pic>
              </a:graphicData>
            </a:graphic>
          </wp:inline>
        </w:drawing>
      </w:r>
    </w:p>
    <w:p w14:paraId="5BEDBB68" w14:textId="77777777" w:rsidR="00392973" w:rsidRPr="00870822" w:rsidRDefault="00D05F0E" w:rsidP="00392973">
      <w:pPr>
        <w:rPr>
          <w:rFonts w:ascii="Arial" w:hAnsi="Arial" w:cs="Arial"/>
          <w:color w:val="0D0D0D" w:themeColor="text1" w:themeTint="F2"/>
        </w:rPr>
      </w:pPr>
      <w:r w:rsidRPr="00870822">
        <w:rPr>
          <w:rFonts w:ascii="Arial" w:hAnsi="Arial" w:cs="Arial"/>
          <w:b/>
          <w:bCs/>
          <w:color w:val="0D0D0D" w:themeColor="text1" w:themeTint="F2"/>
        </w:rPr>
        <w:t>Inventory Days:</w:t>
      </w:r>
      <w:r w:rsidRPr="00870822">
        <w:rPr>
          <w:rFonts w:ascii="Arial" w:hAnsi="Arial" w:cs="Arial"/>
          <w:color w:val="0D0D0D" w:themeColor="text1" w:themeTint="F2"/>
        </w:rPr>
        <w:t> </w:t>
      </w:r>
      <w:r w:rsidR="00392973" w:rsidRPr="00870822">
        <w:rPr>
          <w:rFonts w:ascii="Arial" w:hAnsi="Arial" w:cs="Arial"/>
          <w:color w:val="0D0D0D" w:themeColor="text1" w:themeTint="F2"/>
        </w:rPr>
        <w:t>The inventory management is the starting point of the cycle. The number skyrocketed to 131 days in 2022, suggesting an extremely large accumulation of unsold inventory, probably as a result of low demand, obsolescence, or incompetent forecasting. Although this has increased to 103 days in the year 2024, this is still more than 100 days in 2020. This implies that the cash is continuing to be tied up in inventory more than three months.</w:t>
      </w:r>
    </w:p>
    <w:p w14:paraId="62231A84" w14:textId="08BEEC09" w:rsidR="00392973" w:rsidRPr="00870822" w:rsidRDefault="00D05F0E" w:rsidP="00392973">
      <w:pPr>
        <w:rPr>
          <w:rFonts w:ascii="Arial" w:hAnsi="Arial" w:cs="Arial"/>
          <w:color w:val="0D0D0D" w:themeColor="text1" w:themeTint="F2"/>
        </w:rPr>
      </w:pPr>
      <w:r w:rsidRPr="00870822">
        <w:rPr>
          <w:rFonts w:ascii="Arial" w:hAnsi="Arial" w:cs="Arial"/>
          <w:b/>
          <w:bCs/>
          <w:color w:val="0D0D0D" w:themeColor="text1" w:themeTint="F2"/>
        </w:rPr>
        <w:t>Receivable Days: </w:t>
      </w:r>
      <w:r w:rsidR="00392973" w:rsidRPr="00870822">
        <w:rPr>
          <w:rFonts w:ascii="Arial" w:hAnsi="Arial" w:cs="Arial"/>
          <w:color w:val="0D0D0D" w:themeColor="text1" w:themeTint="F2"/>
        </w:rPr>
        <w:t>This is the most alarming part of the cycle. The customer collection period has become extremely problematic as compared to 2020 (77 days), as the 2024 customer collection performance dropped to 106 days. This addition of almost a month indicates that the company might have made its credit conditions more lenient in a desperate effort to increase its sales, or that its clients are themselves in financial distress and are paying late. This holds up an enormous sum of money as evidenced in the already high level of account receivable balance in the balance sheet (£114,182m in 2024).</w:t>
      </w:r>
    </w:p>
    <w:p w14:paraId="17AD2E35" w14:textId="77777777" w:rsidR="00B0729C" w:rsidRPr="00870822" w:rsidRDefault="00D05F0E" w:rsidP="00B0729C">
      <w:pPr>
        <w:rPr>
          <w:rFonts w:ascii="Arial" w:hAnsi="Arial" w:cs="Arial"/>
          <w:color w:val="0D0D0D" w:themeColor="text1" w:themeTint="F2"/>
        </w:rPr>
      </w:pPr>
      <w:r w:rsidRPr="00870822">
        <w:rPr>
          <w:rFonts w:ascii="Arial" w:hAnsi="Arial" w:cs="Arial"/>
          <w:b/>
          <w:bCs/>
          <w:color w:val="0D0D0D" w:themeColor="text1" w:themeTint="F2"/>
        </w:rPr>
        <w:lastRenderedPageBreak/>
        <w:t>Payable Days:</w:t>
      </w:r>
      <w:r w:rsidRPr="00870822">
        <w:rPr>
          <w:rFonts w:ascii="Arial" w:hAnsi="Arial" w:cs="Arial"/>
          <w:color w:val="0D0D0D" w:themeColor="text1" w:themeTint="F2"/>
        </w:rPr>
        <w:t> </w:t>
      </w:r>
      <w:r w:rsidR="00B0729C" w:rsidRPr="00870822">
        <w:rPr>
          <w:rFonts w:ascii="Arial" w:hAnsi="Arial" w:cs="Arial"/>
          <w:color w:val="0D0D0D" w:themeColor="text1" w:themeTint="F2"/>
        </w:rPr>
        <w:t>This is in the form of the duration of time that the company takes to settle its own suppliers. This number has greatly grown compared to 69 days in 2020 to 94 days in 2024. Although extending payables may be a quick fix financing system, it is a risky practice. It is a potential harm to relationships with suppliers, early-payment discounts may be lost, and even supply chain disruptions may occur in case suppliers are not ready to grant additional credits.</w:t>
      </w:r>
    </w:p>
    <w:p w14:paraId="50AF9722" w14:textId="30552863" w:rsidR="00B0729C" w:rsidRPr="00870822" w:rsidRDefault="00D05F0E" w:rsidP="00B0729C">
      <w:pPr>
        <w:rPr>
          <w:rFonts w:ascii="Arial" w:hAnsi="Arial" w:cs="Arial"/>
          <w:color w:val="0D0D0D" w:themeColor="text1" w:themeTint="F2"/>
        </w:rPr>
      </w:pPr>
      <w:r w:rsidRPr="00870822">
        <w:rPr>
          <w:rFonts w:ascii="Arial" w:hAnsi="Arial" w:cs="Arial"/>
          <w:b/>
          <w:bCs/>
          <w:color w:val="0D0D0D" w:themeColor="text1" w:themeTint="F2"/>
        </w:rPr>
        <w:t>Overall Cash Operating Cycle:</w:t>
      </w:r>
      <w:r w:rsidRPr="00870822">
        <w:rPr>
          <w:rFonts w:ascii="Arial" w:hAnsi="Arial" w:cs="Arial"/>
          <w:color w:val="0D0D0D" w:themeColor="text1" w:themeTint="F2"/>
        </w:rPr>
        <w:t> </w:t>
      </w:r>
      <w:r w:rsidR="00B0729C" w:rsidRPr="00870822">
        <w:rPr>
          <w:rFonts w:ascii="Arial" w:hAnsi="Arial" w:cs="Arial"/>
          <w:color w:val="0D0D0D" w:themeColor="text1" w:themeTint="F2"/>
        </w:rPr>
        <w:t>The overall result is a COC which, although with certain improvement, is tangibly high at 140 days in 2022, and at 115 days in 2024. This implies that the General Electronics needs close to four months to recycle its investments in inventory and other resources into cash. This is an excessively long cycle, a major cause of the liquidity crisis of the company</w:t>
      </w:r>
      <w:r w:rsidR="00675C6B" w:rsidRPr="00870822">
        <w:rPr>
          <w:rFonts w:ascii="Arial" w:hAnsi="Arial" w:cs="Arial"/>
          <w:color w:val="0D0D0D" w:themeColor="text1" w:themeTint="F2"/>
        </w:rPr>
        <w:t xml:space="preserve"> (Zhang et al., 2025)</w:t>
      </w:r>
      <w:r w:rsidR="00B0729C" w:rsidRPr="00870822">
        <w:rPr>
          <w:rFonts w:ascii="Arial" w:hAnsi="Arial" w:cs="Arial"/>
          <w:color w:val="0D0D0D" w:themeColor="text1" w:themeTint="F2"/>
        </w:rPr>
        <w:t>. The 2024 improvement is in part because of the offensive stretching of payables (94 days), which is not sustainable.</w:t>
      </w:r>
    </w:p>
    <w:p w14:paraId="6CE54291" w14:textId="34C90CBF" w:rsidR="00D05F0E" w:rsidRPr="00870822" w:rsidRDefault="00D05F0E" w:rsidP="00D05F0E">
      <w:pPr>
        <w:pStyle w:val="Heading2"/>
        <w:rPr>
          <w:rFonts w:ascii="Arial" w:hAnsi="Arial" w:cs="Arial"/>
          <w:color w:val="0D0D0D" w:themeColor="text1" w:themeTint="F2"/>
        </w:rPr>
      </w:pPr>
      <w:bookmarkStart w:id="11" w:name="_Toc217209468"/>
      <w:r w:rsidRPr="00870822">
        <w:rPr>
          <w:rFonts w:ascii="Arial" w:hAnsi="Arial" w:cs="Arial"/>
          <w:color w:val="0D0D0D" w:themeColor="text1" w:themeTint="F2"/>
        </w:rPr>
        <w:t>2.</w:t>
      </w:r>
      <w:r w:rsidR="00DB7658" w:rsidRPr="00870822">
        <w:rPr>
          <w:rFonts w:ascii="Arial" w:hAnsi="Arial" w:cs="Arial"/>
          <w:color w:val="0D0D0D" w:themeColor="text1" w:themeTint="F2"/>
        </w:rPr>
        <w:t>2</w:t>
      </w:r>
      <w:r w:rsidRPr="00870822">
        <w:rPr>
          <w:rFonts w:ascii="Arial" w:hAnsi="Arial" w:cs="Arial"/>
          <w:color w:val="0D0D0D" w:themeColor="text1" w:themeTint="F2"/>
        </w:rPr>
        <w:t xml:space="preserve"> Recommended Strategies for Working Capital Reform</w:t>
      </w:r>
      <w:bookmarkEnd w:id="11"/>
    </w:p>
    <w:p w14:paraId="33F6982F" w14:textId="77777777" w:rsidR="00B0729C" w:rsidRPr="00870822" w:rsidRDefault="00B0729C" w:rsidP="00B0729C">
      <w:pPr>
        <w:rPr>
          <w:rFonts w:ascii="Arial" w:hAnsi="Arial" w:cs="Arial"/>
          <w:color w:val="0D0D0D" w:themeColor="text1" w:themeTint="F2"/>
        </w:rPr>
      </w:pPr>
      <w:r w:rsidRPr="00870822">
        <w:rPr>
          <w:rFonts w:ascii="Arial" w:hAnsi="Arial" w:cs="Arial"/>
          <w:color w:val="0D0D0D" w:themeColor="text1" w:themeTint="F2"/>
        </w:rPr>
        <w:t>General Electronics needs to implement an aggressive targeted working capital reform program at once to enhance liquidity. This should be aimed at lowering the COC by at least 30 days over the next 12 months which would release billions in trapped cash.</w:t>
      </w:r>
    </w:p>
    <w:p w14:paraId="1993E1FE" w14:textId="77777777" w:rsidR="00D05F0E" w:rsidRPr="00870822" w:rsidRDefault="00D05F0E" w:rsidP="00D05F0E">
      <w:pPr>
        <w:rPr>
          <w:rFonts w:ascii="Arial" w:hAnsi="Arial" w:cs="Arial"/>
          <w:b/>
          <w:bCs/>
          <w:color w:val="0D0D0D" w:themeColor="text1" w:themeTint="F2"/>
        </w:rPr>
      </w:pPr>
      <w:r w:rsidRPr="00870822">
        <w:rPr>
          <w:rFonts w:ascii="Arial" w:hAnsi="Arial" w:cs="Arial"/>
          <w:b/>
          <w:bCs/>
          <w:color w:val="0D0D0D" w:themeColor="text1" w:themeTint="F2"/>
        </w:rPr>
        <w:t>Aggressive Receivables Management (Target: Reduce Receivable Days to 80):</w:t>
      </w:r>
    </w:p>
    <w:p w14:paraId="084722F4" w14:textId="77777777" w:rsidR="00B0729C" w:rsidRPr="00870822" w:rsidRDefault="00B0729C" w:rsidP="00B0729C">
      <w:pPr>
        <w:pStyle w:val="ListParagraph"/>
        <w:numPr>
          <w:ilvl w:val="0"/>
          <w:numId w:val="40"/>
        </w:numPr>
        <w:rPr>
          <w:rFonts w:ascii="Arial" w:hAnsi="Arial" w:cs="Arial"/>
          <w:color w:val="0D0D0D" w:themeColor="text1" w:themeTint="F2"/>
        </w:rPr>
      </w:pPr>
      <w:r w:rsidRPr="00870822">
        <w:rPr>
          <w:rFonts w:ascii="Arial" w:hAnsi="Arial" w:cs="Arial"/>
          <w:color w:val="0D0D0D" w:themeColor="text1" w:themeTint="F2"/>
        </w:rPr>
        <w:t>GE should also promptly increase credit requirements among new clients and perform strict credit checks and impose a lower credit limit on risky accounts (Aktas et al., 2015).</w:t>
      </w:r>
    </w:p>
    <w:p w14:paraId="2C148E28" w14:textId="77777777" w:rsidR="00B0729C" w:rsidRPr="00870822" w:rsidRDefault="00B0729C" w:rsidP="00B0729C">
      <w:pPr>
        <w:pStyle w:val="ListParagraph"/>
        <w:numPr>
          <w:ilvl w:val="0"/>
          <w:numId w:val="40"/>
        </w:numPr>
        <w:rPr>
          <w:rFonts w:ascii="Arial" w:hAnsi="Arial" w:cs="Arial"/>
          <w:color w:val="0D0D0D" w:themeColor="text1" w:themeTint="F2"/>
        </w:rPr>
      </w:pPr>
      <w:r w:rsidRPr="00870822">
        <w:rPr>
          <w:rFonts w:ascii="Arial" w:hAnsi="Arial" w:cs="Arial"/>
          <w:color w:val="0D0D0D" w:themeColor="text1" w:themeTint="F2"/>
        </w:rPr>
        <w:t xml:space="preserve">It must have an effective collections task force that is empowered to chase after overdue accounts. It must also adopt a systematic system of reminder, phone calls and as the final option, </w:t>
      </w:r>
      <w:proofErr w:type="spellStart"/>
      <w:r w:rsidRPr="00870822">
        <w:rPr>
          <w:rFonts w:ascii="Arial" w:hAnsi="Arial" w:cs="Arial"/>
          <w:color w:val="0D0D0D" w:themeColor="text1" w:themeTint="F2"/>
        </w:rPr>
        <w:t>turn over</w:t>
      </w:r>
      <w:proofErr w:type="spellEnd"/>
      <w:r w:rsidRPr="00870822">
        <w:rPr>
          <w:rFonts w:ascii="Arial" w:hAnsi="Arial" w:cs="Arial"/>
          <w:color w:val="0D0D0D" w:themeColor="text1" w:themeTint="F2"/>
        </w:rPr>
        <w:t xml:space="preserve"> of accounts to collection agencies (Enqvist et al., 2014).</w:t>
      </w:r>
    </w:p>
    <w:p w14:paraId="2B9E721E" w14:textId="77777777" w:rsidR="00B0729C" w:rsidRPr="00870822" w:rsidRDefault="00B0729C" w:rsidP="00B0729C">
      <w:pPr>
        <w:pStyle w:val="ListParagraph"/>
        <w:numPr>
          <w:ilvl w:val="0"/>
          <w:numId w:val="40"/>
        </w:numPr>
        <w:rPr>
          <w:rFonts w:ascii="Arial" w:hAnsi="Arial" w:cs="Arial"/>
          <w:color w:val="0D0D0D" w:themeColor="text1" w:themeTint="F2"/>
        </w:rPr>
      </w:pPr>
      <w:r w:rsidRPr="00870822">
        <w:rPr>
          <w:rFonts w:ascii="Arial" w:hAnsi="Arial" w:cs="Arial"/>
          <w:color w:val="0D0D0D" w:themeColor="text1" w:themeTint="F2"/>
        </w:rPr>
        <w:t>It should also provide small but significant discounts (e.g. 2%) to payments made in 10 days. This can significantly hasten the inflows of cash.</w:t>
      </w:r>
    </w:p>
    <w:p w14:paraId="788CBDB7" w14:textId="77777777" w:rsidR="00B0729C" w:rsidRPr="00870822" w:rsidRDefault="00B0729C" w:rsidP="00B0729C">
      <w:pPr>
        <w:pStyle w:val="ListParagraph"/>
        <w:numPr>
          <w:ilvl w:val="0"/>
          <w:numId w:val="40"/>
        </w:numPr>
        <w:rPr>
          <w:rFonts w:ascii="Arial" w:hAnsi="Arial" w:cs="Arial"/>
          <w:color w:val="0D0D0D" w:themeColor="text1" w:themeTint="F2"/>
        </w:rPr>
      </w:pPr>
      <w:r w:rsidRPr="00870822">
        <w:rPr>
          <w:rFonts w:ascii="Arial" w:hAnsi="Arial" w:cs="Arial"/>
          <w:color w:val="0D0D0D" w:themeColor="text1" w:themeTint="F2"/>
        </w:rPr>
        <w:t xml:space="preserve">It can also think of selling part of its </w:t>
      </w:r>
      <w:proofErr w:type="gramStart"/>
      <w:r w:rsidRPr="00870822">
        <w:rPr>
          <w:rFonts w:ascii="Arial" w:hAnsi="Arial" w:cs="Arial"/>
          <w:color w:val="0D0D0D" w:themeColor="text1" w:themeTint="F2"/>
        </w:rPr>
        <w:t>receivables</w:t>
      </w:r>
      <w:proofErr w:type="gramEnd"/>
      <w:r w:rsidRPr="00870822">
        <w:rPr>
          <w:rFonts w:ascii="Arial" w:hAnsi="Arial" w:cs="Arial"/>
          <w:color w:val="0D0D0D" w:themeColor="text1" w:themeTint="F2"/>
        </w:rPr>
        <w:t xml:space="preserve"> portfolio to a factor. This will give cash on hand but at a price and the risk of collection is also passed on.</w:t>
      </w:r>
    </w:p>
    <w:p w14:paraId="309D066B" w14:textId="77777777" w:rsidR="00D05F0E" w:rsidRPr="00870822" w:rsidRDefault="00D05F0E" w:rsidP="00D05F0E">
      <w:pPr>
        <w:rPr>
          <w:rFonts w:ascii="Arial" w:hAnsi="Arial" w:cs="Arial"/>
          <w:b/>
          <w:bCs/>
          <w:color w:val="0D0D0D" w:themeColor="text1" w:themeTint="F2"/>
        </w:rPr>
      </w:pPr>
      <w:r w:rsidRPr="00870822">
        <w:rPr>
          <w:rFonts w:ascii="Arial" w:hAnsi="Arial" w:cs="Arial"/>
          <w:b/>
          <w:bCs/>
          <w:color w:val="0D0D0D" w:themeColor="text1" w:themeTint="F2"/>
        </w:rPr>
        <w:t>Lean Inventory Management (Target: Reduce Inventory Days to 85):</w:t>
      </w:r>
    </w:p>
    <w:p w14:paraId="0210AEE0" w14:textId="77777777" w:rsidR="00B0729C" w:rsidRPr="00870822" w:rsidRDefault="00B0729C" w:rsidP="00B0729C">
      <w:pPr>
        <w:pStyle w:val="ListParagraph"/>
        <w:numPr>
          <w:ilvl w:val="0"/>
          <w:numId w:val="41"/>
        </w:numPr>
        <w:rPr>
          <w:rFonts w:ascii="Arial" w:hAnsi="Arial" w:cs="Arial"/>
          <w:color w:val="0D0D0D" w:themeColor="text1" w:themeTint="F2"/>
        </w:rPr>
      </w:pPr>
      <w:r w:rsidRPr="00870822">
        <w:rPr>
          <w:rFonts w:ascii="Arial" w:hAnsi="Arial" w:cs="Arial"/>
          <w:color w:val="0D0D0D" w:themeColor="text1" w:themeTint="F2"/>
        </w:rPr>
        <w:lastRenderedPageBreak/>
        <w:t>GE should categorize inventory as A (high-value), B (medium-value), and C (low-value) and invest efforts in reduction of stocks of A- items, which consume the greatest capital.</w:t>
      </w:r>
    </w:p>
    <w:p w14:paraId="55118A6F" w14:textId="434C808B" w:rsidR="00B0729C" w:rsidRPr="00870822" w:rsidRDefault="00B0729C" w:rsidP="00B0729C">
      <w:pPr>
        <w:pStyle w:val="ListParagraph"/>
        <w:numPr>
          <w:ilvl w:val="0"/>
          <w:numId w:val="41"/>
        </w:numPr>
        <w:rPr>
          <w:rFonts w:ascii="Arial" w:hAnsi="Arial" w:cs="Arial"/>
          <w:color w:val="0D0D0D" w:themeColor="text1" w:themeTint="F2"/>
        </w:rPr>
      </w:pPr>
      <w:r w:rsidRPr="00870822">
        <w:rPr>
          <w:rFonts w:ascii="Arial" w:hAnsi="Arial" w:cs="Arial"/>
          <w:color w:val="0D0D0D" w:themeColor="text1" w:themeTint="F2"/>
        </w:rPr>
        <w:t xml:space="preserve">It ought to do proper audit and dispose the slow-moving inventory or its obsolete inventory by way of discounted sale, or by way of online marketplace. </w:t>
      </w:r>
    </w:p>
    <w:p w14:paraId="6576B6FE" w14:textId="6C3E8163" w:rsidR="00B0729C" w:rsidRPr="00870822" w:rsidRDefault="00B0729C" w:rsidP="00B0729C">
      <w:pPr>
        <w:pStyle w:val="ListParagraph"/>
        <w:numPr>
          <w:ilvl w:val="0"/>
          <w:numId w:val="41"/>
        </w:numPr>
        <w:rPr>
          <w:rFonts w:ascii="Arial" w:hAnsi="Arial" w:cs="Arial"/>
          <w:color w:val="0D0D0D" w:themeColor="text1" w:themeTint="F2"/>
        </w:rPr>
      </w:pPr>
      <w:r w:rsidRPr="00870822">
        <w:rPr>
          <w:rFonts w:ascii="Arial" w:hAnsi="Arial" w:cs="Arial"/>
          <w:color w:val="0D0D0D" w:themeColor="text1" w:themeTint="F2"/>
        </w:rPr>
        <w:t>GE will have to collaborate with its suppliers to implement the use of Just-in-Time (JIT) delivery processes on its major components to reduce raw material and work-in-progress inventories.</w:t>
      </w:r>
    </w:p>
    <w:p w14:paraId="0B32B21B" w14:textId="77777777" w:rsidR="00D05F0E" w:rsidRPr="00870822" w:rsidRDefault="00D05F0E" w:rsidP="00D05F0E">
      <w:pPr>
        <w:rPr>
          <w:rFonts w:ascii="Arial" w:hAnsi="Arial" w:cs="Arial"/>
          <w:b/>
          <w:bCs/>
          <w:color w:val="0D0D0D" w:themeColor="text1" w:themeTint="F2"/>
        </w:rPr>
      </w:pPr>
      <w:r w:rsidRPr="00870822">
        <w:rPr>
          <w:rFonts w:ascii="Arial" w:hAnsi="Arial" w:cs="Arial"/>
          <w:b/>
          <w:bCs/>
          <w:color w:val="0D0D0D" w:themeColor="text1" w:themeTint="F2"/>
        </w:rPr>
        <w:t>Strategic Payables Management (Target: Stabilise Payable Days at 80):</w:t>
      </w:r>
    </w:p>
    <w:p w14:paraId="57524686" w14:textId="77777777" w:rsidR="00887CDD" w:rsidRPr="00870822" w:rsidRDefault="00887CDD" w:rsidP="00887CDD">
      <w:pPr>
        <w:rPr>
          <w:rFonts w:ascii="Arial" w:hAnsi="Arial" w:cs="Arial"/>
          <w:color w:val="0D0D0D" w:themeColor="text1" w:themeTint="F2"/>
        </w:rPr>
      </w:pPr>
      <w:r w:rsidRPr="00870822">
        <w:rPr>
          <w:rFonts w:ascii="Arial" w:hAnsi="Arial" w:cs="Arial"/>
          <w:color w:val="0D0D0D" w:themeColor="text1" w:themeTint="F2"/>
        </w:rPr>
        <w:t>The current period of 94-days is not sustainable though the extension of payables helped temporarily. The approach must be changed to optimisation of payables instead of stretching payables.</w:t>
      </w:r>
    </w:p>
    <w:p w14:paraId="0A687540" w14:textId="77777777" w:rsidR="00887CDD" w:rsidRPr="00870822" w:rsidRDefault="00887CDD" w:rsidP="00887CDD">
      <w:pPr>
        <w:pStyle w:val="ListParagraph"/>
        <w:numPr>
          <w:ilvl w:val="0"/>
          <w:numId w:val="42"/>
        </w:numPr>
        <w:rPr>
          <w:rFonts w:ascii="Arial" w:hAnsi="Arial" w:cs="Arial"/>
          <w:color w:val="0D0D0D" w:themeColor="text1" w:themeTint="F2"/>
        </w:rPr>
      </w:pPr>
      <w:r w:rsidRPr="00870822">
        <w:rPr>
          <w:rFonts w:ascii="Arial" w:hAnsi="Arial" w:cs="Arial"/>
          <w:color w:val="0D0D0D" w:themeColor="text1" w:themeTint="F2"/>
        </w:rPr>
        <w:t>GE needs to initiate free negotiations with key suppliers and clarify on the turnaround effort and negotiate on the standard payment terms of 60-80 days. It should, in its turn, ensure timely payments under these new conditions in order to restore the trust and guarantee the continuity of the supply (</w:t>
      </w:r>
      <w:proofErr w:type="spellStart"/>
      <w:r w:rsidRPr="00870822">
        <w:rPr>
          <w:rFonts w:ascii="Arial" w:hAnsi="Arial" w:cs="Arial"/>
          <w:color w:val="0D0D0D" w:themeColor="text1" w:themeTint="F2"/>
        </w:rPr>
        <w:t>Baanos</w:t>
      </w:r>
      <w:proofErr w:type="spellEnd"/>
      <w:r w:rsidRPr="00870822">
        <w:rPr>
          <w:rFonts w:ascii="Arial" w:hAnsi="Arial" w:cs="Arial"/>
          <w:color w:val="0D0D0D" w:themeColor="text1" w:themeTint="F2"/>
        </w:rPr>
        <w:t>-Caballero et al., 2014).</w:t>
      </w:r>
    </w:p>
    <w:p w14:paraId="6466C14F" w14:textId="77777777" w:rsidR="00887CDD" w:rsidRPr="00870822" w:rsidRDefault="00887CDD" w:rsidP="00887CDD">
      <w:pPr>
        <w:pStyle w:val="ListParagraph"/>
        <w:numPr>
          <w:ilvl w:val="0"/>
          <w:numId w:val="42"/>
        </w:numPr>
        <w:rPr>
          <w:rFonts w:ascii="Arial" w:hAnsi="Arial" w:cs="Arial"/>
          <w:color w:val="0D0D0D" w:themeColor="text1" w:themeTint="F2"/>
        </w:rPr>
      </w:pPr>
      <w:r w:rsidRPr="00870822">
        <w:rPr>
          <w:rFonts w:ascii="Arial" w:hAnsi="Arial" w:cs="Arial"/>
          <w:color w:val="0D0D0D" w:themeColor="text1" w:themeTint="F2"/>
        </w:rPr>
        <w:t>The finance department should carry out a cost-benefit analysis where early payment discount offers are being given. The annualised cost of paying 2% on 10 days is, in many cases, much less than the cost of capital, and a worthwhile investment of the limited cash.</w:t>
      </w:r>
    </w:p>
    <w:p w14:paraId="38D107A2" w14:textId="21ABAA6B" w:rsidR="00D05F0E" w:rsidRPr="00870822" w:rsidRDefault="00D05F0E" w:rsidP="00D05F0E">
      <w:pPr>
        <w:pStyle w:val="Heading2"/>
        <w:rPr>
          <w:rFonts w:ascii="Arial" w:hAnsi="Arial" w:cs="Arial"/>
          <w:color w:val="0D0D0D" w:themeColor="text1" w:themeTint="F2"/>
        </w:rPr>
      </w:pPr>
      <w:bookmarkStart w:id="12" w:name="_Toc217209469"/>
      <w:r w:rsidRPr="00870822">
        <w:rPr>
          <w:rFonts w:ascii="Arial" w:hAnsi="Arial" w:cs="Arial"/>
          <w:color w:val="0D0D0D" w:themeColor="text1" w:themeTint="F2"/>
        </w:rPr>
        <w:t>2.</w:t>
      </w:r>
      <w:r w:rsidR="00DB7658" w:rsidRPr="00870822">
        <w:rPr>
          <w:rFonts w:ascii="Arial" w:hAnsi="Arial" w:cs="Arial"/>
          <w:color w:val="0D0D0D" w:themeColor="text1" w:themeTint="F2"/>
        </w:rPr>
        <w:t>3</w:t>
      </w:r>
      <w:r w:rsidRPr="00870822">
        <w:rPr>
          <w:rFonts w:ascii="Arial" w:hAnsi="Arial" w:cs="Arial"/>
          <w:color w:val="0D0D0D" w:themeColor="text1" w:themeTint="F2"/>
        </w:rPr>
        <w:t xml:space="preserve"> Short-Term vs. Long-Term Financing Options</w:t>
      </w:r>
      <w:bookmarkEnd w:id="12"/>
    </w:p>
    <w:p w14:paraId="2FB09914" w14:textId="77777777" w:rsidR="00887CDD" w:rsidRPr="00870822" w:rsidRDefault="00887CDD" w:rsidP="00887CDD">
      <w:pPr>
        <w:rPr>
          <w:rFonts w:ascii="Arial" w:hAnsi="Arial" w:cs="Arial"/>
          <w:color w:val="0D0D0D" w:themeColor="text1" w:themeTint="F2"/>
        </w:rPr>
      </w:pPr>
      <w:r w:rsidRPr="00870822">
        <w:rPr>
          <w:rFonts w:ascii="Arial" w:hAnsi="Arial" w:cs="Arial"/>
          <w:color w:val="0D0D0D" w:themeColor="text1" w:themeTint="F2"/>
        </w:rPr>
        <w:t>The cash crunch at General Electronics requires a solution as the operational reforms require time to deliver cash.</w:t>
      </w:r>
    </w:p>
    <w:p w14:paraId="1F4372C8" w14:textId="7E5CEE7A" w:rsidR="00D05F0E" w:rsidRPr="00870822" w:rsidRDefault="0038618B" w:rsidP="00D05F0E">
      <w:pPr>
        <w:rPr>
          <w:rFonts w:ascii="Arial" w:hAnsi="Arial" w:cs="Arial"/>
          <w:b/>
          <w:bCs/>
          <w:color w:val="0D0D0D" w:themeColor="text1" w:themeTint="F2"/>
        </w:rPr>
      </w:pPr>
      <w:r w:rsidRPr="00870822">
        <w:rPr>
          <w:rFonts w:ascii="Arial" w:hAnsi="Arial" w:cs="Arial"/>
          <w:b/>
          <w:bCs/>
          <w:color w:val="0D0D0D" w:themeColor="text1" w:themeTint="F2"/>
        </w:rPr>
        <w:t xml:space="preserve">1. </w:t>
      </w:r>
      <w:r w:rsidR="00D05F0E" w:rsidRPr="00870822">
        <w:rPr>
          <w:rFonts w:ascii="Arial" w:hAnsi="Arial" w:cs="Arial"/>
          <w:b/>
          <w:bCs/>
          <w:color w:val="0D0D0D" w:themeColor="text1" w:themeTint="F2"/>
        </w:rPr>
        <w:t>Short-Term Financing Options:</w:t>
      </w:r>
    </w:p>
    <w:p w14:paraId="616B37DB" w14:textId="10A54765" w:rsidR="00887CDD" w:rsidRPr="00870822" w:rsidRDefault="00D05F0E" w:rsidP="00887CDD">
      <w:pPr>
        <w:rPr>
          <w:rFonts w:ascii="Arial" w:hAnsi="Arial" w:cs="Arial"/>
          <w:color w:val="0D0D0D" w:themeColor="text1" w:themeTint="F2"/>
        </w:rPr>
      </w:pPr>
      <w:r w:rsidRPr="00870822">
        <w:rPr>
          <w:rFonts w:ascii="Arial" w:hAnsi="Arial" w:cs="Arial"/>
          <w:b/>
          <w:bCs/>
          <w:color w:val="0D0D0D" w:themeColor="text1" w:themeTint="F2"/>
        </w:rPr>
        <w:t>Lines of Credit:</w:t>
      </w:r>
      <w:r w:rsidRPr="00870822">
        <w:rPr>
          <w:rFonts w:ascii="Arial" w:hAnsi="Arial" w:cs="Arial"/>
          <w:color w:val="0D0D0D" w:themeColor="text1" w:themeTint="F2"/>
        </w:rPr>
        <w:t> </w:t>
      </w:r>
      <w:r w:rsidR="00887CDD" w:rsidRPr="00870822">
        <w:rPr>
          <w:rFonts w:ascii="Arial" w:hAnsi="Arial" w:cs="Arial"/>
          <w:color w:val="0D0D0D" w:themeColor="text1" w:themeTint="F2"/>
        </w:rPr>
        <w:t>These are already heavily used by the company (36,960m in 2024). It is necessary to renegotiate and lock such lines before the financial situation will be aggravated (Bhattacharya, 2014). This is however a risky move; in case the bank regards a higher risk of default, the bank will not be willing to renew the credit and a liquidity crisis will erupt.</w:t>
      </w:r>
    </w:p>
    <w:p w14:paraId="34B48277" w14:textId="35F75449" w:rsidR="00D05F0E" w:rsidRPr="00870822" w:rsidRDefault="00D05F0E" w:rsidP="00D05F0E">
      <w:pPr>
        <w:rPr>
          <w:rFonts w:ascii="Arial" w:hAnsi="Arial" w:cs="Arial"/>
          <w:color w:val="0D0D0D" w:themeColor="text1" w:themeTint="F2"/>
        </w:rPr>
      </w:pPr>
      <w:r w:rsidRPr="00870822">
        <w:rPr>
          <w:rFonts w:ascii="Arial" w:hAnsi="Arial" w:cs="Arial"/>
          <w:b/>
          <w:bCs/>
          <w:color w:val="0D0D0D" w:themeColor="text1" w:themeTint="F2"/>
        </w:rPr>
        <w:lastRenderedPageBreak/>
        <w:t>Factoring Receivables:</w:t>
      </w:r>
      <w:r w:rsidRPr="00870822">
        <w:rPr>
          <w:rFonts w:ascii="Arial" w:hAnsi="Arial" w:cs="Arial"/>
          <w:color w:val="0D0D0D" w:themeColor="text1" w:themeTint="F2"/>
        </w:rPr>
        <w:t> </w:t>
      </w:r>
      <w:r w:rsidR="00887CDD" w:rsidRPr="00870822">
        <w:rPr>
          <w:rFonts w:ascii="Arial" w:hAnsi="Arial" w:cs="Arial"/>
          <w:color w:val="0D0D0D" w:themeColor="text1" w:themeTint="F2"/>
        </w:rPr>
        <w:t>As noted, this is a quick cash injection but a very costly method which is an indication of desperation to the market.</w:t>
      </w:r>
    </w:p>
    <w:p w14:paraId="0BFDD0F2" w14:textId="77777777" w:rsidR="00D05F0E" w:rsidRPr="00870822" w:rsidRDefault="00D05F0E" w:rsidP="006112E8">
      <w:pPr>
        <w:pStyle w:val="ListParagraph"/>
        <w:numPr>
          <w:ilvl w:val="0"/>
          <w:numId w:val="29"/>
        </w:numPr>
        <w:rPr>
          <w:rFonts w:ascii="Arial" w:hAnsi="Arial" w:cs="Arial"/>
          <w:color w:val="0D0D0D" w:themeColor="text1" w:themeTint="F2"/>
        </w:rPr>
      </w:pPr>
      <w:r w:rsidRPr="00870822">
        <w:rPr>
          <w:rFonts w:ascii="Arial" w:hAnsi="Arial" w:cs="Arial"/>
          <w:b/>
          <w:bCs/>
          <w:color w:val="0D0D0D" w:themeColor="text1" w:themeTint="F2"/>
        </w:rPr>
        <w:t>Pros:</w:t>
      </w:r>
      <w:r w:rsidRPr="00870822">
        <w:rPr>
          <w:rFonts w:ascii="Arial" w:hAnsi="Arial" w:cs="Arial"/>
          <w:color w:val="0D0D0D" w:themeColor="text1" w:themeTint="F2"/>
        </w:rPr>
        <w:t> Quick access to cash, flexible.</w:t>
      </w:r>
    </w:p>
    <w:p w14:paraId="234592DB" w14:textId="6AE52B57" w:rsidR="00D05F0E" w:rsidRPr="00870822" w:rsidRDefault="00D05F0E" w:rsidP="006112E8">
      <w:pPr>
        <w:pStyle w:val="ListParagraph"/>
        <w:numPr>
          <w:ilvl w:val="0"/>
          <w:numId w:val="29"/>
        </w:numPr>
        <w:rPr>
          <w:rFonts w:ascii="Arial" w:hAnsi="Arial" w:cs="Arial"/>
          <w:color w:val="0D0D0D" w:themeColor="text1" w:themeTint="F2"/>
        </w:rPr>
      </w:pPr>
      <w:r w:rsidRPr="00870822">
        <w:rPr>
          <w:rFonts w:ascii="Arial" w:hAnsi="Arial" w:cs="Arial"/>
          <w:b/>
          <w:bCs/>
          <w:color w:val="0D0D0D" w:themeColor="text1" w:themeTint="F2"/>
        </w:rPr>
        <w:t>Cons: </w:t>
      </w:r>
      <w:r w:rsidRPr="00870822">
        <w:rPr>
          <w:rFonts w:ascii="Arial" w:hAnsi="Arial" w:cs="Arial"/>
          <w:color w:val="0D0D0D" w:themeColor="text1" w:themeTint="F2"/>
        </w:rPr>
        <w:t>High-interest costs, can be volatile (banks can withdraw lines), and may not be available given the firm's weak credit profile</w:t>
      </w:r>
      <w:r w:rsidR="004C1E6E" w:rsidRPr="00870822">
        <w:rPr>
          <w:rFonts w:ascii="Arial" w:hAnsi="Arial" w:cs="Arial"/>
          <w:color w:val="0D0D0D" w:themeColor="text1" w:themeTint="F2"/>
        </w:rPr>
        <w:t xml:space="preserve"> (Bhattacharya, 2014)</w:t>
      </w:r>
      <w:r w:rsidRPr="00870822">
        <w:rPr>
          <w:rFonts w:ascii="Arial" w:hAnsi="Arial" w:cs="Arial"/>
          <w:color w:val="0D0D0D" w:themeColor="text1" w:themeTint="F2"/>
        </w:rPr>
        <w:t>.</w:t>
      </w:r>
    </w:p>
    <w:p w14:paraId="3F1FA537" w14:textId="408D252C" w:rsidR="00D05F0E" w:rsidRPr="00870822" w:rsidRDefault="0038618B" w:rsidP="00D05F0E">
      <w:pPr>
        <w:rPr>
          <w:rFonts w:ascii="Arial" w:hAnsi="Arial" w:cs="Arial"/>
          <w:b/>
          <w:bCs/>
          <w:color w:val="0D0D0D" w:themeColor="text1" w:themeTint="F2"/>
        </w:rPr>
      </w:pPr>
      <w:r w:rsidRPr="00870822">
        <w:rPr>
          <w:rFonts w:ascii="Arial" w:hAnsi="Arial" w:cs="Arial"/>
          <w:b/>
          <w:bCs/>
          <w:color w:val="0D0D0D" w:themeColor="text1" w:themeTint="F2"/>
        </w:rPr>
        <w:t xml:space="preserve">2. </w:t>
      </w:r>
      <w:r w:rsidR="00D05F0E" w:rsidRPr="00870822">
        <w:rPr>
          <w:rFonts w:ascii="Arial" w:hAnsi="Arial" w:cs="Arial"/>
          <w:b/>
          <w:bCs/>
          <w:color w:val="0D0D0D" w:themeColor="text1" w:themeTint="F2"/>
        </w:rPr>
        <w:t>Long-Term Financing Options:</w:t>
      </w:r>
    </w:p>
    <w:p w14:paraId="43B65804" w14:textId="77777777" w:rsidR="00887CDD" w:rsidRPr="00870822" w:rsidRDefault="00D05F0E" w:rsidP="00D05F0E">
      <w:pPr>
        <w:rPr>
          <w:rFonts w:ascii="Arial" w:hAnsi="Arial" w:cs="Arial"/>
          <w:color w:val="0D0D0D" w:themeColor="text1" w:themeTint="F2"/>
        </w:rPr>
      </w:pPr>
      <w:r w:rsidRPr="00870822">
        <w:rPr>
          <w:rFonts w:ascii="Arial" w:hAnsi="Arial" w:cs="Arial"/>
          <w:b/>
          <w:bCs/>
          <w:color w:val="0D0D0D" w:themeColor="text1" w:themeTint="F2"/>
        </w:rPr>
        <w:t>Long-Term Debt Issuance:</w:t>
      </w:r>
      <w:r w:rsidRPr="00870822">
        <w:rPr>
          <w:rFonts w:ascii="Arial" w:hAnsi="Arial" w:cs="Arial"/>
          <w:color w:val="0D0D0D" w:themeColor="text1" w:themeTint="F2"/>
        </w:rPr>
        <w:t> </w:t>
      </w:r>
      <w:r w:rsidR="00887CDD" w:rsidRPr="00870822">
        <w:rPr>
          <w:rFonts w:ascii="Arial" w:hAnsi="Arial" w:cs="Arial"/>
          <w:color w:val="0D0D0D" w:themeColor="text1" w:themeTint="F2"/>
        </w:rPr>
        <w:t>In the present condition, new corporate bonds would be either prohibitively costly or impossible because the negative interest coverage and junk-grade credit rating (</w:t>
      </w:r>
      <w:proofErr w:type="spellStart"/>
      <w:r w:rsidR="00887CDD" w:rsidRPr="00870822">
        <w:rPr>
          <w:rFonts w:ascii="Arial" w:hAnsi="Arial" w:cs="Arial"/>
          <w:color w:val="0D0D0D" w:themeColor="text1" w:themeTint="F2"/>
        </w:rPr>
        <w:t>Mathuva</w:t>
      </w:r>
      <w:proofErr w:type="spellEnd"/>
      <w:r w:rsidR="00887CDD" w:rsidRPr="00870822">
        <w:rPr>
          <w:rFonts w:ascii="Arial" w:hAnsi="Arial" w:cs="Arial"/>
          <w:color w:val="0D0D0D" w:themeColor="text1" w:themeTint="F2"/>
        </w:rPr>
        <w:t>, 2015).</w:t>
      </w:r>
    </w:p>
    <w:p w14:paraId="3A522D76" w14:textId="77777777" w:rsidR="005A1BDF" w:rsidRPr="00870822" w:rsidRDefault="00D05F0E" w:rsidP="005A1BDF">
      <w:pPr>
        <w:rPr>
          <w:rFonts w:ascii="Arial" w:hAnsi="Arial" w:cs="Arial"/>
          <w:color w:val="0D0D0D" w:themeColor="text1" w:themeTint="F2"/>
        </w:rPr>
      </w:pPr>
      <w:r w:rsidRPr="00870822">
        <w:rPr>
          <w:rFonts w:ascii="Arial" w:hAnsi="Arial" w:cs="Arial"/>
          <w:b/>
          <w:bCs/>
          <w:color w:val="0D0D0D" w:themeColor="text1" w:themeTint="F2"/>
        </w:rPr>
        <w:t>Equity Injection:</w:t>
      </w:r>
      <w:r w:rsidRPr="00870822">
        <w:rPr>
          <w:rFonts w:ascii="Arial" w:hAnsi="Arial" w:cs="Arial"/>
          <w:color w:val="0D0D0D" w:themeColor="text1" w:themeTint="F2"/>
        </w:rPr>
        <w:t> </w:t>
      </w:r>
      <w:r w:rsidR="005A1BDF" w:rsidRPr="00870822">
        <w:rPr>
          <w:rFonts w:ascii="Arial" w:hAnsi="Arial" w:cs="Arial"/>
          <w:color w:val="0D0D0D" w:themeColor="text1" w:themeTint="F2"/>
        </w:rPr>
        <w:t>Long term solution that is the most viable. This may include rights issue to current shareholders or a request to investment by a private equity firm or strategic investor. This would offer an everlasting capital buffer to settle short-term debt (such as the lines of credit), less leverage, and finance the turnaround (Enqvist et al., 2014). Although it is dilutive to the current shareholders, it is a much better choice to bankruptcy.</w:t>
      </w:r>
    </w:p>
    <w:p w14:paraId="673702C4" w14:textId="77777777" w:rsidR="005A1BDF" w:rsidRPr="00870822" w:rsidRDefault="005A1BDF" w:rsidP="005A1BDF">
      <w:pPr>
        <w:rPr>
          <w:rFonts w:ascii="Arial" w:hAnsi="Arial" w:cs="Arial"/>
          <w:color w:val="0D0D0D" w:themeColor="text1" w:themeTint="F2"/>
        </w:rPr>
      </w:pPr>
    </w:p>
    <w:p w14:paraId="371DCC30" w14:textId="77777777" w:rsidR="005A1BDF" w:rsidRPr="00870822" w:rsidRDefault="005A1BDF" w:rsidP="005A1BDF">
      <w:pPr>
        <w:rPr>
          <w:rFonts w:ascii="Arial" w:hAnsi="Arial" w:cs="Arial"/>
          <w:color w:val="0D0D0D" w:themeColor="text1" w:themeTint="F2"/>
        </w:rPr>
      </w:pPr>
    </w:p>
    <w:p w14:paraId="6639797B" w14:textId="77777777" w:rsidR="00D05F0E" w:rsidRPr="00870822" w:rsidRDefault="00D05F0E" w:rsidP="00D05F0E">
      <w:pPr>
        <w:rPr>
          <w:rFonts w:ascii="Arial" w:hAnsi="Arial" w:cs="Arial"/>
          <w:color w:val="0D0D0D" w:themeColor="text1" w:themeTint="F2"/>
        </w:rPr>
      </w:pPr>
    </w:p>
    <w:p w14:paraId="1557D030" w14:textId="77777777" w:rsidR="00D05F0E" w:rsidRPr="00870822" w:rsidRDefault="00D05F0E" w:rsidP="00D05F0E">
      <w:pPr>
        <w:rPr>
          <w:rFonts w:ascii="Arial" w:hAnsi="Arial" w:cs="Arial"/>
          <w:color w:val="0D0D0D" w:themeColor="text1" w:themeTint="F2"/>
        </w:rPr>
      </w:pPr>
    </w:p>
    <w:p w14:paraId="2E297718" w14:textId="77777777" w:rsidR="00ED1AD3" w:rsidRPr="00870822" w:rsidRDefault="00ED1AD3" w:rsidP="00ED1AD3">
      <w:pPr>
        <w:rPr>
          <w:rFonts w:ascii="Arial" w:hAnsi="Arial" w:cs="Arial"/>
          <w:color w:val="0D0D0D" w:themeColor="text1" w:themeTint="F2"/>
        </w:rPr>
      </w:pPr>
    </w:p>
    <w:p w14:paraId="03DBCADC" w14:textId="77777777" w:rsidR="00ED1AD3" w:rsidRPr="00870822" w:rsidRDefault="00ED1AD3" w:rsidP="00ED1AD3">
      <w:pPr>
        <w:rPr>
          <w:rFonts w:ascii="Arial" w:hAnsi="Arial" w:cs="Arial"/>
          <w:color w:val="0D0D0D" w:themeColor="text1" w:themeTint="F2"/>
        </w:rPr>
      </w:pPr>
    </w:p>
    <w:p w14:paraId="10F362FF" w14:textId="77777777" w:rsidR="00E00FEC" w:rsidRPr="00870822" w:rsidRDefault="00E00FEC" w:rsidP="00E00FEC">
      <w:pPr>
        <w:rPr>
          <w:rFonts w:ascii="Arial" w:hAnsi="Arial" w:cs="Arial"/>
          <w:color w:val="0D0D0D" w:themeColor="text1" w:themeTint="F2"/>
        </w:rPr>
      </w:pPr>
    </w:p>
    <w:p w14:paraId="28F1B05F" w14:textId="77777777" w:rsidR="00E00FEC" w:rsidRPr="00870822" w:rsidRDefault="00E00FEC" w:rsidP="00E00FEC">
      <w:pPr>
        <w:rPr>
          <w:rFonts w:ascii="Arial" w:hAnsi="Arial" w:cs="Arial"/>
          <w:color w:val="0D0D0D" w:themeColor="text1" w:themeTint="F2"/>
        </w:rPr>
      </w:pPr>
    </w:p>
    <w:p w14:paraId="233C7B34" w14:textId="3D83CE64" w:rsidR="00CC1047" w:rsidRPr="00870822" w:rsidRDefault="00CC1047" w:rsidP="00E00FEC">
      <w:pPr>
        <w:rPr>
          <w:rFonts w:ascii="Arial" w:hAnsi="Arial" w:cs="Arial"/>
          <w:color w:val="0D0D0D" w:themeColor="text1" w:themeTint="F2"/>
        </w:rPr>
      </w:pPr>
      <w:r w:rsidRPr="00870822">
        <w:rPr>
          <w:rFonts w:ascii="Arial" w:hAnsi="Arial" w:cs="Arial"/>
          <w:color w:val="0D0D0D" w:themeColor="text1" w:themeTint="F2"/>
        </w:rPr>
        <w:br w:type="page"/>
      </w:r>
    </w:p>
    <w:p w14:paraId="7E8F9E76" w14:textId="19677EE1" w:rsidR="002E1203" w:rsidRPr="00870822" w:rsidRDefault="002E1203" w:rsidP="002E1203">
      <w:pPr>
        <w:pStyle w:val="Heading1"/>
        <w:rPr>
          <w:rFonts w:ascii="Arial" w:hAnsi="Arial" w:cs="Arial"/>
          <w:color w:val="0D0D0D" w:themeColor="text1" w:themeTint="F2"/>
        </w:rPr>
      </w:pPr>
      <w:bookmarkStart w:id="13" w:name="_Toc217209470"/>
      <w:r w:rsidRPr="00870822">
        <w:rPr>
          <w:rFonts w:ascii="Arial" w:hAnsi="Arial" w:cs="Arial"/>
          <w:color w:val="0D0D0D" w:themeColor="text1" w:themeTint="F2"/>
        </w:rPr>
        <w:lastRenderedPageBreak/>
        <w:t>3. Strategic Financial Restructuring Plan</w:t>
      </w:r>
      <w:bookmarkEnd w:id="13"/>
    </w:p>
    <w:p w14:paraId="7F8F2D1C" w14:textId="77777777" w:rsidR="00444DB4" w:rsidRPr="00870822" w:rsidRDefault="00444DB4" w:rsidP="007E311B">
      <w:pPr>
        <w:pStyle w:val="Heading2"/>
        <w:rPr>
          <w:rFonts w:ascii="Arial" w:hAnsi="Arial" w:cs="Arial"/>
          <w:color w:val="0D0D0D" w:themeColor="text1" w:themeTint="F2"/>
        </w:rPr>
      </w:pPr>
      <w:bookmarkStart w:id="14" w:name="_Toc217209471"/>
      <w:r w:rsidRPr="00870822">
        <w:rPr>
          <w:rFonts w:ascii="Arial" w:hAnsi="Arial" w:cs="Arial"/>
          <w:color w:val="0D0D0D" w:themeColor="text1" w:themeTint="F2"/>
        </w:rPr>
        <w:t>3.1 Introduction: The Imperative for Restructuring</w:t>
      </w:r>
      <w:bookmarkEnd w:id="14"/>
    </w:p>
    <w:p w14:paraId="0D2F196B" w14:textId="370DA1CF" w:rsidR="005A1BDF" w:rsidRPr="00870822" w:rsidRDefault="005A1BDF" w:rsidP="005A1BDF">
      <w:pPr>
        <w:rPr>
          <w:rFonts w:ascii="Arial" w:hAnsi="Arial" w:cs="Arial"/>
          <w:color w:val="0D0D0D" w:themeColor="text1" w:themeTint="F2"/>
        </w:rPr>
      </w:pPr>
      <w:r w:rsidRPr="00870822">
        <w:rPr>
          <w:rFonts w:ascii="Arial" w:hAnsi="Arial" w:cs="Arial"/>
          <w:color w:val="0D0D0D" w:themeColor="text1" w:themeTint="F2"/>
        </w:rPr>
        <w:t>The diagnostic analyses prove that General Electronics is in a life-threatening situation, being characterised by disastrous losses, a risky cash outflow, and insoluble debt. Small changes do not work. There is need to have a total financial overhaul in order to prevent a collapse</w:t>
      </w:r>
      <w:r w:rsidR="00FB6BB8" w:rsidRPr="00870822">
        <w:rPr>
          <w:rFonts w:ascii="Arial" w:hAnsi="Arial" w:cs="Arial"/>
          <w:color w:val="0D0D0D" w:themeColor="text1" w:themeTint="F2"/>
        </w:rPr>
        <w:t xml:space="preserve"> (Easton et al., 2018)</w:t>
      </w:r>
      <w:r w:rsidRPr="00870822">
        <w:rPr>
          <w:rFonts w:ascii="Arial" w:hAnsi="Arial" w:cs="Arial"/>
          <w:color w:val="0D0D0D" w:themeColor="text1" w:themeTint="F2"/>
        </w:rPr>
        <w:t>. The plan considers three main strategies: divestiture, equity injection and merger, besides suggesting a unified approach that would stabilise the company, help it back on its feet and position it to grow in the future, taking the international and ethical aspects into account.</w:t>
      </w:r>
    </w:p>
    <w:p w14:paraId="6A9528A0" w14:textId="77777777" w:rsidR="00444DB4" w:rsidRPr="00870822" w:rsidRDefault="00444DB4" w:rsidP="007E311B">
      <w:pPr>
        <w:pStyle w:val="Heading2"/>
        <w:rPr>
          <w:rFonts w:ascii="Arial" w:hAnsi="Arial" w:cs="Arial"/>
          <w:color w:val="0D0D0D" w:themeColor="text1" w:themeTint="F2"/>
        </w:rPr>
      </w:pPr>
      <w:bookmarkStart w:id="15" w:name="_Toc217209472"/>
      <w:r w:rsidRPr="00870822">
        <w:rPr>
          <w:rFonts w:ascii="Arial" w:hAnsi="Arial" w:cs="Arial"/>
          <w:color w:val="0D0D0D" w:themeColor="text1" w:themeTint="F2"/>
        </w:rPr>
        <w:t>3.2 Recommended Financial Restructuring Options</w:t>
      </w:r>
      <w:bookmarkEnd w:id="15"/>
    </w:p>
    <w:p w14:paraId="2862D32F" w14:textId="16538293" w:rsidR="005A1BDF" w:rsidRPr="00870822" w:rsidRDefault="00444DB4" w:rsidP="007E311B">
      <w:pPr>
        <w:rPr>
          <w:rFonts w:ascii="Arial" w:hAnsi="Arial" w:cs="Arial"/>
          <w:color w:val="0D0D0D" w:themeColor="text1" w:themeTint="F2"/>
        </w:rPr>
      </w:pPr>
      <w:r w:rsidRPr="00870822">
        <w:rPr>
          <w:rFonts w:ascii="Arial" w:hAnsi="Arial" w:cs="Arial"/>
          <w:color w:val="0D0D0D" w:themeColor="text1" w:themeTint="F2"/>
        </w:rPr>
        <w:t xml:space="preserve">A single solution is inadequate. </w:t>
      </w:r>
      <w:r w:rsidR="005A1BDF" w:rsidRPr="00870822">
        <w:rPr>
          <w:rFonts w:ascii="Arial" w:hAnsi="Arial" w:cs="Arial"/>
          <w:color w:val="0D0D0D" w:themeColor="text1" w:themeTint="F2"/>
        </w:rPr>
        <w:t>The best way is a multi-pronged strategy that is concerned with the balance sheet and the operational scope of the company.</w:t>
      </w:r>
    </w:p>
    <w:p w14:paraId="39F186A5" w14:textId="77777777" w:rsidR="004E0685" w:rsidRPr="00870822" w:rsidRDefault="00444DB4" w:rsidP="007E311B">
      <w:pPr>
        <w:rPr>
          <w:rFonts w:ascii="Arial" w:hAnsi="Arial" w:cs="Arial"/>
          <w:b/>
          <w:bCs/>
          <w:color w:val="0D0D0D" w:themeColor="text1" w:themeTint="F2"/>
        </w:rPr>
      </w:pPr>
      <w:r w:rsidRPr="00870822">
        <w:rPr>
          <w:rFonts w:ascii="Arial" w:hAnsi="Arial" w:cs="Arial"/>
          <w:b/>
          <w:bCs/>
          <w:color w:val="0D0D0D" w:themeColor="text1" w:themeTint="F2"/>
        </w:rPr>
        <w:t>1. Primary Recommendation: Strategic Divestiture (Asset Sales)</w:t>
      </w:r>
    </w:p>
    <w:p w14:paraId="53BB49A4" w14:textId="41043FE4" w:rsidR="00C953C5" w:rsidRPr="00870822" w:rsidRDefault="00C953C5" w:rsidP="00C953C5">
      <w:pPr>
        <w:rPr>
          <w:rFonts w:ascii="Arial" w:hAnsi="Arial" w:cs="Arial"/>
          <w:color w:val="0D0D0D" w:themeColor="text1" w:themeTint="F2"/>
        </w:rPr>
      </w:pPr>
      <w:r w:rsidRPr="00870822">
        <w:rPr>
          <w:rFonts w:ascii="Arial" w:hAnsi="Arial" w:cs="Arial"/>
          <w:color w:val="0D0D0D" w:themeColor="text1" w:themeTint="F2"/>
        </w:rPr>
        <w:t>The first and the greatest intervention is to generate a significant immediate cash inflow and re-target the business. General Electronics ought to embark on a measure to undertake the identification and sale of non-core or poor performing business units.</w:t>
      </w:r>
    </w:p>
    <w:p w14:paraId="3757357F" w14:textId="77777777" w:rsidR="00C953C5" w:rsidRPr="00870822" w:rsidRDefault="00444DB4" w:rsidP="00C953C5">
      <w:pPr>
        <w:rPr>
          <w:rFonts w:ascii="Arial" w:hAnsi="Arial" w:cs="Arial"/>
          <w:color w:val="0D0D0D" w:themeColor="text1" w:themeTint="F2"/>
        </w:rPr>
      </w:pPr>
      <w:r w:rsidRPr="00870822">
        <w:rPr>
          <w:rFonts w:ascii="Arial" w:hAnsi="Arial" w:cs="Arial"/>
          <w:b/>
          <w:bCs/>
          <w:color w:val="0D0D0D" w:themeColor="text1" w:themeTint="F2"/>
        </w:rPr>
        <w:t>Rationale:</w:t>
      </w:r>
      <w:r w:rsidRPr="00870822">
        <w:rPr>
          <w:rFonts w:ascii="Arial" w:hAnsi="Arial" w:cs="Arial"/>
          <w:color w:val="0D0D0D" w:themeColor="text1" w:themeTint="F2"/>
        </w:rPr>
        <w:t> </w:t>
      </w:r>
      <w:r w:rsidR="00C953C5" w:rsidRPr="00870822">
        <w:rPr>
          <w:rFonts w:ascii="Arial" w:hAnsi="Arial" w:cs="Arial"/>
          <w:color w:val="0D0D0D" w:themeColor="text1" w:themeTint="F2"/>
        </w:rPr>
        <w:t>The balance sheet reveals that the base of Property, Plant and Equation and Intangible Assets is significant. The huge impairment loss in 2023 indicates that some of the assets are already in the books at overstated value. Their potential in the market is unlocked through their sale (</w:t>
      </w:r>
      <w:proofErr w:type="spellStart"/>
      <w:r w:rsidR="00C953C5" w:rsidRPr="00870822">
        <w:rPr>
          <w:rFonts w:ascii="Arial" w:hAnsi="Arial" w:cs="Arial"/>
          <w:color w:val="0D0D0D" w:themeColor="text1" w:themeTint="F2"/>
        </w:rPr>
        <w:t>Kavadis</w:t>
      </w:r>
      <w:proofErr w:type="spellEnd"/>
      <w:r w:rsidR="00C953C5" w:rsidRPr="00870822">
        <w:rPr>
          <w:rFonts w:ascii="Arial" w:hAnsi="Arial" w:cs="Arial"/>
          <w:color w:val="0D0D0D" w:themeColor="text1" w:themeTint="F2"/>
        </w:rPr>
        <w:t xml:space="preserve"> and </w:t>
      </w:r>
      <w:proofErr w:type="spellStart"/>
      <w:r w:rsidR="00C953C5" w:rsidRPr="00870822">
        <w:rPr>
          <w:rFonts w:ascii="Arial" w:hAnsi="Arial" w:cs="Arial"/>
          <w:color w:val="0D0D0D" w:themeColor="text1" w:themeTint="F2"/>
        </w:rPr>
        <w:t>Castañer</w:t>
      </w:r>
      <w:proofErr w:type="spellEnd"/>
      <w:r w:rsidR="00C953C5" w:rsidRPr="00870822">
        <w:rPr>
          <w:rFonts w:ascii="Arial" w:hAnsi="Arial" w:cs="Arial"/>
          <w:color w:val="0D0D0D" w:themeColor="text1" w:themeTint="F2"/>
        </w:rPr>
        <w:t>, 2015).</w:t>
      </w:r>
    </w:p>
    <w:p w14:paraId="04A84AB3" w14:textId="5C4882E7" w:rsidR="00C953C5" w:rsidRPr="00870822" w:rsidRDefault="00444DB4" w:rsidP="00C953C5">
      <w:pPr>
        <w:rPr>
          <w:rFonts w:ascii="Arial" w:hAnsi="Arial" w:cs="Arial"/>
          <w:color w:val="0D0D0D" w:themeColor="text1" w:themeTint="F2"/>
        </w:rPr>
      </w:pPr>
      <w:r w:rsidRPr="00870822">
        <w:rPr>
          <w:rFonts w:ascii="Arial" w:hAnsi="Arial" w:cs="Arial"/>
          <w:b/>
          <w:bCs/>
          <w:color w:val="0D0D0D" w:themeColor="text1" w:themeTint="F2"/>
        </w:rPr>
        <w:t>Targets:</w:t>
      </w:r>
      <w:r w:rsidRPr="00870822">
        <w:rPr>
          <w:rFonts w:ascii="Arial" w:hAnsi="Arial" w:cs="Arial"/>
          <w:color w:val="0D0D0D" w:themeColor="text1" w:themeTint="F2"/>
        </w:rPr>
        <w:t> </w:t>
      </w:r>
      <w:r w:rsidR="00C953C5" w:rsidRPr="00870822">
        <w:rPr>
          <w:rFonts w:ascii="Arial" w:hAnsi="Arial" w:cs="Arial"/>
          <w:color w:val="0D0D0D" w:themeColor="text1" w:themeTint="F2"/>
        </w:rPr>
        <w:t xml:space="preserve">Prime candidates would include a division that sells low-margin, commoditised electronics or a legacy product line that is experiencing a decrease in sales (Altman et al., 2017). </w:t>
      </w:r>
      <w:r w:rsidR="00B0662D" w:rsidRPr="00870822">
        <w:rPr>
          <w:rFonts w:ascii="Arial" w:hAnsi="Arial" w:cs="Arial"/>
          <w:color w:val="0D0D0D" w:themeColor="text1" w:themeTint="F2"/>
        </w:rPr>
        <w:t xml:space="preserve">The goal is to streamline </w:t>
      </w:r>
      <w:r w:rsidR="00C953C5" w:rsidRPr="00870822">
        <w:rPr>
          <w:rFonts w:ascii="Arial" w:hAnsi="Arial" w:cs="Arial"/>
          <w:color w:val="0D0D0D" w:themeColor="text1" w:themeTint="F2"/>
        </w:rPr>
        <w:t>the operations around a lucrative, sustainable core, including a certain high-tech product line that the company continues to have a competitive edge.</w:t>
      </w:r>
    </w:p>
    <w:p w14:paraId="6A0BFD61" w14:textId="77777777" w:rsidR="004E0685" w:rsidRPr="00870822" w:rsidRDefault="00444DB4" w:rsidP="007E311B">
      <w:pPr>
        <w:rPr>
          <w:rFonts w:ascii="Arial" w:hAnsi="Arial" w:cs="Arial"/>
          <w:b/>
          <w:bCs/>
          <w:color w:val="0D0D0D" w:themeColor="text1" w:themeTint="F2"/>
        </w:rPr>
      </w:pPr>
      <w:r w:rsidRPr="00870822">
        <w:rPr>
          <w:rFonts w:ascii="Arial" w:hAnsi="Arial" w:cs="Arial"/>
          <w:b/>
          <w:bCs/>
          <w:color w:val="0D0D0D" w:themeColor="text1" w:themeTint="F2"/>
        </w:rPr>
        <w:t>2. Concurrent Action: Emergency Equity Injection</w:t>
      </w:r>
    </w:p>
    <w:p w14:paraId="36B3F106" w14:textId="77777777" w:rsidR="006375B1" w:rsidRPr="00870822" w:rsidRDefault="006375B1" w:rsidP="006375B1">
      <w:pPr>
        <w:rPr>
          <w:rFonts w:ascii="Arial" w:hAnsi="Arial" w:cs="Arial"/>
          <w:color w:val="0D0D0D" w:themeColor="text1" w:themeTint="F2"/>
        </w:rPr>
      </w:pPr>
      <w:r w:rsidRPr="00870822">
        <w:rPr>
          <w:rFonts w:ascii="Arial" w:hAnsi="Arial" w:cs="Arial"/>
          <w:color w:val="0D0D0D" w:themeColor="text1" w:themeTint="F2"/>
        </w:rPr>
        <w:t>The company needs to engage in a large equity offering to directly deal with the capital structure crisis.</w:t>
      </w:r>
    </w:p>
    <w:p w14:paraId="6C14CCE8" w14:textId="77777777" w:rsidR="00EE6D4B" w:rsidRPr="00870822" w:rsidRDefault="00444DB4" w:rsidP="00EE6D4B">
      <w:pPr>
        <w:rPr>
          <w:rFonts w:ascii="Arial" w:hAnsi="Arial" w:cs="Arial"/>
          <w:color w:val="0D0D0D" w:themeColor="text1" w:themeTint="F2"/>
        </w:rPr>
      </w:pPr>
      <w:r w:rsidRPr="00870822">
        <w:rPr>
          <w:rFonts w:ascii="Arial" w:hAnsi="Arial" w:cs="Arial"/>
          <w:b/>
          <w:bCs/>
          <w:color w:val="0D0D0D" w:themeColor="text1" w:themeTint="F2"/>
        </w:rPr>
        <w:lastRenderedPageBreak/>
        <w:t>Mechanism:</w:t>
      </w:r>
      <w:r w:rsidRPr="00870822">
        <w:rPr>
          <w:rFonts w:ascii="Arial" w:hAnsi="Arial" w:cs="Arial"/>
          <w:color w:val="0D0D0D" w:themeColor="text1" w:themeTint="F2"/>
        </w:rPr>
        <w:t> </w:t>
      </w:r>
      <w:r w:rsidR="00EE6D4B" w:rsidRPr="00870822">
        <w:rPr>
          <w:rFonts w:ascii="Arial" w:hAnsi="Arial" w:cs="Arial"/>
          <w:color w:val="0D0D0D" w:themeColor="text1" w:themeTint="F2"/>
        </w:rPr>
        <w:t>Rights issue to current shareholders which may be at a deep discount to current market price to guarantee take up. Alternatively, and more probably due to the risk, the company ought to consider a private placement with a strategic investor or a private equity company (Schweizer and Nienhaus, 2017). These investors have the tendency of injecting capital with substantial equity and board control which may serve as a catalyst to the cause of stringent change.</w:t>
      </w:r>
    </w:p>
    <w:p w14:paraId="3E1634EB" w14:textId="77777777" w:rsidR="00EE6D4B" w:rsidRPr="00870822" w:rsidRDefault="00444DB4" w:rsidP="00EE6D4B">
      <w:pPr>
        <w:rPr>
          <w:rFonts w:ascii="Arial" w:hAnsi="Arial" w:cs="Arial"/>
          <w:color w:val="0D0D0D" w:themeColor="text1" w:themeTint="F2"/>
        </w:rPr>
      </w:pPr>
      <w:r w:rsidRPr="00870822">
        <w:rPr>
          <w:rFonts w:ascii="Arial" w:hAnsi="Arial" w:cs="Arial"/>
          <w:b/>
          <w:bCs/>
          <w:color w:val="0D0D0D" w:themeColor="text1" w:themeTint="F2"/>
        </w:rPr>
        <w:t>Rationale:</w:t>
      </w:r>
      <w:r w:rsidRPr="00870822">
        <w:rPr>
          <w:rFonts w:ascii="Arial" w:hAnsi="Arial" w:cs="Arial"/>
          <w:color w:val="0D0D0D" w:themeColor="text1" w:themeTint="F2"/>
        </w:rPr>
        <w:t> </w:t>
      </w:r>
      <w:r w:rsidR="00EE6D4B" w:rsidRPr="00870822">
        <w:rPr>
          <w:rFonts w:ascii="Arial" w:hAnsi="Arial" w:cs="Arial"/>
          <w:color w:val="0D0D0D" w:themeColor="text1" w:themeTint="F2"/>
        </w:rPr>
        <w:t>This goes right to the source of the issue, which is a lack of equity. The proceeds should be utilized directly to repay the expensive, short term "Lines of Credit" which have a value of 36,960m. This will lead to a drastic drop in the Debt-to-Equity ratio and the negative interest coverage problem will cease to be (</w:t>
      </w:r>
      <w:proofErr w:type="spellStart"/>
      <w:r w:rsidR="00EE6D4B" w:rsidRPr="00870822">
        <w:rPr>
          <w:rFonts w:ascii="Arial" w:hAnsi="Arial" w:cs="Arial"/>
          <w:color w:val="0D0D0D" w:themeColor="text1" w:themeTint="F2"/>
        </w:rPr>
        <w:t>Stošic</w:t>
      </w:r>
      <w:proofErr w:type="spellEnd"/>
      <w:r w:rsidR="00EE6D4B" w:rsidRPr="00870822">
        <w:rPr>
          <w:rFonts w:ascii="Arial" w:hAnsi="Arial" w:cs="Arial"/>
          <w:color w:val="0D0D0D" w:themeColor="text1" w:themeTint="F2"/>
        </w:rPr>
        <w:t>, 2014).</w:t>
      </w:r>
    </w:p>
    <w:p w14:paraId="627E8C4A" w14:textId="77777777" w:rsidR="004B33EE" w:rsidRPr="00870822" w:rsidRDefault="004B33EE" w:rsidP="004B33EE">
      <w:pPr>
        <w:rPr>
          <w:rFonts w:ascii="Arial" w:hAnsi="Arial" w:cs="Arial"/>
          <w:color w:val="0D0D0D" w:themeColor="text1" w:themeTint="F2"/>
        </w:rPr>
      </w:pPr>
      <w:r w:rsidRPr="00870822">
        <w:rPr>
          <w:rFonts w:ascii="Arial" w:hAnsi="Arial" w:cs="Arial"/>
          <w:color w:val="0D0D0D" w:themeColor="text1" w:themeTint="F2"/>
        </w:rPr>
        <w:t>A merger is not the best option in the existing circumstances but a possibility. A company that is failing has low bargaining power and a merger would most probably be a fire sale or a desperate acquisition that would provide little value to the shareholder of General Electronics.</w:t>
      </w:r>
    </w:p>
    <w:p w14:paraId="3F1DA95E" w14:textId="77777777" w:rsidR="00444DB4" w:rsidRPr="00870822" w:rsidRDefault="00444DB4" w:rsidP="007E311B">
      <w:pPr>
        <w:pStyle w:val="Heading2"/>
        <w:rPr>
          <w:rFonts w:ascii="Arial" w:hAnsi="Arial" w:cs="Arial"/>
          <w:color w:val="0D0D0D" w:themeColor="text1" w:themeTint="F2"/>
        </w:rPr>
      </w:pPr>
      <w:bookmarkStart w:id="16" w:name="_Toc217209473"/>
      <w:r w:rsidRPr="00870822">
        <w:rPr>
          <w:rFonts w:ascii="Arial" w:hAnsi="Arial" w:cs="Arial"/>
          <w:color w:val="0D0D0D" w:themeColor="text1" w:themeTint="F2"/>
        </w:rPr>
        <w:t>3.3 Evaluation of Impact</w:t>
      </w:r>
      <w:bookmarkEnd w:id="16"/>
    </w:p>
    <w:p w14:paraId="59746216" w14:textId="77777777" w:rsidR="004B33EE" w:rsidRPr="00870822" w:rsidRDefault="004B33EE" w:rsidP="004B33EE">
      <w:pPr>
        <w:rPr>
          <w:rFonts w:ascii="Arial" w:hAnsi="Arial" w:cs="Arial"/>
          <w:color w:val="0D0D0D" w:themeColor="text1" w:themeTint="F2"/>
        </w:rPr>
      </w:pPr>
      <w:r w:rsidRPr="00870822">
        <w:rPr>
          <w:rFonts w:ascii="Arial" w:hAnsi="Arial" w:cs="Arial"/>
          <w:color w:val="0D0D0D" w:themeColor="text1" w:themeTint="F2"/>
        </w:rPr>
        <w:t>The integrated divestiture and equity injection plan will have an extensive implication in major dimensions:</w:t>
      </w:r>
    </w:p>
    <w:p w14:paraId="15E0AABE" w14:textId="77777777" w:rsidR="004B33EE" w:rsidRPr="00870822" w:rsidRDefault="00444DB4" w:rsidP="004B33EE">
      <w:pPr>
        <w:rPr>
          <w:rFonts w:ascii="Arial" w:hAnsi="Arial" w:cs="Arial"/>
          <w:color w:val="0D0D0D" w:themeColor="text1" w:themeTint="F2"/>
        </w:rPr>
      </w:pPr>
      <w:r w:rsidRPr="00870822">
        <w:rPr>
          <w:rFonts w:ascii="Arial" w:hAnsi="Arial" w:cs="Arial"/>
          <w:b/>
          <w:bCs/>
          <w:color w:val="0D0D0D" w:themeColor="text1" w:themeTint="F2"/>
        </w:rPr>
        <w:t>Shareholder Value:</w:t>
      </w:r>
      <w:r w:rsidRPr="00870822">
        <w:rPr>
          <w:rFonts w:ascii="Arial" w:hAnsi="Arial" w:cs="Arial"/>
          <w:color w:val="0D0D0D" w:themeColor="text1" w:themeTint="F2"/>
        </w:rPr>
        <w:t> </w:t>
      </w:r>
      <w:r w:rsidR="004B33EE" w:rsidRPr="00870822">
        <w:rPr>
          <w:rFonts w:ascii="Arial" w:hAnsi="Arial" w:cs="Arial"/>
          <w:color w:val="0D0D0D" w:themeColor="text1" w:themeTint="F2"/>
        </w:rPr>
        <w:t>A rights issue is dilutive in the short term and divestitures can be seen as a retreat. Nonetheless, it is the only possible way to maintain any long-term shareholder value. The other option is further weakening and possible bankruptcy wipe-out (Koh et al., 2015). This plan provides the framework that a sustainable recovery and eventual increase in share price will be based upon by developing a leaner, solvent and focused company. The existing plan of investing share buybacks as the firm incinerates cash has been a disaster and should be stopped at once.</w:t>
      </w:r>
    </w:p>
    <w:p w14:paraId="1590BC80" w14:textId="3B20DA73" w:rsidR="00D5580B" w:rsidRPr="00870822" w:rsidRDefault="00444DB4" w:rsidP="007E311B">
      <w:pPr>
        <w:rPr>
          <w:rFonts w:ascii="Arial" w:hAnsi="Arial" w:cs="Arial"/>
          <w:color w:val="0D0D0D" w:themeColor="text1" w:themeTint="F2"/>
        </w:rPr>
      </w:pPr>
      <w:r w:rsidRPr="00870822">
        <w:rPr>
          <w:rFonts w:ascii="Arial" w:hAnsi="Arial" w:cs="Arial"/>
          <w:b/>
          <w:bCs/>
          <w:color w:val="0D0D0D" w:themeColor="text1" w:themeTint="F2"/>
        </w:rPr>
        <w:t>Debt Structure:</w:t>
      </w:r>
      <w:r w:rsidRPr="00870822">
        <w:rPr>
          <w:rFonts w:ascii="Arial" w:hAnsi="Arial" w:cs="Arial"/>
          <w:color w:val="0D0D0D" w:themeColor="text1" w:themeTint="F2"/>
        </w:rPr>
        <w:t> </w:t>
      </w:r>
      <w:r w:rsidR="004B33EE" w:rsidRPr="00870822">
        <w:rPr>
          <w:rFonts w:ascii="Arial" w:hAnsi="Arial" w:cs="Arial"/>
          <w:color w:val="0D0D0D" w:themeColor="text1" w:themeTint="F2"/>
        </w:rPr>
        <w:t xml:space="preserve">The impact here is conclusively </w:t>
      </w:r>
      <w:r w:rsidR="00BB1709" w:rsidRPr="00870822">
        <w:rPr>
          <w:rFonts w:ascii="Arial" w:hAnsi="Arial" w:cs="Arial"/>
          <w:color w:val="0D0D0D" w:themeColor="text1" w:themeTint="F2"/>
        </w:rPr>
        <w:t>favourable</w:t>
      </w:r>
      <w:r w:rsidR="004B33EE" w:rsidRPr="00870822">
        <w:rPr>
          <w:rFonts w:ascii="Arial" w:hAnsi="Arial" w:cs="Arial"/>
          <w:color w:val="0D0D0D" w:themeColor="text1" w:themeTint="F2"/>
        </w:rPr>
        <w:t xml:space="preserve">. The divestiture cash and the equity capital will be used to aggressively reduce debt. The immediate target should be to eliminate the volatile "Lines of Credit" entirely.  </w:t>
      </w:r>
      <w:r w:rsidRPr="00870822">
        <w:rPr>
          <w:rFonts w:ascii="Arial" w:hAnsi="Arial" w:cs="Arial"/>
          <w:color w:val="0D0D0D" w:themeColor="text1" w:themeTint="F2"/>
        </w:rPr>
        <w:t>This will:</w:t>
      </w:r>
    </w:p>
    <w:p w14:paraId="48371F74" w14:textId="02085AD1" w:rsidR="00444DB4" w:rsidRPr="00870822" w:rsidRDefault="00444DB4" w:rsidP="0077184B">
      <w:pPr>
        <w:pStyle w:val="ListParagraph"/>
        <w:numPr>
          <w:ilvl w:val="0"/>
          <w:numId w:val="35"/>
        </w:numPr>
        <w:rPr>
          <w:rFonts w:ascii="Arial" w:hAnsi="Arial" w:cs="Arial"/>
          <w:color w:val="0D0D0D" w:themeColor="text1" w:themeTint="F2"/>
        </w:rPr>
      </w:pPr>
      <w:r w:rsidRPr="00870822">
        <w:rPr>
          <w:rFonts w:ascii="Arial" w:hAnsi="Arial" w:cs="Arial"/>
          <w:color w:val="0D0D0D" w:themeColor="text1" w:themeTint="F2"/>
        </w:rPr>
        <w:t>Reduce the Debt-to-Equity ratio from 1.11x towards a safer level below 0.5x.</w:t>
      </w:r>
    </w:p>
    <w:p w14:paraId="05BE8BF2" w14:textId="145FF953" w:rsidR="00444DB4" w:rsidRPr="00870822" w:rsidRDefault="00444DB4" w:rsidP="0077184B">
      <w:pPr>
        <w:pStyle w:val="ListParagraph"/>
        <w:numPr>
          <w:ilvl w:val="0"/>
          <w:numId w:val="35"/>
        </w:numPr>
        <w:rPr>
          <w:rFonts w:ascii="Arial" w:hAnsi="Arial" w:cs="Arial"/>
          <w:color w:val="0D0D0D" w:themeColor="text1" w:themeTint="F2"/>
        </w:rPr>
      </w:pPr>
      <w:r w:rsidRPr="00870822">
        <w:rPr>
          <w:rFonts w:ascii="Arial" w:hAnsi="Arial" w:cs="Arial"/>
          <w:color w:val="0D0D0D" w:themeColor="text1" w:themeTint="F2"/>
        </w:rPr>
        <w:lastRenderedPageBreak/>
        <w:t>Restore the Interest Coverage Ratio to a positive figure as interest expenses plummet and operating performance (aided by the focus on core assets) improves</w:t>
      </w:r>
      <w:r w:rsidR="00B16854" w:rsidRPr="00870822">
        <w:rPr>
          <w:rFonts w:ascii="Arial" w:hAnsi="Arial" w:cs="Arial"/>
          <w:color w:val="0D0D0D" w:themeColor="text1" w:themeTint="F2"/>
        </w:rPr>
        <w:t xml:space="preserve"> (</w:t>
      </w:r>
      <w:proofErr w:type="spellStart"/>
      <w:r w:rsidR="00B16854" w:rsidRPr="00870822">
        <w:rPr>
          <w:rFonts w:ascii="Arial" w:hAnsi="Arial" w:cs="Arial"/>
          <w:color w:val="0D0D0D" w:themeColor="text1" w:themeTint="F2"/>
        </w:rPr>
        <w:t>Palacín</w:t>
      </w:r>
      <w:proofErr w:type="spellEnd"/>
      <w:r w:rsidR="00B16854" w:rsidRPr="00870822">
        <w:rPr>
          <w:rFonts w:ascii="Arial" w:hAnsi="Arial" w:cs="Arial"/>
          <w:color w:val="0D0D0D" w:themeColor="text1" w:themeTint="F2"/>
        </w:rPr>
        <w:t>-Sánchez et al., 2023)</w:t>
      </w:r>
      <w:r w:rsidRPr="00870822">
        <w:rPr>
          <w:rFonts w:ascii="Arial" w:hAnsi="Arial" w:cs="Arial"/>
          <w:color w:val="0D0D0D" w:themeColor="text1" w:themeTint="F2"/>
        </w:rPr>
        <w:t>.</w:t>
      </w:r>
    </w:p>
    <w:p w14:paraId="7A0B7E7B" w14:textId="77777777" w:rsidR="00444DB4" w:rsidRPr="00870822" w:rsidRDefault="00444DB4" w:rsidP="0077184B">
      <w:pPr>
        <w:pStyle w:val="ListParagraph"/>
        <w:numPr>
          <w:ilvl w:val="0"/>
          <w:numId w:val="35"/>
        </w:numPr>
        <w:rPr>
          <w:rFonts w:ascii="Arial" w:hAnsi="Arial" w:cs="Arial"/>
          <w:color w:val="0D0D0D" w:themeColor="text1" w:themeTint="F2"/>
        </w:rPr>
      </w:pPr>
      <w:r w:rsidRPr="00870822">
        <w:rPr>
          <w:rFonts w:ascii="Arial" w:hAnsi="Arial" w:cs="Arial"/>
          <w:color w:val="0D0D0D" w:themeColor="text1" w:themeTint="F2"/>
        </w:rPr>
        <w:t>Transform the balance sheet from high-risk to investment-grade over time, lowering the cost of capital for future growth.</w:t>
      </w:r>
    </w:p>
    <w:p w14:paraId="3CA62960" w14:textId="071E68BA" w:rsidR="00010CB5" w:rsidRPr="00870822" w:rsidRDefault="00444DB4" w:rsidP="00010CB5">
      <w:pPr>
        <w:rPr>
          <w:rFonts w:ascii="Arial" w:hAnsi="Arial" w:cs="Arial"/>
          <w:color w:val="0D0D0D" w:themeColor="text1" w:themeTint="F2"/>
        </w:rPr>
      </w:pPr>
      <w:r w:rsidRPr="00870822">
        <w:rPr>
          <w:rFonts w:ascii="Arial" w:hAnsi="Arial" w:cs="Arial"/>
          <w:b/>
          <w:bCs/>
          <w:color w:val="0D0D0D" w:themeColor="text1" w:themeTint="F2"/>
        </w:rPr>
        <w:t>Operational Flexibility:</w:t>
      </w:r>
      <w:r w:rsidRPr="00870822">
        <w:rPr>
          <w:rFonts w:ascii="Arial" w:hAnsi="Arial" w:cs="Arial"/>
          <w:color w:val="0D0D0D" w:themeColor="text1" w:themeTint="F2"/>
        </w:rPr>
        <w:t> </w:t>
      </w:r>
      <w:r w:rsidR="00010CB5" w:rsidRPr="00870822">
        <w:rPr>
          <w:rFonts w:ascii="Arial" w:hAnsi="Arial" w:cs="Arial"/>
          <w:color w:val="0D0D0D" w:themeColor="text1" w:themeTint="F2"/>
        </w:rPr>
        <w:t>Divestiture leaves a company of the right size, free of management time and capital to concentrate on winning products. The lower cost of debt service frees up cash turnover that can be channelled into productive research and development and marketing in the core business</w:t>
      </w:r>
      <w:r w:rsidR="00F747B7" w:rsidRPr="00870822">
        <w:rPr>
          <w:rFonts w:ascii="Arial" w:hAnsi="Arial" w:cs="Arial"/>
          <w:color w:val="0D0D0D" w:themeColor="text1" w:themeTint="F2"/>
        </w:rPr>
        <w:t xml:space="preserve"> (Michelon et al., 2020)</w:t>
      </w:r>
      <w:r w:rsidR="00010CB5" w:rsidRPr="00870822">
        <w:rPr>
          <w:rFonts w:ascii="Arial" w:hAnsi="Arial" w:cs="Arial"/>
          <w:color w:val="0D0D0D" w:themeColor="text1" w:themeTint="F2"/>
        </w:rPr>
        <w:t>. Getting rid of unprofitable divisions immediately enhances general profit margins. The company is no longer in the defensive and preservation attitude of cash but has the operational flexibility to selective investment towards growth.</w:t>
      </w:r>
    </w:p>
    <w:p w14:paraId="6D8D01BA" w14:textId="77777777" w:rsidR="00444DB4" w:rsidRPr="00870822" w:rsidRDefault="00444DB4" w:rsidP="007E311B">
      <w:pPr>
        <w:pStyle w:val="Heading2"/>
        <w:rPr>
          <w:rFonts w:ascii="Arial" w:hAnsi="Arial" w:cs="Arial"/>
          <w:color w:val="0D0D0D" w:themeColor="text1" w:themeTint="F2"/>
        </w:rPr>
      </w:pPr>
      <w:bookmarkStart w:id="17" w:name="_Toc217209474"/>
      <w:r w:rsidRPr="00870822">
        <w:rPr>
          <w:rFonts w:ascii="Arial" w:hAnsi="Arial" w:cs="Arial"/>
          <w:color w:val="0D0D0D" w:themeColor="text1" w:themeTint="F2"/>
        </w:rPr>
        <w:t>3.4 International and Ethical Considerations</w:t>
      </w:r>
      <w:bookmarkEnd w:id="17"/>
    </w:p>
    <w:p w14:paraId="55884131" w14:textId="77777777" w:rsidR="00444DB4" w:rsidRPr="00870822" w:rsidRDefault="00444DB4" w:rsidP="007E311B">
      <w:pPr>
        <w:rPr>
          <w:rFonts w:ascii="Arial" w:hAnsi="Arial" w:cs="Arial"/>
          <w:color w:val="0D0D0D" w:themeColor="text1" w:themeTint="F2"/>
        </w:rPr>
      </w:pPr>
      <w:r w:rsidRPr="00870822">
        <w:rPr>
          <w:rFonts w:ascii="Arial" w:hAnsi="Arial" w:cs="Arial"/>
          <w:color w:val="0D0D0D" w:themeColor="text1" w:themeTint="F2"/>
        </w:rPr>
        <w:t>As a global firm, any restructuring must be executed with a keen awareness of its wider implications.</w:t>
      </w:r>
    </w:p>
    <w:p w14:paraId="5339920F" w14:textId="41087879" w:rsidR="00DB121C" w:rsidRPr="00870822" w:rsidRDefault="00444DB4" w:rsidP="007E311B">
      <w:pPr>
        <w:rPr>
          <w:rFonts w:ascii="Arial" w:hAnsi="Arial" w:cs="Arial"/>
          <w:color w:val="0D0D0D" w:themeColor="text1" w:themeTint="F2"/>
        </w:rPr>
      </w:pPr>
      <w:r w:rsidRPr="00870822">
        <w:rPr>
          <w:rFonts w:ascii="Arial" w:hAnsi="Arial" w:cs="Arial"/>
          <w:b/>
          <w:bCs/>
          <w:color w:val="0D0D0D" w:themeColor="text1" w:themeTint="F2"/>
        </w:rPr>
        <w:t>Taxation: </w:t>
      </w:r>
      <w:r w:rsidR="00DB121C" w:rsidRPr="00870822">
        <w:rPr>
          <w:rFonts w:ascii="Arial" w:hAnsi="Arial" w:cs="Arial"/>
          <w:color w:val="0D0D0D" w:themeColor="text1" w:themeTint="F2"/>
        </w:rPr>
        <w:t xml:space="preserve">The large net operating losses (in 2023, the net operating losses are significant, and amount to £98,238m) can represent useful tax assets. The restructuring plan should be </w:t>
      </w:r>
      <w:r w:rsidR="000160E1" w:rsidRPr="00870822">
        <w:rPr>
          <w:rFonts w:ascii="Arial" w:hAnsi="Arial" w:cs="Arial"/>
          <w:color w:val="0D0D0D" w:themeColor="text1" w:themeTint="F2"/>
        </w:rPr>
        <w:t>modelled</w:t>
      </w:r>
      <w:r w:rsidR="00DB121C" w:rsidRPr="00870822">
        <w:rPr>
          <w:rFonts w:ascii="Arial" w:hAnsi="Arial" w:cs="Arial"/>
          <w:color w:val="0D0D0D" w:themeColor="text1" w:themeTint="F2"/>
        </w:rPr>
        <w:t xml:space="preserve"> in consultation with international tax experts so as to maintain such loss </w:t>
      </w:r>
      <w:r w:rsidR="000160E1" w:rsidRPr="00870822">
        <w:rPr>
          <w:rFonts w:ascii="Arial" w:hAnsi="Arial" w:cs="Arial"/>
          <w:color w:val="0D0D0D" w:themeColor="text1" w:themeTint="F2"/>
        </w:rPr>
        <w:t>carry forwards</w:t>
      </w:r>
      <w:r w:rsidR="00DB121C" w:rsidRPr="00870822">
        <w:rPr>
          <w:rFonts w:ascii="Arial" w:hAnsi="Arial" w:cs="Arial"/>
          <w:color w:val="0D0D0D" w:themeColor="text1" w:themeTint="F2"/>
        </w:rPr>
        <w:t xml:space="preserve"> in various jurisdictions which can be used to shield future profits against taxation</w:t>
      </w:r>
      <w:r w:rsidR="0082063E" w:rsidRPr="00870822">
        <w:rPr>
          <w:rFonts w:ascii="Arial" w:hAnsi="Arial" w:cs="Arial"/>
          <w:color w:val="0D0D0D" w:themeColor="text1" w:themeTint="F2"/>
        </w:rPr>
        <w:t xml:space="preserve"> (</w:t>
      </w:r>
      <w:proofErr w:type="spellStart"/>
      <w:r w:rsidR="0082063E" w:rsidRPr="00870822">
        <w:rPr>
          <w:rFonts w:ascii="Arial" w:hAnsi="Arial" w:cs="Arial"/>
          <w:color w:val="0D0D0D" w:themeColor="text1" w:themeTint="F2"/>
        </w:rPr>
        <w:t>Palacín</w:t>
      </w:r>
      <w:proofErr w:type="spellEnd"/>
      <w:r w:rsidR="0082063E" w:rsidRPr="00870822">
        <w:rPr>
          <w:rFonts w:ascii="Arial" w:hAnsi="Arial" w:cs="Arial"/>
          <w:color w:val="0D0D0D" w:themeColor="text1" w:themeTint="F2"/>
        </w:rPr>
        <w:t>-Sánchez et al., 2023)</w:t>
      </w:r>
      <w:r w:rsidR="00DB121C" w:rsidRPr="00870822">
        <w:rPr>
          <w:rFonts w:ascii="Arial" w:hAnsi="Arial" w:cs="Arial"/>
          <w:color w:val="0D0D0D" w:themeColor="text1" w:themeTint="F2"/>
        </w:rPr>
        <w:t>. Tax implications may also be significant in the decision-making on the jurisdiction of the sale of assets and it should be planned to take maximum net proceeds.</w:t>
      </w:r>
    </w:p>
    <w:p w14:paraId="17E7BE91" w14:textId="5240577F" w:rsidR="004B503C" w:rsidRPr="00870822" w:rsidRDefault="00444DB4" w:rsidP="007E311B">
      <w:pPr>
        <w:rPr>
          <w:rFonts w:ascii="Arial" w:hAnsi="Arial" w:cs="Arial"/>
          <w:color w:val="0D0D0D" w:themeColor="text1" w:themeTint="F2"/>
        </w:rPr>
      </w:pPr>
      <w:r w:rsidRPr="00870822">
        <w:rPr>
          <w:rFonts w:ascii="Arial" w:hAnsi="Arial" w:cs="Arial"/>
          <w:b/>
          <w:bCs/>
          <w:color w:val="0D0D0D" w:themeColor="text1" w:themeTint="F2"/>
        </w:rPr>
        <w:t>Currency Risk &amp; Inflation: </w:t>
      </w:r>
      <w:r w:rsidR="004B503C" w:rsidRPr="00870822">
        <w:rPr>
          <w:rFonts w:ascii="Arial" w:hAnsi="Arial" w:cs="Arial"/>
          <w:color w:val="0D0D0D" w:themeColor="text1" w:themeTint="F2"/>
        </w:rPr>
        <w:t>The company operates in various currencies in terms of assets, liabilities and cash flows. The existence of a large, single transaction outflow of selling an asset or equity results in a huge exposure to transactions</w:t>
      </w:r>
      <w:r w:rsidR="000A249A" w:rsidRPr="00870822">
        <w:rPr>
          <w:rFonts w:ascii="Arial" w:hAnsi="Arial" w:cs="Arial"/>
          <w:color w:val="0D0D0D" w:themeColor="text1" w:themeTint="F2"/>
        </w:rPr>
        <w:t xml:space="preserve"> (Robert et al., 2023)</w:t>
      </w:r>
      <w:r w:rsidR="004B503C" w:rsidRPr="00870822">
        <w:rPr>
          <w:rFonts w:ascii="Arial" w:hAnsi="Arial" w:cs="Arial"/>
          <w:color w:val="0D0D0D" w:themeColor="text1" w:themeTint="F2"/>
        </w:rPr>
        <w:t>. These exposures have to be hedged to safeguard the value of the proceeds by the treasury function. Moreover, during a high-inflation market the relative worth of the cash raised is dissipated in a short period of time, and hence the urgency of using it effectively, initially to pay down the debt, followed by high-return investments.</w:t>
      </w:r>
    </w:p>
    <w:p w14:paraId="6FA66B36" w14:textId="5B9901D2" w:rsidR="00444DB4" w:rsidRPr="00870822" w:rsidRDefault="00444DB4" w:rsidP="007E311B">
      <w:pPr>
        <w:rPr>
          <w:rFonts w:ascii="Arial" w:hAnsi="Arial" w:cs="Arial"/>
          <w:color w:val="0D0D0D" w:themeColor="text1" w:themeTint="F2"/>
        </w:rPr>
      </w:pPr>
      <w:r w:rsidRPr="00870822">
        <w:rPr>
          <w:rFonts w:ascii="Arial" w:hAnsi="Arial" w:cs="Arial"/>
          <w:b/>
          <w:bCs/>
          <w:color w:val="0D0D0D" w:themeColor="text1" w:themeTint="F2"/>
        </w:rPr>
        <w:lastRenderedPageBreak/>
        <w:t>Corporate Social Responsibility (CSR):</w:t>
      </w:r>
      <w:r w:rsidRPr="00870822">
        <w:rPr>
          <w:rFonts w:ascii="Arial" w:hAnsi="Arial" w:cs="Arial"/>
          <w:color w:val="0D0D0D" w:themeColor="text1" w:themeTint="F2"/>
        </w:rPr>
        <w:t> This is a critical component. Divestiture and restructuring will inevitably lead to workforce reductions and potential plant closures.</w:t>
      </w:r>
    </w:p>
    <w:p w14:paraId="5E6BD985" w14:textId="43C0D787" w:rsidR="00444DB4" w:rsidRPr="00870822" w:rsidRDefault="00444DB4" w:rsidP="000A0FE3">
      <w:pPr>
        <w:pStyle w:val="ListParagraph"/>
        <w:numPr>
          <w:ilvl w:val="0"/>
          <w:numId w:val="34"/>
        </w:numPr>
        <w:rPr>
          <w:rFonts w:ascii="Arial" w:hAnsi="Arial" w:cs="Arial"/>
          <w:color w:val="0D0D0D" w:themeColor="text1" w:themeTint="F2"/>
        </w:rPr>
      </w:pPr>
      <w:r w:rsidRPr="00870822">
        <w:rPr>
          <w:rFonts w:ascii="Arial" w:hAnsi="Arial" w:cs="Arial"/>
          <w:b/>
          <w:bCs/>
          <w:color w:val="0D0D0D" w:themeColor="text1" w:themeTint="F2"/>
        </w:rPr>
        <w:t>Ethical Imperative:</w:t>
      </w:r>
      <w:r w:rsidRPr="00870822">
        <w:rPr>
          <w:rFonts w:ascii="Arial" w:hAnsi="Arial" w:cs="Arial"/>
          <w:color w:val="0D0D0D" w:themeColor="text1" w:themeTint="F2"/>
        </w:rPr>
        <w:t> </w:t>
      </w:r>
      <w:r w:rsidR="00C26BCC" w:rsidRPr="00870822">
        <w:rPr>
          <w:rFonts w:ascii="Arial" w:hAnsi="Arial" w:cs="Arial"/>
          <w:color w:val="0D0D0D" w:themeColor="text1" w:themeTint="F2"/>
        </w:rPr>
        <w:t>This process has to be handled in a transparent and humane way by the company</w:t>
      </w:r>
      <w:r w:rsidR="00D31163" w:rsidRPr="00870822">
        <w:rPr>
          <w:rFonts w:ascii="Arial" w:hAnsi="Arial" w:cs="Arial"/>
          <w:color w:val="0D0D0D" w:themeColor="text1" w:themeTint="F2"/>
        </w:rPr>
        <w:t xml:space="preserve"> (Tyagi and Tomar, 2021)</w:t>
      </w:r>
      <w:r w:rsidR="00C26BCC" w:rsidRPr="00870822">
        <w:rPr>
          <w:rFonts w:ascii="Arial" w:hAnsi="Arial" w:cs="Arial"/>
          <w:color w:val="0D0D0D" w:themeColor="text1" w:themeTint="F2"/>
        </w:rPr>
        <w:t xml:space="preserve">. </w:t>
      </w:r>
      <w:r w:rsidR="00D31163" w:rsidRPr="00870822">
        <w:rPr>
          <w:rFonts w:ascii="Arial" w:hAnsi="Arial" w:cs="Arial"/>
          <w:color w:val="0D0D0D" w:themeColor="text1" w:themeTint="F2"/>
        </w:rPr>
        <w:t>This entail</w:t>
      </w:r>
      <w:r w:rsidR="00C26BCC" w:rsidRPr="00870822">
        <w:rPr>
          <w:rFonts w:ascii="Arial" w:hAnsi="Arial" w:cs="Arial"/>
          <w:color w:val="0D0D0D" w:themeColor="text1" w:themeTint="F2"/>
        </w:rPr>
        <w:t xml:space="preserve"> offering equitable severance packages, outplacement services and prompting information to the impacted employees and local communities.</w:t>
      </w:r>
    </w:p>
    <w:p w14:paraId="6A84BA86" w14:textId="52EA04C2" w:rsidR="00444DB4" w:rsidRPr="00870822" w:rsidRDefault="00444DB4" w:rsidP="000A0FE3">
      <w:pPr>
        <w:pStyle w:val="ListParagraph"/>
        <w:numPr>
          <w:ilvl w:val="0"/>
          <w:numId w:val="34"/>
        </w:numPr>
        <w:rPr>
          <w:rFonts w:ascii="Arial" w:hAnsi="Arial" w:cs="Arial"/>
          <w:color w:val="0D0D0D" w:themeColor="text1" w:themeTint="F2"/>
        </w:rPr>
      </w:pPr>
      <w:r w:rsidRPr="00870822">
        <w:rPr>
          <w:rFonts w:ascii="Arial" w:hAnsi="Arial" w:cs="Arial"/>
          <w:b/>
          <w:bCs/>
          <w:color w:val="0D0D0D" w:themeColor="text1" w:themeTint="F2"/>
        </w:rPr>
        <w:t>Strategic Imperative:</w:t>
      </w:r>
      <w:r w:rsidRPr="00870822">
        <w:rPr>
          <w:rFonts w:ascii="Arial" w:hAnsi="Arial" w:cs="Arial"/>
          <w:color w:val="0D0D0D" w:themeColor="text1" w:themeTint="F2"/>
        </w:rPr>
        <w:t> </w:t>
      </w:r>
      <w:r w:rsidR="00692B87" w:rsidRPr="00870822">
        <w:rPr>
          <w:rFonts w:ascii="Arial" w:hAnsi="Arial" w:cs="Arial"/>
          <w:color w:val="0D0D0D" w:themeColor="text1" w:themeTint="F2"/>
        </w:rPr>
        <w:t xml:space="preserve">The way the company will go about this downsizing will determine its brand and future talent attraction. Being socially responsible is not only ethical </w:t>
      </w:r>
      <w:r w:rsidR="006A0E7A" w:rsidRPr="00870822">
        <w:rPr>
          <w:rFonts w:ascii="Arial" w:hAnsi="Arial" w:cs="Arial"/>
          <w:color w:val="0D0D0D" w:themeColor="text1" w:themeTint="F2"/>
        </w:rPr>
        <w:t>behaviour</w:t>
      </w:r>
      <w:r w:rsidR="00692B87" w:rsidRPr="00870822">
        <w:rPr>
          <w:rFonts w:ascii="Arial" w:hAnsi="Arial" w:cs="Arial"/>
          <w:color w:val="0D0D0D" w:themeColor="text1" w:themeTint="F2"/>
        </w:rPr>
        <w:t xml:space="preserve"> but it is a sound investment in the social license of the firm to operate as well as its </w:t>
      </w:r>
      <w:r w:rsidR="000F69D3" w:rsidRPr="00870822">
        <w:rPr>
          <w:rFonts w:ascii="Arial" w:hAnsi="Arial" w:cs="Arial"/>
          <w:color w:val="0D0D0D" w:themeColor="text1" w:themeTint="F2"/>
        </w:rPr>
        <w:t>long-term</w:t>
      </w:r>
      <w:r w:rsidR="00692B87" w:rsidRPr="00870822">
        <w:rPr>
          <w:rFonts w:ascii="Arial" w:hAnsi="Arial" w:cs="Arial"/>
          <w:color w:val="0D0D0D" w:themeColor="text1" w:themeTint="F2"/>
        </w:rPr>
        <w:t xml:space="preserve"> reputation</w:t>
      </w:r>
      <w:r w:rsidR="00974DED" w:rsidRPr="00870822">
        <w:rPr>
          <w:rFonts w:ascii="Arial" w:hAnsi="Arial" w:cs="Arial"/>
          <w:color w:val="0D0D0D" w:themeColor="text1" w:themeTint="F2"/>
        </w:rPr>
        <w:t xml:space="preserve"> (Altman et al., 2019)</w:t>
      </w:r>
      <w:r w:rsidR="00692B87" w:rsidRPr="00870822">
        <w:rPr>
          <w:rFonts w:ascii="Arial" w:hAnsi="Arial" w:cs="Arial"/>
          <w:color w:val="0D0D0D" w:themeColor="text1" w:themeTint="F2"/>
        </w:rPr>
        <w:t>. Otherwise, it will cause reputational damage, consumer backlash and increased regulatory attention to risk the whole turnaround.</w:t>
      </w:r>
    </w:p>
    <w:p w14:paraId="3A76C95B" w14:textId="77777777" w:rsidR="00FA4CB5" w:rsidRPr="00870822" w:rsidRDefault="00FA4CB5" w:rsidP="007E311B">
      <w:pPr>
        <w:rPr>
          <w:rFonts w:ascii="Arial" w:hAnsi="Arial" w:cs="Arial"/>
          <w:color w:val="0D0D0D" w:themeColor="text1" w:themeTint="F2"/>
        </w:rPr>
      </w:pPr>
    </w:p>
    <w:p w14:paraId="627F1B46" w14:textId="77777777" w:rsidR="003F3782" w:rsidRPr="00870822" w:rsidRDefault="003F3782" w:rsidP="007E311B">
      <w:pPr>
        <w:rPr>
          <w:rFonts w:ascii="Arial" w:hAnsi="Arial" w:cs="Arial"/>
          <w:color w:val="0D0D0D" w:themeColor="text1" w:themeTint="F2"/>
        </w:rPr>
      </w:pPr>
    </w:p>
    <w:p w14:paraId="3F7E2577" w14:textId="77777777" w:rsidR="003F3782" w:rsidRPr="00870822" w:rsidRDefault="003F3782" w:rsidP="002E1203">
      <w:pPr>
        <w:rPr>
          <w:rFonts w:ascii="Arial" w:hAnsi="Arial" w:cs="Arial"/>
          <w:color w:val="0D0D0D" w:themeColor="text1" w:themeTint="F2"/>
        </w:rPr>
      </w:pPr>
    </w:p>
    <w:p w14:paraId="14409546" w14:textId="77777777" w:rsidR="00D96245" w:rsidRPr="00870822" w:rsidRDefault="00D96245" w:rsidP="003F26CD">
      <w:pPr>
        <w:rPr>
          <w:rFonts w:ascii="Arial" w:hAnsi="Arial" w:cs="Arial"/>
          <w:color w:val="0D0D0D" w:themeColor="text1" w:themeTint="F2"/>
        </w:rPr>
      </w:pPr>
    </w:p>
    <w:p w14:paraId="2380624F" w14:textId="77777777" w:rsidR="00D96245" w:rsidRPr="00870822" w:rsidRDefault="00D96245" w:rsidP="003F26CD">
      <w:pPr>
        <w:rPr>
          <w:rFonts w:ascii="Arial" w:hAnsi="Arial" w:cs="Arial"/>
          <w:color w:val="0D0D0D" w:themeColor="text1" w:themeTint="F2"/>
        </w:rPr>
      </w:pPr>
    </w:p>
    <w:p w14:paraId="4158F948" w14:textId="77777777" w:rsidR="000A3BF3" w:rsidRPr="00870822" w:rsidRDefault="000A3BF3" w:rsidP="007A5870">
      <w:pPr>
        <w:rPr>
          <w:rFonts w:ascii="Arial" w:hAnsi="Arial" w:cs="Arial"/>
          <w:color w:val="0D0D0D" w:themeColor="text1" w:themeTint="F2"/>
        </w:rPr>
      </w:pPr>
    </w:p>
    <w:p w14:paraId="66B58BF1" w14:textId="5DC67CC2" w:rsidR="000A3BF3" w:rsidRPr="00870822" w:rsidRDefault="000A3BF3">
      <w:pPr>
        <w:spacing w:line="259" w:lineRule="auto"/>
        <w:jc w:val="left"/>
        <w:rPr>
          <w:rFonts w:ascii="Arial" w:hAnsi="Arial" w:cs="Arial"/>
          <w:color w:val="0D0D0D" w:themeColor="text1" w:themeTint="F2"/>
        </w:rPr>
      </w:pPr>
      <w:r w:rsidRPr="00870822">
        <w:rPr>
          <w:rFonts w:ascii="Arial" w:hAnsi="Arial" w:cs="Arial"/>
          <w:color w:val="0D0D0D" w:themeColor="text1" w:themeTint="F2"/>
        </w:rPr>
        <w:br w:type="page"/>
      </w:r>
    </w:p>
    <w:p w14:paraId="3B3252B6" w14:textId="467CE5EB" w:rsidR="00C33409" w:rsidRPr="00870822" w:rsidRDefault="00C33409" w:rsidP="00C33409">
      <w:pPr>
        <w:pStyle w:val="Heading1"/>
        <w:rPr>
          <w:rFonts w:ascii="Arial" w:hAnsi="Arial" w:cs="Arial"/>
          <w:color w:val="0D0D0D" w:themeColor="text1" w:themeTint="F2"/>
        </w:rPr>
      </w:pPr>
      <w:bookmarkStart w:id="18" w:name="_Toc217209475"/>
      <w:r w:rsidRPr="00870822">
        <w:rPr>
          <w:rFonts w:ascii="Arial" w:hAnsi="Arial" w:cs="Arial"/>
          <w:color w:val="0D0D0D" w:themeColor="text1" w:themeTint="F2"/>
        </w:rPr>
        <w:lastRenderedPageBreak/>
        <w:t>4. Investment Appraisal and Capital Budgeting</w:t>
      </w:r>
      <w:bookmarkEnd w:id="18"/>
    </w:p>
    <w:p w14:paraId="5D646729" w14:textId="3416B62E" w:rsidR="00402267" w:rsidRPr="00870822" w:rsidRDefault="00402267" w:rsidP="00402267">
      <w:pPr>
        <w:rPr>
          <w:rFonts w:ascii="Arial" w:hAnsi="Arial" w:cs="Arial"/>
          <w:color w:val="0D0D0D" w:themeColor="text1" w:themeTint="F2"/>
        </w:rPr>
      </w:pPr>
      <w:r w:rsidRPr="00870822">
        <w:rPr>
          <w:rFonts w:ascii="Arial" w:hAnsi="Arial" w:cs="Arial"/>
          <w:color w:val="0D0D0D" w:themeColor="text1" w:themeTint="F2"/>
        </w:rPr>
        <w:t xml:space="preserve">Investment appraisal is a key component of the corporate financial management process as it helps to identify the capital projects that can produce the highest value to the shareholders. This analysis aims at comparing three alternative investment projects Project A, Project B and Project C based on five traditional investment appraisal techniques, the Payback Period (PBP), Accounting rate of Return (ARR), Net Present Value (NPV), Profitability Index (PI) and Internal rate of Return (IRR). The cash flow in each project is </w:t>
      </w:r>
      <w:r w:rsidR="00C07884" w:rsidRPr="00870822">
        <w:rPr>
          <w:rFonts w:ascii="Arial" w:hAnsi="Arial" w:cs="Arial"/>
          <w:color w:val="0D0D0D" w:themeColor="text1" w:themeTint="F2"/>
        </w:rPr>
        <w:t>unique,</w:t>
      </w:r>
      <w:r w:rsidRPr="00870822">
        <w:rPr>
          <w:rFonts w:ascii="Arial" w:hAnsi="Arial" w:cs="Arial"/>
          <w:color w:val="0D0D0D" w:themeColor="text1" w:themeTint="F2"/>
        </w:rPr>
        <w:t xml:space="preserve"> and each project has different levels of investment amount and the company has a capital limitation of 60 million pounds and therefore it needs to make optimum selection of the portfolios. Discount rate is established at 10</w:t>
      </w:r>
      <w:r w:rsidR="00472889" w:rsidRPr="00870822">
        <w:rPr>
          <w:rFonts w:ascii="Arial" w:hAnsi="Arial" w:cs="Arial"/>
          <w:color w:val="0D0D0D" w:themeColor="text1" w:themeTint="F2"/>
        </w:rPr>
        <w:t>%</w:t>
      </w:r>
      <w:r w:rsidRPr="00870822">
        <w:rPr>
          <w:rFonts w:ascii="Arial" w:hAnsi="Arial" w:cs="Arial"/>
          <w:color w:val="0D0D0D" w:themeColor="text1" w:themeTint="F2"/>
        </w:rPr>
        <w:t xml:space="preserve"> which is the cost of capital of the company.</w:t>
      </w:r>
    </w:p>
    <w:p w14:paraId="0C2CF80B" w14:textId="6A368C0F" w:rsidR="00C33409" w:rsidRPr="00870822" w:rsidRDefault="00C33409" w:rsidP="004D1D0A">
      <w:pPr>
        <w:pStyle w:val="Heading2"/>
        <w:rPr>
          <w:rFonts w:ascii="Arial" w:hAnsi="Arial" w:cs="Arial"/>
          <w:color w:val="0D0D0D" w:themeColor="text1" w:themeTint="F2"/>
        </w:rPr>
      </w:pPr>
      <w:bookmarkStart w:id="19" w:name="_Toc217209476"/>
      <w:r w:rsidRPr="00870822">
        <w:rPr>
          <w:rFonts w:ascii="Arial" w:hAnsi="Arial" w:cs="Arial"/>
          <w:color w:val="0D0D0D" w:themeColor="text1" w:themeTint="F2"/>
        </w:rPr>
        <w:t>4.</w:t>
      </w:r>
      <w:r w:rsidR="007C5E13" w:rsidRPr="00870822">
        <w:rPr>
          <w:rFonts w:ascii="Arial" w:hAnsi="Arial" w:cs="Arial"/>
          <w:color w:val="0D0D0D" w:themeColor="text1" w:themeTint="F2"/>
        </w:rPr>
        <w:t>1</w:t>
      </w:r>
      <w:r w:rsidRPr="00870822">
        <w:rPr>
          <w:rFonts w:ascii="Arial" w:hAnsi="Arial" w:cs="Arial"/>
          <w:color w:val="0D0D0D" w:themeColor="text1" w:themeTint="F2"/>
        </w:rPr>
        <w:t xml:space="preserve"> Payback Period (PBP) Interpretation</w:t>
      </w:r>
      <w:bookmarkEnd w:id="19"/>
    </w:p>
    <w:p w14:paraId="3EF7ED48" w14:textId="77777777" w:rsidR="00402267" w:rsidRPr="00870822" w:rsidRDefault="00402267" w:rsidP="00402267">
      <w:pPr>
        <w:rPr>
          <w:rFonts w:ascii="Arial" w:hAnsi="Arial" w:cs="Arial"/>
          <w:color w:val="0D0D0D" w:themeColor="text1" w:themeTint="F2"/>
        </w:rPr>
      </w:pPr>
      <w:r w:rsidRPr="00870822">
        <w:rPr>
          <w:rFonts w:ascii="Arial" w:hAnsi="Arial" w:cs="Arial"/>
          <w:color w:val="0D0D0D" w:themeColor="text1" w:themeTint="F2"/>
        </w:rPr>
        <w:t>In terms of liquidity and risk, the Payback Period gives an understanding of the speed at which a project pays back its start-up investment. The shorter payback is usually desirable since it minimizes the risk of exposure to economic risks and improves future investment cash (</w:t>
      </w:r>
      <w:proofErr w:type="spellStart"/>
      <w:r w:rsidRPr="00870822">
        <w:rPr>
          <w:rFonts w:ascii="Arial" w:hAnsi="Arial" w:cs="Arial"/>
          <w:color w:val="0D0D0D" w:themeColor="text1" w:themeTint="F2"/>
        </w:rPr>
        <w:t>Alkaraan</w:t>
      </w:r>
      <w:proofErr w:type="spellEnd"/>
      <w:r w:rsidRPr="00870822">
        <w:rPr>
          <w:rFonts w:ascii="Arial" w:hAnsi="Arial" w:cs="Arial"/>
          <w:color w:val="0D0D0D" w:themeColor="text1" w:themeTint="F2"/>
        </w:rPr>
        <w:t>, 2017).</w:t>
      </w:r>
    </w:p>
    <w:p w14:paraId="25E5FA15" w14:textId="191BE549" w:rsidR="000641FF" w:rsidRPr="00870822" w:rsidRDefault="000641FF" w:rsidP="000641FF">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5E37DCA3" wp14:editId="231594E8">
            <wp:extent cx="4108661" cy="1974951"/>
            <wp:effectExtent l="0" t="0" r="6350" b="6350"/>
            <wp:docPr id="704431090" name="Picture 1" descr="A white and blu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431090" name="Picture 1" descr="A white and blue paper with black text&#10;&#10;AI-generated content may be incorrect."/>
                    <pic:cNvPicPr/>
                  </pic:nvPicPr>
                  <pic:blipFill>
                    <a:blip r:embed="rId15"/>
                    <a:stretch>
                      <a:fillRect/>
                    </a:stretch>
                  </pic:blipFill>
                  <pic:spPr>
                    <a:xfrm>
                      <a:off x="0" y="0"/>
                      <a:ext cx="4108661" cy="1974951"/>
                    </a:xfrm>
                    <a:prstGeom prst="rect">
                      <a:avLst/>
                    </a:prstGeom>
                  </pic:spPr>
                </pic:pic>
              </a:graphicData>
            </a:graphic>
          </wp:inline>
        </w:drawing>
      </w:r>
    </w:p>
    <w:p w14:paraId="6D8C500B" w14:textId="668EEE3E" w:rsidR="000641FF" w:rsidRPr="00870822" w:rsidRDefault="000641FF" w:rsidP="000641FF">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1456AFB9" wp14:editId="004917F3">
            <wp:extent cx="4108661" cy="2000353"/>
            <wp:effectExtent l="0" t="0" r="6350" b="0"/>
            <wp:docPr id="801554543" name="Picture 1" descr="A white and pink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554543" name="Picture 1" descr="A white and pink paper with black text&#10;&#10;AI-generated content may be incorrect."/>
                    <pic:cNvPicPr/>
                  </pic:nvPicPr>
                  <pic:blipFill>
                    <a:blip r:embed="rId16"/>
                    <a:stretch>
                      <a:fillRect/>
                    </a:stretch>
                  </pic:blipFill>
                  <pic:spPr>
                    <a:xfrm>
                      <a:off x="0" y="0"/>
                      <a:ext cx="4108661" cy="2000353"/>
                    </a:xfrm>
                    <a:prstGeom prst="rect">
                      <a:avLst/>
                    </a:prstGeom>
                  </pic:spPr>
                </pic:pic>
              </a:graphicData>
            </a:graphic>
          </wp:inline>
        </w:drawing>
      </w:r>
    </w:p>
    <w:p w14:paraId="1EEF72D0" w14:textId="601C2C66" w:rsidR="000641FF" w:rsidRPr="00870822" w:rsidRDefault="00C0136D" w:rsidP="000641FF">
      <w:pPr>
        <w:jc w:val="center"/>
        <w:rPr>
          <w:rFonts w:ascii="Arial" w:hAnsi="Arial" w:cs="Arial"/>
          <w:color w:val="0D0D0D" w:themeColor="text1" w:themeTint="F2"/>
        </w:rPr>
      </w:pPr>
      <w:r w:rsidRPr="00870822">
        <w:rPr>
          <w:rFonts w:ascii="Arial" w:hAnsi="Arial" w:cs="Arial"/>
          <w:noProof/>
          <w:color w:val="0D0D0D" w:themeColor="text1" w:themeTint="F2"/>
        </w:rPr>
        <w:lastRenderedPageBreak/>
        <w:drawing>
          <wp:inline distT="0" distB="0" distL="0" distR="0" wp14:anchorId="33E0281C" wp14:editId="64436F07">
            <wp:extent cx="3962604" cy="1968601"/>
            <wp:effectExtent l="0" t="0" r="0" b="0"/>
            <wp:docPr id="1322137708" name="Picture 1" descr="A screen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37708" name="Picture 1" descr="A screenshot of a screen&#10;&#10;AI-generated content may be incorrect."/>
                    <pic:cNvPicPr/>
                  </pic:nvPicPr>
                  <pic:blipFill>
                    <a:blip r:embed="rId17"/>
                    <a:stretch>
                      <a:fillRect/>
                    </a:stretch>
                  </pic:blipFill>
                  <pic:spPr>
                    <a:xfrm>
                      <a:off x="0" y="0"/>
                      <a:ext cx="3962604" cy="1968601"/>
                    </a:xfrm>
                    <a:prstGeom prst="rect">
                      <a:avLst/>
                    </a:prstGeom>
                  </pic:spPr>
                </pic:pic>
              </a:graphicData>
            </a:graphic>
          </wp:inline>
        </w:drawing>
      </w:r>
    </w:p>
    <w:p w14:paraId="2E9DBCA5" w14:textId="257198AF" w:rsidR="00C33409" w:rsidRPr="00870822" w:rsidRDefault="00031576" w:rsidP="00C33409">
      <w:pPr>
        <w:rPr>
          <w:rFonts w:ascii="Arial" w:hAnsi="Arial" w:cs="Arial"/>
          <w:color w:val="0D0D0D" w:themeColor="text1" w:themeTint="F2"/>
        </w:rPr>
      </w:pPr>
      <w:r w:rsidRPr="00870822">
        <w:rPr>
          <w:rFonts w:ascii="Arial" w:hAnsi="Arial" w:cs="Arial"/>
          <w:color w:val="0D0D0D" w:themeColor="text1" w:themeTint="F2"/>
        </w:rPr>
        <w:t xml:space="preserve">Project A of the three displays the least payback as it recovers its investment after about 3.3 years. Project C comes next with a payback period of approximately 3.5 </w:t>
      </w:r>
      <w:r w:rsidR="000E738E" w:rsidRPr="00870822">
        <w:rPr>
          <w:rFonts w:ascii="Arial" w:hAnsi="Arial" w:cs="Arial"/>
          <w:color w:val="0D0D0D" w:themeColor="text1" w:themeTint="F2"/>
        </w:rPr>
        <w:t>years,</w:t>
      </w:r>
      <w:r w:rsidRPr="00870822">
        <w:rPr>
          <w:rFonts w:ascii="Arial" w:hAnsi="Arial" w:cs="Arial"/>
          <w:color w:val="0D0D0D" w:themeColor="text1" w:themeTint="F2"/>
        </w:rPr>
        <w:t xml:space="preserve"> and Project B will take five years to pay its cost. This implies that the two Projects A and C are better in terms of liquidity, which offer faster access to the recovered capital (Andor et al., 2015). Practically, it means that Project A would help a company to increase the cash flexibility faster, which is particularly important in unstable markets or when it is impossible to access liquidity.</w:t>
      </w:r>
    </w:p>
    <w:p w14:paraId="745ABEE2" w14:textId="4CB8FB33" w:rsidR="00C33409" w:rsidRPr="00870822" w:rsidRDefault="00C33409" w:rsidP="004D1D0A">
      <w:pPr>
        <w:pStyle w:val="Heading2"/>
        <w:rPr>
          <w:rFonts w:ascii="Arial" w:hAnsi="Arial" w:cs="Arial"/>
          <w:color w:val="0D0D0D" w:themeColor="text1" w:themeTint="F2"/>
        </w:rPr>
      </w:pPr>
      <w:bookmarkStart w:id="20" w:name="_Toc217209477"/>
      <w:r w:rsidRPr="00870822">
        <w:rPr>
          <w:rFonts w:ascii="Arial" w:hAnsi="Arial" w:cs="Arial"/>
          <w:color w:val="0D0D0D" w:themeColor="text1" w:themeTint="F2"/>
        </w:rPr>
        <w:t>4.</w:t>
      </w:r>
      <w:r w:rsidR="007C5E13" w:rsidRPr="00870822">
        <w:rPr>
          <w:rFonts w:ascii="Arial" w:hAnsi="Arial" w:cs="Arial"/>
          <w:color w:val="0D0D0D" w:themeColor="text1" w:themeTint="F2"/>
        </w:rPr>
        <w:t>2</w:t>
      </w:r>
      <w:r w:rsidRPr="00870822">
        <w:rPr>
          <w:rFonts w:ascii="Arial" w:hAnsi="Arial" w:cs="Arial"/>
          <w:color w:val="0D0D0D" w:themeColor="text1" w:themeTint="F2"/>
        </w:rPr>
        <w:t xml:space="preserve"> Accounting Rate of Return (ARR) Interpretation</w:t>
      </w:r>
      <w:bookmarkEnd w:id="20"/>
    </w:p>
    <w:p w14:paraId="596F33C6" w14:textId="63272BB5" w:rsidR="002929BA" w:rsidRPr="00870822" w:rsidRDefault="002929BA" w:rsidP="002929BA">
      <w:pPr>
        <w:rPr>
          <w:rFonts w:ascii="Arial" w:hAnsi="Arial" w:cs="Arial"/>
          <w:color w:val="0D0D0D" w:themeColor="text1" w:themeTint="F2"/>
        </w:rPr>
      </w:pPr>
      <w:r w:rsidRPr="00870822">
        <w:rPr>
          <w:rFonts w:ascii="Arial" w:hAnsi="Arial" w:cs="Arial"/>
          <w:color w:val="0D0D0D" w:themeColor="text1" w:themeTint="F2"/>
        </w:rPr>
        <w:t>The ARR analysis is more traditional view of accounting as they are linked on the average yearly profits to the investment at the beginning</w:t>
      </w:r>
      <w:r w:rsidR="000C723A" w:rsidRPr="00870822">
        <w:rPr>
          <w:rFonts w:ascii="Arial" w:hAnsi="Arial" w:cs="Arial"/>
          <w:color w:val="0D0D0D" w:themeColor="text1" w:themeTint="F2"/>
        </w:rPr>
        <w:t xml:space="preserve"> (Ko et al., 2017)</w:t>
      </w:r>
      <w:r w:rsidRPr="00870822">
        <w:rPr>
          <w:rFonts w:ascii="Arial" w:hAnsi="Arial" w:cs="Arial"/>
          <w:color w:val="0D0D0D" w:themeColor="text1" w:themeTint="F2"/>
        </w:rPr>
        <w:t>. It shows the impact that the project would have on the reported asset ratios of profitability e.g. return on assets or on investment.</w:t>
      </w:r>
    </w:p>
    <w:p w14:paraId="558CAF9B" w14:textId="523D5793" w:rsidR="009F7492" w:rsidRPr="00870822" w:rsidRDefault="008C6A59" w:rsidP="00F46C2A">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1655737A" wp14:editId="0CC7028F">
            <wp:extent cx="5473981" cy="2108308"/>
            <wp:effectExtent l="0" t="0" r="0" b="6350"/>
            <wp:docPr id="1067246384" name="Picture 1" descr="A table with number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46384" name="Picture 1" descr="A table with numbers and words&#10;&#10;AI-generated content may be incorrect."/>
                    <pic:cNvPicPr/>
                  </pic:nvPicPr>
                  <pic:blipFill>
                    <a:blip r:embed="rId18"/>
                    <a:stretch>
                      <a:fillRect/>
                    </a:stretch>
                  </pic:blipFill>
                  <pic:spPr>
                    <a:xfrm>
                      <a:off x="0" y="0"/>
                      <a:ext cx="5473981" cy="2108308"/>
                    </a:xfrm>
                    <a:prstGeom prst="rect">
                      <a:avLst/>
                    </a:prstGeom>
                  </pic:spPr>
                </pic:pic>
              </a:graphicData>
            </a:graphic>
          </wp:inline>
        </w:drawing>
      </w:r>
    </w:p>
    <w:p w14:paraId="7A4E1049" w14:textId="29402218" w:rsidR="002929BA" w:rsidRPr="00870822" w:rsidRDefault="002929BA" w:rsidP="002929BA">
      <w:pPr>
        <w:rPr>
          <w:rFonts w:ascii="Arial" w:hAnsi="Arial" w:cs="Arial"/>
          <w:color w:val="0D0D0D" w:themeColor="text1" w:themeTint="F2"/>
        </w:rPr>
      </w:pPr>
      <w:r w:rsidRPr="00870822">
        <w:rPr>
          <w:rFonts w:ascii="Arial" w:hAnsi="Arial" w:cs="Arial"/>
          <w:color w:val="0D0D0D" w:themeColor="text1" w:themeTint="F2"/>
        </w:rPr>
        <w:t>Project C generates the greatest ARR, then Project A but Project B generates practically no accounting profit. This finding is in line with the cash flow profiles of the projects as C has the highest average inflows, whereas B has inflows that are virtually equal to depreciation</w:t>
      </w:r>
      <w:r w:rsidR="00DF1B47" w:rsidRPr="00870822">
        <w:rPr>
          <w:rFonts w:ascii="Arial" w:hAnsi="Arial" w:cs="Arial"/>
          <w:color w:val="0D0D0D" w:themeColor="text1" w:themeTint="F2"/>
        </w:rPr>
        <w:t xml:space="preserve"> (</w:t>
      </w:r>
      <w:proofErr w:type="spellStart"/>
      <w:r w:rsidR="00DF1B47" w:rsidRPr="00870822">
        <w:rPr>
          <w:rFonts w:ascii="Arial" w:hAnsi="Arial" w:cs="Arial"/>
          <w:color w:val="0D0D0D" w:themeColor="text1" w:themeTint="F2"/>
        </w:rPr>
        <w:t>Noviyana</w:t>
      </w:r>
      <w:proofErr w:type="spellEnd"/>
      <w:r w:rsidR="00DF1B47" w:rsidRPr="00870822">
        <w:rPr>
          <w:rFonts w:ascii="Arial" w:hAnsi="Arial" w:cs="Arial"/>
          <w:color w:val="0D0D0D" w:themeColor="text1" w:themeTint="F2"/>
        </w:rPr>
        <w:t xml:space="preserve"> et al., 2023)</w:t>
      </w:r>
      <w:r w:rsidRPr="00870822">
        <w:rPr>
          <w:rFonts w:ascii="Arial" w:hAnsi="Arial" w:cs="Arial"/>
          <w:color w:val="0D0D0D" w:themeColor="text1" w:themeTint="F2"/>
        </w:rPr>
        <w:t xml:space="preserve">. This means that Project C </w:t>
      </w:r>
      <w:r w:rsidRPr="00870822">
        <w:rPr>
          <w:rFonts w:ascii="Arial" w:hAnsi="Arial" w:cs="Arial"/>
          <w:color w:val="0D0D0D" w:themeColor="text1" w:themeTint="F2"/>
        </w:rPr>
        <w:lastRenderedPageBreak/>
        <w:t>would have the best contribution to the profitability ratio of the company and better the stability of the earnings within the investment period.</w:t>
      </w:r>
    </w:p>
    <w:p w14:paraId="5C038FE1" w14:textId="0F6516C8" w:rsidR="00C33409" w:rsidRPr="00870822" w:rsidRDefault="00C33409" w:rsidP="00C33409">
      <w:pPr>
        <w:rPr>
          <w:rFonts w:ascii="Arial" w:hAnsi="Arial" w:cs="Arial"/>
          <w:color w:val="0D0D0D" w:themeColor="text1" w:themeTint="F2"/>
        </w:rPr>
      </w:pPr>
    </w:p>
    <w:p w14:paraId="0FB39570" w14:textId="102B9C8E" w:rsidR="00C33409" w:rsidRPr="00870822" w:rsidRDefault="00C33409" w:rsidP="004D1D0A">
      <w:pPr>
        <w:pStyle w:val="Heading2"/>
        <w:rPr>
          <w:rFonts w:ascii="Arial" w:hAnsi="Arial" w:cs="Arial"/>
          <w:color w:val="0D0D0D" w:themeColor="text1" w:themeTint="F2"/>
        </w:rPr>
      </w:pPr>
      <w:bookmarkStart w:id="21" w:name="_Toc217209478"/>
      <w:r w:rsidRPr="00870822">
        <w:rPr>
          <w:rFonts w:ascii="Arial" w:hAnsi="Arial" w:cs="Arial"/>
          <w:color w:val="0D0D0D" w:themeColor="text1" w:themeTint="F2"/>
        </w:rPr>
        <w:t>4.</w:t>
      </w:r>
      <w:r w:rsidR="007C5E13" w:rsidRPr="00870822">
        <w:rPr>
          <w:rFonts w:ascii="Arial" w:hAnsi="Arial" w:cs="Arial"/>
          <w:color w:val="0D0D0D" w:themeColor="text1" w:themeTint="F2"/>
        </w:rPr>
        <w:t>3</w:t>
      </w:r>
      <w:r w:rsidRPr="00870822">
        <w:rPr>
          <w:rFonts w:ascii="Arial" w:hAnsi="Arial" w:cs="Arial"/>
          <w:color w:val="0D0D0D" w:themeColor="text1" w:themeTint="F2"/>
        </w:rPr>
        <w:t xml:space="preserve"> Net Present Value (NPV) Interpretation</w:t>
      </w:r>
      <w:bookmarkEnd w:id="21"/>
    </w:p>
    <w:p w14:paraId="08D72FD2" w14:textId="77777777" w:rsidR="002929BA" w:rsidRPr="00870822" w:rsidRDefault="002929BA" w:rsidP="002929BA">
      <w:pPr>
        <w:rPr>
          <w:rFonts w:ascii="Arial" w:hAnsi="Arial" w:cs="Arial"/>
          <w:color w:val="0D0D0D" w:themeColor="text1" w:themeTint="F2"/>
        </w:rPr>
      </w:pPr>
      <w:r w:rsidRPr="00870822">
        <w:rPr>
          <w:rFonts w:ascii="Arial" w:hAnsi="Arial" w:cs="Arial"/>
          <w:color w:val="0D0D0D" w:themeColor="text1" w:themeTint="F2"/>
        </w:rPr>
        <w:t>The Net Present Value technique provides the most theoretically valid indicator of the performance of investments because it explicitly includes the time value of money. A positive NPV value implies that the discounted cash inflows of a project are higher than the start-up cost of the project, thus generating wealth among shareholders (Batra and Verma, 2014).</w:t>
      </w:r>
    </w:p>
    <w:p w14:paraId="39D4E111" w14:textId="09A186D6" w:rsidR="00F46C2A" w:rsidRPr="00870822" w:rsidRDefault="0074178D" w:rsidP="0074178D">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14BE704C" wp14:editId="1A3EEC95">
            <wp:extent cx="4896102" cy="1962251"/>
            <wp:effectExtent l="0" t="0" r="0" b="0"/>
            <wp:docPr id="19844352" name="Picture 1" descr="A green and white card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4352" name="Picture 1" descr="A green and white card with numbers and letters&#10;&#10;AI-generated content may be incorrect."/>
                    <pic:cNvPicPr/>
                  </pic:nvPicPr>
                  <pic:blipFill>
                    <a:blip r:embed="rId19"/>
                    <a:stretch>
                      <a:fillRect/>
                    </a:stretch>
                  </pic:blipFill>
                  <pic:spPr>
                    <a:xfrm>
                      <a:off x="0" y="0"/>
                      <a:ext cx="4896102" cy="1962251"/>
                    </a:xfrm>
                    <a:prstGeom prst="rect">
                      <a:avLst/>
                    </a:prstGeom>
                  </pic:spPr>
                </pic:pic>
              </a:graphicData>
            </a:graphic>
          </wp:inline>
        </w:drawing>
      </w:r>
    </w:p>
    <w:p w14:paraId="51FD2FC4" w14:textId="4F0056CC" w:rsidR="0074178D" w:rsidRPr="00870822" w:rsidRDefault="0010268E" w:rsidP="0074178D">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5B0EC1D9" wp14:editId="1CDB56CA">
            <wp:extent cx="4870700" cy="2000353"/>
            <wp:effectExtent l="0" t="0" r="6350" b="0"/>
            <wp:docPr id="2054143007" name="Picture 1" descr="A white and blu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43007" name="Picture 1" descr="A white and blue rectangular box with black text&#10;&#10;AI-generated content may be incorrect."/>
                    <pic:cNvPicPr/>
                  </pic:nvPicPr>
                  <pic:blipFill>
                    <a:blip r:embed="rId20"/>
                    <a:stretch>
                      <a:fillRect/>
                    </a:stretch>
                  </pic:blipFill>
                  <pic:spPr>
                    <a:xfrm>
                      <a:off x="0" y="0"/>
                      <a:ext cx="4870700" cy="2000353"/>
                    </a:xfrm>
                    <a:prstGeom prst="rect">
                      <a:avLst/>
                    </a:prstGeom>
                  </pic:spPr>
                </pic:pic>
              </a:graphicData>
            </a:graphic>
          </wp:inline>
        </w:drawing>
      </w:r>
    </w:p>
    <w:p w14:paraId="51C93C7A" w14:textId="31218029" w:rsidR="0074178D" w:rsidRPr="00870822" w:rsidRDefault="007C6498" w:rsidP="0074178D">
      <w:pPr>
        <w:jc w:val="center"/>
        <w:rPr>
          <w:rFonts w:ascii="Arial" w:hAnsi="Arial" w:cs="Arial"/>
          <w:color w:val="0D0D0D" w:themeColor="text1" w:themeTint="F2"/>
        </w:rPr>
      </w:pPr>
      <w:r w:rsidRPr="00870822">
        <w:rPr>
          <w:rFonts w:ascii="Arial" w:hAnsi="Arial" w:cs="Arial"/>
          <w:noProof/>
          <w:color w:val="0D0D0D" w:themeColor="text1" w:themeTint="F2"/>
        </w:rPr>
        <w:lastRenderedPageBreak/>
        <w:drawing>
          <wp:inline distT="0" distB="0" distL="0" distR="0" wp14:anchorId="6D3E70F2" wp14:editId="23A7C05A">
            <wp:extent cx="4883401" cy="1974951"/>
            <wp:effectExtent l="0" t="0" r="0" b="6350"/>
            <wp:docPr id="1257481925" name="Picture 1" descr="A screenshot of a white and yellow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481925" name="Picture 1" descr="A screenshot of a white and yellow card&#10;&#10;AI-generated content may be incorrect."/>
                    <pic:cNvPicPr/>
                  </pic:nvPicPr>
                  <pic:blipFill>
                    <a:blip r:embed="rId21"/>
                    <a:stretch>
                      <a:fillRect/>
                    </a:stretch>
                  </pic:blipFill>
                  <pic:spPr>
                    <a:xfrm>
                      <a:off x="0" y="0"/>
                      <a:ext cx="4883401" cy="1974951"/>
                    </a:xfrm>
                    <a:prstGeom prst="rect">
                      <a:avLst/>
                    </a:prstGeom>
                  </pic:spPr>
                </pic:pic>
              </a:graphicData>
            </a:graphic>
          </wp:inline>
        </w:drawing>
      </w:r>
    </w:p>
    <w:p w14:paraId="05D239E2" w14:textId="77777777" w:rsidR="002929BA" w:rsidRPr="00870822" w:rsidRDefault="002929BA" w:rsidP="002929BA">
      <w:pPr>
        <w:rPr>
          <w:rFonts w:ascii="Arial" w:hAnsi="Arial" w:cs="Arial"/>
          <w:color w:val="0D0D0D" w:themeColor="text1" w:themeTint="F2"/>
        </w:rPr>
      </w:pPr>
      <w:r w:rsidRPr="00870822">
        <w:rPr>
          <w:rFonts w:ascii="Arial" w:hAnsi="Arial" w:cs="Arial"/>
          <w:color w:val="0D0D0D" w:themeColor="text1" w:themeTint="F2"/>
        </w:rPr>
        <w:t>Project A and Project C are both positive NPVs implying that they are value adding to the company. Project C, however, has a significantly greater NPV and can be considered as creating more wealth per pound invested than Project A. Project B, in its turn, yields a negative NPV, indicating value destruction and therefore making it a financially unappealing project. The advantages of NPV in terms of strategic decision-making are that it is directly connected to the objective of a firm to maximize the wealth of shareholders (</w:t>
      </w:r>
      <w:proofErr w:type="spellStart"/>
      <w:r w:rsidRPr="00870822">
        <w:rPr>
          <w:rFonts w:ascii="Arial" w:hAnsi="Arial" w:cs="Arial"/>
          <w:color w:val="0D0D0D" w:themeColor="text1" w:themeTint="F2"/>
        </w:rPr>
        <w:t>Kengatharan</w:t>
      </w:r>
      <w:proofErr w:type="spellEnd"/>
      <w:r w:rsidRPr="00870822">
        <w:rPr>
          <w:rFonts w:ascii="Arial" w:hAnsi="Arial" w:cs="Arial"/>
          <w:color w:val="0D0D0D" w:themeColor="text1" w:themeTint="F2"/>
        </w:rPr>
        <w:t xml:space="preserve">, 2016). The greater NPV of Project C indicates more cash generation, as well as the use of money, which is more effective. </w:t>
      </w:r>
    </w:p>
    <w:p w14:paraId="6AF2E39F" w14:textId="4CA244FF" w:rsidR="00C33409" w:rsidRPr="00870822" w:rsidRDefault="00C33409" w:rsidP="004D1D0A">
      <w:pPr>
        <w:pStyle w:val="Heading2"/>
        <w:rPr>
          <w:rFonts w:ascii="Arial" w:hAnsi="Arial" w:cs="Arial"/>
          <w:color w:val="0D0D0D" w:themeColor="text1" w:themeTint="F2"/>
        </w:rPr>
      </w:pPr>
      <w:bookmarkStart w:id="22" w:name="_Toc217209479"/>
      <w:r w:rsidRPr="00870822">
        <w:rPr>
          <w:rFonts w:ascii="Arial" w:hAnsi="Arial" w:cs="Arial"/>
          <w:color w:val="0D0D0D" w:themeColor="text1" w:themeTint="F2"/>
        </w:rPr>
        <w:t>4.</w:t>
      </w:r>
      <w:r w:rsidR="007C5E13" w:rsidRPr="00870822">
        <w:rPr>
          <w:rFonts w:ascii="Arial" w:hAnsi="Arial" w:cs="Arial"/>
          <w:color w:val="0D0D0D" w:themeColor="text1" w:themeTint="F2"/>
        </w:rPr>
        <w:t>4</w:t>
      </w:r>
      <w:r w:rsidRPr="00870822">
        <w:rPr>
          <w:rFonts w:ascii="Arial" w:hAnsi="Arial" w:cs="Arial"/>
          <w:color w:val="0D0D0D" w:themeColor="text1" w:themeTint="F2"/>
        </w:rPr>
        <w:t xml:space="preserve"> Profitability Index (PI) Interpretation</w:t>
      </w:r>
      <w:bookmarkEnd w:id="22"/>
    </w:p>
    <w:p w14:paraId="37E56FBF" w14:textId="7E7E8D41" w:rsidR="006A7F79" w:rsidRPr="00870822" w:rsidRDefault="006A7F79" w:rsidP="006A7F79">
      <w:pPr>
        <w:rPr>
          <w:rFonts w:ascii="Arial" w:hAnsi="Arial" w:cs="Arial"/>
          <w:color w:val="0D0D0D" w:themeColor="text1" w:themeTint="F2"/>
        </w:rPr>
      </w:pPr>
      <w:r w:rsidRPr="00870822">
        <w:rPr>
          <w:rFonts w:ascii="Arial" w:hAnsi="Arial" w:cs="Arial"/>
          <w:color w:val="0D0D0D" w:themeColor="text1" w:themeTint="F2"/>
        </w:rPr>
        <w:t>The Profitability Index favo</w:t>
      </w:r>
      <w:r w:rsidR="004D4A3D" w:rsidRPr="00870822">
        <w:rPr>
          <w:rFonts w:ascii="Arial" w:hAnsi="Arial" w:cs="Arial"/>
          <w:color w:val="0D0D0D" w:themeColor="text1" w:themeTint="F2"/>
        </w:rPr>
        <w:t>u</w:t>
      </w:r>
      <w:r w:rsidRPr="00870822">
        <w:rPr>
          <w:rFonts w:ascii="Arial" w:hAnsi="Arial" w:cs="Arial"/>
          <w:color w:val="0D0D0D" w:themeColor="text1" w:themeTint="F2"/>
        </w:rPr>
        <w:t>rs the NPV analysis but is concerned with the efficiency of the investment as opposed to the creation of absolute value</w:t>
      </w:r>
      <w:r w:rsidR="000C723A" w:rsidRPr="00870822">
        <w:rPr>
          <w:rFonts w:ascii="Arial" w:hAnsi="Arial" w:cs="Arial"/>
          <w:color w:val="0D0D0D" w:themeColor="text1" w:themeTint="F2"/>
        </w:rPr>
        <w:t xml:space="preserve"> (</w:t>
      </w:r>
      <w:proofErr w:type="spellStart"/>
      <w:r w:rsidR="000C723A" w:rsidRPr="00870822">
        <w:rPr>
          <w:rFonts w:ascii="Arial" w:hAnsi="Arial" w:cs="Arial"/>
          <w:color w:val="0D0D0D" w:themeColor="text1" w:themeTint="F2"/>
        </w:rPr>
        <w:t>Kavadis</w:t>
      </w:r>
      <w:proofErr w:type="spellEnd"/>
      <w:r w:rsidR="000C723A" w:rsidRPr="00870822">
        <w:rPr>
          <w:rFonts w:ascii="Arial" w:hAnsi="Arial" w:cs="Arial"/>
          <w:color w:val="0D0D0D" w:themeColor="text1" w:themeTint="F2"/>
        </w:rPr>
        <w:t xml:space="preserve"> and </w:t>
      </w:r>
      <w:proofErr w:type="spellStart"/>
      <w:r w:rsidR="000C723A" w:rsidRPr="00870822">
        <w:rPr>
          <w:rFonts w:ascii="Arial" w:hAnsi="Arial" w:cs="Arial"/>
          <w:color w:val="0D0D0D" w:themeColor="text1" w:themeTint="F2"/>
        </w:rPr>
        <w:t>Castañer</w:t>
      </w:r>
      <w:proofErr w:type="spellEnd"/>
      <w:r w:rsidR="000C723A" w:rsidRPr="00870822">
        <w:rPr>
          <w:rFonts w:ascii="Arial" w:hAnsi="Arial" w:cs="Arial"/>
          <w:color w:val="0D0D0D" w:themeColor="text1" w:themeTint="F2"/>
        </w:rPr>
        <w:t>, 2015)</w:t>
      </w:r>
      <w:r w:rsidRPr="00870822">
        <w:rPr>
          <w:rFonts w:ascii="Arial" w:hAnsi="Arial" w:cs="Arial"/>
          <w:color w:val="0D0D0D" w:themeColor="text1" w:themeTint="F2"/>
        </w:rPr>
        <w:t xml:space="preserve">. It is the ratio of present value of inflows to the original </w:t>
      </w:r>
      <w:r w:rsidR="001D097A" w:rsidRPr="00870822">
        <w:rPr>
          <w:rFonts w:ascii="Arial" w:hAnsi="Arial" w:cs="Arial"/>
          <w:color w:val="0D0D0D" w:themeColor="text1" w:themeTint="F2"/>
        </w:rPr>
        <w:t>investment,</w:t>
      </w:r>
      <w:r w:rsidRPr="00870822">
        <w:rPr>
          <w:rFonts w:ascii="Arial" w:hAnsi="Arial" w:cs="Arial"/>
          <w:color w:val="0D0D0D" w:themeColor="text1" w:themeTint="F2"/>
        </w:rPr>
        <w:t xml:space="preserve"> and it is particularly helpful in cases where capital rationing is a limiting factor.</w:t>
      </w:r>
    </w:p>
    <w:p w14:paraId="55B541A0" w14:textId="744A3A49" w:rsidR="00913C3D" w:rsidRPr="00870822" w:rsidRDefault="00913C3D" w:rsidP="00913C3D">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5EAAF8D4" wp14:editId="048CCAD6">
            <wp:extent cx="4915153" cy="1016052"/>
            <wp:effectExtent l="0" t="0" r="0" b="0"/>
            <wp:docPr id="1890981036" name="Picture 1" descr="A brown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81036" name="Picture 1" descr="A brown rectangle with white text&#10;&#10;AI-generated content may be incorrect."/>
                    <pic:cNvPicPr/>
                  </pic:nvPicPr>
                  <pic:blipFill>
                    <a:blip r:embed="rId22"/>
                    <a:stretch>
                      <a:fillRect/>
                    </a:stretch>
                  </pic:blipFill>
                  <pic:spPr>
                    <a:xfrm>
                      <a:off x="0" y="0"/>
                      <a:ext cx="4915153" cy="1016052"/>
                    </a:xfrm>
                    <a:prstGeom prst="rect">
                      <a:avLst/>
                    </a:prstGeom>
                  </pic:spPr>
                </pic:pic>
              </a:graphicData>
            </a:graphic>
          </wp:inline>
        </w:drawing>
      </w:r>
    </w:p>
    <w:p w14:paraId="0868FC63" w14:textId="0A4834AC" w:rsidR="0045070D" w:rsidRPr="00870822" w:rsidRDefault="0045070D" w:rsidP="0045070D">
      <w:pPr>
        <w:rPr>
          <w:rFonts w:ascii="Arial" w:hAnsi="Arial" w:cs="Arial"/>
          <w:color w:val="0D0D0D" w:themeColor="text1" w:themeTint="F2"/>
        </w:rPr>
      </w:pPr>
      <w:r w:rsidRPr="00870822">
        <w:rPr>
          <w:rFonts w:ascii="Arial" w:hAnsi="Arial" w:cs="Arial"/>
          <w:color w:val="0D0D0D" w:themeColor="text1" w:themeTint="F2"/>
        </w:rPr>
        <w:t>A PI of more than 1 shows that the inflows of a project are greater than its outflows on the basis of a present value. In this case, both Projects A and C exceed this mark whereas Project B fails once again</w:t>
      </w:r>
      <w:r w:rsidR="00D9605C" w:rsidRPr="00870822">
        <w:rPr>
          <w:rFonts w:ascii="Arial" w:hAnsi="Arial" w:cs="Arial"/>
          <w:color w:val="0D0D0D" w:themeColor="text1" w:themeTint="F2"/>
        </w:rPr>
        <w:t xml:space="preserve"> (</w:t>
      </w:r>
      <w:proofErr w:type="spellStart"/>
      <w:r w:rsidR="00D9605C" w:rsidRPr="00870822">
        <w:rPr>
          <w:rFonts w:ascii="Arial" w:hAnsi="Arial" w:cs="Arial"/>
          <w:color w:val="0D0D0D" w:themeColor="text1" w:themeTint="F2"/>
        </w:rPr>
        <w:t>Palacín</w:t>
      </w:r>
      <w:proofErr w:type="spellEnd"/>
      <w:r w:rsidR="00D9605C" w:rsidRPr="00870822">
        <w:rPr>
          <w:rFonts w:ascii="Arial" w:hAnsi="Arial" w:cs="Arial"/>
          <w:color w:val="0D0D0D" w:themeColor="text1" w:themeTint="F2"/>
        </w:rPr>
        <w:t>-Sánchez et al., 2023)</w:t>
      </w:r>
      <w:r w:rsidRPr="00870822">
        <w:rPr>
          <w:rFonts w:ascii="Arial" w:hAnsi="Arial" w:cs="Arial"/>
          <w:color w:val="0D0D0D" w:themeColor="text1" w:themeTint="F2"/>
        </w:rPr>
        <w:t xml:space="preserve">. Project C is a better project than Project B because it offers more value with each unit of investment, which is established by the superior PI of the former. In the ideal conditions, Project C is the most efficient use of funds. </w:t>
      </w:r>
    </w:p>
    <w:p w14:paraId="3CB2CB6B" w14:textId="47872CE2" w:rsidR="00C33409" w:rsidRPr="00870822" w:rsidRDefault="00C33409" w:rsidP="004D1D0A">
      <w:pPr>
        <w:pStyle w:val="Heading2"/>
        <w:rPr>
          <w:rFonts w:ascii="Arial" w:hAnsi="Arial" w:cs="Arial"/>
          <w:color w:val="0D0D0D" w:themeColor="text1" w:themeTint="F2"/>
        </w:rPr>
      </w:pPr>
      <w:bookmarkStart w:id="23" w:name="_Toc217209480"/>
      <w:r w:rsidRPr="00870822">
        <w:rPr>
          <w:rFonts w:ascii="Arial" w:hAnsi="Arial" w:cs="Arial"/>
          <w:color w:val="0D0D0D" w:themeColor="text1" w:themeTint="F2"/>
        </w:rPr>
        <w:lastRenderedPageBreak/>
        <w:t>4.</w:t>
      </w:r>
      <w:r w:rsidR="007C5E13" w:rsidRPr="00870822">
        <w:rPr>
          <w:rFonts w:ascii="Arial" w:hAnsi="Arial" w:cs="Arial"/>
          <w:color w:val="0D0D0D" w:themeColor="text1" w:themeTint="F2"/>
        </w:rPr>
        <w:t>5</w:t>
      </w:r>
      <w:r w:rsidRPr="00870822">
        <w:rPr>
          <w:rFonts w:ascii="Arial" w:hAnsi="Arial" w:cs="Arial"/>
          <w:color w:val="0D0D0D" w:themeColor="text1" w:themeTint="F2"/>
        </w:rPr>
        <w:t xml:space="preserve"> Internal Rate of Return (IRR) Interpretation</w:t>
      </w:r>
      <w:bookmarkEnd w:id="23"/>
    </w:p>
    <w:p w14:paraId="47E68803" w14:textId="3212B16B" w:rsidR="0045070D" w:rsidRPr="00870822" w:rsidRDefault="0045070D" w:rsidP="0045070D">
      <w:pPr>
        <w:rPr>
          <w:rFonts w:ascii="Arial" w:hAnsi="Arial" w:cs="Arial"/>
          <w:color w:val="0D0D0D" w:themeColor="text1" w:themeTint="F2"/>
        </w:rPr>
      </w:pPr>
      <w:r w:rsidRPr="00870822">
        <w:rPr>
          <w:rFonts w:ascii="Arial" w:hAnsi="Arial" w:cs="Arial"/>
          <w:color w:val="0D0D0D" w:themeColor="text1" w:themeTint="F2"/>
        </w:rPr>
        <w:t>The IRR is the discount rate that balances the inflows and outflows of a project or the rate of returns of the project itself (Michelon et al., 2020). It is used as a comparison to the cost of capital of the company which is 10% in this instance.</w:t>
      </w:r>
    </w:p>
    <w:p w14:paraId="0DCD39B5" w14:textId="7FD8A2F0" w:rsidR="00CA2E75" w:rsidRPr="00870822" w:rsidRDefault="00CA2E75" w:rsidP="00CA2E75">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34EFD92F" wp14:editId="1D079CFC">
            <wp:extent cx="3341483" cy="932507"/>
            <wp:effectExtent l="0" t="0" r="0" b="1270"/>
            <wp:docPr id="2035832346" name="Picture 1" descr="A green and white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832346" name="Picture 1" descr="A green and white rectangle with white text&#10;&#10;AI-generated content may be incorrect."/>
                    <pic:cNvPicPr/>
                  </pic:nvPicPr>
                  <pic:blipFill>
                    <a:blip r:embed="rId23"/>
                    <a:stretch>
                      <a:fillRect/>
                    </a:stretch>
                  </pic:blipFill>
                  <pic:spPr>
                    <a:xfrm>
                      <a:off x="0" y="0"/>
                      <a:ext cx="3343376" cy="933035"/>
                    </a:xfrm>
                    <a:prstGeom prst="rect">
                      <a:avLst/>
                    </a:prstGeom>
                  </pic:spPr>
                </pic:pic>
              </a:graphicData>
            </a:graphic>
          </wp:inline>
        </w:drawing>
      </w:r>
    </w:p>
    <w:p w14:paraId="12DAEA98" w14:textId="4C0D3E73" w:rsidR="009B0147" w:rsidRPr="00870822" w:rsidRDefault="009B0147" w:rsidP="009B0147">
      <w:pPr>
        <w:rPr>
          <w:rFonts w:ascii="Arial" w:hAnsi="Arial" w:cs="Arial"/>
          <w:color w:val="0D0D0D" w:themeColor="text1" w:themeTint="F2"/>
        </w:rPr>
      </w:pPr>
      <w:r w:rsidRPr="00870822">
        <w:rPr>
          <w:rFonts w:ascii="Arial" w:hAnsi="Arial" w:cs="Arial"/>
          <w:color w:val="0D0D0D" w:themeColor="text1" w:themeTint="F2"/>
        </w:rPr>
        <w:t>Both projects A and C have an IRR of more than 10</w:t>
      </w:r>
      <w:r w:rsidR="00C867B2" w:rsidRPr="00870822">
        <w:rPr>
          <w:rFonts w:ascii="Arial" w:hAnsi="Arial" w:cs="Arial"/>
          <w:color w:val="0D0D0D" w:themeColor="text1" w:themeTint="F2"/>
        </w:rPr>
        <w:t>%</w:t>
      </w:r>
      <w:r w:rsidRPr="00870822">
        <w:rPr>
          <w:rFonts w:ascii="Arial" w:hAnsi="Arial" w:cs="Arial"/>
          <w:color w:val="0D0D0D" w:themeColor="text1" w:themeTint="F2"/>
        </w:rPr>
        <w:t xml:space="preserve"> and that justifies that they have gained more than the minimum required rate of return (10</w:t>
      </w:r>
      <w:r w:rsidR="00C867B2" w:rsidRPr="00870822">
        <w:rPr>
          <w:rFonts w:ascii="Arial" w:hAnsi="Arial" w:cs="Arial"/>
          <w:color w:val="0D0D0D" w:themeColor="text1" w:themeTint="F2"/>
        </w:rPr>
        <w:t>%</w:t>
      </w:r>
      <w:r w:rsidRPr="00870822">
        <w:rPr>
          <w:rFonts w:ascii="Arial" w:hAnsi="Arial" w:cs="Arial"/>
          <w:color w:val="0D0D0D" w:themeColor="text1" w:themeTint="F2"/>
        </w:rPr>
        <w:t>) and hence acceptable investment. Project C once again ranks highest in terms of IRR which means that it has better prospects of providing returns. Project B on the other hand has an IRR of less than 10 again supporting its infeasibility in terms of finances.</w:t>
      </w:r>
    </w:p>
    <w:p w14:paraId="0F31A562" w14:textId="77777777" w:rsidR="00924BE5" w:rsidRPr="00870822" w:rsidRDefault="00924BE5" w:rsidP="00C33409">
      <w:pPr>
        <w:rPr>
          <w:rFonts w:ascii="Arial" w:hAnsi="Arial" w:cs="Arial"/>
          <w:color w:val="0D0D0D" w:themeColor="text1" w:themeTint="F2"/>
        </w:rPr>
      </w:pPr>
    </w:p>
    <w:p w14:paraId="66456625" w14:textId="46035A00" w:rsidR="00C33409" w:rsidRPr="00870822" w:rsidRDefault="00C33409" w:rsidP="004D1D0A">
      <w:pPr>
        <w:pStyle w:val="Heading2"/>
        <w:rPr>
          <w:rFonts w:ascii="Arial" w:hAnsi="Arial" w:cs="Arial"/>
          <w:color w:val="0D0D0D" w:themeColor="text1" w:themeTint="F2"/>
        </w:rPr>
      </w:pPr>
      <w:bookmarkStart w:id="24" w:name="_Toc217209481"/>
      <w:r w:rsidRPr="00870822">
        <w:rPr>
          <w:rFonts w:ascii="Arial" w:hAnsi="Arial" w:cs="Arial"/>
          <w:color w:val="0D0D0D" w:themeColor="text1" w:themeTint="F2"/>
        </w:rPr>
        <w:t>4.</w:t>
      </w:r>
      <w:r w:rsidR="007C5E13" w:rsidRPr="00870822">
        <w:rPr>
          <w:rFonts w:ascii="Arial" w:hAnsi="Arial" w:cs="Arial"/>
          <w:color w:val="0D0D0D" w:themeColor="text1" w:themeTint="F2"/>
        </w:rPr>
        <w:t>6</w:t>
      </w:r>
      <w:r w:rsidRPr="00870822">
        <w:rPr>
          <w:rFonts w:ascii="Arial" w:hAnsi="Arial" w:cs="Arial"/>
          <w:color w:val="0D0D0D" w:themeColor="text1" w:themeTint="F2"/>
        </w:rPr>
        <w:t xml:space="preserve"> Comparative Evaluation and Synthesis</w:t>
      </w:r>
      <w:bookmarkEnd w:id="24"/>
    </w:p>
    <w:p w14:paraId="6E50BDB0" w14:textId="27D05231" w:rsidR="00C75881" w:rsidRPr="00870822" w:rsidRDefault="00C75881" w:rsidP="00C75881">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7DEDDA85" wp14:editId="1B72EAC6">
            <wp:extent cx="4451579" cy="1149409"/>
            <wp:effectExtent l="0" t="0" r="6350" b="0"/>
            <wp:docPr id="47497780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77805" name="Picture 1" descr="A screenshot of a graph&#10;&#10;AI-generated content may be incorrect."/>
                    <pic:cNvPicPr/>
                  </pic:nvPicPr>
                  <pic:blipFill>
                    <a:blip r:embed="rId24"/>
                    <a:stretch>
                      <a:fillRect/>
                    </a:stretch>
                  </pic:blipFill>
                  <pic:spPr>
                    <a:xfrm>
                      <a:off x="0" y="0"/>
                      <a:ext cx="4451579" cy="1149409"/>
                    </a:xfrm>
                    <a:prstGeom prst="rect">
                      <a:avLst/>
                    </a:prstGeom>
                  </pic:spPr>
                </pic:pic>
              </a:graphicData>
            </a:graphic>
          </wp:inline>
        </w:drawing>
      </w:r>
    </w:p>
    <w:p w14:paraId="4D4B149F" w14:textId="77777777" w:rsidR="00DD19CF" w:rsidRPr="00870822" w:rsidRDefault="00DD19CF" w:rsidP="00DD19CF">
      <w:pPr>
        <w:rPr>
          <w:rFonts w:ascii="Arial" w:hAnsi="Arial" w:cs="Arial"/>
          <w:color w:val="0D0D0D" w:themeColor="text1" w:themeTint="F2"/>
        </w:rPr>
      </w:pPr>
      <w:r w:rsidRPr="00870822">
        <w:rPr>
          <w:rFonts w:ascii="Arial" w:hAnsi="Arial" w:cs="Arial"/>
          <w:color w:val="0D0D0D" w:themeColor="text1" w:themeTint="F2"/>
        </w:rPr>
        <w:t>Collectively, the appraisal techniques produce a uniform ranking. Project C is most dominant in NPV, PI, ARR and IRR whereas Project A prevails only in Payback Period. The project B is showing poor performance in all metrics, which proves that it cannot be accepted. Trade-off between Projects A and C is the conventional conflict of liquidity and profitability. Project A offers faster payback and reduced risk of facing uncertainty in future whereas Project C gives the optimal value addition by sacrificing the timeliness of inflows and intensity of capital. Strategically speaking, in case the company has fixed cash assets and long-term funding sources, then Project C is more in line with its profitability and shareholder value improvement objective (Batra and Verma, 2014). On the other hand, when liquidity pressure or working capital tightness is high, Project A would be the right choice as it will accommodate shorter cash cycles and financial stability.</w:t>
      </w:r>
    </w:p>
    <w:p w14:paraId="4C37CAEB" w14:textId="6D4FDDBA" w:rsidR="00C33409" w:rsidRPr="00870822" w:rsidRDefault="00C33409" w:rsidP="004D1D0A">
      <w:pPr>
        <w:pStyle w:val="Heading2"/>
        <w:rPr>
          <w:rFonts w:ascii="Arial" w:hAnsi="Arial" w:cs="Arial"/>
          <w:color w:val="0D0D0D" w:themeColor="text1" w:themeTint="F2"/>
        </w:rPr>
      </w:pPr>
      <w:bookmarkStart w:id="25" w:name="_Toc217209482"/>
      <w:r w:rsidRPr="00870822">
        <w:rPr>
          <w:rFonts w:ascii="Arial" w:hAnsi="Arial" w:cs="Arial"/>
          <w:color w:val="0D0D0D" w:themeColor="text1" w:themeTint="F2"/>
        </w:rPr>
        <w:lastRenderedPageBreak/>
        <w:t>4.</w:t>
      </w:r>
      <w:r w:rsidR="007C5E13" w:rsidRPr="00870822">
        <w:rPr>
          <w:rFonts w:ascii="Arial" w:hAnsi="Arial" w:cs="Arial"/>
          <w:color w:val="0D0D0D" w:themeColor="text1" w:themeTint="F2"/>
        </w:rPr>
        <w:t>7</w:t>
      </w:r>
      <w:r w:rsidRPr="00870822">
        <w:rPr>
          <w:rFonts w:ascii="Arial" w:hAnsi="Arial" w:cs="Arial"/>
          <w:color w:val="0D0D0D" w:themeColor="text1" w:themeTint="F2"/>
        </w:rPr>
        <w:t xml:space="preserve"> Capital Rationing and Optimal Investment Choice</w:t>
      </w:r>
      <w:bookmarkEnd w:id="25"/>
    </w:p>
    <w:p w14:paraId="34460947" w14:textId="7A45AB6A" w:rsidR="00245592" w:rsidRPr="00870822" w:rsidRDefault="00F57F96" w:rsidP="00F57F96">
      <w:pPr>
        <w:jc w:val="center"/>
        <w:rPr>
          <w:rFonts w:ascii="Arial" w:hAnsi="Arial" w:cs="Arial"/>
          <w:color w:val="0D0D0D" w:themeColor="text1" w:themeTint="F2"/>
        </w:rPr>
      </w:pPr>
      <w:r w:rsidRPr="00870822">
        <w:rPr>
          <w:rFonts w:ascii="Arial" w:hAnsi="Arial" w:cs="Arial"/>
          <w:noProof/>
          <w:color w:val="0D0D0D" w:themeColor="text1" w:themeTint="F2"/>
        </w:rPr>
        <w:drawing>
          <wp:inline distT="0" distB="0" distL="0" distR="0" wp14:anchorId="5DCDEFBA" wp14:editId="06D530DC">
            <wp:extent cx="4845299" cy="1581231"/>
            <wp:effectExtent l="0" t="0" r="0" b="0"/>
            <wp:docPr id="1753831502" name="Picture 1" descr="A close-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31502" name="Picture 1" descr="A close-up of a number&#10;&#10;AI-generated content may be incorrect."/>
                    <pic:cNvPicPr/>
                  </pic:nvPicPr>
                  <pic:blipFill>
                    <a:blip r:embed="rId25"/>
                    <a:stretch>
                      <a:fillRect/>
                    </a:stretch>
                  </pic:blipFill>
                  <pic:spPr>
                    <a:xfrm>
                      <a:off x="0" y="0"/>
                      <a:ext cx="4845299" cy="1581231"/>
                    </a:xfrm>
                    <a:prstGeom prst="rect">
                      <a:avLst/>
                    </a:prstGeom>
                  </pic:spPr>
                </pic:pic>
              </a:graphicData>
            </a:graphic>
          </wp:inline>
        </w:drawing>
      </w:r>
    </w:p>
    <w:p w14:paraId="72DCA81C" w14:textId="77777777" w:rsidR="0014725E" w:rsidRPr="00870822" w:rsidRDefault="0014725E" w:rsidP="0014725E">
      <w:pPr>
        <w:rPr>
          <w:rFonts w:ascii="Arial" w:hAnsi="Arial" w:cs="Arial"/>
          <w:color w:val="0D0D0D" w:themeColor="text1" w:themeTint="F2"/>
        </w:rPr>
      </w:pPr>
      <w:r w:rsidRPr="00870822">
        <w:rPr>
          <w:rFonts w:ascii="Arial" w:hAnsi="Arial" w:cs="Arial"/>
          <w:color w:val="0D0D0D" w:themeColor="text1" w:themeTint="F2"/>
        </w:rPr>
        <w:t>Within the specified constraint of £60 million, the company is not able to do Projects A and C at the same time, the combined investment demand of the two (£90 million) is higher than the capital available. This is the same with other combinations. Thus, one and only project has to be selected. Considering that Project C is the most profitable in terms of NPV and IRR, it is the best option in the context of respecting long-term profitability and maximizing the wealth of shareholders as the ultimate objective of the management (</w:t>
      </w:r>
      <w:proofErr w:type="spellStart"/>
      <w:r w:rsidRPr="00870822">
        <w:rPr>
          <w:rFonts w:ascii="Arial" w:hAnsi="Arial" w:cs="Arial"/>
          <w:color w:val="0D0D0D" w:themeColor="text1" w:themeTint="F2"/>
        </w:rPr>
        <w:t>Mbabazize</w:t>
      </w:r>
      <w:proofErr w:type="spellEnd"/>
      <w:r w:rsidRPr="00870822">
        <w:rPr>
          <w:rFonts w:ascii="Arial" w:hAnsi="Arial" w:cs="Arial"/>
          <w:color w:val="0D0D0D" w:themeColor="text1" w:themeTint="F2"/>
        </w:rPr>
        <w:t xml:space="preserve"> and Daniel, 2014). The high profile of returns of the project justifies the amount of investment being 50 million pounds and the capital limit has 10 million </w:t>
      </w:r>
      <w:proofErr w:type="gramStart"/>
      <w:r w:rsidRPr="00870822">
        <w:rPr>
          <w:rFonts w:ascii="Arial" w:hAnsi="Arial" w:cs="Arial"/>
          <w:color w:val="0D0D0D" w:themeColor="text1" w:themeTint="F2"/>
        </w:rPr>
        <w:t>spare</w:t>
      </w:r>
      <w:proofErr w:type="gramEnd"/>
      <w:r w:rsidRPr="00870822">
        <w:rPr>
          <w:rFonts w:ascii="Arial" w:hAnsi="Arial" w:cs="Arial"/>
          <w:color w:val="0D0D0D" w:themeColor="text1" w:themeTint="F2"/>
        </w:rPr>
        <w:t xml:space="preserve">. This decision is however based on the assumption that the firm is able to handle liquidity short term since the cash inflows of Project C are highly lumped in Years 3 through 5. </w:t>
      </w:r>
    </w:p>
    <w:p w14:paraId="174EC649" w14:textId="4CE1F819" w:rsidR="00C33409" w:rsidRPr="00870822" w:rsidRDefault="00C33409" w:rsidP="00C75881">
      <w:pPr>
        <w:pStyle w:val="Heading2"/>
        <w:rPr>
          <w:rFonts w:ascii="Arial" w:hAnsi="Arial" w:cs="Arial"/>
          <w:color w:val="0D0D0D" w:themeColor="text1" w:themeTint="F2"/>
        </w:rPr>
      </w:pPr>
      <w:bookmarkStart w:id="26" w:name="_Toc217209483"/>
      <w:r w:rsidRPr="00870822">
        <w:rPr>
          <w:rFonts w:ascii="Arial" w:hAnsi="Arial" w:cs="Arial"/>
          <w:color w:val="0D0D0D" w:themeColor="text1" w:themeTint="F2"/>
        </w:rPr>
        <w:t>4.</w:t>
      </w:r>
      <w:r w:rsidR="007C5E13" w:rsidRPr="00870822">
        <w:rPr>
          <w:rFonts w:ascii="Arial" w:hAnsi="Arial" w:cs="Arial"/>
          <w:color w:val="0D0D0D" w:themeColor="text1" w:themeTint="F2"/>
        </w:rPr>
        <w:t>8</w:t>
      </w:r>
      <w:r w:rsidRPr="00870822">
        <w:rPr>
          <w:rFonts w:ascii="Arial" w:hAnsi="Arial" w:cs="Arial"/>
          <w:color w:val="0D0D0D" w:themeColor="text1" w:themeTint="F2"/>
        </w:rPr>
        <w:t xml:space="preserve"> </w:t>
      </w:r>
      <w:r w:rsidR="00700BDA" w:rsidRPr="00870822">
        <w:rPr>
          <w:rFonts w:ascii="Arial" w:hAnsi="Arial" w:cs="Arial"/>
          <w:color w:val="0D0D0D" w:themeColor="text1" w:themeTint="F2"/>
        </w:rPr>
        <w:t>Recommendation</w:t>
      </w:r>
      <w:bookmarkEnd w:id="26"/>
    </w:p>
    <w:p w14:paraId="4FF5CF58" w14:textId="77777777" w:rsidR="0014725E" w:rsidRPr="00870822" w:rsidRDefault="0014725E" w:rsidP="0014725E">
      <w:pPr>
        <w:rPr>
          <w:rFonts w:ascii="Arial" w:hAnsi="Arial" w:cs="Arial"/>
          <w:color w:val="0D0D0D" w:themeColor="text1" w:themeTint="F2"/>
        </w:rPr>
      </w:pPr>
      <w:r w:rsidRPr="00870822">
        <w:rPr>
          <w:rFonts w:ascii="Arial" w:hAnsi="Arial" w:cs="Arial"/>
          <w:color w:val="0D0D0D" w:themeColor="text1" w:themeTint="F2"/>
        </w:rPr>
        <w:t>Since there is a limitation of capital of £60 million, the combinations that are feasible include to pursue Project A (alone with a capital of £40m), Project C (alone with a capital of £50m) and a combination of A and B (a capital of £70m, which is greater than the budget). The mixture of B and C is also not possible.</w:t>
      </w:r>
    </w:p>
    <w:p w14:paraId="4764F2DE" w14:textId="77777777" w:rsidR="00C75881" w:rsidRPr="00870822" w:rsidRDefault="00C75881" w:rsidP="00E751F2">
      <w:pPr>
        <w:rPr>
          <w:rFonts w:ascii="Arial" w:hAnsi="Arial" w:cs="Arial"/>
          <w:color w:val="0D0D0D" w:themeColor="text1" w:themeTint="F2"/>
        </w:rPr>
      </w:pPr>
      <w:r w:rsidRPr="00870822">
        <w:rPr>
          <w:rFonts w:ascii="Arial" w:hAnsi="Arial" w:cs="Arial"/>
          <w:color w:val="0D0D0D" w:themeColor="text1" w:themeTint="F2"/>
        </w:rPr>
        <w:t>The final recommendation is to invest solely in Project C.</w:t>
      </w:r>
    </w:p>
    <w:p w14:paraId="06C5F6A9" w14:textId="77777777" w:rsidR="00C75881" w:rsidRPr="00870822" w:rsidRDefault="00C75881" w:rsidP="00E751F2">
      <w:pPr>
        <w:rPr>
          <w:rFonts w:ascii="Arial" w:hAnsi="Arial" w:cs="Arial"/>
          <w:color w:val="0D0D0D" w:themeColor="text1" w:themeTint="F2"/>
        </w:rPr>
      </w:pPr>
      <w:r w:rsidRPr="00870822">
        <w:rPr>
          <w:rFonts w:ascii="Arial" w:hAnsi="Arial" w:cs="Arial"/>
          <w:color w:val="0D0D0D" w:themeColor="text1" w:themeTint="F2"/>
        </w:rPr>
        <w:t>This recommendation is based on a synthesis of the quantitative analysis and the strategic context of General Electronics:</w:t>
      </w:r>
    </w:p>
    <w:p w14:paraId="56E3DC72" w14:textId="77777777" w:rsidR="0014725E" w:rsidRPr="00870822" w:rsidRDefault="00E751F2" w:rsidP="0014725E">
      <w:pPr>
        <w:rPr>
          <w:rFonts w:ascii="Arial" w:hAnsi="Arial" w:cs="Arial"/>
          <w:color w:val="0D0D0D" w:themeColor="text1" w:themeTint="F2"/>
        </w:rPr>
      </w:pPr>
      <w:r w:rsidRPr="00870822">
        <w:rPr>
          <w:rFonts w:ascii="Arial" w:hAnsi="Arial" w:cs="Arial"/>
          <w:b/>
          <w:bCs/>
          <w:color w:val="0D0D0D" w:themeColor="text1" w:themeTint="F2"/>
        </w:rPr>
        <w:t xml:space="preserve">1. </w:t>
      </w:r>
      <w:r w:rsidR="00C75881" w:rsidRPr="00870822">
        <w:rPr>
          <w:rFonts w:ascii="Arial" w:hAnsi="Arial" w:cs="Arial"/>
          <w:b/>
          <w:bCs/>
          <w:color w:val="0D0D0D" w:themeColor="text1" w:themeTint="F2"/>
        </w:rPr>
        <w:t>Superior Financial Viability:</w:t>
      </w:r>
      <w:r w:rsidR="00C75881" w:rsidRPr="00870822">
        <w:rPr>
          <w:rFonts w:ascii="Arial" w:hAnsi="Arial" w:cs="Arial"/>
          <w:color w:val="0D0D0D" w:themeColor="text1" w:themeTint="F2"/>
        </w:rPr>
        <w:t> </w:t>
      </w:r>
      <w:r w:rsidR="0014725E" w:rsidRPr="00870822">
        <w:rPr>
          <w:rFonts w:ascii="Arial" w:hAnsi="Arial" w:cs="Arial"/>
          <w:color w:val="0D0D0D" w:themeColor="text1" w:themeTint="F2"/>
        </w:rPr>
        <w:t>Project C has the highest performance in near all the discounted cash flow measures. It is the one with the largest NPV (£4.23m), the largest PI (1.08), and the largest IRR (13%). It generates the ultimate and relative value to the company.</w:t>
      </w:r>
    </w:p>
    <w:p w14:paraId="1C620E0B" w14:textId="401FF46B" w:rsidR="00C75881" w:rsidRPr="00870822" w:rsidRDefault="00E751F2" w:rsidP="00E751F2">
      <w:pPr>
        <w:rPr>
          <w:rFonts w:ascii="Arial" w:hAnsi="Arial" w:cs="Arial"/>
          <w:b/>
          <w:bCs/>
          <w:color w:val="0D0D0D" w:themeColor="text1" w:themeTint="F2"/>
        </w:rPr>
      </w:pPr>
      <w:r w:rsidRPr="00870822">
        <w:rPr>
          <w:rFonts w:ascii="Arial" w:hAnsi="Arial" w:cs="Arial"/>
          <w:b/>
          <w:bCs/>
          <w:color w:val="0D0D0D" w:themeColor="text1" w:themeTint="F2"/>
        </w:rPr>
        <w:t xml:space="preserve">2. </w:t>
      </w:r>
      <w:r w:rsidR="00C75881" w:rsidRPr="00870822">
        <w:rPr>
          <w:rFonts w:ascii="Arial" w:hAnsi="Arial" w:cs="Arial"/>
          <w:b/>
          <w:bCs/>
          <w:color w:val="0D0D0D" w:themeColor="text1" w:themeTint="F2"/>
        </w:rPr>
        <w:t>Alignment with Financial Performance:</w:t>
      </w:r>
    </w:p>
    <w:p w14:paraId="78C17DDB" w14:textId="7C24D539" w:rsidR="00C75881" w:rsidRPr="00870822" w:rsidRDefault="00C75881" w:rsidP="000C3A2F">
      <w:pPr>
        <w:pStyle w:val="ListParagraph"/>
        <w:numPr>
          <w:ilvl w:val="0"/>
          <w:numId w:val="37"/>
        </w:numPr>
        <w:rPr>
          <w:rFonts w:ascii="Arial" w:hAnsi="Arial" w:cs="Arial"/>
          <w:color w:val="0D0D0D" w:themeColor="text1" w:themeTint="F2"/>
        </w:rPr>
      </w:pPr>
      <w:r w:rsidRPr="00870822">
        <w:rPr>
          <w:rFonts w:ascii="Arial" w:hAnsi="Arial" w:cs="Arial"/>
          <w:b/>
          <w:bCs/>
          <w:color w:val="0D0D0D" w:themeColor="text1" w:themeTint="F2"/>
        </w:rPr>
        <w:lastRenderedPageBreak/>
        <w:t>Profitability:</w:t>
      </w:r>
      <w:r w:rsidRPr="00870822">
        <w:rPr>
          <w:rFonts w:ascii="Arial" w:hAnsi="Arial" w:cs="Arial"/>
          <w:color w:val="0D0D0D" w:themeColor="text1" w:themeTint="F2"/>
        </w:rPr>
        <w:t> </w:t>
      </w:r>
      <w:r w:rsidR="0014725E" w:rsidRPr="00870822">
        <w:rPr>
          <w:rFonts w:ascii="Arial" w:hAnsi="Arial" w:cs="Arial"/>
          <w:color w:val="0D0D0D" w:themeColor="text1" w:themeTint="F2"/>
        </w:rPr>
        <w:t>The company is coming out with huge losses. It requires investments that can provide high unambiguous value. The strength in Project C NPV is a better move towards restoring profitability in comparison to a marginal NPV in Project A.</w:t>
      </w:r>
    </w:p>
    <w:p w14:paraId="32062DCD" w14:textId="499448B7" w:rsidR="00C75881" w:rsidRPr="00870822" w:rsidRDefault="00C75881" w:rsidP="000C3A2F">
      <w:pPr>
        <w:pStyle w:val="ListParagraph"/>
        <w:numPr>
          <w:ilvl w:val="0"/>
          <w:numId w:val="37"/>
        </w:numPr>
        <w:rPr>
          <w:rFonts w:ascii="Arial" w:hAnsi="Arial" w:cs="Arial"/>
          <w:color w:val="0D0D0D" w:themeColor="text1" w:themeTint="F2"/>
        </w:rPr>
      </w:pPr>
      <w:r w:rsidRPr="00870822">
        <w:rPr>
          <w:rFonts w:ascii="Arial" w:hAnsi="Arial" w:cs="Arial"/>
          <w:b/>
          <w:bCs/>
          <w:color w:val="0D0D0D" w:themeColor="text1" w:themeTint="F2"/>
        </w:rPr>
        <w:t>Liquidity:</w:t>
      </w:r>
      <w:r w:rsidRPr="00870822">
        <w:rPr>
          <w:rFonts w:ascii="Arial" w:hAnsi="Arial" w:cs="Arial"/>
          <w:color w:val="0D0D0D" w:themeColor="text1" w:themeTint="F2"/>
        </w:rPr>
        <w:t> </w:t>
      </w:r>
      <w:r w:rsidR="009A1D5D" w:rsidRPr="00870822">
        <w:rPr>
          <w:rFonts w:ascii="Arial" w:hAnsi="Arial" w:cs="Arial"/>
          <w:color w:val="0D0D0D" w:themeColor="text1" w:themeTint="F2"/>
        </w:rPr>
        <w:t>Project A has a minor payback (3.4 vs. 3.6 years), but the payback of Project C is also good and its further cash flows are much higher. The huge cash flows in Years 3-5 of the Project C (£20m, £25m, £15m) will be a significant enhancement of the already critically low cash reserves of the company, which will directly aid in the turnaround.</w:t>
      </w:r>
    </w:p>
    <w:p w14:paraId="0086FB9B" w14:textId="77777777" w:rsidR="00BE55CD" w:rsidRPr="00870822" w:rsidRDefault="00E751F2" w:rsidP="00BE55CD">
      <w:pPr>
        <w:rPr>
          <w:rFonts w:ascii="Arial" w:hAnsi="Arial" w:cs="Arial"/>
          <w:color w:val="0D0D0D" w:themeColor="text1" w:themeTint="F2"/>
        </w:rPr>
      </w:pPr>
      <w:r w:rsidRPr="00870822">
        <w:rPr>
          <w:rFonts w:ascii="Arial" w:hAnsi="Arial" w:cs="Arial"/>
          <w:b/>
          <w:bCs/>
          <w:color w:val="0D0D0D" w:themeColor="text1" w:themeTint="F2"/>
        </w:rPr>
        <w:t xml:space="preserve">3. </w:t>
      </w:r>
      <w:r w:rsidR="00C75881" w:rsidRPr="00870822">
        <w:rPr>
          <w:rFonts w:ascii="Arial" w:hAnsi="Arial" w:cs="Arial"/>
          <w:b/>
          <w:bCs/>
          <w:color w:val="0D0D0D" w:themeColor="text1" w:themeTint="F2"/>
        </w:rPr>
        <w:t>Risk Considerations: </w:t>
      </w:r>
      <w:r w:rsidR="00BE55CD" w:rsidRPr="00870822">
        <w:rPr>
          <w:rFonts w:ascii="Arial" w:hAnsi="Arial" w:cs="Arial"/>
          <w:color w:val="0D0D0D" w:themeColor="text1" w:themeTint="F2"/>
        </w:rPr>
        <w:t xml:space="preserve">The cash flows of Project C are back-loaded; that is, they are more dynamic and are realized later as compared to Project A. This is </w:t>
      </w:r>
      <w:proofErr w:type="gramStart"/>
      <w:r w:rsidR="00BE55CD" w:rsidRPr="00870822">
        <w:rPr>
          <w:rFonts w:ascii="Arial" w:hAnsi="Arial" w:cs="Arial"/>
          <w:color w:val="0D0D0D" w:themeColor="text1" w:themeTint="F2"/>
        </w:rPr>
        <w:t>more risky</w:t>
      </w:r>
      <w:proofErr w:type="gramEnd"/>
      <w:r w:rsidR="00BE55CD" w:rsidRPr="00870822">
        <w:rPr>
          <w:rFonts w:ascii="Arial" w:hAnsi="Arial" w:cs="Arial"/>
          <w:color w:val="0D0D0D" w:themeColor="text1" w:themeTint="F2"/>
        </w:rPr>
        <w:t xml:space="preserve"> in itself.</w:t>
      </w:r>
    </w:p>
    <w:p w14:paraId="75657856" w14:textId="77777777" w:rsidR="00BE55CD" w:rsidRPr="00870822" w:rsidRDefault="00C75881" w:rsidP="00BE55CD">
      <w:pPr>
        <w:rPr>
          <w:rFonts w:ascii="Arial" w:hAnsi="Arial" w:cs="Arial"/>
          <w:color w:val="0D0D0D" w:themeColor="text1" w:themeTint="F2"/>
        </w:rPr>
      </w:pPr>
      <w:r w:rsidRPr="00870822">
        <w:rPr>
          <w:rFonts w:ascii="Arial" w:hAnsi="Arial" w:cs="Arial"/>
          <w:b/>
          <w:bCs/>
          <w:color w:val="0D0D0D" w:themeColor="text1" w:themeTint="F2"/>
        </w:rPr>
        <w:t>Mitigating Factors:</w:t>
      </w:r>
      <w:r w:rsidRPr="00870822">
        <w:rPr>
          <w:rFonts w:ascii="Arial" w:hAnsi="Arial" w:cs="Arial"/>
          <w:color w:val="0D0D0D" w:themeColor="text1" w:themeTint="F2"/>
        </w:rPr>
        <w:t> </w:t>
      </w:r>
      <w:r w:rsidR="00BE55CD" w:rsidRPr="00870822">
        <w:rPr>
          <w:rFonts w:ascii="Arial" w:hAnsi="Arial" w:cs="Arial"/>
          <w:color w:val="0D0D0D" w:themeColor="text1" w:themeTint="F2"/>
        </w:rPr>
        <w:t xml:space="preserve">In the case of General Electronics, such a risk profile can be </w:t>
      </w:r>
      <w:proofErr w:type="spellStart"/>
      <w:r w:rsidR="00BE55CD" w:rsidRPr="00870822">
        <w:rPr>
          <w:rFonts w:ascii="Arial" w:hAnsi="Arial" w:cs="Arial"/>
          <w:color w:val="0D0D0D" w:themeColor="text1" w:themeTint="F2"/>
        </w:rPr>
        <w:t>favorable</w:t>
      </w:r>
      <w:proofErr w:type="spellEnd"/>
      <w:r w:rsidR="00BE55CD" w:rsidRPr="00870822">
        <w:rPr>
          <w:rFonts w:ascii="Arial" w:hAnsi="Arial" w:cs="Arial"/>
          <w:color w:val="0D0D0D" w:themeColor="text1" w:themeTint="F2"/>
        </w:rPr>
        <w:t>. The restructuring plan (divestiture, equity injection) is concerned with survival, which is the first priority of the company. Project C has a high initial outlay, but it is not much of a strain on the £60m budget. The increased pay-off is sufficient to cover the increased risk, and its success will depend on whether the company will manage to get through the next 2-3 years, which is the objective of the entire turnaround strategy. The less transformative potential of project A of higher stability yet less returns is not as exciting.</w:t>
      </w:r>
    </w:p>
    <w:p w14:paraId="50C65FDF" w14:textId="77777777" w:rsidR="00BE55CD" w:rsidRPr="00870822" w:rsidRDefault="00BE55CD" w:rsidP="007961D4">
      <w:pPr>
        <w:rPr>
          <w:rFonts w:ascii="Arial" w:hAnsi="Arial" w:cs="Arial"/>
          <w:color w:val="0D0D0D" w:themeColor="text1" w:themeTint="F2"/>
        </w:rPr>
      </w:pPr>
      <w:r w:rsidRPr="00870822">
        <w:rPr>
          <w:rFonts w:ascii="Arial" w:hAnsi="Arial" w:cs="Arial"/>
          <w:color w:val="0D0D0D" w:themeColor="text1" w:themeTint="F2"/>
        </w:rPr>
        <w:t>Project A is the safe but mediocre alternative although it is agreeable. Its value addition is low (NPV of £1.32m) on a 40M investment. With a turnaround situation, marginal projects cannot shift the needle. The company needs to allocate its scarce capital to the projects that have the most potential impact, which is unquestionably Project C.</w:t>
      </w:r>
    </w:p>
    <w:p w14:paraId="2F150F70" w14:textId="6558C5C0" w:rsidR="00C75881" w:rsidRPr="00870822" w:rsidRDefault="00C75881" w:rsidP="007961D4">
      <w:pPr>
        <w:rPr>
          <w:rFonts w:ascii="Arial" w:hAnsi="Arial" w:cs="Arial"/>
          <w:color w:val="0D0D0D" w:themeColor="text1" w:themeTint="F2"/>
        </w:rPr>
      </w:pPr>
    </w:p>
    <w:p w14:paraId="67A62D85" w14:textId="77777777" w:rsidR="00FE6097" w:rsidRPr="00870822" w:rsidRDefault="00FE6097" w:rsidP="007961D4">
      <w:pPr>
        <w:rPr>
          <w:rFonts w:ascii="Arial" w:hAnsi="Arial" w:cs="Arial"/>
          <w:color w:val="0D0D0D" w:themeColor="text1" w:themeTint="F2"/>
        </w:rPr>
      </w:pPr>
    </w:p>
    <w:p w14:paraId="79B0D26E" w14:textId="77777777" w:rsidR="00FE6097" w:rsidRPr="00870822" w:rsidRDefault="00FE6097" w:rsidP="007961D4">
      <w:pPr>
        <w:rPr>
          <w:rFonts w:ascii="Arial" w:hAnsi="Arial" w:cs="Arial"/>
          <w:color w:val="0D0D0D" w:themeColor="text1" w:themeTint="F2"/>
        </w:rPr>
      </w:pPr>
    </w:p>
    <w:p w14:paraId="18A5DB4D" w14:textId="2DDAE780" w:rsidR="00FE6097" w:rsidRPr="00870822" w:rsidRDefault="00FE6097">
      <w:pPr>
        <w:spacing w:line="259" w:lineRule="auto"/>
        <w:jc w:val="left"/>
        <w:rPr>
          <w:rFonts w:ascii="Arial" w:hAnsi="Arial" w:cs="Arial"/>
          <w:color w:val="0D0D0D" w:themeColor="text1" w:themeTint="F2"/>
        </w:rPr>
      </w:pPr>
      <w:r w:rsidRPr="00870822">
        <w:rPr>
          <w:rFonts w:ascii="Arial" w:hAnsi="Arial" w:cs="Arial"/>
          <w:color w:val="0D0D0D" w:themeColor="text1" w:themeTint="F2"/>
        </w:rPr>
        <w:br w:type="page"/>
      </w:r>
    </w:p>
    <w:p w14:paraId="41EFDAC3" w14:textId="15085BF7" w:rsidR="00FE6097" w:rsidRPr="00870822" w:rsidRDefault="00FE6097" w:rsidP="00C302E9">
      <w:pPr>
        <w:pStyle w:val="Heading1"/>
        <w:rPr>
          <w:rFonts w:ascii="Arial" w:hAnsi="Arial" w:cs="Arial"/>
          <w:color w:val="0D0D0D" w:themeColor="text1" w:themeTint="F2"/>
        </w:rPr>
      </w:pPr>
      <w:bookmarkStart w:id="27" w:name="_Toc217209484"/>
      <w:r w:rsidRPr="00870822">
        <w:rPr>
          <w:rFonts w:ascii="Arial" w:hAnsi="Arial" w:cs="Arial"/>
          <w:color w:val="0D0D0D" w:themeColor="text1" w:themeTint="F2"/>
        </w:rPr>
        <w:lastRenderedPageBreak/>
        <w:t>Conclusion</w:t>
      </w:r>
      <w:bookmarkEnd w:id="27"/>
    </w:p>
    <w:p w14:paraId="72995F13" w14:textId="04F707E3" w:rsidR="00FE6097" w:rsidRPr="00870822" w:rsidRDefault="0032433C" w:rsidP="0032433C">
      <w:pPr>
        <w:rPr>
          <w:rFonts w:ascii="Arial" w:hAnsi="Arial" w:cs="Arial"/>
          <w:color w:val="0D0D0D" w:themeColor="text1" w:themeTint="F2"/>
        </w:rPr>
      </w:pPr>
      <w:r w:rsidRPr="00870822">
        <w:rPr>
          <w:rFonts w:ascii="Arial" w:hAnsi="Arial" w:cs="Arial"/>
          <w:color w:val="0D0D0D" w:themeColor="text1" w:themeTint="F2"/>
        </w:rPr>
        <w:t>Finally, the diagnosis of the General Electronics shows a very critical situation, which, nevertheless, is treatable, with decisive and coordinated action. The action plan proposed is a multi-pronged attack on the source of failure, i.e., forceful working capital changes to liberate the liquidity, a necessary financial restructuring through divestiture and a capital infusion to restore the balance sheet and a disciplined focus on value-creating investments, i.e., Project C. This combined strategy literally addresses the fact of disastrous losses, cash sink, and unsustainable leverage. This blueprint offers an effective and realistic roadmap to help General Electronics to steer towards a successful and profitable future, with responsibility to ethical implications and global risks in mind and action.</w:t>
      </w:r>
    </w:p>
    <w:p w14:paraId="0C6D91AC" w14:textId="77777777" w:rsidR="00C75881" w:rsidRPr="00870822" w:rsidRDefault="00C75881" w:rsidP="007961D4">
      <w:pPr>
        <w:rPr>
          <w:rFonts w:ascii="Arial" w:hAnsi="Arial" w:cs="Arial"/>
          <w:color w:val="0D0D0D" w:themeColor="text1" w:themeTint="F2"/>
        </w:rPr>
      </w:pPr>
    </w:p>
    <w:p w14:paraId="2A0473F7" w14:textId="77777777" w:rsidR="00B404E9" w:rsidRPr="00870822" w:rsidRDefault="00B404E9" w:rsidP="007961D4">
      <w:pPr>
        <w:rPr>
          <w:rFonts w:ascii="Arial" w:hAnsi="Arial" w:cs="Arial"/>
          <w:color w:val="0D0D0D" w:themeColor="text1" w:themeTint="F2"/>
        </w:rPr>
      </w:pPr>
    </w:p>
    <w:p w14:paraId="74B2DAE2" w14:textId="0C840691" w:rsidR="00B404E9" w:rsidRPr="00870822" w:rsidRDefault="00B404E9" w:rsidP="007961D4">
      <w:pPr>
        <w:rPr>
          <w:rFonts w:ascii="Arial" w:hAnsi="Arial" w:cs="Arial"/>
          <w:color w:val="0D0D0D" w:themeColor="text1" w:themeTint="F2"/>
        </w:rPr>
      </w:pPr>
      <w:r w:rsidRPr="00870822">
        <w:rPr>
          <w:rFonts w:ascii="Arial" w:hAnsi="Arial" w:cs="Arial"/>
          <w:color w:val="0D0D0D" w:themeColor="text1" w:themeTint="F2"/>
        </w:rPr>
        <w:br w:type="page"/>
      </w:r>
    </w:p>
    <w:p w14:paraId="3FFCA2E5" w14:textId="38C716EB" w:rsidR="00B404E9" w:rsidRPr="00870822" w:rsidRDefault="00162547" w:rsidP="00162547">
      <w:pPr>
        <w:pStyle w:val="Heading1"/>
        <w:rPr>
          <w:rFonts w:ascii="Arial" w:hAnsi="Arial" w:cs="Arial"/>
          <w:color w:val="0D0D0D" w:themeColor="text1" w:themeTint="F2"/>
          <w:lang w:val="en-US"/>
        </w:rPr>
      </w:pPr>
      <w:bookmarkStart w:id="28" w:name="_Toc217209485"/>
      <w:r w:rsidRPr="00870822">
        <w:rPr>
          <w:rFonts w:ascii="Arial" w:hAnsi="Arial" w:cs="Arial"/>
          <w:color w:val="0D0D0D" w:themeColor="text1" w:themeTint="F2"/>
          <w:lang w:val="en-US"/>
        </w:rPr>
        <w:lastRenderedPageBreak/>
        <w:t>References</w:t>
      </w:r>
      <w:bookmarkEnd w:id="28"/>
    </w:p>
    <w:p w14:paraId="75ACDB84"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Aktas, N., Croci, E. and Petmezas, D., (2015). Is working capital management value-enhancing? Evidence from firm performance and investments. </w:t>
      </w:r>
      <w:r w:rsidRPr="00870822">
        <w:rPr>
          <w:rFonts w:ascii="Arial" w:hAnsi="Arial" w:cs="Arial"/>
          <w:i/>
          <w:iCs/>
          <w:color w:val="0D0D0D" w:themeColor="text1" w:themeTint="F2"/>
        </w:rPr>
        <w:t>Journal of Corporate Finance</w:t>
      </w:r>
      <w:r w:rsidRPr="00870822">
        <w:rPr>
          <w:rFonts w:ascii="Arial" w:hAnsi="Arial" w:cs="Arial"/>
          <w:color w:val="0D0D0D" w:themeColor="text1" w:themeTint="F2"/>
        </w:rPr>
        <w:t>, 30, pp.98-113.</w:t>
      </w:r>
    </w:p>
    <w:p w14:paraId="036E5164" w14:textId="77777777" w:rsidR="0044017C" w:rsidRPr="00870822" w:rsidRDefault="0044017C" w:rsidP="0044017C">
      <w:pPr>
        <w:rPr>
          <w:rFonts w:ascii="Arial" w:hAnsi="Arial" w:cs="Arial"/>
          <w:color w:val="0D0D0D" w:themeColor="text1" w:themeTint="F2"/>
        </w:rPr>
      </w:pPr>
      <w:proofErr w:type="spellStart"/>
      <w:r w:rsidRPr="00870822">
        <w:rPr>
          <w:rFonts w:ascii="Arial" w:hAnsi="Arial" w:cs="Arial"/>
          <w:color w:val="0D0D0D" w:themeColor="text1" w:themeTint="F2"/>
        </w:rPr>
        <w:t>Alkaraan</w:t>
      </w:r>
      <w:proofErr w:type="spellEnd"/>
      <w:r w:rsidRPr="00870822">
        <w:rPr>
          <w:rFonts w:ascii="Arial" w:hAnsi="Arial" w:cs="Arial"/>
          <w:color w:val="0D0D0D" w:themeColor="text1" w:themeTint="F2"/>
        </w:rPr>
        <w:t xml:space="preserve">, F., (2017). Strategic investment appraisal: multidisciplinary perspectives. In </w:t>
      </w:r>
      <w:r w:rsidRPr="00870822">
        <w:rPr>
          <w:rFonts w:ascii="Arial" w:hAnsi="Arial" w:cs="Arial"/>
          <w:i/>
          <w:iCs/>
          <w:color w:val="0D0D0D" w:themeColor="text1" w:themeTint="F2"/>
        </w:rPr>
        <w:t>Advances in mergers and acquisitions</w:t>
      </w:r>
      <w:r w:rsidRPr="00870822">
        <w:rPr>
          <w:rFonts w:ascii="Arial" w:hAnsi="Arial" w:cs="Arial"/>
          <w:color w:val="0D0D0D" w:themeColor="text1" w:themeTint="F2"/>
        </w:rPr>
        <w:t xml:space="preserve"> (pp. 67-82). Emerald Publishing Limited.</w:t>
      </w:r>
    </w:p>
    <w:p w14:paraId="3A351550"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Altman, E.I., (2018). Applications of distress prediction models: what have we learned after 50 years from the Z-score </w:t>
      </w:r>
      <w:proofErr w:type="gramStart"/>
      <w:r w:rsidRPr="00870822">
        <w:rPr>
          <w:rFonts w:ascii="Arial" w:hAnsi="Arial" w:cs="Arial"/>
          <w:color w:val="0D0D0D" w:themeColor="text1" w:themeTint="F2"/>
        </w:rPr>
        <w:t>models?.</w:t>
      </w:r>
      <w:proofErr w:type="gramEnd"/>
      <w:r w:rsidRPr="00870822">
        <w:rPr>
          <w:rFonts w:ascii="Arial" w:hAnsi="Arial" w:cs="Arial"/>
          <w:color w:val="0D0D0D" w:themeColor="text1" w:themeTint="F2"/>
        </w:rPr>
        <w:t xml:space="preserve"> </w:t>
      </w:r>
      <w:r w:rsidRPr="00870822">
        <w:rPr>
          <w:rFonts w:ascii="Arial" w:hAnsi="Arial" w:cs="Arial"/>
          <w:i/>
          <w:iCs/>
          <w:color w:val="0D0D0D" w:themeColor="text1" w:themeTint="F2"/>
        </w:rPr>
        <w:t>International Journal of Financial Studies</w:t>
      </w:r>
      <w:r w:rsidRPr="00870822">
        <w:rPr>
          <w:rFonts w:ascii="Arial" w:hAnsi="Arial" w:cs="Arial"/>
          <w:color w:val="0D0D0D" w:themeColor="text1" w:themeTint="F2"/>
        </w:rPr>
        <w:t>, 6(3), p.70.</w:t>
      </w:r>
    </w:p>
    <w:p w14:paraId="217F6971"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Altman, E.I., Hotchkiss, E. and Wang, W., (2019). </w:t>
      </w:r>
      <w:r w:rsidRPr="00870822">
        <w:rPr>
          <w:rFonts w:ascii="Arial" w:hAnsi="Arial" w:cs="Arial"/>
          <w:i/>
          <w:iCs/>
          <w:color w:val="0D0D0D" w:themeColor="text1" w:themeTint="F2"/>
        </w:rPr>
        <w:t xml:space="preserve">Corporate financial distress, restructuring, and bankruptcy: </w:t>
      </w:r>
      <w:proofErr w:type="spellStart"/>
      <w:r w:rsidRPr="00870822">
        <w:rPr>
          <w:rFonts w:ascii="Arial" w:hAnsi="Arial" w:cs="Arial"/>
          <w:i/>
          <w:iCs/>
          <w:color w:val="0D0D0D" w:themeColor="text1" w:themeTint="F2"/>
        </w:rPr>
        <w:t>analyze</w:t>
      </w:r>
      <w:proofErr w:type="spellEnd"/>
      <w:r w:rsidRPr="00870822">
        <w:rPr>
          <w:rFonts w:ascii="Arial" w:hAnsi="Arial" w:cs="Arial"/>
          <w:i/>
          <w:iCs/>
          <w:color w:val="0D0D0D" w:themeColor="text1" w:themeTint="F2"/>
        </w:rPr>
        <w:t xml:space="preserve"> leveraged finance, distressed debt, and bankruptcy</w:t>
      </w:r>
      <w:r w:rsidRPr="00870822">
        <w:rPr>
          <w:rFonts w:ascii="Arial" w:hAnsi="Arial" w:cs="Arial"/>
          <w:color w:val="0D0D0D" w:themeColor="text1" w:themeTint="F2"/>
        </w:rPr>
        <w:t>. John Wiley &amp; Sons.</w:t>
      </w:r>
    </w:p>
    <w:p w14:paraId="2FFCE38D"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Altman, E.I., </w:t>
      </w:r>
      <w:proofErr w:type="spellStart"/>
      <w:r w:rsidRPr="00870822">
        <w:rPr>
          <w:rFonts w:ascii="Arial" w:hAnsi="Arial" w:cs="Arial"/>
          <w:color w:val="0D0D0D" w:themeColor="text1" w:themeTint="F2"/>
        </w:rPr>
        <w:t>Iwanicz</w:t>
      </w:r>
      <w:proofErr w:type="spellEnd"/>
      <w:r w:rsidRPr="00870822">
        <w:rPr>
          <w:rFonts w:ascii="Cambria Math" w:hAnsi="Cambria Math" w:cs="Cambria Math"/>
          <w:color w:val="0D0D0D" w:themeColor="text1" w:themeTint="F2"/>
        </w:rPr>
        <w:t>‐</w:t>
      </w:r>
      <w:r w:rsidRPr="00870822">
        <w:rPr>
          <w:rFonts w:ascii="Arial" w:hAnsi="Arial" w:cs="Arial"/>
          <w:color w:val="0D0D0D" w:themeColor="text1" w:themeTint="F2"/>
        </w:rPr>
        <w:t>Drozdowska, M., Laitinen, E.K. and Suvas, A., (2017). Financial distress prediction in an international context: A review and empirical analysis of Altman's Z</w:t>
      </w:r>
      <w:r w:rsidRPr="00870822">
        <w:rPr>
          <w:rFonts w:ascii="Cambria Math" w:hAnsi="Cambria Math" w:cs="Cambria Math"/>
          <w:color w:val="0D0D0D" w:themeColor="text1" w:themeTint="F2"/>
        </w:rPr>
        <w:t>‐</w:t>
      </w:r>
      <w:r w:rsidRPr="00870822">
        <w:rPr>
          <w:rFonts w:ascii="Arial" w:hAnsi="Arial" w:cs="Arial"/>
          <w:color w:val="0D0D0D" w:themeColor="text1" w:themeTint="F2"/>
        </w:rPr>
        <w:t xml:space="preserve">score model. </w:t>
      </w:r>
      <w:r w:rsidRPr="00870822">
        <w:rPr>
          <w:rFonts w:ascii="Arial" w:hAnsi="Arial" w:cs="Arial"/>
          <w:i/>
          <w:iCs/>
          <w:color w:val="0D0D0D" w:themeColor="text1" w:themeTint="F2"/>
        </w:rPr>
        <w:t>Journal of international financial management &amp; accounting</w:t>
      </w:r>
      <w:r w:rsidRPr="00870822">
        <w:rPr>
          <w:rFonts w:ascii="Arial" w:hAnsi="Arial" w:cs="Arial"/>
          <w:color w:val="0D0D0D" w:themeColor="text1" w:themeTint="F2"/>
        </w:rPr>
        <w:t>, 28(2), pp.131-171.</w:t>
      </w:r>
    </w:p>
    <w:p w14:paraId="13B2675A"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Andor, G., Mohanty, S.K. and Toth, T., (2015). Capital budgeting practices: A survey of Central and Eastern European firms. </w:t>
      </w:r>
      <w:r w:rsidRPr="00870822">
        <w:rPr>
          <w:rFonts w:ascii="Arial" w:hAnsi="Arial" w:cs="Arial"/>
          <w:i/>
          <w:iCs/>
          <w:color w:val="0D0D0D" w:themeColor="text1" w:themeTint="F2"/>
        </w:rPr>
        <w:t>Emerging Markets Review</w:t>
      </w:r>
      <w:r w:rsidRPr="00870822">
        <w:rPr>
          <w:rFonts w:ascii="Arial" w:hAnsi="Arial" w:cs="Arial"/>
          <w:color w:val="0D0D0D" w:themeColor="text1" w:themeTint="F2"/>
        </w:rPr>
        <w:t>, 23(1), pp.148-172.</w:t>
      </w:r>
    </w:p>
    <w:p w14:paraId="3E3393FA"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Baños-Caballero, S., García-Teruel, P.J. and Martínez-Solano, P., (2014). Working capital management, corporate performance, and financial constraints. </w:t>
      </w:r>
      <w:r w:rsidRPr="00870822">
        <w:rPr>
          <w:rFonts w:ascii="Arial" w:hAnsi="Arial" w:cs="Arial"/>
          <w:i/>
          <w:iCs/>
          <w:color w:val="0D0D0D" w:themeColor="text1" w:themeTint="F2"/>
        </w:rPr>
        <w:t>Journal of business research</w:t>
      </w:r>
      <w:r w:rsidRPr="00870822">
        <w:rPr>
          <w:rFonts w:ascii="Arial" w:hAnsi="Arial" w:cs="Arial"/>
          <w:color w:val="0D0D0D" w:themeColor="text1" w:themeTint="F2"/>
        </w:rPr>
        <w:t>, 67(3), pp.332-338.</w:t>
      </w:r>
    </w:p>
    <w:p w14:paraId="5BC0C512"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Batra, R. and Verma, S., (2014). An empirical insight into different stages of capital budgeting. </w:t>
      </w:r>
      <w:r w:rsidRPr="00870822">
        <w:rPr>
          <w:rFonts w:ascii="Arial" w:hAnsi="Arial" w:cs="Arial"/>
          <w:i/>
          <w:iCs/>
          <w:color w:val="0D0D0D" w:themeColor="text1" w:themeTint="F2"/>
        </w:rPr>
        <w:t>Global Business Review</w:t>
      </w:r>
      <w:r w:rsidRPr="00870822">
        <w:rPr>
          <w:rFonts w:ascii="Arial" w:hAnsi="Arial" w:cs="Arial"/>
          <w:color w:val="0D0D0D" w:themeColor="text1" w:themeTint="F2"/>
        </w:rPr>
        <w:t>, 15(2), pp.339-362.</w:t>
      </w:r>
    </w:p>
    <w:p w14:paraId="0D5528EC"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Bhattacharya, H., (2014). </w:t>
      </w:r>
      <w:r w:rsidRPr="00870822">
        <w:rPr>
          <w:rFonts w:ascii="Arial" w:hAnsi="Arial" w:cs="Arial"/>
          <w:i/>
          <w:iCs/>
          <w:color w:val="0D0D0D" w:themeColor="text1" w:themeTint="F2"/>
        </w:rPr>
        <w:t>Working capital management: Strategies and techniques</w:t>
      </w:r>
      <w:r w:rsidRPr="00870822">
        <w:rPr>
          <w:rFonts w:ascii="Arial" w:hAnsi="Arial" w:cs="Arial"/>
          <w:color w:val="0D0D0D" w:themeColor="text1" w:themeTint="F2"/>
        </w:rPr>
        <w:t xml:space="preserve">. PHI Learning </w:t>
      </w:r>
      <w:proofErr w:type="spellStart"/>
      <w:r w:rsidRPr="00870822">
        <w:rPr>
          <w:rFonts w:ascii="Arial" w:hAnsi="Arial" w:cs="Arial"/>
          <w:color w:val="0D0D0D" w:themeColor="text1" w:themeTint="F2"/>
        </w:rPr>
        <w:t>Pvt.</w:t>
      </w:r>
      <w:proofErr w:type="spellEnd"/>
      <w:r w:rsidRPr="00870822">
        <w:rPr>
          <w:rFonts w:ascii="Arial" w:hAnsi="Arial" w:cs="Arial"/>
          <w:color w:val="0D0D0D" w:themeColor="text1" w:themeTint="F2"/>
        </w:rPr>
        <w:t xml:space="preserve"> Ltd.</w:t>
      </w:r>
    </w:p>
    <w:p w14:paraId="170F8FFF"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Easton, P.D., McAnally, M.L., Sommers, G.A. and Zhang, X.J., (2018). </w:t>
      </w:r>
      <w:r w:rsidRPr="00870822">
        <w:rPr>
          <w:rFonts w:ascii="Arial" w:hAnsi="Arial" w:cs="Arial"/>
          <w:i/>
          <w:iCs/>
          <w:color w:val="0D0D0D" w:themeColor="text1" w:themeTint="F2"/>
        </w:rPr>
        <w:t>Financial statement analysis &amp; valuation</w:t>
      </w:r>
      <w:r w:rsidRPr="00870822">
        <w:rPr>
          <w:rFonts w:ascii="Arial" w:hAnsi="Arial" w:cs="Arial"/>
          <w:color w:val="0D0D0D" w:themeColor="text1" w:themeTint="F2"/>
        </w:rPr>
        <w:t>. Boston, MA: Cambridge Business Publishers.</w:t>
      </w:r>
    </w:p>
    <w:p w14:paraId="4B13EE32"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lastRenderedPageBreak/>
        <w:t xml:space="preserve">Enqvist, J., Graham, M. and Nikkinen, J., (2014). The impact of working capital management on firm profitability in different business cycles: Evidence from Finland. </w:t>
      </w:r>
      <w:r w:rsidRPr="00870822">
        <w:rPr>
          <w:rFonts w:ascii="Arial" w:hAnsi="Arial" w:cs="Arial"/>
          <w:i/>
          <w:iCs/>
          <w:color w:val="0D0D0D" w:themeColor="text1" w:themeTint="F2"/>
        </w:rPr>
        <w:t>Research in International Business and finance</w:t>
      </w:r>
      <w:r w:rsidRPr="00870822">
        <w:rPr>
          <w:rFonts w:ascii="Arial" w:hAnsi="Arial" w:cs="Arial"/>
          <w:color w:val="0D0D0D" w:themeColor="text1" w:themeTint="F2"/>
        </w:rPr>
        <w:t>, 32, pp.36-49.</w:t>
      </w:r>
    </w:p>
    <w:p w14:paraId="56A5D5B8"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Islam, M.A., (2014). An analysis of the financial performance of national bank limited using financial ratio. </w:t>
      </w:r>
      <w:r w:rsidRPr="00870822">
        <w:rPr>
          <w:rFonts w:ascii="Arial" w:hAnsi="Arial" w:cs="Arial"/>
          <w:i/>
          <w:iCs/>
          <w:color w:val="0D0D0D" w:themeColor="text1" w:themeTint="F2"/>
        </w:rPr>
        <w:t>Journal of Behavioural Economics, Finance, Entrepreneurship, Accounting and Transport</w:t>
      </w:r>
      <w:r w:rsidRPr="00870822">
        <w:rPr>
          <w:rFonts w:ascii="Arial" w:hAnsi="Arial" w:cs="Arial"/>
          <w:color w:val="0D0D0D" w:themeColor="text1" w:themeTint="F2"/>
        </w:rPr>
        <w:t>, 2(5), pp.121-129.</w:t>
      </w:r>
    </w:p>
    <w:p w14:paraId="3304E0B7"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Jihadi, M., Vilantika, E., Hashemi, S.M., Arifin, Z., Bachtiar, Y. and </w:t>
      </w:r>
      <w:proofErr w:type="spellStart"/>
      <w:r w:rsidRPr="00870822">
        <w:rPr>
          <w:rFonts w:ascii="Arial" w:hAnsi="Arial" w:cs="Arial"/>
          <w:color w:val="0D0D0D" w:themeColor="text1" w:themeTint="F2"/>
        </w:rPr>
        <w:t>Sholichah</w:t>
      </w:r>
      <w:proofErr w:type="spellEnd"/>
      <w:r w:rsidRPr="00870822">
        <w:rPr>
          <w:rFonts w:ascii="Arial" w:hAnsi="Arial" w:cs="Arial"/>
          <w:color w:val="0D0D0D" w:themeColor="text1" w:themeTint="F2"/>
        </w:rPr>
        <w:t xml:space="preserve">, F., (2021). The effect of liquidity, leverage, and profitability on firm value: Empirical evidence from Indonesia. </w:t>
      </w:r>
      <w:r w:rsidRPr="00870822">
        <w:rPr>
          <w:rFonts w:ascii="Arial" w:hAnsi="Arial" w:cs="Arial"/>
          <w:i/>
          <w:iCs/>
          <w:color w:val="0D0D0D" w:themeColor="text1" w:themeTint="F2"/>
        </w:rPr>
        <w:t>The Journal of Asian Finance, Economics and Business</w:t>
      </w:r>
      <w:r w:rsidRPr="00870822">
        <w:rPr>
          <w:rFonts w:ascii="Arial" w:hAnsi="Arial" w:cs="Arial"/>
          <w:color w:val="0D0D0D" w:themeColor="text1" w:themeTint="F2"/>
        </w:rPr>
        <w:t>, 8(3), pp.423-431.</w:t>
      </w:r>
    </w:p>
    <w:p w14:paraId="5D2DA365"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Kamaluddin, A., Ishak, N. and Mohammed, N.F., (2019). Financial distress prediction through cash flow ratios analysis. </w:t>
      </w:r>
      <w:r w:rsidRPr="00870822">
        <w:rPr>
          <w:rFonts w:ascii="Arial" w:hAnsi="Arial" w:cs="Arial"/>
          <w:i/>
          <w:iCs/>
          <w:color w:val="0D0D0D" w:themeColor="text1" w:themeTint="F2"/>
        </w:rPr>
        <w:t>International Journal of Financial Research</w:t>
      </w:r>
      <w:r w:rsidRPr="00870822">
        <w:rPr>
          <w:rFonts w:ascii="Arial" w:hAnsi="Arial" w:cs="Arial"/>
          <w:color w:val="0D0D0D" w:themeColor="text1" w:themeTint="F2"/>
        </w:rPr>
        <w:t>, 10(3), pp.63-76.</w:t>
      </w:r>
    </w:p>
    <w:p w14:paraId="3AE24E81" w14:textId="77777777" w:rsidR="0044017C" w:rsidRPr="00870822" w:rsidRDefault="0044017C" w:rsidP="0044017C">
      <w:pPr>
        <w:rPr>
          <w:rFonts w:ascii="Arial" w:hAnsi="Arial" w:cs="Arial"/>
          <w:color w:val="0D0D0D" w:themeColor="text1" w:themeTint="F2"/>
        </w:rPr>
      </w:pPr>
      <w:proofErr w:type="spellStart"/>
      <w:r w:rsidRPr="00870822">
        <w:rPr>
          <w:rFonts w:ascii="Arial" w:hAnsi="Arial" w:cs="Arial"/>
          <w:color w:val="0D0D0D" w:themeColor="text1" w:themeTint="F2"/>
        </w:rPr>
        <w:t>Kavadis</w:t>
      </w:r>
      <w:proofErr w:type="spellEnd"/>
      <w:r w:rsidRPr="00870822">
        <w:rPr>
          <w:rFonts w:ascii="Arial" w:hAnsi="Arial" w:cs="Arial"/>
          <w:color w:val="0D0D0D" w:themeColor="text1" w:themeTint="F2"/>
        </w:rPr>
        <w:t xml:space="preserve">, N. and </w:t>
      </w:r>
      <w:proofErr w:type="spellStart"/>
      <w:r w:rsidRPr="00870822">
        <w:rPr>
          <w:rFonts w:ascii="Arial" w:hAnsi="Arial" w:cs="Arial"/>
          <w:color w:val="0D0D0D" w:themeColor="text1" w:themeTint="F2"/>
        </w:rPr>
        <w:t>Castañer</w:t>
      </w:r>
      <w:proofErr w:type="spellEnd"/>
      <w:r w:rsidRPr="00870822">
        <w:rPr>
          <w:rFonts w:ascii="Arial" w:hAnsi="Arial" w:cs="Arial"/>
          <w:color w:val="0D0D0D" w:themeColor="text1" w:themeTint="F2"/>
        </w:rPr>
        <w:t>, X., (2015). Who drives corporate restructuring? Co</w:t>
      </w:r>
      <w:r w:rsidRPr="00870822">
        <w:rPr>
          <w:rFonts w:ascii="Cambria Math" w:hAnsi="Cambria Math" w:cs="Cambria Math"/>
          <w:color w:val="0D0D0D" w:themeColor="text1" w:themeTint="F2"/>
        </w:rPr>
        <w:t>‐</w:t>
      </w:r>
      <w:r w:rsidRPr="00870822">
        <w:rPr>
          <w:rFonts w:ascii="Arial" w:hAnsi="Arial" w:cs="Arial"/>
          <w:color w:val="0D0D0D" w:themeColor="text1" w:themeTint="F2"/>
        </w:rPr>
        <w:t xml:space="preserve">existing owners in French firms. </w:t>
      </w:r>
      <w:r w:rsidRPr="00870822">
        <w:rPr>
          <w:rFonts w:ascii="Arial" w:hAnsi="Arial" w:cs="Arial"/>
          <w:i/>
          <w:iCs/>
          <w:color w:val="0D0D0D" w:themeColor="text1" w:themeTint="F2"/>
        </w:rPr>
        <w:t>Corporate Governance: An International Review</w:t>
      </w:r>
      <w:r w:rsidRPr="00870822">
        <w:rPr>
          <w:rFonts w:ascii="Arial" w:hAnsi="Arial" w:cs="Arial"/>
          <w:color w:val="0D0D0D" w:themeColor="text1" w:themeTint="F2"/>
        </w:rPr>
        <w:t>, 23(5), pp.417-433.</w:t>
      </w:r>
    </w:p>
    <w:p w14:paraId="16EA8B86" w14:textId="77777777" w:rsidR="0044017C" w:rsidRPr="00870822" w:rsidRDefault="0044017C" w:rsidP="0044017C">
      <w:pPr>
        <w:rPr>
          <w:rFonts w:ascii="Arial" w:hAnsi="Arial" w:cs="Arial"/>
          <w:color w:val="0D0D0D" w:themeColor="text1" w:themeTint="F2"/>
        </w:rPr>
      </w:pPr>
      <w:proofErr w:type="spellStart"/>
      <w:r w:rsidRPr="00870822">
        <w:rPr>
          <w:rFonts w:ascii="Arial" w:hAnsi="Arial" w:cs="Arial"/>
          <w:color w:val="0D0D0D" w:themeColor="text1" w:themeTint="F2"/>
        </w:rPr>
        <w:t>Kengatharan</w:t>
      </w:r>
      <w:proofErr w:type="spellEnd"/>
      <w:r w:rsidRPr="00870822">
        <w:rPr>
          <w:rFonts w:ascii="Arial" w:hAnsi="Arial" w:cs="Arial"/>
          <w:color w:val="0D0D0D" w:themeColor="text1" w:themeTint="F2"/>
        </w:rPr>
        <w:t xml:space="preserve">, L., (2016). Capital budgeting theory and practice: a review and agenda for future research. </w:t>
      </w:r>
      <w:r w:rsidRPr="00870822">
        <w:rPr>
          <w:rFonts w:ascii="Arial" w:hAnsi="Arial" w:cs="Arial"/>
          <w:i/>
          <w:iCs/>
          <w:color w:val="0D0D0D" w:themeColor="text1" w:themeTint="F2"/>
        </w:rPr>
        <w:t>Research Journal of Finance and Accounting</w:t>
      </w:r>
      <w:r w:rsidRPr="00870822">
        <w:rPr>
          <w:rFonts w:ascii="Arial" w:hAnsi="Arial" w:cs="Arial"/>
          <w:color w:val="0D0D0D" w:themeColor="text1" w:themeTint="F2"/>
        </w:rPr>
        <w:t>, 7(1).</w:t>
      </w:r>
    </w:p>
    <w:p w14:paraId="3EF7534B"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Ko, Y.C., Fujita, H. and Li, T., (2017). An evidential analysis of Altman Z-score for financial predictions: Case study on solar energy companies. </w:t>
      </w:r>
      <w:r w:rsidRPr="00870822">
        <w:rPr>
          <w:rFonts w:ascii="Arial" w:hAnsi="Arial" w:cs="Arial"/>
          <w:i/>
          <w:iCs/>
          <w:color w:val="0D0D0D" w:themeColor="text1" w:themeTint="F2"/>
        </w:rPr>
        <w:t>Applied Soft Computing</w:t>
      </w:r>
      <w:r w:rsidRPr="00870822">
        <w:rPr>
          <w:rFonts w:ascii="Arial" w:hAnsi="Arial" w:cs="Arial"/>
          <w:color w:val="0D0D0D" w:themeColor="text1" w:themeTint="F2"/>
        </w:rPr>
        <w:t>, 52, pp.748-759.</w:t>
      </w:r>
    </w:p>
    <w:p w14:paraId="31434641"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Koh, S., Durand, R.B., Dai, L. and Chang, M., (2015). Financial distress: Lifecycle and corporate restructuring. </w:t>
      </w:r>
      <w:r w:rsidRPr="00870822">
        <w:rPr>
          <w:rFonts w:ascii="Arial" w:hAnsi="Arial" w:cs="Arial"/>
          <w:i/>
          <w:iCs/>
          <w:color w:val="0D0D0D" w:themeColor="text1" w:themeTint="F2"/>
        </w:rPr>
        <w:t>Journal of corporate finance</w:t>
      </w:r>
      <w:r w:rsidRPr="00870822">
        <w:rPr>
          <w:rFonts w:ascii="Arial" w:hAnsi="Arial" w:cs="Arial"/>
          <w:color w:val="0D0D0D" w:themeColor="text1" w:themeTint="F2"/>
        </w:rPr>
        <w:t>, 33, pp.19-33.</w:t>
      </w:r>
    </w:p>
    <w:p w14:paraId="7CEAF590" w14:textId="77777777" w:rsidR="0044017C" w:rsidRPr="00870822" w:rsidRDefault="0044017C" w:rsidP="0044017C">
      <w:pPr>
        <w:rPr>
          <w:rFonts w:ascii="Arial" w:hAnsi="Arial" w:cs="Arial"/>
          <w:color w:val="0D0D0D" w:themeColor="text1" w:themeTint="F2"/>
        </w:rPr>
      </w:pPr>
      <w:proofErr w:type="spellStart"/>
      <w:r w:rsidRPr="00870822">
        <w:rPr>
          <w:rFonts w:ascii="Arial" w:hAnsi="Arial" w:cs="Arial"/>
          <w:color w:val="0D0D0D" w:themeColor="text1" w:themeTint="F2"/>
        </w:rPr>
        <w:t>Mathuva</w:t>
      </w:r>
      <w:proofErr w:type="spellEnd"/>
      <w:r w:rsidRPr="00870822">
        <w:rPr>
          <w:rFonts w:ascii="Arial" w:hAnsi="Arial" w:cs="Arial"/>
          <w:color w:val="0D0D0D" w:themeColor="text1" w:themeTint="F2"/>
        </w:rPr>
        <w:t>, D., (2015). The Influence of working capital management components on corporate profitability.</w:t>
      </w:r>
    </w:p>
    <w:p w14:paraId="5CDBA03A" w14:textId="77777777" w:rsidR="0044017C" w:rsidRPr="00870822" w:rsidRDefault="0044017C" w:rsidP="0044017C">
      <w:pPr>
        <w:rPr>
          <w:rFonts w:ascii="Arial" w:hAnsi="Arial" w:cs="Arial"/>
          <w:color w:val="0D0D0D" w:themeColor="text1" w:themeTint="F2"/>
        </w:rPr>
      </w:pPr>
      <w:proofErr w:type="spellStart"/>
      <w:r w:rsidRPr="00870822">
        <w:rPr>
          <w:rFonts w:ascii="Arial" w:hAnsi="Arial" w:cs="Arial"/>
          <w:color w:val="0D0D0D" w:themeColor="text1" w:themeTint="F2"/>
        </w:rPr>
        <w:t>Mbabazize</w:t>
      </w:r>
      <w:proofErr w:type="spellEnd"/>
      <w:r w:rsidRPr="00870822">
        <w:rPr>
          <w:rFonts w:ascii="Arial" w:hAnsi="Arial" w:cs="Arial"/>
          <w:color w:val="0D0D0D" w:themeColor="text1" w:themeTint="F2"/>
        </w:rPr>
        <w:t xml:space="preserve">, P.M. and Daniel, T., (2014). Capital budgeting practices in developing countries: A case of Rwanda. </w:t>
      </w:r>
      <w:r w:rsidRPr="00870822">
        <w:rPr>
          <w:rFonts w:ascii="Arial" w:hAnsi="Arial" w:cs="Arial"/>
          <w:i/>
          <w:iCs/>
          <w:color w:val="0D0D0D" w:themeColor="text1" w:themeTint="F2"/>
        </w:rPr>
        <w:t xml:space="preserve">Research </w:t>
      </w:r>
      <w:proofErr w:type="spellStart"/>
      <w:r w:rsidRPr="00870822">
        <w:rPr>
          <w:rFonts w:ascii="Arial" w:hAnsi="Arial" w:cs="Arial"/>
          <w:i/>
          <w:iCs/>
          <w:color w:val="0D0D0D" w:themeColor="text1" w:themeTint="F2"/>
        </w:rPr>
        <w:t>journali’s</w:t>
      </w:r>
      <w:proofErr w:type="spellEnd"/>
      <w:r w:rsidRPr="00870822">
        <w:rPr>
          <w:rFonts w:ascii="Arial" w:hAnsi="Arial" w:cs="Arial"/>
          <w:i/>
          <w:iCs/>
          <w:color w:val="0D0D0D" w:themeColor="text1" w:themeTint="F2"/>
        </w:rPr>
        <w:t xml:space="preserve"> Journal of Finance</w:t>
      </w:r>
      <w:r w:rsidRPr="00870822">
        <w:rPr>
          <w:rFonts w:ascii="Arial" w:hAnsi="Arial" w:cs="Arial"/>
          <w:color w:val="0D0D0D" w:themeColor="text1" w:themeTint="F2"/>
        </w:rPr>
        <w:t>, 2(3), pp.1-19.</w:t>
      </w:r>
    </w:p>
    <w:p w14:paraId="709EC847"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Michelon, P.D.S., </w:t>
      </w:r>
      <w:proofErr w:type="spellStart"/>
      <w:r w:rsidRPr="00870822">
        <w:rPr>
          <w:rFonts w:ascii="Arial" w:hAnsi="Arial" w:cs="Arial"/>
          <w:color w:val="0D0D0D" w:themeColor="text1" w:themeTint="F2"/>
        </w:rPr>
        <w:t>Lunkes</w:t>
      </w:r>
      <w:proofErr w:type="spellEnd"/>
      <w:r w:rsidRPr="00870822">
        <w:rPr>
          <w:rFonts w:ascii="Arial" w:hAnsi="Arial" w:cs="Arial"/>
          <w:color w:val="0D0D0D" w:themeColor="text1" w:themeTint="F2"/>
        </w:rPr>
        <w:t xml:space="preserve">, R.J. and </w:t>
      </w:r>
      <w:proofErr w:type="spellStart"/>
      <w:r w:rsidRPr="00870822">
        <w:rPr>
          <w:rFonts w:ascii="Arial" w:hAnsi="Arial" w:cs="Arial"/>
          <w:color w:val="0D0D0D" w:themeColor="text1" w:themeTint="F2"/>
        </w:rPr>
        <w:t>Bornia</w:t>
      </w:r>
      <w:proofErr w:type="spellEnd"/>
      <w:r w:rsidRPr="00870822">
        <w:rPr>
          <w:rFonts w:ascii="Arial" w:hAnsi="Arial" w:cs="Arial"/>
          <w:color w:val="0D0D0D" w:themeColor="text1" w:themeTint="F2"/>
        </w:rPr>
        <w:t xml:space="preserve">, A.C., (2020). Capital budgeting: a systematic review of the literature. </w:t>
      </w:r>
      <w:r w:rsidRPr="00870822">
        <w:rPr>
          <w:rFonts w:ascii="Arial" w:hAnsi="Arial" w:cs="Arial"/>
          <w:i/>
          <w:iCs/>
          <w:color w:val="0D0D0D" w:themeColor="text1" w:themeTint="F2"/>
        </w:rPr>
        <w:t>Production</w:t>
      </w:r>
      <w:r w:rsidRPr="00870822">
        <w:rPr>
          <w:rFonts w:ascii="Arial" w:hAnsi="Arial" w:cs="Arial"/>
          <w:color w:val="0D0D0D" w:themeColor="text1" w:themeTint="F2"/>
        </w:rPr>
        <w:t>, 30, p.e20190020.</w:t>
      </w:r>
    </w:p>
    <w:p w14:paraId="16764BA0" w14:textId="77777777" w:rsidR="0044017C" w:rsidRPr="00870822" w:rsidRDefault="0044017C" w:rsidP="0044017C">
      <w:pPr>
        <w:rPr>
          <w:rFonts w:ascii="Arial" w:hAnsi="Arial" w:cs="Arial"/>
          <w:color w:val="0D0D0D" w:themeColor="text1" w:themeTint="F2"/>
        </w:rPr>
      </w:pPr>
      <w:proofErr w:type="spellStart"/>
      <w:r w:rsidRPr="00870822">
        <w:rPr>
          <w:rFonts w:ascii="Arial" w:hAnsi="Arial" w:cs="Arial"/>
          <w:color w:val="0D0D0D" w:themeColor="text1" w:themeTint="F2"/>
        </w:rPr>
        <w:lastRenderedPageBreak/>
        <w:t>Noviyana</w:t>
      </w:r>
      <w:proofErr w:type="spellEnd"/>
      <w:r w:rsidRPr="00870822">
        <w:rPr>
          <w:rFonts w:ascii="Arial" w:hAnsi="Arial" w:cs="Arial"/>
          <w:color w:val="0D0D0D" w:themeColor="text1" w:themeTint="F2"/>
        </w:rPr>
        <w:t xml:space="preserve">, S., </w:t>
      </w:r>
      <w:proofErr w:type="spellStart"/>
      <w:r w:rsidRPr="00870822">
        <w:rPr>
          <w:rFonts w:ascii="Arial" w:hAnsi="Arial" w:cs="Arial"/>
          <w:color w:val="0D0D0D" w:themeColor="text1" w:themeTint="F2"/>
        </w:rPr>
        <w:t>Febriyola</w:t>
      </w:r>
      <w:proofErr w:type="spellEnd"/>
      <w:r w:rsidRPr="00870822">
        <w:rPr>
          <w:rFonts w:ascii="Arial" w:hAnsi="Arial" w:cs="Arial"/>
          <w:color w:val="0D0D0D" w:themeColor="text1" w:themeTint="F2"/>
        </w:rPr>
        <w:t xml:space="preserve">, A.S. and </w:t>
      </w:r>
      <w:proofErr w:type="spellStart"/>
      <w:r w:rsidRPr="00870822">
        <w:rPr>
          <w:rFonts w:ascii="Arial" w:hAnsi="Arial" w:cs="Arial"/>
          <w:color w:val="0D0D0D" w:themeColor="text1" w:themeTint="F2"/>
        </w:rPr>
        <w:t>Koranti</w:t>
      </w:r>
      <w:proofErr w:type="spellEnd"/>
      <w:r w:rsidRPr="00870822">
        <w:rPr>
          <w:rFonts w:ascii="Arial" w:hAnsi="Arial" w:cs="Arial"/>
          <w:color w:val="0D0D0D" w:themeColor="text1" w:themeTint="F2"/>
        </w:rPr>
        <w:t xml:space="preserve">, K., (2023). Analysis of financial performance using liquidity ratio, solvency ratio, activity ratio, profitability ratio in pharmaceutical Sub-sector manufacturing companies on the Indonesia stock exchange for the 2018-2020 period in </w:t>
      </w:r>
      <w:proofErr w:type="spellStart"/>
      <w:r w:rsidRPr="00870822">
        <w:rPr>
          <w:rFonts w:ascii="Arial" w:hAnsi="Arial" w:cs="Arial"/>
          <w:color w:val="0D0D0D" w:themeColor="text1" w:themeTint="F2"/>
        </w:rPr>
        <w:t>Dki</w:t>
      </w:r>
      <w:proofErr w:type="spellEnd"/>
      <w:r w:rsidRPr="00870822">
        <w:rPr>
          <w:rFonts w:ascii="Arial" w:hAnsi="Arial" w:cs="Arial"/>
          <w:color w:val="0D0D0D" w:themeColor="text1" w:themeTint="F2"/>
        </w:rPr>
        <w:t xml:space="preserve"> Jakarta. </w:t>
      </w:r>
      <w:proofErr w:type="spellStart"/>
      <w:r w:rsidRPr="00870822">
        <w:rPr>
          <w:rFonts w:ascii="Arial" w:hAnsi="Arial" w:cs="Arial"/>
          <w:i/>
          <w:iCs/>
          <w:color w:val="0D0D0D" w:themeColor="text1" w:themeTint="F2"/>
        </w:rPr>
        <w:t>Jurnal</w:t>
      </w:r>
      <w:proofErr w:type="spellEnd"/>
      <w:r w:rsidRPr="00870822">
        <w:rPr>
          <w:rFonts w:ascii="Arial" w:hAnsi="Arial" w:cs="Arial"/>
          <w:i/>
          <w:iCs/>
          <w:color w:val="0D0D0D" w:themeColor="text1" w:themeTint="F2"/>
        </w:rPr>
        <w:t xml:space="preserve"> Syntax Transformation</w:t>
      </w:r>
      <w:r w:rsidRPr="00870822">
        <w:rPr>
          <w:rFonts w:ascii="Arial" w:hAnsi="Arial" w:cs="Arial"/>
          <w:color w:val="0D0D0D" w:themeColor="text1" w:themeTint="F2"/>
        </w:rPr>
        <w:t>, 4(8), pp.79-89.</w:t>
      </w:r>
    </w:p>
    <w:p w14:paraId="533FE81B" w14:textId="77777777" w:rsidR="0044017C" w:rsidRPr="00870822" w:rsidRDefault="0044017C" w:rsidP="0044017C">
      <w:pPr>
        <w:rPr>
          <w:rFonts w:ascii="Arial" w:hAnsi="Arial" w:cs="Arial"/>
          <w:color w:val="0D0D0D" w:themeColor="text1" w:themeTint="F2"/>
        </w:rPr>
      </w:pPr>
      <w:proofErr w:type="spellStart"/>
      <w:r w:rsidRPr="00870822">
        <w:rPr>
          <w:rFonts w:ascii="Arial" w:hAnsi="Arial" w:cs="Arial"/>
          <w:color w:val="0D0D0D" w:themeColor="text1" w:themeTint="F2"/>
        </w:rPr>
        <w:t>Palacín</w:t>
      </w:r>
      <w:proofErr w:type="spellEnd"/>
      <w:r w:rsidRPr="00870822">
        <w:rPr>
          <w:rFonts w:ascii="Arial" w:hAnsi="Arial" w:cs="Arial"/>
          <w:color w:val="0D0D0D" w:themeColor="text1" w:themeTint="F2"/>
        </w:rPr>
        <w:t xml:space="preserve">-Sánchez, M.J., Alencar-García, A. and Canto-Cuevas, F.J., (2023). Financial distress and corporate restructuring: a case study. </w:t>
      </w:r>
      <w:proofErr w:type="spellStart"/>
      <w:r w:rsidRPr="00870822">
        <w:rPr>
          <w:rFonts w:ascii="Arial" w:hAnsi="Arial" w:cs="Arial"/>
          <w:i/>
          <w:iCs/>
          <w:color w:val="0D0D0D" w:themeColor="text1" w:themeTint="F2"/>
        </w:rPr>
        <w:t>Cuadernos</w:t>
      </w:r>
      <w:proofErr w:type="spellEnd"/>
      <w:r w:rsidRPr="00870822">
        <w:rPr>
          <w:rFonts w:ascii="Arial" w:hAnsi="Arial" w:cs="Arial"/>
          <w:i/>
          <w:iCs/>
          <w:color w:val="0D0D0D" w:themeColor="text1" w:themeTint="F2"/>
        </w:rPr>
        <w:t xml:space="preserve"> de </w:t>
      </w:r>
      <w:proofErr w:type="spellStart"/>
      <w:r w:rsidRPr="00870822">
        <w:rPr>
          <w:rFonts w:ascii="Arial" w:hAnsi="Arial" w:cs="Arial"/>
          <w:i/>
          <w:iCs/>
          <w:color w:val="0D0D0D" w:themeColor="text1" w:themeTint="F2"/>
        </w:rPr>
        <w:t>Gestión</w:t>
      </w:r>
      <w:proofErr w:type="spellEnd"/>
      <w:r w:rsidRPr="00870822">
        <w:rPr>
          <w:rFonts w:ascii="Arial" w:hAnsi="Arial" w:cs="Arial"/>
          <w:color w:val="0D0D0D" w:themeColor="text1" w:themeTint="F2"/>
        </w:rPr>
        <w:t>, 23(2), pp.81-91.</w:t>
      </w:r>
    </w:p>
    <w:p w14:paraId="55B82960"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Robert, C.H., Jennifer, L.K. and Todd, M., (2023). </w:t>
      </w:r>
      <w:r w:rsidRPr="00870822">
        <w:rPr>
          <w:rFonts w:ascii="Arial" w:hAnsi="Arial" w:cs="Arial"/>
          <w:i/>
          <w:iCs/>
          <w:color w:val="0D0D0D" w:themeColor="text1" w:themeTint="F2"/>
        </w:rPr>
        <w:t>Analysis for financial management</w:t>
      </w:r>
      <w:r w:rsidRPr="00870822">
        <w:rPr>
          <w:rFonts w:ascii="Arial" w:hAnsi="Arial" w:cs="Arial"/>
          <w:color w:val="0D0D0D" w:themeColor="text1" w:themeTint="F2"/>
        </w:rPr>
        <w:t>. McGraw-Hill Education.</w:t>
      </w:r>
    </w:p>
    <w:p w14:paraId="1518325A"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Schlegel, D., Frank, F. and </w:t>
      </w:r>
      <w:proofErr w:type="spellStart"/>
      <w:r w:rsidRPr="00870822">
        <w:rPr>
          <w:rFonts w:ascii="Arial" w:hAnsi="Arial" w:cs="Arial"/>
          <w:color w:val="0D0D0D" w:themeColor="text1" w:themeTint="F2"/>
        </w:rPr>
        <w:t>Britzelmaier</w:t>
      </w:r>
      <w:proofErr w:type="spellEnd"/>
      <w:r w:rsidRPr="00870822">
        <w:rPr>
          <w:rFonts w:ascii="Arial" w:hAnsi="Arial" w:cs="Arial"/>
          <w:color w:val="0D0D0D" w:themeColor="text1" w:themeTint="F2"/>
        </w:rPr>
        <w:t xml:space="preserve">, B., (2016). Investment decisions and capital budgeting practices in German manufacturing companies. </w:t>
      </w:r>
      <w:r w:rsidRPr="00870822">
        <w:rPr>
          <w:rFonts w:ascii="Arial" w:hAnsi="Arial" w:cs="Arial"/>
          <w:i/>
          <w:iCs/>
          <w:color w:val="0D0D0D" w:themeColor="text1" w:themeTint="F2"/>
        </w:rPr>
        <w:t>International Journal of Business and Globalisation</w:t>
      </w:r>
      <w:r w:rsidRPr="00870822">
        <w:rPr>
          <w:rFonts w:ascii="Arial" w:hAnsi="Arial" w:cs="Arial"/>
          <w:color w:val="0D0D0D" w:themeColor="text1" w:themeTint="F2"/>
        </w:rPr>
        <w:t>, 16(1), pp.66-78.</w:t>
      </w:r>
    </w:p>
    <w:p w14:paraId="5C505E71"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Schweizer, L. and Nienhaus, A., (2017). Corporate distress and turnaround: integrating the literature and directing future research. </w:t>
      </w:r>
      <w:r w:rsidRPr="00870822">
        <w:rPr>
          <w:rFonts w:ascii="Arial" w:hAnsi="Arial" w:cs="Arial"/>
          <w:i/>
          <w:iCs/>
          <w:color w:val="0D0D0D" w:themeColor="text1" w:themeTint="F2"/>
        </w:rPr>
        <w:t>Business Research</w:t>
      </w:r>
      <w:r w:rsidRPr="00870822">
        <w:rPr>
          <w:rFonts w:ascii="Arial" w:hAnsi="Arial" w:cs="Arial"/>
          <w:color w:val="0D0D0D" w:themeColor="text1" w:themeTint="F2"/>
        </w:rPr>
        <w:t>, 10(1), pp.3-47.</w:t>
      </w:r>
    </w:p>
    <w:p w14:paraId="1243F44A"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Stošić, I., (2014). The challenges of defining and implementing corporate restructuring programs. </w:t>
      </w:r>
      <w:r w:rsidRPr="00870822">
        <w:rPr>
          <w:rFonts w:ascii="Arial" w:hAnsi="Arial" w:cs="Arial"/>
          <w:i/>
          <w:iCs/>
          <w:color w:val="0D0D0D" w:themeColor="text1" w:themeTint="F2"/>
        </w:rPr>
        <w:t>Economic themes</w:t>
      </w:r>
      <w:r w:rsidRPr="00870822">
        <w:rPr>
          <w:rFonts w:ascii="Arial" w:hAnsi="Arial" w:cs="Arial"/>
          <w:color w:val="0D0D0D" w:themeColor="text1" w:themeTint="F2"/>
        </w:rPr>
        <w:t>, 52(2), pp.139-153.</w:t>
      </w:r>
    </w:p>
    <w:p w14:paraId="53FF6930"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Supriyanto, J. and Darmawan, A., (2018). The effect of financial ratio on financial distress in predicting bankruptcy. </w:t>
      </w:r>
      <w:r w:rsidRPr="00870822">
        <w:rPr>
          <w:rFonts w:ascii="Arial" w:hAnsi="Arial" w:cs="Arial"/>
          <w:i/>
          <w:iCs/>
          <w:color w:val="0D0D0D" w:themeColor="text1" w:themeTint="F2"/>
        </w:rPr>
        <w:t>Journal of Applied Managerial Accounting</w:t>
      </w:r>
      <w:r w:rsidRPr="00870822">
        <w:rPr>
          <w:rFonts w:ascii="Arial" w:hAnsi="Arial" w:cs="Arial"/>
          <w:color w:val="0D0D0D" w:themeColor="text1" w:themeTint="F2"/>
        </w:rPr>
        <w:t>, 2(1), pp.110-120.</w:t>
      </w:r>
    </w:p>
    <w:p w14:paraId="08733A05"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Tyagi, A. and Tomar, D., (2021). Corporate Restructuring: Reconfiguration of a Corporation. </w:t>
      </w:r>
      <w:r w:rsidRPr="00870822">
        <w:rPr>
          <w:rFonts w:ascii="Arial" w:hAnsi="Arial" w:cs="Arial"/>
          <w:i/>
          <w:iCs/>
          <w:color w:val="0D0D0D" w:themeColor="text1" w:themeTint="F2"/>
        </w:rPr>
        <w:t>Jus Corpus LJ</w:t>
      </w:r>
      <w:r w:rsidRPr="00870822">
        <w:rPr>
          <w:rFonts w:ascii="Arial" w:hAnsi="Arial" w:cs="Arial"/>
          <w:color w:val="0D0D0D" w:themeColor="text1" w:themeTint="F2"/>
        </w:rPr>
        <w:t>, 2, p.165.</w:t>
      </w:r>
    </w:p>
    <w:p w14:paraId="478594A7" w14:textId="77777777" w:rsidR="0044017C" w:rsidRPr="00870822" w:rsidRDefault="0044017C" w:rsidP="0044017C">
      <w:pPr>
        <w:rPr>
          <w:rFonts w:ascii="Arial" w:hAnsi="Arial" w:cs="Arial"/>
          <w:color w:val="0D0D0D" w:themeColor="text1" w:themeTint="F2"/>
        </w:rPr>
      </w:pPr>
      <w:r w:rsidRPr="00870822">
        <w:rPr>
          <w:rFonts w:ascii="Arial" w:hAnsi="Arial" w:cs="Arial"/>
          <w:color w:val="0D0D0D" w:themeColor="text1" w:themeTint="F2"/>
        </w:rPr>
        <w:t xml:space="preserve">Zhang, Y., Silva, B., Moreau, É. and Tāne, H., (2025). </w:t>
      </w:r>
      <w:r w:rsidRPr="00870822">
        <w:rPr>
          <w:rFonts w:ascii="Arial" w:hAnsi="Arial" w:cs="Arial"/>
          <w:i/>
          <w:iCs/>
          <w:color w:val="0D0D0D" w:themeColor="text1" w:themeTint="F2"/>
        </w:rPr>
        <w:t>Financial ratio analysis: A literature review working paper</w:t>
      </w:r>
      <w:r w:rsidRPr="00870822">
        <w:rPr>
          <w:rFonts w:ascii="Arial" w:hAnsi="Arial" w:cs="Arial"/>
          <w:color w:val="0D0D0D" w:themeColor="text1" w:themeTint="F2"/>
        </w:rPr>
        <w:t>.</w:t>
      </w:r>
    </w:p>
    <w:p w14:paraId="2D53D03A" w14:textId="77777777" w:rsidR="0044017C" w:rsidRPr="00870822" w:rsidRDefault="0044017C" w:rsidP="002963E2">
      <w:pPr>
        <w:rPr>
          <w:rFonts w:ascii="Arial" w:hAnsi="Arial" w:cs="Arial"/>
          <w:color w:val="0D0D0D" w:themeColor="text1" w:themeTint="F2"/>
        </w:rPr>
      </w:pPr>
    </w:p>
    <w:p w14:paraId="4A02E3A8" w14:textId="77777777" w:rsidR="0044017C" w:rsidRPr="00870822" w:rsidRDefault="0044017C" w:rsidP="002963E2">
      <w:pPr>
        <w:rPr>
          <w:rFonts w:ascii="Arial" w:hAnsi="Arial" w:cs="Arial"/>
          <w:color w:val="0D0D0D" w:themeColor="text1" w:themeTint="F2"/>
          <w:lang w:val="en-US"/>
        </w:rPr>
      </w:pPr>
    </w:p>
    <w:p w14:paraId="65F19550" w14:textId="77777777" w:rsidR="00384B76" w:rsidRPr="00870822" w:rsidRDefault="00384B76" w:rsidP="002963E2">
      <w:pPr>
        <w:rPr>
          <w:rFonts w:ascii="Arial" w:hAnsi="Arial" w:cs="Arial"/>
          <w:color w:val="0D0D0D" w:themeColor="text1" w:themeTint="F2"/>
          <w:lang w:val="en-US"/>
        </w:rPr>
      </w:pPr>
    </w:p>
    <w:p w14:paraId="37D57A7B" w14:textId="0B13D601" w:rsidR="00384B76" w:rsidRPr="00870822" w:rsidRDefault="00384B76">
      <w:pPr>
        <w:spacing w:line="259" w:lineRule="auto"/>
        <w:jc w:val="left"/>
        <w:rPr>
          <w:rFonts w:ascii="Arial" w:hAnsi="Arial" w:cs="Arial"/>
          <w:color w:val="0D0D0D" w:themeColor="text1" w:themeTint="F2"/>
          <w:lang w:val="en-US"/>
        </w:rPr>
      </w:pPr>
      <w:r w:rsidRPr="00870822">
        <w:rPr>
          <w:rFonts w:ascii="Arial" w:hAnsi="Arial" w:cs="Arial"/>
          <w:color w:val="0D0D0D" w:themeColor="text1" w:themeTint="F2"/>
          <w:lang w:val="en-US"/>
        </w:rPr>
        <w:br w:type="page"/>
      </w:r>
    </w:p>
    <w:p w14:paraId="13059991" w14:textId="1FC44FFE" w:rsidR="00384B76" w:rsidRPr="00870822" w:rsidRDefault="00384B76" w:rsidP="00435E5A">
      <w:pPr>
        <w:pStyle w:val="Heading1"/>
        <w:rPr>
          <w:rFonts w:ascii="Arial" w:hAnsi="Arial" w:cs="Arial"/>
          <w:color w:val="0D0D0D" w:themeColor="text1" w:themeTint="F2"/>
          <w:lang w:val="en-US"/>
        </w:rPr>
      </w:pPr>
      <w:bookmarkStart w:id="29" w:name="_Toc217209486"/>
      <w:r w:rsidRPr="00870822">
        <w:rPr>
          <w:rFonts w:ascii="Arial" w:hAnsi="Arial" w:cs="Arial"/>
          <w:color w:val="0D0D0D" w:themeColor="text1" w:themeTint="F2"/>
          <w:lang w:val="en-US"/>
        </w:rPr>
        <w:lastRenderedPageBreak/>
        <w:t>Appendix</w:t>
      </w:r>
      <w:bookmarkEnd w:id="29"/>
    </w:p>
    <w:p w14:paraId="2A9643AB" w14:textId="7F63AD04" w:rsidR="000E7634" w:rsidRPr="00870822" w:rsidRDefault="0016734F" w:rsidP="0016734F">
      <w:pPr>
        <w:pStyle w:val="ListParagraph"/>
        <w:numPr>
          <w:ilvl w:val="0"/>
          <w:numId w:val="43"/>
        </w:numPr>
        <w:rPr>
          <w:rFonts w:ascii="Arial" w:hAnsi="Arial" w:cs="Arial"/>
          <w:color w:val="0D0D0D" w:themeColor="text1" w:themeTint="F2"/>
          <w:lang w:val="en-US"/>
        </w:rPr>
      </w:pPr>
      <w:r w:rsidRPr="00870822">
        <w:rPr>
          <w:rFonts w:ascii="Arial" w:hAnsi="Arial" w:cs="Arial"/>
          <w:color w:val="0D0D0D" w:themeColor="text1" w:themeTint="F2"/>
          <w:lang w:val="en-US"/>
        </w:rPr>
        <w:t>Financial Health Check</w:t>
      </w:r>
    </w:p>
    <w:tbl>
      <w:tblPr>
        <w:tblW w:w="8200" w:type="dxa"/>
        <w:jc w:val="center"/>
        <w:tblLook w:val="04A0" w:firstRow="1" w:lastRow="0" w:firstColumn="1" w:lastColumn="0" w:noHBand="0" w:noVBand="1"/>
      </w:tblPr>
      <w:tblGrid>
        <w:gridCol w:w="3400"/>
        <w:gridCol w:w="963"/>
        <w:gridCol w:w="963"/>
        <w:gridCol w:w="963"/>
        <w:gridCol w:w="963"/>
        <w:gridCol w:w="963"/>
      </w:tblGrid>
      <w:tr w:rsidR="0016734F" w:rsidRPr="00870822" w14:paraId="16E3EF8D" w14:textId="77777777" w:rsidTr="0016734F">
        <w:trPr>
          <w:trHeight w:val="290"/>
          <w:jc w:val="center"/>
        </w:trPr>
        <w:tc>
          <w:tcPr>
            <w:tcW w:w="3400" w:type="dxa"/>
            <w:tcBorders>
              <w:top w:val="nil"/>
              <w:left w:val="nil"/>
              <w:bottom w:val="nil"/>
              <w:right w:val="nil"/>
            </w:tcBorders>
            <w:noWrap/>
            <w:vAlign w:val="bottom"/>
            <w:hideMark/>
          </w:tcPr>
          <w:p w14:paraId="38AE8CDC"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 Ratio Analysis</w:t>
            </w:r>
          </w:p>
        </w:tc>
        <w:tc>
          <w:tcPr>
            <w:tcW w:w="960" w:type="dxa"/>
            <w:tcBorders>
              <w:top w:val="nil"/>
              <w:left w:val="nil"/>
              <w:bottom w:val="nil"/>
              <w:right w:val="nil"/>
            </w:tcBorders>
            <w:noWrap/>
            <w:vAlign w:val="bottom"/>
            <w:hideMark/>
          </w:tcPr>
          <w:p w14:paraId="1B5E9E54"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p>
        </w:tc>
        <w:tc>
          <w:tcPr>
            <w:tcW w:w="960" w:type="dxa"/>
            <w:tcBorders>
              <w:top w:val="nil"/>
              <w:left w:val="nil"/>
              <w:bottom w:val="nil"/>
              <w:right w:val="nil"/>
            </w:tcBorders>
            <w:noWrap/>
            <w:vAlign w:val="bottom"/>
            <w:hideMark/>
          </w:tcPr>
          <w:p w14:paraId="17ECBE28"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7047BC80"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0B176EA4"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1CFC5209"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6A37258D" w14:textId="77777777" w:rsidTr="0016734F">
        <w:trPr>
          <w:trHeight w:val="290"/>
          <w:jc w:val="center"/>
        </w:trPr>
        <w:tc>
          <w:tcPr>
            <w:tcW w:w="3400" w:type="dxa"/>
            <w:tcBorders>
              <w:top w:val="nil"/>
              <w:left w:val="nil"/>
              <w:bottom w:val="nil"/>
              <w:right w:val="nil"/>
            </w:tcBorders>
            <w:noWrap/>
            <w:vAlign w:val="bottom"/>
            <w:hideMark/>
          </w:tcPr>
          <w:p w14:paraId="4169A440"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0CCF15A7"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7F7E5871"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2D13F0C5"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71088A02"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6FA363C3"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4F4F9219" w14:textId="77777777" w:rsidTr="0016734F">
        <w:trPr>
          <w:trHeight w:val="300"/>
          <w:jc w:val="center"/>
        </w:trPr>
        <w:tc>
          <w:tcPr>
            <w:tcW w:w="3400" w:type="dxa"/>
            <w:tcBorders>
              <w:top w:val="single" w:sz="4" w:space="0" w:color="auto"/>
              <w:left w:val="nil"/>
              <w:bottom w:val="single" w:sz="8" w:space="0" w:color="auto"/>
              <w:right w:val="nil"/>
            </w:tcBorders>
            <w:shd w:val="clear" w:color="000000" w:fill="0D3512"/>
            <w:noWrap/>
            <w:vAlign w:val="bottom"/>
            <w:hideMark/>
          </w:tcPr>
          <w:p w14:paraId="60A879D9"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Ratios</w:t>
            </w:r>
          </w:p>
        </w:tc>
        <w:tc>
          <w:tcPr>
            <w:tcW w:w="960" w:type="dxa"/>
            <w:tcBorders>
              <w:top w:val="single" w:sz="4" w:space="0" w:color="auto"/>
              <w:left w:val="nil"/>
              <w:bottom w:val="single" w:sz="8" w:space="0" w:color="auto"/>
              <w:right w:val="nil"/>
            </w:tcBorders>
            <w:shd w:val="clear" w:color="000000" w:fill="0D3512"/>
            <w:noWrap/>
            <w:vAlign w:val="bottom"/>
            <w:hideMark/>
          </w:tcPr>
          <w:p w14:paraId="3A575BB0" w14:textId="77777777" w:rsidR="0016734F" w:rsidRPr="00870822" w:rsidRDefault="0016734F" w:rsidP="0016734F">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2020</w:t>
            </w:r>
          </w:p>
        </w:tc>
        <w:tc>
          <w:tcPr>
            <w:tcW w:w="960" w:type="dxa"/>
            <w:tcBorders>
              <w:top w:val="single" w:sz="4" w:space="0" w:color="auto"/>
              <w:left w:val="nil"/>
              <w:bottom w:val="single" w:sz="8" w:space="0" w:color="auto"/>
              <w:right w:val="nil"/>
            </w:tcBorders>
            <w:shd w:val="clear" w:color="000000" w:fill="0D3512"/>
            <w:noWrap/>
            <w:vAlign w:val="bottom"/>
            <w:hideMark/>
          </w:tcPr>
          <w:p w14:paraId="44655152" w14:textId="77777777" w:rsidR="0016734F" w:rsidRPr="00870822" w:rsidRDefault="0016734F" w:rsidP="0016734F">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2021</w:t>
            </w:r>
          </w:p>
        </w:tc>
        <w:tc>
          <w:tcPr>
            <w:tcW w:w="960" w:type="dxa"/>
            <w:tcBorders>
              <w:top w:val="single" w:sz="4" w:space="0" w:color="auto"/>
              <w:left w:val="nil"/>
              <w:bottom w:val="single" w:sz="8" w:space="0" w:color="auto"/>
              <w:right w:val="nil"/>
            </w:tcBorders>
            <w:shd w:val="clear" w:color="000000" w:fill="0D3512"/>
            <w:noWrap/>
            <w:vAlign w:val="bottom"/>
            <w:hideMark/>
          </w:tcPr>
          <w:p w14:paraId="7DED7D38" w14:textId="77777777" w:rsidR="0016734F" w:rsidRPr="00870822" w:rsidRDefault="0016734F" w:rsidP="0016734F">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2022</w:t>
            </w:r>
          </w:p>
        </w:tc>
        <w:tc>
          <w:tcPr>
            <w:tcW w:w="960" w:type="dxa"/>
            <w:tcBorders>
              <w:top w:val="single" w:sz="4" w:space="0" w:color="auto"/>
              <w:left w:val="nil"/>
              <w:bottom w:val="single" w:sz="8" w:space="0" w:color="auto"/>
              <w:right w:val="nil"/>
            </w:tcBorders>
            <w:shd w:val="clear" w:color="000000" w:fill="0D3512"/>
            <w:noWrap/>
            <w:vAlign w:val="bottom"/>
            <w:hideMark/>
          </w:tcPr>
          <w:p w14:paraId="1AE9C3A8" w14:textId="77777777" w:rsidR="0016734F" w:rsidRPr="00870822" w:rsidRDefault="0016734F" w:rsidP="0016734F">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2023</w:t>
            </w:r>
          </w:p>
        </w:tc>
        <w:tc>
          <w:tcPr>
            <w:tcW w:w="960" w:type="dxa"/>
            <w:tcBorders>
              <w:top w:val="single" w:sz="4" w:space="0" w:color="auto"/>
              <w:left w:val="nil"/>
              <w:bottom w:val="single" w:sz="8" w:space="0" w:color="auto"/>
              <w:right w:val="nil"/>
            </w:tcBorders>
            <w:shd w:val="clear" w:color="000000" w:fill="0D3512"/>
            <w:noWrap/>
            <w:vAlign w:val="bottom"/>
            <w:hideMark/>
          </w:tcPr>
          <w:p w14:paraId="1503D6AE" w14:textId="77777777" w:rsidR="0016734F" w:rsidRPr="00870822" w:rsidRDefault="0016734F" w:rsidP="0016734F">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2024</w:t>
            </w:r>
          </w:p>
        </w:tc>
      </w:tr>
      <w:tr w:rsidR="0016734F" w:rsidRPr="00870822" w14:paraId="45EDFCBB" w14:textId="77777777" w:rsidTr="0016734F">
        <w:trPr>
          <w:trHeight w:val="290"/>
          <w:jc w:val="center"/>
        </w:trPr>
        <w:tc>
          <w:tcPr>
            <w:tcW w:w="3400" w:type="dxa"/>
            <w:tcBorders>
              <w:top w:val="nil"/>
              <w:left w:val="nil"/>
              <w:bottom w:val="nil"/>
              <w:right w:val="nil"/>
            </w:tcBorders>
            <w:noWrap/>
            <w:vAlign w:val="bottom"/>
            <w:hideMark/>
          </w:tcPr>
          <w:p w14:paraId="3AA4AE76"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Profitability Analysis</w:t>
            </w:r>
          </w:p>
        </w:tc>
        <w:tc>
          <w:tcPr>
            <w:tcW w:w="960" w:type="dxa"/>
            <w:tcBorders>
              <w:top w:val="nil"/>
              <w:left w:val="nil"/>
              <w:bottom w:val="nil"/>
              <w:right w:val="nil"/>
            </w:tcBorders>
            <w:noWrap/>
            <w:vAlign w:val="bottom"/>
            <w:hideMark/>
          </w:tcPr>
          <w:p w14:paraId="5AC5B57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2020</w:t>
            </w:r>
          </w:p>
        </w:tc>
        <w:tc>
          <w:tcPr>
            <w:tcW w:w="960" w:type="dxa"/>
            <w:tcBorders>
              <w:top w:val="nil"/>
              <w:left w:val="nil"/>
              <w:bottom w:val="nil"/>
              <w:right w:val="nil"/>
            </w:tcBorders>
            <w:noWrap/>
            <w:vAlign w:val="bottom"/>
            <w:hideMark/>
          </w:tcPr>
          <w:p w14:paraId="6DD0675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2021</w:t>
            </w:r>
          </w:p>
        </w:tc>
        <w:tc>
          <w:tcPr>
            <w:tcW w:w="960" w:type="dxa"/>
            <w:tcBorders>
              <w:top w:val="nil"/>
              <w:left w:val="nil"/>
              <w:bottom w:val="nil"/>
              <w:right w:val="nil"/>
            </w:tcBorders>
            <w:noWrap/>
            <w:vAlign w:val="bottom"/>
            <w:hideMark/>
          </w:tcPr>
          <w:p w14:paraId="6F19096F"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2022</w:t>
            </w:r>
          </w:p>
        </w:tc>
        <w:tc>
          <w:tcPr>
            <w:tcW w:w="960" w:type="dxa"/>
            <w:tcBorders>
              <w:top w:val="nil"/>
              <w:left w:val="nil"/>
              <w:bottom w:val="nil"/>
              <w:right w:val="nil"/>
            </w:tcBorders>
            <w:noWrap/>
            <w:vAlign w:val="bottom"/>
            <w:hideMark/>
          </w:tcPr>
          <w:p w14:paraId="2E8BD459"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2023</w:t>
            </w:r>
          </w:p>
        </w:tc>
        <w:tc>
          <w:tcPr>
            <w:tcW w:w="960" w:type="dxa"/>
            <w:tcBorders>
              <w:top w:val="nil"/>
              <w:left w:val="nil"/>
              <w:bottom w:val="nil"/>
              <w:right w:val="nil"/>
            </w:tcBorders>
            <w:noWrap/>
            <w:vAlign w:val="bottom"/>
            <w:hideMark/>
          </w:tcPr>
          <w:p w14:paraId="455E18E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2024</w:t>
            </w:r>
          </w:p>
        </w:tc>
      </w:tr>
      <w:tr w:rsidR="0016734F" w:rsidRPr="00870822" w14:paraId="3A13A957" w14:textId="77777777" w:rsidTr="0016734F">
        <w:trPr>
          <w:trHeight w:val="290"/>
          <w:jc w:val="center"/>
        </w:trPr>
        <w:tc>
          <w:tcPr>
            <w:tcW w:w="3400" w:type="dxa"/>
            <w:tcBorders>
              <w:top w:val="nil"/>
              <w:left w:val="nil"/>
              <w:bottom w:val="nil"/>
              <w:right w:val="nil"/>
            </w:tcBorders>
            <w:noWrap/>
            <w:vAlign w:val="bottom"/>
            <w:hideMark/>
          </w:tcPr>
          <w:p w14:paraId="56056F38"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Gross Profit Margin</w:t>
            </w:r>
          </w:p>
        </w:tc>
        <w:tc>
          <w:tcPr>
            <w:tcW w:w="960" w:type="dxa"/>
            <w:tcBorders>
              <w:top w:val="single" w:sz="4" w:space="0" w:color="747474"/>
              <w:left w:val="nil"/>
              <w:bottom w:val="single" w:sz="4" w:space="0" w:color="747474"/>
              <w:right w:val="nil"/>
            </w:tcBorders>
            <w:noWrap/>
            <w:vAlign w:val="bottom"/>
            <w:hideMark/>
          </w:tcPr>
          <w:p w14:paraId="298896A7"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28.67%</w:t>
            </w:r>
          </w:p>
        </w:tc>
        <w:tc>
          <w:tcPr>
            <w:tcW w:w="960" w:type="dxa"/>
            <w:tcBorders>
              <w:top w:val="single" w:sz="4" w:space="0" w:color="747474"/>
              <w:left w:val="nil"/>
              <w:bottom w:val="single" w:sz="4" w:space="0" w:color="747474"/>
              <w:right w:val="nil"/>
            </w:tcBorders>
            <w:noWrap/>
            <w:vAlign w:val="bottom"/>
            <w:hideMark/>
          </w:tcPr>
          <w:p w14:paraId="7808604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28.76%</w:t>
            </w:r>
          </w:p>
        </w:tc>
        <w:tc>
          <w:tcPr>
            <w:tcW w:w="960" w:type="dxa"/>
            <w:tcBorders>
              <w:top w:val="single" w:sz="4" w:space="0" w:color="747474"/>
              <w:left w:val="nil"/>
              <w:bottom w:val="single" w:sz="4" w:space="0" w:color="747474"/>
              <w:right w:val="nil"/>
            </w:tcBorders>
            <w:noWrap/>
            <w:vAlign w:val="bottom"/>
            <w:hideMark/>
          </w:tcPr>
          <w:p w14:paraId="74636FC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28.06%</w:t>
            </w:r>
          </w:p>
        </w:tc>
        <w:tc>
          <w:tcPr>
            <w:tcW w:w="960" w:type="dxa"/>
            <w:tcBorders>
              <w:top w:val="single" w:sz="4" w:space="0" w:color="747474"/>
              <w:left w:val="nil"/>
              <w:bottom w:val="single" w:sz="4" w:space="0" w:color="747474"/>
              <w:right w:val="nil"/>
            </w:tcBorders>
            <w:noWrap/>
            <w:vAlign w:val="bottom"/>
            <w:hideMark/>
          </w:tcPr>
          <w:p w14:paraId="25C4A879"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23.20%</w:t>
            </w:r>
          </w:p>
        </w:tc>
        <w:tc>
          <w:tcPr>
            <w:tcW w:w="960" w:type="dxa"/>
            <w:tcBorders>
              <w:top w:val="single" w:sz="4" w:space="0" w:color="747474"/>
              <w:left w:val="nil"/>
              <w:bottom w:val="single" w:sz="4" w:space="0" w:color="747474"/>
              <w:right w:val="nil"/>
            </w:tcBorders>
            <w:noWrap/>
            <w:vAlign w:val="bottom"/>
            <w:hideMark/>
          </w:tcPr>
          <w:p w14:paraId="047FE8D3"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28.87%</w:t>
            </w:r>
          </w:p>
        </w:tc>
      </w:tr>
      <w:tr w:rsidR="0016734F" w:rsidRPr="00870822" w14:paraId="7A9CDA98" w14:textId="77777777" w:rsidTr="0016734F">
        <w:trPr>
          <w:trHeight w:val="290"/>
          <w:jc w:val="center"/>
        </w:trPr>
        <w:tc>
          <w:tcPr>
            <w:tcW w:w="3400" w:type="dxa"/>
            <w:tcBorders>
              <w:top w:val="nil"/>
              <w:left w:val="nil"/>
              <w:bottom w:val="nil"/>
              <w:right w:val="nil"/>
            </w:tcBorders>
            <w:noWrap/>
            <w:vAlign w:val="bottom"/>
            <w:hideMark/>
          </w:tcPr>
          <w:p w14:paraId="1F543B69"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Operating Margin</w:t>
            </w:r>
          </w:p>
        </w:tc>
        <w:tc>
          <w:tcPr>
            <w:tcW w:w="960" w:type="dxa"/>
            <w:tcBorders>
              <w:top w:val="nil"/>
              <w:left w:val="nil"/>
              <w:bottom w:val="single" w:sz="4" w:space="0" w:color="747474"/>
              <w:right w:val="nil"/>
            </w:tcBorders>
            <w:noWrap/>
            <w:vAlign w:val="bottom"/>
            <w:hideMark/>
          </w:tcPr>
          <w:p w14:paraId="7D77E59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6.06%</w:t>
            </w:r>
          </w:p>
        </w:tc>
        <w:tc>
          <w:tcPr>
            <w:tcW w:w="960" w:type="dxa"/>
            <w:tcBorders>
              <w:top w:val="nil"/>
              <w:left w:val="nil"/>
              <w:bottom w:val="single" w:sz="4" w:space="0" w:color="747474"/>
              <w:right w:val="nil"/>
            </w:tcBorders>
            <w:noWrap/>
            <w:vAlign w:val="bottom"/>
            <w:hideMark/>
          </w:tcPr>
          <w:p w14:paraId="7BAF9F67"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3.87%</w:t>
            </w:r>
          </w:p>
        </w:tc>
        <w:tc>
          <w:tcPr>
            <w:tcW w:w="960" w:type="dxa"/>
            <w:tcBorders>
              <w:top w:val="nil"/>
              <w:left w:val="nil"/>
              <w:bottom w:val="single" w:sz="4" w:space="0" w:color="747474"/>
              <w:right w:val="nil"/>
            </w:tcBorders>
            <w:noWrap/>
            <w:vAlign w:val="bottom"/>
            <w:hideMark/>
          </w:tcPr>
          <w:p w14:paraId="1B83329F"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2.68%</w:t>
            </w:r>
          </w:p>
        </w:tc>
        <w:tc>
          <w:tcPr>
            <w:tcW w:w="960" w:type="dxa"/>
            <w:tcBorders>
              <w:top w:val="nil"/>
              <w:left w:val="nil"/>
              <w:bottom w:val="single" w:sz="4" w:space="0" w:color="747474"/>
              <w:right w:val="nil"/>
            </w:tcBorders>
            <w:noWrap/>
            <w:vAlign w:val="bottom"/>
            <w:hideMark/>
          </w:tcPr>
          <w:p w14:paraId="1339CF83"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-20.29%</w:t>
            </w:r>
          </w:p>
        </w:tc>
        <w:tc>
          <w:tcPr>
            <w:tcW w:w="960" w:type="dxa"/>
            <w:tcBorders>
              <w:top w:val="nil"/>
              <w:left w:val="nil"/>
              <w:bottom w:val="single" w:sz="4" w:space="0" w:color="747474"/>
              <w:right w:val="nil"/>
            </w:tcBorders>
            <w:noWrap/>
            <w:vAlign w:val="bottom"/>
            <w:hideMark/>
          </w:tcPr>
          <w:p w14:paraId="2BDA8E9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-3.87%</w:t>
            </w:r>
          </w:p>
        </w:tc>
      </w:tr>
      <w:tr w:rsidR="0016734F" w:rsidRPr="00870822" w14:paraId="13B0EF1B" w14:textId="77777777" w:rsidTr="0016734F">
        <w:trPr>
          <w:trHeight w:val="290"/>
          <w:jc w:val="center"/>
        </w:trPr>
        <w:tc>
          <w:tcPr>
            <w:tcW w:w="3400" w:type="dxa"/>
            <w:tcBorders>
              <w:top w:val="nil"/>
              <w:left w:val="nil"/>
              <w:bottom w:val="nil"/>
              <w:right w:val="nil"/>
            </w:tcBorders>
            <w:noWrap/>
            <w:vAlign w:val="bottom"/>
            <w:hideMark/>
          </w:tcPr>
          <w:p w14:paraId="6E7AEBB5"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Net Profit Margin</w:t>
            </w:r>
          </w:p>
        </w:tc>
        <w:tc>
          <w:tcPr>
            <w:tcW w:w="960" w:type="dxa"/>
            <w:tcBorders>
              <w:top w:val="nil"/>
              <w:left w:val="nil"/>
              <w:bottom w:val="single" w:sz="4" w:space="0" w:color="747474"/>
              <w:right w:val="nil"/>
            </w:tcBorders>
            <w:noWrap/>
            <w:vAlign w:val="bottom"/>
            <w:hideMark/>
          </w:tcPr>
          <w:p w14:paraId="7CB16D92"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6.28%</w:t>
            </w:r>
          </w:p>
        </w:tc>
        <w:tc>
          <w:tcPr>
            <w:tcW w:w="960" w:type="dxa"/>
            <w:tcBorders>
              <w:top w:val="nil"/>
              <w:left w:val="nil"/>
              <w:bottom w:val="single" w:sz="4" w:space="0" w:color="747474"/>
              <w:right w:val="nil"/>
            </w:tcBorders>
            <w:noWrap/>
            <w:vAlign w:val="bottom"/>
            <w:hideMark/>
          </w:tcPr>
          <w:p w14:paraId="3DC56CC1"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0.88%</w:t>
            </w:r>
          </w:p>
        </w:tc>
        <w:tc>
          <w:tcPr>
            <w:tcW w:w="960" w:type="dxa"/>
            <w:tcBorders>
              <w:top w:val="nil"/>
              <w:left w:val="nil"/>
              <w:bottom w:val="single" w:sz="4" w:space="0" w:color="747474"/>
              <w:right w:val="nil"/>
            </w:tcBorders>
            <w:noWrap/>
            <w:vAlign w:val="bottom"/>
            <w:hideMark/>
          </w:tcPr>
          <w:p w14:paraId="59EA058C"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0.07%</w:t>
            </w:r>
          </w:p>
        </w:tc>
        <w:tc>
          <w:tcPr>
            <w:tcW w:w="960" w:type="dxa"/>
            <w:tcBorders>
              <w:top w:val="nil"/>
              <w:left w:val="nil"/>
              <w:bottom w:val="single" w:sz="4" w:space="0" w:color="747474"/>
              <w:right w:val="nil"/>
            </w:tcBorders>
            <w:noWrap/>
            <w:vAlign w:val="bottom"/>
            <w:hideMark/>
          </w:tcPr>
          <w:p w14:paraId="01E3B91C"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-23.36%</w:t>
            </w:r>
          </w:p>
        </w:tc>
        <w:tc>
          <w:tcPr>
            <w:tcW w:w="960" w:type="dxa"/>
            <w:tcBorders>
              <w:top w:val="nil"/>
              <w:left w:val="nil"/>
              <w:bottom w:val="single" w:sz="4" w:space="0" w:color="747474"/>
              <w:right w:val="nil"/>
            </w:tcBorders>
            <w:noWrap/>
            <w:vAlign w:val="bottom"/>
            <w:hideMark/>
          </w:tcPr>
          <w:p w14:paraId="1841143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-6.09%</w:t>
            </w:r>
          </w:p>
        </w:tc>
      </w:tr>
      <w:tr w:rsidR="0016734F" w:rsidRPr="00870822" w14:paraId="65DBD3A0" w14:textId="77777777" w:rsidTr="0016734F">
        <w:trPr>
          <w:trHeight w:val="290"/>
          <w:jc w:val="center"/>
        </w:trPr>
        <w:tc>
          <w:tcPr>
            <w:tcW w:w="3400" w:type="dxa"/>
            <w:tcBorders>
              <w:top w:val="nil"/>
              <w:left w:val="nil"/>
              <w:bottom w:val="nil"/>
              <w:right w:val="nil"/>
            </w:tcBorders>
            <w:noWrap/>
            <w:vAlign w:val="bottom"/>
            <w:hideMark/>
          </w:tcPr>
          <w:p w14:paraId="05D18B9F"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Return on Assets (ROA)</w:t>
            </w:r>
          </w:p>
        </w:tc>
        <w:tc>
          <w:tcPr>
            <w:tcW w:w="960" w:type="dxa"/>
            <w:tcBorders>
              <w:top w:val="nil"/>
              <w:left w:val="nil"/>
              <w:bottom w:val="single" w:sz="4" w:space="0" w:color="747474"/>
              <w:right w:val="nil"/>
            </w:tcBorders>
            <w:noWrap/>
            <w:vAlign w:val="bottom"/>
            <w:hideMark/>
          </w:tcPr>
          <w:p w14:paraId="52E5F7B3"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7.56%</w:t>
            </w:r>
          </w:p>
        </w:tc>
        <w:tc>
          <w:tcPr>
            <w:tcW w:w="960" w:type="dxa"/>
            <w:tcBorders>
              <w:top w:val="nil"/>
              <w:left w:val="nil"/>
              <w:bottom w:val="single" w:sz="4" w:space="0" w:color="747474"/>
              <w:right w:val="nil"/>
            </w:tcBorders>
            <w:noWrap/>
            <w:vAlign w:val="bottom"/>
            <w:hideMark/>
          </w:tcPr>
          <w:p w14:paraId="5B5C7CE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1.04%</w:t>
            </w:r>
          </w:p>
        </w:tc>
        <w:tc>
          <w:tcPr>
            <w:tcW w:w="960" w:type="dxa"/>
            <w:tcBorders>
              <w:top w:val="nil"/>
              <w:left w:val="nil"/>
              <w:bottom w:val="single" w:sz="4" w:space="0" w:color="747474"/>
              <w:right w:val="nil"/>
            </w:tcBorders>
            <w:noWrap/>
            <w:vAlign w:val="bottom"/>
            <w:hideMark/>
          </w:tcPr>
          <w:p w14:paraId="06313CFC"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0.08%</w:t>
            </w:r>
          </w:p>
        </w:tc>
        <w:tc>
          <w:tcPr>
            <w:tcW w:w="960" w:type="dxa"/>
            <w:tcBorders>
              <w:top w:val="nil"/>
              <w:left w:val="nil"/>
              <w:bottom w:val="single" w:sz="4" w:space="0" w:color="747474"/>
              <w:right w:val="nil"/>
            </w:tcBorders>
            <w:noWrap/>
            <w:vAlign w:val="bottom"/>
            <w:hideMark/>
          </w:tcPr>
          <w:p w14:paraId="29FD3B7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-27.60%</w:t>
            </w:r>
          </w:p>
        </w:tc>
        <w:tc>
          <w:tcPr>
            <w:tcW w:w="960" w:type="dxa"/>
            <w:tcBorders>
              <w:top w:val="nil"/>
              <w:left w:val="nil"/>
              <w:bottom w:val="single" w:sz="4" w:space="0" w:color="747474"/>
              <w:right w:val="nil"/>
            </w:tcBorders>
            <w:noWrap/>
            <w:vAlign w:val="bottom"/>
            <w:hideMark/>
          </w:tcPr>
          <w:p w14:paraId="72DEBBE9"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-7.43%</w:t>
            </w:r>
          </w:p>
        </w:tc>
      </w:tr>
      <w:tr w:rsidR="0016734F" w:rsidRPr="00870822" w14:paraId="649DF296" w14:textId="77777777" w:rsidTr="0016734F">
        <w:trPr>
          <w:trHeight w:val="290"/>
          <w:jc w:val="center"/>
        </w:trPr>
        <w:tc>
          <w:tcPr>
            <w:tcW w:w="3400" w:type="dxa"/>
            <w:tcBorders>
              <w:top w:val="nil"/>
              <w:left w:val="nil"/>
              <w:bottom w:val="nil"/>
              <w:right w:val="nil"/>
            </w:tcBorders>
            <w:noWrap/>
            <w:vAlign w:val="bottom"/>
            <w:hideMark/>
          </w:tcPr>
          <w:p w14:paraId="3D52963D"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Return on Equity (ROE)</w:t>
            </w:r>
          </w:p>
        </w:tc>
        <w:tc>
          <w:tcPr>
            <w:tcW w:w="960" w:type="dxa"/>
            <w:tcBorders>
              <w:top w:val="nil"/>
              <w:left w:val="nil"/>
              <w:bottom w:val="single" w:sz="4" w:space="0" w:color="747474"/>
              <w:right w:val="nil"/>
            </w:tcBorders>
            <w:noWrap/>
            <w:vAlign w:val="bottom"/>
            <w:hideMark/>
          </w:tcPr>
          <w:p w14:paraId="245A7854"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12.31%</w:t>
            </w:r>
          </w:p>
        </w:tc>
        <w:tc>
          <w:tcPr>
            <w:tcW w:w="960" w:type="dxa"/>
            <w:tcBorders>
              <w:top w:val="nil"/>
              <w:left w:val="nil"/>
              <w:bottom w:val="single" w:sz="4" w:space="0" w:color="747474"/>
              <w:right w:val="nil"/>
            </w:tcBorders>
            <w:noWrap/>
            <w:vAlign w:val="bottom"/>
            <w:hideMark/>
          </w:tcPr>
          <w:p w14:paraId="3DC70402"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1.92%</w:t>
            </w:r>
          </w:p>
        </w:tc>
        <w:tc>
          <w:tcPr>
            <w:tcW w:w="960" w:type="dxa"/>
            <w:tcBorders>
              <w:top w:val="nil"/>
              <w:left w:val="nil"/>
              <w:bottom w:val="single" w:sz="4" w:space="0" w:color="747474"/>
              <w:right w:val="nil"/>
            </w:tcBorders>
            <w:noWrap/>
            <w:vAlign w:val="bottom"/>
            <w:hideMark/>
          </w:tcPr>
          <w:p w14:paraId="16F1A43C"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0.15%</w:t>
            </w:r>
          </w:p>
        </w:tc>
        <w:tc>
          <w:tcPr>
            <w:tcW w:w="960" w:type="dxa"/>
            <w:tcBorders>
              <w:top w:val="nil"/>
              <w:left w:val="nil"/>
              <w:bottom w:val="single" w:sz="4" w:space="0" w:color="747474"/>
              <w:right w:val="nil"/>
            </w:tcBorders>
            <w:noWrap/>
            <w:vAlign w:val="bottom"/>
            <w:hideMark/>
          </w:tcPr>
          <w:p w14:paraId="4F364DAA"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-54.91%</w:t>
            </w:r>
          </w:p>
        </w:tc>
        <w:tc>
          <w:tcPr>
            <w:tcW w:w="960" w:type="dxa"/>
            <w:tcBorders>
              <w:top w:val="nil"/>
              <w:left w:val="nil"/>
              <w:bottom w:val="single" w:sz="4" w:space="0" w:color="747474"/>
              <w:right w:val="nil"/>
            </w:tcBorders>
            <w:noWrap/>
            <w:vAlign w:val="bottom"/>
            <w:hideMark/>
          </w:tcPr>
          <w:p w14:paraId="714E519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-15.69%</w:t>
            </w:r>
          </w:p>
        </w:tc>
      </w:tr>
      <w:tr w:rsidR="0016734F" w:rsidRPr="00870822" w14:paraId="447FED42" w14:textId="77777777" w:rsidTr="0016734F">
        <w:trPr>
          <w:trHeight w:val="290"/>
          <w:jc w:val="center"/>
        </w:trPr>
        <w:tc>
          <w:tcPr>
            <w:tcW w:w="3400" w:type="dxa"/>
            <w:tcBorders>
              <w:top w:val="nil"/>
              <w:left w:val="nil"/>
              <w:bottom w:val="nil"/>
              <w:right w:val="nil"/>
            </w:tcBorders>
            <w:noWrap/>
            <w:vAlign w:val="bottom"/>
            <w:hideMark/>
          </w:tcPr>
          <w:p w14:paraId="1A705CC1"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p>
        </w:tc>
        <w:tc>
          <w:tcPr>
            <w:tcW w:w="960" w:type="dxa"/>
            <w:tcBorders>
              <w:top w:val="nil"/>
              <w:left w:val="nil"/>
              <w:bottom w:val="nil"/>
              <w:right w:val="nil"/>
            </w:tcBorders>
            <w:noWrap/>
            <w:vAlign w:val="bottom"/>
            <w:hideMark/>
          </w:tcPr>
          <w:p w14:paraId="63A3200B"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04112E3A"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22270D96"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4F40F4E7"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0A0031B7"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5CEDC390" w14:textId="77777777" w:rsidTr="0016734F">
        <w:trPr>
          <w:trHeight w:val="290"/>
          <w:jc w:val="center"/>
        </w:trPr>
        <w:tc>
          <w:tcPr>
            <w:tcW w:w="3400" w:type="dxa"/>
            <w:tcBorders>
              <w:top w:val="nil"/>
              <w:left w:val="nil"/>
              <w:bottom w:val="nil"/>
              <w:right w:val="nil"/>
            </w:tcBorders>
            <w:noWrap/>
            <w:vAlign w:val="bottom"/>
            <w:hideMark/>
          </w:tcPr>
          <w:p w14:paraId="7ABDC428"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Liquidity Analysis</w:t>
            </w:r>
          </w:p>
        </w:tc>
        <w:tc>
          <w:tcPr>
            <w:tcW w:w="960" w:type="dxa"/>
            <w:tcBorders>
              <w:top w:val="nil"/>
              <w:left w:val="nil"/>
              <w:bottom w:val="nil"/>
              <w:right w:val="nil"/>
            </w:tcBorders>
            <w:noWrap/>
            <w:vAlign w:val="bottom"/>
            <w:hideMark/>
          </w:tcPr>
          <w:p w14:paraId="5D1B21CC"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2020</w:t>
            </w:r>
          </w:p>
        </w:tc>
        <w:tc>
          <w:tcPr>
            <w:tcW w:w="960" w:type="dxa"/>
            <w:tcBorders>
              <w:top w:val="nil"/>
              <w:left w:val="nil"/>
              <w:bottom w:val="nil"/>
              <w:right w:val="nil"/>
            </w:tcBorders>
            <w:noWrap/>
            <w:vAlign w:val="bottom"/>
            <w:hideMark/>
          </w:tcPr>
          <w:p w14:paraId="74EC854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2021</w:t>
            </w:r>
          </w:p>
        </w:tc>
        <w:tc>
          <w:tcPr>
            <w:tcW w:w="960" w:type="dxa"/>
            <w:tcBorders>
              <w:top w:val="nil"/>
              <w:left w:val="nil"/>
              <w:bottom w:val="nil"/>
              <w:right w:val="nil"/>
            </w:tcBorders>
            <w:noWrap/>
            <w:vAlign w:val="bottom"/>
            <w:hideMark/>
          </w:tcPr>
          <w:p w14:paraId="30C19311"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2022</w:t>
            </w:r>
          </w:p>
        </w:tc>
        <w:tc>
          <w:tcPr>
            <w:tcW w:w="960" w:type="dxa"/>
            <w:tcBorders>
              <w:top w:val="nil"/>
              <w:left w:val="nil"/>
              <w:bottom w:val="nil"/>
              <w:right w:val="nil"/>
            </w:tcBorders>
            <w:noWrap/>
            <w:vAlign w:val="bottom"/>
            <w:hideMark/>
          </w:tcPr>
          <w:p w14:paraId="0D33B557"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2023</w:t>
            </w:r>
          </w:p>
        </w:tc>
        <w:tc>
          <w:tcPr>
            <w:tcW w:w="960" w:type="dxa"/>
            <w:tcBorders>
              <w:top w:val="nil"/>
              <w:left w:val="nil"/>
              <w:bottom w:val="nil"/>
              <w:right w:val="nil"/>
            </w:tcBorders>
            <w:noWrap/>
            <w:vAlign w:val="bottom"/>
            <w:hideMark/>
          </w:tcPr>
          <w:p w14:paraId="13C08CFF"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2024</w:t>
            </w:r>
          </w:p>
        </w:tc>
      </w:tr>
      <w:tr w:rsidR="0016734F" w:rsidRPr="00870822" w14:paraId="14FF6967" w14:textId="77777777" w:rsidTr="0016734F">
        <w:trPr>
          <w:trHeight w:val="290"/>
          <w:jc w:val="center"/>
        </w:trPr>
        <w:tc>
          <w:tcPr>
            <w:tcW w:w="3400" w:type="dxa"/>
            <w:tcBorders>
              <w:top w:val="nil"/>
              <w:left w:val="nil"/>
              <w:bottom w:val="nil"/>
              <w:right w:val="nil"/>
            </w:tcBorders>
            <w:noWrap/>
            <w:vAlign w:val="bottom"/>
            <w:hideMark/>
          </w:tcPr>
          <w:p w14:paraId="28745C9B"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Current Ratio</w:t>
            </w:r>
          </w:p>
        </w:tc>
        <w:tc>
          <w:tcPr>
            <w:tcW w:w="960" w:type="dxa"/>
            <w:tcBorders>
              <w:top w:val="single" w:sz="4" w:space="0" w:color="747474"/>
              <w:left w:val="nil"/>
              <w:bottom w:val="single" w:sz="4" w:space="0" w:color="747474"/>
              <w:right w:val="nil"/>
            </w:tcBorders>
            <w:noWrap/>
            <w:vAlign w:val="bottom"/>
            <w:hideMark/>
          </w:tcPr>
          <w:p w14:paraId="1311725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1.82</w:t>
            </w:r>
          </w:p>
        </w:tc>
        <w:tc>
          <w:tcPr>
            <w:tcW w:w="960" w:type="dxa"/>
            <w:tcBorders>
              <w:top w:val="single" w:sz="4" w:space="0" w:color="747474"/>
              <w:left w:val="nil"/>
              <w:bottom w:val="single" w:sz="4" w:space="0" w:color="747474"/>
              <w:right w:val="nil"/>
            </w:tcBorders>
            <w:noWrap/>
            <w:vAlign w:val="bottom"/>
            <w:hideMark/>
          </w:tcPr>
          <w:p w14:paraId="1F5D1B4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1.56</w:t>
            </w:r>
          </w:p>
        </w:tc>
        <w:tc>
          <w:tcPr>
            <w:tcW w:w="960" w:type="dxa"/>
            <w:tcBorders>
              <w:top w:val="single" w:sz="4" w:space="0" w:color="747474"/>
              <w:left w:val="nil"/>
              <w:bottom w:val="single" w:sz="4" w:space="0" w:color="747474"/>
              <w:right w:val="nil"/>
            </w:tcBorders>
            <w:noWrap/>
            <w:vAlign w:val="bottom"/>
            <w:hideMark/>
          </w:tcPr>
          <w:p w14:paraId="51EC1CD4"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1.56</w:t>
            </w:r>
          </w:p>
        </w:tc>
        <w:tc>
          <w:tcPr>
            <w:tcW w:w="960" w:type="dxa"/>
            <w:tcBorders>
              <w:top w:val="single" w:sz="4" w:space="0" w:color="747474"/>
              <w:left w:val="nil"/>
              <w:bottom w:val="single" w:sz="4" w:space="0" w:color="747474"/>
              <w:right w:val="nil"/>
            </w:tcBorders>
            <w:noWrap/>
            <w:vAlign w:val="bottom"/>
            <w:hideMark/>
          </w:tcPr>
          <w:p w14:paraId="6A1AC708"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1.61</w:t>
            </w:r>
          </w:p>
        </w:tc>
        <w:tc>
          <w:tcPr>
            <w:tcW w:w="960" w:type="dxa"/>
            <w:tcBorders>
              <w:top w:val="single" w:sz="4" w:space="0" w:color="747474"/>
              <w:left w:val="nil"/>
              <w:bottom w:val="single" w:sz="4" w:space="0" w:color="747474"/>
              <w:right w:val="nil"/>
            </w:tcBorders>
            <w:noWrap/>
            <w:vAlign w:val="bottom"/>
            <w:hideMark/>
          </w:tcPr>
          <w:p w14:paraId="20526BD4"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1.53</w:t>
            </w:r>
          </w:p>
        </w:tc>
      </w:tr>
      <w:tr w:rsidR="0016734F" w:rsidRPr="00870822" w14:paraId="5F84AD5D" w14:textId="77777777" w:rsidTr="0016734F">
        <w:trPr>
          <w:trHeight w:val="290"/>
          <w:jc w:val="center"/>
        </w:trPr>
        <w:tc>
          <w:tcPr>
            <w:tcW w:w="3400" w:type="dxa"/>
            <w:tcBorders>
              <w:top w:val="nil"/>
              <w:left w:val="nil"/>
              <w:bottom w:val="nil"/>
              <w:right w:val="nil"/>
            </w:tcBorders>
            <w:noWrap/>
            <w:vAlign w:val="bottom"/>
            <w:hideMark/>
          </w:tcPr>
          <w:p w14:paraId="257B4F8A"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Quick Ratio</w:t>
            </w:r>
          </w:p>
        </w:tc>
        <w:tc>
          <w:tcPr>
            <w:tcW w:w="960" w:type="dxa"/>
            <w:tcBorders>
              <w:top w:val="nil"/>
              <w:left w:val="nil"/>
              <w:bottom w:val="single" w:sz="4" w:space="0" w:color="747474"/>
              <w:right w:val="nil"/>
            </w:tcBorders>
            <w:noWrap/>
            <w:vAlign w:val="bottom"/>
            <w:hideMark/>
          </w:tcPr>
          <w:p w14:paraId="06A720A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1.15</w:t>
            </w:r>
          </w:p>
        </w:tc>
        <w:tc>
          <w:tcPr>
            <w:tcW w:w="960" w:type="dxa"/>
            <w:tcBorders>
              <w:top w:val="nil"/>
              <w:left w:val="nil"/>
              <w:bottom w:val="single" w:sz="4" w:space="0" w:color="747474"/>
              <w:right w:val="nil"/>
            </w:tcBorders>
            <w:noWrap/>
            <w:vAlign w:val="bottom"/>
            <w:hideMark/>
          </w:tcPr>
          <w:p w14:paraId="549D418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0.93</w:t>
            </w:r>
          </w:p>
        </w:tc>
        <w:tc>
          <w:tcPr>
            <w:tcW w:w="960" w:type="dxa"/>
            <w:tcBorders>
              <w:top w:val="nil"/>
              <w:left w:val="nil"/>
              <w:bottom w:val="single" w:sz="4" w:space="0" w:color="747474"/>
              <w:right w:val="nil"/>
            </w:tcBorders>
            <w:noWrap/>
            <w:vAlign w:val="bottom"/>
            <w:hideMark/>
          </w:tcPr>
          <w:p w14:paraId="2FE77FC2"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0.91</w:t>
            </w:r>
          </w:p>
        </w:tc>
        <w:tc>
          <w:tcPr>
            <w:tcW w:w="960" w:type="dxa"/>
            <w:tcBorders>
              <w:top w:val="nil"/>
              <w:left w:val="nil"/>
              <w:bottom w:val="single" w:sz="4" w:space="0" w:color="747474"/>
              <w:right w:val="nil"/>
            </w:tcBorders>
            <w:noWrap/>
            <w:vAlign w:val="bottom"/>
            <w:hideMark/>
          </w:tcPr>
          <w:p w14:paraId="5F1CF34A"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1.06</w:t>
            </w:r>
          </w:p>
        </w:tc>
        <w:tc>
          <w:tcPr>
            <w:tcW w:w="960" w:type="dxa"/>
            <w:tcBorders>
              <w:top w:val="nil"/>
              <w:left w:val="nil"/>
              <w:bottom w:val="single" w:sz="4" w:space="0" w:color="747474"/>
              <w:right w:val="nil"/>
            </w:tcBorders>
            <w:noWrap/>
            <w:vAlign w:val="bottom"/>
            <w:hideMark/>
          </w:tcPr>
          <w:p w14:paraId="74AE587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1.03</w:t>
            </w:r>
          </w:p>
        </w:tc>
      </w:tr>
      <w:tr w:rsidR="0016734F" w:rsidRPr="00870822" w14:paraId="3727EC98" w14:textId="77777777" w:rsidTr="0016734F">
        <w:trPr>
          <w:trHeight w:val="290"/>
          <w:jc w:val="center"/>
        </w:trPr>
        <w:tc>
          <w:tcPr>
            <w:tcW w:w="3400" w:type="dxa"/>
            <w:tcBorders>
              <w:top w:val="nil"/>
              <w:left w:val="nil"/>
              <w:bottom w:val="nil"/>
              <w:right w:val="nil"/>
            </w:tcBorders>
            <w:noWrap/>
            <w:vAlign w:val="bottom"/>
            <w:hideMark/>
          </w:tcPr>
          <w:p w14:paraId="7FFBA46B"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Cash Ratio</w:t>
            </w:r>
          </w:p>
        </w:tc>
        <w:tc>
          <w:tcPr>
            <w:tcW w:w="960" w:type="dxa"/>
            <w:tcBorders>
              <w:top w:val="nil"/>
              <w:left w:val="nil"/>
              <w:bottom w:val="single" w:sz="4" w:space="0" w:color="747474"/>
              <w:right w:val="nil"/>
            </w:tcBorders>
            <w:noWrap/>
            <w:vAlign w:val="bottom"/>
            <w:hideMark/>
          </w:tcPr>
          <w:p w14:paraId="73DFA2B1"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0.32</w:t>
            </w:r>
          </w:p>
        </w:tc>
        <w:tc>
          <w:tcPr>
            <w:tcW w:w="960" w:type="dxa"/>
            <w:tcBorders>
              <w:top w:val="nil"/>
              <w:left w:val="nil"/>
              <w:bottom w:val="single" w:sz="4" w:space="0" w:color="747474"/>
              <w:right w:val="nil"/>
            </w:tcBorders>
            <w:noWrap/>
            <w:vAlign w:val="bottom"/>
            <w:hideMark/>
          </w:tcPr>
          <w:p w14:paraId="65714A0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0.28</w:t>
            </w:r>
          </w:p>
        </w:tc>
        <w:tc>
          <w:tcPr>
            <w:tcW w:w="960" w:type="dxa"/>
            <w:tcBorders>
              <w:top w:val="nil"/>
              <w:left w:val="nil"/>
              <w:bottom w:val="single" w:sz="4" w:space="0" w:color="747474"/>
              <w:right w:val="nil"/>
            </w:tcBorders>
            <w:noWrap/>
            <w:vAlign w:val="bottom"/>
            <w:hideMark/>
          </w:tcPr>
          <w:p w14:paraId="4631AD68"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0.31</w:t>
            </w:r>
          </w:p>
        </w:tc>
        <w:tc>
          <w:tcPr>
            <w:tcW w:w="960" w:type="dxa"/>
            <w:tcBorders>
              <w:top w:val="nil"/>
              <w:left w:val="nil"/>
              <w:bottom w:val="single" w:sz="4" w:space="0" w:color="747474"/>
              <w:right w:val="nil"/>
            </w:tcBorders>
            <w:noWrap/>
            <w:vAlign w:val="bottom"/>
            <w:hideMark/>
          </w:tcPr>
          <w:p w14:paraId="7AD657D4"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0.27</w:t>
            </w:r>
          </w:p>
        </w:tc>
        <w:tc>
          <w:tcPr>
            <w:tcW w:w="960" w:type="dxa"/>
            <w:tcBorders>
              <w:top w:val="nil"/>
              <w:left w:val="nil"/>
              <w:bottom w:val="single" w:sz="4" w:space="0" w:color="747474"/>
              <w:right w:val="nil"/>
            </w:tcBorders>
            <w:noWrap/>
            <w:vAlign w:val="bottom"/>
            <w:hideMark/>
          </w:tcPr>
          <w:p w14:paraId="0BF4532F"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0.17</w:t>
            </w:r>
          </w:p>
        </w:tc>
      </w:tr>
      <w:tr w:rsidR="0016734F" w:rsidRPr="00870822" w14:paraId="1B4E03BF" w14:textId="77777777" w:rsidTr="0016734F">
        <w:trPr>
          <w:trHeight w:val="300"/>
          <w:jc w:val="center"/>
        </w:trPr>
        <w:tc>
          <w:tcPr>
            <w:tcW w:w="3400" w:type="dxa"/>
            <w:tcBorders>
              <w:top w:val="nil"/>
              <w:left w:val="nil"/>
              <w:bottom w:val="nil"/>
              <w:right w:val="nil"/>
            </w:tcBorders>
            <w:noWrap/>
            <w:vAlign w:val="bottom"/>
            <w:hideMark/>
          </w:tcPr>
          <w:p w14:paraId="11AC57BE"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p>
        </w:tc>
        <w:tc>
          <w:tcPr>
            <w:tcW w:w="960" w:type="dxa"/>
            <w:tcBorders>
              <w:top w:val="nil"/>
              <w:left w:val="nil"/>
              <w:bottom w:val="nil"/>
              <w:right w:val="nil"/>
            </w:tcBorders>
            <w:noWrap/>
            <w:vAlign w:val="bottom"/>
            <w:hideMark/>
          </w:tcPr>
          <w:p w14:paraId="1BAEC34E"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1A87526B"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5471867F"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224195BF"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491A9189"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73F8925A" w14:textId="77777777" w:rsidTr="0016734F">
        <w:trPr>
          <w:trHeight w:val="290"/>
          <w:jc w:val="center"/>
        </w:trPr>
        <w:tc>
          <w:tcPr>
            <w:tcW w:w="3400" w:type="dxa"/>
            <w:tcBorders>
              <w:top w:val="nil"/>
              <w:left w:val="nil"/>
              <w:bottom w:val="nil"/>
              <w:right w:val="nil"/>
            </w:tcBorders>
            <w:noWrap/>
            <w:vAlign w:val="bottom"/>
            <w:hideMark/>
          </w:tcPr>
          <w:p w14:paraId="1AF27B19"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Efficiency (Activity) Analysis</w:t>
            </w:r>
          </w:p>
        </w:tc>
        <w:tc>
          <w:tcPr>
            <w:tcW w:w="960" w:type="dxa"/>
            <w:tcBorders>
              <w:top w:val="nil"/>
              <w:left w:val="nil"/>
              <w:bottom w:val="nil"/>
              <w:right w:val="nil"/>
            </w:tcBorders>
            <w:noWrap/>
            <w:vAlign w:val="bottom"/>
            <w:hideMark/>
          </w:tcPr>
          <w:p w14:paraId="6369373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2020</w:t>
            </w:r>
          </w:p>
        </w:tc>
        <w:tc>
          <w:tcPr>
            <w:tcW w:w="960" w:type="dxa"/>
            <w:tcBorders>
              <w:top w:val="nil"/>
              <w:left w:val="nil"/>
              <w:bottom w:val="nil"/>
              <w:right w:val="nil"/>
            </w:tcBorders>
            <w:noWrap/>
            <w:vAlign w:val="bottom"/>
            <w:hideMark/>
          </w:tcPr>
          <w:p w14:paraId="5677F73F"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2021</w:t>
            </w:r>
          </w:p>
        </w:tc>
        <w:tc>
          <w:tcPr>
            <w:tcW w:w="960" w:type="dxa"/>
            <w:tcBorders>
              <w:top w:val="nil"/>
              <w:left w:val="nil"/>
              <w:bottom w:val="nil"/>
              <w:right w:val="nil"/>
            </w:tcBorders>
            <w:noWrap/>
            <w:vAlign w:val="bottom"/>
            <w:hideMark/>
          </w:tcPr>
          <w:p w14:paraId="5355038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2022</w:t>
            </w:r>
          </w:p>
        </w:tc>
        <w:tc>
          <w:tcPr>
            <w:tcW w:w="960" w:type="dxa"/>
            <w:tcBorders>
              <w:top w:val="nil"/>
              <w:left w:val="nil"/>
              <w:bottom w:val="nil"/>
              <w:right w:val="nil"/>
            </w:tcBorders>
            <w:noWrap/>
            <w:vAlign w:val="bottom"/>
            <w:hideMark/>
          </w:tcPr>
          <w:p w14:paraId="7F7625F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2023</w:t>
            </w:r>
          </w:p>
        </w:tc>
        <w:tc>
          <w:tcPr>
            <w:tcW w:w="960" w:type="dxa"/>
            <w:tcBorders>
              <w:top w:val="nil"/>
              <w:left w:val="nil"/>
              <w:bottom w:val="nil"/>
              <w:right w:val="nil"/>
            </w:tcBorders>
            <w:noWrap/>
            <w:vAlign w:val="bottom"/>
            <w:hideMark/>
          </w:tcPr>
          <w:p w14:paraId="729C5F1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2024</w:t>
            </w:r>
          </w:p>
        </w:tc>
      </w:tr>
      <w:tr w:rsidR="0016734F" w:rsidRPr="00870822" w14:paraId="6E0C2002" w14:textId="77777777" w:rsidTr="0016734F">
        <w:trPr>
          <w:trHeight w:val="290"/>
          <w:jc w:val="center"/>
        </w:trPr>
        <w:tc>
          <w:tcPr>
            <w:tcW w:w="3400" w:type="dxa"/>
            <w:tcBorders>
              <w:top w:val="nil"/>
              <w:left w:val="nil"/>
              <w:bottom w:val="nil"/>
              <w:right w:val="nil"/>
            </w:tcBorders>
            <w:noWrap/>
            <w:vAlign w:val="bottom"/>
            <w:hideMark/>
          </w:tcPr>
          <w:p w14:paraId="22136BED"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Inventory Turnover</w:t>
            </w:r>
          </w:p>
        </w:tc>
        <w:tc>
          <w:tcPr>
            <w:tcW w:w="960" w:type="dxa"/>
            <w:tcBorders>
              <w:top w:val="single" w:sz="4" w:space="0" w:color="747474"/>
              <w:left w:val="nil"/>
              <w:bottom w:val="single" w:sz="4" w:space="0" w:color="747474"/>
              <w:right w:val="nil"/>
            </w:tcBorders>
            <w:noWrap/>
            <w:vAlign w:val="bottom"/>
            <w:hideMark/>
          </w:tcPr>
          <w:p w14:paraId="5E2025D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3.64x</w:t>
            </w:r>
          </w:p>
        </w:tc>
        <w:tc>
          <w:tcPr>
            <w:tcW w:w="960" w:type="dxa"/>
            <w:tcBorders>
              <w:top w:val="single" w:sz="4" w:space="0" w:color="747474"/>
              <w:left w:val="nil"/>
              <w:bottom w:val="single" w:sz="4" w:space="0" w:color="747474"/>
              <w:right w:val="nil"/>
            </w:tcBorders>
            <w:noWrap/>
            <w:vAlign w:val="bottom"/>
            <w:hideMark/>
          </w:tcPr>
          <w:p w14:paraId="12593CB2"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3.19x</w:t>
            </w:r>
          </w:p>
        </w:tc>
        <w:tc>
          <w:tcPr>
            <w:tcW w:w="960" w:type="dxa"/>
            <w:tcBorders>
              <w:top w:val="single" w:sz="4" w:space="0" w:color="747474"/>
              <w:left w:val="nil"/>
              <w:bottom w:val="single" w:sz="4" w:space="0" w:color="747474"/>
              <w:right w:val="nil"/>
            </w:tcBorders>
            <w:noWrap/>
            <w:vAlign w:val="bottom"/>
            <w:hideMark/>
          </w:tcPr>
          <w:p w14:paraId="047A2EFE"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2.79x</w:t>
            </w:r>
          </w:p>
        </w:tc>
        <w:tc>
          <w:tcPr>
            <w:tcW w:w="960" w:type="dxa"/>
            <w:tcBorders>
              <w:top w:val="single" w:sz="4" w:space="0" w:color="747474"/>
              <w:left w:val="nil"/>
              <w:bottom w:val="single" w:sz="4" w:space="0" w:color="747474"/>
              <w:right w:val="nil"/>
            </w:tcBorders>
            <w:noWrap/>
            <w:vAlign w:val="bottom"/>
            <w:hideMark/>
          </w:tcPr>
          <w:p w14:paraId="5E696DD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3.66x</w:t>
            </w:r>
          </w:p>
        </w:tc>
        <w:tc>
          <w:tcPr>
            <w:tcW w:w="960" w:type="dxa"/>
            <w:tcBorders>
              <w:top w:val="single" w:sz="4" w:space="0" w:color="747474"/>
              <w:left w:val="nil"/>
              <w:bottom w:val="single" w:sz="4" w:space="0" w:color="747474"/>
              <w:right w:val="nil"/>
            </w:tcBorders>
            <w:noWrap/>
            <w:vAlign w:val="bottom"/>
            <w:hideMark/>
          </w:tcPr>
          <w:p w14:paraId="0DA780F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3.54x</w:t>
            </w:r>
          </w:p>
        </w:tc>
      </w:tr>
      <w:tr w:rsidR="0016734F" w:rsidRPr="00870822" w14:paraId="360B0ABE" w14:textId="77777777" w:rsidTr="0016734F">
        <w:trPr>
          <w:trHeight w:val="290"/>
          <w:jc w:val="center"/>
        </w:trPr>
        <w:tc>
          <w:tcPr>
            <w:tcW w:w="3400" w:type="dxa"/>
            <w:tcBorders>
              <w:top w:val="nil"/>
              <w:left w:val="nil"/>
              <w:bottom w:val="nil"/>
              <w:right w:val="nil"/>
            </w:tcBorders>
            <w:noWrap/>
            <w:vAlign w:val="bottom"/>
            <w:hideMark/>
          </w:tcPr>
          <w:p w14:paraId="6234CC1C"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Receivables Turnover</w:t>
            </w:r>
          </w:p>
        </w:tc>
        <w:tc>
          <w:tcPr>
            <w:tcW w:w="960" w:type="dxa"/>
            <w:tcBorders>
              <w:top w:val="nil"/>
              <w:left w:val="nil"/>
              <w:bottom w:val="single" w:sz="4" w:space="0" w:color="747474"/>
              <w:right w:val="nil"/>
            </w:tcBorders>
            <w:noWrap/>
            <w:vAlign w:val="bottom"/>
            <w:hideMark/>
          </w:tcPr>
          <w:p w14:paraId="1E8730D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4.75x</w:t>
            </w:r>
          </w:p>
        </w:tc>
        <w:tc>
          <w:tcPr>
            <w:tcW w:w="960" w:type="dxa"/>
            <w:tcBorders>
              <w:top w:val="nil"/>
              <w:left w:val="nil"/>
              <w:bottom w:val="single" w:sz="4" w:space="0" w:color="747474"/>
              <w:right w:val="nil"/>
            </w:tcBorders>
            <w:noWrap/>
            <w:vAlign w:val="bottom"/>
            <w:hideMark/>
          </w:tcPr>
          <w:p w14:paraId="4369FD80"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4.66x</w:t>
            </w:r>
          </w:p>
        </w:tc>
        <w:tc>
          <w:tcPr>
            <w:tcW w:w="960" w:type="dxa"/>
            <w:tcBorders>
              <w:top w:val="nil"/>
              <w:left w:val="nil"/>
              <w:bottom w:val="single" w:sz="4" w:space="0" w:color="747474"/>
              <w:right w:val="nil"/>
            </w:tcBorders>
            <w:noWrap/>
            <w:vAlign w:val="bottom"/>
            <w:hideMark/>
          </w:tcPr>
          <w:p w14:paraId="542EFD54"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4.83x</w:t>
            </w:r>
          </w:p>
        </w:tc>
        <w:tc>
          <w:tcPr>
            <w:tcW w:w="960" w:type="dxa"/>
            <w:tcBorders>
              <w:top w:val="nil"/>
              <w:left w:val="nil"/>
              <w:bottom w:val="single" w:sz="4" w:space="0" w:color="747474"/>
              <w:right w:val="nil"/>
            </w:tcBorders>
            <w:noWrap/>
            <w:vAlign w:val="bottom"/>
            <w:hideMark/>
          </w:tcPr>
          <w:p w14:paraId="29B9539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3.73x</w:t>
            </w:r>
          </w:p>
        </w:tc>
        <w:tc>
          <w:tcPr>
            <w:tcW w:w="960" w:type="dxa"/>
            <w:tcBorders>
              <w:top w:val="nil"/>
              <w:left w:val="nil"/>
              <w:bottom w:val="single" w:sz="4" w:space="0" w:color="747474"/>
              <w:right w:val="nil"/>
            </w:tcBorders>
            <w:noWrap/>
            <w:vAlign w:val="bottom"/>
            <w:hideMark/>
          </w:tcPr>
          <w:p w14:paraId="45C873B0"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3.46x</w:t>
            </w:r>
          </w:p>
        </w:tc>
      </w:tr>
      <w:tr w:rsidR="0016734F" w:rsidRPr="00870822" w14:paraId="6FB97D80" w14:textId="77777777" w:rsidTr="0016734F">
        <w:trPr>
          <w:trHeight w:val="290"/>
          <w:jc w:val="center"/>
        </w:trPr>
        <w:tc>
          <w:tcPr>
            <w:tcW w:w="3400" w:type="dxa"/>
            <w:tcBorders>
              <w:top w:val="nil"/>
              <w:left w:val="nil"/>
              <w:bottom w:val="nil"/>
              <w:right w:val="nil"/>
            </w:tcBorders>
            <w:noWrap/>
            <w:vAlign w:val="bottom"/>
            <w:hideMark/>
          </w:tcPr>
          <w:p w14:paraId="60A7F2C3"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Asset Turnover</w:t>
            </w:r>
          </w:p>
        </w:tc>
        <w:tc>
          <w:tcPr>
            <w:tcW w:w="960" w:type="dxa"/>
            <w:tcBorders>
              <w:top w:val="nil"/>
              <w:left w:val="nil"/>
              <w:bottom w:val="single" w:sz="4" w:space="0" w:color="747474"/>
              <w:right w:val="nil"/>
            </w:tcBorders>
            <w:noWrap/>
            <w:vAlign w:val="bottom"/>
            <w:hideMark/>
          </w:tcPr>
          <w:p w14:paraId="26191794"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1.20x</w:t>
            </w:r>
          </w:p>
        </w:tc>
        <w:tc>
          <w:tcPr>
            <w:tcW w:w="960" w:type="dxa"/>
            <w:tcBorders>
              <w:top w:val="nil"/>
              <w:left w:val="nil"/>
              <w:bottom w:val="single" w:sz="4" w:space="0" w:color="747474"/>
              <w:right w:val="nil"/>
            </w:tcBorders>
            <w:noWrap/>
            <w:vAlign w:val="bottom"/>
            <w:hideMark/>
          </w:tcPr>
          <w:p w14:paraId="2BAA627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1.18x</w:t>
            </w:r>
          </w:p>
        </w:tc>
        <w:tc>
          <w:tcPr>
            <w:tcW w:w="960" w:type="dxa"/>
            <w:tcBorders>
              <w:top w:val="nil"/>
              <w:left w:val="nil"/>
              <w:bottom w:val="single" w:sz="4" w:space="0" w:color="747474"/>
              <w:right w:val="nil"/>
            </w:tcBorders>
            <w:noWrap/>
            <w:vAlign w:val="bottom"/>
            <w:hideMark/>
          </w:tcPr>
          <w:p w14:paraId="428FE63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1.08x</w:t>
            </w:r>
          </w:p>
        </w:tc>
        <w:tc>
          <w:tcPr>
            <w:tcW w:w="960" w:type="dxa"/>
            <w:tcBorders>
              <w:top w:val="nil"/>
              <w:left w:val="nil"/>
              <w:bottom w:val="single" w:sz="4" w:space="0" w:color="747474"/>
              <w:right w:val="nil"/>
            </w:tcBorders>
            <w:noWrap/>
            <w:vAlign w:val="bottom"/>
            <w:hideMark/>
          </w:tcPr>
          <w:p w14:paraId="258093C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1.18x</w:t>
            </w:r>
          </w:p>
        </w:tc>
        <w:tc>
          <w:tcPr>
            <w:tcW w:w="960" w:type="dxa"/>
            <w:tcBorders>
              <w:top w:val="nil"/>
              <w:left w:val="nil"/>
              <w:bottom w:val="single" w:sz="4" w:space="0" w:color="747474"/>
              <w:right w:val="nil"/>
            </w:tcBorders>
            <w:noWrap/>
            <w:vAlign w:val="bottom"/>
            <w:hideMark/>
          </w:tcPr>
          <w:p w14:paraId="50B2A039"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1.22x</w:t>
            </w:r>
          </w:p>
        </w:tc>
      </w:tr>
      <w:tr w:rsidR="0016734F" w:rsidRPr="00870822" w14:paraId="664DC21E" w14:textId="77777777" w:rsidTr="0016734F">
        <w:trPr>
          <w:trHeight w:val="290"/>
          <w:jc w:val="center"/>
        </w:trPr>
        <w:tc>
          <w:tcPr>
            <w:tcW w:w="3400" w:type="dxa"/>
            <w:tcBorders>
              <w:top w:val="nil"/>
              <w:left w:val="nil"/>
              <w:bottom w:val="nil"/>
              <w:right w:val="nil"/>
            </w:tcBorders>
            <w:noWrap/>
            <w:vAlign w:val="bottom"/>
            <w:hideMark/>
          </w:tcPr>
          <w:p w14:paraId="3A108CB0"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p>
        </w:tc>
        <w:tc>
          <w:tcPr>
            <w:tcW w:w="960" w:type="dxa"/>
            <w:tcBorders>
              <w:top w:val="nil"/>
              <w:left w:val="nil"/>
              <w:bottom w:val="nil"/>
              <w:right w:val="nil"/>
            </w:tcBorders>
            <w:noWrap/>
            <w:vAlign w:val="bottom"/>
            <w:hideMark/>
          </w:tcPr>
          <w:p w14:paraId="27F21913"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0DB8BF47"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038EC450"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170DE969"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0BC02B67"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4122173D" w14:textId="77777777" w:rsidTr="0016734F">
        <w:trPr>
          <w:trHeight w:val="290"/>
          <w:jc w:val="center"/>
        </w:trPr>
        <w:tc>
          <w:tcPr>
            <w:tcW w:w="3400" w:type="dxa"/>
            <w:tcBorders>
              <w:top w:val="nil"/>
              <w:left w:val="nil"/>
              <w:bottom w:val="nil"/>
              <w:right w:val="nil"/>
            </w:tcBorders>
            <w:noWrap/>
            <w:vAlign w:val="bottom"/>
            <w:hideMark/>
          </w:tcPr>
          <w:p w14:paraId="501CDF7A"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Gearing (Leverage) Analysis</w:t>
            </w:r>
          </w:p>
        </w:tc>
        <w:tc>
          <w:tcPr>
            <w:tcW w:w="960" w:type="dxa"/>
            <w:tcBorders>
              <w:top w:val="nil"/>
              <w:left w:val="nil"/>
              <w:bottom w:val="nil"/>
              <w:right w:val="nil"/>
            </w:tcBorders>
            <w:noWrap/>
            <w:vAlign w:val="bottom"/>
            <w:hideMark/>
          </w:tcPr>
          <w:p w14:paraId="7EB61858"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p>
        </w:tc>
        <w:tc>
          <w:tcPr>
            <w:tcW w:w="960" w:type="dxa"/>
            <w:tcBorders>
              <w:top w:val="nil"/>
              <w:left w:val="nil"/>
              <w:bottom w:val="nil"/>
              <w:right w:val="nil"/>
            </w:tcBorders>
            <w:noWrap/>
            <w:vAlign w:val="bottom"/>
            <w:hideMark/>
          </w:tcPr>
          <w:p w14:paraId="2AD0DDAF"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29D543D7"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75984A98"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6E72B1F6"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3D293360" w14:textId="77777777" w:rsidTr="0016734F">
        <w:trPr>
          <w:trHeight w:val="290"/>
          <w:jc w:val="center"/>
        </w:trPr>
        <w:tc>
          <w:tcPr>
            <w:tcW w:w="3400" w:type="dxa"/>
            <w:tcBorders>
              <w:top w:val="nil"/>
              <w:left w:val="nil"/>
              <w:bottom w:val="nil"/>
              <w:right w:val="nil"/>
            </w:tcBorders>
            <w:noWrap/>
            <w:vAlign w:val="bottom"/>
            <w:hideMark/>
          </w:tcPr>
          <w:p w14:paraId="53E25627"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Debt-to-Equity Ratio</w:t>
            </w:r>
          </w:p>
        </w:tc>
        <w:tc>
          <w:tcPr>
            <w:tcW w:w="960" w:type="dxa"/>
            <w:tcBorders>
              <w:top w:val="single" w:sz="4" w:space="0" w:color="747474"/>
              <w:left w:val="nil"/>
              <w:bottom w:val="single" w:sz="4" w:space="0" w:color="747474"/>
              <w:right w:val="nil"/>
            </w:tcBorders>
            <w:noWrap/>
            <w:vAlign w:val="bottom"/>
            <w:hideMark/>
          </w:tcPr>
          <w:p w14:paraId="2D0FEB9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0.63x</w:t>
            </w:r>
          </w:p>
        </w:tc>
        <w:tc>
          <w:tcPr>
            <w:tcW w:w="960" w:type="dxa"/>
            <w:tcBorders>
              <w:top w:val="single" w:sz="4" w:space="0" w:color="747474"/>
              <w:left w:val="nil"/>
              <w:bottom w:val="single" w:sz="4" w:space="0" w:color="747474"/>
              <w:right w:val="nil"/>
            </w:tcBorders>
            <w:noWrap/>
            <w:vAlign w:val="bottom"/>
            <w:hideMark/>
          </w:tcPr>
          <w:p w14:paraId="56CDB607"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0.85x</w:t>
            </w:r>
          </w:p>
        </w:tc>
        <w:tc>
          <w:tcPr>
            <w:tcW w:w="960" w:type="dxa"/>
            <w:tcBorders>
              <w:top w:val="single" w:sz="4" w:space="0" w:color="747474"/>
              <w:left w:val="nil"/>
              <w:bottom w:val="single" w:sz="4" w:space="0" w:color="747474"/>
              <w:right w:val="nil"/>
            </w:tcBorders>
            <w:noWrap/>
            <w:vAlign w:val="bottom"/>
            <w:hideMark/>
          </w:tcPr>
          <w:p w14:paraId="2CCD10E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0.88x</w:t>
            </w:r>
          </w:p>
        </w:tc>
        <w:tc>
          <w:tcPr>
            <w:tcW w:w="960" w:type="dxa"/>
            <w:tcBorders>
              <w:top w:val="single" w:sz="4" w:space="0" w:color="747474"/>
              <w:left w:val="nil"/>
              <w:bottom w:val="single" w:sz="4" w:space="0" w:color="747474"/>
              <w:right w:val="nil"/>
            </w:tcBorders>
            <w:noWrap/>
            <w:vAlign w:val="bottom"/>
            <w:hideMark/>
          </w:tcPr>
          <w:p w14:paraId="520DFFA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0.99x</w:t>
            </w:r>
          </w:p>
        </w:tc>
        <w:tc>
          <w:tcPr>
            <w:tcW w:w="960" w:type="dxa"/>
            <w:tcBorders>
              <w:top w:val="single" w:sz="4" w:space="0" w:color="747474"/>
              <w:left w:val="nil"/>
              <w:bottom w:val="single" w:sz="4" w:space="0" w:color="747474"/>
              <w:right w:val="nil"/>
            </w:tcBorders>
            <w:noWrap/>
            <w:vAlign w:val="bottom"/>
            <w:hideMark/>
          </w:tcPr>
          <w:p w14:paraId="7E166B8E"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1.11x</w:t>
            </w:r>
          </w:p>
        </w:tc>
      </w:tr>
      <w:tr w:rsidR="0016734F" w:rsidRPr="00870822" w14:paraId="1E34EC28" w14:textId="77777777" w:rsidTr="0016734F">
        <w:trPr>
          <w:trHeight w:val="290"/>
          <w:jc w:val="center"/>
        </w:trPr>
        <w:tc>
          <w:tcPr>
            <w:tcW w:w="3400" w:type="dxa"/>
            <w:tcBorders>
              <w:top w:val="nil"/>
              <w:left w:val="nil"/>
              <w:bottom w:val="nil"/>
              <w:right w:val="nil"/>
            </w:tcBorders>
            <w:noWrap/>
            <w:vAlign w:val="bottom"/>
            <w:hideMark/>
          </w:tcPr>
          <w:p w14:paraId="70A4CF66"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Interest Coverage Ratio</w:t>
            </w:r>
          </w:p>
        </w:tc>
        <w:tc>
          <w:tcPr>
            <w:tcW w:w="960" w:type="dxa"/>
            <w:tcBorders>
              <w:top w:val="nil"/>
              <w:left w:val="nil"/>
              <w:bottom w:val="single" w:sz="4" w:space="0" w:color="747474"/>
              <w:right w:val="nil"/>
            </w:tcBorders>
            <w:noWrap/>
            <w:vAlign w:val="bottom"/>
            <w:hideMark/>
          </w:tcPr>
          <w:p w14:paraId="7DB580F9"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26.21x</w:t>
            </w:r>
          </w:p>
        </w:tc>
        <w:tc>
          <w:tcPr>
            <w:tcW w:w="960" w:type="dxa"/>
            <w:tcBorders>
              <w:top w:val="nil"/>
              <w:left w:val="nil"/>
              <w:bottom w:val="single" w:sz="4" w:space="0" w:color="747474"/>
              <w:right w:val="nil"/>
            </w:tcBorders>
            <w:noWrap/>
            <w:vAlign w:val="bottom"/>
            <w:hideMark/>
          </w:tcPr>
          <w:p w14:paraId="3721D9A7"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41.08x</w:t>
            </w:r>
          </w:p>
        </w:tc>
        <w:tc>
          <w:tcPr>
            <w:tcW w:w="960" w:type="dxa"/>
            <w:tcBorders>
              <w:top w:val="nil"/>
              <w:left w:val="nil"/>
              <w:bottom w:val="single" w:sz="4" w:space="0" w:color="747474"/>
              <w:right w:val="nil"/>
            </w:tcBorders>
            <w:noWrap/>
            <w:vAlign w:val="bottom"/>
            <w:hideMark/>
          </w:tcPr>
          <w:p w14:paraId="28A7A5A0"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6.61x</w:t>
            </w:r>
          </w:p>
        </w:tc>
        <w:tc>
          <w:tcPr>
            <w:tcW w:w="960" w:type="dxa"/>
            <w:tcBorders>
              <w:top w:val="nil"/>
              <w:left w:val="nil"/>
              <w:bottom w:val="single" w:sz="4" w:space="0" w:color="747474"/>
              <w:right w:val="nil"/>
            </w:tcBorders>
            <w:noWrap/>
            <w:vAlign w:val="bottom"/>
            <w:hideMark/>
          </w:tcPr>
          <w:p w14:paraId="4289A951"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-19.69x</w:t>
            </w:r>
          </w:p>
        </w:tc>
        <w:tc>
          <w:tcPr>
            <w:tcW w:w="960" w:type="dxa"/>
            <w:tcBorders>
              <w:top w:val="nil"/>
              <w:left w:val="nil"/>
              <w:bottom w:val="single" w:sz="4" w:space="0" w:color="747474"/>
              <w:right w:val="nil"/>
            </w:tcBorders>
            <w:noWrap/>
            <w:vAlign w:val="bottom"/>
            <w:hideMark/>
          </w:tcPr>
          <w:p w14:paraId="36315920"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-4.55x</w:t>
            </w:r>
          </w:p>
        </w:tc>
      </w:tr>
      <w:tr w:rsidR="0016734F" w:rsidRPr="00870822" w14:paraId="04A31C99" w14:textId="77777777" w:rsidTr="0016734F">
        <w:trPr>
          <w:trHeight w:val="290"/>
          <w:jc w:val="center"/>
        </w:trPr>
        <w:tc>
          <w:tcPr>
            <w:tcW w:w="3400" w:type="dxa"/>
            <w:tcBorders>
              <w:top w:val="nil"/>
              <w:left w:val="nil"/>
              <w:bottom w:val="nil"/>
              <w:right w:val="nil"/>
            </w:tcBorders>
            <w:noWrap/>
            <w:vAlign w:val="bottom"/>
            <w:hideMark/>
          </w:tcPr>
          <w:p w14:paraId="6F54719A"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Debt Ratio</w:t>
            </w:r>
          </w:p>
        </w:tc>
        <w:tc>
          <w:tcPr>
            <w:tcW w:w="960" w:type="dxa"/>
            <w:tcBorders>
              <w:top w:val="nil"/>
              <w:left w:val="nil"/>
              <w:bottom w:val="single" w:sz="4" w:space="0" w:color="747474"/>
              <w:right w:val="nil"/>
            </w:tcBorders>
            <w:noWrap/>
            <w:vAlign w:val="bottom"/>
            <w:hideMark/>
          </w:tcPr>
          <w:p w14:paraId="15970E32"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0.39x</w:t>
            </w:r>
          </w:p>
        </w:tc>
        <w:tc>
          <w:tcPr>
            <w:tcW w:w="960" w:type="dxa"/>
            <w:tcBorders>
              <w:top w:val="nil"/>
              <w:left w:val="nil"/>
              <w:bottom w:val="single" w:sz="4" w:space="0" w:color="747474"/>
              <w:right w:val="nil"/>
            </w:tcBorders>
            <w:noWrap/>
            <w:vAlign w:val="bottom"/>
            <w:hideMark/>
          </w:tcPr>
          <w:p w14:paraId="5F084158"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0.46x</w:t>
            </w:r>
          </w:p>
        </w:tc>
        <w:tc>
          <w:tcPr>
            <w:tcW w:w="960" w:type="dxa"/>
            <w:tcBorders>
              <w:top w:val="nil"/>
              <w:left w:val="nil"/>
              <w:bottom w:val="single" w:sz="4" w:space="0" w:color="747474"/>
              <w:right w:val="nil"/>
            </w:tcBorders>
            <w:noWrap/>
            <w:vAlign w:val="bottom"/>
            <w:hideMark/>
          </w:tcPr>
          <w:p w14:paraId="5ABFBB1D"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0.47x</w:t>
            </w:r>
          </w:p>
        </w:tc>
        <w:tc>
          <w:tcPr>
            <w:tcW w:w="960" w:type="dxa"/>
            <w:tcBorders>
              <w:top w:val="nil"/>
              <w:left w:val="nil"/>
              <w:bottom w:val="single" w:sz="4" w:space="0" w:color="747474"/>
              <w:right w:val="nil"/>
            </w:tcBorders>
            <w:noWrap/>
            <w:vAlign w:val="bottom"/>
            <w:hideMark/>
          </w:tcPr>
          <w:p w14:paraId="087A21D4"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0.50x</w:t>
            </w:r>
          </w:p>
        </w:tc>
        <w:tc>
          <w:tcPr>
            <w:tcW w:w="960" w:type="dxa"/>
            <w:tcBorders>
              <w:top w:val="nil"/>
              <w:left w:val="nil"/>
              <w:bottom w:val="single" w:sz="4" w:space="0" w:color="747474"/>
              <w:right w:val="nil"/>
            </w:tcBorders>
            <w:noWrap/>
            <w:vAlign w:val="bottom"/>
            <w:hideMark/>
          </w:tcPr>
          <w:p w14:paraId="507070C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0.53x</w:t>
            </w:r>
          </w:p>
        </w:tc>
      </w:tr>
      <w:tr w:rsidR="0016734F" w:rsidRPr="00870822" w14:paraId="3E1BF277" w14:textId="77777777" w:rsidTr="0016734F">
        <w:trPr>
          <w:trHeight w:val="290"/>
          <w:jc w:val="center"/>
        </w:trPr>
        <w:tc>
          <w:tcPr>
            <w:tcW w:w="3400" w:type="dxa"/>
            <w:tcBorders>
              <w:top w:val="nil"/>
              <w:left w:val="nil"/>
              <w:bottom w:val="nil"/>
              <w:right w:val="nil"/>
            </w:tcBorders>
            <w:noWrap/>
            <w:vAlign w:val="bottom"/>
            <w:hideMark/>
          </w:tcPr>
          <w:p w14:paraId="008CC3B2"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p>
        </w:tc>
        <w:tc>
          <w:tcPr>
            <w:tcW w:w="960" w:type="dxa"/>
            <w:tcBorders>
              <w:top w:val="nil"/>
              <w:left w:val="nil"/>
              <w:bottom w:val="nil"/>
              <w:right w:val="nil"/>
            </w:tcBorders>
            <w:noWrap/>
            <w:vAlign w:val="bottom"/>
            <w:hideMark/>
          </w:tcPr>
          <w:p w14:paraId="333C3A4A"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2894EC52"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743AD70C"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1058D3F9"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3AC8A2D7"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50B00A83" w14:textId="77777777" w:rsidTr="0016734F">
        <w:trPr>
          <w:trHeight w:val="290"/>
          <w:jc w:val="center"/>
        </w:trPr>
        <w:tc>
          <w:tcPr>
            <w:tcW w:w="3400" w:type="dxa"/>
            <w:tcBorders>
              <w:top w:val="nil"/>
              <w:left w:val="nil"/>
              <w:bottom w:val="nil"/>
              <w:right w:val="nil"/>
            </w:tcBorders>
            <w:noWrap/>
            <w:vAlign w:val="bottom"/>
            <w:hideMark/>
          </w:tcPr>
          <w:p w14:paraId="51318955"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Investment Ratios</w:t>
            </w:r>
          </w:p>
        </w:tc>
        <w:tc>
          <w:tcPr>
            <w:tcW w:w="960" w:type="dxa"/>
            <w:tcBorders>
              <w:top w:val="nil"/>
              <w:left w:val="nil"/>
              <w:bottom w:val="nil"/>
              <w:right w:val="nil"/>
            </w:tcBorders>
            <w:noWrap/>
            <w:vAlign w:val="bottom"/>
            <w:hideMark/>
          </w:tcPr>
          <w:p w14:paraId="746E745E"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p>
        </w:tc>
        <w:tc>
          <w:tcPr>
            <w:tcW w:w="960" w:type="dxa"/>
            <w:tcBorders>
              <w:top w:val="nil"/>
              <w:left w:val="nil"/>
              <w:bottom w:val="nil"/>
              <w:right w:val="nil"/>
            </w:tcBorders>
            <w:noWrap/>
            <w:vAlign w:val="bottom"/>
            <w:hideMark/>
          </w:tcPr>
          <w:p w14:paraId="4C7328F8"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78F77E71"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49BAB8C6"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1B4F6A5C"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0386C35C" w14:textId="77777777" w:rsidTr="0016734F">
        <w:trPr>
          <w:trHeight w:val="290"/>
          <w:jc w:val="center"/>
        </w:trPr>
        <w:tc>
          <w:tcPr>
            <w:tcW w:w="3400" w:type="dxa"/>
            <w:tcBorders>
              <w:top w:val="nil"/>
              <w:left w:val="nil"/>
              <w:bottom w:val="nil"/>
              <w:right w:val="nil"/>
            </w:tcBorders>
            <w:noWrap/>
            <w:vAlign w:val="bottom"/>
            <w:hideMark/>
          </w:tcPr>
          <w:p w14:paraId="0C901B2F"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Earnings per Share (EPS)</w:t>
            </w:r>
          </w:p>
        </w:tc>
        <w:tc>
          <w:tcPr>
            <w:tcW w:w="960" w:type="dxa"/>
            <w:tcBorders>
              <w:top w:val="single" w:sz="4" w:space="0" w:color="747474"/>
              <w:left w:val="nil"/>
              <w:bottom w:val="single" w:sz="4" w:space="0" w:color="747474"/>
              <w:right w:val="nil"/>
            </w:tcBorders>
            <w:noWrap/>
            <w:vAlign w:val="bottom"/>
            <w:hideMark/>
          </w:tcPr>
          <w:p w14:paraId="0F6F9A84"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2.78</w:t>
            </w:r>
          </w:p>
        </w:tc>
        <w:tc>
          <w:tcPr>
            <w:tcW w:w="960" w:type="dxa"/>
            <w:tcBorders>
              <w:top w:val="single" w:sz="4" w:space="0" w:color="747474"/>
              <w:left w:val="nil"/>
              <w:bottom w:val="single" w:sz="4" w:space="0" w:color="747474"/>
              <w:right w:val="nil"/>
            </w:tcBorders>
            <w:noWrap/>
            <w:vAlign w:val="bottom"/>
            <w:hideMark/>
          </w:tcPr>
          <w:p w14:paraId="4787758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0.39</w:t>
            </w:r>
          </w:p>
        </w:tc>
        <w:tc>
          <w:tcPr>
            <w:tcW w:w="960" w:type="dxa"/>
            <w:tcBorders>
              <w:top w:val="single" w:sz="4" w:space="0" w:color="747474"/>
              <w:left w:val="nil"/>
              <w:bottom w:val="single" w:sz="4" w:space="0" w:color="747474"/>
              <w:right w:val="nil"/>
            </w:tcBorders>
            <w:noWrap/>
            <w:vAlign w:val="bottom"/>
            <w:hideMark/>
          </w:tcPr>
          <w:p w14:paraId="32B458A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0.03</w:t>
            </w:r>
          </w:p>
        </w:tc>
        <w:tc>
          <w:tcPr>
            <w:tcW w:w="960" w:type="dxa"/>
            <w:tcBorders>
              <w:top w:val="single" w:sz="4" w:space="0" w:color="747474"/>
              <w:left w:val="nil"/>
              <w:bottom w:val="single" w:sz="4" w:space="0" w:color="747474"/>
              <w:right w:val="nil"/>
            </w:tcBorders>
            <w:noWrap/>
            <w:vAlign w:val="bottom"/>
            <w:hideMark/>
          </w:tcPr>
          <w:p w14:paraId="4BBA5A6F"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-7.64</w:t>
            </w:r>
          </w:p>
        </w:tc>
        <w:tc>
          <w:tcPr>
            <w:tcW w:w="960" w:type="dxa"/>
            <w:tcBorders>
              <w:top w:val="single" w:sz="4" w:space="0" w:color="747474"/>
              <w:left w:val="nil"/>
              <w:bottom w:val="single" w:sz="4" w:space="0" w:color="747474"/>
              <w:right w:val="nil"/>
            </w:tcBorders>
            <w:noWrap/>
            <w:vAlign w:val="bottom"/>
            <w:hideMark/>
          </w:tcPr>
          <w:p w14:paraId="472C24A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-1.85</w:t>
            </w:r>
          </w:p>
        </w:tc>
      </w:tr>
      <w:tr w:rsidR="0016734F" w:rsidRPr="00870822" w14:paraId="07BDB4D1" w14:textId="77777777" w:rsidTr="0016734F">
        <w:trPr>
          <w:trHeight w:val="290"/>
          <w:jc w:val="center"/>
        </w:trPr>
        <w:tc>
          <w:tcPr>
            <w:tcW w:w="3400" w:type="dxa"/>
            <w:tcBorders>
              <w:top w:val="nil"/>
              <w:left w:val="nil"/>
              <w:bottom w:val="nil"/>
              <w:right w:val="nil"/>
            </w:tcBorders>
            <w:noWrap/>
            <w:vAlign w:val="bottom"/>
            <w:hideMark/>
          </w:tcPr>
          <w:p w14:paraId="640145BC"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Book Value per Share</w:t>
            </w:r>
          </w:p>
        </w:tc>
        <w:tc>
          <w:tcPr>
            <w:tcW w:w="960" w:type="dxa"/>
            <w:tcBorders>
              <w:top w:val="nil"/>
              <w:left w:val="nil"/>
              <w:bottom w:val="single" w:sz="4" w:space="0" w:color="747474"/>
              <w:right w:val="nil"/>
            </w:tcBorders>
            <w:noWrap/>
            <w:vAlign w:val="bottom"/>
            <w:hideMark/>
          </w:tcPr>
          <w:p w14:paraId="1FDD28AC"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22.55</w:t>
            </w:r>
          </w:p>
        </w:tc>
        <w:tc>
          <w:tcPr>
            <w:tcW w:w="960" w:type="dxa"/>
            <w:tcBorders>
              <w:top w:val="nil"/>
              <w:left w:val="nil"/>
              <w:bottom w:val="single" w:sz="4" w:space="0" w:color="747474"/>
              <w:right w:val="nil"/>
            </w:tcBorders>
            <w:noWrap/>
            <w:vAlign w:val="bottom"/>
            <w:hideMark/>
          </w:tcPr>
          <w:p w14:paraId="026E0D21"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20.49</w:t>
            </w:r>
          </w:p>
        </w:tc>
        <w:tc>
          <w:tcPr>
            <w:tcW w:w="960" w:type="dxa"/>
            <w:tcBorders>
              <w:top w:val="nil"/>
              <w:left w:val="nil"/>
              <w:bottom w:val="single" w:sz="4" w:space="0" w:color="747474"/>
              <w:right w:val="nil"/>
            </w:tcBorders>
            <w:noWrap/>
            <w:vAlign w:val="bottom"/>
            <w:hideMark/>
          </w:tcPr>
          <w:p w14:paraId="52FA58C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21.13</w:t>
            </w:r>
          </w:p>
        </w:tc>
        <w:tc>
          <w:tcPr>
            <w:tcW w:w="960" w:type="dxa"/>
            <w:tcBorders>
              <w:top w:val="nil"/>
              <w:left w:val="nil"/>
              <w:bottom w:val="single" w:sz="4" w:space="0" w:color="747474"/>
              <w:right w:val="nil"/>
            </w:tcBorders>
            <w:noWrap/>
            <w:vAlign w:val="bottom"/>
            <w:hideMark/>
          </w:tcPr>
          <w:p w14:paraId="692C56B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13.92</w:t>
            </w:r>
          </w:p>
        </w:tc>
        <w:tc>
          <w:tcPr>
            <w:tcW w:w="960" w:type="dxa"/>
            <w:tcBorders>
              <w:top w:val="nil"/>
              <w:left w:val="nil"/>
              <w:bottom w:val="single" w:sz="4" w:space="0" w:color="747474"/>
              <w:right w:val="nil"/>
            </w:tcBorders>
            <w:noWrap/>
            <w:vAlign w:val="bottom"/>
            <w:hideMark/>
          </w:tcPr>
          <w:p w14:paraId="65083A9E"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11.81</w:t>
            </w:r>
          </w:p>
        </w:tc>
      </w:tr>
      <w:tr w:rsidR="0016734F" w:rsidRPr="00870822" w14:paraId="48D02630" w14:textId="77777777" w:rsidTr="0016734F">
        <w:trPr>
          <w:trHeight w:val="290"/>
          <w:jc w:val="center"/>
        </w:trPr>
        <w:tc>
          <w:tcPr>
            <w:tcW w:w="3400" w:type="dxa"/>
            <w:tcBorders>
              <w:top w:val="nil"/>
              <w:left w:val="nil"/>
              <w:bottom w:val="nil"/>
              <w:right w:val="nil"/>
            </w:tcBorders>
            <w:noWrap/>
            <w:vAlign w:val="bottom"/>
            <w:hideMark/>
          </w:tcPr>
          <w:p w14:paraId="13CE5B3E"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Dividend per Share (est.)</w:t>
            </w:r>
          </w:p>
        </w:tc>
        <w:tc>
          <w:tcPr>
            <w:tcW w:w="960" w:type="dxa"/>
            <w:tcBorders>
              <w:top w:val="nil"/>
              <w:left w:val="nil"/>
              <w:bottom w:val="single" w:sz="4" w:space="0" w:color="747474"/>
              <w:right w:val="nil"/>
            </w:tcBorders>
            <w:noWrap/>
            <w:vAlign w:val="bottom"/>
            <w:hideMark/>
          </w:tcPr>
          <w:p w14:paraId="6E8F1E88"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w:t>
            </w:r>
          </w:p>
        </w:tc>
        <w:tc>
          <w:tcPr>
            <w:tcW w:w="960" w:type="dxa"/>
            <w:tcBorders>
              <w:top w:val="nil"/>
              <w:left w:val="nil"/>
              <w:bottom w:val="single" w:sz="4" w:space="0" w:color="747474"/>
              <w:right w:val="nil"/>
            </w:tcBorders>
            <w:noWrap/>
            <w:vAlign w:val="bottom"/>
            <w:hideMark/>
          </w:tcPr>
          <w:p w14:paraId="03932C6A"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w:t>
            </w:r>
          </w:p>
        </w:tc>
        <w:tc>
          <w:tcPr>
            <w:tcW w:w="960" w:type="dxa"/>
            <w:tcBorders>
              <w:top w:val="nil"/>
              <w:left w:val="nil"/>
              <w:bottom w:val="single" w:sz="4" w:space="0" w:color="747474"/>
              <w:right w:val="nil"/>
            </w:tcBorders>
            <w:noWrap/>
            <w:vAlign w:val="bottom"/>
            <w:hideMark/>
          </w:tcPr>
          <w:p w14:paraId="401B8C4A"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w:t>
            </w:r>
          </w:p>
        </w:tc>
        <w:tc>
          <w:tcPr>
            <w:tcW w:w="960" w:type="dxa"/>
            <w:tcBorders>
              <w:top w:val="nil"/>
              <w:left w:val="nil"/>
              <w:bottom w:val="single" w:sz="4" w:space="0" w:color="747474"/>
              <w:right w:val="nil"/>
            </w:tcBorders>
            <w:noWrap/>
            <w:vAlign w:val="bottom"/>
            <w:hideMark/>
          </w:tcPr>
          <w:p w14:paraId="7BE1CC0B"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w:t>
            </w:r>
          </w:p>
        </w:tc>
        <w:tc>
          <w:tcPr>
            <w:tcW w:w="960" w:type="dxa"/>
            <w:tcBorders>
              <w:top w:val="nil"/>
              <w:left w:val="nil"/>
              <w:bottom w:val="single" w:sz="4" w:space="0" w:color="747474"/>
              <w:right w:val="nil"/>
            </w:tcBorders>
            <w:noWrap/>
            <w:vAlign w:val="bottom"/>
            <w:hideMark/>
          </w:tcPr>
          <w:p w14:paraId="205DC80C"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w:t>
            </w:r>
          </w:p>
        </w:tc>
      </w:tr>
      <w:tr w:rsidR="0016734F" w:rsidRPr="00870822" w14:paraId="30234ACE" w14:textId="77777777" w:rsidTr="0016734F">
        <w:trPr>
          <w:trHeight w:val="290"/>
          <w:jc w:val="center"/>
        </w:trPr>
        <w:tc>
          <w:tcPr>
            <w:tcW w:w="3400" w:type="dxa"/>
            <w:tcBorders>
              <w:top w:val="nil"/>
              <w:left w:val="nil"/>
              <w:bottom w:val="nil"/>
              <w:right w:val="nil"/>
            </w:tcBorders>
            <w:noWrap/>
            <w:vAlign w:val="bottom"/>
            <w:hideMark/>
          </w:tcPr>
          <w:p w14:paraId="7455D142"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p>
        </w:tc>
        <w:tc>
          <w:tcPr>
            <w:tcW w:w="960" w:type="dxa"/>
            <w:tcBorders>
              <w:top w:val="nil"/>
              <w:left w:val="nil"/>
              <w:bottom w:val="nil"/>
              <w:right w:val="nil"/>
            </w:tcBorders>
            <w:noWrap/>
            <w:vAlign w:val="bottom"/>
            <w:hideMark/>
          </w:tcPr>
          <w:p w14:paraId="1B49B84E"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76304E64"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363C4C2A"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4242A839"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123C58B1"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4869C04E" w14:textId="77777777" w:rsidTr="0016734F">
        <w:trPr>
          <w:trHeight w:val="290"/>
          <w:jc w:val="center"/>
        </w:trPr>
        <w:tc>
          <w:tcPr>
            <w:tcW w:w="3400" w:type="dxa"/>
            <w:tcBorders>
              <w:top w:val="nil"/>
              <w:left w:val="nil"/>
              <w:bottom w:val="nil"/>
              <w:right w:val="nil"/>
            </w:tcBorders>
            <w:noWrap/>
            <w:vAlign w:val="bottom"/>
            <w:hideMark/>
          </w:tcPr>
          <w:p w14:paraId="54F985C5"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Cash Flow Analysis</w:t>
            </w:r>
          </w:p>
        </w:tc>
        <w:tc>
          <w:tcPr>
            <w:tcW w:w="960" w:type="dxa"/>
            <w:tcBorders>
              <w:top w:val="nil"/>
              <w:left w:val="nil"/>
              <w:bottom w:val="nil"/>
              <w:right w:val="nil"/>
            </w:tcBorders>
            <w:noWrap/>
            <w:vAlign w:val="bottom"/>
            <w:hideMark/>
          </w:tcPr>
          <w:p w14:paraId="038DB49B" w14:textId="77777777" w:rsidR="0016734F" w:rsidRPr="00870822" w:rsidRDefault="0016734F" w:rsidP="0016734F">
            <w:pPr>
              <w:spacing w:after="0" w:line="240" w:lineRule="auto"/>
              <w:jc w:val="left"/>
              <w:rPr>
                <w:rFonts w:ascii="Arial" w:eastAsia="Times New Roman" w:hAnsi="Arial" w:cs="Arial"/>
                <w:b/>
                <w:bCs/>
                <w:color w:val="0D0D0D" w:themeColor="text1" w:themeTint="F2"/>
                <w:sz w:val="22"/>
                <w:lang w:val="en-US" w:eastAsia="en-US"/>
              </w:rPr>
            </w:pPr>
          </w:p>
        </w:tc>
        <w:tc>
          <w:tcPr>
            <w:tcW w:w="960" w:type="dxa"/>
            <w:tcBorders>
              <w:top w:val="nil"/>
              <w:left w:val="nil"/>
              <w:bottom w:val="nil"/>
              <w:right w:val="nil"/>
            </w:tcBorders>
            <w:noWrap/>
            <w:vAlign w:val="bottom"/>
            <w:hideMark/>
          </w:tcPr>
          <w:p w14:paraId="6E565035"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00500069"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182C7910"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7D2D2823" w14:textId="77777777" w:rsidR="0016734F" w:rsidRPr="00870822" w:rsidRDefault="0016734F" w:rsidP="0016734F">
            <w:pPr>
              <w:spacing w:after="0" w:line="240" w:lineRule="auto"/>
              <w:jc w:val="left"/>
              <w:rPr>
                <w:rFonts w:ascii="Arial" w:eastAsia="Times New Roman" w:hAnsi="Arial" w:cs="Arial"/>
                <w:color w:val="0D0D0D" w:themeColor="text1" w:themeTint="F2"/>
                <w:sz w:val="20"/>
                <w:szCs w:val="20"/>
                <w:lang w:val="en-US" w:eastAsia="en-US"/>
              </w:rPr>
            </w:pPr>
          </w:p>
        </w:tc>
      </w:tr>
      <w:tr w:rsidR="0016734F" w:rsidRPr="00870822" w14:paraId="661DD742" w14:textId="77777777" w:rsidTr="0016734F">
        <w:trPr>
          <w:trHeight w:val="290"/>
          <w:jc w:val="center"/>
        </w:trPr>
        <w:tc>
          <w:tcPr>
            <w:tcW w:w="3400" w:type="dxa"/>
            <w:tcBorders>
              <w:top w:val="nil"/>
              <w:left w:val="nil"/>
              <w:bottom w:val="nil"/>
              <w:right w:val="nil"/>
            </w:tcBorders>
            <w:noWrap/>
            <w:vAlign w:val="bottom"/>
            <w:hideMark/>
          </w:tcPr>
          <w:p w14:paraId="1C034A7A"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Net Cash from Operating Activities</w:t>
            </w:r>
          </w:p>
        </w:tc>
        <w:tc>
          <w:tcPr>
            <w:tcW w:w="960" w:type="dxa"/>
            <w:tcBorders>
              <w:top w:val="single" w:sz="4" w:space="0" w:color="747474"/>
              <w:left w:val="nil"/>
              <w:bottom w:val="single" w:sz="4" w:space="0" w:color="747474"/>
              <w:right w:val="nil"/>
            </w:tcBorders>
            <w:noWrap/>
            <w:vAlign w:val="bottom"/>
            <w:hideMark/>
          </w:tcPr>
          <w:p w14:paraId="454CF181"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73392</w:t>
            </w:r>
          </w:p>
        </w:tc>
        <w:tc>
          <w:tcPr>
            <w:tcW w:w="960" w:type="dxa"/>
            <w:tcBorders>
              <w:top w:val="single" w:sz="4" w:space="0" w:color="747474"/>
              <w:left w:val="nil"/>
              <w:bottom w:val="single" w:sz="4" w:space="0" w:color="747474"/>
              <w:right w:val="nil"/>
            </w:tcBorders>
            <w:noWrap/>
            <w:vAlign w:val="bottom"/>
            <w:hideMark/>
          </w:tcPr>
          <w:p w14:paraId="33D9AAC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40283</w:t>
            </w:r>
          </w:p>
        </w:tc>
        <w:tc>
          <w:tcPr>
            <w:tcW w:w="960" w:type="dxa"/>
            <w:tcBorders>
              <w:top w:val="single" w:sz="4" w:space="0" w:color="747474"/>
              <w:left w:val="nil"/>
              <w:bottom w:val="single" w:sz="4" w:space="0" w:color="747474"/>
              <w:right w:val="nil"/>
            </w:tcBorders>
            <w:noWrap/>
            <w:vAlign w:val="bottom"/>
            <w:hideMark/>
          </w:tcPr>
          <w:p w14:paraId="4079174A"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10926</w:t>
            </w:r>
          </w:p>
        </w:tc>
        <w:tc>
          <w:tcPr>
            <w:tcW w:w="960" w:type="dxa"/>
            <w:tcBorders>
              <w:top w:val="single" w:sz="4" w:space="0" w:color="747474"/>
              <w:left w:val="nil"/>
              <w:bottom w:val="single" w:sz="4" w:space="0" w:color="747474"/>
              <w:right w:val="nil"/>
            </w:tcBorders>
            <w:noWrap/>
            <w:vAlign w:val="bottom"/>
            <w:hideMark/>
          </w:tcPr>
          <w:p w14:paraId="007F55E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25190</w:t>
            </w:r>
          </w:p>
        </w:tc>
        <w:tc>
          <w:tcPr>
            <w:tcW w:w="960" w:type="dxa"/>
            <w:tcBorders>
              <w:top w:val="single" w:sz="4" w:space="0" w:color="747474"/>
              <w:left w:val="nil"/>
              <w:bottom w:val="single" w:sz="4" w:space="0" w:color="747474"/>
              <w:right w:val="nil"/>
            </w:tcBorders>
            <w:noWrap/>
            <w:vAlign w:val="bottom"/>
            <w:hideMark/>
          </w:tcPr>
          <w:p w14:paraId="300FB84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14822</w:t>
            </w:r>
          </w:p>
        </w:tc>
      </w:tr>
      <w:tr w:rsidR="0016734F" w:rsidRPr="00870822" w14:paraId="76BE2D1F" w14:textId="77777777" w:rsidTr="0016734F">
        <w:trPr>
          <w:trHeight w:val="290"/>
          <w:jc w:val="center"/>
        </w:trPr>
        <w:tc>
          <w:tcPr>
            <w:tcW w:w="3400" w:type="dxa"/>
            <w:tcBorders>
              <w:top w:val="nil"/>
              <w:left w:val="nil"/>
              <w:bottom w:val="nil"/>
              <w:right w:val="nil"/>
            </w:tcBorders>
            <w:noWrap/>
            <w:vAlign w:val="bottom"/>
            <w:hideMark/>
          </w:tcPr>
          <w:p w14:paraId="21D7E54B"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Net Cash from Investing Activities</w:t>
            </w:r>
          </w:p>
        </w:tc>
        <w:tc>
          <w:tcPr>
            <w:tcW w:w="960" w:type="dxa"/>
            <w:tcBorders>
              <w:top w:val="nil"/>
              <w:left w:val="nil"/>
              <w:bottom w:val="single" w:sz="4" w:space="0" w:color="747474"/>
              <w:right w:val="nil"/>
            </w:tcBorders>
            <w:noWrap/>
            <w:vAlign w:val="bottom"/>
            <w:hideMark/>
          </w:tcPr>
          <w:p w14:paraId="7284360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-23734</w:t>
            </w:r>
          </w:p>
        </w:tc>
        <w:tc>
          <w:tcPr>
            <w:tcW w:w="960" w:type="dxa"/>
            <w:tcBorders>
              <w:top w:val="nil"/>
              <w:left w:val="nil"/>
              <w:bottom w:val="single" w:sz="4" w:space="0" w:color="747474"/>
              <w:right w:val="nil"/>
            </w:tcBorders>
            <w:noWrap/>
            <w:vAlign w:val="bottom"/>
            <w:hideMark/>
          </w:tcPr>
          <w:p w14:paraId="551984D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-17041</w:t>
            </w:r>
          </w:p>
        </w:tc>
        <w:tc>
          <w:tcPr>
            <w:tcW w:w="960" w:type="dxa"/>
            <w:tcBorders>
              <w:top w:val="nil"/>
              <w:left w:val="nil"/>
              <w:bottom w:val="single" w:sz="4" w:space="0" w:color="747474"/>
              <w:right w:val="nil"/>
            </w:tcBorders>
            <w:noWrap/>
            <w:vAlign w:val="bottom"/>
            <w:hideMark/>
          </w:tcPr>
          <w:p w14:paraId="4F09B492"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-21208</w:t>
            </w:r>
          </w:p>
        </w:tc>
        <w:tc>
          <w:tcPr>
            <w:tcW w:w="960" w:type="dxa"/>
            <w:tcBorders>
              <w:top w:val="nil"/>
              <w:left w:val="nil"/>
              <w:bottom w:val="single" w:sz="4" w:space="0" w:color="747474"/>
              <w:right w:val="nil"/>
            </w:tcBorders>
            <w:noWrap/>
            <w:vAlign w:val="bottom"/>
            <w:hideMark/>
          </w:tcPr>
          <w:p w14:paraId="42613309"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-13877</w:t>
            </w:r>
          </w:p>
        </w:tc>
        <w:tc>
          <w:tcPr>
            <w:tcW w:w="960" w:type="dxa"/>
            <w:tcBorders>
              <w:top w:val="nil"/>
              <w:left w:val="nil"/>
              <w:bottom w:val="single" w:sz="4" w:space="0" w:color="747474"/>
              <w:right w:val="nil"/>
            </w:tcBorders>
            <w:noWrap/>
            <w:vAlign w:val="bottom"/>
            <w:hideMark/>
          </w:tcPr>
          <w:p w14:paraId="25EFACA0"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-8428</w:t>
            </w:r>
          </w:p>
        </w:tc>
      </w:tr>
      <w:tr w:rsidR="0016734F" w:rsidRPr="00870822" w14:paraId="5447F6B3" w14:textId="77777777" w:rsidTr="0016734F">
        <w:trPr>
          <w:trHeight w:val="290"/>
          <w:jc w:val="center"/>
        </w:trPr>
        <w:tc>
          <w:tcPr>
            <w:tcW w:w="3400" w:type="dxa"/>
            <w:tcBorders>
              <w:top w:val="nil"/>
              <w:left w:val="nil"/>
              <w:bottom w:val="nil"/>
              <w:right w:val="nil"/>
            </w:tcBorders>
            <w:noWrap/>
            <w:vAlign w:val="bottom"/>
            <w:hideMark/>
          </w:tcPr>
          <w:p w14:paraId="78D5E489"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Net Cash from Financing Activities</w:t>
            </w:r>
          </w:p>
        </w:tc>
        <w:tc>
          <w:tcPr>
            <w:tcW w:w="960" w:type="dxa"/>
            <w:tcBorders>
              <w:top w:val="nil"/>
              <w:left w:val="nil"/>
              <w:bottom w:val="single" w:sz="4" w:space="0" w:color="747474"/>
              <w:right w:val="nil"/>
            </w:tcBorders>
            <w:noWrap/>
            <w:vAlign w:val="bottom"/>
            <w:hideMark/>
          </w:tcPr>
          <w:p w14:paraId="40AD59B9"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65964</w:t>
            </w:r>
          </w:p>
        </w:tc>
        <w:tc>
          <w:tcPr>
            <w:tcW w:w="960" w:type="dxa"/>
            <w:tcBorders>
              <w:top w:val="nil"/>
              <w:left w:val="nil"/>
              <w:bottom w:val="single" w:sz="4" w:space="0" w:color="747474"/>
              <w:right w:val="nil"/>
            </w:tcBorders>
            <w:noWrap/>
            <w:vAlign w:val="bottom"/>
            <w:hideMark/>
          </w:tcPr>
          <w:p w14:paraId="5557F515"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-22026</w:t>
            </w:r>
          </w:p>
        </w:tc>
        <w:tc>
          <w:tcPr>
            <w:tcW w:w="960" w:type="dxa"/>
            <w:tcBorders>
              <w:top w:val="nil"/>
              <w:left w:val="nil"/>
              <w:bottom w:val="single" w:sz="4" w:space="0" w:color="747474"/>
              <w:right w:val="nil"/>
            </w:tcBorders>
            <w:noWrap/>
            <w:vAlign w:val="bottom"/>
            <w:hideMark/>
          </w:tcPr>
          <w:p w14:paraId="2A620F88"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20501</w:t>
            </w:r>
          </w:p>
        </w:tc>
        <w:tc>
          <w:tcPr>
            <w:tcW w:w="960" w:type="dxa"/>
            <w:tcBorders>
              <w:top w:val="nil"/>
              <w:left w:val="nil"/>
              <w:bottom w:val="single" w:sz="4" w:space="0" w:color="747474"/>
              <w:right w:val="nil"/>
            </w:tcBorders>
            <w:noWrap/>
            <w:vAlign w:val="bottom"/>
            <w:hideMark/>
          </w:tcPr>
          <w:p w14:paraId="0EFA934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-34779</w:t>
            </w:r>
          </w:p>
        </w:tc>
        <w:tc>
          <w:tcPr>
            <w:tcW w:w="960" w:type="dxa"/>
            <w:tcBorders>
              <w:top w:val="nil"/>
              <w:left w:val="nil"/>
              <w:bottom w:val="single" w:sz="4" w:space="0" w:color="747474"/>
              <w:right w:val="nil"/>
            </w:tcBorders>
            <w:noWrap/>
            <w:vAlign w:val="bottom"/>
            <w:hideMark/>
          </w:tcPr>
          <w:p w14:paraId="3DF0A71E"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-19764</w:t>
            </w:r>
          </w:p>
        </w:tc>
      </w:tr>
      <w:tr w:rsidR="0016734F" w:rsidRPr="00870822" w14:paraId="0A21900E" w14:textId="77777777" w:rsidTr="0016734F">
        <w:trPr>
          <w:trHeight w:val="290"/>
          <w:jc w:val="center"/>
        </w:trPr>
        <w:tc>
          <w:tcPr>
            <w:tcW w:w="3400" w:type="dxa"/>
            <w:tcBorders>
              <w:top w:val="nil"/>
              <w:left w:val="nil"/>
              <w:bottom w:val="nil"/>
              <w:right w:val="nil"/>
            </w:tcBorders>
            <w:noWrap/>
            <w:vAlign w:val="bottom"/>
            <w:hideMark/>
          </w:tcPr>
          <w:p w14:paraId="67D011D5" w14:textId="77777777" w:rsidR="0016734F" w:rsidRPr="00870822" w:rsidRDefault="0016734F" w:rsidP="0016734F">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Net Change in Cash</w:t>
            </w:r>
          </w:p>
        </w:tc>
        <w:tc>
          <w:tcPr>
            <w:tcW w:w="960" w:type="dxa"/>
            <w:tcBorders>
              <w:top w:val="nil"/>
              <w:left w:val="nil"/>
              <w:bottom w:val="single" w:sz="4" w:space="0" w:color="747474"/>
              <w:right w:val="nil"/>
            </w:tcBorders>
            <w:noWrap/>
            <w:vAlign w:val="bottom"/>
            <w:hideMark/>
          </w:tcPr>
          <w:p w14:paraId="34490C4B"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-17149</w:t>
            </w:r>
          </w:p>
        </w:tc>
        <w:tc>
          <w:tcPr>
            <w:tcW w:w="960" w:type="dxa"/>
            <w:tcBorders>
              <w:top w:val="nil"/>
              <w:left w:val="nil"/>
              <w:bottom w:val="single" w:sz="4" w:space="0" w:color="747474"/>
              <w:right w:val="nil"/>
            </w:tcBorders>
            <w:noWrap/>
            <w:vAlign w:val="bottom"/>
            <w:hideMark/>
          </w:tcPr>
          <w:p w14:paraId="71697302"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3660</w:t>
            </w:r>
          </w:p>
        </w:tc>
        <w:tc>
          <w:tcPr>
            <w:tcW w:w="960" w:type="dxa"/>
            <w:tcBorders>
              <w:top w:val="nil"/>
              <w:left w:val="nil"/>
              <w:bottom w:val="single" w:sz="4" w:space="0" w:color="747474"/>
              <w:right w:val="nil"/>
            </w:tcBorders>
            <w:noWrap/>
            <w:vAlign w:val="bottom"/>
            <w:hideMark/>
          </w:tcPr>
          <w:p w14:paraId="756E04CA"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5927</w:t>
            </w:r>
          </w:p>
        </w:tc>
        <w:tc>
          <w:tcPr>
            <w:tcW w:w="960" w:type="dxa"/>
            <w:tcBorders>
              <w:top w:val="nil"/>
              <w:left w:val="nil"/>
              <w:bottom w:val="single" w:sz="4" w:space="0" w:color="747474"/>
              <w:right w:val="nil"/>
            </w:tcBorders>
            <w:noWrap/>
            <w:vAlign w:val="bottom"/>
            <w:hideMark/>
          </w:tcPr>
          <w:p w14:paraId="18BABD5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-23989</w:t>
            </w:r>
          </w:p>
        </w:tc>
        <w:tc>
          <w:tcPr>
            <w:tcW w:w="960" w:type="dxa"/>
            <w:tcBorders>
              <w:top w:val="nil"/>
              <w:left w:val="nil"/>
              <w:bottom w:val="single" w:sz="4" w:space="0" w:color="747474"/>
              <w:right w:val="nil"/>
            </w:tcBorders>
            <w:noWrap/>
            <w:vAlign w:val="bottom"/>
            <w:hideMark/>
          </w:tcPr>
          <w:p w14:paraId="4EFE3AC6" w14:textId="77777777" w:rsidR="0016734F" w:rsidRPr="00870822" w:rsidRDefault="0016734F" w:rsidP="0016734F">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-15968</w:t>
            </w:r>
          </w:p>
        </w:tc>
      </w:tr>
    </w:tbl>
    <w:p w14:paraId="49716C54" w14:textId="77777777" w:rsidR="0016734F" w:rsidRPr="00870822" w:rsidRDefault="0016734F" w:rsidP="000E7634">
      <w:pPr>
        <w:rPr>
          <w:rFonts w:ascii="Arial" w:hAnsi="Arial" w:cs="Arial"/>
          <w:color w:val="0D0D0D" w:themeColor="text1" w:themeTint="F2"/>
          <w:lang w:val="en-US"/>
        </w:rPr>
      </w:pPr>
    </w:p>
    <w:tbl>
      <w:tblPr>
        <w:tblW w:w="6360" w:type="dxa"/>
        <w:jc w:val="center"/>
        <w:tblLook w:val="04A0" w:firstRow="1" w:lastRow="0" w:firstColumn="1" w:lastColumn="0" w:noHBand="0" w:noVBand="1"/>
      </w:tblPr>
      <w:tblGrid>
        <w:gridCol w:w="3625"/>
        <w:gridCol w:w="251"/>
        <w:gridCol w:w="314"/>
        <w:gridCol w:w="3100"/>
      </w:tblGrid>
      <w:tr w:rsidR="00573617" w:rsidRPr="00870822" w14:paraId="09432072" w14:textId="77777777" w:rsidTr="00573617">
        <w:trPr>
          <w:trHeight w:val="290"/>
          <w:jc w:val="center"/>
        </w:trPr>
        <w:tc>
          <w:tcPr>
            <w:tcW w:w="6360" w:type="dxa"/>
            <w:gridSpan w:val="4"/>
            <w:tcBorders>
              <w:top w:val="nil"/>
              <w:left w:val="nil"/>
              <w:bottom w:val="nil"/>
              <w:right w:val="nil"/>
            </w:tcBorders>
            <w:noWrap/>
            <w:vAlign w:val="bottom"/>
            <w:hideMark/>
          </w:tcPr>
          <w:p w14:paraId="70B27518"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lastRenderedPageBreak/>
              <w:t>2. Altman Z-Score: Corporate Failure Prediction</w:t>
            </w:r>
          </w:p>
        </w:tc>
      </w:tr>
      <w:tr w:rsidR="00573617" w:rsidRPr="00870822" w14:paraId="467B83DE" w14:textId="77777777" w:rsidTr="00573617">
        <w:trPr>
          <w:trHeight w:val="290"/>
          <w:jc w:val="center"/>
        </w:trPr>
        <w:tc>
          <w:tcPr>
            <w:tcW w:w="3204" w:type="dxa"/>
            <w:tcBorders>
              <w:top w:val="nil"/>
              <w:left w:val="nil"/>
              <w:bottom w:val="nil"/>
              <w:right w:val="nil"/>
            </w:tcBorders>
            <w:noWrap/>
            <w:vAlign w:val="bottom"/>
            <w:hideMark/>
          </w:tcPr>
          <w:p w14:paraId="6F40594D"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p>
        </w:tc>
        <w:tc>
          <w:tcPr>
            <w:tcW w:w="141" w:type="dxa"/>
            <w:tcBorders>
              <w:top w:val="nil"/>
              <w:left w:val="nil"/>
              <w:bottom w:val="nil"/>
              <w:right w:val="nil"/>
            </w:tcBorders>
            <w:noWrap/>
            <w:vAlign w:val="bottom"/>
            <w:hideMark/>
          </w:tcPr>
          <w:p w14:paraId="12AEDF67"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274" w:type="dxa"/>
            <w:tcBorders>
              <w:top w:val="nil"/>
              <w:left w:val="nil"/>
              <w:bottom w:val="nil"/>
              <w:right w:val="nil"/>
            </w:tcBorders>
            <w:noWrap/>
            <w:vAlign w:val="bottom"/>
            <w:hideMark/>
          </w:tcPr>
          <w:p w14:paraId="59BD32C8"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2741" w:type="dxa"/>
            <w:tcBorders>
              <w:top w:val="nil"/>
              <w:left w:val="nil"/>
              <w:bottom w:val="nil"/>
              <w:right w:val="nil"/>
            </w:tcBorders>
            <w:noWrap/>
            <w:vAlign w:val="bottom"/>
            <w:hideMark/>
          </w:tcPr>
          <w:p w14:paraId="4A51FD9E"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r>
      <w:tr w:rsidR="00573617" w:rsidRPr="00870822" w14:paraId="7BFFE62C" w14:textId="77777777" w:rsidTr="00573617">
        <w:trPr>
          <w:trHeight w:val="300"/>
          <w:jc w:val="center"/>
        </w:trPr>
        <w:tc>
          <w:tcPr>
            <w:tcW w:w="3345" w:type="dxa"/>
            <w:gridSpan w:val="2"/>
            <w:tcBorders>
              <w:top w:val="nil"/>
              <w:left w:val="nil"/>
              <w:bottom w:val="nil"/>
              <w:right w:val="nil"/>
            </w:tcBorders>
            <w:shd w:val="clear" w:color="000000" w:fill="83E28E"/>
            <w:noWrap/>
            <w:vAlign w:val="bottom"/>
            <w:hideMark/>
          </w:tcPr>
          <w:p w14:paraId="0B7EC3F4"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Particulars</w:t>
            </w:r>
          </w:p>
        </w:tc>
        <w:tc>
          <w:tcPr>
            <w:tcW w:w="274" w:type="dxa"/>
            <w:tcBorders>
              <w:top w:val="nil"/>
              <w:left w:val="nil"/>
              <w:bottom w:val="nil"/>
              <w:right w:val="nil"/>
            </w:tcBorders>
            <w:shd w:val="clear" w:color="000000" w:fill="83E28E"/>
            <w:noWrap/>
            <w:vAlign w:val="bottom"/>
            <w:hideMark/>
          </w:tcPr>
          <w:p w14:paraId="19301520"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 </w:t>
            </w:r>
          </w:p>
        </w:tc>
        <w:tc>
          <w:tcPr>
            <w:tcW w:w="2741" w:type="dxa"/>
            <w:tcBorders>
              <w:top w:val="nil"/>
              <w:left w:val="nil"/>
              <w:bottom w:val="nil"/>
              <w:right w:val="nil"/>
            </w:tcBorders>
            <w:shd w:val="clear" w:color="000000" w:fill="83E28E"/>
            <w:noWrap/>
            <w:vAlign w:val="bottom"/>
            <w:hideMark/>
          </w:tcPr>
          <w:p w14:paraId="64A729EA"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2024</w:t>
            </w:r>
          </w:p>
        </w:tc>
      </w:tr>
      <w:tr w:rsidR="00573617" w:rsidRPr="00870822" w14:paraId="6F3E2F43" w14:textId="77777777" w:rsidTr="00573617">
        <w:trPr>
          <w:trHeight w:val="290"/>
          <w:jc w:val="center"/>
        </w:trPr>
        <w:tc>
          <w:tcPr>
            <w:tcW w:w="3619" w:type="dxa"/>
            <w:gridSpan w:val="3"/>
            <w:tcBorders>
              <w:top w:val="nil"/>
              <w:left w:val="nil"/>
              <w:bottom w:val="nil"/>
              <w:right w:val="nil"/>
            </w:tcBorders>
            <w:noWrap/>
            <w:vAlign w:val="bottom"/>
            <w:hideMark/>
          </w:tcPr>
          <w:p w14:paraId="232E22F8"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WC = Working Capital</w:t>
            </w:r>
          </w:p>
        </w:tc>
        <w:tc>
          <w:tcPr>
            <w:tcW w:w="2741" w:type="dxa"/>
            <w:tcBorders>
              <w:top w:val="nil"/>
              <w:left w:val="nil"/>
              <w:bottom w:val="nil"/>
              <w:right w:val="nil"/>
            </w:tcBorders>
            <w:noWrap/>
            <w:vAlign w:val="bottom"/>
            <w:hideMark/>
          </w:tcPr>
          <w:p w14:paraId="3C0036AC"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84203</w:t>
            </w:r>
          </w:p>
        </w:tc>
      </w:tr>
      <w:tr w:rsidR="00573617" w:rsidRPr="00870822" w14:paraId="4E963256" w14:textId="77777777" w:rsidTr="00573617">
        <w:trPr>
          <w:trHeight w:val="290"/>
          <w:jc w:val="center"/>
        </w:trPr>
        <w:tc>
          <w:tcPr>
            <w:tcW w:w="3619" w:type="dxa"/>
            <w:gridSpan w:val="3"/>
            <w:tcBorders>
              <w:top w:val="nil"/>
              <w:left w:val="nil"/>
              <w:bottom w:val="nil"/>
              <w:right w:val="nil"/>
            </w:tcBorders>
            <w:noWrap/>
            <w:vAlign w:val="bottom"/>
            <w:hideMark/>
          </w:tcPr>
          <w:p w14:paraId="3FA801D2"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RE = Retained Earnings</w:t>
            </w:r>
          </w:p>
        </w:tc>
        <w:tc>
          <w:tcPr>
            <w:tcW w:w="2741" w:type="dxa"/>
            <w:tcBorders>
              <w:top w:val="nil"/>
              <w:left w:val="nil"/>
              <w:bottom w:val="nil"/>
              <w:right w:val="nil"/>
            </w:tcBorders>
            <w:noWrap/>
            <w:vAlign w:val="bottom"/>
            <w:hideMark/>
          </w:tcPr>
          <w:p w14:paraId="2B5A9F18"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208431</w:t>
            </w:r>
          </w:p>
        </w:tc>
      </w:tr>
      <w:tr w:rsidR="00573617" w:rsidRPr="00870822" w14:paraId="03FF86D4" w14:textId="77777777" w:rsidTr="00573617">
        <w:trPr>
          <w:trHeight w:val="290"/>
          <w:jc w:val="center"/>
        </w:trPr>
        <w:tc>
          <w:tcPr>
            <w:tcW w:w="3619" w:type="dxa"/>
            <w:gridSpan w:val="3"/>
            <w:tcBorders>
              <w:top w:val="nil"/>
              <w:left w:val="nil"/>
              <w:bottom w:val="nil"/>
              <w:right w:val="nil"/>
            </w:tcBorders>
            <w:noWrap/>
            <w:vAlign w:val="bottom"/>
            <w:hideMark/>
          </w:tcPr>
          <w:p w14:paraId="7315E62E"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EBIT = Operating Income</w:t>
            </w:r>
          </w:p>
        </w:tc>
        <w:tc>
          <w:tcPr>
            <w:tcW w:w="2741" w:type="dxa"/>
            <w:tcBorders>
              <w:top w:val="nil"/>
              <w:left w:val="nil"/>
              <w:bottom w:val="nil"/>
              <w:right w:val="nil"/>
            </w:tcBorders>
            <w:noWrap/>
            <w:vAlign w:val="bottom"/>
            <w:hideMark/>
          </w:tcPr>
          <w:p w14:paraId="2A2C63DB"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-15297</w:t>
            </w:r>
          </w:p>
        </w:tc>
      </w:tr>
      <w:tr w:rsidR="00573617" w:rsidRPr="00870822" w14:paraId="46EC360D" w14:textId="77777777" w:rsidTr="00573617">
        <w:trPr>
          <w:trHeight w:val="290"/>
          <w:jc w:val="center"/>
        </w:trPr>
        <w:tc>
          <w:tcPr>
            <w:tcW w:w="3345" w:type="dxa"/>
            <w:gridSpan w:val="2"/>
            <w:tcBorders>
              <w:top w:val="nil"/>
              <w:left w:val="nil"/>
              <w:bottom w:val="nil"/>
              <w:right w:val="nil"/>
            </w:tcBorders>
            <w:noWrap/>
            <w:vAlign w:val="bottom"/>
            <w:hideMark/>
          </w:tcPr>
          <w:p w14:paraId="7CE42451"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TA = Total Assets</w:t>
            </w:r>
          </w:p>
        </w:tc>
        <w:tc>
          <w:tcPr>
            <w:tcW w:w="274" w:type="dxa"/>
            <w:tcBorders>
              <w:top w:val="nil"/>
              <w:left w:val="nil"/>
              <w:bottom w:val="nil"/>
              <w:right w:val="nil"/>
            </w:tcBorders>
            <w:noWrap/>
            <w:vAlign w:val="bottom"/>
            <w:hideMark/>
          </w:tcPr>
          <w:p w14:paraId="57522532"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p>
        </w:tc>
        <w:tc>
          <w:tcPr>
            <w:tcW w:w="2741" w:type="dxa"/>
            <w:tcBorders>
              <w:top w:val="nil"/>
              <w:left w:val="nil"/>
              <w:bottom w:val="nil"/>
              <w:right w:val="nil"/>
            </w:tcBorders>
            <w:noWrap/>
            <w:vAlign w:val="bottom"/>
            <w:hideMark/>
          </w:tcPr>
          <w:p w14:paraId="0569CD0E"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323354</w:t>
            </w:r>
          </w:p>
        </w:tc>
      </w:tr>
      <w:tr w:rsidR="00573617" w:rsidRPr="00870822" w14:paraId="3A1E3D97" w14:textId="77777777" w:rsidTr="00573617">
        <w:trPr>
          <w:trHeight w:val="290"/>
          <w:jc w:val="center"/>
        </w:trPr>
        <w:tc>
          <w:tcPr>
            <w:tcW w:w="3619" w:type="dxa"/>
            <w:gridSpan w:val="3"/>
            <w:tcBorders>
              <w:top w:val="nil"/>
              <w:left w:val="nil"/>
              <w:bottom w:val="nil"/>
              <w:right w:val="nil"/>
            </w:tcBorders>
            <w:noWrap/>
            <w:vAlign w:val="bottom"/>
            <w:hideMark/>
          </w:tcPr>
          <w:p w14:paraId="6EE271C1"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BVE = Book Value of Equity</w:t>
            </w:r>
          </w:p>
        </w:tc>
        <w:tc>
          <w:tcPr>
            <w:tcW w:w="2741" w:type="dxa"/>
            <w:tcBorders>
              <w:top w:val="nil"/>
              <w:left w:val="nil"/>
              <w:bottom w:val="nil"/>
              <w:right w:val="nil"/>
            </w:tcBorders>
            <w:noWrap/>
            <w:vAlign w:val="bottom"/>
            <w:hideMark/>
          </w:tcPr>
          <w:p w14:paraId="0032DB93"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153105</w:t>
            </w:r>
          </w:p>
        </w:tc>
      </w:tr>
      <w:tr w:rsidR="00573617" w:rsidRPr="00870822" w14:paraId="7D2D98E1" w14:textId="77777777" w:rsidTr="00573617">
        <w:trPr>
          <w:trHeight w:val="290"/>
          <w:jc w:val="center"/>
        </w:trPr>
        <w:tc>
          <w:tcPr>
            <w:tcW w:w="3345" w:type="dxa"/>
            <w:gridSpan w:val="2"/>
            <w:tcBorders>
              <w:top w:val="nil"/>
              <w:left w:val="nil"/>
              <w:bottom w:val="nil"/>
              <w:right w:val="nil"/>
            </w:tcBorders>
            <w:noWrap/>
            <w:vAlign w:val="bottom"/>
            <w:hideMark/>
          </w:tcPr>
          <w:p w14:paraId="352DA39F"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TL = Total Liabilities</w:t>
            </w:r>
          </w:p>
        </w:tc>
        <w:tc>
          <w:tcPr>
            <w:tcW w:w="274" w:type="dxa"/>
            <w:tcBorders>
              <w:top w:val="nil"/>
              <w:left w:val="nil"/>
              <w:bottom w:val="nil"/>
              <w:right w:val="nil"/>
            </w:tcBorders>
            <w:noWrap/>
            <w:vAlign w:val="bottom"/>
            <w:hideMark/>
          </w:tcPr>
          <w:p w14:paraId="32EAE3DA"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p>
        </w:tc>
        <w:tc>
          <w:tcPr>
            <w:tcW w:w="2741" w:type="dxa"/>
            <w:tcBorders>
              <w:top w:val="nil"/>
              <w:left w:val="nil"/>
              <w:bottom w:val="nil"/>
              <w:right w:val="nil"/>
            </w:tcBorders>
            <w:noWrap/>
            <w:vAlign w:val="bottom"/>
            <w:hideMark/>
          </w:tcPr>
          <w:p w14:paraId="7833FAE8"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170249</w:t>
            </w:r>
          </w:p>
        </w:tc>
      </w:tr>
      <w:tr w:rsidR="00573617" w:rsidRPr="00870822" w14:paraId="1610DA62" w14:textId="77777777" w:rsidTr="00573617">
        <w:trPr>
          <w:trHeight w:val="290"/>
          <w:jc w:val="center"/>
        </w:trPr>
        <w:tc>
          <w:tcPr>
            <w:tcW w:w="3204" w:type="dxa"/>
            <w:tcBorders>
              <w:top w:val="nil"/>
              <w:left w:val="nil"/>
              <w:bottom w:val="nil"/>
              <w:right w:val="nil"/>
            </w:tcBorders>
            <w:noWrap/>
            <w:vAlign w:val="bottom"/>
            <w:hideMark/>
          </w:tcPr>
          <w:p w14:paraId="594EE0A7"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Sales</w:t>
            </w:r>
          </w:p>
        </w:tc>
        <w:tc>
          <w:tcPr>
            <w:tcW w:w="141" w:type="dxa"/>
            <w:tcBorders>
              <w:top w:val="nil"/>
              <w:left w:val="nil"/>
              <w:bottom w:val="nil"/>
              <w:right w:val="nil"/>
            </w:tcBorders>
            <w:noWrap/>
            <w:vAlign w:val="bottom"/>
            <w:hideMark/>
          </w:tcPr>
          <w:p w14:paraId="420D5CAE"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p>
        </w:tc>
        <w:tc>
          <w:tcPr>
            <w:tcW w:w="274" w:type="dxa"/>
            <w:tcBorders>
              <w:top w:val="nil"/>
              <w:left w:val="nil"/>
              <w:bottom w:val="nil"/>
              <w:right w:val="nil"/>
            </w:tcBorders>
            <w:noWrap/>
            <w:vAlign w:val="bottom"/>
            <w:hideMark/>
          </w:tcPr>
          <w:p w14:paraId="15A95C46"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2741" w:type="dxa"/>
            <w:tcBorders>
              <w:top w:val="nil"/>
              <w:left w:val="nil"/>
              <w:bottom w:val="nil"/>
              <w:right w:val="nil"/>
            </w:tcBorders>
            <w:noWrap/>
            <w:vAlign w:val="bottom"/>
            <w:hideMark/>
          </w:tcPr>
          <w:p w14:paraId="1D45B3D6"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394879</w:t>
            </w:r>
          </w:p>
        </w:tc>
      </w:tr>
      <w:tr w:rsidR="00573617" w:rsidRPr="00870822" w14:paraId="1A746A0A" w14:textId="77777777" w:rsidTr="00573617">
        <w:trPr>
          <w:trHeight w:val="290"/>
          <w:jc w:val="center"/>
        </w:trPr>
        <w:tc>
          <w:tcPr>
            <w:tcW w:w="3204" w:type="dxa"/>
            <w:tcBorders>
              <w:top w:val="nil"/>
              <w:left w:val="nil"/>
              <w:bottom w:val="nil"/>
              <w:right w:val="nil"/>
            </w:tcBorders>
            <w:noWrap/>
            <w:vAlign w:val="bottom"/>
            <w:hideMark/>
          </w:tcPr>
          <w:p w14:paraId="1F969993"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p>
        </w:tc>
        <w:tc>
          <w:tcPr>
            <w:tcW w:w="141" w:type="dxa"/>
            <w:tcBorders>
              <w:top w:val="nil"/>
              <w:left w:val="nil"/>
              <w:bottom w:val="nil"/>
              <w:right w:val="nil"/>
            </w:tcBorders>
            <w:noWrap/>
            <w:vAlign w:val="bottom"/>
            <w:hideMark/>
          </w:tcPr>
          <w:p w14:paraId="6F8E6A2D"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274" w:type="dxa"/>
            <w:tcBorders>
              <w:top w:val="nil"/>
              <w:left w:val="nil"/>
              <w:bottom w:val="nil"/>
              <w:right w:val="nil"/>
            </w:tcBorders>
            <w:noWrap/>
            <w:vAlign w:val="bottom"/>
            <w:hideMark/>
          </w:tcPr>
          <w:p w14:paraId="458C2F04"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2741" w:type="dxa"/>
            <w:tcBorders>
              <w:top w:val="nil"/>
              <w:left w:val="nil"/>
              <w:bottom w:val="nil"/>
              <w:right w:val="nil"/>
            </w:tcBorders>
            <w:noWrap/>
            <w:vAlign w:val="bottom"/>
            <w:hideMark/>
          </w:tcPr>
          <w:p w14:paraId="2DF4913C"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r>
      <w:tr w:rsidR="00573617" w:rsidRPr="00870822" w14:paraId="6D2A7FE6" w14:textId="77777777" w:rsidTr="00573617">
        <w:trPr>
          <w:trHeight w:val="290"/>
          <w:jc w:val="center"/>
        </w:trPr>
        <w:tc>
          <w:tcPr>
            <w:tcW w:w="3204" w:type="dxa"/>
            <w:tcBorders>
              <w:top w:val="nil"/>
              <w:left w:val="nil"/>
              <w:bottom w:val="single" w:sz="4" w:space="0" w:color="auto"/>
              <w:right w:val="nil"/>
            </w:tcBorders>
            <w:noWrap/>
            <w:vAlign w:val="bottom"/>
            <w:hideMark/>
          </w:tcPr>
          <w:p w14:paraId="7F14C0CB"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Formula:</w:t>
            </w:r>
          </w:p>
        </w:tc>
        <w:tc>
          <w:tcPr>
            <w:tcW w:w="141" w:type="dxa"/>
            <w:tcBorders>
              <w:top w:val="nil"/>
              <w:left w:val="nil"/>
              <w:bottom w:val="nil"/>
              <w:right w:val="nil"/>
            </w:tcBorders>
            <w:noWrap/>
            <w:vAlign w:val="bottom"/>
            <w:hideMark/>
          </w:tcPr>
          <w:p w14:paraId="5A3530AB"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p>
        </w:tc>
        <w:tc>
          <w:tcPr>
            <w:tcW w:w="274" w:type="dxa"/>
            <w:tcBorders>
              <w:top w:val="nil"/>
              <w:left w:val="nil"/>
              <w:bottom w:val="nil"/>
              <w:right w:val="nil"/>
            </w:tcBorders>
            <w:noWrap/>
            <w:vAlign w:val="bottom"/>
            <w:hideMark/>
          </w:tcPr>
          <w:p w14:paraId="4598F2F4"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2741" w:type="dxa"/>
            <w:tcBorders>
              <w:top w:val="nil"/>
              <w:left w:val="nil"/>
              <w:bottom w:val="nil"/>
              <w:right w:val="nil"/>
            </w:tcBorders>
            <w:noWrap/>
            <w:vAlign w:val="bottom"/>
            <w:hideMark/>
          </w:tcPr>
          <w:p w14:paraId="17AD4486"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r>
      <w:tr w:rsidR="00573617" w:rsidRPr="00870822" w14:paraId="5D723ED0" w14:textId="77777777" w:rsidTr="00573617">
        <w:trPr>
          <w:trHeight w:val="290"/>
          <w:jc w:val="center"/>
        </w:trPr>
        <w:tc>
          <w:tcPr>
            <w:tcW w:w="6360" w:type="dxa"/>
            <w:gridSpan w:val="4"/>
            <w:tcBorders>
              <w:top w:val="nil"/>
              <w:left w:val="nil"/>
              <w:bottom w:val="nil"/>
              <w:right w:val="nil"/>
            </w:tcBorders>
            <w:noWrap/>
            <w:vAlign w:val="bottom"/>
            <w:hideMark/>
          </w:tcPr>
          <w:p w14:paraId="127995BD"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Z = 1.2×(WC/</w:t>
            </w:r>
            <w:proofErr w:type="gramStart"/>
            <w:r w:rsidRPr="00870822">
              <w:rPr>
                <w:rFonts w:ascii="Arial" w:eastAsia="Times New Roman" w:hAnsi="Arial" w:cs="Arial"/>
                <w:color w:val="0D0D0D" w:themeColor="text1" w:themeTint="F2"/>
                <w:sz w:val="22"/>
                <w:lang w:val="en-US" w:eastAsia="en-US"/>
              </w:rPr>
              <w:t>TA)+</w:t>
            </w:r>
            <w:proofErr w:type="gramEnd"/>
            <w:r w:rsidRPr="00870822">
              <w:rPr>
                <w:rFonts w:ascii="Arial" w:eastAsia="Times New Roman" w:hAnsi="Arial" w:cs="Arial"/>
                <w:color w:val="0D0D0D" w:themeColor="text1" w:themeTint="F2"/>
                <w:sz w:val="22"/>
                <w:lang w:val="en-US" w:eastAsia="en-US"/>
              </w:rPr>
              <w:t>1.4×(RE/</w:t>
            </w:r>
            <w:proofErr w:type="gramStart"/>
            <w:r w:rsidRPr="00870822">
              <w:rPr>
                <w:rFonts w:ascii="Arial" w:eastAsia="Times New Roman" w:hAnsi="Arial" w:cs="Arial"/>
                <w:color w:val="0D0D0D" w:themeColor="text1" w:themeTint="F2"/>
                <w:sz w:val="22"/>
                <w:lang w:val="en-US" w:eastAsia="en-US"/>
              </w:rPr>
              <w:t>TA)+</w:t>
            </w:r>
            <w:proofErr w:type="gramEnd"/>
            <w:r w:rsidRPr="00870822">
              <w:rPr>
                <w:rFonts w:ascii="Arial" w:eastAsia="Times New Roman" w:hAnsi="Arial" w:cs="Arial"/>
                <w:color w:val="0D0D0D" w:themeColor="text1" w:themeTint="F2"/>
                <w:sz w:val="22"/>
                <w:lang w:val="en-US" w:eastAsia="en-US"/>
              </w:rPr>
              <w:t>3.3×(EBIT/</w:t>
            </w:r>
            <w:proofErr w:type="gramStart"/>
            <w:r w:rsidRPr="00870822">
              <w:rPr>
                <w:rFonts w:ascii="Arial" w:eastAsia="Times New Roman" w:hAnsi="Arial" w:cs="Arial"/>
                <w:color w:val="0D0D0D" w:themeColor="text1" w:themeTint="F2"/>
                <w:sz w:val="22"/>
                <w:lang w:val="en-US" w:eastAsia="en-US"/>
              </w:rPr>
              <w:t>TA)+</w:t>
            </w:r>
            <w:proofErr w:type="gramEnd"/>
            <w:r w:rsidRPr="00870822">
              <w:rPr>
                <w:rFonts w:ascii="Arial" w:eastAsia="Times New Roman" w:hAnsi="Arial" w:cs="Arial"/>
                <w:color w:val="0D0D0D" w:themeColor="text1" w:themeTint="F2"/>
                <w:sz w:val="22"/>
                <w:lang w:val="en-US" w:eastAsia="en-US"/>
              </w:rPr>
              <w:t>0.6×(BVE/</w:t>
            </w:r>
            <w:proofErr w:type="gramStart"/>
            <w:r w:rsidRPr="00870822">
              <w:rPr>
                <w:rFonts w:ascii="Arial" w:eastAsia="Times New Roman" w:hAnsi="Arial" w:cs="Arial"/>
                <w:color w:val="0D0D0D" w:themeColor="text1" w:themeTint="F2"/>
                <w:sz w:val="22"/>
                <w:lang w:val="en-US" w:eastAsia="en-US"/>
              </w:rPr>
              <w:t>TL)+</w:t>
            </w:r>
            <w:proofErr w:type="gramEnd"/>
            <w:r w:rsidRPr="00870822">
              <w:rPr>
                <w:rFonts w:ascii="Arial" w:eastAsia="Times New Roman" w:hAnsi="Arial" w:cs="Arial"/>
                <w:color w:val="0D0D0D" w:themeColor="text1" w:themeTint="F2"/>
                <w:sz w:val="22"/>
                <w:lang w:val="en-US" w:eastAsia="en-US"/>
              </w:rPr>
              <w:t>1×(Sales/TA)</w:t>
            </w:r>
          </w:p>
        </w:tc>
      </w:tr>
      <w:tr w:rsidR="00573617" w:rsidRPr="00870822" w14:paraId="1341D303" w14:textId="77777777" w:rsidTr="00573617">
        <w:trPr>
          <w:trHeight w:val="290"/>
          <w:jc w:val="center"/>
        </w:trPr>
        <w:tc>
          <w:tcPr>
            <w:tcW w:w="3204" w:type="dxa"/>
            <w:tcBorders>
              <w:top w:val="nil"/>
              <w:left w:val="nil"/>
              <w:bottom w:val="nil"/>
              <w:right w:val="nil"/>
            </w:tcBorders>
            <w:noWrap/>
            <w:vAlign w:val="bottom"/>
            <w:hideMark/>
          </w:tcPr>
          <w:p w14:paraId="02E09286"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p>
        </w:tc>
        <w:tc>
          <w:tcPr>
            <w:tcW w:w="141" w:type="dxa"/>
            <w:tcBorders>
              <w:top w:val="nil"/>
              <w:left w:val="nil"/>
              <w:bottom w:val="nil"/>
              <w:right w:val="nil"/>
            </w:tcBorders>
            <w:noWrap/>
            <w:vAlign w:val="bottom"/>
            <w:hideMark/>
          </w:tcPr>
          <w:p w14:paraId="7C61D3CD"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274" w:type="dxa"/>
            <w:tcBorders>
              <w:top w:val="nil"/>
              <w:left w:val="nil"/>
              <w:bottom w:val="nil"/>
              <w:right w:val="nil"/>
            </w:tcBorders>
            <w:noWrap/>
            <w:vAlign w:val="bottom"/>
            <w:hideMark/>
          </w:tcPr>
          <w:p w14:paraId="5007575C"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2741" w:type="dxa"/>
            <w:tcBorders>
              <w:top w:val="nil"/>
              <w:left w:val="nil"/>
              <w:bottom w:val="nil"/>
              <w:right w:val="nil"/>
            </w:tcBorders>
            <w:noWrap/>
            <w:vAlign w:val="bottom"/>
            <w:hideMark/>
          </w:tcPr>
          <w:p w14:paraId="44AF46F4"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r>
      <w:tr w:rsidR="00573617" w:rsidRPr="00870822" w14:paraId="48321E2E" w14:textId="77777777" w:rsidTr="00573617">
        <w:trPr>
          <w:trHeight w:val="300"/>
          <w:jc w:val="center"/>
        </w:trPr>
        <w:tc>
          <w:tcPr>
            <w:tcW w:w="3345" w:type="dxa"/>
            <w:gridSpan w:val="2"/>
            <w:tcBorders>
              <w:top w:val="single" w:sz="4" w:space="0" w:color="auto"/>
              <w:left w:val="nil"/>
              <w:bottom w:val="single" w:sz="8" w:space="0" w:color="auto"/>
              <w:right w:val="nil"/>
            </w:tcBorders>
            <w:shd w:val="clear" w:color="000000" w:fill="FFC000"/>
            <w:noWrap/>
            <w:vAlign w:val="bottom"/>
            <w:hideMark/>
          </w:tcPr>
          <w:p w14:paraId="5F48E1CB"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Altman Z-Score</w:t>
            </w:r>
          </w:p>
        </w:tc>
        <w:tc>
          <w:tcPr>
            <w:tcW w:w="274" w:type="dxa"/>
            <w:tcBorders>
              <w:top w:val="single" w:sz="4" w:space="0" w:color="auto"/>
              <w:left w:val="nil"/>
              <w:bottom w:val="single" w:sz="8" w:space="0" w:color="auto"/>
              <w:right w:val="nil"/>
            </w:tcBorders>
            <w:shd w:val="clear" w:color="000000" w:fill="FFC000"/>
            <w:noWrap/>
            <w:vAlign w:val="bottom"/>
            <w:hideMark/>
          </w:tcPr>
          <w:p w14:paraId="0A0B226F"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 </w:t>
            </w:r>
          </w:p>
        </w:tc>
        <w:tc>
          <w:tcPr>
            <w:tcW w:w="2741" w:type="dxa"/>
            <w:tcBorders>
              <w:top w:val="single" w:sz="4" w:space="0" w:color="auto"/>
              <w:left w:val="nil"/>
              <w:bottom w:val="single" w:sz="8" w:space="0" w:color="auto"/>
              <w:right w:val="nil"/>
            </w:tcBorders>
            <w:shd w:val="clear" w:color="000000" w:fill="FFC000"/>
            <w:noWrap/>
            <w:vAlign w:val="bottom"/>
            <w:hideMark/>
          </w:tcPr>
          <w:p w14:paraId="6834AF33"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2.38</w:t>
            </w:r>
          </w:p>
        </w:tc>
      </w:tr>
    </w:tbl>
    <w:p w14:paraId="08C046A7" w14:textId="77777777" w:rsidR="00F75537" w:rsidRPr="00870822" w:rsidRDefault="00F75537" w:rsidP="000E7634">
      <w:pPr>
        <w:rPr>
          <w:rFonts w:ascii="Arial" w:hAnsi="Arial" w:cs="Arial"/>
          <w:color w:val="0D0D0D" w:themeColor="text1" w:themeTint="F2"/>
          <w:lang w:val="en-US"/>
        </w:rPr>
      </w:pPr>
    </w:p>
    <w:p w14:paraId="21E01BC1" w14:textId="7B0BB9E1" w:rsidR="00573617" w:rsidRPr="00870822" w:rsidRDefault="00573617" w:rsidP="00573617">
      <w:pPr>
        <w:pStyle w:val="ListParagraph"/>
        <w:numPr>
          <w:ilvl w:val="0"/>
          <w:numId w:val="43"/>
        </w:numPr>
        <w:rPr>
          <w:rFonts w:ascii="Arial" w:hAnsi="Arial" w:cs="Arial"/>
          <w:color w:val="0D0D0D" w:themeColor="text1" w:themeTint="F2"/>
          <w:lang w:val="en-US"/>
        </w:rPr>
      </w:pPr>
      <w:r w:rsidRPr="00870822">
        <w:rPr>
          <w:rFonts w:ascii="Arial" w:hAnsi="Arial" w:cs="Arial"/>
          <w:color w:val="0D0D0D" w:themeColor="text1" w:themeTint="F2"/>
          <w:lang w:val="en-US"/>
        </w:rPr>
        <w:t>Working Capital Management</w:t>
      </w:r>
    </w:p>
    <w:tbl>
      <w:tblPr>
        <w:tblW w:w="8460" w:type="dxa"/>
        <w:jc w:val="center"/>
        <w:tblLook w:val="04A0" w:firstRow="1" w:lastRow="0" w:firstColumn="1" w:lastColumn="0" w:noHBand="0" w:noVBand="1"/>
      </w:tblPr>
      <w:tblGrid>
        <w:gridCol w:w="2954"/>
        <w:gridCol w:w="946"/>
        <w:gridCol w:w="1140"/>
        <w:gridCol w:w="1140"/>
        <w:gridCol w:w="1140"/>
        <w:gridCol w:w="1140"/>
      </w:tblGrid>
      <w:tr w:rsidR="00573617" w:rsidRPr="00870822" w14:paraId="319F0FFA" w14:textId="77777777" w:rsidTr="00573617">
        <w:trPr>
          <w:trHeight w:val="290"/>
          <w:jc w:val="center"/>
        </w:trPr>
        <w:tc>
          <w:tcPr>
            <w:tcW w:w="3900" w:type="dxa"/>
            <w:gridSpan w:val="2"/>
            <w:tcBorders>
              <w:top w:val="nil"/>
              <w:left w:val="nil"/>
              <w:bottom w:val="nil"/>
              <w:right w:val="nil"/>
            </w:tcBorders>
            <w:noWrap/>
            <w:vAlign w:val="bottom"/>
            <w:hideMark/>
          </w:tcPr>
          <w:p w14:paraId="2D6AED47"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Cash Operating Cycle (COC) Analysis</w:t>
            </w:r>
          </w:p>
        </w:tc>
        <w:tc>
          <w:tcPr>
            <w:tcW w:w="1140" w:type="dxa"/>
            <w:tcBorders>
              <w:top w:val="nil"/>
              <w:left w:val="nil"/>
              <w:bottom w:val="nil"/>
              <w:right w:val="nil"/>
            </w:tcBorders>
            <w:noWrap/>
            <w:vAlign w:val="bottom"/>
            <w:hideMark/>
          </w:tcPr>
          <w:p w14:paraId="7A1D7762"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p>
        </w:tc>
        <w:tc>
          <w:tcPr>
            <w:tcW w:w="1140" w:type="dxa"/>
            <w:tcBorders>
              <w:top w:val="nil"/>
              <w:left w:val="nil"/>
              <w:bottom w:val="nil"/>
              <w:right w:val="nil"/>
            </w:tcBorders>
            <w:noWrap/>
            <w:vAlign w:val="bottom"/>
            <w:hideMark/>
          </w:tcPr>
          <w:p w14:paraId="5779EC74"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7B70EFBC"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36A9F815"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r>
      <w:tr w:rsidR="00573617" w:rsidRPr="00870822" w14:paraId="262155AF" w14:textId="77777777" w:rsidTr="00573617">
        <w:trPr>
          <w:trHeight w:val="290"/>
          <w:jc w:val="center"/>
        </w:trPr>
        <w:tc>
          <w:tcPr>
            <w:tcW w:w="2954" w:type="dxa"/>
            <w:tcBorders>
              <w:top w:val="nil"/>
              <w:left w:val="nil"/>
              <w:bottom w:val="nil"/>
              <w:right w:val="nil"/>
            </w:tcBorders>
            <w:noWrap/>
            <w:vAlign w:val="bottom"/>
            <w:hideMark/>
          </w:tcPr>
          <w:p w14:paraId="3E34B533"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946" w:type="dxa"/>
            <w:tcBorders>
              <w:top w:val="nil"/>
              <w:left w:val="nil"/>
              <w:bottom w:val="nil"/>
              <w:right w:val="nil"/>
            </w:tcBorders>
            <w:noWrap/>
            <w:vAlign w:val="bottom"/>
            <w:hideMark/>
          </w:tcPr>
          <w:p w14:paraId="07183508"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46B71CAB"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79D39EC4"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467EAC74"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04AAC3AC"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r>
      <w:tr w:rsidR="00573617" w:rsidRPr="00870822" w14:paraId="1C8629B0" w14:textId="77777777" w:rsidTr="00573617">
        <w:trPr>
          <w:trHeight w:val="290"/>
          <w:jc w:val="center"/>
        </w:trPr>
        <w:tc>
          <w:tcPr>
            <w:tcW w:w="2954" w:type="dxa"/>
            <w:tcBorders>
              <w:top w:val="single" w:sz="4" w:space="0" w:color="auto"/>
              <w:left w:val="nil"/>
              <w:bottom w:val="single" w:sz="4" w:space="0" w:color="auto"/>
              <w:right w:val="nil"/>
            </w:tcBorders>
            <w:shd w:val="clear" w:color="000000" w:fill="C0E6F5"/>
            <w:noWrap/>
            <w:vAlign w:val="bottom"/>
            <w:hideMark/>
          </w:tcPr>
          <w:p w14:paraId="67E0D6E4"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Particulars</w:t>
            </w:r>
          </w:p>
        </w:tc>
        <w:tc>
          <w:tcPr>
            <w:tcW w:w="946" w:type="dxa"/>
            <w:tcBorders>
              <w:top w:val="single" w:sz="4" w:space="0" w:color="auto"/>
              <w:left w:val="nil"/>
              <w:bottom w:val="single" w:sz="4" w:space="0" w:color="auto"/>
              <w:right w:val="nil"/>
            </w:tcBorders>
            <w:shd w:val="clear" w:color="000000" w:fill="C0E6F5"/>
            <w:noWrap/>
            <w:vAlign w:val="bottom"/>
            <w:hideMark/>
          </w:tcPr>
          <w:p w14:paraId="37A0CB23"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2020</w:t>
            </w:r>
          </w:p>
        </w:tc>
        <w:tc>
          <w:tcPr>
            <w:tcW w:w="1140" w:type="dxa"/>
            <w:tcBorders>
              <w:top w:val="single" w:sz="4" w:space="0" w:color="auto"/>
              <w:left w:val="nil"/>
              <w:bottom w:val="single" w:sz="4" w:space="0" w:color="auto"/>
              <w:right w:val="nil"/>
            </w:tcBorders>
            <w:shd w:val="clear" w:color="000000" w:fill="C0E6F5"/>
            <w:noWrap/>
            <w:vAlign w:val="bottom"/>
            <w:hideMark/>
          </w:tcPr>
          <w:p w14:paraId="2E9DBD2E"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2021</w:t>
            </w:r>
          </w:p>
        </w:tc>
        <w:tc>
          <w:tcPr>
            <w:tcW w:w="1140" w:type="dxa"/>
            <w:tcBorders>
              <w:top w:val="single" w:sz="4" w:space="0" w:color="auto"/>
              <w:left w:val="nil"/>
              <w:bottom w:val="single" w:sz="4" w:space="0" w:color="auto"/>
              <w:right w:val="nil"/>
            </w:tcBorders>
            <w:shd w:val="clear" w:color="000000" w:fill="C0E6F5"/>
            <w:noWrap/>
            <w:vAlign w:val="bottom"/>
            <w:hideMark/>
          </w:tcPr>
          <w:p w14:paraId="746F61C7"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2022</w:t>
            </w:r>
          </w:p>
        </w:tc>
        <w:tc>
          <w:tcPr>
            <w:tcW w:w="1140" w:type="dxa"/>
            <w:tcBorders>
              <w:top w:val="single" w:sz="4" w:space="0" w:color="auto"/>
              <w:left w:val="nil"/>
              <w:bottom w:val="single" w:sz="4" w:space="0" w:color="auto"/>
              <w:right w:val="nil"/>
            </w:tcBorders>
            <w:shd w:val="clear" w:color="000000" w:fill="C0E6F5"/>
            <w:noWrap/>
            <w:vAlign w:val="bottom"/>
            <w:hideMark/>
          </w:tcPr>
          <w:p w14:paraId="700707DA"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2023</w:t>
            </w:r>
          </w:p>
        </w:tc>
        <w:tc>
          <w:tcPr>
            <w:tcW w:w="1140" w:type="dxa"/>
            <w:tcBorders>
              <w:top w:val="single" w:sz="4" w:space="0" w:color="auto"/>
              <w:left w:val="nil"/>
              <w:bottom w:val="single" w:sz="4" w:space="0" w:color="auto"/>
              <w:right w:val="nil"/>
            </w:tcBorders>
            <w:shd w:val="clear" w:color="000000" w:fill="C0E6F5"/>
            <w:noWrap/>
            <w:vAlign w:val="bottom"/>
            <w:hideMark/>
          </w:tcPr>
          <w:p w14:paraId="58C51A13"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2024</w:t>
            </w:r>
          </w:p>
        </w:tc>
      </w:tr>
      <w:tr w:rsidR="00573617" w:rsidRPr="00870822" w14:paraId="3D5267EB" w14:textId="77777777" w:rsidTr="00573617">
        <w:trPr>
          <w:trHeight w:val="290"/>
          <w:jc w:val="center"/>
        </w:trPr>
        <w:tc>
          <w:tcPr>
            <w:tcW w:w="2954" w:type="dxa"/>
            <w:tcBorders>
              <w:top w:val="nil"/>
              <w:left w:val="nil"/>
              <w:bottom w:val="nil"/>
              <w:right w:val="nil"/>
            </w:tcBorders>
            <w:noWrap/>
            <w:vAlign w:val="bottom"/>
            <w:hideMark/>
          </w:tcPr>
          <w:p w14:paraId="61FA1628"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Inventory Days</w:t>
            </w:r>
          </w:p>
        </w:tc>
        <w:tc>
          <w:tcPr>
            <w:tcW w:w="946" w:type="dxa"/>
            <w:tcBorders>
              <w:top w:val="nil"/>
              <w:left w:val="nil"/>
              <w:bottom w:val="nil"/>
              <w:right w:val="nil"/>
            </w:tcBorders>
            <w:noWrap/>
            <w:vAlign w:val="bottom"/>
            <w:hideMark/>
          </w:tcPr>
          <w:p w14:paraId="5230F8D6"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100 days</w:t>
            </w:r>
          </w:p>
        </w:tc>
        <w:tc>
          <w:tcPr>
            <w:tcW w:w="1140" w:type="dxa"/>
            <w:tcBorders>
              <w:top w:val="nil"/>
              <w:left w:val="nil"/>
              <w:bottom w:val="nil"/>
              <w:right w:val="nil"/>
            </w:tcBorders>
            <w:noWrap/>
            <w:vAlign w:val="bottom"/>
            <w:hideMark/>
          </w:tcPr>
          <w:p w14:paraId="3BC710B2"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115 days</w:t>
            </w:r>
          </w:p>
        </w:tc>
        <w:tc>
          <w:tcPr>
            <w:tcW w:w="1140" w:type="dxa"/>
            <w:tcBorders>
              <w:top w:val="nil"/>
              <w:left w:val="nil"/>
              <w:bottom w:val="nil"/>
              <w:right w:val="nil"/>
            </w:tcBorders>
            <w:noWrap/>
            <w:vAlign w:val="bottom"/>
            <w:hideMark/>
          </w:tcPr>
          <w:p w14:paraId="5ED8462B"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131 days</w:t>
            </w:r>
          </w:p>
        </w:tc>
        <w:tc>
          <w:tcPr>
            <w:tcW w:w="1140" w:type="dxa"/>
            <w:tcBorders>
              <w:top w:val="nil"/>
              <w:left w:val="nil"/>
              <w:bottom w:val="nil"/>
              <w:right w:val="nil"/>
            </w:tcBorders>
            <w:noWrap/>
            <w:vAlign w:val="bottom"/>
            <w:hideMark/>
          </w:tcPr>
          <w:p w14:paraId="2A08C0BB"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100 days</w:t>
            </w:r>
          </w:p>
        </w:tc>
        <w:tc>
          <w:tcPr>
            <w:tcW w:w="1140" w:type="dxa"/>
            <w:tcBorders>
              <w:top w:val="nil"/>
              <w:left w:val="nil"/>
              <w:bottom w:val="nil"/>
              <w:right w:val="nil"/>
            </w:tcBorders>
            <w:noWrap/>
            <w:vAlign w:val="bottom"/>
            <w:hideMark/>
          </w:tcPr>
          <w:p w14:paraId="2CD688FF"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103 days</w:t>
            </w:r>
          </w:p>
        </w:tc>
      </w:tr>
      <w:tr w:rsidR="00573617" w:rsidRPr="00870822" w14:paraId="52A5BD9C" w14:textId="77777777" w:rsidTr="00573617">
        <w:trPr>
          <w:trHeight w:val="290"/>
          <w:jc w:val="center"/>
        </w:trPr>
        <w:tc>
          <w:tcPr>
            <w:tcW w:w="2954" w:type="dxa"/>
            <w:tcBorders>
              <w:top w:val="nil"/>
              <w:left w:val="nil"/>
              <w:bottom w:val="nil"/>
              <w:right w:val="nil"/>
            </w:tcBorders>
            <w:noWrap/>
            <w:vAlign w:val="bottom"/>
            <w:hideMark/>
          </w:tcPr>
          <w:p w14:paraId="1D696E93"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Receivable Days</w:t>
            </w:r>
          </w:p>
        </w:tc>
        <w:tc>
          <w:tcPr>
            <w:tcW w:w="946" w:type="dxa"/>
            <w:tcBorders>
              <w:top w:val="nil"/>
              <w:left w:val="nil"/>
              <w:bottom w:val="nil"/>
              <w:right w:val="nil"/>
            </w:tcBorders>
            <w:noWrap/>
            <w:vAlign w:val="bottom"/>
            <w:hideMark/>
          </w:tcPr>
          <w:p w14:paraId="70C3CCD3"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77 days</w:t>
            </w:r>
          </w:p>
        </w:tc>
        <w:tc>
          <w:tcPr>
            <w:tcW w:w="1140" w:type="dxa"/>
            <w:tcBorders>
              <w:top w:val="nil"/>
              <w:left w:val="nil"/>
              <w:bottom w:val="nil"/>
              <w:right w:val="nil"/>
            </w:tcBorders>
            <w:noWrap/>
            <w:vAlign w:val="bottom"/>
            <w:hideMark/>
          </w:tcPr>
          <w:p w14:paraId="2295A92C"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78 days</w:t>
            </w:r>
          </w:p>
        </w:tc>
        <w:tc>
          <w:tcPr>
            <w:tcW w:w="1140" w:type="dxa"/>
            <w:tcBorders>
              <w:top w:val="nil"/>
              <w:left w:val="nil"/>
              <w:bottom w:val="nil"/>
              <w:right w:val="nil"/>
            </w:tcBorders>
            <w:noWrap/>
            <w:vAlign w:val="bottom"/>
            <w:hideMark/>
          </w:tcPr>
          <w:p w14:paraId="6287D3D3"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76 days</w:t>
            </w:r>
          </w:p>
        </w:tc>
        <w:tc>
          <w:tcPr>
            <w:tcW w:w="1140" w:type="dxa"/>
            <w:tcBorders>
              <w:top w:val="nil"/>
              <w:left w:val="nil"/>
              <w:bottom w:val="nil"/>
              <w:right w:val="nil"/>
            </w:tcBorders>
            <w:noWrap/>
            <w:vAlign w:val="bottom"/>
            <w:hideMark/>
          </w:tcPr>
          <w:p w14:paraId="0FD63380"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98 days</w:t>
            </w:r>
          </w:p>
        </w:tc>
        <w:tc>
          <w:tcPr>
            <w:tcW w:w="1140" w:type="dxa"/>
            <w:tcBorders>
              <w:top w:val="nil"/>
              <w:left w:val="nil"/>
              <w:bottom w:val="nil"/>
              <w:right w:val="nil"/>
            </w:tcBorders>
            <w:noWrap/>
            <w:vAlign w:val="bottom"/>
            <w:hideMark/>
          </w:tcPr>
          <w:p w14:paraId="278273EB"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106 days</w:t>
            </w:r>
          </w:p>
        </w:tc>
      </w:tr>
      <w:tr w:rsidR="00573617" w:rsidRPr="00870822" w14:paraId="7986C848" w14:textId="77777777" w:rsidTr="00573617">
        <w:trPr>
          <w:trHeight w:val="290"/>
          <w:jc w:val="center"/>
        </w:trPr>
        <w:tc>
          <w:tcPr>
            <w:tcW w:w="2954" w:type="dxa"/>
            <w:tcBorders>
              <w:top w:val="nil"/>
              <w:left w:val="nil"/>
              <w:bottom w:val="nil"/>
              <w:right w:val="nil"/>
            </w:tcBorders>
            <w:noWrap/>
            <w:vAlign w:val="bottom"/>
            <w:hideMark/>
          </w:tcPr>
          <w:p w14:paraId="3B67EF33" w14:textId="77777777" w:rsidR="00573617" w:rsidRPr="00870822" w:rsidRDefault="00573617" w:rsidP="0057361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Payable Days</w:t>
            </w:r>
          </w:p>
        </w:tc>
        <w:tc>
          <w:tcPr>
            <w:tcW w:w="946" w:type="dxa"/>
            <w:tcBorders>
              <w:top w:val="nil"/>
              <w:left w:val="nil"/>
              <w:bottom w:val="nil"/>
              <w:right w:val="nil"/>
            </w:tcBorders>
            <w:noWrap/>
            <w:vAlign w:val="bottom"/>
            <w:hideMark/>
          </w:tcPr>
          <w:p w14:paraId="1D505617"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69 days</w:t>
            </w:r>
          </w:p>
        </w:tc>
        <w:tc>
          <w:tcPr>
            <w:tcW w:w="1140" w:type="dxa"/>
            <w:tcBorders>
              <w:top w:val="nil"/>
              <w:left w:val="nil"/>
              <w:bottom w:val="nil"/>
              <w:right w:val="nil"/>
            </w:tcBorders>
            <w:noWrap/>
            <w:vAlign w:val="bottom"/>
            <w:hideMark/>
          </w:tcPr>
          <w:p w14:paraId="2E036CAD"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79 days</w:t>
            </w:r>
          </w:p>
        </w:tc>
        <w:tc>
          <w:tcPr>
            <w:tcW w:w="1140" w:type="dxa"/>
            <w:tcBorders>
              <w:top w:val="nil"/>
              <w:left w:val="nil"/>
              <w:bottom w:val="nil"/>
              <w:right w:val="nil"/>
            </w:tcBorders>
            <w:noWrap/>
            <w:vAlign w:val="bottom"/>
            <w:hideMark/>
          </w:tcPr>
          <w:p w14:paraId="546CE4CA"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67 days</w:t>
            </w:r>
          </w:p>
        </w:tc>
        <w:tc>
          <w:tcPr>
            <w:tcW w:w="1140" w:type="dxa"/>
            <w:tcBorders>
              <w:top w:val="nil"/>
              <w:left w:val="nil"/>
              <w:bottom w:val="nil"/>
              <w:right w:val="nil"/>
            </w:tcBorders>
            <w:noWrap/>
            <w:vAlign w:val="bottom"/>
            <w:hideMark/>
          </w:tcPr>
          <w:p w14:paraId="7091FF35"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64 days</w:t>
            </w:r>
          </w:p>
        </w:tc>
        <w:tc>
          <w:tcPr>
            <w:tcW w:w="1140" w:type="dxa"/>
            <w:tcBorders>
              <w:top w:val="nil"/>
              <w:left w:val="nil"/>
              <w:bottom w:val="nil"/>
              <w:right w:val="nil"/>
            </w:tcBorders>
            <w:noWrap/>
            <w:vAlign w:val="bottom"/>
            <w:hideMark/>
          </w:tcPr>
          <w:p w14:paraId="2BF88EB0"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94 days</w:t>
            </w:r>
          </w:p>
        </w:tc>
      </w:tr>
      <w:tr w:rsidR="00573617" w:rsidRPr="00870822" w14:paraId="6D4A9B3B" w14:textId="77777777" w:rsidTr="00573617">
        <w:trPr>
          <w:trHeight w:val="290"/>
          <w:jc w:val="center"/>
        </w:trPr>
        <w:tc>
          <w:tcPr>
            <w:tcW w:w="2954" w:type="dxa"/>
            <w:tcBorders>
              <w:top w:val="nil"/>
              <w:left w:val="nil"/>
              <w:bottom w:val="nil"/>
              <w:right w:val="nil"/>
            </w:tcBorders>
            <w:noWrap/>
            <w:vAlign w:val="bottom"/>
            <w:hideMark/>
          </w:tcPr>
          <w:p w14:paraId="42BE63E6" w14:textId="77777777" w:rsidR="00573617" w:rsidRPr="00870822" w:rsidRDefault="00573617" w:rsidP="00573617">
            <w:pPr>
              <w:spacing w:after="0" w:line="240" w:lineRule="auto"/>
              <w:jc w:val="right"/>
              <w:rPr>
                <w:rFonts w:ascii="Arial" w:eastAsia="Times New Roman" w:hAnsi="Arial" w:cs="Arial"/>
                <w:color w:val="0D0D0D" w:themeColor="text1" w:themeTint="F2"/>
                <w:sz w:val="22"/>
                <w:lang w:val="en-US" w:eastAsia="en-US"/>
              </w:rPr>
            </w:pPr>
          </w:p>
        </w:tc>
        <w:tc>
          <w:tcPr>
            <w:tcW w:w="946" w:type="dxa"/>
            <w:tcBorders>
              <w:top w:val="nil"/>
              <w:left w:val="nil"/>
              <w:bottom w:val="nil"/>
              <w:right w:val="nil"/>
            </w:tcBorders>
            <w:noWrap/>
            <w:vAlign w:val="bottom"/>
            <w:hideMark/>
          </w:tcPr>
          <w:p w14:paraId="1D0B3E35"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535E2DF3"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5F15B40B"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5EA8F1FF"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c>
          <w:tcPr>
            <w:tcW w:w="1140" w:type="dxa"/>
            <w:tcBorders>
              <w:top w:val="nil"/>
              <w:left w:val="nil"/>
              <w:bottom w:val="nil"/>
              <w:right w:val="nil"/>
            </w:tcBorders>
            <w:noWrap/>
            <w:vAlign w:val="bottom"/>
            <w:hideMark/>
          </w:tcPr>
          <w:p w14:paraId="1258A1F9" w14:textId="77777777" w:rsidR="00573617" w:rsidRPr="00870822" w:rsidRDefault="00573617" w:rsidP="00573617">
            <w:pPr>
              <w:spacing w:after="0" w:line="240" w:lineRule="auto"/>
              <w:jc w:val="left"/>
              <w:rPr>
                <w:rFonts w:ascii="Arial" w:eastAsia="Times New Roman" w:hAnsi="Arial" w:cs="Arial"/>
                <w:color w:val="0D0D0D" w:themeColor="text1" w:themeTint="F2"/>
                <w:sz w:val="20"/>
                <w:szCs w:val="20"/>
                <w:lang w:val="en-US" w:eastAsia="en-US"/>
              </w:rPr>
            </w:pPr>
          </w:p>
        </w:tc>
      </w:tr>
      <w:tr w:rsidR="00573617" w:rsidRPr="00870822" w14:paraId="403ADCED" w14:textId="77777777" w:rsidTr="00573617">
        <w:trPr>
          <w:trHeight w:val="300"/>
          <w:jc w:val="center"/>
        </w:trPr>
        <w:tc>
          <w:tcPr>
            <w:tcW w:w="2954" w:type="dxa"/>
            <w:tcBorders>
              <w:top w:val="single" w:sz="4" w:space="0" w:color="auto"/>
              <w:left w:val="nil"/>
              <w:bottom w:val="single" w:sz="8" w:space="0" w:color="auto"/>
              <w:right w:val="nil"/>
            </w:tcBorders>
            <w:noWrap/>
            <w:vAlign w:val="bottom"/>
            <w:hideMark/>
          </w:tcPr>
          <w:p w14:paraId="6232151A" w14:textId="77777777" w:rsidR="00573617" w:rsidRPr="00870822" w:rsidRDefault="00573617" w:rsidP="00573617">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Cash Operating Cycle (COC)</w:t>
            </w:r>
          </w:p>
        </w:tc>
        <w:tc>
          <w:tcPr>
            <w:tcW w:w="946" w:type="dxa"/>
            <w:tcBorders>
              <w:top w:val="single" w:sz="4" w:space="0" w:color="auto"/>
              <w:left w:val="nil"/>
              <w:bottom w:val="single" w:sz="8" w:space="0" w:color="auto"/>
              <w:right w:val="nil"/>
            </w:tcBorders>
            <w:noWrap/>
            <w:vAlign w:val="bottom"/>
            <w:hideMark/>
          </w:tcPr>
          <w:p w14:paraId="36606B3A"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108 days</w:t>
            </w:r>
          </w:p>
        </w:tc>
        <w:tc>
          <w:tcPr>
            <w:tcW w:w="1140" w:type="dxa"/>
            <w:tcBorders>
              <w:top w:val="single" w:sz="4" w:space="0" w:color="auto"/>
              <w:left w:val="nil"/>
              <w:bottom w:val="single" w:sz="8" w:space="0" w:color="auto"/>
              <w:right w:val="nil"/>
            </w:tcBorders>
            <w:noWrap/>
            <w:vAlign w:val="bottom"/>
            <w:hideMark/>
          </w:tcPr>
          <w:p w14:paraId="2BFE4F50"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114 days</w:t>
            </w:r>
          </w:p>
        </w:tc>
        <w:tc>
          <w:tcPr>
            <w:tcW w:w="1140" w:type="dxa"/>
            <w:tcBorders>
              <w:top w:val="single" w:sz="4" w:space="0" w:color="auto"/>
              <w:left w:val="nil"/>
              <w:bottom w:val="single" w:sz="8" w:space="0" w:color="auto"/>
              <w:right w:val="nil"/>
            </w:tcBorders>
            <w:noWrap/>
            <w:vAlign w:val="bottom"/>
            <w:hideMark/>
          </w:tcPr>
          <w:p w14:paraId="56356F3A"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140 days</w:t>
            </w:r>
          </w:p>
        </w:tc>
        <w:tc>
          <w:tcPr>
            <w:tcW w:w="1140" w:type="dxa"/>
            <w:tcBorders>
              <w:top w:val="single" w:sz="4" w:space="0" w:color="auto"/>
              <w:left w:val="nil"/>
              <w:bottom w:val="single" w:sz="8" w:space="0" w:color="auto"/>
              <w:right w:val="nil"/>
            </w:tcBorders>
            <w:noWrap/>
            <w:vAlign w:val="bottom"/>
            <w:hideMark/>
          </w:tcPr>
          <w:p w14:paraId="5AF8E2A1"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133 days</w:t>
            </w:r>
          </w:p>
        </w:tc>
        <w:tc>
          <w:tcPr>
            <w:tcW w:w="1140" w:type="dxa"/>
            <w:tcBorders>
              <w:top w:val="single" w:sz="4" w:space="0" w:color="auto"/>
              <w:left w:val="nil"/>
              <w:bottom w:val="single" w:sz="8" w:space="0" w:color="auto"/>
              <w:right w:val="nil"/>
            </w:tcBorders>
            <w:noWrap/>
            <w:vAlign w:val="bottom"/>
            <w:hideMark/>
          </w:tcPr>
          <w:p w14:paraId="191B1D2C" w14:textId="77777777" w:rsidR="00573617" w:rsidRPr="00870822" w:rsidRDefault="00573617" w:rsidP="00573617">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115 days</w:t>
            </w:r>
          </w:p>
        </w:tc>
      </w:tr>
    </w:tbl>
    <w:p w14:paraId="664CB750" w14:textId="77777777" w:rsidR="00573617" w:rsidRPr="00870822" w:rsidRDefault="00573617" w:rsidP="000E7634">
      <w:pPr>
        <w:rPr>
          <w:rFonts w:ascii="Arial" w:hAnsi="Arial" w:cs="Arial"/>
          <w:color w:val="0D0D0D" w:themeColor="text1" w:themeTint="F2"/>
          <w:lang w:val="en-US"/>
        </w:rPr>
      </w:pPr>
    </w:p>
    <w:p w14:paraId="08CA339B" w14:textId="15FDD616" w:rsidR="000E7634" w:rsidRPr="00870822" w:rsidRDefault="00291C53" w:rsidP="00573617">
      <w:pPr>
        <w:pStyle w:val="ListParagraph"/>
        <w:numPr>
          <w:ilvl w:val="0"/>
          <w:numId w:val="43"/>
        </w:numPr>
        <w:rPr>
          <w:rFonts w:ascii="Arial" w:hAnsi="Arial" w:cs="Arial"/>
          <w:color w:val="0D0D0D" w:themeColor="text1" w:themeTint="F2"/>
          <w:lang w:val="en-US"/>
        </w:rPr>
      </w:pPr>
      <w:r w:rsidRPr="00870822">
        <w:rPr>
          <w:rFonts w:ascii="Arial" w:hAnsi="Arial" w:cs="Arial"/>
          <w:color w:val="0D0D0D" w:themeColor="text1" w:themeTint="F2"/>
          <w:lang w:val="en-US"/>
        </w:rPr>
        <w:t>Investment Appraisal</w:t>
      </w:r>
    </w:p>
    <w:tbl>
      <w:tblPr>
        <w:tblW w:w="6602" w:type="dxa"/>
        <w:tblInd w:w="385" w:type="dxa"/>
        <w:tblLook w:val="04A0" w:firstRow="1" w:lastRow="0" w:firstColumn="1" w:lastColumn="0" w:noHBand="0" w:noVBand="1"/>
      </w:tblPr>
      <w:tblGrid>
        <w:gridCol w:w="1384"/>
        <w:gridCol w:w="1856"/>
        <w:gridCol w:w="777"/>
        <w:gridCol w:w="694"/>
        <w:gridCol w:w="694"/>
        <w:gridCol w:w="704"/>
        <w:gridCol w:w="694"/>
      </w:tblGrid>
      <w:tr w:rsidR="00275AA7" w:rsidRPr="00870822" w14:paraId="51B7D61E" w14:textId="77777777" w:rsidTr="00275AA7">
        <w:trPr>
          <w:trHeight w:val="308"/>
        </w:trPr>
        <w:tc>
          <w:tcPr>
            <w:tcW w:w="4017" w:type="dxa"/>
            <w:gridSpan w:val="3"/>
            <w:tcBorders>
              <w:top w:val="nil"/>
              <w:left w:val="nil"/>
              <w:bottom w:val="nil"/>
              <w:right w:val="nil"/>
            </w:tcBorders>
            <w:noWrap/>
            <w:vAlign w:val="bottom"/>
            <w:hideMark/>
          </w:tcPr>
          <w:p w14:paraId="367EAA19" w14:textId="7552E15C"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r w:rsidRPr="00870822">
              <w:rPr>
                <w:rFonts w:ascii="Arial" w:eastAsia="Times New Roman" w:hAnsi="Arial" w:cs="Arial"/>
                <w:b/>
                <w:bCs/>
                <w:color w:val="0D0D0D" w:themeColor="text1" w:themeTint="F2"/>
                <w:szCs w:val="24"/>
                <w:lang w:val="en-US" w:eastAsia="en-US"/>
              </w:rPr>
              <w:t>Project Cash Flow Analysis</w:t>
            </w:r>
          </w:p>
        </w:tc>
        <w:tc>
          <w:tcPr>
            <w:tcW w:w="627" w:type="dxa"/>
            <w:tcBorders>
              <w:top w:val="nil"/>
              <w:left w:val="nil"/>
              <w:bottom w:val="nil"/>
              <w:right w:val="nil"/>
            </w:tcBorders>
            <w:noWrap/>
            <w:vAlign w:val="bottom"/>
            <w:hideMark/>
          </w:tcPr>
          <w:p w14:paraId="34504E7C"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627" w:type="dxa"/>
            <w:tcBorders>
              <w:top w:val="nil"/>
              <w:left w:val="nil"/>
              <w:bottom w:val="nil"/>
              <w:right w:val="nil"/>
            </w:tcBorders>
            <w:noWrap/>
            <w:vAlign w:val="bottom"/>
            <w:hideMark/>
          </w:tcPr>
          <w:p w14:paraId="07DFB6E1"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704" w:type="dxa"/>
            <w:tcBorders>
              <w:top w:val="nil"/>
              <w:left w:val="nil"/>
              <w:bottom w:val="nil"/>
              <w:right w:val="nil"/>
            </w:tcBorders>
            <w:noWrap/>
            <w:vAlign w:val="bottom"/>
            <w:hideMark/>
          </w:tcPr>
          <w:p w14:paraId="2C778252"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627" w:type="dxa"/>
            <w:tcBorders>
              <w:top w:val="nil"/>
              <w:left w:val="nil"/>
              <w:bottom w:val="nil"/>
              <w:right w:val="nil"/>
            </w:tcBorders>
            <w:noWrap/>
            <w:vAlign w:val="bottom"/>
            <w:hideMark/>
          </w:tcPr>
          <w:p w14:paraId="7FCF608C"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r>
      <w:tr w:rsidR="00275AA7" w:rsidRPr="00870822" w14:paraId="15C61829" w14:textId="77777777" w:rsidTr="00275AA7">
        <w:trPr>
          <w:trHeight w:val="279"/>
        </w:trPr>
        <w:tc>
          <w:tcPr>
            <w:tcW w:w="1384" w:type="dxa"/>
            <w:tcBorders>
              <w:top w:val="nil"/>
              <w:left w:val="nil"/>
              <w:bottom w:val="nil"/>
              <w:right w:val="nil"/>
            </w:tcBorders>
            <w:noWrap/>
            <w:vAlign w:val="bottom"/>
            <w:hideMark/>
          </w:tcPr>
          <w:p w14:paraId="149E0F19"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1856" w:type="dxa"/>
            <w:tcBorders>
              <w:top w:val="nil"/>
              <w:left w:val="nil"/>
              <w:bottom w:val="nil"/>
              <w:right w:val="nil"/>
            </w:tcBorders>
            <w:noWrap/>
            <w:vAlign w:val="bottom"/>
            <w:hideMark/>
          </w:tcPr>
          <w:p w14:paraId="0EB5EF87"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777" w:type="dxa"/>
            <w:tcBorders>
              <w:top w:val="nil"/>
              <w:left w:val="nil"/>
              <w:bottom w:val="nil"/>
              <w:right w:val="nil"/>
            </w:tcBorders>
            <w:noWrap/>
            <w:vAlign w:val="bottom"/>
            <w:hideMark/>
          </w:tcPr>
          <w:p w14:paraId="74B2BF6B"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627" w:type="dxa"/>
            <w:tcBorders>
              <w:top w:val="nil"/>
              <w:left w:val="nil"/>
              <w:bottom w:val="nil"/>
              <w:right w:val="nil"/>
            </w:tcBorders>
            <w:noWrap/>
            <w:vAlign w:val="bottom"/>
            <w:hideMark/>
          </w:tcPr>
          <w:p w14:paraId="0866609D"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627" w:type="dxa"/>
            <w:tcBorders>
              <w:top w:val="nil"/>
              <w:left w:val="nil"/>
              <w:bottom w:val="nil"/>
              <w:right w:val="nil"/>
            </w:tcBorders>
            <w:noWrap/>
            <w:vAlign w:val="bottom"/>
            <w:hideMark/>
          </w:tcPr>
          <w:p w14:paraId="5A951A82"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704" w:type="dxa"/>
            <w:tcBorders>
              <w:top w:val="nil"/>
              <w:left w:val="nil"/>
              <w:bottom w:val="nil"/>
              <w:right w:val="nil"/>
            </w:tcBorders>
            <w:noWrap/>
            <w:vAlign w:val="bottom"/>
            <w:hideMark/>
          </w:tcPr>
          <w:p w14:paraId="2526E543"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627" w:type="dxa"/>
            <w:tcBorders>
              <w:top w:val="nil"/>
              <w:left w:val="nil"/>
              <w:bottom w:val="nil"/>
              <w:right w:val="nil"/>
            </w:tcBorders>
            <w:noWrap/>
            <w:vAlign w:val="bottom"/>
            <w:hideMark/>
          </w:tcPr>
          <w:p w14:paraId="603614BA"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r>
      <w:tr w:rsidR="00275AA7" w:rsidRPr="00870822" w14:paraId="00D5A620" w14:textId="77777777" w:rsidTr="00275AA7">
        <w:trPr>
          <w:trHeight w:val="657"/>
        </w:trPr>
        <w:tc>
          <w:tcPr>
            <w:tcW w:w="1384" w:type="dxa"/>
            <w:tcBorders>
              <w:top w:val="single" w:sz="4" w:space="0" w:color="auto"/>
              <w:left w:val="nil"/>
              <w:bottom w:val="single" w:sz="4" w:space="0" w:color="auto"/>
              <w:right w:val="nil"/>
            </w:tcBorders>
            <w:vAlign w:val="center"/>
            <w:hideMark/>
          </w:tcPr>
          <w:p w14:paraId="6B99A8A5" w14:textId="77777777" w:rsidR="00275AA7" w:rsidRPr="00870822" w:rsidRDefault="00275AA7" w:rsidP="00275AA7">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Project</w:t>
            </w:r>
          </w:p>
        </w:tc>
        <w:tc>
          <w:tcPr>
            <w:tcW w:w="1856" w:type="dxa"/>
            <w:tcBorders>
              <w:top w:val="single" w:sz="4" w:space="0" w:color="auto"/>
              <w:left w:val="nil"/>
              <w:bottom w:val="single" w:sz="4" w:space="0" w:color="auto"/>
              <w:right w:val="nil"/>
            </w:tcBorders>
            <w:vAlign w:val="center"/>
            <w:hideMark/>
          </w:tcPr>
          <w:p w14:paraId="00E7B449" w14:textId="77777777" w:rsidR="00275AA7" w:rsidRPr="00870822" w:rsidRDefault="00275AA7" w:rsidP="00275AA7">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Initial Investment (£m)</w:t>
            </w:r>
          </w:p>
        </w:tc>
        <w:tc>
          <w:tcPr>
            <w:tcW w:w="777" w:type="dxa"/>
            <w:tcBorders>
              <w:top w:val="single" w:sz="4" w:space="0" w:color="auto"/>
              <w:left w:val="nil"/>
              <w:bottom w:val="single" w:sz="4" w:space="0" w:color="auto"/>
              <w:right w:val="nil"/>
            </w:tcBorders>
            <w:vAlign w:val="center"/>
            <w:hideMark/>
          </w:tcPr>
          <w:p w14:paraId="53FC0F30" w14:textId="77777777" w:rsidR="00275AA7" w:rsidRPr="00870822" w:rsidRDefault="00275AA7" w:rsidP="00275AA7">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1</w:t>
            </w:r>
          </w:p>
        </w:tc>
        <w:tc>
          <w:tcPr>
            <w:tcW w:w="627" w:type="dxa"/>
            <w:tcBorders>
              <w:top w:val="single" w:sz="4" w:space="0" w:color="auto"/>
              <w:left w:val="nil"/>
              <w:bottom w:val="single" w:sz="4" w:space="0" w:color="auto"/>
              <w:right w:val="nil"/>
            </w:tcBorders>
            <w:vAlign w:val="center"/>
            <w:hideMark/>
          </w:tcPr>
          <w:p w14:paraId="07DF86E6" w14:textId="77777777" w:rsidR="00275AA7" w:rsidRPr="00870822" w:rsidRDefault="00275AA7" w:rsidP="00275AA7">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2</w:t>
            </w:r>
          </w:p>
        </w:tc>
        <w:tc>
          <w:tcPr>
            <w:tcW w:w="627" w:type="dxa"/>
            <w:tcBorders>
              <w:top w:val="single" w:sz="4" w:space="0" w:color="auto"/>
              <w:left w:val="nil"/>
              <w:bottom w:val="single" w:sz="4" w:space="0" w:color="auto"/>
              <w:right w:val="nil"/>
            </w:tcBorders>
            <w:vAlign w:val="center"/>
            <w:hideMark/>
          </w:tcPr>
          <w:p w14:paraId="2546D80F" w14:textId="77777777" w:rsidR="00275AA7" w:rsidRPr="00870822" w:rsidRDefault="00275AA7" w:rsidP="00275AA7">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3</w:t>
            </w:r>
          </w:p>
        </w:tc>
        <w:tc>
          <w:tcPr>
            <w:tcW w:w="704" w:type="dxa"/>
            <w:tcBorders>
              <w:top w:val="single" w:sz="4" w:space="0" w:color="auto"/>
              <w:left w:val="nil"/>
              <w:bottom w:val="single" w:sz="4" w:space="0" w:color="auto"/>
              <w:right w:val="nil"/>
            </w:tcBorders>
            <w:vAlign w:val="center"/>
            <w:hideMark/>
          </w:tcPr>
          <w:p w14:paraId="29DB7B43" w14:textId="77777777" w:rsidR="00275AA7" w:rsidRPr="00870822" w:rsidRDefault="00275AA7" w:rsidP="00275AA7">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4</w:t>
            </w:r>
          </w:p>
        </w:tc>
        <w:tc>
          <w:tcPr>
            <w:tcW w:w="627" w:type="dxa"/>
            <w:tcBorders>
              <w:top w:val="single" w:sz="4" w:space="0" w:color="auto"/>
              <w:left w:val="nil"/>
              <w:bottom w:val="single" w:sz="4" w:space="0" w:color="auto"/>
              <w:right w:val="nil"/>
            </w:tcBorders>
            <w:vAlign w:val="center"/>
            <w:hideMark/>
          </w:tcPr>
          <w:p w14:paraId="64147B93" w14:textId="77777777" w:rsidR="00275AA7" w:rsidRPr="00870822" w:rsidRDefault="00275AA7" w:rsidP="00275AA7">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5</w:t>
            </w:r>
          </w:p>
        </w:tc>
      </w:tr>
      <w:tr w:rsidR="00275AA7" w:rsidRPr="00870822" w14:paraId="7D939AD5" w14:textId="77777777" w:rsidTr="00275AA7">
        <w:trPr>
          <w:trHeight w:val="279"/>
        </w:trPr>
        <w:tc>
          <w:tcPr>
            <w:tcW w:w="1384" w:type="dxa"/>
            <w:tcBorders>
              <w:top w:val="nil"/>
              <w:left w:val="nil"/>
              <w:bottom w:val="nil"/>
              <w:right w:val="nil"/>
            </w:tcBorders>
            <w:noWrap/>
            <w:vAlign w:val="center"/>
            <w:hideMark/>
          </w:tcPr>
          <w:p w14:paraId="1F52C66F" w14:textId="77777777" w:rsidR="00275AA7" w:rsidRPr="00870822" w:rsidRDefault="00275AA7" w:rsidP="00275AA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A</w:t>
            </w:r>
          </w:p>
        </w:tc>
        <w:tc>
          <w:tcPr>
            <w:tcW w:w="1856" w:type="dxa"/>
            <w:tcBorders>
              <w:top w:val="nil"/>
              <w:left w:val="nil"/>
              <w:bottom w:val="nil"/>
              <w:right w:val="nil"/>
            </w:tcBorders>
            <w:noWrap/>
            <w:vAlign w:val="center"/>
            <w:hideMark/>
          </w:tcPr>
          <w:p w14:paraId="45935BA1"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-40</w:t>
            </w:r>
          </w:p>
        </w:tc>
        <w:tc>
          <w:tcPr>
            <w:tcW w:w="777" w:type="dxa"/>
            <w:tcBorders>
              <w:top w:val="nil"/>
              <w:left w:val="nil"/>
              <w:bottom w:val="nil"/>
              <w:right w:val="nil"/>
            </w:tcBorders>
            <w:noWrap/>
            <w:vAlign w:val="center"/>
            <w:hideMark/>
          </w:tcPr>
          <w:p w14:paraId="412F0385"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627" w:type="dxa"/>
            <w:tcBorders>
              <w:top w:val="nil"/>
              <w:left w:val="nil"/>
              <w:bottom w:val="nil"/>
              <w:right w:val="nil"/>
            </w:tcBorders>
            <w:noWrap/>
            <w:vAlign w:val="center"/>
            <w:hideMark/>
          </w:tcPr>
          <w:p w14:paraId="43A6E72C"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12</w:t>
            </w:r>
          </w:p>
        </w:tc>
        <w:tc>
          <w:tcPr>
            <w:tcW w:w="627" w:type="dxa"/>
            <w:tcBorders>
              <w:top w:val="nil"/>
              <w:left w:val="nil"/>
              <w:bottom w:val="nil"/>
              <w:right w:val="nil"/>
            </w:tcBorders>
            <w:noWrap/>
            <w:vAlign w:val="center"/>
            <w:hideMark/>
          </w:tcPr>
          <w:p w14:paraId="74FF655D"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14</w:t>
            </w:r>
          </w:p>
        </w:tc>
        <w:tc>
          <w:tcPr>
            <w:tcW w:w="704" w:type="dxa"/>
            <w:tcBorders>
              <w:top w:val="nil"/>
              <w:left w:val="nil"/>
              <w:bottom w:val="nil"/>
              <w:right w:val="nil"/>
            </w:tcBorders>
            <w:noWrap/>
            <w:vAlign w:val="center"/>
            <w:hideMark/>
          </w:tcPr>
          <w:p w14:paraId="04E08D96"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627" w:type="dxa"/>
            <w:tcBorders>
              <w:top w:val="nil"/>
              <w:left w:val="nil"/>
              <w:bottom w:val="nil"/>
              <w:right w:val="nil"/>
            </w:tcBorders>
            <w:noWrap/>
            <w:vAlign w:val="center"/>
            <w:hideMark/>
          </w:tcPr>
          <w:p w14:paraId="35A45D14"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8</w:t>
            </w:r>
          </w:p>
        </w:tc>
      </w:tr>
      <w:tr w:rsidR="00275AA7" w:rsidRPr="00870822" w14:paraId="58EF2D2C" w14:textId="77777777" w:rsidTr="00275AA7">
        <w:trPr>
          <w:trHeight w:val="279"/>
        </w:trPr>
        <w:tc>
          <w:tcPr>
            <w:tcW w:w="1384" w:type="dxa"/>
            <w:tcBorders>
              <w:top w:val="nil"/>
              <w:left w:val="nil"/>
              <w:bottom w:val="nil"/>
              <w:right w:val="nil"/>
            </w:tcBorders>
            <w:noWrap/>
            <w:vAlign w:val="center"/>
            <w:hideMark/>
          </w:tcPr>
          <w:p w14:paraId="22A7E407" w14:textId="77777777" w:rsidR="00275AA7" w:rsidRPr="00870822" w:rsidRDefault="00275AA7" w:rsidP="00275AA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B</w:t>
            </w:r>
          </w:p>
        </w:tc>
        <w:tc>
          <w:tcPr>
            <w:tcW w:w="1856" w:type="dxa"/>
            <w:tcBorders>
              <w:top w:val="nil"/>
              <w:left w:val="nil"/>
              <w:bottom w:val="nil"/>
              <w:right w:val="nil"/>
            </w:tcBorders>
            <w:noWrap/>
            <w:vAlign w:val="center"/>
            <w:hideMark/>
          </w:tcPr>
          <w:p w14:paraId="1DE3A3C2"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-30</w:t>
            </w:r>
          </w:p>
        </w:tc>
        <w:tc>
          <w:tcPr>
            <w:tcW w:w="777" w:type="dxa"/>
            <w:tcBorders>
              <w:top w:val="nil"/>
              <w:left w:val="nil"/>
              <w:bottom w:val="nil"/>
              <w:right w:val="nil"/>
            </w:tcBorders>
            <w:noWrap/>
            <w:vAlign w:val="center"/>
            <w:hideMark/>
          </w:tcPr>
          <w:p w14:paraId="410DFA54"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627" w:type="dxa"/>
            <w:tcBorders>
              <w:top w:val="nil"/>
              <w:left w:val="nil"/>
              <w:bottom w:val="nil"/>
              <w:right w:val="nil"/>
            </w:tcBorders>
            <w:noWrap/>
            <w:vAlign w:val="center"/>
            <w:hideMark/>
          </w:tcPr>
          <w:p w14:paraId="504952D7"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627" w:type="dxa"/>
            <w:tcBorders>
              <w:top w:val="nil"/>
              <w:left w:val="nil"/>
              <w:bottom w:val="nil"/>
              <w:right w:val="nil"/>
            </w:tcBorders>
            <w:noWrap/>
            <w:vAlign w:val="center"/>
            <w:hideMark/>
          </w:tcPr>
          <w:p w14:paraId="27FBD248"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704" w:type="dxa"/>
            <w:tcBorders>
              <w:top w:val="nil"/>
              <w:left w:val="nil"/>
              <w:bottom w:val="nil"/>
              <w:right w:val="nil"/>
            </w:tcBorders>
            <w:noWrap/>
            <w:vAlign w:val="center"/>
            <w:hideMark/>
          </w:tcPr>
          <w:p w14:paraId="02BED546"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627" w:type="dxa"/>
            <w:tcBorders>
              <w:top w:val="nil"/>
              <w:left w:val="nil"/>
              <w:bottom w:val="nil"/>
              <w:right w:val="nil"/>
            </w:tcBorders>
            <w:noWrap/>
            <w:vAlign w:val="center"/>
            <w:hideMark/>
          </w:tcPr>
          <w:p w14:paraId="6E088BFC"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r>
      <w:tr w:rsidR="00275AA7" w:rsidRPr="00870822" w14:paraId="4CDF98CB" w14:textId="77777777" w:rsidTr="00275AA7">
        <w:trPr>
          <w:trHeight w:val="279"/>
        </w:trPr>
        <w:tc>
          <w:tcPr>
            <w:tcW w:w="1384" w:type="dxa"/>
            <w:tcBorders>
              <w:top w:val="nil"/>
              <w:left w:val="nil"/>
              <w:bottom w:val="nil"/>
              <w:right w:val="nil"/>
            </w:tcBorders>
            <w:noWrap/>
            <w:vAlign w:val="center"/>
            <w:hideMark/>
          </w:tcPr>
          <w:p w14:paraId="6AA4CDAB" w14:textId="77777777" w:rsidR="00275AA7" w:rsidRPr="00870822" w:rsidRDefault="00275AA7" w:rsidP="00275AA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C</w:t>
            </w:r>
          </w:p>
        </w:tc>
        <w:tc>
          <w:tcPr>
            <w:tcW w:w="1856" w:type="dxa"/>
            <w:tcBorders>
              <w:top w:val="nil"/>
              <w:left w:val="nil"/>
              <w:bottom w:val="nil"/>
              <w:right w:val="nil"/>
            </w:tcBorders>
            <w:noWrap/>
            <w:vAlign w:val="center"/>
            <w:hideMark/>
          </w:tcPr>
          <w:p w14:paraId="4F730D69"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-50</w:t>
            </w:r>
          </w:p>
        </w:tc>
        <w:tc>
          <w:tcPr>
            <w:tcW w:w="777" w:type="dxa"/>
            <w:tcBorders>
              <w:top w:val="nil"/>
              <w:left w:val="nil"/>
              <w:bottom w:val="nil"/>
              <w:right w:val="nil"/>
            </w:tcBorders>
            <w:noWrap/>
            <w:vAlign w:val="center"/>
            <w:hideMark/>
          </w:tcPr>
          <w:p w14:paraId="0BD64B64"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w:t>
            </w:r>
          </w:p>
        </w:tc>
        <w:tc>
          <w:tcPr>
            <w:tcW w:w="627" w:type="dxa"/>
            <w:tcBorders>
              <w:top w:val="nil"/>
              <w:left w:val="nil"/>
              <w:bottom w:val="nil"/>
              <w:right w:val="nil"/>
            </w:tcBorders>
            <w:noWrap/>
            <w:vAlign w:val="center"/>
            <w:hideMark/>
          </w:tcPr>
          <w:p w14:paraId="3716F16D"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627" w:type="dxa"/>
            <w:tcBorders>
              <w:top w:val="nil"/>
              <w:left w:val="nil"/>
              <w:bottom w:val="nil"/>
              <w:right w:val="nil"/>
            </w:tcBorders>
            <w:noWrap/>
            <w:vAlign w:val="center"/>
            <w:hideMark/>
          </w:tcPr>
          <w:p w14:paraId="0638C1FC"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20</w:t>
            </w:r>
          </w:p>
        </w:tc>
        <w:tc>
          <w:tcPr>
            <w:tcW w:w="704" w:type="dxa"/>
            <w:tcBorders>
              <w:top w:val="nil"/>
              <w:left w:val="nil"/>
              <w:bottom w:val="nil"/>
              <w:right w:val="nil"/>
            </w:tcBorders>
            <w:noWrap/>
            <w:vAlign w:val="center"/>
            <w:hideMark/>
          </w:tcPr>
          <w:p w14:paraId="4A769CCA"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25</w:t>
            </w:r>
          </w:p>
        </w:tc>
        <w:tc>
          <w:tcPr>
            <w:tcW w:w="627" w:type="dxa"/>
            <w:tcBorders>
              <w:top w:val="nil"/>
              <w:left w:val="nil"/>
              <w:bottom w:val="nil"/>
              <w:right w:val="nil"/>
            </w:tcBorders>
            <w:noWrap/>
            <w:vAlign w:val="center"/>
            <w:hideMark/>
          </w:tcPr>
          <w:p w14:paraId="4369CCB8"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w:t>
            </w:r>
          </w:p>
        </w:tc>
      </w:tr>
      <w:tr w:rsidR="00275AA7" w:rsidRPr="00870822" w14:paraId="0DCF6105" w14:textId="77777777" w:rsidTr="00275AA7">
        <w:trPr>
          <w:trHeight w:val="279"/>
        </w:trPr>
        <w:tc>
          <w:tcPr>
            <w:tcW w:w="1384" w:type="dxa"/>
            <w:tcBorders>
              <w:top w:val="nil"/>
              <w:left w:val="nil"/>
              <w:bottom w:val="nil"/>
              <w:right w:val="nil"/>
            </w:tcBorders>
            <w:noWrap/>
            <w:vAlign w:val="bottom"/>
            <w:hideMark/>
          </w:tcPr>
          <w:p w14:paraId="38F57771" w14:textId="77777777" w:rsidR="00275AA7" w:rsidRPr="00870822" w:rsidRDefault="00275AA7" w:rsidP="00275AA7">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Discount rate</w:t>
            </w:r>
          </w:p>
        </w:tc>
        <w:tc>
          <w:tcPr>
            <w:tcW w:w="1856" w:type="dxa"/>
            <w:tcBorders>
              <w:top w:val="nil"/>
              <w:left w:val="nil"/>
              <w:bottom w:val="nil"/>
              <w:right w:val="nil"/>
            </w:tcBorders>
            <w:noWrap/>
            <w:vAlign w:val="bottom"/>
            <w:hideMark/>
          </w:tcPr>
          <w:p w14:paraId="3BF3FFC5"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777" w:type="dxa"/>
            <w:tcBorders>
              <w:top w:val="nil"/>
              <w:left w:val="nil"/>
              <w:bottom w:val="nil"/>
              <w:right w:val="nil"/>
            </w:tcBorders>
            <w:noWrap/>
            <w:vAlign w:val="bottom"/>
            <w:hideMark/>
          </w:tcPr>
          <w:p w14:paraId="1AA7FA9E" w14:textId="77777777" w:rsidR="00275AA7" w:rsidRPr="00870822" w:rsidRDefault="00275AA7" w:rsidP="00275AA7">
            <w:pPr>
              <w:spacing w:after="0" w:line="240" w:lineRule="auto"/>
              <w:jc w:val="right"/>
              <w:rPr>
                <w:rFonts w:ascii="Arial" w:eastAsia="Times New Roman" w:hAnsi="Arial" w:cs="Arial"/>
                <w:color w:val="0D0D0D" w:themeColor="text1" w:themeTint="F2"/>
                <w:sz w:val="22"/>
                <w:lang w:val="en-US" w:eastAsia="en-US"/>
              </w:rPr>
            </w:pPr>
          </w:p>
        </w:tc>
        <w:tc>
          <w:tcPr>
            <w:tcW w:w="627" w:type="dxa"/>
            <w:tcBorders>
              <w:top w:val="nil"/>
              <w:left w:val="nil"/>
              <w:bottom w:val="nil"/>
              <w:right w:val="nil"/>
            </w:tcBorders>
            <w:noWrap/>
            <w:vAlign w:val="bottom"/>
            <w:hideMark/>
          </w:tcPr>
          <w:p w14:paraId="39462EE7"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627" w:type="dxa"/>
            <w:tcBorders>
              <w:top w:val="nil"/>
              <w:left w:val="nil"/>
              <w:bottom w:val="nil"/>
              <w:right w:val="nil"/>
            </w:tcBorders>
            <w:noWrap/>
            <w:vAlign w:val="bottom"/>
            <w:hideMark/>
          </w:tcPr>
          <w:p w14:paraId="548233E6"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704" w:type="dxa"/>
            <w:tcBorders>
              <w:top w:val="nil"/>
              <w:left w:val="nil"/>
              <w:bottom w:val="nil"/>
              <w:right w:val="nil"/>
            </w:tcBorders>
            <w:noWrap/>
            <w:vAlign w:val="bottom"/>
            <w:hideMark/>
          </w:tcPr>
          <w:p w14:paraId="220DF28C"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c>
          <w:tcPr>
            <w:tcW w:w="627" w:type="dxa"/>
            <w:tcBorders>
              <w:top w:val="nil"/>
              <w:left w:val="nil"/>
              <w:bottom w:val="nil"/>
              <w:right w:val="nil"/>
            </w:tcBorders>
            <w:noWrap/>
            <w:vAlign w:val="bottom"/>
            <w:hideMark/>
          </w:tcPr>
          <w:p w14:paraId="0C1E9F3B" w14:textId="77777777" w:rsidR="00275AA7" w:rsidRPr="00870822" w:rsidRDefault="00275AA7" w:rsidP="00275AA7">
            <w:pPr>
              <w:spacing w:after="0" w:line="240" w:lineRule="auto"/>
              <w:jc w:val="left"/>
              <w:rPr>
                <w:rFonts w:ascii="Arial" w:eastAsia="Times New Roman" w:hAnsi="Arial" w:cs="Arial"/>
                <w:color w:val="0D0D0D" w:themeColor="text1" w:themeTint="F2"/>
                <w:sz w:val="20"/>
                <w:szCs w:val="20"/>
                <w:lang w:val="en-US" w:eastAsia="en-US"/>
              </w:rPr>
            </w:pPr>
          </w:p>
        </w:tc>
      </w:tr>
    </w:tbl>
    <w:p w14:paraId="5754A629" w14:textId="77777777" w:rsidR="00384B76" w:rsidRPr="00870822" w:rsidRDefault="00384B76" w:rsidP="002963E2">
      <w:pPr>
        <w:rPr>
          <w:rFonts w:ascii="Arial" w:hAnsi="Arial" w:cs="Arial"/>
          <w:color w:val="0D0D0D" w:themeColor="text1" w:themeTint="F2"/>
          <w:lang w:val="en-US"/>
        </w:rPr>
      </w:pPr>
    </w:p>
    <w:tbl>
      <w:tblPr>
        <w:tblW w:w="6180" w:type="dxa"/>
        <w:jc w:val="center"/>
        <w:tblLook w:val="04A0" w:firstRow="1" w:lastRow="0" w:firstColumn="1" w:lastColumn="0" w:noHBand="0" w:noVBand="1"/>
      </w:tblPr>
      <w:tblGrid>
        <w:gridCol w:w="2780"/>
        <w:gridCol w:w="1760"/>
        <w:gridCol w:w="1640"/>
      </w:tblGrid>
      <w:tr w:rsidR="0019344B" w:rsidRPr="00870822" w14:paraId="7BE0E862" w14:textId="77777777" w:rsidTr="0019344B">
        <w:trPr>
          <w:trHeight w:val="290"/>
          <w:jc w:val="center"/>
        </w:trPr>
        <w:tc>
          <w:tcPr>
            <w:tcW w:w="2780" w:type="dxa"/>
            <w:tcBorders>
              <w:top w:val="nil"/>
              <w:left w:val="nil"/>
              <w:bottom w:val="nil"/>
              <w:right w:val="nil"/>
            </w:tcBorders>
            <w:noWrap/>
            <w:vAlign w:val="bottom"/>
            <w:hideMark/>
          </w:tcPr>
          <w:p w14:paraId="23FDAFAB"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 Payback Period (PBP)</w:t>
            </w:r>
          </w:p>
        </w:tc>
        <w:tc>
          <w:tcPr>
            <w:tcW w:w="1760" w:type="dxa"/>
            <w:tcBorders>
              <w:top w:val="nil"/>
              <w:left w:val="nil"/>
              <w:bottom w:val="nil"/>
              <w:right w:val="nil"/>
            </w:tcBorders>
            <w:noWrap/>
            <w:vAlign w:val="bottom"/>
            <w:hideMark/>
          </w:tcPr>
          <w:p w14:paraId="5648F6C8"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p>
        </w:tc>
        <w:tc>
          <w:tcPr>
            <w:tcW w:w="1640" w:type="dxa"/>
            <w:tcBorders>
              <w:top w:val="nil"/>
              <w:left w:val="nil"/>
              <w:bottom w:val="nil"/>
              <w:right w:val="nil"/>
            </w:tcBorders>
            <w:noWrap/>
            <w:vAlign w:val="bottom"/>
            <w:hideMark/>
          </w:tcPr>
          <w:p w14:paraId="48303152"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r>
      <w:tr w:rsidR="0019344B" w:rsidRPr="00870822" w14:paraId="674FDE7E" w14:textId="77777777" w:rsidTr="0019344B">
        <w:trPr>
          <w:trHeight w:val="290"/>
          <w:jc w:val="center"/>
        </w:trPr>
        <w:tc>
          <w:tcPr>
            <w:tcW w:w="2780" w:type="dxa"/>
            <w:tcBorders>
              <w:top w:val="nil"/>
              <w:left w:val="nil"/>
              <w:bottom w:val="nil"/>
              <w:right w:val="nil"/>
            </w:tcBorders>
            <w:noWrap/>
            <w:vAlign w:val="bottom"/>
            <w:hideMark/>
          </w:tcPr>
          <w:p w14:paraId="7E3FF062"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c>
          <w:tcPr>
            <w:tcW w:w="1760" w:type="dxa"/>
            <w:tcBorders>
              <w:top w:val="nil"/>
              <w:left w:val="nil"/>
              <w:bottom w:val="nil"/>
              <w:right w:val="nil"/>
            </w:tcBorders>
            <w:noWrap/>
            <w:vAlign w:val="bottom"/>
            <w:hideMark/>
          </w:tcPr>
          <w:p w14:paraId="75F5D84F"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73784083"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r>
      <w:tr w:rsidR="0019344B" w:rsidRPr="00870822" w14:paraId="22F15E24" w14:textId="77777777" w:rsidTr="0019344B">
        <w:trPr>
          <w:trHeight w:val="580"/>
          <w:jc w:val="center"/>
        </w:trPr>
        <w:tc>
          <w:tcPr>
            <w:tcW w:w="2780" w:type="dxa"/>
            <w:tcBorders>
              <w:top w:val="single" w:sz="4" w:space="0" w:color="auto"/>
              <w:left w:val="nil"/>
              <w:bottom w:val="single" w:sz="4" w:space="0" w:color="auto"/>
              <w:right w:val="nil"/>
            </w:tcBorders>
            <w:shd w:val="clear" w:color="000000" w:fill="C0E6F5"/>
            <w:vAlign w:val="center"/>
            <w:hideMark/>
          </w:tcPr>
          <w:p w14:paraId="7E17802E" w14:textId="77777777" w:rsidR="0019344B" w:rsidRPr="00870822" w:rsidRDefault="0019344B" w:rsidP="0019344B">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Project A</w:t>
            </w:r>
          </w:p>
        </w:tc>
        <w:tc>
          <w:tcPr>
            <w:tcW w:w="1760" w:type="dxa"/>
            <w:tcBorders>
              <w:top w:val="single" w:sz="4" w:space="0" w:color="auto"/>
              <w:left w:val="nil"/>
              <w:bottom w:val="single" w:sz="4" w:space="0" w:color="auto"/>
              <w:right w:val="nil"/>
            </w:tcBorders>
            <w:shd w:val="clear" w:color="000000" w:fill="C0E6F5"/>
            <w:vAlign w:val="center"/>
            <w:hideMark/>
          </w:tcPr>
          <w:p w14:paraId="669D60F1" w14:textId="77777777" w:rsidR="0019344B" w:rsidRPr="00870822" w:rsidRDefault="0019344B" w:rsidP="0019344B">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Cashflows</w:t>
            </w:r>
          </w:p>
        </w:tc>
        <w:tc>
          <w:tcPr>
            <w:tcW w:w="1640" w:type="dxa"/>
            <w:tcBorders>
              <w:top w:val="single" w:sz="4" w:space="0" w:color="auto"/>
              <w:left w:val="nil"/>
              <w:bottom w:val="single" w:sz="4" w:space="0" w:color="auto"/>
              <w:right w:val="nil"/>
            </w:tcBorders>
            <w:shd w:val="clear" w:color="000000" w:fill="C0E6F5"/>
            <w:vAlign w:val="center"/>
            <w:hideMark/>
          </w:tcPr>
          <w:p w14:paraId="3E9CDDAF" w14:textId="77777777" w:rsidR="0019344B" w:rsidRPr="00870822" w:rsidRDefault="0019344B" w:rsidP="0019344B">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Cumulative CFs</w:t>
            </w:r>
          </w:p>
        </w:tc>
      </w:tr>
      <w:tr w:rsidR="0019344B" w:rsidRPr="00870822" w14:paraId="0E42C0BA" w14:textId="77777777" w:rsidTr="0019344B">
        <w:trPr>
          <w:trHeight w:val="290"/>
          <w:jc w:val="center"/>
        </w:trPr>
        <w:tc>
          <w:tcPr>
            <w:tcW w:w="2780" w:type="dxa"/>
            <w:tcBorders>
              <w:top w:val="nil"/>
              <w:left w:val="nil"/>
              <w:bottom w:val="nil"/>
              <w:right w:val="nil"/>
            </w:tcBorders>
            <w:noWrap/>
            <w:vAlign w:val="center"/>
            <w:hideMark/>
          </w:tcPr>
          <w:p w14:paraId="20B53D35"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Initial Investment (£m)</w:t>
            </w:r>
          </w:p>
        </w:tc>
        <w:tc>
          <w:tcPr>
            <w:tcW w:w="1760" w:type="dxa"/>
            <w:tcBorders>
              <w:top w:val="nil"/>
              <w:left w:val="nil"/>
              <w:bottom w:val="nil"/>
              <w:right w:val="nil"/>
            </w:tcBorders>
            <w:noWrap/>
            <w:vAlign w:val="center"/>
            <w:hideMark/>
          </w:tcPr>
          <w:p w14:paraId="63F9E195" w14:textId="77777777" w:rsidR="0019344B" w:rsidRPr="00870822" w:rsidRDefault="0019344B" w:rsidP="0019344B">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40</w:t>
            </w:r>
          </w:p>
        </w:tc>
        <w:tc>
          <w:tcPr>
            <w:tcW w:w="1640" w:type="dxa"/>
            <w:tcBorders>
              <w:top w:val="nil"/>
              <w:left w:val="nil"/>
              <w:bottom w:val="nil"/>
              <w:right w:val="nil"/>
            </w:tcBorders>
            <w:noWrap/>
            <w:vAlign w:val="bottom"/>
            <w:hideMark/>
          </w:tcPr>
          <w:p w14:paraId="04500E57" w14:textId="77777777" w:rsidR="0019344B" w:rsidRPr="00870822" w:rsidRDefault="0019344B" w:rsidP="0019344B">
            <w:pPr>
              <w:spacing w:after="0" w:line="240" w:lineRule="auto"/>
              <w:ind w:firstLineChars="100" w:firstLine="220"/>
              <w:jc w:val="right"/>
              <w:rPr>
                <w:rFonts w:ascii="Arial" w:eastAsia="Times New Roman" w:hAnsi="Arial" w:cs="Arial"/>
                <w:color w:val="0D0D0D" w:themeColor="text1" w:themeTint="F2"/>
                <w:sz w:val="22"/>
                <w:lang w:val="en-US" w:eastAsia="en-US"/>
              </w:rPr>
            </w:pPr>
          </w:p>
        </w:tc>
      </w:tr>
      <w:tr w:rsidR="0019344B" w:rsidRPr="00870822" w14:paraId="3501F870" w14:textId="77777777" w:rsidTr="0019344B">
        <w:trPr>
          <w:trHeight w:val="290"/>
          <w:jc w:val="center"/>
        </w:trPr>
        <w:tc>
          <w:tcPr>
            <w:tcW w:w="2780" w:type="dxa"/>
            <w:tcBorders>
              <w:top w:val="nil"/>
              <w:left w:val="nil"/>
              <w:bottom w:val="nil"/>
              <w:right w:val="nil"/>
            </w:tcBorders>
            <w:noWrap/>
            <w:vAlign w:val="center"/>
            <w:hideMark/>
          </w:tcPr>
          <w:p w14:paraId="31E85DFD"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1</w:t>
            </w:r>
          </w:p>
        </w:tc>
        <w:tc>
          <w:tcPr>
            <w:tcW w:w="1760" w:type="dxa"/>
            <w:tcBorders>
              <w:top w:val="nil"/>
              <w:left w:val="nil"/>
              <w:bottom w:val="nil"/>
              <w:right w:val="nil"/>
            </w:tcBorders>
            <w:noWrap/>
            <w:vAlign w:val="center"/>
            <w:hideMark/>
          </w:tcPr>
          <w:p w14:paraId="3A6A7226" w14:textId="77777777" w:rsidR="0019344B" w:rsidRPr="00870822" w:rsidRDefault="0019344B" w:rsidP="0019344B">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1640" w:type="dxa"/>
            <w:tcBorders>
              <w:top w:val="nil"/>
              <w:left w:val="nil"/>
              <w:bottom w:val="nil"/>
              <w:right w:val="nil"/>
            </w:tcBorders>
            <w:noWrap/>
            <w:vAlign w:val="bottom"/>
            <w:hideMark/>
          </w:tcPr>
          <w:p w14:paraId="20AA0156"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r>
      <w:tr w:rsidR="0019344B" w:rsidRPr="00870822" w14:paraId="6490503C" w14:textId="77777777" w:rsidTr="0019344B">
        <w:trPr>
          <w:trHeight w:val="290"/>
          <w:jc w:val="center"/>
        </w:trPr>
        <w:tc>
          <w:tcPr>
            <w:tcW w:w="2780" w:type="dxa"/>
            <w:tcBorders>
              <w:top w:val="nil"/>
              <w:left w:val="nil"/>
              <w:bottom w:val="nil"/>
              <w:right w:val="nil"/>
            </w:tcBorders>
            <w:noWrap/>
            <w:vAlign w:val="center"/>
            <w:hideMark/>
          </w:tcPr>
          <w:p w14:paraId="27A4C35F"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2</w:t>
            </w:r>
          </w:p>
        </w:tc>
        <w:tc>
          <w:tcPr>
            <w:tcW w:w="1760" w:type="dxa"/>
            <w:tcBorders>
              <w:top w:val="nil"/>
              <w:left w:val="nil"/>
              <w:bottom w:val="nil"/>
              <w:right w:val="nil"/>
            </w:tcBorders>
            <w:noWrap/>
            <w:vAlign w:val="center"/>
            <w:hideMark/>
          </w:tcPr>
          <w:p w14:paraId="76E7CF74" w14:textId="77777777" w:rsidR="0019344B" w:rsidRPr="00870822" w:rsidRDefault="0019344B" w:rsidP="0019344B">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12</w:t>
            </w:r>
          </w:p>
        </w:tc>
        <w:tc>
          <w:tcPr>
            <w:tcW w:w="1640" w:type="dxa"/>
            <w:tcBorders>
              <w:top w:val="nil"/>
              <w:left w:val="nil"/>
              <w:bottom w:val="nil"/>
              <w:right w:val="nil"/>
            </w:tcBorders>
            <w:noWrap/>
            <w:vAlign w:val="bottom"/>
            <w:hideMark/>
          </w:tcPr>
          <w:p w14:paraId="360E7AF8"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22</w:t>
            </w:r>
          </w:p>
        </w:tc>
      </w:tr>
      <w:tr w:rsidR="0019344B" w:rsidRPr="00870822" w14:paraId="725DAFC6" w14:textId="77777777" w:rsidTr="0019344B">
        <w:trPr>
          <w:trHeight w:val="290"/>
          <w:jc w:val="center"/>
        </w:trPr>
        <w:tc>
          <w:tcPr>
            <w:tcW w:w="2780" w:type="dxa"/>
            <w:tcBorders>
              <w:top w:val="nil"/>
              <w:left w:val="nil"/>
              <w:bottom w:val="nil"/>
              <w:right w:val="nil"/>
            </w:tcBorders>
            <w:noWrap/>
            <w:vAlign w:val="center"/>
            <w:hideMark/>
          </w:tcPr>
          <w:p w14:paraId="0F630D54"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3</w:t>
            </w:r>
          </w:p>
        </w:tc>
        <w:tc>
          <w:tcPr>
            <w:tcW w:w="1760" w:type="dxa"/>
            <w:tcBorders>
              <w:top w:val="nil"/>
              <w:left w:val="nil"/>
              <w:bottom w:val="nil"/>
              <w:right w:val="nil"/>
            </w:tcBorders>
            <w:noWrap/>
            <w:vAlign w:val="center"/>
            <w:hideMark/>
          </w:tcPr>
          <w:p w14:paraId="660308D5" w14:textId="77777777" w:rsidR="0019344B" w:rsidRPr="00870822" w:rsidRDefault="0019344B" w:rsidP="0019344B">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14</w:t>
            </w:r>
          </w:p>
        </w:tc>
        <w:tc>
          <w:tcPr>
            <w:tcW w:w="1640" w:type="dxa"/>
            <w:tcBorders>
              <w:top w:val="nil"/>
              <w:left w:val="nil"/>
              <w:bottom w:val="nil"/>
              <w:right w:val="nil"/>
            </w:tcBorders>
            <w:noWrap/>
            <w:vAlign w:val="bottom"/>
            <w:hideMark/>
          </w:tcPr>
          <w:p w14:paraId="1D76D1DC"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36</w:t>
            </w:r>
          </w:p>
        </w:tc>
      </w:tr>
      <w:tr w:rsidR="0019344B" w:rsidRPr="00870822" w14:paraId="676212E1" w14:textId="77777777" w:rsidTr="0019344B">
        <w:trPr>
          <w:trHeight w:val="290"/>
          <w:jc w:val="center"/>
        </w:trPr>
        <w:tc>
          <w:tcPr>
            <w:tcW w:w="2780" w:type="dxa"/>
            <w:tcBorders>
              <w:top w:val="nil"/>
              <w:left w:val="nil"/>
              <w:bottom w:val="nil"/>
              <w:right w:val="nil"/>
            </w:tcBorders>
            <w:noWrap/>
            <w:vAlign w:val="center"/>
            <w:hideMark/>
          </w:tcPr>
          <w:p w14:paraId="0F2D2A61"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4</w:t>
            </w:r>
          </w:p>
        </w:tc>
        <w:tc>
          <w:tcPr>
            <w:tcW w:w="1760" w:type="dxa"/>
            <w:tcBorders>
              <w:top w:val="nil"/>
              <w:left w:val="nil"/>
              <w:bottom w:val="nil"/>
              <w:right w:val="nil"/>
            </w:tcBorders>
            <w:noWrap/>
            <w:vAlign w:val="center"/>
            <w:hideMark/>
          </w:tcPr>
          <w:p w14:paraId="52BF90FF" w14:textId="77777777" w:rsidR="0019344B" w:rsidRPr="00870822" w:rsidRDefault="0019344B" w:rsidP="0019344B">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1640" w:type="dxa"/>
            <w:tcBorders>
              <w:top w:val="nil"/>
              <w:left w:val="nil"/>
              <w:bottom w:val="nil"/>
              <w:right w:val="nil"/>
            </w:tcBorders>
            <w:noWrap/>
            <w:vAlign w:val="bottom"/>
            <w:hideMark/>
          </w:tcPr>
          <w:p w14:paraId="1A2A6499"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46</w:t>
            </w:r>
          </w:p>
        </w:tc>
      </w:tr>
      <w:tr w:rsidR="0019344B" w:rsidRPr="00870822" w14:paraId="50553DCE" w14:textId="77777777" w:rsidTr="0019344B">
        <w:trPr>
          <w:trHeight w:val="290"/>
          <w:jc w:val="center"/>
        </w:trPr>
        <w:tc>
          <w:tcPr>
            <w:tcW w:w="2780" w:type="dxa"/>
            <w:tcBorders>
              <w:top w:val="nil"/>
              <w:left w:val="nil"/>
              <w:bottom w:val="nil"/>
              <w:right w:val="nil"/>
            </w:tcBorders>
            <w:noWrap/>
            <w:vAlign w:val="center"/>
            <w:hideMark/>
          </w:tcPr>
          <w:p w14:paraId="387B1EA6"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5</w:t>
            </w:r>
          </w:p>
        </w:tc>
        <w:tc>
          <w:tcPr>
            <w:tcW w:w="1760" w:type="dxa"/>
            <w:tcBorders>
              <w:top w:val="nil"/>
              <w:left w:val="nil"/>
              <w:bottom w:val="nil"/>
              <w:right w:val="nil"/>
            </w:tcBorders>
            <w:noWrap/>
            <w:vAlign w:val="center"/>
            <w:hideMark/>
          </w:tcPr>
          <w:p w14:paraId="6653A922" w14:textId="77777777" w:rsidR="0019344B" w:rsidRPr="00870822" w:rsidRDefault="0019344B" w:rsidP="0019344B">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8</w:t>
            </w:r>
          </w:p>
        </w:tc>
        <w:tc>
          <w:tcPr>
            <w:tcW w:w="1640" w:type="dxa"/>
            <w:tcBorders>
              <w:top w:val="nil"/>
              <w:left w:val="nil"/>
              <w:bottom w:val="nil"/>
              <w:right w:val="nil"/>
            </w:tcBorders>
            <w:noWrap/>
            <w:vAlign w:val="bottom"/>
            <w:hideMark/>
          </w:tcPr>
          <w:p w14:paraId="328C6D98"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54</w:t>
            </w:r>
          </w:p>
        </w:tc>
      </w:tr>
      <w:tr w:rsidR="0019344B" w:rsidRPr="00870822" w14:paraId="7D11AE56" w14:textId="77777777" w:rsidTr="0019344B">
        <w:trPr>
          <w:trHeight w:val="290"/>
          <w:jc w:val="center"/>
        </w:trPr>
        <w:tc>
          <w:tcPr>
            <w:tcW w:w="2780" w:type="dxa"/>
            <w:tcBorders>
              <w:top w:val="nil"/>
              <w:left w:val="nil"/>
              <w:bottom w:val="nil"/>
              <w:right w:val="nil"/>
            </w:tcBorders>
            <w:noWrap/>
            <w:vAlign w:val="bottom"/>
            <w:hideMark/>
          </w:tcPr>
          <w:p w14:paraId="7130DCA7"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p>
        </w:tc>
        <w:tc>
          <w:tcPr>
            <w:tcW w:w="1760" w:type="dxa"/>
            <w:tcBorders>
              <w:top w:val="nil"/>
              <w:left w:val="nil"/>
              <w:bottom w:val="nil"/>
              <w:right w:val="nil"/>
            </w:tcBorders>
            <w:noWrap/>
            <w:vAlign w:val="bottom"/>
            <w:hideMark/>
          </w:tcPr>
          <w:p w14:paraId="7A8DE42E"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3077C01C"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r>
      <w:tr w:rsidR="0019344B" w:rsidRPr="00870822" w14:paraId="4A90BFCE" w14:textId="77777777" w:rsidTr="0019344B">
        <w:trPr>
          <w:trHeight w:val="300"/>
          <w:jc w:val="center"/>
        </w:trPr>
        <w:tc>
          <w:tcPr>
            <w:tcW w:w="2780" w:type="dxa"/>
            <w:tcBorders>
              <w:top w:val="single" w:sz="4" w:space="0" w:color="auto"/>
              <w:left w:val="nil"/>
              <w:bottom w:val="single" w:sz="8" w:space="0" w:color="auto"/>
              <w:right w:val="nil"/>
            </w:tcBorders>
            <w:noWrap/>
            <w:vAlign w:val="center"/>
            <w:hideMark/>
          </w:tcPr>
          <w:p w14:paraId="2A5A13FA"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Payback Period</w:t>
            </w:r>
          </w:p>
        </w:tc>
        <w:tc>
          <w:tcPr>
            <w:tcW w:w="1760" w:type="dxa"/>
            <w:tcBorders>
              <w:top w:val="single" w:sz="4" w:space="0" w:color="auto"/>
              <w:left w:val="nil"/>
              <w:bottom w:val="single" w:sz="8" w:space="0" w:color="auto"/>
              <w:right w:val="nil"/>
            </w:tcBorders>
            <w:noWrap/>
            <w:vAlign w:val="bottom"/>
            <w:hideMark/>
          </w:tcPr>
          <w:p w14:paraId="5CBD25AD" w14:textId="77777777" w:rsidR="0019344B" w:rsidRPr="00870822" w:rsidRDefault="0019344B" w:rsidP="0019344B">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3.4</w:t>
            </w:r>
          </w:p>
        </w:tc>
        <w:tc>
          <w:tcPr>
            <w:tcW w:w="1640" w:type="dxa"/>
            <w:tcBorders>
              <w:top w:val="single" w:sz="4" w:space="0" w:color="auto"/>
              <w:left w:val="nil"/>
              <w:bottom w:val="single" w:sz="8" w:space="0" w:color="auto"/>
              <w:right w:val="nil"/>
            </w:tcBorders>
            <w:noWrap/>
            <w:vAlign w:val="bottom"/>
            <w:hideMark/>
          </w:tcPr>
          <w:p w14:paraId="5F5B3F1A"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years</w:t>
            </w:r>
          </w:p>
        </w:tc>
      </w:tr>
    </w:tbl>
    <w:p w14:paraId="05D1AB54" w14:textId="77777777" w:rsidR="002349F4" w:rsidRPr="00870822" w:rsidRDefault="002349F4" w:rsidP="002963E2">
      <w:pPr>
        <w:rPr>
          <w:rFonts w:ascii="Arial" w:hAnsi="Arial" w:cs="Arial"/>
          <w:color w:val="0D0D0D" w:themeColor="text1" w:themeTint="F2"/>
          <w:lang w:val="en-US"/>
        </w:rPr>
      </w:pPr>
    </w:p>
    <w:tbl>
      <w:tblPr>
        <w:tblW w:w="6099" w:type="dxa"/>
        <w:jc w:val="center"/>
        <w:tblLook w:val="04A0" w:firstRow="1" w:lastRow="0" w:firstColumn="1" w:lastColumn="0" w:noHBand="0" w:noVBand="1"/>
      </w:tblPr>
      <w:tblGrid>
        <w:gridCol w:w="1180"/>
        <w:gridCol w:w="1767"/>
        <w:gridCol w:w="1620"/>
        <w:gridCol w:w="1532"/>
      </w:tblGrid>
      <w:tr w:rsidR="0019344B" w:rsidRPr="00870822" w14:paraId="0E91E0EC" w14:textId="77777777" w:rsidTr="0019344B">
        <w:trPr>
          <w:trHeight w:val="580"/>
          <w:jc w:val="center"/>
        </w:trPr>
        <w:tc>
          <w:tcPr>
            <w:tcW w:w="1180" w:type="dxa"/>
            <w:tcBorders>
              <w:top w:val="single" w:sz="4" w:space="0" w:color="auto"/>
              <w:left w:val="nil"/>
              <w:bottom w:val="single" w:sz="4" w:space="0" w:color="auto"/>
              <w:right w:val="nil"/>
            </w:tcBorders>
            <w:shd w:val="clear" w:color="000000" w:fill="FBE2D5"/>
            <w:vAlign w:val="center"/>
            <w:hideMark/>
          </w:tcPr>
          <w:p w14:paraId="33B1CE63" w14:textId="77777777" w:rsidR="0019344B" w:rsidRPr="00870822" w:rsidRDefault="0019344B" w:rsidP="0019344B">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Project B</w:t>
            </w:r>
          </w:p>
        </w:tc>
        <w:tc>
          <w:tcPr>
            <w:tcW w:w="1767" w:type="dxa"/>
            <w:tcBorders>
              <w:top w:val="single" w:sz="4" w:space="0" w:color="auto"/>
              <w:left w:val="nil"/>
              <w:bottom w:val="single" w:sz="4" w:space="0" w:color="auto"/>
              <w:right w:val="nil"/>
            </w:tcBorders>
            <w:shd w:val="clear" w:color="000000" w:fill="FBE2D5"/>
            <w:vAlign w:val="center"/>
            <w:hideMark/>
          </w:tcPr>
          <w:p w14:paraId="474782F5" w14:textId="77777777" w:rsidR="0019344B" w:rsidRPr="00870822" w:rsidRDefault="0019344B" w:rsidP="0019344B">
            <w:pPr>
              <w:spacing w:after="0" w:line="240" w:lineRule="auto"/>
              <w:jc w:val="center"/>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 </w:t>
            </w:r>
          </w:p>
        </w:tc>
        <w:tc>
          <w:tcPr>
            <w:tcW w:w="1620" w:type="dxa"/>
            <w:tcBorders>
              <w:top w:val="single" w:sz="4" w:space="0" w:color="auto"/>
              <w:left w:val="nil"/>
              <w:bottom w:val="single" w:sz="4" w:space="0" w:color="auto"/>
              <w:right w:val="nil"/>
            </w:tcBorders>
            <w:shd w:val="clear" w:color="000000" w:fill="FBE2D5"/>
            <w:vAlign w:val="center"/>
            <w:hideMark/>
          </w:tcPr>
          <w:p w14:paraId="1D77C66D" w14:textId="77777777" w:rsidR="0019344B" w:rsidRPr="00870822" w:rsidRDefault="0019344B" w:rsidP="0019344B">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Cashflows</w:t>
            </w:r>
          </w:p>
        </w:tc>
        <w:tc>
          <w:tcPr>
            <w:tcW w:w="1532" w:type="dxa"/>
            <w:tcBorders>
              <w:top w:val="single" w:sz="4" w:space="0" w:color="auto"/>
              <w:left w:val="nil"/>
              <w:bottom w:val="single" w:sz="4" w:space="0" w:color="auto"/>
              <w:right w:val="nil"/>
            </w:tcBorders>
            <w:shd w:val="clear" w:color="000000" w:fill="FBE2D5"/>
            <w:vAlign w:val="center"/>
            <w:hideMark/>
          </w:tcPr>
          <w:p w14:paraId="1703F9C6" w14:textId="77777777" w:rsidR="0019344B" w:rsidRPr="00870822" w:rsidRDefault="0019344B" w:rsidP="0019344B">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Cumulative CFs</w:t>
            </w:r>
          </w:p>
        </w:tc>
      </w:tr>
      <w:tr w:rsidR="0019344B" w:rsidRPr="00870822" w14:paraId="05C50E3B" w14:textId="77777777" w:rsidTr="0019344B">
        <w:trPr>
          <w:trHeight w:val="290"/>
          <w:jc w:val="center"/>
        </w:trPr>
        <w:tc>
          <w:tcPr>
            <w:tcW w:w="2947" w:type="dxa"/>
            <w:gridSpan w:val="2"/>
            <w:tcBorders>
              <w:top w:val="nil"/>
              <w:left w:val="nil"/>
              <w:bottom w:val="nil"/>
              <w:right w:val="nil"/>
            </w:tcBorders>
            <w:noWrap/>
            <w:vAlign w:val="center"/>
            <w:hideMark/>
          </w:tcPr>
          <w:p w14:paraId="0D6E75DC"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Initial Investment (£m)</w:t>
            </w:r>
          </w:p>
        </w:tc>
        <w:tc>
          <w:tcPr>
            <w:tcW w:w="1620" w:type="dxa"/>
            <w:tcBorders>
              <w:top w:val="nil"/>
              <w:left w:val="nil"/>
              <w:bottom w:val="nil"/>
              <w:right w:val="nil"/>
            </w:tcBorders>
            <w:noWrap/>
            <w:vAlign w:val="center"/>
            <w:hideMark/>
          </w:tcPr>
          <w:p w14:paraId="61AC2E45"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30</w:t>
            </w:r>
          </w:p>
        </w:tc>
        <w:tc>
          <w:tcPr>
            <w:tcW w:w="1532" w:type="dxa"/>
            <w:tcBorders>
              <w:top w:val="nil"/>
              <w:left w:val="nil"/>
              <w:bottom w:val="nil"/>
              <w:right w:val="nil"/>
            </w:tcBorders>
            <w:noWrap/>
            <w:vAlign w:val="bottom"/>
            <w:hideMark/>
          </w:tcPr>
          <w:p w14:paraId="2577F37F"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p>
        </w:tc>
      </w:tr>
      <w:tr w:rsidR="0019344B" w:rsidRPr="00870822" w14:paraId="5C4B2ED9" w14:textId="77777777" w:rsidTr="0019344B">
        <w:trPr>
          <w:trHeight w:val="290"/>
          <w:jc w:val="center"/>
        </w:trPr>
        <w:tc>
          <w:tcPr>
            <w:tcW w:w="1180" w:type="dxa"/>
            <w:tcBorders>
              <w:top w:val="nil"/>
              <w:left w:val="nil"/>
              <w:bottom w:val="nil"/>
              <w:right w:val="nil"/>
            </w:tcBorders>
            <w:noWrap/>
            <w:vAlign w:val="center"/>
            <w:hideMark/>
          </w:tcPr>
          <w:p w14:paraId="73BF9EA9"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1</w:t>
            </w:r>
          </w:p>
        </w:tc>
        <w:tc>
          <w:tcPr>
            <w:tcW w:w="1767" w:type="dxa"/>
            <w:tcBorders>
              <w:top w:val="nil"/>
              <w:left w:val="nil"/>
              <w:bottom w:val="nil"/>
              <w:right w:val="nil"/>
            </w:tcBorders>
            <w:noWrap/>
            <w:vAlign w:val="bottom"/>
            <w:hideMark/>
          </w:tcPr>
          <w:p w14:paraId="1936A033"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p>
        </w:tc>
        <w:tc>
          <w:tcPr>
            <w:tcW w:w="1620" w:type="dxa"/>
            <w:tcBorders>
              <w:top w:val="nil"/>
              <w:left w:val="nil"/>
              <w:bottom w:val="nil"/>
              <w:right w:val="nil"/>
            </w:tcBorders>
            <w:noWrap/>
            <w:vAlign w:val="center"/>
            <w:hideMark/>
          </w:tcPr>
          <w:p w14:paraId="5FAC8018"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532" w:type="dxa"/>
            <w:tcBorders>
              <w:top w:val="nil"/>
              <w:left w:val="nil"/>
              <w:bottom w:val="nil"/>
              <w:right w:val="nil"/>
            </w:tcBorders>
            <w:noWrap/>
            <w:vAlign w:val="bottom"/>
            <w:hideMark/>
          </w:tcPr>
          <w:p w14:paraId="77BB0211"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r>
      <w:tr w:rsidR="0019344B" w:rsidRPr="00870822" w14:paraId="46DC1F8D" w14:textId="77777777" w:rsidTr="0019344B">
        <w:trPr>
          <w:trHeight w:val="290"/>
          <w:jc w:val="center"/>
        </w:trPr>
        <w:tc>
          <w:tcPr>
            <w:tcW w:w="1180" w:type="dxa"/>
            <w:tcBorders>
              <w:top w:val="nil"/>
              <w:left w:val="nil"/>
              <w:bottom w:val="nil"/>
              <w:right w:val="nil"/>
            </w:tcBorders>
            <w:noWrap/>
            <w:vAlign w:val="center"/>
            <w:hideMark/>
          </w:tcPr>
          <w:p w14:paraId="4B513198"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2</w:t>
            </w:r>
          </w:p>
        </w:tc>
        <w:tc>
          <w:tcPr>
            <w:tcW w:w="1767" w:type="dxa"/>
            <w:tcBorders>
              <w:top w:val="nil"/>
              <w:left w:val="nil"/>
              <w:bottom w:val="nil"/>
              <w:right w:val="nil"/>
            </w:tcBorders>
            <w:noWrap/>
            <w:vAlign w:val="bottom"/>
            <w:hideMark/>
          </w:tcPr>
          <w:p w14:paraId="04E86A3E"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p>
        </w:tc>
        <w:tc>
          <w:tcPr>
            <w:tcW w:w="1620" w:type="dxa"/>
            <w:tcBorders>
              <w:top w:val="nil"/>
              <w:left w:val="nil"/>
              <w:bottom w:val="nil"/>
              <w:right w:val="nil"/>
            </w:tcBorders>
            <w:noWrap/>
            <w:vAlign w:val="center"/>
            <w:hideMark/>
          </w:tcPr>
          <w:p w14:paraId="63406DB7"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532" w:type="dxa"/>
            <w:tcBorders>
              <w:top w:val="nil"/>
              <w:left w:val="nil"/>
              <w:bottom w:val="nil"/>
              <w:right w:val="nil"/>
            </w:tcBorders>
            <w:noWrap/>
            <w:vAlign w:val="bottom"/>
            <w:hideMark/>
          </w:tcPr>
          <w:p w14:paraId="39BDF13A"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12</w:t>
            </w:r>
          </w:p>
        </w:tc>
      </w:tr>
      <w:tr w:rsidR="0019344B" w:rsidRPr="00870822" w14:paraId="5AC9DC2B" w14:textId="77777777" w:rsidTr="0019344B">
        <w:trPr>
          <w:trHeight w:val="290"/>
          <w:jc w:val="center"/>
        </w:trPr>
        <w:tc>
          <w:tcPr>
            <w:tcW w:w="1180" w:type="dxa"/>
            <w:tcBorders>
              <w:top w:val="nil"/>
              <w:left w:val="nil"/>
              <w:bottom w:val="nil"/>
              <w:right w:val="nil"/>
            </w:tcBorders>
            <w:noWrap/>
            <w:vAlign w:val="center"/>
            <w:hideMark/>
          </w:tcPr>
          <w:p w14:paraId="05B34A21"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3</w:t>
            </w:r>
          </w:p>
        </w:tc>
        <w:tc>
          <w:tcPr>
            <w:tcW w:w="1767" w:type="dxa"/>
            <w:tcBorders>
              <w:top w:val="nil"/>
              <w:left w:val="nil"/>
              <w:bottom w:val="nil"/>
              <w:right w:val="nil"/>
            </w:tcBorders>
            <w:noWrap/>
            <w:vAlign w:val="bottom"/>
            <w:hideMark/>
          </w:tcPr>
          <w:p w14:paraId="4A2F88AA"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p>
        </w:tc>
        <w:tc>
          <w:tcPr>
            <w:tcW w:w="1620" w:type="dxa"/>
            <w:tcBorders>
              <w:top w:val="nil"/>
              <w:left w:val="nil"/>
              <w:bottom w:val="nil"/>
              <w:right w:val="nil"/>
            </w:tcBorders>
            <w:noWrap/>
            <w:vAlign w:val="center"/>
            <w:hideMark/>
          </w:tcPr>
          <w:p w14:paraId="1C9AAFD6"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532" w:type="dxa"/>
            <w:tcBorders>
              <w:top w:val="nil"/>
              <w:left w:val="nil"/>
              <w:bottom w:val="nil"/>
              <w:right w:val="nil"/>
            </w:tcBorders>
            <w:noWrap/>
            <w:vAlign w:val="bottom"/>
            <w:hideMark/>
          </w:tcPr>
          <w:p w14:paraId="7558628E"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18</w:t>
            </w:r>
          </w:p>
        </w:tc>
      </w:tr>
      <w:tr w:rsidR="0019344B" w:rsidRPr="00870822" w14:paraId="3768BB08" w14:textId="77777777" w:rsidTr="0019344B">
        <w:trPr>
          <w:trHeight w:val="290"/>
          <w:jc w:val="center"/>
        </w:trPr>
        <w:tc>
          <w:tcPr>
            <w:tcW w:w="1180" w:type="dxa"/>
            <w:tcBorders>
              <w:top w:val="nil"/>
              <w:left w:val="nil"/>
              <w:bottom w:val="nil"/>
              <w:right w:val="nil"/>
            </w:tcBorders>
            <w:noWrap/>
            <w:vAlign w:val="center"/>
            <w:hideMark/>
          </w:tcPr>
          <w:p w14:paraId="0D103DC2"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4</w:t>
            </w:r>
          </w:p>
        </w:tc>
        <w:tc>
          <w:tcPr>
            <w:tcW w:w="1767" w:type="dxa"/>
            <w:tcBorders>
              <w:top w:val="nil"/>
              <w:left w:val="nil"/>
              <w:bottom w:val="nil"/>
              <w:right w:val="nil"/>
            </w:tcBorders>
            <w:noWrap/>
            <w:vAlign w:val="bottom"/>
            <w:hideMark/>
          </w:tcPr>
          <w:p w14:paraId="431DF0AD"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p>
        </w:tc>
        <w:tc>
          <w:tcPr>
            <w:tcW w:w="1620" w:type="dxa"/>
            <w:tcBorders>
              <w:top w:val="nil"/>
              <w:left w:val="nil"/>
              <w:bottom w:val="nil"/>
              <w:right w:val="nil"/>
            </w:tcBorders>
            <w:noWrap/>
            <w:vAlign w:val="center"/>
            <w:hideMark/>
          </w:tcPr>
          <w:p w14:paraId="6EA6F556"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532" w:type="dxa"/>
            <w:tcBorders>
              <w:top w:val="nil"/>
              <w:left w:val="nil"/>
              <w:bottom w:val="nil"/>
              <w:right w:val="nil"/>
            </w:tcBorders>
            <w:noWrap/>
            <w:vAlign w:val="bottom"/>
            <w:hideMark/>
          </w:tcPr>
          <w:p w14:paraId="161ED1F1"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24</w:t>
            </w:r>
          </w:p>
        </w:tc>
      </w:tr>
      <w:tr w:rsidR="0019344B" w:rsidRPr="00870822" w14:paraId="34A8913A" w14:textId="77777777" w:rsidTr="0019344B">
        <w:trPr>
          <w:trHeight w:val="290"/>
          <w:jc w:val="center"/>
        </w:trPr>
        <w:tc>
          <w:tcPr>
            <w:tcW w:w="1180" w:type="dxa"/>
            <w:tcBorders>
              <w:top w:val="nil"/>
              <w:left w:val="nil"/>
              <w:bottom w:val="nil"/>
              <w:right w:val="nil"/>
            </w:tcBorders>
            <w:noWrap/>
            <w:vAlign w:val="center"/>
            <w:hideMark/>
          </w:tcPr>
          <w:p w14:paraId="47DBE963"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5</w:t>
            </w:r>
          </w:p>
        </w:tc>
        <w:tc>
          <w:tcPr>
            <w:tcW w:w="1767" w:type="dxa"/>
            <w:tcBorders>
              <w:top w:val="nil"/>
              <w:left w:val="nil"/>
              <w:bottom w:val="nil"/>
              <w:right w:val="nil"/>
            </w:tcBorders>
            <w:noWrap/>
            <w:vAlign w:val="bottom"/>
            <w:hideMark/>
          </w:tcPr>
          <w:p w14:paraId="5A955FBE"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p>
        </w:tc>
        <w:tc>
          <w:tcPr>
            <w:tcW w:w="1620" w:type="dxa"/>
            <w:tcBorders>
              <w:top w:val="nil"/>
              <w:left w:val="nil"/>
              <w:bottom w:val="nil"/>
              <w:right w:val="nil"/>
            </w:tcBorders>
            <w:noWrap/>
            <w:vAlign w:val="center"/>
            <w:hideMark/>
          </w:tcPr>
          <w:p w14:paraId="2F86E1A1"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532" w:type="dxa"/>
            <w:tcBorders>
              <w:top w:val="nil"/>
              <w:left w:val="nil"/>
              <w:bottom w:val="nil"/>
              <w:right w:val="nil"/>
            </w:tcBorders>
            <w:noWrap/>
            <w:vAlign w:val="bottom"/>
            <w:hideMark/>
          </w:tcPr>
          <w:p w14:paraId="648A9CA7"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30</w:t>
            </w:r>
          </w:p>
        </w:tc>
      </w:tr>
      <w:tr w:rsidR="0019344B" w:rsidRPr="00870822" w14:paraId="381BF876" w14:textId="77777777" w:rsidTr="0019344B">
        <w:trPr>
          <w:trHeight w:val="290"/>
          <w:jc w:val="center"/>
        </w:trPr>
        <w:tc>
          <w:tcPr>
            <w:tcW w:w="1180" w:type="dxa"/>
            <w:tcBorders>
              <w:top w:val="nil"/>
              <w:left w:val="nil"/>
              <w:bottom w:val="nil"/>
              <w:right w:val="nil"/>
            </w:tcBorders>
            <w:noWrap/>
            <w:vAlign w:val="bottom"/>
            <w:hideMark/>
          </w:tcPr>
          <w:p w14:paraId="41D840C0" w14:textId="77777777" w:rsidR="0019344B" w:rsidRPr="00870822" w:rsidRDefault="0019344B" w:rsidP="0019344B">
            <w:pPr>
              <w:spacing w:after="0" w:line="240" w:lineRule="auto"/>
              <w:jc w:val="right"/>
              <w:rPr>
                <w:rFonts w:ascii="Arial" w:eastAsia="Times New Roman" w:hAnsi="Arial" w:cs="Arial"/>
                <w:color w:val="0D0D0D" w:themeColor="text1" w:themeTint="F2"/>
                <w:sz w:val="22"/>
                <w:lang w:val="en-US" w:eastAsia="en-US"/>
              </w:rPr>
            </w:pPr>
          </w:p>
        </w:tc>
        <w:tc>
          <w:tcPr>
            <w:tcW w:w="1767" w:type="dxa"/>
            <w:tcBorders>
              <w:top w:val="nil"/>
              <w:left w:val="nil"/>
              <w:bottom w:val="nil"/>
              <w:right w:val="nil"/>
            </w:tcBorders>
            <w:noWrap/>
            <w:vAlign w:val="bottom"/>
            <w:hideMark/>
          </w:tcPr>
          <w:p w14:paraId="2038E80F"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c>
          <w:tcPr>
            <w:tcW w:w="1620" w:type="dxa"/>
            <w:tcBorders>
              <w:top w:val="nil"/>
              <w:left w:val="nil"/>
              <w:bottom w:val="nil"/>
              <w:right w:val="nil"/>
            </w:tcBorders>
            <w:noWrap/>
            <w:vAlign w:val="bottom"/>
            <w:hideMark/>
          </w:tcPr>
          <w:p w14:paraId="422B46EA"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c>
          <w:tcPr>
            <w:tcW w:w="1532" w:type="dxa"/>
            <w:tcBorders>
              <w:top w:val="nil"/>
              <w:left w:val="nil"/>
              <w:bottom w:val="nil"/>
              <w:right w:val="nil"/>
            </w:tcBorders>
            <w:noWrap/>
            <w:vAlign w:val="bottom"/>
            <w:hideMark/>
          </w:tcPr>
          <w:p w14:paraId="114C5315" w14:textId="77777777" w:rsidR="0019344B" w:rsidRPr="00870822" w:rsidRDefault="0019344B" w:rsidP="0019344B">
            <w:pPr>
              <w:spacing w:after="0" w:line="240" w:lineRule="auto"/>
              <w:jc w:val="left"/>
              <w:rPr>
                <w:rFonts w:ascii="Arial" w:eastAsia="Times New Roman" w:hAnsi="Arial" w:cs="Arial"/>
                <w:color w:val="0D0D0D" w:themeColor="text1" w:themeTint="F2"/>
                <w:sz w:val="20"/>
                <w:szCs w:val="20"/>
                <w:lang w:val="en-US" w:eastAsia="en-US"/>
              </w:rPr>
            </w:pPr>
          </w:p>
        </w:tc>
      </w:tr>
      <w:tr w:rsidR="0019344B" w:rsidRPr="00870822" w14:paraId="2805721B" w14:textId="77777777" w:rsidTr="0019344B">
        <w:trPr>
          <w:trHeight w:val="300"/>
          <w:jc w:val="center"/>
        </w:trPr>
        <w:tc>
          <w:tcPr>
            <w:tcW w:w="2947" w:type="dxa"/>
            <w:gridSpan w:val="2"/>
            <w:tcBorders>
              <w:top w:val="single" w:sz="4" w:space="0" w:color="auto"/>
              <w:left w:val="nil"/>
              <w:bottom w:val="single" w:sz="8" w:space="0" w:color="auto"/>
              <w:right w:val="nil"/>
            </w:tcBorders>
            <w:noWrap/>
            <w:vAlign w:val="center"/>
            <w:hideMark/>
          </w:tcPr>
          <w:p w14:paraId="2417AAAC"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Payback Period</w:t>
            </w:r>
          </w:p>
        </w:tc>
        <w:tc>
          <w:tcPr>
            <w:tcW w:w="1620" w:type="dxa"/>
            <w:tcBorders>
              <w:top w:val="single" w:sz="4" w:space="0" w:color="auto"/>
              <w:left w:val="nil"/>
              <w:bottom w:val="single" w:sz="8" w:space="0" w:color="auto"/>
              <w:right w:val="nil"/>
            </w:tcBorders>
            <w:noWrap/>
            <w:vAlign w:val="bottom"/>
            <w:hideMark/>
          </w:tcPr>
          <w:p w14:paraId="3AFB603A" w14:textId="77777777" w:rsidR="0019344B" w:rsidRPr="00870822" w:rsidRDefault="0019344B" w:rsidP="0019344B">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5</w:t>
            </w:r>
          </w:p>
        </w:tc>
        <w:tc>
          <w:tcPr>
            <w:tcW w:w="1532" w:type="dxa"/>
            <w:tcBorders>
              <w:top w:val="single" w:sz="4" w:space="0" w:color="auto"/>
              <w:left w:val="nil"/>
              <w:bottom w:val="single" w:sz="8" w:space="0" w:color="auto"/>
              <w:right w:val="nil"/>
            </w:tcBorders>
            <w:noWrap/>
            <w:vAlign w:val="bottom"/>
            <w:hideMark/>
          </w:tcPr>
          <w:p w14:paraId="58A75F72" w14:textId="77777777" w:rsidR="0019344B" w:rsidRPr="00870822" w:rsidRDefault="0019344B" w:rsidP="0019344B">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years</w:t>
            </w:r>
          </w:p>
        </w:tc>
      </w:tr>
    </w:tbl>
    <w:p w14:paraId="11E4B6F4" w14:textId="77777777" w:rsidR="0019344B" w:rsidRPr="00870822" w:rsidRDefault="0019344B" w:rsidP="002963E2">
      <w:pPr>
        <w:rPr>
          <w:rFonts w:ascii="Arial" w:hAnsi="Arial" w:cs="Arial"/>
          <w:color w:val="0D0D0D" w:themeColor="text1" w:themeTint="F2"/>
          <w:lang w:val="en-US"/>
        </w:rPr>
      </w:pPr>
    </w:p>
    <w:tbl>
      <w:tblPr>
        <w:tblW w:w="8460" w:type="dxa"/>
        <w:tblInd w:w="108" w:type="dxa"/>
        <w:tblLook w:val="04A0" w:firstRow="1" w:lastRow="0" w:firstColumn="1" w:lastColumn="0" w:noHBand="0" w:noVBand="1"/>
      </w:tblPr>
      <w:tblGrid>
        <w:gridCol w:w="2780"/>
        <w:gridCol w:w="1760"/>
        <w:gridCol w:w="1640"/>
        <w:gridCol w:w="1426"/>
        <w:gridCol w:w="963"/>
      </w:tblGrid>
      <w:tr w:rsidR="0038497C" w:rsidRPr="00870822" w14:paraId="46719A14" w14:textId="77777777" w:rsidTr="0038497C">
        <w:trPr>
          <w:trHeight w:val="290"/>
        </w:trPr>
        <w:tc>
          <w:tcPr>
            <w:tcW w:w="4540" w:type="dxa"/>
            <w:gridSpan w:val="2"/>
            <w:tcBorders>
              <w:top w:val="nil"/>
              <w:left w:val="nil"/>
              <w:bottom w:val="nil"/>
              <w:right w:val="nil"/>
            </w:tcBorders>
            <w:noWrap/>
            <w:vAlign w:val="bottom"/>
            <w:hideMark/>
          </w:tcPr>
          <w:p w14:paraId="7EEDCF97" w14:textId="77777777" w:rsidR="0038497C" w:rsidRPr="00870822" w:rsidRDefault="0038497C" w:rsidP="0038497C">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 Accounting Rate of Return (ARR)</w:t>
            </w:r>
          </w:p>
        </w:tc>
        <w:tc>
          <w:tcPr>
            <w:tcW w:w="1640" w:type="dxa"/>
            <w:tcBorders>
              <w:top w:val="nil"/>
              <w:left w:val="nil"/>
              <w:bottom w:val="nil"/>
              <w:right w:val="nil"/>
            </w:tcBorders>
            <w:noWrap/>
            <w:vAlign w:val="bottom"/>
            <w:hideMark/>
          </w:tcPr>
          <w:p w14:paraId="0441D137" w14:textId="77777777" w:rsidR="0038497C" w:rsidRPr="00870822" w:rsidRDefault="0038497C" w:rsidP="0038497C">
            <w:pPr>
              <w:spacing w:after="0" w:line="240" w:lineRule="auto"/>
              <w:jc w:val="left"/>
              <w:rPr>
                <w:rFonts w:ascii="Arial" w:eastAsia="Times New Roman" w:hAnsi="Arial" w:cs="Arial"/>
                <w:b/>
                <w:bCs/>
                <w:color w:val="0D0D0D" w:themeColor="text1" w:themeTint="F2"/>
                <w:sz w:val="22"/>
                <w:lang w:val="en-US" w:eastAsia="en-US"/>
              </w:rPr>
            </w:pPr>
          </w:p>
        </w:tc>
        <w:tc>
          <w:tcPr>
            <w:tcW w:w="1320" w:type="dxa"/>
            <w:tcBorders>
              <w:top w:val="nil"/>
              <w:left w:val="nil"/>
              <w:bottom w:val="nil"/>
              <w:right w:val="nil"/>
            </w:tcBorders>
            <w:noWrap/>
            <w:vAlign w:val="bottom"/>
            <w:hideMark/>
          </w:tcPr>
          <w:p w14:paraId="6C03DA1C" w14:textId="77777777" w:rsidR="0038497C" w:rsidRPr="00870822" w:rsidRDefault="0038497C" w:rsidP="0038497C">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6AD347AD" w14:textId="77777777" w:rsidR="0038497C" w:rsidRPr="00870822" w:rsidRDefault="0038497C" w:rsidP="0038497C">
            <w:pPr>
              <w:spacing w:after="0" w:line="240" w:lineRule="auto"/>
              <w:jc w:val="left"/>
              <w:rPr>
                <w:rFonts w:ascii="Arial" w:eastAsia="Times New Roman" w:hAnsi="Arial" w:cs="Arial"/>
                <w:color w:val="0D0D0D" w:themeColor="text1" w:themeTint="F2"/>
                <w:sz w:val="20"/>
                <w:szCs w:val="20"/>
                <w:lang w:val="en-US" w:eastAsia="en-US"/>
              </w:rPr>
            </w:pPr>
          </w:p>
        </w:tc>
      </w:tr>
      <w:tr w:rsidR="0038497C" w:rsidRPr="00870822" w14:paraId="653396A3" w14:textId="77777777" w:rsidTr="0038497C">
        <w:trPr>
          <w:trHeight w:val="290"/>
        </w:trPr>
        <w:tc>
          <w:tcPr>
            <w:tcW w:w="2780" w:type="dxa"/>
            <w:tcBorders>
              <w:top w:val="nil"/>
              <w:left w:val="nil"/>
              <w:bottom w:val="nil"/>
              <w:right w:val="nil"/>
            </w:tcBorders>
            <w:noWrap/>
            <w:vAlign w:val="bottom"/>
            <w:hideMark/>
          </w:tcPr>
          <w:p w14:paraId="0F30D034" w14:textId="77777777" w:rsidR="0038497C" w:rsidRPr="00870822" w:rsidRDefault="0038497C" w:rsidP="0038497C">
            <w:pPr>
              <w:spacing w:after="0" w:line="240" w:lineRule="auto"/>
              <w:jc w:val="left"/>
              <w:rPr>
                <w:rFonts w:ascii="Arial" w:eastAsia="Times New Roman" w:hAnsi="Arial" w:cs="Arial"/>
                <w:color w:val="0D0D0D" w:themeColor="text1" w:themeTint="F2"/>
                <w:sz w:val="20"/>
                <w:szCs w:val="20"/>
                <w:lang w:val="en-US" w:eastAsia="en-US"/>
              </w:rPr>
            </w:pPr>
          </w:p>
        </w:tc>
        <w:tc>
          <w:tcPr>
            <w:tcW w:w="1760" w:type="dxa"/>
            <w:tcBorders>
              <w:top w:val="nil"/>
              <w:left w:val="nil"/>
              <w:bottom w:val="nil"/>
              <w:right w:val="nil"/>
            </w:tcBorders>
            <w:noWrap/>
            <w:vAlign w:val="bottom"/>
            <w:hideMark/>
          </w:tcPr>
          <w:p w14:paraId="5EB013AF" w14:textId="77777777" w:rsidR="0038497C" w:rsidRPr="00870822" w:rsidRDefault="0038497C" w:rsidP="0038497C">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23F014A4" w14:textId="77777777" w:rsidR="0038497C" w:rsidRPr="00870822" w:rsidRDefault="0038497C" w:rsidP="0038497C">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4C5498EA" w14:textId="77777777" w:rsidR="0038497C" w:rsidRPr="00870822" w:rsidRDefault="0038497C" w:rsidP="0038497C">
            <w:pPr>
              <w:spacing w:after="0" w:line="240" w:lineRule="auto"/>
              <w:jc w:val="left"/>
              <w:rPr>
                <w:rFonts w:ascii="Arial" w:eastAsia="Times New Roman" w:hAnsi="Arial" w:cs="Arial"/>
                <w:color w:val="0D0D0D" w:themeColor="text1" w:themeTint="F2"/>
                <w:sz w:val="20"/>
                <w:szCs w:val="20"/>
                <w:lang w:val="en-US" w:eastAsia="en-US"/>
              </w:rPr>
            </w:pPr>
          </w:p>
        </w:tc>
        <w:tc>
          <w:tcPr>
            <w:tcW w:w="960" w:type="dxa"/>
            <w:tcBorders>
              <w:top w:val="nil"/>
              <w:left w:val="nil"/>
              <w:bottom w:val="nil"/>
              <w:right w:val="nil"/>
            </w:tcBorders>
            <w:noWrap/>
            <w:vAlign w:val="bottom"/>
            <w:hideMark/>
          </w:tcPr>
          <w:p w14:paraId="647B31D5" w14:textId="77777777" w:rsidR="0038497C" w:rsidRPr="00870822" w:rsidRDefault="0038497C" w:rsidP="0038497C">
            <w:pPr>
              <w:spacing w:after="0" w:line="240" w:lineRule="auto"/>
              <w:jc w:val="left"/>
              <w:rPr>
                <w:rFonts w:ascii="Arial" w:eastAsia="Times New Roman" w:hAnsi="Arial" w:cs="Arial"/>
                <w:color w:val="0D0D0D" w:themeColor="text1" w:themeTint="F2"/>
                <w:sz w:val="20"/>
                <w:szCs w:val="20"/>
                <w:lang w:val="en-US" w:eastAsia="en-US"/>
              </w:rPr>
            </w:pPr>
          </w:p>
        </w:tc>
      </w:tr>
      <w:tr w:rsidR="0038497C" w:rsidRPr="00870822" w14:paraId="57D08E38" w14:textId="77777777" w:rsidTr="0038497C">
        <w:trPr>
          <w:trHeight w:val="840"/>
        </w:trPr>
        <w:tc>
          <w:tcPr>
            <w:tcW w:w="2780" w:type="dxa"/>
            <w:tcBorders>
              <w:top w:val="single" w:sz="4" w:space="0" w:color="auto"/>
              <w:left w:val="nil"/>
              <w:bottom w:val="single" w:sz="4" w:space="0" w:color="auto"/>
              <w:right w:val="nil"/>
            </w:tcBorders>
            <w:shd w:val="clear" w:color="000000" w:fill="DAF2D0"/>
            <w:vAlign w:val="center"/>
            <w:hideMark/>
          </w:tcPr>
          <w:p w14:paraId="0726D864" w14:textId="77777777" w:rsidR="0038497C" w:rsidRPr="00870822" w:rsidRDefault="0038497C" w:rsidP="0038497C">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Project</w:t>
            </w:r>
          </w:p>
        </w:tc>
        <w:tc>
          <w:tcPr>
            <w:tcW w:w="1760" w:type="dxa"/>
            <w:tcBorders>
              <w:top w:val="single" w:sz="4" w:space="0" w:color="auto"/>
              <w:left w:val="nil"/>
              <w:bottom w:val="single" w:sz="4" w:space="0" w:color="auto"/>
              <w:right w:val="nil"/>
            </w:tcBorders>
            <w:shd w:val="clear" w:color="000000" w:fill="DAF2D0"/>
            <w:vAlign w:val="center"/>
            <w:hideMark/>
          </w:tcPr>
          <w:p w14:paraId="78481A63" w14:textId="77777777" w:rsidR="0038497C" w:rsidRPr="00870822" w:rsidRDefault="0038497C" w:rsidP="0038497C">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Annual Depreciation (£m)</w:t>
            </w:r>
          </w:p>
        </w:tc>
        <w:tc>
          <w:tcPr>
            <w:tcW w:w="1640" w:type="dxa"/>
            <w:tcBorders>
              <w:top w:val="single" w:sz="4" w:space="0" w:color="auto"/>
              <w:left w:val="nil"/>
              <w:bottom w:val="single" w:sz="4" w:space="0" w:color="auto"/>
              <w:right w:val="nil"/>
            </w:tcBorders>
            <w:shd w:val="clear" w:color="000000" w:fill="DAF2D0"/>
            <w:vAlign w:val="center"/>
            <w:hideMark/>
          </w:tcPr>
          <w:p w14:paraId="012952A9" w14:textId="77777777" w:rsidR="0038497C" w:rsidRPr="00870822" w:rsidRDefault="0038497C" w:rsidP="0038497C">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Average Cash Inflow (£m)</w:t>
            </w:r>
          </w:p>
        </w:tc>
        <w:tc>
          <w:tcPr>
            <w:tcW w:w="1320" w:type="dxa"/>
            <w:tcBorders>
              <w:top w:val="single" w:sz="4" w:space="0" w:color="auto"/>
              <w:left w:val="nil"/>
              <w:bottom w:val="single" w:sz="4" w:space="0" w:color="auto"/>
              <w:right w:val="nil"/>
            </w:tcBorders>
            <w:shd w:val="clear" w:color="000000" w:fill="DAF2D0"/>
            <w:vAlign w:val="center"/>
            <w:hideMark/>
          </w:tcPr>
          <w:p w14:paraId="2954D944" w14:textId="77777777" w:rsidR="0038497C" w:rsidRPr="00870822" w:rsidRDefault="0038497C" w:rsidP="0038497C">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Average Accounting Profit (£m)</w:t>
            </w:r>
          </w:p>
        </w:tc>
        <w:tc>
          <w:tcPr>
            <w:tcW w:w="960" w:type="dxa"/>
            <w:tcBorders>
              <w:top w:val="single" w:sz="4" w:space="0" w:color="auto"/>
              <w:left w:val="nil"/>
              <w:bottom w:val="single" w:sz="4" w:space="0" w:color="auto"/>
              <w:right w:val="nil"/>
            </w:tcBorders>
            <w:shd w:val="clear" w:color="000000" w:fill="DAF2D0"/>
            <w:vAlign w:val="center"/>
            <w:hideMark/>
          </w:tcPr>
          <w:p w14:paraId="371FBE33" w14:textId="77777777" w:rsidR="0038497C" w:rsidRPr="00870822" w:rsidRDefault="0038497C" w:rsidP="0038497C">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ARR (%)</w:t>
            </w:r>
          </w:p>
        </w:tc>
      </w:tr>
      <w:tr w:rsidR="0038497C" w:rsidRPr="00870822" w14:paraId="2680E56F" w14:textId="77777777" w:rsidTr="0038497C">
        <w:trPr>
          <w:trHeight w:val="290"/>
        </w:trPr>
        <w:tc>
          <w:tcPr>
            <w:tcW w:w="2780" w:type="dxa"/>
            <w:tcBorders>
              <w:top w:val="nil"/>
              <w:left w:val="nil"/>
              <w:bottom w:val="nil"/>
              <w:right w:val="nil"/>
            </w:tcBorders>
            <w:noWrap/>
            <w:vAlign w:val="center"/>
            <w:hideMark/>
          </w:tcPr>
          <w:p w14:paraId="76ECDAD9" w14:textId="77777777" w:rsidR="0038497C" w:rsidRPr="00870822" w:rsidRDefault="0038497C" w:rsidP="0038497C">
            <w:pPr>
              <w:spacing w:after="0" w:line="240" w:lineRule="auto"/>
              <w:jc w:val="center"/>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A</w:t>
            </w:r>
          </w:p>
        </w:tc>
        <w:tc>
          <w:tcPr>
            <w:tcW w:w="1760" w:type="dxa"/>
            <w:tcBorders>
              <w:top w:val="nil"/>
              <w:left w:val="nil"/>
              <w:bottom w:val="nil"/>
              <w:right w:val="nil"/>
            </w:tcBorders>
            <w:noWrap/>
            <w:vAlign w:val="center"/>
            <w:hideMark/>
          </w:tcPr>
          <w:p w14:paraId="7794B53C"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8</w:t>
            </w:r>
          </w:p>
        </w:tc>
        <w:tc>
          <w:tcPr>
            <w:tcW w:w="1640" w:type="dxa"/>
            <w:tcBorders>
              <w:top w:val="nil"/>
              <w:left w:val="nil"/>
              <w:bottom w:val="nil"/>
              <w:right w:val="nil"/>
            </w:tcBorders>
            <w:noWrap/>
            <w:vAlign w:val="center"/>
            <w:hideMark/>
          </w:tcPr>
          <w:p w14:paraId="1EF9A91F"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10.8</w:t>
            </w:r>
          </w:p>
        </w:tc>
        <w:tc>
          <w:tcPr>
            <w:tcW w:w="1320" w:type="dxa"/>
            <w:tcBorders>
              <w:top w:val="nil"/>
              <w:left w:val="nil"/>
              <w:bottom w:val="nil"/>
              <w:right w:val="nil"/>
            </w:tcBorders>
            <w:noWrap/>
            <w:vAlign w:val="center"/>
            <w:hideMark/>
          </w:tcPr>
          <w:p w14:paraId="6AD9DA82"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2.8</w:t>
            </w:r>
          </w:p>
        </w:tc>
        <w:tc>
          <w:tcPr>
            <w:tcW w:w="960" w:type="dxa"/>
            <w:tcBorders>
              <w:top w:val="nil"/>
              <w:left w:val="nil"/>
              <w:bottom w:val="nil"/>
              <w:right w:val="nil"/>
            </w:tcBorders>
            <w:noWrap/>
            <w:vAlign w:val="center"/>
            <w:hideMark/>
          </w:tcPr>
          <w:p w14:paraId="42A09BAC"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7.00%</w:t>
            </w:r>
          </w:p>
        </w:tc>
      </w:tr>
      <w:tr w:rsidR="0038497C" w:rsidRPr="00870822" w14:paraId="3449C2F7" w14:textId="77777777" w:rsidTr="0038497C">
        <w:trPr>
          <w:trHeight w:val="290"/>
        </w:trPr>
        <w:tc>
          <w:tcPr>
            <w:tcW w:w="2780" w:type="dxa"/>
            <w:tcBorders>
              <w:top w:val="nil"/>
              <w:left w:val="nil"/>
              <w:bottom w:val="nil"/>
              <w:right w:val="nil"/>
            </w:tcBorders>
            <w:noWrap/>
            <w:vAlign w:val="center"/>
            <w:hideMark/>
          </w:tcPr>
          <w:p w14:paraId="39EEA5E5" w14:textId="77777777" w:rsidR="0038497C" w:rsidRPr="00870822" w:rsidRDefault="0038497C" w:rsidP="0038497C">
            <w:pPr>
              <w:spacing w:after="0" w:line="240" w:lineRule="auto"/>
              <w:jc w:val="center"/>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B</w:t>
            </w:r>
          </w:p>
        </w:tc>
        <w:tc>
          <w:tcPr>
            <w:tcW w:w="1760" w:type="dxa"/>
            <w:tcBorders>
              <w:top w:val="nil"/>
              <w:left w:val="nil"/>
              <w:bottom w:val="nil"/>
              <w:right w:val="nil"/>
            </w:tcBorders>
            <w:noWrap/>
            <w:vAlign w:val="center"/>
            <w:hideMark/>
          </w:tcPr>
          <w:p w14:paraId="135F227A"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640" w:type="dxa"/>
            <w:tcBorders>
              <w:top w:val="nil"/>
              <w:left w:val="nil"/>
              <w:bottom w:val="nil"/>
              <w:right w:val="nil"/>
            </w:tcBorders>
            <w:noWrap/>
            <w:vAlign w:val="center"/>
            <w:hideMark/>
          </w:tcPr>
          <w:p w14:paraId="43BA6575"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320" w:type="dxa"/>
            <w:tcBorders>
              <w:top w:val="nil"/>
              <w:left w:val="nil"/>
              <w:bottom w:val="nil"/>
              <w:right w:val="nil"/>
            </w:tcBorders>
            <w:noWrap/>
            <w:vAlign w:val="center"/>
            <w:hideMark/>
          </w:tcPr>
          <w:p w14:paraId="60D309C0"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w:t>
            </w:r>
          </w:p>
        </w:tc>
        <w:tc>
          <w:tcPr>
            <w:tcW w:w="960" w:type="dxa"/>
            <w:tcBorders>
              <w:top w:val="nil"/>
              <w:left w:val="nil"/>
              <w:bottom w:val="nil"/>
              <w:right w:val="nil"/>
            </w:tcBorders>
            <w:noWrap/>
            <w:vAlign w:val="center"/>
            <w:hideMark/>
          </w:tcPr>
          <w:p w14:paraId="1B29F932"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0.00%</w:t>
            </w:r>
          </w:p>
        </w:tc>
      </w:tr>
      <w:tr w:rsidR="0038497C" w:rsidRPr="00870822" w14:paraId="1E4148A6" w14:textId="77777777" w:rsidTr="0038497C">
        <w:trPr>
          <w:trHeight w:val="290"/>
        </w:trPr>
        <w:tc>
          <w:tcPr>
            <w:tcW w:w="2780" w:type="dxa"/>
            <w:tcBorders>
              <w:top w:val="nil"/>
              <w:left w:val="nil"/>
              <w:bottom w:val="nil"/>
              <w:right w:val="nil"/>
            </w:tcBorders>
            <w:noWrap/>
            <w:vAlign w:val="center"/>
            <w:hideMark/>
          </w:tcPr>
          <w:p w14:paraId="0CC9425E" w14:textId="77777777" w:rsidR="0038497C" w:rsidRPr="00870822" w:rsidRDefault="0038497C" w:rsidP="0038497C">
            <w:pPr>
              <w:spacing w:after="0" w:line="240" w:lineRule="auto"/>
              <w:jc w:val="center"/>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C</w:t>
            </w:r>
          </w:p>
        </w:tc>
        <w:tc>
          <w:tcPr>
            <w:tcW w:w="1760" w:type="dxa"/>
            <w:tcBorders>
              <w:top w:val="nil"/>
              <w:left w:val="nil"/>
              <w:bottom w:val="nil"/>
              <w:right w:val="nil"/>
            </w:tcBorders>
            <w:noWrap/>
            <w:vAlign w:val="center"/>
            <w:hideMark/>
          </w:tcPr>
          <w:p w14:paraId="2003D250"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1640" w:type="dxa"/>
            <w:tcBorders>
              <w:top w:val="nil"/>
              <w:left w:val="nil"/>
              <w:bottom w:val="nil"/>
              <w:right w:val="nil"/>
            </w:tcBorders>
            <w:noWrap/>
            <w:vAlign w:val="center"/>
            <w:hideMark/>
          </w:tcPr>
          <w:p w14:paraId="4DA80973"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15</w:t>
            </w:r>
          </w:p>
        </w:tc>
        <w:tc>
          <w:tcPr>
            <w:tcW w:w="1320" w:type="dxa"/>
            <w:tcBorders>
              <w:top w:val="nil"/>
              <w:left w:val="nil"/>
              <w:bottom w:val="nil"/>
              <w:right w:val="nil"/>
            </w:tcBorders>
            <w:noWrap/>
            <w:vAlign w:val="center"/>
            <w:hideMark/>
          </w:tcPr>
          <w:p w14:paraId="427F5812"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w:t>
            </w:r>
          </w:p>
        </w:tc>
        <w:tc>
          <w:tcPr>
            <w:tcW w:w="960" w:type="dxa"/>
            <w:tcBorders>
              <w:top w:val="nil"/>
              <w:left w:val="nil"/>
              <w:bottom w:val="nil"/>
              <w:right w:val="nil"/>
            </w:tcBorders>
            <w:noWrap/>
            <w:vAlign w:val="center"/>
            <w:hideMark/>
          </w:tcPr>
          <w:p w14:paraId="2A627578" w14:textId="77777777" w:rsidR="0038497C" w:rsidRPr="00870822" w:rsidRDefault="0038497C" w:rsidP="0038497C">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10.00%</w:t>
            </w:r>
          </w:p>
        </w:tc>
      </w:tr>
    </w:tbl>
    <w:p w14:paraId="28EB095B" w14:textId="77777777" w:rsidR="002349F4" w:rsidRPr="00870822" w:rsidRDefault="002349F4" w:rsidP="002963E2">
      <w:pPr>
        <w:rPr>
          <w:rFonts w:ascii="Arial" w:hAnsi="Arial" w:cs="Arial"/>
          <w:color w:val="0D0D0D" w:themeColor="text1" w:themeTint="F2"/>
          <w:lang w:val="en-US"/>
        </w:rPr>
      </w:pPr>
    </w:p>
    <w:p w14:paraId="3EECABA9" w14:textId="77777777" w:rsidR="002349F4" w:rsidRPr="00870822" w:rsidRDefault="002349F4" w:rsidP="002963E2">
      <w:pPr>
        <w:rPr>
          <w:rFonts w:ascii="Arial" w:hAnsi="Arial" w:cs="Arial"/>
          <w:color w:val="0D0D0D" w:themeColor="text1" w:themeTint="F2"/>
          <w:lang w:val="en-US"/>
        </w:rPr>
      </w:pPr>
    </w:p>
    <w:tbl>
      <w:tblPr>
        <w:tblW w:w="7500" w:type="dxa"/>
        <w:jc w:val="center"/>
        <w:tblLook w:val="04A0" w:firstRow="1" w:lastRow="0" w:firstColumn="1" w:lastColumn="0" w:noHBand="0" w:noVBand="1"/>
      </w:tblPr>
      <w:tblGrid>
        <w:gridCol w:w="2780"/>
        <w:gridCol w:w="1760"/>
        <w:gridCol w:w="1640"/>
        <w:gridCol w:w="1320"/>
      </w:tblGrid>
      <w:tr w:rsidR="000E7634" w:rsidRPr="00870822" w14:paraId="36ED7F8E" w14:textId="77777777" w:rsidTr="000E7634">
        <w:trPr>
          <w:trHeight w:val="290"/>
          <w:jc w:val="center"/>
        </w:trPr>
        <w:tc>
          <w:tcPr>
            <w:tcW w:w="2780" w:type="dxa"/>
            <w:tcBorders>
              <w:top w:val="nil"/>
              <w:left w:val="nil"/>
              <w:bottom w:val="nil"/>
              <w:right w:val="nil"/>
            </w:tcBorders>
            <w:noWrap/>
            <w:vAlign w:val="bottom"/>
            <w:hideMark/>
          </w:tcPr>
          <w:p w14:paraId="30DC3087"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3. Net Present Value (NPV)</w:t>
            </w:r>
          </w:p>
        </w:tc>
        <w:tc>
          <w:tcPr>
            <w:tcW w:w="1760" w:type="dxa"/>
            <w:tcBorders>
              <w:top w:val="nil"/>
              <w:left w:val="nil"/>
              <w:bottom w:val="nil"/>
              <w:right w:val="nil"/>
            </w:tcBorders>
            <w:noWrap/>
            <w:vAlign w:val="bottom"/>
            <w:hideMark/>
          </w:tcPr>
          <w:p w14:paraId="0A3E833D"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p>
        </w:tc>
        <w:tc>
          <w:tcPr>
            <w:tcW w:w="1640" w:type="dxa"/>
            <w:tcBorders>
              <w:top w:val="nil"/>
              <w:left w:val="nil"/>
              <w:bottom w:val="nil"/>
              <w:right w:val="nil"/>
            </w:tcBorders>
            <w:noWrap/>
            <w:vAlign w:val="bottom"/>
            <w:hideMark/>
          </w:tcPr>
          <w:p w14:paraId="1B3D669F"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1D96A2BA"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18114702" w14:textId="77777777" w:rsidTr="000E7634">
        <w:trPr>
          <w:trHeight w:val="290"/>
          <w:jc w:val="center"/>
        </w:trPr>
        <w:tc>
          <w:tcPr>
            <w:tcW w:w="2780" w:type="dxa"/>
            <w:tcBorders>
              <w:top w:val="nil"/>
              <w:left w:val="nil"/>
              <w:bottom w:val="nil"/>
              <w:right w:val="nil"/>
            </w:tcBorders>
            <w:noWrap/>
            <w:vAlign w:val="bottom"/>
            <w:hideMark/>
          </w:tcPr>
          <w:p w14:paraId="50433716"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760" w:type="dxa"/>
            <w:tcBorders>
              <w:top w:val="nil"/>
              <w:left w:val="nil"/>
              <w:bottom w:val="nil"/>
              <w:right w:val="nil"/>
            </w:tcBorders>
            <w:noWrap/>
            <w:vAlign w:val="bottom"/>
            <w:hideMark/>
          </w:tcPr>
          <w:p w14:paraId="3DA5324A"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05871EEC"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2BB9F5A3"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68380904" w14:textId="77777777" w:rsidTr="000E7634">
        <w:trPr>
          <w:trHeight w:val="290"/>
          <w:jc w:val="center"/>
        </w:trPr>
        <w:tc>
          <w:tcPr>
            <w:tcW w:w="2780" w:type="dxa"/>
            <w:tcBorders>
              <w:top w:val="single" w:sz="4" w:space="0" w:color="auto"/>
              <w:left w:val="nil"/>
              <w:bottom w:val="single" w:sz="4" w:space="0" w:color="auto"/>
              <w:right w:val="nil"/>
            </w:tcBorders>
            <w:shd w:val="clear" w:color="000000" w:fill="00B050"/>
            <w:vAlign w:val="center"/>
            <w:hideMark/>
          </w:tcPr>
          <w:p w14:paraId="69DDD491"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Project A</w:t>
            </w:r>
          </w:p>
        </w:tc>
        <w:tc>
          <w:tcPr>
            <w:tcW w:w="1760" w:type="dxa"/>
            <w:tcBorders>
              <w:top w:val="single" w:sz="4" w:space="0" w:color="auto"/>
              <w:left w:val="nil"/>
              <w:bottom w:val="single" w:sz="4" w:space="0" w:color="auto"/>
              <w:right w:val="nil"/>
            </w:tcBorders>
            <w:shd w:val="clear" w:color="000000" w:fill="00B050"/>
            <w:vAlign w:val="center"/>
            <w:hideMark/>
          </w:tcPr>
          <w:p w14:paraId="7E30AB65"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Cashflows</w:t>
            </w:r>
          </w:p>
        </w:tc>
        <w:tc>
          <w:tcPr>
            <w:tcW w:w="1640" w:type="dxa"/>
            <w:tcBorders>
              <w:top w:val="single" w:sz="4" w:space="0" w:color="auto"/>
              <w:left w:val="nil"/>
              <w:bottom w:val="single" w:sz="4" w:space="0" w:color="auto"/>
              <w:right w:val="nil"/>
            </w:tcBorders>
            <w:shd w:val="clear" w:color="000000" w:fill="00B050"/>
            <w:vAlign w:val="center"/>
            <w:hideMark/>
          </w:tcPr>
          <w:p w14:paraId="2C2C3109"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Discount factor</w:t>
            </w:r>
          </w:p>
        </w:tc>
        <w:tc>
          <w:tcPr>
            <w:tcW w:w="1320" w:type="dxa"/>
            <w:tcBorders>
              <w:top w:val="single" w:sz="4" w:space="0" w:color="auto"/>
              <w:left w:val="nil"/>
              <w:bottom w:val="single" w:sz="4" w:space="0" w:color="auto"/>
              <w:right w:val="nil"/>
            </w:tcBorders>
            <w:shd w:val="clear" w:color="000000" w:fill="00B050"/>
            <w:vAlign w:val="center"/>
            <w:hideMark/>
          </w:tcPr>
          <w:p w14:paraId="3661FD1D"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PVCF</w:t>
            </w:r>
          </w:p>
        </w:tc>
      </w:tr>
      <w:tr w:rsidR="000E7634" w:rsidRPr="00870822" w14:paraId="3EC9C4CD" w14:textId="77777777" w:rsidTr="000E7634">
        <w:trPr>
          <w:trHeight w:val="290"/>
          <w:jc w:val="center"/>
        </w:trPr>
        <w:tc>
          <w:tcPr>
            <w:tcW w:w="2780" w:type="dxa"/>
            <w:tcBorders>
              <w:top w:val="nil"/>
              <w:left w:val="nil"/>
              <w:bottom w:val="nil"/>
              <w:right w:val="nil"/>
            </w:tcBorders>
            <w:noWrap/>
            <w:vAlign w:val="center"/>
            <w:hideMark/>
          </w:tcPr>
          <w:p w14:paraId="48BEC33B"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Initial Investment (£m)</w:t>
            </w:r>
          </w:p>
        </w:tc>
        <w:tc>
          <w:tcPr>
            <w:tcW w:w="1760" w:type="dxa"/>
            <w:tcBorders>
              <w:top w:val="nil"/>
              <w:left w:val="nil"/>
              <w:bottom w:val="nil"/>
              <w:right w:val="nil"/>
            </w:tcBorders>
            <w:noWrap/>
            <w:vAlign w:val="center"/>
            <w:hideMark/>
          </w:tcPr>
          <w:p w14:paraId="59549409" w14:textId="77777777" w:rsidR="000E7634" w:rsidRPr="00870822" w:rsidRDefault="000E7634" w:rsidP="000E7634">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-40</w:t>
            </w:r>
          </w:p>
        </w:tc>
        <w:tc>
          <w:tcPr>
            <w:tcW w:w="1640" w:type="dxa"/>
            <w:tcBorders>
              <w:top w:val="nil"/>
              <w:left w:val="nil"/>
              <w:bottom w:val="nil"/>
              <w:right w:val="nil"/>
            </w:tcBorders>
            <w:noWrap/>
            <w:vAlign w:val="bottom"/>
            <w:hideMark/>
          </w:tcPr>
          <w:p w14:paraId="1CC002CD" w14:textId="77777777" w:rsidR="000E7634" w:rsidRPr="00870822" w:rsidRDefault="000E7634" w:rsidP="000E7634">
            <w:pPr>
              <w:spacing w:after="0" w:line="240" w:lineRule="auto"/>
              <w:ind w:firstLineChars="100" w:firstLine="220"/>
              <w:jc w:val="right"/>
              <w:rPr>
                <w:rFonts w:ascii="Arial" w:eastAsia="Times New Roman" w:hAnsi="Arial" w:cs="Arial"/>
                <w:color w:val="0D0D0D" w:themeColor="text1" w:themeTint="F2"/>
                <w:sz w:val="22"/>
                <w:lang w:val="en-US" w:eastAsia="en-US"/>
              </w:rPr>
            </w:pPr>
          </w:p>
        </w:tc>
        <w:tc>
          <w:tcPr>
            <w:tcW w:w="1320" w:type="dxa"/>
            <w:tcBorders>
              <w:top w:val="nil"/>
              <w:left w:val="nil"/>
              <w:bottom w:val="nil"/>
              <w:right w:val="nil"/>
            </w:tcBorders>
            <w:noWrap/>
            <w:vAlign w:val="bottom"/>
            <w:hideMark/>
          </w:tcPr>
          <w:p w14:paraId="0D382AAC"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3A843673" w14:textId="77777777" w:rsidTr="000E7634">
        <w:trPr>
          <w:trHeight w:val="290"/>
          <w:jc w:val="center"/>
        </w:trPr>
        <w:tc>
          <w:tcPr>
            <w:tcW w:w="2780" w:type="dxa"/>
            <w:tcBorders>
              <w:top w:val="nil"/>
              <w:left w:val="nil"/>
              <w:bottom w:val="nil"/>
              <w:right w:val="nil"/>
            </w:tcBorders>
            <w:noWrap/>
            <w:vAlign w:val="center"/>
            <w:hideMark/>
          </w:tcPr>
          <w:p w14:paraId="5D8FCEC7"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1</w:t>
            </w:r>
          </w:p>
        </w:tc>
        <w:tc>
          <w:tcPr>
            <w:tcW w:w="1760" w:type="dxa"/>
            <w:tcBorders>
              <w:top w:val="nil"/>
              <w:left w:val="nil"/>
              <w:bottom w:val="nil"/>
              <w:right w:val="nil"/>
            </w:tcBorders>
            <w:noWrap/>
            <w:vAlign w:val="center"/>
            <w:hideMark/>
          </w:tcPr>
          <w:p w14:paraId="70FC8E1E" w14:textId="77777777" w:rsidR="000E7634" w:rsidRPr="00870822" w:rsidRDefault="000E7634" w:rsidP="000E7634">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1640" w:type="dxa"/>
            <w:tcBorders>
              <w:top w:val="nil"/>
              <w:left w:val="nil"/>
              <w:bottom w:val="nil"/>
              <w:right w:val="nil"/>
            </w:tcBorders>
            <w:noWrap/>
            <w:vAlign w:val="bottom"/>
            <w:hideMark/>
          </w:tcPr>
          <w:p w14:paraId="23E50F55"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0.9091</w:t>
            </w:r>
          </w:p>
        </w:tc>
        <w:tc>
          <w:tcPr>
            <w:tcW w:w="1320" w:type="dxa"/>
            <w:tcBorders>
              <w:top w:val="nil"/>
              <w:left w:val="nil"/>
              <w:bottom w:val="nil"/>
              <w:right w:val="nil"/>
            </w:tcBorders>
            <w:noWrap/>
            <w:vAlign w:val="bottom"/>
            <w:hideMark/>
          </w:tcPr>
          <w:p w14:paraId="258A023A"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9.09</w:t>
            </w:r>
          </w:p>
        </w:tc>
      </w:tr>
      <w:tr w:rsidR="000E7634" w:rsidRPr="00870822" w14:paraId="16B06BC5" w14:textId="77777777" w:rsidTr="000E7634">
        <w:trPr>
          <w:trHeight w:val="290"/>
          <w:jc w:val="center"/>
        </w:trPr>
        <w:tc>
          <w:tcPr>
            <w:tcW w:w="2780" w:type="dxa"/>
            <w:tcBorders>
              <w:top w:val="nil"/>
              <w:left w:val="nil"/>
              <w:bottom w:val="nil"/>
              <w:right w:val="nil"/>
            </w:tcBorders>
            <w:noWrap/>
            <w:vAlign w:val="center"/>
            <w:hideMark/>
          </w:tcPr>
          <w:p w14:paraId="7D29A946"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2</w:t>
            </w:r>
          </w:p>
        </w:tc>
        <w:tc>
          <w:tcPr>
            <w:tcW w:w="1760" w:type="dxa"/>
            <w:tcBorders>
              <w:top w:val="nil"/>
              <w:left w:val="nil"/>
              <w:bottom w:val="nil"/>
              <w:right w:val="nil"/>
            </w:tcBorders>
            <w:noWrap/>
            <w:vAlign w:val="center"/>
            <w:hideMark/>
          </w:tcPr>
          <w:p w14:paraId="424FD7EB" w14:textId="77777777" w:rsidR="000E7634" w:rsidRPr="00870822" w:rsidRDefault="000E7634" w:rsidP="000E7634">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12</w:t>
            </w:r>
          </w:p>
        </w:tc>
        <w:tc>
          <w:tcPr>
            <w:tcW w:w="1640" w:type="dxa"/>
            <w:tcBorders>
              <w:top w:val="nil"/>
              <w:left w:val="nil"/>
              <w:bottom w:val="nil"/>
              <w:right w:val="nil"/>
            </w:tcBorders>
            <w:noWrap/>
            <w:vAlign w:val="bottom"/>
            <w:hideMark/>
          </w:tcPr>
          <w:p w14:paraId="0C1B2505"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0.8264</w:t>
            </w:r>
          </w:p>
        </w:tc>
        <w:tc>
          <w:tcPr>
            <w:tcW w:w="1320" w:type="dxa"/>
            <w:tcBorders>
              <w:top w:val="nil"/>
              <w:left w:val="nil"/>
              <w:bottom w:val="nil"/>
              <w:right w:val="nil"/>
            </w:tcBorders>
            <w:noWrap/>
            <w:vAlign w:val="bottom"/>
            <w:hideMark/>
          </w:tcPr>
          <w:p w14:paraId="0867F1B5"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9.92</w:t>
            </w:r>
          </w:p>
        </w:tc>
      </w:tr>
      <w:tr w:rsidR="000E7634" w:rsidRPr="00870822" w14:paraId="55EE9F37" w14:textId="77777777" w:rsidTr="000E7634">
        <w:trPr>
          <w:trHeight w:val="290"/>
          <w:jc w:val="center"/>
        </w:trPr>
        <w:tc>
          <w:tcPr>
            <w:tcW w:w="2780" w:type="dxa"/>
            <w:tcBorders>
              <w:top w:val="nil"/>
              <w:left w:val="nil"/>
              <w:bottom w:val="nil"/>
              <w:right w:val="nil"/>
            </w:tcBorders>
            <w:noWrap/>
            <w:vAlign w:val="center"/>
            <w:hideMark/>
          </w:tcPr>
          <w:p w14:paraId="09233531"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3</w:t>
            </w:r>
          </w:p>
        </w:tc>
        <w:tc>
          <w:tcPr>
            <w:tcW w:w="1760" w:type="dxa"/>
            <w:tcBorders>
              <w:top w:val="nil"/>
              <w:left w:val="nil"/>
              <w:bottom w:val="nil"/>
              <w:right w:val="nil"/>
            </w:tcBorders>
            <w:noWrap/>
            <w:vAlign w:val="center"/>
            <w:hideMark/>
          </w:tcPr>
          <w:p w14:paraId="26BC5D5D" w14:textId="77777777" w:rsidR="000E7634" w:rsidRPr="00870822" w:rsidRDefault="000E7634" w:rsidP="000E7634">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14</w:t>
            </w:r>
          </w:p>
        </w:tc>
        <w:tc>
          <w:tcPr>
            <w:tcW w:w="1640" w:type="dxa"/>
            <w:tcBorders>
              <w:top w:val="nil"/>
              <w:left w:val="nil"/>
              <w:bottom w:val="nil"/>
              <w:right w:val="nil"/>
            </w:tcBorders>
            <w:noWrap/>
            <w:vAlign w:val="bottom"/>
            <w:hideMark/>
          </w:tcPr>
          <w:p w14:paraId="235673FB"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0.7513</w:t>
            </w:r>
          </w:p>
        </w:tc>
        <w:tc>
          <w:tcPr>
            <w:tcW w:w="1320" w:type="dxa"/>
            <w:tcBorders>
              <w:top w:val="nil"/>
              <w:left w:val="nil"/>
              <w:bottom w:val="nil"/>
              <w:right w:val="nil"/>
            </w:tcBorders>
            <w:noWrap/>
            <w:vAlign w:val="bottom"/>
            <w:hideMark/>
          </w:tcPr>
          <w:p w14:paraId="46AC2AB1"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10.52</w:t>
            </w:r>
          </w:p>
        </w:tc>
      </w:tr>
      <w:tr w:rsidR="000E7634" w:rsidRPr="00870822" w14:paraId="7B3E4EFA" w14:textId="77777777" w:rsidTr="000E7634">
        <w:trPr>
          <w:trHeight w:val="290"/>
          <w:jc w:val="center"/>
        </w:trPr>
        <w:tc>
          <w:tcPr>
            <w:tcW w:w="2780" w:type="dxa"/>
            <w:tcBorders>
              <w:top w:val="nil"/>
              <w:left w:val="nil"/>
              <w:bottom w:val="nil"/>
              <w:right w:val="nil"/>
            </w:tcBorders>
            <w:noWrap/>
            <w:vAlign w:val="center"/>
            <w:hideMark/>
          </w:tcPr>
          <w:p w14:paraId="3E5EF5CB"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4</w:t>
            </w:r>
          </w:p>
        </w:tc>
        <w:tc>
          <w:tcPr>
            <w:tcW w:w="1760" w:type="dxa"/>
            <w:tcBorders>
              <w:top w:val="nil"/>
              <w:left w:val="nil"/>
              <w:bottom w:val="nil"/>
              <w:right w:val="nil"/>
            </w:tcBorders>
            <w:noWrap/>
            <w:vAlign w:val="center"/>
            <w:hideMark/>
          </w:tcPr>
          <w:p w14:paraId="5C084D67" w14:textId="77777777" w:rsidR="000E7634" w:rsidRPr="00870822" w:rsidRDefault="000E7634" w:rsidP="000E7634">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10</w:t>
            </w:r>
          </w:p>
        </w:tc>
        <w:tc>
          <w:tcPr>
            <w:tcW w:w="1640" w:type="dxa"/>
            <w:tcBorders>
              <w:top w:val="nil"/>
              <w:left w:val="nil"/>
              <w:bottom w:val="nil"/>
              <w:right w:val="nil"/>
            </w:tcBorders>
            <w:noWrap/>
            <w:vAlign w:val="bottom"/>
            <w:hideMark/>
          </w:tcPr>
          <w:p w14:paraId="458E4E65"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0.6830</w:t>
            </w:r>
          </w:p>
        </w:tc>
        <w:tc>
          <w:tcPr>
            <w:tcW w:w="1320" w:type="dxa"/>
            <w:tcBorders>
              <w:top w:val="nil"/>
              <w:left w:val="nil"/>
              <w:bottom w:val="nil"/>
              <w:right w:val="nil"/>
            </w:tcBorders>
            <w:noWrap/>
            <w:vAlign w:val="bottom"/>
            <w:hideMark/>
          </w:tcPr>
          <w:p w14:paraId="7F625AB2"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6.83</w:t>
            </w:r>
          </w:p>
        </w:tc>
      </w:tr>
      <w:tr w:rsidR="000E7634" w:rsidRPr="00870822" w14:paraId="31EC4FAD" w14:textId="77777777" w:rsidTr="000E7634">
        <w:trPr>
          <w:trHeight w:val="290"/>
          <w:jc w:val="center"/>
        </w:trPr>
        <w:tc>
          <w:tcPr>
            <w:tcW w:w="2780" w:type="dxa"/>
            <w:tcBorders>
              <w:top w:val="nil"/>
              <w:left w:val="nil"/>
              <w:bottom w:val="nil"/>
              <w:right w:val="nil"/>
            </w:tcBorders>
            <w:noWrap/>
            <w:vAlign w:val="center"/>
            <w:hideMark/>
          </w:tcPr>
          <w:p w14:paraId="2068D7D1"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5</w:t>
            </w:r>
          </w:p>
        </w:tc>
        <w:tc>
          <w:tcPr>
            <w:tcW w:w="1760" w:type="dxa"/>
            <w:tcBorders>
              <w:top w:val="nil"/>
              <w:left w:val="nil"/>
              <w:bottom w:val="nil"/>
              <w:right w:val="nil"/>
            </w:tcBorders>
            <w:noWrap/>
            <w:vAlign w:val="center"/>
            <w:hideMark/>
          </w:tcPr>
          <w:p w14:paraId="712C1E4D" w14:textId="77777777" w:rsidR="000E7634" w:rsidRPr="00870822" w:rsidRDefault="000E7634" w:rsidP="000E7634">
            <w:pPr>
              <w:spacing w:after="0" w:line="240" w:lineRule="auto"/>
              <w:ind w:firstLineChars="100" w:firstLine="220"/>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8</w:t>
            </w:r>
          </w:p>
        </w:tc>
        <w:tc>
          <w:tcPr>
            <w:tcW w:w="1640" w:type="dxa"/>
            <w:tcBorders>
              <w:top w:val="nil"/>
              <w:left w:val="nil"/>
              <w:bottom w:val="nil"/>
              <w:right w:val="nil"/>
            </w:tcBorders>
            <w:noWrap/>
            <w:vAlign w:val="bottom"/>
            <w:hideMark/>
          </w:tcPr>
          <w:p w14:paraId="449364B6"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0.6209</w:t>
            </w:r>
          </w:p>
        </w:tc>
        <w:tc>
          <w:tcPr>
            <w:tcW w:w="1320" w:type="dxa"/>
            <w:tcBorders>
              <w:top w:val="nil"/>
              <w:left w:val="nil"/>
              <w:bottom w:val="nil"/>
              <w:right w:val="nil"/>
            </w:tcBorders>
            <w:noWrap/>
            <w:vAlign w:val="bottom"/>
            <w:hideMark/>
          </w:tcPr>
          <w:p w14:paraId="658B73F4"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4.97</w:t>
            </w:r>
          </w:p>
        </w:tc>
      </w:tr>
      <w:tr w:rsidR="000E7634" w:rsidRPr="00870822" w14:paraId="5EF16B2B" w14:textId="77777777" w:rsidTr="000E7634">
        <w:trPr>
          <w:trHeight w:val="290"/>
          <w:jc w:val="center"/>
        </w:trPr>
        <w:tc>
          <w:tcPr>
            <w:tcW w:w="2780" w:type="dxa"/>
            <w:tcBorders>
              <w:top w:val="nil"/>
              <w:left w:val="nil"/>
              <w:bottom w:val="nil"/>
              <w:right w:val="nil"/>
            </w:tcBorders>
            <w:noWrap/>
            <w:vAlign w:val="bottom"/>
            <w:hideMark/>
          </w:tcPr>
          <w:p w14:paraId="51B9793D"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p>
        </w:tc>
        <w:tc>
          <w:tcPr>
            <w:tcW w:w="1760" w:type="dxa"/>
            <w:tcBorders>
              <w:top w:val="nil"/>
              <w:left w:val="nil"/>
              <w:bottom w:val="nil"/>
              <w:right w:val="nil"/>
            </w:tcBorders>
            <w:noWrap/>
            <w:vAlign w:val="bottom"/>
            <w:hideMark/>
          </w:tcPr>
          <w:p w14:paraId="536CE762"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13F58CB8"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Sum of PVCF</w:t>
            </w:r>
          </w:p>
        </w:tc>
        <w:tc>
          <w:tcPr>
            <w:tcW w:w="1320" w:type="dxa"/>
            <w:tcBorders>
              <w:top w:val="nil"/>
              <w:left w:val="nil"/>
              <w:bottom w:val="nil"/>
              <w:right w:val="nil"/>
            </w:tcBorders>
            <w:noWrap/>
            <w:vAlign w:val="bottom"/>
            <w:hideMark/>
          </w:tcPr>
          <w:p w14:paraId="4E243AD2"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41.32</w:t>
            </w:r>
          </w:p>
        </w:tc>
      </w:tr>
      <w:tr w:rsidR="000E7634" w:rsidRPr="00870822" w14:paraId="7BA1BE85" w14:textId="77777777" w:rsidTr="000E7634">
        <w:trPr>
          <w:trHeight w:val="290"/>
          <w:jc w:val="center"/>
        </w:trPr>
        <w:tc>
          <w:tcPr>
            <w:tcW w:w="2780" w:type="dxa"/>
            <w:tcBorders>
              <w:top w:val="nil"/>
              <w:left w:val="nil"/>
              <w:bottom w:val="nil"/>
              <w:right w:val="nil"/>
            </w:tcBorders>
            <w:noWrap/>
            <w:vAlign w:val="bottom"/>
            <w:hideMark/>
          </w:tcPr>
          <w:p w14:paraId="6EA94B80"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p>
        </w:tc>
        <w:tc>
          <w:tcPr>
            <w:tcW w:w="1760" w:type="dxa"/>
            <w:tcBorders>
              <w:top w:val="nil"/>
              <w:left w:val="nil"/>
              <w:bottom w:val="nil"/>
              <w:right w:val="nil"/>
            </w:tcBorders>
            <w:noWrap/>
            <w:vAlign w:val="bottom"/>
            <w:hideMark/>
          </w:tcPr>
          <w:p w14:paraId="6FC26981"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10566B62"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5E624945"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28941B3B" w14:textId="77777777" w:rsidTr="000E7634">
        <w:trPr>
          <w:trHeight w:val="300"/>
          <w:jc w:val="center"/>
        </w:trPr>
        <w:tc>
          <w:tcPr>
            <w:tcW w:w="2780" w:type="dxa"/>
            <w:tcBorders>
              <w:top w:val="single" w:sz="4" w:space="0" w:color="auto"/>
              <w:left w:val="nil"/>
              <w:bottom w:val="single" w:sz="8" w:space="0" w:color="auto"/>
              <w:right w:val="nil"/>
            </w:tcBorders>
            <w:noWrap/>
            <w:vAlign w:val="bottom"/>
            <w:hideMark/>
          </w:tcPr>
          <w:p w14:paraId="0716E816"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NPV</w:t>
            </w:r>
          </w:p>
        </w:tc>
        <w:tc>
          <w:tcPr>
            <w:tcW w:w="1760" w:type="dxa"/>
            <w:tcBorders>
              <w:top w:val="single" w:sz="4" w:space="0" w:color="auto"/>
              <w:left w:val="nil"/>
              <w:bottom w:val="single" w:sz="8" w:space="0" w:color="auto"/>
              <w:right w:val="nil"/>
            </w:tcBorders>
            <w:noWrap/>
            <w:vAlign w:val="bottom"/>
            <w:hideMark/>
          </w:tcPr>
          <w:p w14:paraId="14D23989"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 </w:t>
            </w:r>
          </w:p>
        </w:tc>
        <w:tc>
          <w:tcPr>
            <w:tcW w:w="1640" w:type="dxa"/>
            <w:tcBorders>
              <w:top w:val="single" w:sz="4" w:space="0" w:color="auto"/>
              <w:left w:val="nil"/>
              <w:bottom w:val="single" w:sz="8" w:space="0" w:color="auto"/>
              <w:right w:val="nil"/>
            </w:tcBorders>
            <w:noWrap/>
            <w:vAlign w:val="bottom"/>
            <w:hideMark/>
          </w:tcPr>
          <w:p w14:paraId="5FF5F052"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 </w:t>
            </w:r>
          </w:p>
        </w:tc>
        <w:tc>
          <w:tcPr>
            <w:tcW w:w="1320" w:type="dxa"/>
            <w:tcBorders>
              <w:top w:val="single" w:sz="4" w:space="0" w:color="auto"/>
              <w:left w:val="nil"/>
              <w:bottom w:val="single" w:sz="8" w:space="0" w:color="auto"/>
              <w:right w:val="nil"/>
            </w:tcBorders>
            <w:noWrap/>
            <w:vAlign w:val="bottom"/>
            <w:hideMark/>
          </w:tcPr>
          <w:p w14:paraId="7911526D"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1.32</w:t>
            </w:r>
          </w:p>
        </w:tc>
      </w:tr>
    </w:tbl>
    <w:p w14:paraId="21853177" w14:textId="77777777" w:rsidR="000E7634" w:rsidRPr="00870822" w:rsidRDefault="000E7634" w:rsidP="002963E2">
      <w:pPr>
        <w:rPr>
          <w:rFonts w:ascii="Arial" w:hAnsi="Arial" w:cs="Arial"/>
          <w:color w:val="0D0D0D" w:themeColor="text1" w:themeTint="F2"/>
          <w:lang w:val="en-US"/>
        </w:rPr>
      </w:pPr>
    </w:p>
    <w:tbl>
      <w:tblPr>
        <w:tblW w:w="7520" w:type="dxa"/>
        <w:jc w:val="center"/>
        <w:tblLook w:val="04A0" w:firstRow="1" w:lastRow="0" w:firstColumn="1" w:lastColumn="0" w:noHBand="0" w:noVBand="1"/>
      </w:tblPr>
      <w:tblGrid>
        <w:gridCol w:w="2780"/>
        <w:gridCol w:w="1760"/>
        <w:gridCol w:w="1640"/>
        <w:gridCol w:w="1340"/>
      </w:tblGrid>
      <w:tr w:rsidR="000E7634" w:rsidRPr="00870822" w14:paraId="711BCE36" w14:textId="77777777" w:rsidTr="000E7634">
        <w:trPr>
          <w:trHeight w:val="290"/>
          <w:jc w:val="center"/>
        </w:trPr>
        <w:tc>
          <w:tcPr>
            <w:tcW w:w="2780" w:type="dxa"/>
            <w:tcBorders>
              <w:top w:val="single" w:sz="4" w:space="0" w:color="auto"/>
              <w:left w:val="nil"/>
              <w:bottom w:val="single" w:sz="4" w:space="0" w:color="auto"/>
              <w:right w:val="nil"/>
            </w:tcBorders>
            <w:shd w:val="clear" w:color="000000" w:fill="0070C0"/>
            <w:vAlign w:val="center"/>
            <w:hideMark/>
          </w:tcPr>
          <w:p w14:paraId="51A9F395"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Project B</w:t>
            </w:r>
          </w:p>
        </w:tc>
        <w:tc>
          <w:tcPr>
            <w:tcW w:w="1760" w:type="dxa"/>
            <w:tcBorders>
              <w:top w:val="single" w:sz="4" w:space="0" w:color="auto"/>
              <w:left w:val="nil"/>
              <w:bottom w:val="single" w:sz="4" w:space="0" w:color="auto"/>
              <w:right w:val="nil"/>
            </w:tcBorders>
            <w:shd w:val="clear" w:color="000000" w:fill="0070C0"/>
            <w:vAlign w:val="center"/>
            <w:hideMark/>
          </w:tcPr>
          <w:p w14:paraId="7FF28466"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Cashflows</w:t>
            </w:r>
          </w:p>
        </w:tc>
        <w:tc>
          <w:tcPr>
            <w:tcW w:w="1640" w:type="dxa"/>
            <w:tcBorders>
              <w:top w:val="single" w:sz="4" w:space="0" w:color="auto"/>
              <w:left w:val="nil"/>
              <w:bottom w:val="single" w:sz="4" w:space="0" w:color="auto"/>
              <w:right w:val="nil"/>
            </w:tcBorders>
            <w:shd w:val="clear" w:color="000000" w:fill="0070C0"/>
            <w:vAlign w:val="center"/>
            <w:hideMark/>
          </w:tcPr>
          <w:p w14:paraId="15CE4521"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Discount factor</w:t>
            </w:r>
          </w:p>
        </w:tc>
        <w:tc>
          <w:tcPr>
            <w:tcW w:w="1340" w:type="dxa"/>
            <w:tcBorders>
              <w:top w:val="single" w:sz="4" w:space="0" w:color="auto"/>
              <w:left w:val="nil"/>
              <w:bottom w:val="single" w:sz="4" w:space="0" w:color="auto"/>
              <w:right w:val="nil"/>
            </w:tcBorders>
            <w:shd w:val="clear" w:color="000000" w:fill="0070C0"/>
            <w:vAlign w:val="center"/>
            <w:hideMark/>
          </w:tcPr>
          <w:p w14:paraId="253EB112"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PVCF</w:t>
            </w:r>
          </w:p>
        </w:tc>
      </w:tr>
      <w:tr w:rsidR="000E7634" w:rsidRPr="00870822" w14:paraId="487CCEF3" w14:textId="77777777" w:rsidTr="000E7634">
        <w:trPr>
          <w:trHeight w:val="290"/>
          <w:jc w:val="center"/>
        </w:trPr>
        <w:tc>
          <w:tcPr>
            <w:tcW w:w="2780" w:type="dxa"/>
            <w:tcBorders>
              <w:top w:val="nil"/>
              <w:left w:val="nil"/>
              <w:bottom w:val="nil"/>
              <w:right w:val="nil"/>
            </w:tcBorders>
            <w:noWrap/>
            <w:vAlign w:val="center"/>
            <w:hideMark/>
          </w:tcPr>
          <w:p w14:paraId="52C2E32E"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Initial Investment (£m)</w:t>
            </w:r>
          </w:p>
        </w:tc>
        <w:tc>
          <w:tcPr>
            <w:tcW w:w="1760" w:type="dxa"/>
            <w:tcBorders>
              <w:top w:val="nil"/>
              <w:left w:val="nil"/>
              <w:bottom w:val="nil"/>
              <w:right w:val="nil"/>
            </w:tcBorders>
            <w:noWrap/>
            <w:vAlign w:val="center"/>
            <w:hideMark/>
          </w:tcPr>
          <w:p w14:paraId="19923567"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-30</w:t>
            </w:r>
          </w:p>
        </w:tc>
        <w:tc>
          <w:tcPr>
            <w:tcW w:w="1640" w:type="dxa"/>
            <w:tcBorders>
              <w:top w:val="nil"/>
              <w:left w:val="nil"/>
              <w:bottom w:val="nil"/>
              <w:right w:val="nil"/>
            </w:tcBorders>
            <w:noWrap/>
            <w:vAlign w:val="bottom"/>
            <w:hideMark/>
          </w:tcPr>
          <w:p w14:paraId="19177428"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p>
        </w:tc>
        <w:tc>
          <w:tcPr>
            <w:tcW w:w="1340" w:type="dxa"/>
            <w:tcBorders>
              <w:top w:val="nil"/>
              <w:left w:val="nil"/>
              <w:bottom w:val="nil"/>
              <w:right w:val="nil"/>
            </w:tcBorders>
            <w:noWrap/>
            <w:vAlign w:val="bottom"/>
            <w:hideMark/>
          </w:tcPr>
          <w:p w14:paraId="33CFDDCD"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60789E81" w14:textId="77777777" w:rsidTr="000E7634">
        <w:trPr>
          <w:trHeight w:val="290"/>
          <w:jc w:val="center"/>
        </w:trPr>
        <w:tc>
          <w:tcPr>
            <w:tcW w:w="2780" w:type="dxa"/>
            <w:tcBorders>
              <w:top w:val="nil"/>
              <w:left w:val="nil"/>
              <w:bottom w:val="nil"/>
              <w:right w:val="nil"/>
            </w:tcBorders>
            <w:noWrap/>
            <w:vAlign w:val="center"/>
            <w:hideMark/>
          </w:tcPr>
          <w:p w14:paraId="771C1312"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1</w:t>
            </w:r>
          </w:p>
        </w:tc>
        <w:tc>
          <w:tcPr>
            <w:tcW w:w="1760" w:type="dxa"/>
            <w:tcBorders>
              <w:top w:val="nil"/>
              <w:left w:val="nil"/>
              <w:bottom w:val="nil"/>
              <w:right w:val="nil"/>
            </w:tcBorders>
            <w:noWrap/>
            <w:vAlign w:val="center"/>
            <w:hideMark/>
          </w:tcPr>
          <w:p w14:paraId="0B148EBB"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640" w:type="dxa"/>
            <w:tcBorders>
              <w:top w:val="nil"/>
              <w:left w:val="nil"/>
              <w:bottom w:val="nil"/>
              <w:right w:val="nil"/>
            </w:tcBorders>
            <w:noWrap/>
            <w:vAlign w:val="bottom"/>
            <w:hideMark/>
          </w:tcPr>
          <w:p w14:paraId="2EB452B5"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0.9091</w:t>
            </w:r>
          </w:p>
        </w:tc>
        <w:tc>
          <w:tcPr>
            <w:tcW w:w="1340" w:type="dxa"/>
            <w:tcBorders>
              <w:top w:val="nil"/>
              <w:left w:val="nil"/>
              <w:bottom w:val="nil"/>
              <w:right w:val="nil"/>
            </w:tcBorders>
            <w:noWrap/>
            <w:vAlign w:val="bottom"/>
            <w:hideMark/>
          </w:tcPr>
          <w:p w14:paraId="56D5BB20"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5.45</w:t>
            </w:r>
          </w:p>
        </w:tc>
      </w:tr>
      <w:tr w:rsidR="000E7634" w:rsidRPr="00870822" w14:paraId="3F6DD0A3" w14:textId="77777777" w:rsidTr="000E7634">
        <w:trPr>
          <w:trHeight w:val="290"/>
          <w:jc w:val="center"/>
        </w:trPr>
        <w:tc>
          <w:tcPr>
            <w:tcW w:w="2780" w:type="dxa"/>
            <w:tcBorders>
              <w:top w:val="nil"/>
              <w:left w:val="nil"/>
              <w:bottom w:val="nil"/>
              <w:right w:val="nil"/>
            </w:tcBorders>
            <w:noWrap/>
            <w:vAlign w:val="center"/>
            <w:hideMark/>
          </w:tcPr>
          <w:p w14:paraId="0E659993"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2</w:t>
            </w:r>
          </w:p>
        </w:tc>
        <w:tc>
          <w:tcPr>
            <w:tcW w:w="1760" w:type="dxa"/>
            <w:tcBorders>
              <w:top w:val="nil"/>
              <w:left w:val="nil"/>
              <w:bottom w:val="nil"/>
              <w:right w:val="nil"/>
            </w:tcBorders>
            <w:noWrap/>
            <w:vAlign w:val="center"/>
            <w:hideMark/>
          </w:tcPr>
          <w:p w14:paraId="6AC166A7"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640" w:type="dxa"/>
            <w:tcBorders>
              <w:top w:val="nil"/>
              <w:left w:val="nil"/>
              <w:bottom w:val="nil"/>
              <w:right w:val="nil"/>
            </w:tcBorders>
            <w:noWrap/>
            <w:vAlign w:val="bottom"/>
            <w:hideMark/>
          </w:tcPr>
          <w:p w14:paraId="188C1519"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0.8264</w:t>
            </w:r>
          </w:p>
        </w:tc>
        <w:tc>
          <w:tcPr>
            <w:tcW w:w="1340" w:type="dxa"/>
            <w:tcBorders>
              <w:top w:val="nil"/>
              <w:left w:val="nil"/>
              <w:bottom w:val="nil"/>
              <w:right w:val="nil"/>
            </w:tcBorders>
            <w:noWrap/>
            <w:vAlign w:val="bottom"/>
            <w:hideMark/>
          </w:tcPr>
          <w:p w14:paraId="5112204B"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4.96</w:t>
            </w:r>
          </w:p>
        </w:tc>
      </w:tr>
      <w:tr w:rsidR="000E7634" w:rsidRPr="00870822" w14:paraId="7C1A8F3F" w14:textId="77777777" w:rsidTr="000E7634">
        <w:trPr>
          <w:trHeight w:val="290"/>
          <w:jc w:val="center"/>
        </w:trPr>
        <w:tc>
          <w:tcPr>
            <w:tcW w:w="2780" w:type="dxa"/>
            <w:tcBorders>
              <w:top w:val="nil"/>
              <w:left w:val="nil"/>
              <w:bottom w:val="nil"/>
              <w:right w:val="nil"/>
            </w:tcBorders>
            <w:noWrap/>
            <w:vAlign w:val="center"/>
            <w:hideMark/>
          </w:tcPr>
          <w:p w14:paraId="72E9CC90"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3</w:t>
            </w:r>
          </w:p>
        </w:tc>
        <w:tc>
          <w:tcPr>
            <w:tcW w:w="1760" w:type="dxa"/>
            <w:tcBorders>
              <w:top w:val="nil"/>
              <w:left w:val="nil"/>
              <w:bottom w:val="nil"/>
              <w:right w:val="nil"/>
            </w:tcBorders>
            <w:noWrap/>
            <w:vAlign w:val="center"/>
            <w:hideMark/>
          </w:tcPr>
          <w:p w14:paraId="0E5997DE"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640" w:type="dxa"/>
            <w:tcBorders>
              <w:top w:val="nil"/>
              <w:left w:val="nil"/>
              <w:bottom w:val="nil"/>
              <w:right w:val="nil"/>
            </w:tcBorders>
            <w:noWrap/>
            <w:vAlign w:val="bottom"/>
            <w:hideMark/>
          </w:tcPr>
          <w:p w14:paraId="1E23D453"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0.7513</w:t>
            </w:r>
          </w:p>
        </w:tc>
        <w:tc>
          <w:tcPr>
            <w:tcW w:w="1340" w:type="dxa"/>
            <w:tcBorders>
              <w:top w:val="nil"/>
              <w:left w:val="nil"/>
              <w:bottom w:val="nil"/>
              <w:right w:val="nil"/>
            </w:tcBorders>
            <w:noWrap/>
            <w:vAlign w:val="bottom"/>
            <w:hideMark/>
          </w:tcPr>
          <w:p w14:paraId="5F95423A"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4.51</w:t>
            </w:r>
          </w:p>
        </w:tc>
      </w:tr>
      <w:tr w:rsidR="000E7634" w:rsidRPr="00870822" w14:paraId="42022DCD" w14:textId="77777777" w:rsidTr="000E7634">
        <w:trPr>
          <w:trHeight w:val="290"/>
          <w:jc w:val="center"/>
        </w:trPr>
        <w:tc>
          <w:tcPr>
            <w:tcW w:w="2780" w:type="dxa"/>
            <w:tcBorders>
              <w:top w:val="nil"/>
              <w:left w:val="nil"/>
              <w:bottom w:val="nil"/>
              <w:right w:val="nil"/>
            </w:tcBorders>
            <w:noWrap/>
            <w:vAlign w:val="center"/>
            <w:hideMark/>
          </w:tcPr>
          <w:p w14:paraId="21F65E79"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4</w:t>
            </w:r>
          </w:p>
        </w:tc>
        <w:tc>
          <w:tcPr>
            <w:tcW w:w="1760" w:type="dxa"/>
            <w:tcBorders>
              <w:top w:val="nil"/>
              <w:left w:val="nil"/>
              <w:bottom w:val="nil"/>
              <w:right w:val="nil"/>
            </w:tcBorders>
            <w:noWrap/>
            <w:vAlign w:val="center"/>
            <w:hideMark/>
          </w:tcPr>
          <w:p w14:paraId="039301BB"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640" w:type="dxa"/>
            <w:tcBorders>
              <w:top w:val="nil"/>
              <w:left w:val="nil"/>
              <w:bottom w:val="nil"/>
              <w:right w:val="nil"/>
            </w:tcBorders>
            <w:noWrap/>
            <w:vAlign w:val="bottom"/>
            <w:hideMark/>
          </w:tcPr>
          <w:p w14:paraId="39B61822"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0.6830</w:t>
            </w:r>
          </w:p>
        </w:tc>
        <w:tc>
          <w:tcPr>
            <w:tcW w:w="1340" w:type="dxa"/>
            <w:tcBorders>
              <w:top w:val="nil"/>
              <w:left w:val="nil"/>
              <w:bottom w:val="nil"/>
              <w:right w:val="nil"/>
            </w:tcBorders>
            <w:noWrap/>
            <w:vAlign w:val="bottom"/>
            <w:hideMark/>
          </w:tcPr>
          <w:p w14:paraId="19C8A8D8"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4.10</w:t>
            </w:r>
          </w:p>
        </w:tc>
      </w:tr>
      <w:tr w:rsidR="000E7634" w:rsidRPr="00870822" w14:paraId="0AB5D420" w14:textId="77777777" w:rsidTr="000E7634">
        <w:trPr>
          <w:trHeight w:val="290"/>
          <w:jc w:val="center"/>
        </w:trPr>
        <w:tc>
          <w:tcPr>
            <w:tcW w:w="2780" w:type="dxa"/>
            <w:tcBorders>
              <w:top w:val="nil"/>
              <w:left w:val="nil"/>
              <w:bottom w:val="nil"/>
              <w:right w:val="nil"/>
            </w:tcBorders>
            <w:noWrap/>
            <w:vAlign w:val="center"/>
            <w:hideMark/>
          </w:tcPr>
          <w:p w14:paraId="68A3E850"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Year 5</w:t>
            </w:r>
          </w:p>
        </w:tc>
        <w:tc>
          <w:tcPr>
            <w:tcW w:w="1760" w:type="dxa"/>
            <w:tcBorders>
              <w:top w:val="nil"/>
              <w:left w:val="nil"/>
              <w:bottom w:val="nil"/>
              <w:right w:val="nil"/>
            </w:tcBorders>
            <w:noWrap/>
            <w:vAlign w:val="center"/>
            <w:hideMark/>
          </w:tcPr>
          <w:p w14:paraId="731432E8"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w:t>
            </w:r>
          </w:p>
        </w:tc>
        <w:tc>
          <w:tcPr>
            <w:tcW w:w="1640" w:type="dxa"/>
            <w:tcBorders>
              <w:top w:val="nil"/>
              <w:left w:val="nil"/>
              <w:bottom w:val="nil"/>
              <w:right w:val="nil"/>
            </w:tcBorders>
            <w:noWrap/>
            <w:vAlign w:val="bottom"/>
            <w:hideMark/>
          </w:tcPr>
          <w:p w14:paraId="68F1D30F"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0.6209</w:t>
            </w:r>
          </w:p>
        </w:tc>
        <w:tc>
          <w:tcPr>
            <w:tcW w:w="1340" w:type="dxa"/>
            <w:tcBorders>
              <w:top w:val="nil"/>
              <w:left w:val="nil"/>
              <w:bottom w:val="nil"/>
              <w:right w:val="nil"/>
            </w:tcBorders>
            <w:noWrap/>
            <w:vAlign w:val="bottom"/>
            <w:hideMark/>
          </w:tcPr>
          <w:p w14:paraId="203ACC21"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3.73</w:t>
            </w:r>
          </w:p>
        </w:tc>
      </w:tr>
      <w:tr w:rsidR="000E7634" w:rsidRPr="00870822" w14:paraId="3F995BA8" w14:textId="77777777" w:rsidTr="000E7634">
        <w:trPr>
          <w:trHeight w:val="290"/>
          <w:jc w:val="center"/>
        </w:trPr>
        <w:tc>
          <w:tcPr>
            <w:tcW w:w="2780" w:type="dxa"/>
            <w:tcBorders>
              <w:top w:val="nil"/>
              <w:left w:val="nil"/>
              <w:bottom w:val="nil"/>
              <w:right w:val="nil"/>
            </w:tcBorders>
            <w:noWrap/>
            <w:vAlign w:val="bottom"/>
            <w:hideMark/>
          </w:tcPr>
          <w:p w14:paraId="7C9783B2"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p>
        </w:tc>
        <w:tc>
          <w:tcPr>
            <w:tcW w:w="1760" w:type="dxa"/>
            <w:tcBorders>
              <w:top w:val="nil"/>
              <w:left w:val="nil"/>
              <w:bottom w:val="nil"/>
              <w:right w:val="nil"/>
            </w:tcBorders>
            <w:noWrap/>
            <w:vAlign w:val="bottom"/>
            <w:hideMark/>
          </w:tcPr>
          <w:p w14:paraId="5BA44D15"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492DFD90"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Sum of PVCF</w:t>
            </w:r>
          </w:p>
        </w:tc>
        <w:tc>
          <w:tcPr>
            <w:tcW w:w="1340" w:type="dxa"/>
            <w:tcBorders>
              <w:top w:val="nil"/>
              <w:left w:val="nil"/>
              <w:bottom w:val="nil"/>
              <w:right w:val="nil"/>
            </w:tcBorders>
            <w:noWrap/>
            <w:vAlign w:val="bottom"/>
            <w:hideMark/>
          </w:tcPr>
          <w:p w14:paraId="04655C7A"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22.74</w:t>
            </w:r>
          </w:p>
        </w:tc>
      </w:tr>
      <w:tr w:rsidR="000E7634" w:rsidRPr="00870822" w14:paraId="5CD2F00F" w14:textId="77777777" w:rsidTr="000E7634">
        <w:trPr>
          <w:trHeight w:val="290"/>
          <w:jc w:val="center"/>
        </w:trPr>
        <w:tc>
          <w:tcPr>
            <w:tcW w:w="2780" w:type="dxa"/>
            <w:tcBorders>
              <w:top w:val="nil"/>
              <w:left w:val="nil"/>
              <w:bottom w:val="nil"/>
              <w:right w:val="nil"/>
            </w:tcBorders>
            <w:noWrap/>
            <w:vAlign w:val="bottom"/>
            <w:hideMark/>
          </w:tcPr>
          <w:p w14:paraId="795E23BB"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p>
        </w:tc>
        <w:tc>
          <w:tcPr>
            <w:tcW w:w="1760" w:type="dxa"/>
            <w:tcBorders>
              <w:top w:val="nil"/>
              <w:left w:val="nil"/>
              <w:bottom w:val="nil"/>
              <w:right w:val="nil"/>
            </w:tcBorders>
            <w:noWrap/>
            <w:vAlign w:val="bottom"/>
            <w:hideMark/>
          </w:tcPr>
          <w:p w14:paraId="2B8DA5C3"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741CE1CF"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40" w:type="dxa"/>
            <w:tcBorders>
              <w:top w:val="nil"/>
              <w:left w:val="nil"/>
              <w:bottom w:val="nil"/>
              <w:right w:val="nil"/>
            </w:tcBorders>
            <w:noWrap/>
            <w:vAlign w:val="bottom"/>
            <w:hideMark/>
          </w:tcPr>
          <w:p w14:paraId="130FB657"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12936141" w14:textId="77777777" w:rsidTr="000E7634">
        <w:trPr>
          <w:trHeight w:val="300"/>
          <w:jc w:val="center"/>
        </w:trPr>
        <w:tc>
          <w:tcPr>
            <w:tcW w:w="2780" w:type="dxa"/>
            <w:tcBorders>
              <w:top w:val="single" w:sz="4" w:space="0" w:color="auto"/>
              <w:left w:val="nil"/>
              <w:bottom w:val="single" w:sz="8" w:space="0" w:color="auto"/>
              <w:right w:val="nil"/>
            </w:tcBorders>
            <w:noWrap/>
            <w:vAlign w:val="bottom"/>
            <w:hideMark/>
          </w:tcPr>
          <w:p w14:paraId="23506217"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NPV</w:t>
            </w:r>
          </w:p>
        </w:tc>
        <w:tc>
          <w:tcPr>
            <w:tcW w:w="1760" w:type="dxa"/>
            <w:tcBorders>
              <w:top w:val="single" w:sz="4" w:space="0" w:color="auto"/>
              <w:left w:val="nil"/>
              <w:bottom w:val="single" w:sz="8" w:space="0" w:color="auto"/>
              <w:right w:val="nil"/>
            </w:tcBorders>
            <w:noWrap/>
            <w:vAlign w:val="bottom"/>
            <w:hideMark/>
          </w:tcPr>
          <w:p w14:paraId="5DCFE2BF"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 </w:t>
            </w:r>
          </w:p>
        </w:tc>
        <w:tc>
          <w:tcPr>
            <w:tcW w:w="1640" w:type="dxa"/>
            <w:tcBorders>
              <w:top w:val="single" w:sz="4" w:space="0" w:color="auto"/>
              <w:left w:val="nil"/>
              <w:bottom w:val="single" w:sz="8" w:space="0" w:color="auto"/>
              <w:right w:val="nil"/>
            </w:tcBorders>
            <w:noWrap/>
            <w:vAlign w:val="bottom"/>
            <w:hideMark/>
          </w:tcPr>
          <w:p w14:paraId="0B3AA3CA"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 </w:t>
            </w:r>
          </w:p>
        </w:tc>
        <w:tc>
          <w:tcPr>
            <w:tcW w:w="1340" w:type="dxa"/>
            <w:tcBorders>
              <w:top w:val="single" w:sz="4" w:space="0" w:color="auto"/>
              <w:left w:val="nil"/>
              <w:bottom w:val="single" w:sz="8" w:space="0" w:color="auto"/>
              <w:right w:val="nil"/>
            </w:tcBorders>
            <w:noWrap/>
            <w:vAlign w:val="bottom"/>
            <w:hideMark/>
          </w:tcPr>
          <w:p w14:paraId="63AA2D29"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-7.26</w:t>
            </w:r>
          </w:p>
        </w:tc>
      </w:tr>
    </w:tbl>
    <w:p w14:paraId="79D74614" w14:textId="77777777" w:rsidR="000E7634" w:rsidRPr="00870822" w:rsidRDefault="000E7634" w:rsidP="002963E2">
      <w:pPr>
        <w:rPr>
          <w:rFonts w:ascii="Arial" w:hAnsi="Arial" w:cs="Arial"/>
          <w:color w:val="0D0D0D" w:themeColor="text1" w:themeTint="F2"/>
          <w:lang w:val="en-US"/>
        </w:rPr>
      </w:pPr>
    </w:p>
    <w:tbl>
      <w:tblPr>
        <w:tblW w:w="7500" w:type="dxa"/>
        <w:jc w:val="center"/>
        <w:tblLook w:val="04A0" w:firstRow="1" w:lastRow="0" w:firstColumn="1" w:lastColumn="0" w:noHBand="0" w:noVBand="1"/>
      </w:tblPr>
      <w:tblGrid>
        <w:gridCol w:w="2780"/>
        <w:gridCol w:w="1760"/>
        <w:gridCol w:w="1640"/>
        <w:gridCol w:w="1320"/>
      </w:tblGrid>
      <w:tr w:rsidR="000E7634" w:rsidRPr="00870822" w14:paraId="65E16641" w14:textId="77777777" w:rsidTr="000E7634">
        <w:trPr>
          <w:trHeight w:val="290"/>
          <w:jc w:val="center"/>
        </w:trPr>
        <w:tc>
          <w:tcPr>
            <w:tcW w:w="2780" w:type="dxa"/>
            <w:tcBorders>
              <w:top w:val="nil"/>
              <w:left w:val="nil"/>
              <w:bottom w:val="nil"/>
              <w:right w:val="nil"/>
            </w:tcBorders>
            <w:noWrap/>
            <w:vAlign w:val="bottom"/>
            <w:hideMark/>
          </w:tcPr>
          <w:p w14:paraId="7BD55C55"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4. Profitability Index (PI)</w:t>
            </w:r>
          </w:p>
        </w:tc>
        <w:tc>
          <w:tcPr>
            <w:tcW w:w="1760" w:type="dxa"/>
            <w:tcBorders>
              <w:top w:val="nil"/>
              <w:left w:val="nil"/>
              <w:bottom w:val="nil"/>
              <w:right w:val="nil"/>
            </w:tcBorders>
            <w:noWrap/>
            <w:vAlign w:val="bottom"/>
            <w:hideMark/>
          </w:tcPr>
          <w:p w14:paraId="43442D47"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p>
        </w:tc>
        <w:tc>
          <w:tcPr>
            <w:tcW w:w="1640" w:type="dxa"/>
            <w:tcBorders>
              <w:top w:val="nil"/>
              <w:left w:val="nil"/>
              <w:bottom w:val="nil"/>
              <w:right w:val="nil"/>
            </w:tcBorders>
            <w:noWrap/>
            <w:vAlign w:val="bottom"/>
            <w:hideMark/>
          </w:tcPr>
          <w:p w14:paraId="2989D523"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27C2591D"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3141443C" w14:textId="77777777" w:rsidTr="000E7634">
        <w:trPr>
          <w:trHeight w:val="290"/>
          <w:jc w:val="center"/>
        </w:trPr>
        <w:tc>
          <w:tcPr>
            <w:tcW w:w="2780" w:type="dxa"/>
            <w:tcBorders>
              <w:top w:val="nil"/>
              <w:left w:val="nil"/>
              <w:bottom w:val="nil"/>
              <w:right w:val="nil"/>
            </w:tcBorders>
            <w:noWrap/>
            <w:vAlign w:val="bottom"/>
            <w:hideMark/>
          </w:tcPr>
          <w:p w14:paraId="131CB8B6"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760" w:type="dxa"/>
            <w:tcBorders>
              <w:top w:val="nil"/>
              <w:left w:val="nil"/>
              <w:bottom w:val="nil"/>
              <w:right w:val="nil"/>
            </w:tcBorders>
            <w:noWrap/>
            <w:vAlign w:val="bottom"/>
            <w:hideMark/>
          </w:tcPr>
          <w:p w14:paraId="4FE6E393"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67B566DA"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35379AFA"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0BFC4480" w14:textId="77777777" w:rsidTr="000E7634">
        <w:trPr>
          <w:trHeight w:val="590"/>
          <w:jc w:val="center"/>
        </w:trPr>
        <w:tc>
          <w:tcPr>
            <w:tcW w:w="2780" w:type="dxa"/>
            <w:tcBorders>
              <w:top w:val="single" w:sz="4" w:space="0" w:color="auto"/>
              <w:left w:val="nil"/>
              <w:bottom w:val="single" w:sz="4" w:space="0" w:color="auto"/>
              <w:right w:val="nil"/>
            </w:tcBorders>
            <w:shd w:val="clear" w:color="000000" w:fill="7E350E"/>
            <w:vAlign w:val="center"/>
            <w:hideMark/>
          </w:tcPr>
          <w:p w14:paraId="2FE37C5A"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Project</w:t>
            </w:r>
          </w:p>
        </w:tc>
        <w:tc>
          <w:tcPr>
            <w:tcW w:w="1760" w:type="dxa"/>
            <w:tcBorders>
              <w:top w:val="single" w:sz="4" w:space="0" w:color="auto"/>
              <w:left w:val="nil"/>
              <w:bottom w:val="single" w:sz="4" w:space="0" w:color="auto"/>
              <w:right w:val="nil"/>
            </w:tcBorders>
            <w:shd w:val="clear" w:color="000000" w:fill="7E350E"/>
            <w:vAlign w:val="center"/>
            <w:hideMark/>
          </w:tcPr>
          <w:p w14:paraId="45265845"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PV of Inflows (£m)</w:t>
            </w:r>
          </w:p>
        </w:tc>
        <w:tc>
          <w:tcPr>
            <w:tcW w:w="1640" w:type="dxa"/>
            <w:tcBorders>
              <w:top w:val="single" w:sz="4" w:space="0" w:color="auto"/>
              <w:left w:val="nil"/>
              <w:bottom w:val="single" w:sz="4" w:space="0" w:color="auto"/>
              <w:right w:val="nil"/>
            </w:tcBorders>
            <w:shd w:val="clear" w:color="000000" w:fill="7E350E"/>
            <w:vAlign w:val="center"/>
            <w:hideMark/>
          </w:tcPr>
          <w:p w14:paraId="6B152528"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Initial Investment (£m)</w:t>
            </w:r>
          </w:p>
        </w:tc>
        <w:tc>
          <w:tcPr>
            <w:tcW w:w="1320" w:type="dxa"/>
            <w:tcBorders>
              <w:top w:val="single" w:sz="4" w:space="0" w:color="auto"/>
              <w:left w:val="nil"/>
              <w:bottom w:val="single" w:sz="4" w:space="0" w:color="auto"/>
              <w:right w:val="nil"/>
            </w:tcBorders>
            <w:shd w:val="clear" w:color="000000" w:fill="7E350E"/>
            <w:vAlign w:val="center"/>
            <w:hideMark/>
          </w:tcPr>
          <w:p w14:paraId="253F646C"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PI</w:t>
            </w:r>
          </w:p>
        </w:tc>
      </w:tr>
      <w:tr w:rsidR="000E7634" w:rsidRPr="00870822" w14:paraId="1D3C5A49" w14:textId="77777777" w:rsidTr="000E7634">
        <w:trPr>
          <w:trHeight w:val="290"/>
          <w:jc w:val="center"/>
        </w:trPr>
        <w:tc>
          <w:tcPr>
            <w:tcW w:w="2780" w:type="dxa"/>
            <w:tcBorders>
              <w:top w:val="nil"/>
              <w:left w:val="nil"/>
              <w:bottom w:val="nil"/>
              <w:right w:val="nil"/>
            </w:tcBorders>
            <w:vAlign w:val="center"/>
            <w:hideMark/>
          </w:tcPr>
          <w:p w14:paraId="67DC9DFE" w14:textId="77777777" w:rsidR="000E7634" w:rsidRPr="00870822" w:rsidRDefault="000E7634" w:rsidP="000E7634">
            <w:pPr>
              <w:spacing w:after="0" w:line="240" w:lineRule="auto"/>
              <w:jc w:val="center"/>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A</w:t>
            </w:r>
          </w:p>
        </w:tc>
        <w:tc>
          <w:tcPr>
            <w:tcW w:w="1760" w:type="dxa"/>
            <w:tcBorders>
              <w:top w:val="nil"/>
              <w:left w:val="nil"/>
              <w:bottom w:val="nil"/>
              <w:right w:val="nil"/>
            </w:tcBorders>
            <w:vAlign w:val="center"/>
            <w:hideMark/>
          </w:tcPr>
          <w:p w14:paraId="15A5FBA8"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41.32</w:t>
            </w:r>
          </w:p>
        </w:tc>
        <w:tc>
          <w:tcPr>
            <w:tcW w:w="1640" w:type="dxa"/>
            <w:tcBorders>
              <w:top w:val="nil"/>
              <w:left w:val="nil"/>
              <w:bottom w:val="nil"/>
              <w:right w:val="nil"/>
            </w:tcBorders>
            <w:vAlign w:val="center"/>
            <w:hideMark/>
          </w:tcPr>
          <w:p w14:paraId="1BB42277"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40</w:t>
            </w:r>
          </w:p>
        </w:tc>
        <w:tc>
          <w:tcPr>
            <w:tcW w:w="1320" w:type="dxa"/>
            <w:tcBorders>
              <w:top w:val="nil"/>
              <w:left w:val="nil"/>
              <w:bottom w:val="nil"/>
              <w:right w:val="nil"/>
            </w:tcBorders>
            <w:vAlign w:val="center"/>
            <w:hideMark/>
          </w:tcPr>
          <w:p w14:paraId="689AFF2D"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1.03</w:t>
            </w:r>
          </w:p>
        </w:tc>
      </w:tr>
      <w:tr w:rsidR="000E7634" w:rsidRPr="00870822" w14:paraId="71FC769D" w14:textId="77777777" w:rsidTr="000E7634">
        <w:trPr>
          <w:trHeight w:val="290"/>
          <w:jc w:val="center"/>
        </w:trPr>
        <w:tc>
          <w:tcPr>
            <w:tcW w:w="2780" w:type="dxa"/>
            <w:tcBorders>
              <w:top w:val="nil"/>
              <w:left w:val="nil"/>
              <w:bottom w:val="nil"/>
              <w:right w:val="nil"/>
            </w:tcBorders>
            <w:vAlign w:val="center"/>
            <w:hideMark/>
          </w:tcPr>
          <w:p w14:paraId="2F605C71" w14:textId="77777777" w:rsidR="000E7634" w:rsidRPr="00870822" w:rsidRDefault="000E7634" w:rsidP="000E7634">
            <w:pPr>
              <w:spacing w:after="0" w:line="240" w:lineRule="auto"/>
              <w:jc w:val="center"/>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B</w:t>
            </w:r>
          </w:p>
        </w:tc>
        <w:tc>
          <w:tcPr>
            <w:tcW w:w="1760" w:type="dxa"/>
            <w:tcBorders>
              <w:top w:val="nil"/>
              <w:left w:val="nil"/>
              <w:bottom w:val="nil"/>
              <w:right w:val="nil"/>
            </w:tcBorders>
            <w:vAlign w:val="center"/>
            <w:hideMark/>
          </w:tcPr>
          <w:p w14:paraId="1EC71E30"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22.74</w:t>
            </w:r>
          </w:p>
        </w:tc>
        <w:tc>
          <w:tcPr>
            <w:tcW w:w="1640" w:type="dxa"/>
            <w:tcBorders>
              <w:top w:val="nil"/>
              <w:left w:val="nil"/>
              <w:bottom w:val="nil"/>
              <w:right w:val="nil"/>
            </w:tcBorders>
            <w:vAlign w:val="center"/>
            <w:hideMark/>
          </w:tcPr>
          <w:p w14:paraId="57DDE7AF"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30</w:t>
            </w:r>
          </w:p>
        </w:tc>
        <w:tc>
          <w:tcPr>
            <w:tcW w:w="1320" w:type="dxa"/>
            <w:tcBorders>
              <w:top w:val="nil"/>
              <w:left w:val="nil"/>
              <w:bottom w:val="nil"/>
              <w:right w:val="nil"/>
            </w:tcBorders>
            <w:vAlign w:val="center"/>
            <w:hideMark/>
          </w:tcPr>
          <w:p w14:paraId="770E1304"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0.76</w:t>
            </w:r>
          </w:p>
        </w:tc>
      </w:tr>
      <w:tr w:rsidR="000E7634" w:rsidRPr="00870822" w14:paraId="7F76FC88" w14:textId="77777777" w:rsidTr="000E7634">
        <w:trPr>
          <w:trHeight w:val="290"/>
          <w:jc w:val="center"/>
        </w:trPr>
        <w:tc>
          <w:tcPr>
            <w:tcW w:w="2780" w:type="dxa"/>
            <w:tcBorders>
              <w:top w:val="nil"/>
              <w:left w:val="nil"/>
              <w:bottom w:val="nil"/>
              <w:right w:val="nil"/>
            </w:tcBorders>
            <w:vAlign w:val="center"/>
            <w:hideMark/>
          </w:tcPr>
          <w:p w14:paraId="7D5F501B" w14:textId="77777777" w:rsidR="000E7634" w:rsidRPr="00870822" w:rsidRDefault="000E7634" w:rsidP="000E7634">
            <w:pPr>
              <w:spacing w:after="0" w:line="240" w:lineRule="auto"/>
              <w:jc w:val="center"/>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C</w:t>
            </w:r>
          </w:p>
        </w:tc>
        <w:tc>
          <w:tcPr>
            <w:tcW w:w="1760" w:type="dxa"/>
            <w:tcBorders>
              <w:top w:val="nil"/>
              <w:left w:val="nil"/>
              <w:bottom w:val="nil"/>
              <w:right w:val="nil"/>
            </w:tcBorders>
            <w:vAlign w:val="center"/>
            <w:hideMark/>
          </w:tcPr>
          <w:p w14:paraId="4C910B60"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54.23</w:t>
            </w:r>
          </w:p>
        </w:tc>
        <w:tc>
          <w:tcPr>
            <w:tcW w:w="1640" w:type="dxa"/>
            <w:tcBorders>
              <w:top w:val="nil"/>
              <w:left w:val="nil"/>
              <w:bottom w:val="nil"/>
              <w:right w:val="nil"/>
            </w:tcBorders>
            <w:vAlign w:val="center"/>
            <w:hideMark/>
          </w:tcPr>
          <w:p w14:paraId="736E4D8B"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50</w:t>
            </w:r>
          </w:p>
        </w:tc>
        <w:tc>
          <w:tcPr>
            <w:tcW w:w="1320" w:type="dxa"/>
            <w:tcBorders>
              <w:top w:val="nil"/>
              <w:left w:val="nil"/>
              <w:bottom w:val="nil"/>
              <w:right w:val="nil"/>
            </w:tcBorders>
            <w:vAlign w:val="center"/>
            <w:hideMark/>
          </w:tcPr>
          <w:p w14:paraId="69A1CE5F" w14:textId="77777777" w:rsidR="000E7634" w:rsidRPr="00870822" w:rsidRDefault="000E7634" w:rsidP="000E7634">
            <w:pPr>
              <w:spacing w:after="0" w:line="240" w:lineRule="auto"/>
              <w:jc w:val="righ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1.08</w:t>
            </w:r>
          </w:p>
        </w:tc>
      </w:tr>
    </w:tbl>
    <w:p w14:paraId="56D38C93" w14:textId="77777777" w:rsidR="002349F4" w:rsidRPr="00870822" w:rsidRDefault="002349F4" w:rsidP="002963E2">
      <w:pPr>
        <w:rPr>
          <w:rFonts w:ascii="Arial" w:hAnsi="Arial" w:cs="Arial"/>
          <w:color w:val="0D0D0D" w:themeColor="text1" w:themeTint="F2"/>
          <w:lang w:val="en-US"/>
        </w:rPr>
      </w:pPr>
    </w:p>
    <w:tbl>
      <w:tblPr>
        <w:tblW w:w="4540" w:type="dxa"/>
        <w:jc w:val="center"/>
        <w:tblLook w:val="04A0" w:firstRow="1" w:lastRow="0" w:firstColumn="1" w:lastColumn="0" w:noHBand="0" w:noVBand="1"/>
      </w:tblPr>
      <w:tblGrid>
        <w:gridCol w:w="2885"/>
        <w:gridCol w:w="1655"/>
      </w:tblGrid>
      <w:tr w:rsidR="000E7634" w:rsidRPr="00870822" w14:paraId="75FD1CE7" w14:textId="77777777" w:rsidTr="000E7634">
        <w:trPr>
          <w:trHeight w:val="290"/>
          <w:jc w:val="center"/>
        </w:trPr>
        <w:tc>
          <w:tcPr>
            <w:tcW w:w="4540" w:type="dxa"/>
            <w:gridSpan w:val="2"/>
            <w:tcBorders>
              <w:top w:val="nil"/>
              <w:left w:val="nil"/>
              <w:bottom w:val="nil"/>
              <w:right w:val="nil"/>
            </w:tcBorders>
            <w:noWrap/>
            <w:vAlign w:val="bottom"/>
            <w:hideMark/>
          </w:tcPr>
          <w:p w14:paraId="7EBB6420"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5. Internal Rate of Return (IRR)</w:t>
            </w:r>
          </w:p>
        </w:tc>
      </w:tr>
      <w:tr w:rsidR="000E7634" w:rsidRPr="00870822" w14:paraId="101B22B5" w14:textId="77777777" w:rsidTr="000E7634">
        <w:trPr>
          <w:trHeight w:val="290"/>
          <w:jc w:val="center"/>
        </w:trPr>
        <w:tc>
          <w:tcPr>
            <w:tcW w:w="2885" w:type="dxa"/>
            <w:tcBorders>
              <w:top w:val="nil"/>
              <w:left w:val="nil"/>
              <w:bottom w:val="nil"/>
              <w:right w:val="nil"/>
            </w:tcBorders>
            <w:noWrap/>
            <w:vAlign w:val="bottom"/>
            <w:hideMark/>
          </w:tcPr>
          <w:p w14:paraId="0A4ABEBC"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p>
        </w:tc>
        <w:tc>
          <w:tcPr>
            <w:tcW w:w="1655" w:type="dxa"/>
            <w:tcBorders>
              <w:top w:val="nil"/>
              <w:left w:val="nil"/>
              <w:bottom w:val="nil"/>
              <w:right w:val="nil"/>
            </w:tcBorders>
            <w:noWrap/>
            <w:vAlign w:val="bottom"/>
            <w:hideMark/>
          </w:tcPr>
          <w:p w14:paraId="7083ECAA"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778FC939" w14:textId="77777777" w:rsidTr="000E7634">
        <w:trPr>
          <w:trHeight w:val="290"/>
          <w:jc w:val="center"/>
        </w:trPr>
        <w:tc>
          <w:tcPr>
            <w:tcW w:w="2885" w:type="dxa"/>
            <w:tcBorders>
              <w:top w:val="nil"/>
              <w:left w:val="nil"/>
              <w:bottom w:val="nil"/>
              <w:right w:val="nil"/>
            </w:tcBorders>
            <w:shd w:val="clear" w:color="000000" w:fill="196B24"/>
            <w:noWrap/>
            <w:vAlign w:val="bottom"/>
            <w:hideMark/>
          </w:tcPr>
          <w:p w14:paraId="7C0F316C"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Projects</w:t>
            </w:r>
          </w:p>
        </w:tc>
        <w:tc>
          <w:tcPr>
            <w:tcW w:w="1655" w:type="dxa"/>
            <w:tcBorders>
              <w:top w:val="nil"/>
              <w:left w:val="nil"/>
              <w:bottom w:val="nil"/>
              <w:right w:val="nil"/>
            </w:tcBorders>
            <w:shd w:val="clear" w:color="000000" w:fill="196B24"/>
            <w:noWrap/>
            <w:vAlign w:val="bottom"/>
            <w:hideMark/>
          </w:tcPr>
          <w:p w14:paraId="6DE7FADC"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IRR</w:t>
            </w:r>
          </w:p>
        </w:tc>
      </w:tr>
      <w:tr w:rsidR="000E7634" w:rsidRPr="00870822" w14:paraId="60FAB58D" w14:textId="77777777" w:rsidTr="000E7634">
        <w:trPr>
          <w:trHeight w:val="290"/>
          <w:jc w:val="center"/>
        </w:trPr>
        <w:tc>
          <w:tcPr>
            <w:tcW w:w="2885" w:type="dxa"/>
            <w:tcBorders>
              <w:top w:val="nil"/>
              <w:left w:val="nil"/>
              <w:bottom w:val="nil"/>
              <w:right w:val="nil"/>
            </w:tcBorders>
            <w:noWrap/>
            <w:vAlign w:val="bottom"/>
            <w:hideMark/>
          </w:tcPr>
          <w:p w14:paraId="622780EC"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Project A</w:t>
            </w:r>
          </w:p>
        </w:tc>
        <w:tc>
          <w:tcPr>
            <w:tcW w:w="1655" w:type="dxa"/>
            <w:tcBorders>
              <w:top w:val="nil"/>
              <w:left w:val="nil"/>
              <w:bottom w:val="nil"/>
              <w:right w:val="nil"/>
            </w:tcBorders>
            <w:noWrap/>
            <w:vAlign w:val="bottom"/>
            <w:hideMark/>
          </w:tcPr>
          <w:p w14:paraId="2089C942"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11%</w:t>
            </w:r>
          </w:p>
        </w:tc>
      </w:tr>
      <w:tr w:rsidR="000E7634" w:rsidRPr="00870822" w14:paraId="39C5DDCB" w14:textId="77777777" w:rsidTr="000E7634">
        <w:trPr>
          <w:trHeight w:val="290"/>
          <w:jc w:val="center"/>
        </w:trPr>
        <w:tc>
          <w:tcPr>
            <w:tcW w:w="2885" w:type="dxa"/>
            <w:tcBorders>
              <w:top w:val="nil"/>
              <w:left w:val="nil"/>
              <w:bottom w:val="nil"/>
              <w:right w:val="nil"/>
            </w:tcBorders>
            <w:noWrap/>
            <w:vAlign w:val="bottom"/>
            <w:hideMark/>
          </w:tcPr>
          <w:p w14:paraId="0D13D47E"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Project B</w:t>
            </w:r>
          </w:p>
        </w:tc>
        <w:tc>
          <w:tcPr>
            <w:tcW w:w="1655" w:type="dxa"/>
            <w:tcBorders>
              <w:top w:val="nil"/>
              <w:left w:val="nil"/>
              <w:bottom w:val="nil"/>
              <w:right w:val="nil"/>
            </w:tcBorders>
            <w:noWrap/>
            <w:vAlign w:val="bottom"/>
            <w:hideMark/>
          </w:tcPr>
          <w:p w14:paraId="4CCB9953"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5.5%</w:t>
            </w:r>
          </w:p>
        </w:tc>
      </w:tr>
      <w:tr w:rsidR="000E7634" w:rsidRPr="00870822" w14:paraId="0BD60365" w14:textId="77777777" w:rsidTr="000E7634">
        <w:trPr>
          <w:trHeight w:val="290"/>
          <w:jc w:val="center"/>
        </w:trPr>
        <w:tc>
          <w:tcPr>
            <w:tcW w:w="2885" w:type="dxa"/>
            <w:tcBorders>
              <w:top w:val="nil"/>
              <w:left w:val="nil"/>
              <w:bottom w:val="nil"/>
              <w:right w:val="nil"/>
            </w:tcBorders>
            <w:noWrap/>
            <w:vAlign w:val="bottom"/>
            <w:hideMark/>
          </w:tcPr>
          <w:p w14:paraId="76DA8A03"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Project C</w:t>
            </w:r>
          </w:p>
        </w:tc>
        <w:tc>
          <w:tcPr>
            <w:tcW w:w="1655" w:type="dxa"/>
            <w:tcBorders>
              <w:top w:val="nil"/>
              <w:left w:val="nil"/>
              <w:bottom w:val="nil"/>
              <w:right w:val="nil"/>
            </w:tcBorders>
            <w:noWrap/>
            <w:vAlign w:val="bottom"/>
            <w:hideMark/>
          </w:tcPr>
          <w:p w14:paraId="38ED8A0E"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13%</w:t>
            </w:r>
          </w:p>
        </w:tc>
      </w:tr>
    </w:tbl>
    <w:p w14:paraId="756B64DC" w14:textId="77777777" w:rsidR="002349F4" w:rsidRPr="00870822" w:rsidRDefault="002349F4" w:rsidP="002963E2">
      <w:pPr>
        <w:rPr>
          <w:rFonts w:ascii="Arial" w:hAnsi="Arial" w:cs="Arial"/>
          <w:color w:val="0D0D0D" w:themeColor="text1" w:themeTint="F2"/>
          <w:lang w:val="en-US"/>
        </w:rPr>
      </w:pPr>
    </w:p>
    <w:tbl>
      <w:tblPr>
        <w:tblW w:w="7500" w:type="dxa"/>
        <w:jc w:val="center"/>
        <w:tblLook w:val="04A0" w:firstRow="1" w:lastRow="0" w:firstColumn="1" w:lastColumn="0" w:noHBand="0" w:noVBand="1"/>
      </w:tblPr>
      <w:tblGrid>
        <w:gridCol w:w="2780"/>
        <w:gridCol w:w="1760"/>
        <w:gridCol w:w="1640"/>
        <w:gridCol w:w="1320"/>
      </w:tblGrid>
      <w:tr w:rsidR="000E7634" w:rsidRPr="00870822" w14:paraId="5C2CBF7A" w14:textId="77777777" w:rsidTr="000E7634">
        <w:trPr>
          <w:trHeight w:val="290"/>
          <w:jc w:val="center"/>
        </w:trPr>
        <w:tc>
          <w:tcPr>
            <w:tcW w:w="2780" w:type="dxa"/>
            <w:tcBorders>
              <w:top w:val="nil"/>
              <w:left w:val="nil"/>
              <w:bottom w:val="nil"/>
              <w:right w:val="nil"/>
            </w:tcBorders>
            <w:noWrap/>
            <w:vAlign w:val="bottom"/>
            <w:hideMark/>
          </w:tcPr>
          <w:p w14:paraId="46BA572A"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6. Capital Rationing Decision</w:t>
            </w:r>
          </w:p>
        </w:tc>
        <w:tc>
          <w:tcPr>
            <w:tcW w:w="1760" w:type="dxa"/>
            <w:tcBorders>
              <w:top w:val="nil"/>
              <w:left w:val="nil"/>
              <w:bottom w:val="nil"/>
              <w:right w:val="nil"/>
            </w:tcBorders>
            <w:noWrap/>
            <w:vAlign w:val="bottom"/>
            <w:hideMark/>
          </w:tcPr>
          <w:p w14:paraId="75AEB887"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p>
        </w:tc>
        <w:tc>
          <w:tcPr>
            <w:tcW w:w="1640" w:type="dxa"/>
            <w:tcBorders>
              <w:top w:val="nil"/>
              <w:left w:val="nil"/>
              <w:bottom w:val="nil"/>
              <w:right w:val="nil"/>
            </w:tcBorders>
            <w:noWrap/>
            <w:vAlign w:val="bottom"/>
            <w:hideMark/>
          </w:tcPr>
          <w:p w14:paraId="4AE9FDD1"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0DBB0EA0"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1125D9BA" w14:textId="77777777" w:rsidTr="000E7634">
        <w:trPr>
          <w:trHeight w:val="290"/>
          <w:jc w:val="center"/>
        </w:trPr>
        <w:tc>
          <w:tcPr>
            <w:tcW w:w="2780" w:type="dxa"/>
            <w:tcBorders>
              <w:top w:val="nil"/>
              <w:left w:val="nil"/>
              <w:bottom w:val="nil"/>
              <w:right w:val="nil"/>
            </w:tcBorders>
            <w:noWrap/>
            <w:vAlign w:val="bottom"/>
            <w:hideMark/>
          </w:tcPr>
          <w:p w14:paraId="3BBAA3BB"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760" w:type="dxa"/>
            <w:tcBorders>
              <w:top w:val="nil"/>
              <w:left w:val="nil"/>
              <w:bottom w:val="nil"/>
              <w:right w:val="nil"/>
            </w:tcBorders>
            <w:noWrap/>
            <w:vAlign w:val="bottom"/>
            <w:hideMark/>
          </w:tcPr>
          <w:p w14:paraId="022812CE"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56662274"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2744B022"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48B4CFF1" w14:textId="77777777" w:rsidTr="000E7634">
        <w:trPr>
          <w:trHeight w:val="290"/>
          <w:jc w:val="center"/>
        </w:trPr>
        <w:tc>
          <w:tcPr>
            <w:tcW w:w="2780" w:type="dxa"/>
            <w:tcBorders>
              <w:top w:val="nil"/>
              <w:left w:val="nil"/>
              <w:bottom w:val="nil"/>
              <w:right w:val="nil"/>
            </w:tcBorders>
            <w:noWrap/>
            <w:vAlign w:val="bottom"/>
            <w:hideMark/>
          </w:tcPr>
          <w:p w14:paraId="741E7215"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Maximum investment available</w:t>
            </w:r>
          </w:p>
        </w:tc>
        <w:tc>
          <w:tcPr>
            <w:tcW w:w="1760" w:type="dxa"/>
            <w:tcBorders>
              <w:top w:val="nil"/>
              <w:left w:val="nil"/>
              <w:bottom w:val="nil"/>
              <w:right w:val="nil"/>
            </w:tcBorders>
            <w:noWrap/>
            <w:vAlign w:val="bottom"/>
            <w:hideMark/>
          </w:tcPr>
          <w:p w14:paraId="4F0B94B3"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60</w:t>
            </w:r>
          </w:p>
        </w:tc>
        <w:tc>
          <w:tcPr>
            <w:tcW w:w="1640" w:type="dxa"/>
            <w:tcBorders>
              <w:top w:val="nil"/>
              <w:left w:val="nil"/>
              <w:bottom w:val="nil"/>
              <w:right w:val="nil"/>
            </w:tcBorders>
            <w:noWrap/>
            <w:vAlign w:val="bottom"/>
            <w:hideMark/>
          </w:tcPr>
          <w:p w14:paraId="0A5487A6"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(£m)</w:t>
            </w:r>
          </w:p>
        </w:tc>
        <w:tc>
          <w:tcPr>
            <w:tcW w:w="1320" w:type="dxa"/>
            <w:tcBorders>
              <w:top w:val="nil"/>
              <w:left w:val="nil"/>
              <w:bottom w:val="nil"/>
              <w:right w:val="nil"/>
            </w:tcBorders>
            <w:noWrap/>
            <w:vAlign w:val="bottom"/>
            <w:hideMark/>
          </w:tcPr>
          <w:p w14:paraId="67E49F01"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p>
        </w:tc>
      </w:tr>
      <w:tr w:rsidR="000E7634" w:rsidRPr="00870822" w14:paraId="614F4A50" w14:textId="77777777" w:rsidTr="000E7634">
        <w:trPr>
          <w:trHeight w:val="290"/>
          <w:jc w:val="center"/>
        </w:trPr>
        <w:tc>
          <w:tcPr>
            <w:tcW w:w="2780" w:type="dxa"/>
            <w:tcBorders>
              <w:top w:val="nil"/>
              <w:left w:val="nil"/>
              <w:bottom w:val="nil"/>
              <w:right w:val="nil"/>
            </w:tcBorders>
            <w:noWrap/>
            <w:vAlign w:val="bottom"/>
            <w:hideMark/>
          </w:tcPr>
          <w:p w14:paraId="5B9A1D93"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760" w:type="dxa"/>
            <w:tcBorders>
              <w:top w:val="nil"/>
              <w:left w:val="nil"/>
              <w:bottom w:val="nil"/>
              <w:right w:val="nil"/>
            </w:tcBorders>
            <w:noWrap/>
            <w:vAlign w:val="bottom"/>
            <w:hideMark/>
          </w:tcPr>
          <w:p w14:paraId="426D861D"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640" w:type="dxa"/>
            <w:tcBorders>
              <w:top w:val="nil"/>
              <w:left w:val="nil"/>
              <w:bottom w:val="nil"/>
              <w:right w:val="nil"/>
            </w:tcBorders>
            <w:noWrap/>
            <w:vAlign w:val="bottom"/>
            <w:hideMark/>
          </w:tcPr>
          <w:p w14:paraId="7EBEEE15"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c>
          <w:tcPr>
            <w:tcW w:w="1320" w:type="dxa"/>
            <w:tcBorders>
              <w:top w:val="nil"/>
              <w:left w:val="nil"/>
              <w:bottom w:val="nil"/>
              <w:right w:val="nil"/>
            </w:tcBorders>
            <w:noWrap/>
            <w:vAlign w:val="bottom"/>
            <w:hideMark/>
          </w:tcPr>
          <w:p w14:paraId="7DC09CE0" w14:textId="77777777" w:rsidR="000E7634" w:rsidRPr="00870822" w:rsidRDefault="000E7634" w:rsidP="000E7634">
            <w:pPr>
              <w:spacing w:after="0" w:line="240" w:lineRule="auto"/>
              <w:jc w:val="left"/>
              <w:rPr>
                <w:rFonts w:ascii="Arial" w:eastAsia="Times New Roman" w:hAnsi="Arial" w:cs="Arial"/>
                <w:color w:val="0D0D0D" w:themeColor="text1" w:themeTint="F2"/>
                <w:sz w:val="20"/>
                <w:szCs w:val="20"/>
                <w:lang w:val="en-US" w:eastAsia="en-US"/>
              </w:rPr>
            </w:pPr>
          </w:p>
        </w:tc>
      </w:tr>
      <w:tr w:rsidR="000E7634" w:rsidRPr="00870822" w14:paraId="2E11ECA3" w14:textId="77777777" w:rsidTr="000E7634">
        <w:trPr>
          <w:trHeight w:val="290"/>
          <w:jc w:val="center"/>
        </w:trPr>
        <w:tc>
          <w:tcPr>
            <w:tcW w:w="2780" w:type="dxa"/>
            <w:tcBorders>
              <w:top w:val="nil"/>
              <w:left w:val="nil"/>
              <w:bottom w:val="nil"/>
              <w:right w:val="nil"/>
            </w:tcBorders>
            <w:shd w:val="clear" w:color="000000" w:fill="153D64"/>
            <w:noWrap/>
            <w:vAlign w:val="bottom"/>
            <w:hideMark/>
          </w:tcPr>
          <w:p w14:paraId="39E2D287" w14:textId="77777777" w:rsidR="000E7634" w:rsidRPr="00870822" w:rsidRDefault="000E7634" w:rsidP="000E7634">
            <w:pPr>
              <w:spacing w:after="0" w:line="240" w:lineRule="auto"/>
              <w:jc w:val="left"/>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Feasible combinations:</w:t>
            </w:r>
          </w:p>
        </w:tc>
        <w:tc>
          <w:tcPr>
            <w:tcW w:w="1760" w:type="dxa"/>
            <w:tcBorders>
              <w:top w:val="nil"/>
              <w:left w:val="nil"/>
              <w:bottom w:val="nil"/>
              <w:right w:val="nil"/>
            </w:tcBorders>
            <w:shd w:val="clear" w:color="000000" w:fill="153D64"/>
            <w:noWrap/>
            <w:vAlign w:val="bottom"/>
            <w:hideMark/>
          </w:tcPr>
          <w:p w14:paraId="4DB35B5C"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Amount (£m)</w:t>
            </w:r>
          </w:p>
        </w:tc>
        <w:tc>
          <w:tcPr>
            <w:tcW w:w="1640" w:type="dxa"/>
            <w:tcBorders>
              <w:top w:val="nil"/>
              <w:left w:val="nil"/>
              <w:bottom w:val="nil"/>
              <w:right w:val="nil"/>
            </w:tcBorders>
            <w:shd w:val="clear" w:color="000000" w:fill="153D64"/>
            <w:noWrap/>
            <w:vAlign w:val="bottom"/>
            <w:hideMark/>
          </w:tcPr>
          <w:p w14:paraId="74C4BBD9"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Limit (£m)</w:t>
            </w:r>
          </w:p>
        </w:tc>
        <w:tc>
          <w:tcPr>
            <w:tcW w:w="1320" w:type="dxa"/>
            <w:tcBorders>
              <w:top w:val="nil"/>
              <w:left w:val="nil"/>
              <w:bottom w:val="nil"/>
              <w:right w:val="nil"/>
            </w:tcBorders>
            <w:shd w:val="clear" w:color="000000" w:fill="153D64"/>
            <w:noWrap/>
            <w:vAlign w:val="bottom"/>
            <w:hideMark/>
          </w:tcPr>
          <w:p w14:paraId="3A677575"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 xml:space="preserve">Limit </w:t>
            </w:r>
            <w:proofErr w:type="spellStart"/>
            <w:r w:rsidRPr="00870822">
              <w:rPr>
                <w:rFonts w:ascii="Arial" w:eastAsia="Times New Roman" w:hAnsi="Arial" w:cs="Arial"/>
                <w:b/>
                <w:bCs/>
                <w:color w:val="0D0D0D" w:themeColor="text1" w:themeTint="F2"/>
                <w:sz w:val="22"/>
                <w:lang w:val="en-US" w:eastAsia="en-US"/>
              </w:rPr>
              <w:t>Corss</w:t>
            </w:r>
            <w:proofErr w:type="spellEnd"/>
            <w:r w:rsidRPr="00870822">
              <w:rPr>
                <w:rFonts w:ascii="Arial" w:eastAsia="Times New Roman" w:hAnsi="Arial" w:cs="Arial"/>
                <w:b/>
                <w:bCs/>
                <w:color w:val="0D0D0D" w:themeColor="text1" w:themeTint="F2"/>
                <w:sz w:val="22"/>
                <w:lang w:val="en-US" w:eastAsia="en-US"/>
              </w:rPr>
              <w:t>?</w:t>
            </w:r>
          </w:p>
        </w:tc>
      </w:tr>
      <w:tr w:rsidR="000E7634" w:rsidRPr="00870822" w14:paraId="17F321F5" w14:textId="77777777" w:rsidTr="000E7634">
        <w:trPr>
          <w:trHeight w:val="290"/>
          <w:jc w:val="center"/>
        </w:trPr>
        <w:tc>
          <w:tcPr>
            <w:tcW w:w="2780" w:type="dxa"/>
            <w:tcBorders>
              <w:top w:val="nil"/>
              <w:left w:val="nil"/>
              <w:bottom w:val="nil"/>
              <w:right w:val="nil"/>
            </w:tcBorders>
            <w:noWrap/>
            <w:vAlign w:val="bottom"/>
            <w:hideMark/>
          </w:tcPr>
          <w:p w14:paraId="00AFE89C"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A + B</w:t>
            </w:r>
          </w:p>
        </w:tc>
        <w:tc>
          <w:tcPr>
            <w:tcW w:w="1760" w:type="dxa"/>
            <w:tcBorders>
              <w:top w:val="nil"/>
              <w:left w:val="nil"/>
              <w:bottom w:val="nil"/>
              <w:right w:val="nil"/>
            </w:tcBorders>
            <w:noWrap/>
            <w:vAlign w:val="bottom"/>
            <w:hideMark/>
          </w:tcPr>
          <w:p w14:paraId="777B4F68"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70</w:t>
            </w:r>
          </w:p>
        </w:tc>
        <w:tc>
          <w:tcPr>
            <w:tcW w:w="1640" w:type="dxa"/>
            <w:tcBorders>
              <w:top w:val="nil"/>
              <w:left w:val="nil"/>
              <w:bottom w:val="nil"/>
              <w:right w:val="nil"/>
            </w:tcBorders>
            <w:noWrap/>
            <w:vAlign w:val="bottom"/>
            <w:hideMark/>
          </w:tcPr>
          <w:p w14:paraId="50A24576"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60</w:t>
            </w:r>
          </w:p>
        </w:tc>
        <w:tc>
          <w:tcPr>
            <w:tcW w:w="1320" w:type="dxa"/>
            <w:tcBorders>
              <w:top w:val="nil"/>
              <w:left w:val="nil"/>
              <w:bottom w:val="nil"/>
              <w:right w:val="nil"/>
            </w:tcBorders>
            <w:noWrap/>
            <w:vAlign w:val="bottom"/>
            <w:hideMark/>
          </w:tcPr>
          <w:p w14:paraId="7C4FAED5"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Yes</w:t>
            </w:r>
          </w:p>
        </w:tc>
      </w:tr>
      <w:tr w:rsidR="000E7634" w:rsidRPr="00870822" w14:paraId="2860C67B" w14:textId="77777777" w:rsidTr="000E7634">
        <w:trPr>
          <w:trHeight w:val="290"/>
          <w:jc w:val="center"/>
        </w:trPr>
        <w:tc>
          <w:tcPr>
            <w:tcW w:w="2780" w:type="dxa"/>
            <w:tcBorders>
              <w:top w:val="nil"/>
              <w:left w:val="nil"/>
              <w:bottom w:val="nil"/>
              <w:right w:val="nil"/>
            </w:tcBorders>
            <w:noWrap/>
            <w:vAlign w:val="bottom"/>
            <w:hideMark/>
          </w:tcPr>
          <w:p w14:paraId="656A8227"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B + C</w:t>
            </w:r>
          </w:p>
        </w:tc>
        <w:tc>
          <w:tcPr>
            <w:tcW w:w="1760" w:type="dxa"/>
            <w:tcBorders>
              <w:top w:val="nil"/>
              <w:left w:val="nil"/>
              <w:bottom w:val="nil"/>
              <w:right w:val="nil"/>
            </w:tcBorders>
            <w:noWrap/>
            <w:vAlign w:val="bottom"/>
            <w:hideMark/>
          </w:tcPr>
          <w:p w14:paraId="420FFD51"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80</w:t>
            </w:r>
          </w:p>
        </w:tc>
        <w:tc>
          <w:tcPr>
            <w:tcW w:w="1640" w:type="dxa"/>
            <w:tcBorders>
              <w:top w:val="nil"/>
              <w:left w:val="nil"/>
              <w:bottom w:val="nil"/>
              <w:right w:val="nil"/>
            </w:tcBorders>
            <w:noWrap/>
            <w:vAlign w:val="bottom"/>
            <w:hideMark/>
          </w:tcPr>
          <w:p w14:paraId="7A75DC85"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60</w:t>
            </w:r>
          </w:p>
        </w:tc>
        <w:tc>
          <w:tcPr>
            <w:tcW w:w="1320" w:type="dxa"/>
            <w:tcBorders>
              <w:top w:val="nil"/>
              <w:left w:val="nil"/>
              <w:bottom w:val="nil"/>
              <w:right w:val="nil"/>
            </w:tcBorders>
            <w:noWrap/>
            <w:vAlign w:val="bottom"/>
            <w:hideMark/>
          </w:tcPr>
          <w:p w14:paraId="1699E131"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Yes</w:t>
            </w:r>
          </w:p>
        </w:tc>
      </w:tr>
      <w:tr w:rsidR="000E7634" w:rsidRPr="00870822" w14:paraId="2FB53CFB" w14:textId="77777777" w:rsidTr="000E7634">
        <w:trPr>
          <w:trHeight w:val="290"/>
          <w:jc w:val="center"/>
        </w:trPr>
        <w:tc>
          <w:tcPr>
            <w:tcW w:w="2780" w:type="dxa"/>
            <w:tcBorders>
              <w:top w:val="nil"/>
              <w:left w:val="nil"/>
              <w:bottom w:val="nil"/>
              <w:right w:val="nil"/>
            </w:tcBorders>
            <w:noWrap/>
            <w:vAlign w:val="bottom"/>
            <w:hideMark/>
          </w:tcPr>
          <w:p w14:paraId="23AB2092"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A + C</w:t>
            </w:r>
          </w:p>
        </w:tc>
        <w:tc>
          <w:tcPr>
            <w:tcW w:w="1760" w:type="dxa"/>
            <w:tcBorders>
              <w:top w:val="nil"/>
              <w:left w:val="nil"/>
              <w:bottom w:val="nil"/>
              <w:right w:val="nil"/>
            </w:tcBorders>
            <w:noWrap/>
            <w:vAlign w:val="bottom"/>
            <w:hideMark/>
          </w:tcPr>
          <w:p w14:paraId="770D4A3E"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90</w:t>
            </w:r>
          </w:p>
        </w:tc>
        <w:tc>
          <w:tcPr>
            <w:tcW w:w="1640" w:type="dxa"/>
            <w:tcBorders>
              <w:top w:val="nil"/>
              <w:left w:val="nil"/>
              <w:bottom w:val="nil"/>
              <w:right w:val="nil"/>
            </w:tcBorders>
            <w:noWrap/>
            <w:vAlign w:val="bottom"/>
            <w:hideMark/>
          </w:tcPr>
          <w:p w14:paraId="53E6181F"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60</w:t>
            </w:r>
          </w:p>
        </w:tc>
        <w:tc>
          <w:tcPr>
            <w:tcW w:w="1320" w:type="dxa"/>
            <w:tcBorders>
              <w:top w:val="nil"/>
              <w:left w:val="nil"/>
              <w:bottom w:val="nil"/>
              <w:right w:val="nil"/>
            </w:tcBorders>
            <w:noWrap/>
            <w:vAlign w:val="bottom"/>
            <w:hideMark/>
          </w:tcPr>
          <w:p w14:paraId="3D3830CF"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Yes</w:t>
            </w:r>
          </w:p>
        </w:tc>
      </w:tr>
      <w:tr w:rsidR="000E7634" w:rsidRPr="00870822" w14:paraId="48C88859" w14:textId="77777777" w:rsidTr="000E7634">
        <w:trPr>
          <w:trHeight w:val="290"/>
          <w:jc w:val="center"/>
        </w:trPr>
        <w:tc>
          <w:tcPr>
            <w:tcW w:w="2780" w:type="dxa"/>
            <w:tcBorders>
              <w:top w:val="nil"/>
              <w:left w:val="nil"/>
              <w:bottom w:val="nil"/>
              <w:right w:val="nil"/>
            </w:tcBorders>
            <w:noWrap/>
            <w:vAlign w:val="bottom"/>
            <w:hideMark/>
          </w:tcPr>
          <w:p w14:paraId="56F14379"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proofErr w:type="gramStart"/>
            <w:r w:rsidRPr="00870822">
              <w:rPr>
                <w:rFonts w:ascii="Arial" w:eastAsia="Times New Roman" w:hAnsi="Arial" w:cs="Arial"/>
                <w:color w:val="0D0D0D" w:themeColor="text1" w:themeTint="F2"/>
                <w:sz w:val="22"/>
                <w:lang w:val="en-US" w:eastAsia="en-US"/>
              </w:rPr>
              <w:t>A</w:t>
            </w:r>
            <w:proofErr w:type="gramEnd"/>
            <w:r w:rsidRPr="00870822">
              <w:rPr>
                <w:rFonts w:ascii="Arial" w:eastAsia="Times New Roman" w:hAnsi="Arial" w:cs="Arial"/>
                <w:color w:val="0D0D0D" w:themeColor="text1" w:themeTint="F2"/>
                <w:sz w:val="22"/>
                <w:lang w:val="en-US" w:eastAsia="en-US"/>
              </w:rPr>
              <w:t xml:space="preserve"> only</w:t>
            </w:r>
          </w:p>
        </w:tc>
        <w:tc>
          <w:tcPr>
            <w:tcW w:w="1760" w:type="dxa"/>
            <w:tcBorders>
              <w:top w:val="nil"/>
              <w:left w:val="nil"/>
              <w:bottom w:val="nil"/>
              <w:right w:val="nil"/>
            </w:tcBorders>
            <w:noWrap/>
            <w:vAlign w:val="bottom"/>
            <w:hideMark/>
          </w:tcPr>
          <w:p w14:paraId="00B64E14"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40</w:t>
            </w:r>
          </w:p>
        </w:tc>
        <w:tc>
          <w:tcPr>
            <w:tcW w:w="1640" w:type="dxa"/>
            <w:tcBorders>
              <w:top w:val="nil"/>
              <w:left w:val="nil"/>
              <w:bottom w:val="nil"/>
              <w:right w:val="nil"/>
            </w:tcBorders>
            <w:noWrap/>
            <w:vAlign w:val="bottom"/>
            <w:hideMark/>
          </w:tcPr>
          <w:p w14:paraId="6CDE15ED"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60</w:t>
            </w:r>
          </w:p>
        </w:tc>
        <w:tc>
          <w:tcPr>
            <w:tcW w:w="1320" w:type="dxa"/>
            <w:tcBorders>
              <w:top w:val="nil"/>
              <w:left w:val="nil"/>
              <w:bottom w:val="nil"/>
              <w:right w:val="nil"/>
            </w:tcBorders>
            <w:noWrap/>
            <w:vAlign w:val="bottom"/>
            <w:hideMark/>
          </w:tcPr>
          <w:p w14:paraId="1EFC1BF0"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No</w:t>
            </w:r>
          </w:p>
        </w:tc>
      </w:tr>
      <w:tr w:rsidR="000E7634" w:rsidRPr="00870822" w14:paraId="4224C00E" w14:textId="77777777" w:rsidTr="000E7634">
        <w:trPr>
          <w:trHeight w:val="290"/>
          <w:jc w:val="center"/>
        </w:trPr>
        <w:tc>
          <w:tcPr>
            <w:tcW w:w="2780" w:type="dxa"/>
            <w:tcBorders>
              <w:top w:val="nil"/>
              <w:left w:val="nil"/>
              <w:bottom w:val="nil"/>
              <w:right w:val="nil"/>
            </w:tcBorders>
            <w:noWrap/>
            <w:vAlign w:val="bottom"/>
            <w:hideMark/>
          </w:tcPr>
          <w:p w14:paraId="5023A715" w14:textId="77777777" w:rsidR="000E7634" w:rsidRPr="00870822" w:rsidRDefault="000E7634" w:rsidP="000E7634">
            <w:pPr>
              <w:spacing w:after="0" w:line="240" w:lineRule="auto"/>
              <w:jc w:val="lef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C only</w:t>
            </w:r>
          </w:p>
        </w:tc>
        <w:tc>
          <w:tcPr>
            <w:tcW w:w="1760" w:type="dxa"/>
            <w:tcBorders>
              <w:top w:val="nil"/>
              <w:left w:val="nil"/>
              <w:bottom w:val="nil"/>
              <w:right w:val="nil"/>
            </w:tcBorders>
            <w:noWrap/>
            <w:vAlign w:val="bottom"/>
            <w:hideMark/>
          </w:tcPr>
          <w:p w14:paraId="02CDA7ED"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50</w:t>
            </w:r>
          </w:p>
        </w:tc>
        <w:tc>
          <w:tcPr>
            <w:tcW w:w="1640" w:type="dxa"/>
            <w:tcBorders>
              <w:top w:val="nil"/>
              <w:left w:val="nil"/>
              <w:bottom w:val="nil"/>
              <w:right w:val="nil"/>
            </w:tcBorders>
            <w:noWrap/>
            <w:vAlign w:val="bottom"/>
            <w:hideMark/>
          </w:tcPr>
          <w:p w14:paraId="26AFD3AA" w14:textId="77777777" w:rsidR="000E7634" w:rsidRPr="00870822" w:rsidRDefault="000E7634" w:rsidP="000E7634">
            <w:pPr>
              <w:spacing w:after="0" w:line="240" w:lineRule="auto"/>
              <w:jc w:val="right"/>
              <w:rPr>
                <w:rFonts w:ascii="Arial" w:eastAsia="Times New Roman" w:hAnsi="Arial" w:cs="Arial"/>
                <w:color w:val="0D0D0D" w:themeColor="text1" w:themeTint="F2"/>
                <w:sz w:val="22"/>
                <w:lang w:val="en-US" w:eastAsia="en-US"/>
              </w:rPr>
            </w:pPr>
            <w:r w:rsidRPr="00870822">
              <w:rPr>
                <w:rFonts w:ascii="Arial" w:eastAsia="Times New Roman" w:hAnsi="Arial" w:cs="Arial"/>
                <w:color w:val="0D0D0D" w:themeColor="text1" w:themeTint="F2"/>
                <w:sz w:val="22"/>
                <w:lang w:val="en-US" w:eastAsia="en-US"/>
              </w:rPr>
              <w:t>60</w:t>
            </w:r>
          </w:p>
        </w:tc>
        <w:tc>
          <w:tcPr>
            <w:tcW w:w="1320" w:type="dxa"/>
            <w:tcBorders>
              <w:top w:val="nil"/>
              <w:left w:val="nil"/>
              <w:bottom w:val="nil"/>
              <w:right w:val="nil"/>
            </w:tcBorders>
            <w:noWrap/>
            <w:vAlign w:val="bottom"/>
            <w:hideMark/>
          </w:tcPr>
          <w:p w14:paraId="4257ECD0" w14:textId="77777777" w:rsidR="000E7634" w:rsidRPr="00870822" w:rsidRDefault="000E7634" w:rsidP="000E7634">
            <w:pPr>
              <w:spacing w:after="0" w:line="240" w:lineRule="auto"/>
              <w:jc w:val="center"/>
              <w:rPr>
                <w:rFonts w:ascii="Arial" w:eastAsia="Times New Roman" w:hAnsi="Arial" w:cs="Arial"/>
                <w:b/>
                <w:bCs/>
                <w:color w:val="0D0D0D" w:themeColor="text1" w:themeTint="F2"/>
                <w:sz w:val="22"/>
                <w:lang w:val="en-US" w:eastAsia="en-US"/>
              </w:rPr>
            </w:pPr>
            <w:r w:rsidRPr="00870822">
              <w:rPr>
                <w:rFonts w:ascii="Arial" w:eastAsia="Times New Roman" w:hAnsi="Arial" w:cs="Arial"/>
                <w:b/>
                <w:bCs/>
                <w:color w:val="0D0D0D" w:themeColor="text1" w:themeTint="F2"/>
                <w:sz w:val="22"/>
                <w:lang w:val="en-US" w:eastAsia="en-US"/>
              </w:rPr>
              <w:t>No</w:t>
            </w:r>
          </w:p>
        </w:tc>
      </w:tr>
    </w:tbl>
    <w:p w14:paraId="2E938547" w14:textId="77777777" w:rsidR="00384B76" w:rsidRPr="00870822" w:rsidRDefault="00384B76" w:rsidP="002963E2">
      <w:pPr>
        <w:rPr>
          <w:rFonts w:ascii="Arial" w:hAnsi="Arial" w:cs="Arial"/>
          <w:color w:val="0D0D0D" w:themeColor="text1" w:themeTint="F2"/>
          <w:lang w:val="en-US"/>
        </w:rPr>
      </w:pPr>
    </w:p>
    <w:p w14:paraId="241ABBB7" w14:textId="77777777" w:rsidR="00384B76" w:rsidRPr="00870822" w:rsidRDefault="00384B76" w:rsidP="002963E2">
      <w:pPr>
        <w:rPr>
          <w:rFonts w:ascii="Arial" w:hAnsi="Arial" w:cs="Arial"/>
          <w:color w:val="0D0D0D" w:themeColor="text1" w:themeTint="F2"/>
          <w:lang w:val="en-US"/>
        </w:rPr>
      </w:pPr>
    </w:p>
    <w:p w14:paraId="1C3E8C89" w14:textId="262E87C8" w:rsidR="00157B07" w:rsidRPr="00870822" w:rsidRDefault="00157B07">
      <w:pPr>
        <w:spacing w:line="259" w:lineRule="auto"/>
        <w:jc w:val="left"/>
        <w:rPr>
          <w:rFonts w:ascii="Arial" w:hAnsi="Arial" w:cs="Arial"/>
          <w:color w:val="0D0D0D" w:themeColor="text1" w:themeTint="F2"/>
          <w:lang w:val="en-US"/>
        </w:rPr>
      </w:pPr>
    </w:p>
    <w:sectPr w:rsidR="00157B07" w:rsidRPr="00870822" w:rsidSect="002E52B2">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C93C2" w14:textId="77777777" w:rsidR="007439C4" w:rsidRDefault="007439C4" w:rsidP="002E52B2">
      <w:pPr>
        <w:spacing w:after="0" w:line="240" w:lineRule="auto"/>
      </w:pPr>
      <w:r>
        <w:separator/>
      </w:r>
    </w:p>
  </w:endnote>
  <w:endnote w:type="continuationSeparator" w:id="0">
    <w:p w14:paraId="3B4BD593" w14:textId="77777777" w:rsidR="007439C4" w:rsidRDefault="007439C4" w:rsidP="002E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580907"/>
      <w:docPartObj>
        <w:docPartGallery w:val="Page Numbers (Bottom of Page)"/>
        <w:docPartUnique/>
      </w:docPartObj>
    </w:sdtPr>
    <w:sdtEndPr>
      <w:rPr>
        <w:noProof/>
      </w:rPr>
    </w:sdtEndPr>
    <w:sdtContent>
      <w:p w14:paraId="62FAD1EE" w14:textId="01F2E3FE" w:rsidR="008A4BED" w:rsidRDefault="008A4B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35D35" w14:textId="77777777" w:rsidR="002E52B2" w:rsidRDefault="002E52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5E2F8" w14:textId="77777777" w:rsidR="007439C4" w:rsidRDefault="007439C4" w:rsidP="002E52B2">
      <w:pPr>
        <w:spacing w:after="0" w:line="240" w:lineRule="auto"/>
      </w:pPr>
      <w:r>
        <w:separator/>
      </w:r>
    </w:p>
  </w:footnote>
  <w:footnote w:type="continuationSeparator" w:id="0">
    <w:p w14:paraId="7B32636B" w14:textId="77777777" w:rsidR="007439C4" w:rsidRDefault="007439C4" w:rsidP="002E52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4152"/>
    <w:multiLevelType w:val="hybridMultilevel"/>
    <w:tmpl w:val="66E03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7C3553"/>
    <w:multiLevelType w:val="multilevel"/>
    <w:tmpl w:val="E6E45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60375F"/>
    <w:multiLevelType w:val="multilevel"/>
    <w:tmpl w:val="DF869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B73B5C"/>
    <w:multiLevelType w:val="multilevel"/>
    <w:tmpl w:val="D7825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E43742"/>
    <w:multiLevelType w:val="multilevel"/>
    <w:tmpl w:val="2F24F1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4B08A8"/>
    <w:multiLevelType w:val="multilevel"/>
    <w:tmpl w:val="9ABA4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EF2DB7"/>
    <w:multiLevelType w:val="hybridMultilevel"/>
    <w:tmpl w:val="034CC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243DA7"/>
    <w:multiLevelType w:val="multilevel"/>
    <w:tmpl w:val="CE645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BF1BB9"/>
    <w:multiLevelType w:val="hybridMultilevel"/>
    <w:tmpl w:val="5CFEE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3A13217"/>
    <w:multiLevelType w:val="multilevel"/>
    <w:tmpl w:val="984C2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BB335B"/>
    <w:multiLevelType w:val="multilevel"/>
    <w:tmpl w:val="E38860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0B62273"/>
    <w:multiLevelType w:val="multilevel"/>
    <w:tmpl w:val="8576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FE7F2E"/>
    <w:multiLevelType w:val="multilevel"/>
    <w:tmpl w:val="BF165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513CC"/>
    <w:multiLevelType w:val="hybridMultilevel"/>
    <w:tmpl w:val="694E5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807B3C"/>
    <w:multiLevelType w:val="multilevel"/>
    <w:tmpl w:val="E0B08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EE2AAC"/>
    <w:multiLevelType w:val="multilevel"/>
    <w:tmpl w:val="768C6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1B1035"/>
    <w:multiLevelType w:val="multilevel"/>
    <w:tmpl w:val="CAF6E0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F63715"/>
    <w:multiLevelType w:val="multilevel"/>
    <w:tmpl w:val="C0EE0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767557"/>
    <w:multiLevelType w:val="multilevel"/>
    <w:tmpl w:val="ACC23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FE0DDD"/>
    <w:multiLevelType w:val="multilevel"/>
    <w:tmpl w:val="1018D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0803BC"/>
    <w:multiLevelType w:val="hybridMultilevel"/>
    <w:tmpl w:val="E3D4E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C1D74A9"/>
    <w:multiLevelType w:val="multilevel"/>
    <w:tmpl w:val="7088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E836F0"/>
    <w:multiLevelType w:val="hybridMultilevel"/>
    <w:tmpl w:val="C3DC6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894C98"/>
    <w:multiLevelType w:val="hybridMultilevel"/>
    <w:tmpl w:val="56A09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EE0499B"/>
    <w:multiLevelType w:val="multilevel"/>
    <w:tmpl w:val="151A0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6139E9"/>
    <w:multiLevelType w:val="multilevel"/>
    <w:tmpl w:val="C0EA85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13318A"/>
    <w:multiLevelType w:val="multilevel"/>
    <w:tmpl w:val="21FE9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985D48"/>
    <w:multiLevelType w:val="multilevel"/>
    <w:tmpl w:val="B0681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8C6C07"/>
    <w:multiLevelType w:val="multilevel"/>
    <w:tmpl w:val="20D62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CD2979"/>
    <w:multiLevelType w:val="multilevel"/>
    <w:tmpl w:val="9BF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5E58C7"/>
    <w:multiLevelType w:val="multilevel"/>
    <w:tmpl w:val="4570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141D28"/>
    <w:multiLevelType w:val="hybridMultilevel"/>
    <w:tmpl w:val="7846A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17643D2"/>
    <w:multiLevelType w:val="multilevel"/>
    <w:tmpl w:val="40C66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E5077F"/>
    <w:multiLevelType w:val="multilevel"/>
    <w:tmpl w:val="65029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9B04A6"/>
    <w:multiLevelType w:val="multilevel"/>
    <w:tmpl w:val="E910A3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84E4AF1"/>
    <w:multiLevelType w:val="multilevel"/>
    <w:tmpl w:val="88080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98E2B23"/>
    <w:multiLevelType w:val="multilevel"/>
    <w:tmpl w:val="4D4CE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234F10"/>
    <w:multiLevelType w:val="multilevel"/>
    <w:tmpl w:val="9F840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572738"/>
    <w:multiLevelType w:val="hybridMultilevel"/>
    <w:tmpl w:val="FA8EDE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AFA13EE"/>
    <w:multiLevelType w:val="hybridMultilevel"/>
    <w:tmpl w:val="99C0D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B123F94"/>
    <w:multiLevelType w:val="multilevel"/>
    <w:tmpl w:val="8BDE4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B8C08C6"/>
    <w:multiLevelType w:val="multilevel"/>
    <w:tmpl w:val="A140B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CB0AFE"/>
    <w:multiLevelType w:val="hybridMultilevel"/>
    <w:tmpl w:val="A27AA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2341212">
    <w:abstractNumId w:val="26"/>
  </w:num>
  <w:num w:numId="2" w16cid:durableId="502477351">
    <w:abstractNumId w:val="5"/>
  </w:num>
  <w:num w:numId="3" w16cid:durableId="574246716">
    <w:abstractNumId w:val="17"/>
  </w:num>
  <w:num w:numId="4" w16cid:durableId="797604044">
    <w:abstractNumId w:val="36"/>
  </w:num>
  <w:num w:numId="5" w16cid:durableId="406614993">
    <w:abstractNumId w:val="2"/>
  </w:num>
  <w:num w:numId="6" w16cid:durableId="1620261626">
    <w:abstractNumId w:val="30"/>
  </w:num>
  <w:num w:numId="7" w16cid:durableId="1688435662">
    <w:abstractNumId w:val="15"/>
  </w:num>
  <w:num w:numId="8" w16cid:durableId="986124962">
    <w:abstractNumId w:val="35"/>
  </w:num>
  <w:num w:numId="9" w16cid:durableId="1467895211">
    <w:abstractNumId w:val="9"/>
  </w:num>
  <w:num w:numId="10" w16cid:durableId="1433667313">
    <w:abstractNumId w:val="27"/>
  </w:num>
  <w:num w:numId="11" w16cid:durableId="1355305197">
    <w:abstractNumId w:val="1"/>
  </w:num>
  <w:num w:numId="12" w16cid:durableId="2072531834">
    <w:abstractNumId w:val="28"/>
  </w:num>
  <w:num w:numId="13" w16cid:durableId="1156997852">
    <w:abstractNumId w:val="18"/>
  </w:num>
  <w:num w:numId="14" w16cid:durableId="462119912">
    <w:abstractNumId w:val="33"/>
  </w:num>
  <w:num w:numId="15" w16cid:durableId="654145044">
    <w:abstractNumId w:val="41"/>
  </w:num>
  <w:num w:numId="16" w16cid:durableId="631138006">
    <w:abstractNumId w:val="14"/>
  </w:num>
  <w:num w:numId="17" w16cid:durableId="1889145626">
    <w:abstractNumId w:val="11"/>
  </w:num>
  <w:num w:numId="18" w16cid:durableId="1579636781">
    <w:abstractNumId w:val="7"/>
  </w:num>
  <w:num w:numId="19" w16cid:durableId="943924752">
    <w:abstractNumId w:val="40"/>
  </w:num>
  <w:num w:numId="20" w16cid:durableId="638344497">
    <w:abstractNumId w:val="32"/>
  </w:num>
  <w:num w:numId="21" w16cid:durableId="1701010794">
    <w:abstractNumId w:val="37"/>
  </w:num>
  <w:num w:numId="22" w16cid:durableId="707024923">
    <w:abstractNumId w:val="3"/>
  </w:num>
  <w:num w:numId="23" w16cid:durableId="784739503">
    <w:abstractNumId w:val="24"/>
  </w:num>
  <w:num w:numId="24" w16cid:durableId="586428272">
    <w:abstractNumId w:val="34"/>
  </w:num>
  <w:num w:numId="25" w16cid:durableId="1272397873">
    <w:abstractNumId w:val="4"/>
  </w:num>
  <w:num w:numId="26" w16cid:durableId="2127773225">
    <w:abstractNumId w:val="31"/>
  </w:num>
  <w:num w:numId="27" w16cid:durableId="21250548">
    <w:abstractNumId w:val="0"/>
  </w:num>
  <w:num w:numId="28" w16cid:durableId="433325394">
    <w:abstractNumId w:val="20"/>
  </w:num>
  <w:num w:numId="29" w16cid:durableId="1041324614">
    <w:abstractNumId w:val="39"/>
  </w:num>
  <w:num w:numId="30" w16cid:durableId="876551627">
    <w:abstractNumId w:val="19"/>
  </w:num>
  <w:num w:numId="31" w16cid:durableId="1152871682">
    <w:abstractNumId w:val="12"/>
  </w:num>
  <w:num w:numId="32" w16cid:durableId="1096636129">
    <w:abstractNumId w:val="16"/>
  </w:num>
  <w:num w:numId="33" w16cid:durableId="68819814">
    <w:abstractNumId w:val="25"/>
  </w:num>
  <w:num w:numId="34" w16cid:durableId="1776704528">
    <w:abstractNumId w:val="13"/>
  </w:num>
  <w:num w:numId="35" w16cid:durableId="1551570270">
    <w:abstractNumId w:val="42"/>
  </w:num>
  <w:num w:numId="36" w16cid:durableId="20016062">
    <w:abstractNumId w:val="10"/>
  </w:num>
  <w:num w:numId="37" w16cid:durableId="1977684195">
    <w:abstractNumId w:val="8"/>
  </w:num>
  <w:num w:numId="38" w16cid:durableId="1412772378">
    <w:abstractNumId w:val="29"/>
  </w:num>
  <w:num w:numId="39" w16cid:durableId="802430892">
    <w:abstractNumId w:val="21"/>
  </w:num>
  <w:num w:numId="40" w16cid:durableId="134371296">
    <w:abstractNumId w:val="6"/>
  </w:num>
  <w:num w:numId="41" w16cid:durableId="860508083">
    <w:abstractNumId w:val="22"/>
  </w:num>
  <w:num w:numId="42" w16cid:durableId="1214120370">
    <w:abstractNumId w:val="23"/>
  </w:num>
  <w:num w:numId="43" w16cid:durableId="160742334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0NDQyNjM2NzKwMDRS0lEKTi0uzszPAykwrQUAMwZNlCwAAAA="/>
  </w:docVars>
  <w:rsids>
    <w:rsidRoot w:val="002E14B5"/>
    <w:rsid w:val="000002BF"/>
    <w:rsid w:val="000004E0"/>
    <w:rsid w:val="000017E2"/>
    <w:rsid w:val="00002213"/>
    <w:rsid w:val="00002CF0"/>
    <w:rsid w:val="00003013"/>
    <w:rsid w:val="00004397"/>
    <w:rsid w:val="0000535B"/>
    <w:rsid w:val="00006DC7"/>
    <w:rsid w:val="000077DE"/>
    <w:rsid w:val="00010CB5"/>
    <w:rsid w:val="00012B04"/>
    <w:rsid w:val="000130C8"/>
    <w:rsid w:val="00013176"/>
    <w:rsid w:val="0001414E"/>
    <w:rsid w:val="00014233"/>
    <w:rsid w:val="00014E99"/>
    <w:rsid w:val="000155A2"/>
    <w:rsid w:val="00015B16"/>
    <w:rsid w:val="00015E2D"/>
    <w:rsid w:val="000160E1"/>
    <w:rsid w:val="0001642C"/>
    <w:rsid w:val="00016A51"/>
    <w:rsid w:val="00016F45"/>
    <w:rsid w:val="00017EC6"/>
    <w:rsid w:val="00020647"/>
    <w:rsid w:val="00020C1E"/>
    <w:rsid w:val="00020FA6"/>
    <w:rsid w:val="00021970"/>
    <w:rsid w:val="00021D00"/>
    <w:rsid w:val="000226F8"/>
    <w:rsid w:val="0002275F"/>
    <w:rsid w:val="00022B60"/>
    <w:rsid w:val="00024009"/>
    <w:rsid w:val="00024695"/>
    <w:rsid w:val="00025CF7"/>
    <w:rsid w:val="000260A3"/>
    <w:rsid w:val="000263AE"/>
    <w:rsid w:val="00026AA6"/>
    <w:rsid w:val="00027350"/>
    <w:rsid w:val="00027D3F"/>
    <w:rsid w:val="00030123"/>
    <w:rsid w:val="00030A67"/>
    <w:rsid w:val="00031576"/>
    <w:rsid w:val="00031C7D"/>
    <w:rsid w:val="00032A5E"/>
    <w:rsid w:val="00033115"/>
    <w:rsid w:val="0003321E"/>
    <w:rsid w:val="0003417B"/>
    <w:rsid w:val="00034255"/>
    <w:rsid w:val="0003492D"/>
    <w:rsid w:val="00034F23"/>
    <w:rsid w:val="000361CE"/>
    <w:rsid w:val="00036427"/>
    <w:rsid w:val="0003720D"/>
    <w:rsid w:val="00037B69"/>
    <w:rsid w:val="00040766"/>
    <w:rsid w:val="000408C6"/>
    <w:rsid w:val="00040B42"/>
    <w:rsid w:val="00040FD9"/>
    <w:rsid w:val="00041990"/>
    <w:rsid w:val="0004244B"/>
    <w:rsid w:val="00044BEB"/>
    <w:rsid w:val="0004614B"/>
    <w:rsid w:val="000463C5"/>
    <w:rsid w:val="00046AEC"/>
    <w:rsid w:val="00046C09"/>
    <w:rsid w:val="00050028"/>
    <w:rsid w:val="00051064"/>
    <w:rsid w:val="000511C2"/>
    <w:rsid w:val="00051E88"/>
    <w:rsid w:val="000520E2"/>
    <w:rsid w:val="00052B0B"/>
    <w:rsid w:val="0005365E"/>
    <w:rsid w:val="00053A28"/>
    <w:rsid w:val="00054952"/>
    <w:rsid w:val="000561C5"/>
    <w:rsid w:val="000563EE"/>
    <w:rsid w:val="00060AF8"/>
    <w:rsid w:val="00061058"/>
    <w:rsid w:val="00061D8F"/>
    <w:rsid w:val="0006258D"/>
    <w:rsid w:val="000626AF"/>
    <w:rsid w:val="00062F77"/>
    <w:rsid w:val="00063BDE"/>
    <w:rsid w:val="000641FF"/>
    <w:rsid w:val="000650EF"/>
    <w:rsid w:val="00065465"/>
    <w:rsid w:val="000658D6"/>
    <w:rsid w:val="00065AE6"/>
    <w:rsid w:val="00066452"/>
    <w:rsid w:val="00066D18"/>
    <w:rsid w:val="0007010C"/>
    <w:rsid w:val="00070156"/>
    <w:rsid w:val="00070E24"/>
    <w:rsid w:val="00071C48"/>
    <w:rsid w:val="00071F62"/>
    <w:rsid w:val="000726E4"/>
    <w:rsid w:val="000737BB"/>
    <w:rsid w:val="00073991"/>
    <w:rsid w:val="000742CA"/>
    <w:rsid w:val="000749B6"/>
    <w:rsid w:val="0007551F"/>
    <w:rsid w:val="000769E4"/>
    <w:rsid w:val="00076DF8"/>
    <w:rsid w:val="00080D64"/>
    <w:rsid w:val="00080DF1"/>
    <w:rsid w:val="00081AEC"/>
    <w:rsid w:val="000822C2"/>
    <w:rsid w:val="000832BE"/>
    <w:rsid w:val="0008332B"/>
    <w:rsid w:val="0008424F"/>
    <w:rsid w:val="00085AA0"/>
    <w:rsid w:val="000867C8"/>
    <w:rsid w:val="00086B42"/>
    <w:rsid w:val="000905AF"/>
    <w:rsid w:val="000908F5"/>
    <w:rsid w:val="00090D42"/>
    <w:rsid w:val="000910B3"/>
    <w:rsid w:val="00091DEF"/>
    <w:rsid w:val="00092248"/>
    <w:rsid w:val="00092437"/>
    <w:rsid w:val="0009298C"/>
    <w:rsid w:val="00093B1F"/>
    <w:rsid w:val="00093F14"/>
    <w:rsid w:val="00094E2F"/>
    <w:rsid w:val="0009545C"/>
    <w:rsid w:val="00095BCD"/>
    <w:rsid w:val="000963F9"/>
    <w:rsid w:val="00096E37"/>
    <w:rsid w:val="000978F3"/>
    <w:rsid w:val="00097EA0"/>
    <w:rsid w:val="000A0A22"/>
    <w:rsid w:val="000A0FE3"/>
    <w:rsid w:val="000A17DD"/>
    <w:rsid w:val="000A199E"/>
    <w:rsid w:val="000A1F90"/>
    <w:rsid w:val="000A203F"/>
    <w:rsid w:val="000A249A"/>
    <w:rsid w:val="000A2907"/>
    <w:rsid w:val="000A2C3F"/>
    <w:rsid w:val="000A2C62"/>
    <w:rsid w:val="000A3BF3"/>
    <w:rsid w:val="000A4026"/>
    <w:rsid w:val="000A5167"/>
    <w:rsid w:val="000A551F"/>
    <w:rsid w:val="000A64F3"/>
    <w:rsid w:val="000A6692"/>
    <w:rsid w:val="000A6AC3"/>
    <w:rsid w:val="000A6EED"/>
    <w:rsid w:val="000A6F55"/>
    <w:rsid w:val="000A712A"/>
    <w:rsid w:val="000A7BA0"/>
    <w:rsid w:val="000B0EED"/>
    <w:rsid w:val="000B1BAC"/>
    <w:rsid w:val="000B312C"/>
    <w:rsid w:val="000B3C06"/>
    <w:rsid w:val="000B3F20"/>
    <w:rsid w:val="000B4BDE"/>
    <w:rsid w:val="000B5593"/>
    <w:rsid w:val="000B6B5F"/>
    <w:rsid w:val="000B6F0A"/>
    <w:rsid w:val="000C1F9E"/>
    <w:rsid w:val="000C2AC4"/>
    <w:rsid w:val="000C3046"/>
    <w:rsid w:val="000C3A2F"/>
    <w:rsid w:val="000C451E"/>
    <w:rsid w:val="000C522A"/>
    <w:rsid w:val="000C54B8"/>
    <w:rsid w:val="000C54E9"/>
    <w:rsid w:val="000C67A0"/>
    <w:rsid w:val="000C6ABA"/>
    <w:rsid w:val="000C6BA6"/>
    <w:rsid w:val="000C723A"/>
    <w:rsid w:val="000C7ECB"/>
    <w:rsid w:val="000D01FA"/>
    <w:rsid w:val="000D12DB"/>
    <w:rsid w:val="000D13FB"/>
    <w:rsid w:val="000D3E5B"/>
    <w:rsid w:val="000D6F07"/>
    <w:rsid w:val="000D6F31"/>
    <w:rsid w:val="000D7D57"/>
    <w:rsid w:val="000E017C"/>
    <w:rsid w:val="000E02C9"/>
    <w:rsid w:val="000E226B"/>
    <w:rsid w:val="000E2AEE"/>
    <w:rsid w:val="000E30EF"/>
    <w:rsid w:val="000E37CE"/>
    <w:rsid w:val="000E4A91"/>
    <w:rsid w:val="000E6304"/>
    <w:rsid w:val="000E69EE"/>
    <w:rsid w:val="000E738E"/>
    <w:rsid w:val="000E7634"/>
    <w:rsid w:val="000F0137"/>
    <w:rsid w:val="000F0DCF"/>
    <w:rsid w:val="000F10B8"/>
    <w:rsid w:val="000F129C"/>
    <w:rsid w:val="000F2222"/>
    <w:rsid w:val="000F3937"/>
    <w:rsid w:val="000F3972"/>
    <w:rsid w:val="000F402F"/>
    <w:rsid w:val="000F5135"/>
    <w:rsid w:val="000F6854"/>
    <w:rsid w:val="000F69D3"/>
    <w:rsid w:val="000F7E1E"/>
    <w:rsid w:val="001000AA"/>
    <w:rsid w:val="00100C8E"/>
    <w:rsid w:val="001017D7"/>
    <w:rsid w:val="0010268E"/>
    <w:rsid w:val="00102971"/>
    <w:rsid w:val="00102D08"/>
    <w:rsid w:val="001032A8"/>
    <w:rsid w:val="001049F0"/>
    <w:rsid w:val="0010502B"/>
    <w:rsid w:val="00105094"/>
    <w:rsid w:val="0010533D"/>
    <w:rsid w:val="001053E6"/>
    <w:rsid w:val="00106B4D"/>
    <w:rsid w:val="001104F0"/>
    <w:rsid w:val="001106C9"/>
    <w:rsid w:val="00110938"/>
    <w:rsid w:val="00111D37"/>
    <w:rsid w:val="001127E0"/>
    <w:rsid w:val="00112805"/>
    <w:rsid w:val="0011286C"/>
    <w:rsid w:val="00113036"/>
    <w:rsid w:val="00113040"/>
    <w:rsid w:val="0011355D"/>
    <w:rsid w:val="00113865"/>
    <w:rsid w:val="00113C3A"/>
    <w:rsid w:val="00114B1B"/>
    <w:rsid w:val="001165A4"/>
    <w:rsid w:val="00116B9F"/>
    <w:rsid w:val="001177B5"/>
    <w:rsid w:val="00120089"/>
    <w:rsid w:val="001202AC"/>
    <w:rsid w:val="00121A62"/>
    <w:rsid w:val="00124208"/>
    <w:rsid w:val="00124A0C"/>
    <w:rsid w:val="00124AD6"/>
    <w:rsid w:val="00124DCC"/>
    <w:rsid w:val="00125010"/>
    <w:rsid w:val="001250EA"/>
    <w:rsid w:val="00125107"/>
    <w:rsid w:val="00125486"/>
    <w:rsid w:val="00125AD1"/>
    <w:rsid w:val="00126774"/>
    <w:rsid w:val="00130BE8"/>
    <w:rsid w:val="00131DCA"/>
    <w:rsid w:val="00132334"/>
    <w:rsid w:val="00132787"/>
    <w:rsid w:val="00132D4A"/>
    <w:rsid w:val="00133F8D"/>
    <w:rsid w:val="00134EB1"/>
    <w:rsid w:val="00137EBC"/>
    <w:rsid w:val="00140535"/>
    <w:rsid w:val="00140DE5"/>
    <w:rsid w:val="00141F3D"/>
    <w:rsid w:val="00142B3B"/>
    <w:rsid w:val="00143007"/>
    <w:rsid w:val="001431BC"/>
    <w:rsid w:val="001433C4"/>
    <w:rsid w:val="0014358A"/>
    <w:rsid w:val="00144B21"/>
    <w:rsid w:val="00145426"/>
    <w:rsid w:val="0014685B"/>
    <w:rsid w:val="0014686C"/>
    <w:rsid w:val="00146934"/>
    <w:rsid w:val="00146A90"/>
    <w:rsid w:val="0014725E"/>
    <w:rsid w:val="00147C20"/>
    <w:rsid w:val="00150DDE"/>
    <w:rsid w:val="00150E5C"/>
    <w:rsid w:val="00151AC8"/>
    <w:rsid w:val="001542E2"/>
    <w:rsid w:val="00156B75"/>
    <w:rsid w:val="00157B07"/>
    <w:rsid w:val="001600ED"/>
    <w:rsid w:val="001604A8"/>
    <w:rsid w:val="001608EC"/>
    <w:rsid w:val="00161851"/>
    <w:rsid w:val="0016222B"/>
    <w:rsid w:val="00162547"/>
    <w:rsid w:val="00162577"/>
    <w:rsid w:val="00162F92"/>
    <w:rsid w:val="00163E49"/>
    <w:rsid w:val="0016622D"/>
    <w:rsid w:val="0016734F"/>
    <w:rsid w:val="00167601"/>
    <w:rsid w:val="00167609"/>
    <w:rsid w:val="001676CD"/>
    <w:rsid w:val="00167C52"/>
    <w:rsid w:val="00170C9E"/>
    <w:rsid w:val="0017120B"/>
    <w:rsid w:val="0017137D"/>
    <w:rsid w:val="00171AC1"/>
    <w:rsid w:val="00171C74"/>
    <w:rsid w:val="00171D11"/>
    <w:rsid w:val="00173325"/>
    <w:rsid w:val="00173F30"/>
    <w:rsid w:val="001741FE"/>
    <w:rsid w:val="0017442A"/>
    <w:rsid w:val="00174B78"/>
    <w:rsid w:val="00175CE2"/>
    <w:rsid w:val="00180997"/>
    <w:rsid w:val="00180E8B"/>
    <w:rsid w:val="00181472"/>
    <w:rsid w:val="001837DF"/>
    <w:rsid w:val="001839D5"/>
    <w:rsid w:val="00185860"/>
    <w:rsid w:val="00185BB0"/>
    <w:rsid w:val="0018602F"/>
    <w:rsid w:val="00186C81"/>
    <w:rsid w:val="00190AF4"/>
    <w:rsid w:val="00190DDB"/>
    <w:rsid w:val="00191281"/>
    <w:rsid w:val="00191C88"/>
    <w:rsid w:val="0019287F"/>
    <w:rsid w:val="00192A16"/>
    <w:rsid w:val="0019344B"/>
    <w:rsid w:val="00194008"/>
    <w:rsid w:val="00194D18"/>
    <w:rsid w:val="001956B0"/>
    <w:rsid w:val="001973DA"/>
    <w:rsid w:val="00197838"/>
    <w:rsid w:val="00197900"/>
    <w:rsid w:val="00197992"/>
    <w:rsid w:val="001A0169"/>
    <w:rsid w:val="001A0CD5"/>
    <w:rsid w:val="001A0DAD"/>
    <w:rsid w:val="001A1C34"/>
    <w:rsid w:val="001A20CE"/>
    <w:rsid w:val="001A535B"/>
    <w:rsid w:val="001A54F9"/>
    <w:rsid w:val="001A6357"/>
    <w:rsid w:val="001A7166"/>
    <w:rsid w:val="001A738A"/>
    <w:rsid w:val="001A7726"/>
    <w:rsid w:val="001A7BF4"/>
    <w:rsid w:val="001B01BE"/>
    <w:rsid w:val="001B0C96"/>
    <w:rsid w:val="001B1BF8"/>
    <w:rsid w:val="001B1CD7"/>
    <w:rsid w:val="001B2477"/>
    <w:rsid w:val="001B34E9"/>
    <w:rsid w:val="001B3617"/>
    <w:rsid w:val="001B384B"/>
    <w:rsid w:val="001B46B2"/>
    <w:rsid w:val="001B4F68"/>
    <w:rsid w:val="001B5A4F"/>
    <w:rsid w:val="001B5E02"/>
    <w:rsid w:val="001B7D76"/>
    <w:rsid w:val="001C005D"/>
    <w:rsid w:val="001C0170"/>
    <w:rsid w:val="001C1117"/>
    <w:rsid w:val="001C2353"/>
    <w:rsid w:val="001C261C"/>
    <w:rsid w:val="001C2763"/>
    <w:rsid w:val="001C31D1"/>
    <w:rsid w:val="001C3A79"/>
    <w:rsid w:val="001C3E67"/>
    <w:rsid w:val="001C3FFF"/>
    <w:rsid w:val="001C46E1"/>
    <w:rsid w:val="001C4842"/>
    <w:rsid w:val="001C49D8"/>
    <w:rsid w:val="001C5072"/>
    <w:rsid w:val="001C51DC"/>
    <w:rsid w:val="001C62E9"/>
    <w:rsid w:val="001C7DBE"/>
    <w:rsid w:val="001D097A"/>
    <w:rsid w:val="001D0A3F"/>
    <w:rsid w:val="001D0C33"/>
    <w:rsid w:val="001D1F38"/>
    <w:rsid w:val="001D24A8"/>
    <w:rsid w:val="001D260F"/>
    <w:rsid w:val="001D280A"/>
    <w:rsid w:val="001D2E08"/>
    <w:rsid w:val="001D42A2"/>
    <w:rsid w:val="001D4530"/>
    <w:rsid w:val="001D4EB4"/>
    <w:rsid w:val="001D5D7B"/>
    <w:rsid w:val="001D774C"/>
    <w:rsid w:val="001E1237"/>
    <w:rsid w:val="001E233B"/>
    <w:rsid w:val="001E237E"/>
    <w:rsid w:val="001E2672"/>
    <w:rsid w:val="001E2A5A"/>
    <w:rsid w:val="001E3606"/>
    <w:rsid w:val="001E3742"/>
    <w:rsid w:val="001E6FB0"/>
    <w:rsid w:val="001F0ABE"/>
    <w:rsid w:val="001F1120"/>
    <w:rsid w:val="001F2443"/>
    <w:rsid w:val="001F2971"/>
    <w:rsid w:val="001F2CA6"/>
    <w:rsid w:val="001F3DF7"/>
    <w:rsid w:val="001F40F1"/>
    <w:rsid w:val="001F46CE"/>
    <w:rsid w:val="001F53EE"/>
    <w:rsid w:val="001F5A70"/>
    <w:rsid w:val="001F719C"/>
    <w:rsid w:val="001F7505"/>
    <w:rsid w:val="001F7A4A"/>
    <w:rsid w:val="001F7C05"/>
    <w:rsid w:val="001F7E12"/>
    <w:rsid w:val="0020050C"/>
    <w:rsid w:val="0020136B"/>
    <w:rsid w:val="00202CAF"/>
    <w:rsid w:val="00203AFE"/>
    <w:rsid w:val="002052C1"/>
    <w:rsid w:val="00207041"/>
    <w:rsid w:val="00207441"/>
    <w:rsid w:val="002101AD"/>
    <w:rsid w:val="00210507"/>
    <w:rsid w:val="00211BC7"/>
    <w:rsid w:val="00212555"/>
    <w:rsid w:val="002128C1"/>
    <w:rsid w:val="00212D92"/>
    <w:rsid w:val="00212DC9"/>
    <w:rsid w:val="00213688"/>
    <w:rsid w:val="0021527A"/>
    <w:rsid w:val="002159B7"/>
    <w:rsid w:val="00216294"/>
    <w:rsid w:val="00217F28"/>
    <w:rsid w:val="00220BF7"/>
    <w:rsid w:val="00221018"/>
    <w:rsid w:val="00221F52"/>
    <w:rsid w:val="002226FA"/>
    <w:rsid w:val="002235A0"/>
    <w:rsid w:val="00223ABC"/>
    <w:rsid w:val="00225072"/>
    <w:rsid w:val="00226264"/>
    <w:rsid w:val="002264FB"/>
    <w:rsid w:val="00226674"/>
    <w:rsid w:val="00227A9C"/>
    <w:rsid w:val="0023118D"/>
    <w:rsid w:val="00231F98"/>
    <w:rsid w:val="0023276B"/>
    <w:rsid w:val="002336AF"/>
    <w:rsid w:val="002342ED"/>
    <w:rsid w:val="002349F4"/>
    <w:rsid w:val="00236456"/>
    <w:rsid w:val="00236E45"/>
    <w:rsid w:val="0023702E"/>
    <w:rsid w:val="00237E6C"/>
    <w:rsid w:val="00240402"/>
    <w:rsid w:val="00240CCD"/>
    <w:rsid w:val="00240EAA"/>
    <w:rsid w:val="0024101A"/>
    <w:rsid w:val="00241110"/>
    <w:rsid w:val="002416F6"/>
    <w:rsid w:val="00241AA0"/>
    <w:rsid w:val="00241BA4"/>
    <w:rsid w:val="00242C1A"/>
    <w:rsid w:val="002431E8"/>
    <w:rsid w:val="002453EC"/>
    <w:rsid w:val="00245592"/>
    <w:rsid w:val="002459B8"/>
    <w:rsid w:val="00246665"/>
    <w:rsid w:val="00246DFC"/>
    <w:rsid w:val="0024786E"/>
    <w:rsid w:val="00247A6F"/>
    <w:rsid w:val="00247CE0"/>
    <w:rsid w:val="00250307"/>
    <w:rsid w:val="002517A6"/>
    <w:rsid w:val="00252883"/>
    <w:rsid w:val="00252A5F"/>
    <w:rsid w:val="00252C0F"/>
    <w:rsid w:val="002541D9"/>
    <w:rsid w:val="00254815"/>
    <w:rsid w:val="00254CB8"/>
    <w:rsid w:val="0025510C"/>
    <w:rsid w:val="0025548D"/>
    <w:rsid w:val="00255549"/>
    <w:rsid w:val="0025677F"/>
    <w:rsid w:val="00256EDB"/>
    <w:rsid w:val="0025754B"/>
    <w:rsid w:val="002616E9"/>
    <w:rsid w:val="002617A2"/>
    <w:rsid w:val="0026358B"/>
    <w:rsid w:val="0026445F"/>
    <w:rsid w:val="00264BB3"/>
    <w:rsid w:val="002668BE"/>
    <w:rsid w:val="00266D93"/>
    <w:rsid w:val="00266F3F"/>
    <w:rsid w:val="00270BEE"/>
    <w:rsid w:val="00271227"/>
    <w:rsid w:val="00271C7D"/>
    <w:rsid w:val="00271CB9"/>
    <w:rsid w:val="0027270F"/>
    <w:rsid w:val="00272CD3"/>
    <w:rsid w:val="00273BAC"/>
    <w:rsid w:val="00275579"/>
    <w:rsid w:val="0027571F"/>
    <w:rsid w:val="00275AA7"/>
    <w:rsid w:val="00276666"/>
    <w:rsid w:val="00276E30"/>
    <w:rsid w:val="0027746B"/>
    <w:rsid w:val="00280F66"/>
    <w:rsid w:val="00283339"/>
    <w:rsid w:val="00283366"/>
    <w:rsid w:val="00284DD0"/>
    <w:rsid w:val="002857F1"/>
    <w:rsid w:val="00286D47"/>
    <w:rsid w:val="00286FC4"/>
    <w:rsid w:val="00287186"/>
    <w:rsid w:val="002872E1"/>
    <w:rsid w:val="0028782C"/>
    <w:rsid w:val="0029025C"/>
    <w:rsid w:val="0029053B"/>
    <w:rsid w:val="00290B69"/>
    <w:rsid w:val="002918DD"/>
    <w:rsid w:val="00291C53"/>
    <w:rsid w:val="002929BA"/>
    <w:rsid w:val="00292E34"/>
    <w:rsid w:val="0029344C"/>
    <w:rsid w:val="0029349A"/>
    <w:rsid w:val="00294C47"/>
    <w:rsid w:val="00295A9B"/>
    <w:rsid w:val="00295DBB"/>
    <w:rsid w:val="0029605A"/>
    <w:rsid w:val="002963E2"/>
    <w:rsid w:val="00296806"/>
    <w:rsid w:val="0029691C"/>
    <w:rsid w:val="002A27F4"/>
    <w:rsid w:val="002A2BB4"/>
    <w:rsid w:val="002A2CA9"/>
    <w:rsid w:val="002A3636"/>
    <w:rsid w:val="002A4B25"/>
    <w:rsid w:val="002A4C30"/>
    <w:rsid w:val="002A4E08"/>
    <w:rsid w:val="002A6210"/>
    <w:rsid w:val="002A732F"/>
    <w:rsid w:val="002A7459"/>
    <w:rsid w:val="002A75A4"/>
    <w:rsid w:val="002A7AC2"/>
    <w:rsid w:val="002B02CE"/>
    <w:rsid w:val="002B033B"/>
    <w:rsid w:val="002B0427"/>
    <w:rsid w:val="002B0457"/>
    <w:rsid w:val="002B09BE"/>
    <w:rsid w:val="002B0BE3"/>
    <w:rsid w:val="002B14B8"/>
    <w:rsid w:val="002B22CE"/>
    <w:rsid w:val="002B2844"/>
    <w:rsid w:val="002B2987"/>
    <w:rsid w:val="002B2E27"/>
    <w:rsid w:val="002B37E7"/>
    <w:rsid w:val="002B41A3"/>
    <w:rsid w:val="002B4560"/>
    <w:rsid w:val="002B4863"/>
    <w:rsid w:val="002B4952"/>
    <w:rsid w:val="002B4AE0"/>
    <w:rsid w:val="002B64D2"/>
    <w:rsid w:val="002C2CE0"/>
    <w:rsid w:val="002C2D9C"/>
    <w:rsid w:val="002C2DEB"/>
    <w:rsid w:val="002C3776"/>
    <w:rsid w:val="002C63B6"/>
    <w:rsid w:val="002C63F4"/>
    <w:rsid w:val="002C63FF"/>
    <w:rsid w:val="002C691B"/>
    <w:rsid w:val="002C6CAD"/>
    <w:rsid w:val="002C77F2"/>
    <w:rsid w:val="002D07DC"/>
    <w:rsid w:val="002D09CB"/>
    <w:rsid w:val="002D1C4E"/>
    <w:rsid w:val="002D1C7A"/>
    <w:rsid w:val="002D2028"/>
    <w:rsid w:val="002D277D"/>
    <w:rsid w:val="002D29C5"/>
    <w:rsid w:val="002D404E"/>
    <w:rsid w:val="002D4989"/>
    <w:rsid w:val="002D4AC3"/>
    <w:rsid w:val="002D4B58"/>
    <w:rsid w:val="002D5C6A"/>
    <w:rsid w:val="002D61E4"/>
    <w:rsid w:val="002D6C8F"/>
    <w:rsid w:val="002D6F82"/>
    <w:rsid w:val="002D79E7"/>
    <w:rsid w:val="002E0642"/>
    <w:rsid w:val="002E0FEF"/>
    <w:rsid w:val="002E1021"/>
    <w:rsid w:val="002E1203"/>
    <w:rsid w:val="002E14B5"/>
    <w:rsid w:val="002E1ACC"/>
    <w:rsid w:val="002E36CD"/>
    <w:rsid w:val="002E3954"/>
    <w:rsid w:val="002E52B2"/>
    <w:rsid w:val="002E68A1"/>
    <w:rsid w:val="002E7068"/>
    <w:rsid w:val="002E7D3C"/>
    <w:rsid w:val="002F0092"/>
    <w:rsid w:val="002F0362"/>
    <w:rsid w:val="002F1033"/>
    <w:rsid w:val="002F12F2"/>
    <w:rsid w:val="002F1A17"/>
    <w:rsid w:val="002F20A9"/>
    <w:rsid w:val="002F2EF1"/>
    <w:rsid w:val="002F3A9E"/>
    <w:rsid w:val="002F3AEF"/>
    <w:rsid w:val="002F3D6A"/>
    <w:rsid w:val="002F4D78"/>
    <w:rsid w:val="002F5A3C"/>
    <w:rsid w:val="002F5DE8"/>
    <w:rsid w:val="002F5FB9"/>
    <w:rsid w:val="002F6944"/>
    <w:rsid w:val="002F6BD8"/>
    <w:rsid w:val="002F6FA8"/>
    <w:rsid w:val="003001FE"/>
    <w:rsid w:val="00300550"/>
    <w:rsid w:val="00300A1E"/>
    <w:rsid w:val="0030135E"/>
    <w:rsid w:val="003017F4"/>
    <w:rsid w:val="00302C0E"/>
    <w:rsid w:val="0030303F"/>
    <w:rsid w:val="00303C72"/>
    <w:rsid w:val="003042E5"/>
    <w:rsid w:val="0030434F"/>
    <w:rsid w:val="00304610"/>
    <w:rsid w:val="0030473B"/>
    <w:rsid w:val="00305FCB"/>
    <w:rsid w:val="00307311"/>
    <w:rsid w:val="003079ED"/>
    <w:rsid w:val="00307B39"/>
    <w:rsid w:val="00310DCA"/>
    <w:rsid w:val="003113A3"/>
    <w:rsid w:val="003149DC"/>
    <w:rsid w:val="0031532E"/>
    <w:rsid w:val="003175F5"/>
    <w:rsid w:val="00317C12"/>
    <w:rsid w:val="003200B7"/>
    <w:rsid w:val="00321940"/>
    <w:rsid w:val="00324013"/>
    <w:rsid w:val="00324276"/>
    <w:rsid w:val="003242BC"/>
    <w:rsid w:val="0032433C"/>
    <w:rsid w:val="00324A13"/>
    <w:rsid w:val="00324F52"/>
    <w:rsid w:val="003252D3"/>
    <w:rsid w:val="003254CC"/>
    <w:rsid w:val="00325949"/>
    <w:rsid w:val="003260E5"/>
    <w:rsid w:val="00326B61"/>
    <w:rsid w:val="00326EB4"/>
    <w:rsid w:val="0032751B"/>
    <w:rsid w:val="00327523"/>
    <w:rsid w:val="00327AAB"/>
    <w:rsid w:val="00330129"/>
    <w:rsid w:val="00330A60"/>
    <w:rsid w:val="00330C3A"/>
    <w:rsid w:val="003317A9"/>
    <w:rsid w:val="00331ECA"/>
    <w:rsid w:val="003334F9"/>
    <w:rsid w:val="00333677"/>
    <w:rsid w:val="00334AC9"/>
    <w:rsid w:val="00334B9B"/>
    <w:rsid w:val="003351BA"/>
    <w:rsid w:val="003354C9"/>
    <w:rsid w:val="00335A39"/>
    <w:rsid w:val="00335D4C"/>
    <w:rsid w:val="00336818"/>
    <w:rsid w:val="0033681B"/>
    <w:rsid w:val="00341382"/>
    <w:rsid w:val="0034280E"/>
    <w:rsid w:val="00342F6A"/>
    <w:rsid w:val="0034596D"/>
    <w:rsid w:val="00346553"/>
    <w:rsid w:val="00346716"/>
    <w:rsid w:val="0034693A"/>
    <w:rsid w:val="00346E5C"/>
    <w:rsid w:val="00346F22"/>
    <w:rsid w:val="0034701B"/>
    <w:rsid w:val="00347196"/>
    <w:rsid w:val="00347ABD"/>
    <w:rsid w:val="00347AF6"/>
    <w:rsid w:val="00347BE6"/>
    <w:rsid w:val="003500F9"/>
    <w:rsid w:val="003503F4"/>
    <w:rsid w:val="00351498"/>
    <w:rsid w:val="0035227D"/>
    <w:rsid w:val="00352D00"/>
    <w:rsid w:val="00353AAE"/>
    <w:rsid w:val="0035428B"/>
    <w:rsid w:val="003547CA"/>
    <w:rsid w:val="003549C7"/>
    <w:rsid w:val="00355044"/>
    <w:rsid w:val="003558BE"/>
    <w:rsid w:val="00355D49"/>
    <w:rsid w:val="00355FB4"/>
    <w:rsid w:val="00356043"/>
    <w:rsid w:val="00356CB2"/>
    <w:rsid w:val="00357BFC"/>
    <w:rsid w:val="003600F0"/>
    <w:rsid w:val="0036144D"/>
    <w:rsid w:val="00361B08"/>
    <w:rsid w:val="00361B1F"/>
    <w:rsid w:val="00361F0A"/>
    <w:rsid w:val="003635AC"/>
    <w:rsid w:val="003639C7"/>
    <w:rsid w:val="00364078"/>
    <w:rsid w:val="00364451"/>
    <w:rsid w:val="00364B7C"/>
    <w:rsid w:val="00364EDE"/>
    <w:rsid w:val="0036512F"/>
    <w:rsid w:val="003651F1"/>
    <w:rsid w:val="003651FE"/>
    <w:rsid w:val="00365797"/>
    <w:rsid w:val="00367E6D"/>
    <w:rsid w:val="003706E4"/>
    <w:rsid w:val="00370B09"/>
    <w:rsid w:val="00371193"/>
    <w:rsid w:val="0037147B"/>
    <w:rsid w:val="00371B51"/>
    <w:rsid w:val="003720E1"/>
    <w:rsid w:val="00372F59"/>
    <w:rsid w:val="00373340"/>
    <w:rsid w:val="00373362"/>
    <w:rsid w:val="003738EA"/>
    <w:rsid w:val="00375589"/>
    <w:rsid w:val="00376091"/>
    <w:rsid w:val="00377264"/>
    <w:rsid w:val="0037764A"/>
    <w:rsid w:val="00380073"/>
    <w:rsid w:val="003806AE"/>
    <w:rsid w:val="00381BA2"/>
    <w:rsid w:val="00381C86"/>
    <w:rsid w:val="00382208"/>
    <w:rsid w:val="0038484C"/>
    <w:rsid w:val="0038497C"/>
    <w:rsid w:val="00384B76"/>
    <w:rsid w:val="00384F2B"/>
    <w:rsid w:val="003859FE"/>
    <w:rsid w:val="0038618B"/>
    <w:rsid w:val="0038635A"/>
    <w:rsid w:val="00387814"/>
    <w:rsid w:val="0038786B"/>
    <w:rsid w:val="00387922"/>
    <w:rsid w:val="00391A2C"/>
    <w:rsid w:val="00391C67"/>
    <w:rsid w:val="00392973"/>
    <w:rsid w:val="003929C0"/>
    <w:rsid w:val="00392CE7"/>
    <w:rsid w:val="00396093"/>
    <w:rsid w:val="0039658B"/>
    <w:rsid w:val="00397022"/>
    <w:rsid w:val="003A2869"/>
    <w:rsid w:val="003A47C0"/>
    <w:rsid w:val="003A50FB"/>
    <w:rsid w:val="003A52E6"/>
    <w:rsid w:val="003A6581"/>
    <w:rsid w:val="003A6CFF"/>
    <w:rsid w:val="003A6E58"/>
    <w:rsid w:val="003B00F6"/>
    <w:rsid w:val="003B18A6"/>
    <w:rsid w:val="003B20C7"/>
    <w:rsid w:val="003B2271"/>
    <w:rsid w:val="003B29AA"/>
    <w:rsid w:val="003B41EE"/>
    <w:rsid w:val="003B41F7"/>
    <w:rsid w:val="003B42A7"/>
    <w:rsid w:val="003B4315"/>
    <w:rsid w:val="003B431D"/>
    <w:rsid w:val="003B589D"/>
    <w:rsid w:val="003B698E"/>
    <w:rsid w:val="003B6AB7"/>
    <w:rsid w:val="003B6E87"/>
    <w:rsid w:val="003B72A2"/>
    <w:rsid w:val="003B7498"/>
    <w:rsid w:val="003B7A8E"/>
    <w:rsid w:val="003B7B8C"/>
    <w:rsid w:val="003C10BC"/>
    <w:rsid w:val="003C1C62"/>
    <w:rsid w:val="003C21AF"/>
    <w:rsid w:val="003C27E0"/>
    <w:rsid w:val="003C367F"/>
    <w:rsid w:val="003C374F"/>
    <w:rsid w:val="003C3BB9"/>
    <w:rsid w:val="003C3EF4"/>
    <w:rsid w:val="003C4B3C"/>
    <w:rsid w:val="003C6005"/>
    <w:rsid w:val="003C6017"/>
    <w:rsid w:val="003C63CF"/>
    <w:rsid w:val="003C6690"/>
    <w:rsid w:val="003C68A9"/>
    <w:rsid w:val="003D0782"/>
    <w:rsid w:val="003D0C5C"/>
    <w:rsid w:val="003D1EE6"/>
    <w:rsid w:val="003D287D"/>
    <w:rsid w:val="003D35EC"/>
    <w:rsid w:val="003D586A"/>
    <w:rsid w:val="003D5A65"/>
    <w:rsid w:val="003D5D92"/>
    <w:rsid w:val="003D6360"/>
    <w:rsid w:val="003D6DBA"/>
    <w:rsid w:val="003D758F"/>
    <w:rsid w:val="003D788C"/>
    <w:rsid w:val="003D7F73"/>
    <w:rsid w:val="003E03EC"/>
    <w:rsid w:val="003E05F5"/>
    <w:rsid w:val="003E247C"/>
    <w:rsid w:val="003E2A7A"/>
    <w:rsid w:val="003E33D8"/>
    <w:rsid w:val="003E38BE"/>
    <w:rsid w:val="003E4004"/>
    <w:rsid w:val="003E5148"/>
    <w:rsid w:val="003E5CC8"/>
    <w:rsid w:val="003E5E38"/>
    <w:rsid w:val="003E76F6"/>
    <w:rsid w:val="003F0203"/>
    <w:rsid w:val="003F1066"/>
    <w:rsid w:val="003F1077"/>
    <w:rsid w:val="003F10BE"/>
    <w:rsid w:val="003F2321"/>
    <w:rsid w:val="003F2386"/>
    <w:rsid w:val="003F26CD"/>
    <w:rsid w:val="003F352C"/>
    <w:rsid w:val="003F3782"/>
    <w:rsid w:val="003F43BC"/>
    <w:rsid w:val="003F4EF9"/>
    <w:rsid w:val="003F5A2F"/>
    <w:rsid w:val="003F73E0"/>
    <w:rsid w:val="003F74E1"/>
    <w:rsid w:val="003F7530"/>
    <w:rsid w:val="00401DAD"/>
    <w:rsid w:val="00401F6E"/>
    <w:rsid w:val="00402267"/>
    <w:rsid w:val="00402C70"/>
    <w:rsid w:val="004031EB"/>
    <w:rsid w:val="00403998"/>
    <w:rsid w:val="004039CD"/>
    <w:rsid w:val="00404002"/>
    <w:rsid w:val="00404943"/>
    <w:rsid w:val="004066D2"/>
    <w:rsid w:val="00406CE4"/>
    <w:rsid w:val="00406D04"/>
    <w:rsid w:val="00407782"/>
    <w:rsid w:val="00407984"/>
    <w:rsid w:val="00410137"/>
    <w:rsid w:val="00411157"/>
    <w:rsid w:val="00414FF0"/>
    <w:rsid w:val="00415AB4"/>
    <w:rsid w:val="00417AC3"/>
    <w:rsid w:val="00417F81"/>
    <w:rsid w:val="00420656"/>
    <w:rsid w:val="00423288"/>
    <w:rsid w:val="004232C8"/>
    <w:rsid w:val="0042496E"/>
    <w:rsid w:val="00424A0D"/>
    <w:rsid w:val="00425D55"/>
    <w:rsid w:val="0042720F"/>
    <w:rsid w:val="00430755"/>
    <w:rsid w:val="00431082"/>
    <w:rsid w:val="00431A56"/>
    <w:rsid w:val="0043231F"/>
    <w:rsid w:val="00433A70"/>
    <w:rsid w:val="00433C34"/>
    <w:rsid w:val="00434218"/>
    <w:rsid w:val="004346A6"/>
    <w:rsid w:val="004347E0"/>
    <w:rsid w:val="00435797"/>
    <w:rsid w:val="00435DBA"/>
    <w:rsid w:val="00435E5A"/>
    <w:rsid w:val="004361C4"/>
    <w:rsid w:val="0043689C"/>
    <w:rsid w:val="0044017C"/>
    <w:rsid w:val="00440957"/>
    <w:rsid w:val="0044149B"/>
    <w:rsid w:val="0044192D"/>
    <w:rsid w:val="00441DEF"/>
    <w:rsid w:val="004423D1"/>
    <w:rsid w:val="0044330B"/>
    <w:rsid w:val="004443F5"/>
    <w:rsid w:val="00444743"/>
    <w:rsid w:val="00444DB4"/>
    <w:rsid w:val="00444F48"/>
    <w:rsid w:val="0044505B"/>
    <w:rsid w:val="004450AA"/>
    <w:rsid w:val="004451AC"/>
    <w:rsid w:val="00445996"/>
    <w:rsid w:val="004467FF"/>
    <w:rsid w:val="004468B6"/>
    <w:rsid w:val="00447337"/>
    <w:rsid w:val="004476C8"/>
    <w:rsid w:val="00450270"/>
    <w:rsid w:val="0045070D"/>
    <w:rsid w:val="00450BCC"/>
    <w:rsid w:val="004532D2"/>
    <w:rsid w:val="00454773"/>
    <w:rsid w:val="00455FAA"/>
    <w:rsid w:val="00463672"/>
    <w:rsid w:val="00463D8F"/>
    <w:rsid w:val="00464D52"/>
    <w:rsid w:val="00466684"/>
    <w:rsid w:val="00466D2E"/>
    <w:rsid w:val="00467052"/>
    <w:rsid w:val="00467080"/>
    <w:rsid w:val="004705A6"/>
    <w:rsid w:val="00470920"/>
    <w:rsid w:val="00470F83"/>
    <w:rsid w:val="004719D9"/>
    <w:rsid w:val="0047222D"/>
    <w:rsid w:val="00472698"/>
    <w:rsid w:val="00472889"/>
    <w:rsid w:val="004728BF"/>
    <w:rsid w:val="0047332C"/>
    <w:rsid w:val="00473D91"/>
    <w:rsid w:val="00473E83"/>
    <w:rsid w:val="00474C88"/>
    <w:rsid w:val="00475539"/>
    <w:rsid w:val="0047727A"/>
    <w:rsid w:val="004775F8"/>
    <w:rsid w:val="00477F79"/>
    <w:rsid w:val="0048059C"/>
    <w:rsid w:val="00480DA6"/>
    <w:rsid w:val="00481682"/>
    <w:rsid w:val="004816E4"/>
    <w:rsid w:val="004835BB"/>
    <w:rsid w:val="004842E9"/>
    <w:rsid w:val="00485767"/>
    <w:rsid w:val="00486C31"/>
    <w:rsid w:val="00486CE3"/>
    <w:rsid w:val="00487008"/>
    <w:rsid w:val="00490AF3"/>
    <w:rsid w:val="00492071"/>
    <w:rsid w:val="00493C1E"/>
    <w:rsid w:val="00494A56"/>
    <w:rsid w:val="00494F1E"/>
    <w:rsid w:val="004957C2"/>
    <w:rsid w:val="00495EDE"/>
    <w:rsid w:val="004960D8"/>
    <w:rsid w:val="004964E6"/>
    <w:rsid w:val="004966DA"/>
    <w:rsid w:val="00497CA7"/>
    <w:rsid w:val="004A0A72"/>
    <w:rsid w:val="004A0C0A"/>
    <w:rsid w:val="004A191F"/>
    <w:rsid w:val="004A1ADA"/>
    <w:rsid w:val="004A1B6E"/>
    <w:rsid w:val="004A3B6A"/>
    <w:rsid w:val="004A3BCF"/>
    <w:rsid w:val="004A519B"/>
    <w:rsid w:val="004A7C8D"/>
    <w:rsid w:val="004A7F99"/>
    <w:rsid w:val="004A7FF5"/>
    <w:rsid w:val="004B13A6"/>
    <w:rsid w:val="004B14A5"/>
    <w:rsid w:val="004B229D"/>
    <w:rsid w:val="004B28C8"/>
    <w:rsid w:val="004B2BC3"/>
    <w:rsid w:val="004B33EE"/>
    <w:rsid w:val="004B435D"/>
    <w:rsid w:val="004B45B4"/>
    <w:rsid w:val="004B477F"/>
    <w:rsid w:val="004B503C"/>
    <w:rsid w:val="004B5462"/>
    <w:rsid w:val="004B57B1"/>
    <w:rsid w:val="004B6D82"/>
    <w:rsid w:val="004B7091"/>
    <w:rsid w:val="004B712D"/>
    <w:rsid w:val="004B7E3F"/>
    <w:rsid w:val="004B7FF8"/>
    <w:rsid w:val="004C021A"/>
    <w:rsid w:val="004C0398"/>
    <w:rsid w:val="004C09D7"/>
    <w:rsid w:val="004C1E6E"/>
    <w:rsid w:val="004C21AA"/>
    <w:rsid w:val="004C2A91"/>
    <w:rsid w:val="004C3A27"/>
    <w:rsid w:val="004C4C8D"/>
    <w:rsid w:val="004C59BB"/>
    <w:rsid w:val="004C5E9D"/>
    <w:rsid w:val="004C69D0"/>
    <w:rsid w:val="004C6BC2"/>
    <w:rsid w:val="004D1806"/>
    <w:rsid w:val="004D18B0"/>
    <w:rsid w:val="004D1D0A"/>
    <w:rsid w:val="004D225E"/>
    <w:rsid w:val="004D3ACB"/>
    <w:rsid w:val="004D3DF7"/>
    <w:rsid w:val="004D3F77"/>
    <w:rsid w:val="004D436B"/>
    <w:rsid w:val="004D46F8"/>
    <w:rsid w:val="004D488B"/>
    <w:rsid w:val="004D48BB"/>
    <w:rsid w:val="004D4A3D"/>
    <w:rsid w:val="004D5895"/>
    <w:rsid w:val="004D5AAF"/>
    <w:rsid w:val="004D689E"/>
    <w:rsid w:val="004D6BE6"/>
    <w:rsid w:val="004D782C"/>
    <w:rsid w:val="004D7DAD"/>
    <w:rsid w:val="004E0685"/>
    <w:rsid w:val="004E0C0B"/>
    <w:rsid w:val="004E2CFF"/>
    <w:rsid w:val="004E41CE"/>
    <w:rsid w:val="004E4967"/>
    <w:rsid w:val="004E6B49"/>
    <w:rsid w:val="004E73DD"/>
    <w:rsid w:val="004E7444"/>
    <w:rsid w:val="004E79CC"/>
    <w:rsid w:val="004F0412"/>
    <w:rsid w:val="004F045F"/>
    <w:rsid w:val="004F0794"/>
    <w:rsid w:val="004F0AFF"/>
    <w:rsid w:val="004F1514"/>
    <w:rsid w:val="004F1556"/>
    <w:rsid w:val="004F1E3F"/>
    <w:rsid w:val="004F2148"/>
    <w:rsid w:val="004F2AC4"/>
    <w:rsid w:val="004F2CD5"/>
    <w:rsid w:val="004F349C"/>
    <w:rsid w:val="004F3EDA"/>
    <w:rsid w:val="004F4D59"/>
    <w:rsid w:val="004F58D5"/>
    <w:rsid w:val="004F5FB0"/>
    <w:rsid w:val="004F600C"/>
    <w:rsid w:val="004F6398"/>
    <w:rsid w:val="004F6967"/>
    <w:rsid w:val="004F7FDC"/>
    <w:rsid w:val="00500016"/>
    <w:rsid w:val="00501F5C"/>
    <w:rsid w:val="00502514"/>
    <w:rsid w:val="005035CA"/>
    <w:rsid w:val="00503DEE"/>
    <w:rsid w:val="005044AC"/>
    <w:rsid w:val="005052D6"/>
    <w:rsid w:val="0050562E"/>
    <w:rsid w:val="0051005A"/>
    <w:rsid w:val="005102A1"/>
    <w:rsid w:val="00510693"/>
    <w:rsid w:val="005117DE"/>
    <w:rsid w:val="005127AD"/>
    <w:rsid w:val="005127E4"/>
    <w:rsid w:val="00514A67"/>
    <w:rsid w:val="00515118"/>
    <w:rsid w:val="00515CE5"/>
    <w:rsid w:val="00516AC9"/>
    <w:rsid w:val="00517E84"/>
    <w:rsid w:val="0052048C"/>
    <w:rsid w:val="00520AAB"/>
    <w:rsid w:val="00520D82"/>
    <w:rsid w:val="00521214"/>
    <w:rsid w:val="005229A5"/>
    <w:rsid w:val="00523B69"/>
    <w:rsid w:val="005243FC"/>
    <w:rsid w:val="00524B0A"/>
    <w:rsid w:val="00524D9C"/>
    <w:rsid w:val="00525027"/>
    <w:rsid w:val="00525D68"/>
    <w:rsid w:val="00527C1A"/>
    <w:rsid w:val="005301C6"/>
    <w:rsid w:val="00530E9F"/>
    <w:rsid w:val="00531442"/>
    <w:rsid w:val="00531DB1"/>
    <w:rsid w:val="00533ADC"/>
    <w:rsid w:val="00533DDB"/>
    <w:rsid w:val="00535C21"/>
    <w:rsid w:val="005365C1"/>
    <w:rsid w:val="00536A67"/>
    <w:rsid w:val="00536B47"/>
    <w:rsid w:val="00541572"/>
    <w:rsid w:val="00545785"/>
    <w:rsid w:val="005461D9"/>
    <w:rsid w:val="00546B38"/>
    <w:rsid w:val="00546B6D"/>
    <w:rsid w:val="00547A41"/>
    <w:rsid w:val="00547F2F"/>
    <w:rsid w:val="005508E4"/>
    <w:rsid w:val="005514F6"/>
    <w:rsid w:val="0055175E"/>
    <w:rsid w:val="00552D79"/>
    <w:rsid w:val="0055387C"/>
    <w:rsid w:val="00553BFB"/>
    <w:rsid w:val="005541DA"/>
    <w:rsid w:val="00554217"/>
    <w:rsid w:val="0055427F"/>
    <w:rsid w:val="00554633"/>
    <w:rsid w:val="00554E2E"/>
    <w:rsid w:val="0055577E"/>
    <w:rsid w:val="00555FF3"/>
    <w:rsid w:val="00556C44"/>
    <w:rsid w:val="00556FDF"/>
    <w:rsid w:val="005570A8"/>
    <w:rsid w:val="00557482"/>
    <w:rsid w:val="00557B2D"/>
    <w:rsid w:val="00560179"/>
    <w:rsid w:val="0056041C"/>
    <w:rsid w:val="00560F7C"/>
    <w:rsid w:val="00562AC5"/>
    <w:rsid w:val="00562BFA"/>
    <w:rsid w:val="005631B4"/>
    <w:rsid w:val="0056380B"/>
    <w:rsid w:val="00564607"/>
    <w:rsid w:val="00565028"/>
    <w:rsid w:val="005651A1"/>
    <w:rsid w:val="00565586"/>
    <w:rsid w:val="00565A62"/>
    <w:rsid w:val="00566050"/>
    <w:rsid w:val="00566A77"/>
    <w:rsid w:val="00572297"/>
    <w:rsid w:val="00572D2B"/>
    <w:rsid w:val="00573617"/>
    <w:rsid w:val="00573CAD"/>
    <w:rsid w:val="0057529B"/>
    <w:rsid w:val="005762E1"/>
    <w:rsid w:val="005767D7"/>
    <w:rsid w:val="005774E5"/>
    <w:rsid w:val="00577874"/>
    <w:rsid w:val="00577AC8"/>
    <w:rsid w:val="005807D0"/>
    <w:rsid w:val="005808AA"/>
    <w:rsid w:val="00582250"/>
    <w:rsid w:val="0058282B"/>
    <w:rsid w:val="00583066"/>
    <w:rsid w:val="00583B17"/>
    <w:rsid w:val="00584075"/>
    <w:rsid w:val="00584B28"/>
    <w:rsid w:val="00584D0C"/>
    <w:rsid w:val="00585E33"/>
    <w:rsid w:val="0058656B"/>
    <w:rsid w:val="005905B9"/>
    <w:rsid w:val="00590AA5"/>
    <w:rsid w:val="005914C3"/>
    <w:rsid w:val="0059221C"/>
    <w:rsid w:val="00592910"/>
    <w:rsid w:val="00592FC7"/>
    <w:rsid w:val="00593572"/>
    <w:rsid w:val="00593855"/>
    <w:rsid w:val="00595CCF"/>
    <w:rsid w:val="005964E0"/>
    <w:rsid w:val="00597F37"/>
    <w:rsid w:val="005A03EE"/>
    <w:rsid w:val="005A12EF"/>
    <w:rsid w:val="005A1BDF"/>
    <w:rsid w:val="005A2788"/>
    <w:rsid w:val="005A2E5D"/>
    <w:rsid w:val="005A35D2"/>
    <w:rsid w:val="005A3609"/>
    <w:rsid w:val="005A3C41"/>
    <w:rsid w:val="005A3C5F"/>
    <w:rsid w:val="005A4B47"/>
    <w:rsid w:val="005A5495"/>
    <w:rsid w:val="005A654E"/>
    <w:rsid w:val="005B1563"/>
    <w:rsid w:val="005B2440"/>
    <w:rsid w:val="005B2460"/>
    <w:rsid w:val="005B2744"/>
    <w:rsid w:val="005B328B"/>
    <w:rsid w:val="005B411A"/>
    <w:rsid w:val="005B4B88"/>
    <w:rsid w:val="005B55C3"/>
    <w:rsid w:val="005B6CDF"/>
    <w:rsid w:val="005B6F51"/>
    <w:rsid w:val="005B7BE3"/>
    <w:rsid w:val="005B7F4F"/>
    <w:rsid w:val="005C16EE"/>
    <w:rsid w:val="005C1795"/>
    <w:rsid w:val="005C1C5F"/>
    <w:rsid w:val="005C26E2"/>
    <w:rsid w:val="005C2AA7"/>
    <w:rsid w:val="005C3794"/>
    <w:rsid w:val="005C38C9"/>
    <w:rsid w:val="005C392F"/>
    <w:rsid w:val="005C3AF2"/>
    <w:rsid w:val="005C4462"/>
    <w:rsid w:val="005C48B5"/>
    <w:rsid w:val="005C5324"/>
    <w:rsid w:val="005C571A"/>
    <w:rsid w:val="005C582B"/>
    <w:rsid w:val="005C5F5E"/>
    <w:rsid w:val="005C6D29"/>
    <w:rsid w:val="005C6F45"/>
    <w:rsid w:val="005C7045"/>
    <w:rsid w:val="005C70A3"/>
    <w:rsid w:val="005C73CC"/>
    <w:rsid w:val="005C7ED6"/>
    <w:rsid w:val="005D142F"/>
    <w:rsid w:val="005D24CD"/>
    <w:rsid w:val="005D2CC1"/>
    <w:rsid w:val="005D30C4"/>
    <w:rsid w:val="005D3F7E"/>
    <w:rsid w:val="005D7359"/>
    <w:rsid w:val="005D7755"/>
    <w:rsid w:val="005E01B6"/>
    <w:rsid w:val="005E051B"/>
    <w:rsid w:val="005E1388"/>
    <w:rsid w:val="005E1685"/>
    <w:rsid w:val="005E1796"/>
    <w:rsid w:val="005E2DB5"/>
    <w:rsid w:val="005E3C2C"/>
    <w:rsid w:val="005E3D78"/>
    <w:rsid w:val="005E5EEA"/>
    <w:rsid w:val="005E6DA4"/>
    <w:rsid w:val="005E731E"/>
    <w:rsid w:val="005F1379"/>
    <w:rsid w:val="005F19D4"/>
    <w:rsid w:val="005F2959"/>
    <w:rsid w:val="005F36C6"/>
    <w:rsid w:val="005F4CBC"/>
    <w:rsid w:val="005F69CD"/>
    <w:rsid w:val="005F716A"/>
    <w:rsid w:val="005F7388"/>
    <w:rsid w:val="005F7D8F"/>
    <w:rsid w:val="006009D0"/>
    <w:rsid w:val="006012CD"/>
    <w:rsid w:val="006020DD"/>
    <w:rsid w:val="00602D0F"/>
    <w:rsid w:val="00602EA3"/>
    <w:rsid w:val="00603F76"/>
    <w:rsid w:val="006041B0"/>
    <w:rsid w:val="00604B8C"/>
    <w:rsid w:val="00604D88"/>
    <w:rsid w:val="006055DB"/>
    <w:rsid w:val="00606948"/>
    <w:rsid w:val="00606E52"/>
    <w:rsid w:val="00607CA5"/>
    <w:rsid w:val="00607D60"/>
    <w:rsid w:val="0061048F"/>
    <w:rsid w:val="006106B7"/>
    <w:rsid w:val="006112E8"/>
    <w:rsid w:val="00611370"/>
    <w:rsid w:val="0061137A"/>
    <w:rsid w:val="006113BE"/>
    <w:rsid w:val="006117D5"/>
    <w:rsid w:val="00611E7A"/>
    <w:rsid w:val="00612D77"/>
    <w:rsid w:val="00613064"/>
    <w:rsid w:val="0061478C"/>
    <w:rsid w:val="00614E3A"/>
    <w:rsid w:val="00615B8A"/>
    <w:rsid w:val="00616640"/>
    <w:rsid w:val="006168BE"/>
    <w:rsid w:val="00616C60"/>
    <w:rsid w:val="00620CFC"/>
    <w:rsid w:val="00621C0E"/>
    <w:rsid w:val="0062285D"/>
    <w:rsid w:val="00622969"/>
    <w:rsid w:val="00624E94"/>
    <w:rsid w:val="006263EE"/>
    <w:rsid w:val="006266EC"/>
    <w:rsid w:val="006279CF"/>
    <w:rsid w:val="00630C46"/>
    <w:rsid w:val="006310FC"/>
    <w:rsid w:val="006315F9"/>
    <w:rsid w:val="00631626"/>
    <w:rsid w:val="0063257D"/>
    <w:rsid w:val="00632BDA"/>
    <w:rsid w:val="006353BD"/>
    <w:rsid w:val="0063590B"/>
    <w:rsid w:val="006362F8"/>
    <w:rsid w:val="006372EB"/>
    <w:rsid w:val="006375B1"/>
    <w:rsid w:val="006377DC"/>
    <w:rsid w:val="00641D7A"/>
    <w:rsid w:val="006421B4"/>
    <w:rsid w:val="006425A4"/>
    <w:rsid w:val="006431C7"/>
    <w:rsid w:val="00643372"/>
    <w:rsid w:val="00643746"/>
    <w:rsid w:val="00644146"/>
    <w:rsid w:val="00644D17"/>
    <w:rsid w:val="00645140"/>
    <w:rsid w:val="00646EB5"/>
    <w:rsid w:val="00647A2E"/>
    <w:rsid w:val="00647F62"/>
    <w:rsid w:val="00650F55"/>
    <w:rsid w:val="006523B1"/>
    <w:rsid w:val="00652CFC"/>
    <w:rsid w:val="00654236"/>
    <w:rsid w:val="00654463"/>
    <w:rsid w:val="0065491F"/>
    <w:rsid w:val="00654FA6"/>
    <w:rsid w:val="00655BE4"/>
    <w:rsid w:val="00655D8D"/>
    <w:rsid w:val="006564D5"/>
    <w:rsid w:val="0065664B"/>
    <w:rsid w:val="00656D24"/>
    <w:rsid w:val="00657842"/>
    <w:rsid w:val="00657CBB"/>
    <w:rsid w:val="00661C9D"/>
    <w:rsid w:val="00661D30"/>
    <w:rsid w:val="00662679"/>
    <w:rsid w:val="00662AD0"/>
    <w:rsid w:val="006640CD"/>
    <w:rsid w:val="006641A3"/>
    <w:rsid w:val="0066436D"/>
    <w:rsid w:val="0066496B"/>
    <w:rsid w:val="00664B79"/>
    <w:rsid w:val="00664F48"/>
    <w:rsid w:val="00665C5E"/>
    <w:rsid w:val="00666A06"/>
    <w:rsid w:val="00670B6F"/>
    <w:rsid w:val="00670F7B"/>
    <w:rsid w:val="0067121C"/>
    <w:rsid w:val="00671861"/>
    <w:rsid w:val="006720B1"/>
    <w:rsid w:val="00672485"/>
    <w:rsid w:val="006725EE"/>
    <w:rsid w:val="00674D8D"/>
    <w:rsid w:val="0067530A"/>
    <w:rsid w:val="00675BAC"/>
    <w:rsid w:val="00675C6B"/>
    <w:rsid w:val="00676CCE"/>
    <w:rsid w:val="006771A9"/>
    <w:rsid w:val="0068053E"/>
    <w:rsid w:val="006811FD"/>
    <w:rsid w:val="00681235"/>
    <w:rsid w:val="006821E2"/>
    <w:rsid w:val="006823F8"/>
    <w:rsid w:val="006833E0"/>
    <w:rsid w:val="0068443D"/>
    <w:rsid w:val="00684624"/>
    <w:rsid w:val="00684FE1"/>
    <w:rsid w:val="00685289"/>
    <w:rsid w:val="00690374"/>
    <w:rsid w:val="00690473"/>
    <w:rsid w:val="0069053D"/>
    <w:rsid w:val="00690572"/>
    <w:rsid w:val="00691193"/>
    <w:rsid w:val="00691699"/>
    <w:rsid w:val="00691BA1"/>
    <w:rsid w:val="00691ECA"/>
    <w:rsid w:val="00692B87"/>
    <w:rsid w:val="00692C54"/>
    <w:rsid w:val="006937C2"/>
    <w:rsid w:val="006946DC"/>
    <w:rsid w:val="00696821"/>
    <w:rsid w:val="0069707F"/>
    <w:rsid w:val="00697805"/>
    <w:rsid w:val="00697D26"/>
    <w:rsid w:val="006A0A6C"/>
    <w:rsid w:val="006A0E7A"/>
    <w:rsid w:val="006A12F3"/>
    <w:rsid w:val="006A2289"/>
    <w:rsid w:val="006A29B7"/>
    <w:rsid w:val="006A3D36"/>
    <w:rsid w:val="006A4EA1"/>
    <w:rsid w:val="006A53CF"/>
    <w:rsid w:val="006A58CD"/>
    <w:rsid w:val="006A6094"/>
    <w:rsid w:val="006A6784"/>
    <w:rsid w:val="006A67B2"/>
    <w:rsid w:val="006A6812"/>
    <w:rsid w:val="006A6EF9"/>
    <w:rsid w:val="006A7E04"/>
    <w:rsid w:val="006A7F79"/>
    <w:rsid w:val="006B0682"/>
    <w:rsid w:val="006B09E8"/>
    <w:rsid w:val="006B2017"/>
    <w:rsid w:val="006B27C9"/>
    <w:rsid w:val="006B2E14"/>
    <w:rsid w:val="006B2ED4"/>
    <w:rsid w:val="006B3E18"/>
    <w:rsid w:val="006B55EB"/>
    <w:rsid w:val="006B5B79"/>
    <w:rsid w:val="006B65AE"/>
    <w:rsid w:val="006B7754"/>
    <w:rsid w:val="006C04C1"/>
    <w:rsid w:val="006C0667"/>
    <w:rsid w:val="006C07FD"/>
    <w:rsid w:val="006C0CC8"/>
    <w:rsid w:val="006C149C"/>
    <w:rsid w:val="006C1729"/>
    <w:rsid w:val="006C1B93"/>
    <w:rsid w:val="006C235A"/>
    <w:rsid w:val="006C3B3A"/>
    <w:rsid w:val="006C7032"/>
    <w:rsid w:val="006C7462"/>
    <w:rsid w:val="006C7DD6"/>
    <w:rsid w:val="006D02C1"/>
    <w:rsid w:val="006D1531"/>
    <w:rsid w:val="006D180F"/>
    <w:rsid w:val="006D2C17"/>
    <w:rsid w:val="006D2DA1"/>
    <w:rsid w:val="006D3C40"/>
    <w:rsid w:val="006D4675"/>
    <w:rsid w:val="006D4F8C"/>
    <w:rsid w:val="006D557C"/>
    <w:rsid w:val="006D5A07"/>
    <w:rsid w:val="006D7D44"/>
    <w:rsid w:val="006D7DDE"/>
    <w:rsid w:val="006E01CA"/>
    <w:rsid w:val="006E072B"/>
    <w:rsid w:val="006E0890"/>
    <w:rsid w:val="006E1AF1"/>
    <w:rsid w:val="006E2B2E"/>
    <w:rsid w:val="006E2B94"/>
    <w:rsid w:val="006E2BC8"/>
    <w:rsid w:val="006E2D67"/>
    <w:rsid w:val="006E2EF1"/>
    <w:rsid w:val="006E3D7E"/>
    <w:rsid w:val="006E3E30"/>
    <w:rsid w:val="006E48AF"/>
    <w:rsid w:val="006E4EFF"/>
    <w:rsid w:val="006E4F55"/>
    <w:rsid w:val="006E5163"/>
    <w:rsid w:val="006E6772"/>
    <w:rsid w:val="006E6B56"/>
    <w:rsid w:val="006E6C02"/>
    <w:rsid w:val="006F0D5C"/>
    <w:rsid w:val="006F13E8"/>
    <w:rsid w:val="006F1C4C"/>
    <w:rsid w:val="006F2AF4"/>
    <w:rsid w:val="006F3F14"/>
    <w:rsid w:val="006F616E"/>
    <w:rsid w:val="00700BDA"/>
    <w:rsid w:val="00700FD5"/>
    <w:rsid w:val="007010A4"/>
    <w:rsid w:val="007036C0"/>
    <w:rsid w:val="00703C95"/>
    <w:rsid w:val="00703D73"/>
    <w:rsid w:val="00704F8B"/>
    <w:rsid w:val="00705272"/>
    <w:rsid w:val="007052F4"/>
    <w:rsid w:val="00705E62"/>
    <w:rsid w:val="00707568"/>
    <w:rsid w:val="0070757D"/>
    <w:rsid w:val="00707643"/>
    <w:rsid w:val="00710CE4"/>
    <w:rsid w:val="00710E42"/>
    <w:rsid w:val="007122FA"/>
    <w:rsid w:val="0071293E"/>
    <w:rsid w:val="00712CCA"/>
    <w:rsid w:val="0071380D"/>
    <w:rsid w:val="007139AD"/>
    <w:rsid w:val="00713A6E"/>
    <w:rsid w:val="00714628"/>
    <w:rsid w:val="0071528B"/>
    <w:rsid w:val="00715BA7"/>
    <w:rsid w:val="00716375"/>
    <w:rsid w:val="00716BBA"/>
    <w:rsid w:val="00716DBE"/>
    <w:rsid w:val="007175DF"/>
    <w:rsid w:val="00717A1E"/>
    <w:rsid w:val="00720548"/>
    <w:rsid w:val="0072084A"/>
    <w:rsid w:val="00720F69"/>
    <w:rsid w:val="00722983"/>
    <w:rsid w:val="00722AE5"/>
    <w:rsid w:val="00723005"/>
    <w:rsid w:val="00723117"/>
    <w:rsid w:val="00723390"/>
    <w:rsid w:val="00724B6A"/>
    <w:rsid w:val="007255AE"/>
    <w:rsid w:val="00725AB9"/>
    <w:rsid w:val="00726597"/>
    <w:rsid w:val="0072744A"/>
    <w:rsid w:val="00727566"/>
    <w:rsid w:val="00727A0D"/>
    <w:rsid w:val="007314D7"/>
    <w:rsid w:val="00731780"/>
    <w:rsid w:val="00731FEF"/>
    <w:rsid w:val="0073336C"/>
    <w:rsid w:val="00733652"/>
    <w:rsid w:val="007345F8"/>
    <w:rsid w:val="00734E71"/>
    <w:rsid w:val="00735F25"/>
    <w:rsid w:val="00736E23"/>
    <w:rsid w:val="00736F0A"/>
    <w:rsid w:val="00737B65"/>
    <w:rsid w:val="00737D39"/>
    <w:rsid w:val="00740ED7"/>
    <w:rsid w:val="0074178D"/>
    <w:rsid w:val="007417AB"/>
    <w:rsid w:val="00741DFC"/>
    <w:rsid w:val="00741E02"/>
    <w:rsid w:val="007427A1"/>
    <w:rsid w:val="0074289F"/>
    <w:rsid w:val="00743078"/>
    <w:rsid w:val="007439C4"/>
    <w:rsid w:val="0074568B"/>
    <w:rsid w:val="00746CE0"/>
    <w:rsid w:val="00747CD4"/>
    <w:rsid w:val="00750005"/>
    <w:rsid w:val="007503B4"/>
    <w:rsid w:val="0075093A"/>
    <w:rsid w:val="0075093E"/>
    <w:rsid w:val="0075097A"/>
    <w:rsid w:val="00751ADD"/>
    <w:rsid w:val="0075306E"/>
    <w:rsid w:val="00753985"/>
    <w:rsid w:val="0075444E"/>
    <w:rsid w:val="00754D02"/>
    <w:rsid w:val="00755D99"/>
    <w:rsid w:val="0075605B"/>
    <w:rsid w:val="0075656B"/>
    <w:rsid w:val="00756FE5"/>
    <w:rsid w:val="007579B5"/>
    <w:rsid w:val="00757FBC"/>
    <w:rsid w:val="007602BD"/>
    <w:rsid w:val="007603F4"/>
    <w:rsid w:val="007614D6"/>
    <w:rsid w:val="007616E1"/>
    <w:rsid w:val="00762831"/>
    <w:rsid w:val="00763166"/>
    <w:rsid w:val="007638EA"/>
    <w:rsid w:val="00763D20"/>
    <w:rsid w:val="00763E93"/>
    <w:rsid w:val="00764E69"/>
    <w:rsid w:val="0076520D"/>
    <w:rsid w:val="00766C8F"/>
    <w:rsid w:val="00767221"/>
    <w:rsid w:val="007674CD"/>
    <w:rsid w:val="0076772A"/>
    <w:rsid w:val="00770BBA"/>
    <w:rsid w:val="0077184B"/>
    <w:rsid w:val="007724FD"/>
    <w:rsid w:val="00772640"/>
    <w:rsid w:val="00773888"/>
    <w:rsid w:val="00773AEC"/>
    <w:rsid w:val="007756B0"/>
    <w:rsid w:val="0077597E"/>
    <w:rsid w:val="00776454"/>
    <w:rsid w:val="007774A7"/>
    <w:rsid w:val="00777723"/>
    <w:rsid w:val="00777B4A"/>
    <w:rsid w:val="0078170C"/>
    <w:rsid w:val="00782E68"/>
    <w:rsid w:val="00784150"/>
    <w:rsid w:val="0078527F"/>
    <w:rsid w:val="0078541F"/>
    <w:rsid w:val="00786B17"/>
    <w:rsid w:val="00786E76"/>
    <w:rsid w:val="00787349"/>
    <w:rsid w:val="007877AE"/>
    <w:rsid w:val="007912EA"/>
    <w:rsid w:val="007913E2"/>
    <w:rsid w:val="007921D7"/>
    <w:rsid w:val="00792550"/>
    <w:rsid w:val="0079263B"/>
    <w:rsid w:val="007927DD"/>
    <w:rsid w:val="007934D7"/>
    <w:rsid w:val="00793528"/>
    <w:rsid w:val="00794143"/>
    <w:rsid w:val="00795011"/>
    <w:rsid w:val="007961D4"/>
    <w:rsid w:val="00796298"/>
    <w:rsid w:val="00796EEB"/>
    <w:rsid w:val="00797240"/>
    <w:rsid w:val="0079787E"/>
    <w:rsid w:val="007A0107"/>
    <w:rsid w:val="007A018F"/>
    <w:rsid w:val="007A1DD2"/>
    <w:rsid w:val="007A24C1"/>
    <w:rsid w:val="007A2D58"/>
    <w:rsid w:val="007A3B86"/>
    <w:rsid w:val="007A44E1"/>
    <w:rsid w:val="007A5870"/>
    <w:rsid w:val="007A62C6"/>
    <w:rsid w:val="007A66B1"/>
    <w:rsid w:val="007A6D14"/>
    <w:rsid w:val="007A7D26"/>
    <w:rsid w:val="007A7E68"/>
    <w:rsid w:val="007A7F01"/>
    <w:rsid w:val="007A7F62"/>
    <w:rsid w:val="007B032C"/>
    <w:rsid w:val="007B116B"/>
    <w:rsid w:val="007B12C5"/>
    <w:rsid w:val="007B1DBE"/>
    <w:rsid w:val="007B20DB"/>
    <w:rsid w:val="007B2517"/>
    <w:rsid w:val="007B25D9"/>
    <w:rsid w:val="007B30B2"/>
    <w:rsid w:val="007B3569"/>
    <w:rsid w:val="007B40D1"/>
    <w:rsid w:val="007B4250"/>
    <w:rsid w:val="007B463C"/>
    <w:rsid w:val="007B5287"/>
    <w:rsid w:val="007B5390"/>
    <w:rsid w:val="007B61B1"/>
    <w:rsid w:val="007B6F87"/>
    <w:rsid w:val="007B7460"/>
    <w:rsid w:val="007B7534"/>
    <w:rsid w:val="007C00FE"/>
    <w:rsid w:val="007C0869"/>
    <w:rsid w:val="007C08B9"/>
    <w:rsid w:val="007C1021"/>
    <w:rsid w:val="007C17FE"/>
    <w:rsid w:val="007C326B"/>
    <w:rsid w:val="007C3D7C"/>
    <w:rsid w:val="007C4058"/>
    <w:rsid w:val="007C5E13"/>
    <w:rsid w:val="007C6498"/>
    <w:rsid w:val="007C70BB"/>
    <w:rsid w:val="007C728E"/>
    <w:rsid w:val="007C75B3"/>
    <w:rsid w:val="007C79C8"/>
    <w:rsid w:val="007C7D35"/>
    <w:rsid w:val="007D0C42"/>
    <w:rsid w:val="007D171B"/>
    <w:rsid w:val="007D2511"/>
    <w:rsid w:val="007D301F"/>
    <w:rsid w:val="007D3310"/>
    <w:rsid w:val="007D34DA"/>
    <w:rsid w:val="007D389D"/>
    <w:rsid w:val="007D38A3"/>
    <w:rsid w:val="007D4B34"/>
    <w:rsid w:val="007D5F0D"/>
    <w:rsid w:val="007D6FA2"/>
    <w:rsid w:val="007D7333"/>
    <w:rsid w:val="007D7933"/>
    <w:rsid w:val="007D7DC7"/>
    <w:rsid w:val="007E13FA"/>
    <w:rsid w:val="007E2BBF"/>
    <w:rsid w:val="007E2C66"/>
    <w:rsid w:val="007E311B"/>
    <w:rsid w:val="007E36A3"/>
    <w:rsid w:val="007E3A5A"/>
    <w:rsid w:val="007E3C3C"/>
    <w:rsid w:val="007E44B6"/>
    <w:rsid w:val="007E502F"/>
    <w:rsid w:val="007E65F0"/>
    <w:rsid w:val="007E6F62"/>
    <w:rsid w:val="007E7A03"/>
    <w:rsid w:val="007E7CFF"/>
    <w:rsid w:val="007E7DAC"/>
    <w:rsid w:val="007F2C9E"/>
    <w:rsid w:val="007F4FD4"/>
    <w:rsid w:val="007F5414"/>
    <w:rsid w:val="007F69A5"/>
    <w:rsid w:val="007F6FE2"/>
    <w:rsid w:val="007F748B"/>
    <w:rsid w:val="007F7625"/>
    <w:rsid w:val="007F7C8A"/>
    <w:rsid w:val="007F7DD0"/>
    <w:rsid w:val="007F7FD0"/>
    <w:rsid w:val="0080075C"/>
    <w:rsid w:val="00800ADE"/>
    <w:rsid w:val="00801905"/>
    <w:rsid w:val="008025C9"/>
    <w:rsid w:val="00802C24"/>
    <w:rsid w:val="0080374F"/>
    <w:rsid w:val="00803924"/>
    <w:rsid w:val="00805C8B"/>
    <w:rsid w:val="008065B9"/>
    <w:rsid w:val="00807516"/>
    <w:rsid w:val="008075E7"/>
    <w:rsid w:val="008109D8"/>
    <w:rsid w:val="00810D69"/>
    <w:rsid w:val="00811455"/>
    <w:rsid w:val="00811D74"/>
    <w:rsid w:val="0081218F"/>
    <w:rsid w:val="00812D92"/>
    <w:rsid w:val="008132BE"/>
    <w:rsid w:val="00813F16"/>
    <w:rsid w:val="008163A5"/>
    <w:rsid w:val="0082063E"/>
    <w:rsid w:val="00821936"/>
    <w:rsid w:val="00824609"/>
    <w:rsid w:val="0082460C"/>
    <w:rsid w:val="0082484E"/>
    <w:rsid w:val="008257CC"/>
    <w:rsid w:val="00825D00"/>
    <w:rsid w:val="00826171"/>
    <w:rsid w:val="008267D0"/>
    <w:rsid w:val="00826968"/>
    <w:rsid w:val="00826EDB"/>
    <w:rsid w:val="00827CAF"/>
    <w:rsid w:val="00830A05"/>
    <w:rsid w:val="008316F3"/>
    <w:rsid w:val="00831D70"/>
    <w:rsid w:val="0083247B"/>
    <w:rsid w:val="00832F0F"/>
    <w:rsid w:val="00833195"/>
    <w:rsid w:val="008333D2"/>
    <w:rsid w:val="00833943"/>
    <w:rsid w:val="008339A4"/>
    <w:rsid w:val="00834C74"/>
    <w:rsid w:val="00835299"/>
    <w:rsid w:val="00835369"/>
    <w:rsid w:val="008353FB"/>
    <w:rsid w:val="0083623B"/>
    <w:rsid w:val="00836465"/>
    <w:rsid w:val="00836984"/>
    <w:rsid w:val="00840423"/>
    <w:rsid w:val="00840A64"/>
    <w:rsid w:val="00840BFF"/>
    <w:rsid w:val="008422A0"/>
    <w:rsid w:val="00843A9A"/>
    <w:rsid w:val="00843AC5"/>
    <w:rsid w:val="00843DDA"/>
    <w:rsid w:val="008441E0"/>
    <w:rsid w:val="0084429E"/>
    <w:rsid w:val="00844CAC"/>
    <w:rsid w:val="0084519E"/>
    <w:rsid w:val="008467D3"/>
    <w:rsid w:val="00846984"/>
    <w:rsid w:val="00850F1B"/>
    <w:rsid w:val="008511C1"/>
    <w:rsid w:val="0085149B"/>
    <w:rsid w:val="008515DE"/>
    <w:rsid w:val="00851AC4"/>
    <w:rsid w:val="00851EB6"/>
    <w:rsid w:val="00852F40"/>
    <w:rsid w:val="00853B3F"/>
    <w:rsid w:val="00853B7D"/>
    <w:rsid w:val="008548B4"/>
    <w:rsid w:val="0085555D"/>
    <w:rsid w:val="00856E3D"/>
    <w:rsid w:val="008579E8"/>
    <w:rsid w:val="00860497"/>
    <w:rsid w:val="0086064C"/>
    <w:rsid w:val="00860B1E"/>
    <w:rsid w:val="00861BEA"/>
    <w:rsid w:val="00861D57"/>
    <w:rsid w:val="00862149"/>
    <w:rsid w:val="00862DC7"/>
    <w:rsid w:val="00862DD7"/>
    <w:rsid w:val="008636D6"/>
    <w:rsid w:val="00864594"/>
    <w:rsid w:val="008646EF"/>
    <w:rsid w:val="008649A1"/>
    <w:rsid w:val="00865015"/>
    <w:rsid w:val="0086631E"/>
    <w:rsid w:val="00866C70"/>
    <w:rsid w:val="00870031"/>
    <w:rsid w:val="00870822"/>
    <w:rsid w:val="00871107"/>
    <w:rsid w:val="008722FC"/>
    <w:rsid w:val="008724D2"/>
    <w:rsid w:val="008724FA"/>
    <w:rsid w:val="008725B1"/>
    <w:rsid w:val="008727EF"/>
    <w:rsid w:val="00873419"/>
    <w:rsid w:val="008734C9"/>
    <w:rsid w:val="008740B2"/>
    <w:rsid w:val="008740CD"/>
    <w:rsid w:val="0087427D"/>
    <w:rsid w:val="00875560"/>
    <w:rsid w:val="00875720"/>
    <w:rsid w:val="0087611F"/>
    <w:rsid w:val="008768BB"/>
    <w:rsid w:val="00876E71"/>
    <w:rsid w:val="00877D51"/>
    <w:rsid w:val="008804FD"/>
    <w:rsid w:val="00880680"/>
    <w:rsid w:val="00880E2E"/>
    <w:rsid w:val="0088115C"/>
    <w:rsid w:val="00881A2E"/>
    <w:rsid w:val="00881E49"/>
    <w:rsid w:val="00882A03"/>
    <w:rsid w:val="008830ED"/>
    <w:rsid w:val="00883160"/>
    <w:rsid w:val="00883193"/>
    <w:rsid w:val="008831F3"/>
    <w:rsid w:val="00883B73"/>
    <w:rsid w:val="00883CF2"/>
    <w:rsid w:val="00884434"/>
    <w:rsid w:val="00884752"/>
    <w:rsid w:val="00884E78"/>
    <w:rsid w:val="00885365"/>
    <w:rsid w:val="0088559D"/>
    <w:rsid w:val="00886BD2"/>
    <w:rsid w:val="00887A37"/>
    <w:rsid w:val="00887CDD"/>
    <w:rsid w:val="008918B5"/>
    <w:rsid w:val="00892B18"/>
    <w:rsid w:val="008936B1"/>
    <w:rsid w:val="008936E7"/>
    <w:rsid w:val="00893D4F"/>
    <w:rsid w:val="00893FAC"/>
    <w:rsid w:val="008940C4"/>
    <w:rsid w:val="008944A5"/>
    <w:rsid w:val="00895050"/>
    <w:rsid w:val="0089588F"/>
    <w:rsid w:val="008966A4"/>
    <w:rsid w:val="008A108A"/>
    <w:rsid w:val="008A1675"/>
    <w:rsid w:val="008A2448"/>
    <w:rsid w:val="008A2A21"/>
    <w:rsid w:val="008A3582"/>
    <w:rsid w:val="008A453E"/>
    <w:rsid w:val="008A4BED"/>
    <w:rsid w:val="008A519E"/>
    <w:rsid w:val="008A5B22"/>
    <w:rsid w:val="008A5BDD"/>
    <w:rsid w:val="008A5CCB"/>
    <w:rsid w:val="008A6D95"/>
    <w:rsid w:val="008A6F77"/>
    <w:rsid w:val="008A7CE1"/>
    <w:rsid w:val="008B076A"/>
    <w:rsid w:val="008B0B55"/>
    <w:rsid w:val="008B17EC"/>
    <w:rsid w:val="008B207B"/>
    <w:rsid w:val="008B31E6"/>
    <w:rsid w:val="008B3220"/>
    <w:rsid w:val="008B36EA"/>
    <w:rsid w:val="008B4414"/>
    <w:rsid w:val="008B4992"/>
    <w:rsid w:val="008B566E"/>
    <w:rsid w:val="008B5E4D"/>
    <w:rsid w:val="008B61FC"/>
    <w:rsid w:val="008B6391"/>
    <w:rsid w:val="008B66C9"/>
    <w:rsid w:val="008B6CCF"/>
    <w:rsid w:val="008B7151"/>
    <w:rsid w:val="008B77AE"/>
    <w:rsid w:val="008B7F06"/>
    <w:rsid w:val="008C0445"/>
    <w:rsid w:val="008C086F"/>
    <w:rsid w:val="008C19B4"/>
    <w:rsid w:val="008C1CEB"/>
    <w:rsid w:val="008C2532"/>
    <w:rsid w:val="008C2701"/>
    <w:rsid w:val="008C2712"/>
    <w:rsid w:val="008C2AC0"/>
    <w:rsid w:val="008C30C4"/>
    <w:rsid w:val="008C3CFF"/>
    <w:rsid w:val="008C4032"/>
    <w:rsid w:val="008C464E"/>
    <w:rsid w:val="008C519A"/>
    <w:rsid w:val="008C55AE"/>
    <w:rsid w:val="008C6A59"/>
    <w:rsid w:val="008C6E3E"/>
    <w:rsid w:val="008C7096"/>
    <w:rsid w:val="008C7262"/>
    <w:rsid w:val="008D033B"/>
    <w:rsid w:val="008D0B10"/>
    <w:rsid w:val="008D11B7"/>
    <w:rsid w:val="008D20D4"/>
    <w:rsid w:val="008D225E"/>
    <w:rsid w:val="008D24C8"/>
    <w:rsid w:val="008D458A"/>
    <w:rsid w:val="008D5049"/>
    <w:rsid w:val="008D5766"/>
    <w:rsid w:val="008D69AB"/>
    <w:rsid w:val="008D6B7F"/>
    <w:rsid w:val="008D79F2"/>
    <w:rsid w:val="008D7BAE"/>
    <w:rsid w:val="008E0051"/>
    <w:rsid w:val="008E2035"/>
    <w:rsid w:val="008E2BDD"/>
    <w:rsid w:val="008E2BEB"/>
    <w:rsid w:val="008E2D64"/>
    <w:rsid w:val="008E3731"/>
    <w:rsid w:val="008E4608"/>
    <w:rsid w:val="008E47CA"/>
    <w:rsid w:val="008E5574"/>
    <w:rsid w:val="008E7FDE"/>
    <w:rsid w:val="008F1320"/>
    <w:rsid w:val="008F1F0F"/>
    <w:rsid w:val="008F20E6"/>
    <w:rsid w:val="008F21D4"/>
    <w:rsid w:val="008F3B2B"/>
    <w:rsid w:val="008F41FB"/>
    <w:rsid w:val="008F44FA"/>
    <w:rsid w:val="008F4E94"/>
    <w:rsid w:val="008F52C2"/>
    <w:rsid w:val="008F5BAA"/>
    <w:rsid w:val="008F61D1"/>
    <w:rsid w:val="008F7CDE"/>
    <w:rsid w:val="009002D1"/>
    <w:rsid w:val="0090144C"/>
    <w:rsid w:val="00901961"/>
    <w:rsid w:val="00901AEF"/>
    <w:rsid w:val="00902609"/>
    <w:rsid w:val="00903E6A"/>
    <w:rsid w:val="00903F1E"/>
    <w:rsid w:val="00904B6C"/>
    <w:rsid w:val="00904E46"/>
    <w:rsid w:val="00905387"/>
    <w:rsid w:val="00905E80"/>
    <w:rsid w:val="00906047"/>
    <w:rsid w:val="009073E8"/>
    <w:rsid w:val="00907B01"/>
    <w:rsid w:val="00910C19"/>
    <w:rsid w:val="00911083"/>
    <w:rsid w:val="00911E95"/>
    <w:rsid w:val="00912B98"/>
    <w:rsid w:val="00913771"/>
    <w:rsid w:val="00913C3D"/>
    <w:rsid w:val="00913D20"/>
    <w:rsid w:val="00915100"/>
    <w:rsid w:val="00915571"/>
    <w:rsid w:val="00915862"/>
    <w:rsid w:val="00916ABB"/>
    <w:rsid w:val="0092063D"/>
    <w:rsid w:val="00920BC5"/>
    <w:rsid w:val="0092182C"/>
    <w:rsid w:val="00922B4A"/>
    <w:rsid w:val="00922E1A"/>
    <w:rsid w:val="0092358E"/>
    <w:rsid w:val="00923C0E"/>
    <w:rsid w:val="00924189"/>
    <w:rsid w:val="00924250"/>
    <w:rsid w:val="00924670"/>
    <w:rsid w:val="00924BE5"/>
    <w:rsid w:val="00925089"/>
    <w:rsid w:val="009252D6"/>
    <w:rsid w:val="009276C5"/>
    <w:rsid w:val="00927893"/>
    <w:rsid w:val="009301FE"/>
    <w:rsid w:val="00930279"/>
    <w:rsid w:val="0093083F"/>
    <w:rsid w:val="00930D72"/>
    <w:rsid w:val="0093210E"/>
    <w:rsid w:val="00933898"/>
    <w:rsid w:val="00934979"/>
    <w:rsid w:val="00934FD9"/>
    <w:rsid w:val="00935CFB"/>
    <w:rsid w:val="00936A63"/>
    <w:rsid w:val="009379CB"/>
    <w:rsid w:val="00937C8D"/>
    <w:rsid w:val="00937FDA"/>
    <w:rsid w:val="00940065"/>
    <w:rsid w:val="00940727"/>
    <w:rsid w:val="009408F0"/>
    <w:rsid w:val="00941F45"/>
    <w:rsid w:val="00942F15"/>
    <w:rsid w:val="00943CCC"/>
    <w:rsid w:val="009459C8"/>
    <w:rsid w:val="00946CB5"/>
    <w:rsid w:val="00947669"/>
    <w:rsid w:val="0094793B"/>
    <w:rsid w:val="0095023F"/>
    <w:rsid w:val="00951AFA"/>
    <w:rsid w:val="00952582"/>
    <w:rsid w:val="009537AC"/>
    <w:rsid w:val="0095444E"/>
    <w:rsid w:val="00954615"/>
    <w:rsid w:val="00955754"/>
    <w:rsid w:val="00955A82"/>
    <w:rsid w:val="00955A87"/>
    <w:rsid w:val="00956108"/>
    <w:rsid w:val="00956964"/>
    <w:rsid w:val="00956FA2"/>
    <w:rsid w:val="00957885"/>
    <w:rsid w:val="00960224"/>
    <w:rsid w:val="00960365"/>
    <w:rsid w:val="00960D80"/>
    <w:rsid w:val="009624DF"/>
    <w:rsid w:val="00962997"/>
    <w:rsid w:val="00964788"/>
    <w:rsid w:val="00964E0B"/>
    <w:rsid w:val="00964E20"/>
    <w:rsid w:val="009664BF"/>
    <w:rsid w:val="0096716C"/>
    <w:rsid w:val="00970C1E"/>
    <w:rsid w:val="0097100D"/>
    <w:rsid w:val="00971B73"/>
    <w:rsid w:val="00972C98"/>
    <w:rsid w:val="009742E9"/>
    <w:rsid w:val="00974DED"/>
    <w:rsid w:val="00974EEA"/>
    <w:rsid w:val="00974F11"/>
    <w:rsid w:val="00974F83"/>
    <w:rsid w:val="0097539F"/>
    <w:rsid w:val="009756C6"/>
    <w:rsid w:val="00975E1A"/>
    <w:rsid w:val="00976027"/>
    <w:rsid w:val="00976284"/>
    <w:rsid w:val="00976345"/>
    <w:rsid w:val="009763B2"/>
    <w:rsid w:val="00977246"/>
    <w:rsid w:val="009775E3"/>
    <w:rsid w:val="0098059F"/>
    <w:rsid w:val="00981223"/>
    <w:rsid w:val="009816AC"/>
    <w:rsid w:val="0098252B"/>
    <w:rsid w:val="00982B4F"/>
    <w:rsid w:val="00983C3C"/>
    <w:rsid w:val="00984DC2"/>
    <w:rsid w:val="00984E93"/>
    <w:rsid w:val="00984F00"/>
    <w:rsid w:val="00985336"/>
    <w:rsid w:val="00985347"/>
    <w:rsid w:val="00985607"/>
    <w:rsid w:val="00985641"/>
    <w:rsid w:val="00985C8C"/>
    <w:rsid w:val="00986FDB"/>
    <w:rsid w:val="0099027D"/>
    <w:rsid w:val="009907F3"/>
    <w:rsid w:val="009914C5"/>
    <w:rsid w:val="0099258D"/>
    <w:rsid w:val="00993171"/>
    <w:rsid w:val="009931A0"/>
    <w:rsid w:val="00993676"/>
    <w:rsid w:val="009944B5"/>
    <w:rsid w:val="00994A67"/>
    <w:rsid w:val="00994F13"/>
    <w:rsid w:val="00994FCB"/>
    <w:rsid w:val="009955C5"/>
    <w:rsid w:val="0099653B"/>
    <w:rsid w:val="0099656B"/>
    <w:rsid w:val="00996635"/>
    <w:rsid w:val="00996666"/>
    <w:rsid w:val="00997DC0"/>
    <w:rsid w:val="00997EE2"/>
    <w:rsid w:val="009A0157"/>
    <w:rsid w:val="009A016D"/>
    <w:rsid w:val="009A0A0D"/>
    <w:rsid w:val="009A10D4"/>
    <w:rsid w:val="009A1CD0"/>
    <w:rsid w:val="009A1D5D"/>
    <w:rsid w:val="009A22E2"/>
    <w:rsid w:val="009A25B6"/>
    <w:rsid w:val="009A27E1"/>
    <w:rsid w:val="009A28A4"/>
    <w:rsid w:val="009A31FD"/>
    <w:rsid w:val="009A3E55"/>
    <w:rsid w:val="009A45A2"/>
    <w:rsid w:val="009A46EC"/>
    <w:rsid w:val="009A5269"/>
    <w:rsid w:val="009A58DD"/>
    <w:rsid w:val="009A63A9"/>
    <w:rsid w:val="009A6583"/>
    <w:rsid w:val="009A6C65"/>
    <w:rsid w:val="009A775E"/>
    <w:rsid w:val="009B0147"/>
    <w:rsid w:val="009B0A0E"/>
    <w:rsid w:val="009B1052"/>
    <w:rsid w:val="009B230E"/>
    <w:rsid w:val="009B2BCB"/>
    <w:rsid w:val="009B4BA1"/>
    <w:rsid w:val="009B5600"/>
    <w:rsid w:val="009B5827"/>
    <w:rsid w:val="009B707B"/>
    <w:rsid w:val="009B7438"/>
    <w:rsid w:val="009B77AE"/>
    <w:rsid w:val="009C0810"/>
    <w:rsid w:val="009C1549"/>
    <w:rsid w:val="009C183B"/>
    <w:rsid w:val="009C186A"/>
    <w:rsid w:val="009C1AB9"/>
    <w:rsid w:val="009C1D18"/>
    <w:rsid w:val="009C3EC9"/>
    <w:rsid w:val="009C3F2C"/>
    <w:rsid w:val="009C551D"/>
    <w:rsid w:val="009C58B1"/>
    <w:rsid w:val="009C626C"/>
    <w:rsid w:val="009C66B7"/>
    <w:rsid w:val="009C6737"/>
    <w:rsid w:val="009C775C"/>
    <w:rsid w:val="009C795A"/>
    <w:rsid w:val="009C7EEF"/>
    <w:rsid w:val="009D08E9"/>
    <w:rsid w:val="009D172F"/>
    <w:rsid w:val="009D1939"/>
    <w:rsid w:val="009D3265"/>
    <w:rsid w:val="009D32AE"/>
    <w:rsid w:val="009D32D5"/>
    <w:rsid w:val="009D37F4"/>
    <w:rsid w:val="009D39FD"/>
    <w:rsid w:val="009D4045"/>
    <w:rsid w:val="009D6464"/>
    <w:rsid w:val="009D7F55"/>
    <w:rsid w:val="009E0151"/>
    <w:rsid w:val="009E0289"/>
    <w:rsid w:val="009E09CC"/>
    <w:rsid w:val="009E1E93"/>
    <w:rsid w:val="009E296F"/>
    <w:rsid w:val="009E4D4C"/>
    <w:rsid w:val="009E5907"/>
    <w:rsid w:val="009E5D37"/>
    <w:rsid w:val="009E6352"/>
    <w:rsid w:val="009E6363"/>
    <w:rsid w:val="009E6551"/>
    <w:rsid w:val="009E6601"/>
    <w:rsid w:val="009E6888"/>
    <w:rsid w:val="009E7131"/>
    <w:rsid w:val="009F03F4"/>
    <w:rsid w:val="009F1176"/>
    <w:rsid w:val="009F2573"/>
    <w:rsid w:val="009F351D"/>
    <w:rsid w:val="009F3800"/>
    <w:rsid w:val="009F4135"/>
    <w:rsid w:val="009F414F"/>
    <w:rsid w:val="009F53D6"/>
    <w:rsid w:val="009F63D2"/>
    <w:rsid w:val="009F6658"/>
    <w:rsid w:val="009F6691"/>
    <w:rsid w:val="009F6AF2"/>
    <w:rsid w:val="009F7492"/>
    <w:rsid w:val="009F7B70"/>
    <w:rsid w:val="00A02383"/>
    <w:rsid w:val="00A037FF"/>
    <w:rsid w:val="00A0414C"/>
    <w:rsid w:val="00A044E5"/>
    <w:rsid w:val="00A04673"/>
    <w:rsid w:val="00A048EF"/>
    <w:rsid w:val="00A04D53"/>
    <w:rsid w:val="00A050A2"/>
    <w:rsid w:val="00A0547A"/>
    <w:rsid w:val="00A0719D"/>
    <w:rsid w:val="00A073C6"/>
    <w:rsid w:val="00A07469"/>
    <w:rsid w:val="00A0755A"/>
    <w:rsid w:val="00A111E7"/>
    <w:rsid w:val="00A12013"/>
    <w:rsid w:val="00A12A9D"/>
    <w:rsid w:val="00A12D0A"/>
    <w:rsid w:val="00A137B2"/>
    <w:rsid w:val="00A13F45"/>
    <w:rsid w:val="00A14A4D"/>
    <w:rsid w:val="00A14F14"/>
    <w:rsid w:val="00A155AF"/>
    <w:rsid w:val="00A1567D"/>
    <w:rsid w:val="00A1602A"/>
    <w:rsid w:val="00A1608F"/>
    <w:rsid w:val="00A16163"/>
    <w:rsid w:val="00A16BE1"/>
    <w:rsid w:val="00A176DA"/>
    <w:rsid w:val="00A17A26"/>
    <w:rsid w:val="00A20441"/>
    <w:rsid w:val="00A20719"/>
    <w:rsid w:val="00A225E0"/>
    <w:rsid w:val="00A231E3"/>
    <w:rsid w:val="00A23781"/>
    <w:rsid w:val="00A2541F"/>
    <w:rsid w:val="00A257FD"/>
    <w:rsid w:val="00A26576"/>
    <w:rsid w:val="00A26ABA"/>
    <w:rsid w:val="00A27039"/>
    <w:rsid w:val="00A276BE"/>
    <w:rsid w:val="00A27FA2"/>
    <w:rsid w:val="00A304BF"/>
    <w:rsid w:val="00A30B65"/>
    <w:rsid w:val="00A313F3"/>
    <w:rsid w:val="00A3151D"/>
    <w:rsid w:val="00A32183"/>
    <w:rsid w:val="00A3225E"/>
    <w:rsid w:val="00A33373"/>
    <w:rsid w:val="00A33B69"/>
    <w:rsid w:val="00A34038"/>
    <w:rsid w:val="00A3454B"/>
    <w:rsid w:val="00A345AF"/>
    <w:rsid w:val="00A35019"/>
    <w:rsid w:val="00A35BA3"/>
    <w:rsid w:val="00A37483"/>
    <w:rsid w:val="00A37B3E"/>
    <w:rsid w:val="00A4057E"/>
    <w:rsid w:val="00A40B8C"/>
    <w:rsid w:val="00A41FA1"/>
    <w:rsid w:val="00A443D7"/>
    <w:rsid w:val="00A458A1"/>
    <w:rsid w:val="00A461C3"/>
    <w:rsid w:val="00A473DB"/>
    <w:rsid w:val="00A475EE"/>
    <w:rsid w:val="00A5052B"/>
    <w:rsid w:val="00A50615"/>
    <w:rsid w:val="00A50D89"/>
    <w:rsid w:val="00A51929"/>
    <w:rsid w:val="00A51D9B"/>
    <w:rsid w:val="00A52C8A"/>
    <w:rsid w:val="00A53483"/>
    <w:rsid w:val="00A56E7A"/>
    <w:rsid w:val="00A57588"/>
    <w:rsid w:val="00A57856"/>
    <w:rsid w:val="00A57DA4"/>
    <w:rsid w:val="00A57DC9"/>
    <w:rsid w:val="00A603BE"/>
    <w:rsid w:val="00A611BB"/>
    <w:rsid w:val="00A61989"/>
    <w:rsid w:val="00A62DAC"/>
    <w:rsid w:val="00A6315C"/>
    <w:rsid w:val="00A646DA"/>
    <w:rsid w:val="00A65528"/>
    <w:rsid w:val="00A6569C"/>
    <w:rsid w:val="00A657D3"/>
    <w:rsid w:val="00A65FEA"/>
    <w:rsid w:val="00A6761D"/>
    <w:rsid w:val="00A67DBB"/>
    <w:rsid w:val="00A67E7C"/>
    <w:rsid w:val="00A70E4A"/>
    <w:rsid w:val="00A718F6"/>
    <w:rsid w:val="00A71B86"/>
    <w:rsid w:val="00A71D47"/>
    <w:rsid w:val="00A73FC5"/>
    <w:rsid w:val="00A76560"/>
    <w:rsid w:val="00A76CA7"/>
    <w:rsid w:val="00A77468"/>
    <w:rsid w:val="00A80A39"/>
    <w:rsid w:val="00A80BC0"/>
    <w:rsid w:val="00A819B5"/>
    <w:rsid w:val="00A843A2"/>
    <w:rsid w:val="00A8547D"/>
    <w:rsid w:val="00A858DF"/>
    <w:rsid w:val="00A869A5"/>
    <w:rsid w:val="00A86F2E"/>
    <w:rsid w:val="00A87DB9"/>
    <w:rsid w:val="00A90A99"/>
    <w:rsid w:val="00A9111D"/>
    <w:rsid w:val="00A9123C"/>
    <w:rsid w:val="00A9127D"/>
    <w:rsid w:val="00A919D4"/>
    <w:rsid w:val="00A91BDF"/>
    <w:rsid w:val="00A925C7"/>
    <w:rsid w:val="00A92892"/>
    <w:rsid w:val="00A9308E"/>
    <w:rsid w:val="00A931E5"/>
    <w:rsid w:val="00A9368F"/>
    <w:rsid w:val="00A94660"/>
    <w:rsid w:val="00A94922"/>
    <w:rsid w:val="00A95139"/>
    <w:rsid w:val="00A952BF"/>
    <w:rsid w:val="00A97CFE"/>
    <w:rsid w:val="00AA0984"/>
    <w:rsid w:val="00AA0EEF"/>
    <w:rsid w:val="00AA1190"/>
    <w:rsid w:val="00AA187F"/>
    <w:rsid w:val="00AA1ABA"/>
    <w:rsid w:val="00AA4B5F"/>
    <w:rsid w:val="00AA4D7F"/>
    <w:rsid w:val="00AA6A39"/>
    <w:rsid w:val="00AA6E37"/>
    <w:rsid w:val="00AB1DB4"/>
    <w:rsid w:val="00AB2558"/>
    <w:rsid w:val="00AB32AB"/>
    <w:rsid w:val="00AB3CCA"/>
    <w:rsid w:val="00AB4451"/>
    <w:rsid w:val="00AB4EA7"/>
    <w:rsid w:val="00AB587B"/>
    <w:rsid w:val="00AB6014"/>
    <w:rsid w:val="00AB65C0"/>
    <w:rsid w:val="00AB6F91"/>
    <w:rsid w:val="00AB7AC1"/>
    <w:rsid w:val="00AC07E9"/>
    <w:rsid w:val="00AC0E80"/>
    <w:rsid w:val="00AC1501"/>
    <w:rsid w:val="00AC1667"/>
    <w:rsid w:val="00AC2893"/>
    <w:rsid w:val="00AC64A1"/>
    <w:rsid w:val="00AC76F6"/>
    <w:rsid w:val="00AD0B22"/>
    <w:rsid w:val="00AD1082"/>
    <w:rsid w:val="00AD1F74"/>
    <w:rsid w:val="00AD1F7C"/>
    <w:rsid w:val="00AD231A"/>
    <w:rsid w:val="00AD33F5"/>
    <w:rsid w:val="00AD41BF"/>
    <w:rsid w:val="00AD485C"/>
    <w:rsid w:val="00AD4897"/>
    <w:rsid w:val="00AD4958"/>
    <w:rsid w:val="00AD5509"/>
    <w:rsid w:val="00AD5BDE"/>
    <w:rsid w:val="00AD6710"/>
    <w:rsid w:val="00AD74F0"/>
    <w:rsid w:val="00AD7519"/>
    <w:rsid w:val="00AE0FB5"/>
    <w:rsid w:val="00AE14E9"/>
    <w:rsid w:val="00AE1F6A"/>
    <w:rsid w:val="00AE2198"/>
    <w:rsid w:val="00AE3419"/>
    <w:rsid w:val="00AE39C9"/>
    <w:rsid w:val="00AE4144"/>
    <w:rsid w:val="00AE485E"/>
    <w:rsid w:val="00AE4BB7"/>
    <w:rsid w:val="00AE5290"/>
    <w:rsid w:val="00AE5590"/>
    <w:rsid w:val="00AE64EE"/>
    <w:rsid w:val="00AE73A5"/>
    <w:rsid w:val="00AE779E"/>
    <w:rsid w:val="00AE7C0E"/>
    <w:rsid w:val="00AF032D"/>
    <w:rsid w:val="00AF0416"/>
    <w:rsid w:val="00AF08D4"/>
    <w:rsid w:val="00AF0A8B"/>
    <w:rsid w:val="00AF1C61"/>
    <w:rsid w:val="00AF26C0"/>
    <w:rsid w:val="00AF2803"/>
    <w:rsid w:val="00AF3283"/>
    <w:rsid w:val="00AF410B"/>
    <w:rsid w:val="00AF519F"/>
    <w:rsid w:val="00AF5628"/>
    <w:rsid w:val="00AF57C0"/>
    <w:rsid w:val="00B011BD"/>
    <w:rsid w:val="00B01770"/>
    <w:rsid w:val="00B01C28"/>
    <w:rsid w:val="00B01E12"/>
    <w:rsid w:val="00B021AF"/>
    <w:rsid w:val="00B02A76"/>
    <w:rsid w:val="00B03241"/>
    <w:rsid w:val="00B063B4"/>
    <w:rsid w:val="00B0662D"/>
    <w:rsid w:val="00B066B7"/>
    <w:rsid w:val="00B06721"/>
    <w:rsid w:val="00B0729C"/>
    <w:rsid w:val="00B07688"/>
    <w:rsid w:val="00B10670"/>
    <w:rsid w:val="00B11120"/>
    <w:rsid w:val="00B11360"/>
    <w:rsid w:val="00B11817"/>
    <w:rsid w:val="00B118CB"/>
    <w:rsid w:val="00B11A79"/>
    <w:rsid w:val="00B13EA1"/>
    <w:rsid w:val="00B14727"/>
    <w:rsid w:val="00B1477C"/>
    <w:rsid w:val="00B14F92"/>
    <w:rsid w:val="00B151B9"/>
    <w:rsid w:val="00B15CA4"/>
    <w:rsid w:val="00B16854"/>
    <w:rsid w:val="00B1724F"/>
    <w:rsid w:val="00B17B3E"/>
    <w:rsid w:val="00B20050"/>
    <w:rsid w:val="00B21F2B"/>
    <w:rsid w:val="00B224F3"/>
    <w:rsid w:val="00B22D1D"/>
    <w:rsid w:val="00B24982"/>
    <w:rsid w:val="00B25D91"/>
    <w:rsid w:val="00B26F47"/>
    <w:rsid w:val="00B303A0"/>
    <w:rsid w:val="00B303BF"/>
    <w:rsid w:val="00B31985"/>
    <w:rsid w:val="00B325A1"/>
    <w:rsid w:val="00B32795"/>
    <w:rsid w:val="00B3315D"/>
    <w:rsid w:val="00B338A1"/>
    <w:rsid w:val="00B345A9"/>
    <w:rsid w:val="00B3549C"/>
    <w:rsid w:val="00B37117"/>
    <w:rsid w:val="00B404E9"/>
    <w:rsid w:val="00B4078B"/>
    <w:rsid w:val="00B40DB3"/>
    <w:rsid w:val="00B4138E"/>
    <w:rsid w:val="00B41B59"/>
    <w:rsid w:val="00B421CD"/>
    <w:rsid w:val="00B43118"/>
    <w:rsid w:val="00B43708"/>
    <w:rsid w:val="00B44833"/>
    <w:rsid w:val="00B46EC8"/>
    <w:rsid w:val="00B4703C"/>
    <w:rsid w:val="00B47418"/>
    <w:rsid w:val="00B477E7"/>
    <w:rsid w:val="00B47CCE"/>
    <w:rsid w:val="00B50A70"/>
    <w:rsid w:val="00B513F8"/>
    <w:rsid w:val="00B51ED9"/>
    <w:rsid w:val="00B534A9"/>
    <w:rsid w:val="00B53D3B"/>
    <w:rsid w:val="00B541D9"/>
    <w:rsid w:val="00B54518"/>
    <w:rsid w:val="00B54696"/>
    <w:rsid w:val="00B54AED"/>
    <w:rsid w:val="00B55573"/>
    <w:rsid w:val="00B5576A"/>
    <w:rsid w:val="00B56E70"/>
    <w:rsid w:val="00B57BC2"/>
    <w:rsid w:val="00B6138E"/>
    <w:rsid w:val="00B614F0"/>
    <w:rsid w:val="00B62955"/>
    <w:rsid w:val="00B63CA3"/>
    <w:rsid w:val="00B64286"/>
    <w:rsid w:val="00B6448E"/>
    <w:rsid w:val="00B64CAB"/>
    <w:rsid w:val="00B65581"/>
    <w:rsid w:val="00B66358"/>
    <w:rsid w:val="00B668DF"/>
    <w:rsid w:val="00B66F5D"/>
    <w:rsid w:val="00B671F3"/>
    <w:rsid w:val="00B67548"/>
    <w:rsid w:val="00B70202"/>
    <w:rsid w:val="00B7030F"/>
    <w:rsid w:val="00B70770"/>
    <w:rsid w:val="00B70A66"/>
    <w:rsid w:val="00B72BB0"/>
    <w:rsid w:val="00B72F49"/>
    <w:rsid w:val="00B75EBF"/>
    <w:rsid w:val="00B76B07"/>
    <w:rsid w:val="00B8034A"/>
    <w:rsid w:val="00B8076C"/>
    <w:rsid w:val="00B817BB"/>
    <w:rsid w:val="00B8209C"/>
    <w:rsid w:val="00B82FAE"/>
    <w:rsid w:val="00B8452C"/>
    <w:rsid w:val="00B84A56"/>
    <w:rsid w:val="00B84B8D"/>
    <w:rsid w:val="00B85E1F"/>
    <w:rsid w:val="00B871A1"/>
    <w:rsid w:val="00B91777"/>
    <w:rsid w:val="00B9214A"/>
    <w:rsid w:val="00B921E9"/>
    <w:rsid w:val="00B92F2D"/>
    <w:rsid w:val="00B93225"/>
    <w:rsid w:val="00B9509B"/>
    <w:rsid w:val="00B95178"/>
    <w:rsid w:val="00B97A4B"/>
    <w:rsid w:val="00B97FFA"/>
    <w:rsid w:val="00BA00A3"/>
    <w:rsid w:val="00BA2828"/>
    <w:rsid w:val="00BA2CD7"/>
    <w:rsid w:val="00BA38D3"/>
    <w:rsid w:val="00BA3C66"/>
    <w:rsid w:val="00BA3F35"/>
    <w:rsid w:val="00BA42F5"/>
    <w:rsid w:val="00BA5267"/>
    <w:rsid w:val="00BA578E"/>
    <w:rsid w:val="00BA6507"/>
    <w:rsid w:val="00BA7158"/>
    <w:rsid w:val="00BA723A"/>
    <w:rsid w:val="00BB0612"/>
    <w:rsid w:val="00BB07E8"/>
    <w:rsid w:val="00BB0AB0"/>
    <w:rsid w:val="00BB1306"/>
    <w:rsid w:val="00BB1709"/>
    <w:rsid w:val="00BB1CC7"/>
    <w:rsid w:val="00BB2773"/>
    <w:rsid w:val="00BB2B6E"/>
    <w:rsid w:val="00BB33C1"/>
    <w:rsid w:val="00BB417A"/>
    <w:rsid w:val="00BB4B64"/>
    <w:rsid w:val="00BB52D9"/>
    <w:rsid w:val="00BB540D"/>
    <w:rsid w:val="00BB5A5C"/>
    <w:rsid w:val="00BB619D"/>
    <w:rsid w:val="00BB64DC"/>
    <w:rsid w:val="00BB71BC"/>
    <w:rsid w:val="00BB77AB"/>
    <w:rsid w:val="00BB77D9"/>
    <w:rsid w:val="00BC02C1"/>
    <w:rsid w:val="00BC03FA"/>
    <w:rsid w:val="00BC078A"/>
    <w:rsid w:val="00BC09DE"/>
    <w:rsid w:val="00BC0D3A"/>
    <w:rsid w:val="00BC12FF"/>
    <w:rsid w:val="00BC1C04"/>
    <w:rsid w:val="00BC239E"/>
    <w:rsid w:val="00BC2D1F"/>
    <w:rsid w:val="00BC474F"/>
    <w:rsid w:val="00BC4770"/>
    <w:rsid w:val="00BC52F5"/>
    <w:rsid w:val="00BC5F40"/>
    <w:rsid w:val="00BC6548"/>
    <w:rsid w:val="00BC65D4"/>
    <w:rsid w:val="00BC6C2D"/>
    <w:rsid w:val="00BC72A5"/>
    <w:rsid w:val="00BC7791"/>
    <w:rsid w:val="00BD309B"/>
    <w:rsid w:val="00BD3168"/>
    <w:rsid w:val="00BD563C"/>
    <w:rsid w:val="00BD6097"/>
    <w:rsid w:val="00BD6336"/>
    <w:rsid w:val="00BD6976"/>
    <w:rsid w:val="00BD72DE"/>
    <w:rsid w:val="00BD7C58"/>
    <w:rsid w:val="00BE0B24"/>
    <w:rsid w:val="00BE211E"/>
    <w:rsid w:val="00BE22E0"/>
    <w:rsid w:val="00BE23C7"/>
    <w:rsid w:val="00BE3751"/>
    <w:rsid w:val="00BE39BD"/>
    <w:rsid w:val="00BE3E1A"/>
    <w:rsid w:val="00BE47F4"/>
    <w:rsid w:val="00BE55CD"/>
    <w:rsid w:val="00BE5BDC"/>
    <w:rsid w:val="00BE6DFC"/>
    <w:rsid w:val="00BE6E05"/>
    <w:rsid w:val="00BF039D"/>
    <w:rsid w:val="00BF06E9"/>
    <w:rsid w:val="00BF19FA"/>
    <w:rsid w:val="00BF1AD3"/>
    <w:rsid w:val="00BF2148"/>
    <w:rsid w:val="00BF3EC4"/>
    <w:rsid w:val="00BF44A4"/>
    <w:rsid w:val="00BF4915"/>
    <w:rsid w:val="00BF5214"/>
    <w:rsid w:val="00BF52C7"/>
    <w:rsid w:val="00BF5EE8"/>
    <w:rsid w:val="00BF630D"/>
    <w:rsid w:val="00BF6622"/>
    <w:rsid w:val="00BF6D9C"/>
    <w:rsid w:val="00BF6DF3"/>
    <w:rsid w:val="00BF781D"/>
    <w:rsid w:val="00C0136D"/>
    <w:rsid w:val="00C01701"/>
    <w:rsid w:val="00C01FB9"/>
    <w:rsid w:val="00C029A2"/>
    <w:rsid w:val="00C02E10"/>
    <w:rsid w:val="00C03641"/>
    <w:rsid w:val="00C0372B"/>
    <w:rsid w:val="00C03E16"/>
    <w:rsid w:val="00C04071"/>
    <w:rsid w:val="00C04450"/>
    <w:rsid w:val="00C07684"/>
    <w:rsid w:val="00C07884"/>
    <w:rsid w:val="00C10837"/>
    <w:rsid w:val="00C10C4A"/>
    <w:rsid w:val="00C1234F"/>
    <w:rsid w:val="00C12B13"/>
    <w:rsid w:val="00C13667"/>
    <w:rsid w:val="00C13DE0"/>
    <w:rsid w:val="00C13ED8"/>
    <w:rsid w:val="00C1592E"/>
    <w:rsid w:val="00C16245"/>
    <w:rsid w:val="00C16D78"/>
    <w:rsid w:val="00C17A5B"/>
    <w:rsid w:val="00C209F2"/>
    <w:rsid w:val="00C20EE0"/>
    <w:rsid w:val="00C215AA"/>
    <w:rsid w:val="00C21829"/>
    <w:rsid w:val="00C22D9D"/>
    <w:rsid w:val="00C234E0"/>
    <w:rsid w:val="00C23AD7"/>
    <w:rsid w:val="00C246E2"/>
    <w:rsid w:val="00C25025"/>
    <w:rsid w:val="00C262EC"/>
    <w:rsid w:val="00C26BCC"/>
    <w:rsid w:val="00C27418"/>
    <w:rsid w:val="00C2752E"/>
    <w:rsid w:val="00C302E9"/>
    <w:rsid w:val="00C314EF"/>
    <w:rsid w:val="00C329E9"/>
    <w:rsid w:val="00C33409"/>
    <w:rsid w:val="00C33DD3"/>
    <w:rsid w:val="00C33F2E"/>
    <w:rsid w:val="00C34342"/>
    <w:rsid w:val="00C346F0"/>
    <w:rsid w:val="00C35C57"/>
    <w:rsid w:val="00C36C17"/>
    <w:rsid w:val="00C37419"/>
    <w:rsid w:val="00C37CC1"/>
    <w:rsid w:val="00C40A98"/>
    <w:rsid w:val="00C40F8D"/>
    <w:rsid w:val="00C41560"/>
    <w:rsid w:val="00C43E43"/>
    <w:rsid w:val="00C441FF"/>
    <w:rsid w:val="00C44365"/>
    <w:rsid w:val="00C44C6D"/>
    <w:rsid w:val="00C45FDB"/>
    <w:rsid w:val="00C46375"/>
    <w:rsid w:val="00C525F1"/>
    <w:rsid w:val="00C534C3"/>
    <w:rsid w:val="00C5417B"/>
    <w:rsid w:val="00C54263"/>
    <w:rsid w:val="00C5457F"/>
    <w:rsid w:val="00C546C1"/>
    <w:rsid w:val="00C546EA"/>
    <w:rsid w:val="00C54C86"/>
    <w:rsid w:val="00C550BB"/>
    <w:rsid w:val="00C55BA2"/>
    <w:rsid w:val="00C5639A"/>
    <w:rsid w:val="00C56E8E"/>
    <w:rsid w:val="00C578BF"/>
    <w:rsid w:val="00C600F4"/>
    <w:rsid w:val="00C60F02"/>
    <w:rsid w:val="00C6591F"/>
    <w:rsid w:val="00C65A1E"/>
    <w:rsid w:val="00C66468"/>
    <w:rsid w:val="00C66843"/>
    <w:rsid w:val="00C66F62"/>
    <w:rsid w:val="00C67636"/>
    <w:rsid w:val="00C67AD2"/>
    <w:rsid w:val="00C700E2"/>
    <w:rsid w:val="00C7047B"/>
    <w:rsid w:val="00C706A7"/>
    <w:rsid w:val="00C71767"/>
    <w:rsid w:val="00C75881"/>
    <w:rsid w:val="00C76C49"/>
    <w:rsid w:val="00C774A1"/>
    <w:rsid w:val="00C77D57"/>
    <w:rsid w:val="00C80473"/>
    <w:rsid w:val="00C80DAF"/>
    <w:rsid w:val="00C817C6"/>
    <w:rsid w:val="00C818EB"/>
    <w:rsid w:val="00C81E32"/>
    <w:rsid w:val="00C84F84"/>
    <w:rsid w:val="00C8574D"/>
    <w:rsid w:val="00C85D88"/>
    <w:rsid w:val="00C867B2"/>
    <w:rsid w:val="00C87722"/>
    <w:rsid w:val="00C90292"/>
    <w:rsid w:val="00C905C2"/>
    <w:rsid w:val="00C91811"/>
    <w:rsid w:val="00C91D4C"/>
    <w:rsid w:val="00C92296"/>
    <w:rsid w:val="00C92833"/>
    <w:rsid w:val="00C937D8"/>
    <w:rsid w:val="00C9496B"/>
    <w:rsid w:val="00C953C5"/>
    <w:rsid w:val="00C95522"/>
    <w:rsid w:val="00C95BA8"/>
    <w:rsid w:val="00C95C3F"/>
    <w:rsid w:val="00C96AD8"/>
    <w:rsid w:val="00C96AEF"/>
    <w:rsid w:val="00C96E73"/>
    <w:rsid w:val="00C96FB4"/>
    <w:rsid w:val="00CA0756"/>
    <w:rsid w:val="00CA0CA7"/>
    <w:rsid w:val="00CA20FF"/>
    <w:rsid w:val="00CA23AF"/>
    <w:rsid w:val="00CA27CB"/>
    <w:rsid w:val="00CA2CC7"/>
    <w:rsid w:val="00CA2E75"/>
    <w:rsid w:val="00CA3E47"/>
    <w:rsid w:val="00CA4284"/>
    <w:rsid w:val="00CA43F5"/>
    <w:rsid w:val="00CA4C88"/>
    <w:rsid w:val="00CA4EC4"/>
    <w:rsid w:val="00CA7860"/>
    <w:rsid w:val="00CB08BD"/>
    <w:rsid w:val="00CB0ACA"/>
    <w:rsid w:val="00CB0C62"/>
    <w:rsid w:val="00CB1316"/>
    <w:rsid w:val="00CB1AEE"/>
    <w:rsid w:val="00CB1E17"/>
    <w:rsid w:val="00CB223F"/>
    <w:rsid w:val="00CB2340"/>
    <w:rsid w:val="00CB2E28"/>
    <w:rsid w:val="00CB2E6C"/>
    <w:rsid w:val="00CB32CD"/>
    <w:rsid w:val="00CB52A7"/>
    <w:rsid w:val="00CB5AF7"/>
    <w:rsid w:val="00CB69A0"/>
    <w:rsid w:val="00CB69F3"/>
    <w:rsid w:val="00CB6A2F"/>
    <w:rsid w:val="00CB6D56"/>
    <w:rsid w:val="00CB78B2"/>
    <w:rsid w:val="00CB7E0C"/>
    <w:rsid w:val="00CC02D7"/>
    <w:rsid w:val="00CC040A"/>
    <w:rsid w:val="00CC0E97"/>
    <w:rsid w:val="00CC1047"/>
    <w:rsid w:val="00CC1C94"/>
    <w:rsid w:val="00CC23C0"/>
    <w:rsid w:val="00CC2EB3"/>
    <w:rsid w:val="00CC2EBE"/>
    <w:rsid w:val="00CC31D9"/>
    <w:rsid w:val="00CC4B64"/>
    <w:rsid w:val="00CC4E2B"/>
    <w:rsid w:val="00CC4F95"/>
    <w:rsid w:val="00CC615F"/>
    <w:rsid w:val="00CC6991"/>
    <w:rsid w:val="00CC6CD8"/>
    <w:rsid w:val="00CC6FE5"/>
    <w:rsid w:val="00CC7587"/>
    <w:rsid w:val="00CC7DBA"/>
    <w:rsid w:val="00CC7E37"/>
    <w:rsid w:val="00CD0197"/>
    <w:rsid w:val="00CD1501"/>
    <w:rsid w:val="00CD17EF"/>
    <w:rsid w:val="00CD1ABF"/>
    <w:rsid w:val="00CD2A10"/>
    <w:rsid w:val="00CD2E8A"/>
    <w:rsid w:val="00CD3C69"/>
    <w:rsid w:val="00CD483E"/>
    <w:rsid w:val="00CD4892"/>
    <w:rsid w:val="00CD57D1"/>
    <w:rsid w:val="00CD5CC1"/>
    <w:rsid w:val="00CD604C"/>
    <w:rsid w:val="00CD6B63"/>
    <w:rsid w:val="00CD7509"/>
    <w:rsid w:val="00CE03AF"/>
    <w:rsid w:val="00CE0F29"/>
    <w:rsid w:val="00CE1398"/>
    <w:rsid w:val="00CE15AD"/>
    <w:rsid w:val="00CE255C"/>
    <w:rsid w:val="00CE29CC"/>
    <w:rsid w:val="00CE2F34"/>
    <w:rsid w:val="00CE43AC"/>
    <w:rsid w:val="00CE54C7"/>
    <w:rsid w:val="00CE5AEC"/>
    <w:rsid w:val="00CE688B"/>
    <w:rsid w:val="00CE6E25"/>
    <w:rsid w:val="00CE6FD9"/>
    <w:rsid w:val="00CE70A2"/>
    <w:rsid w:val="00CE7468"/>
    <w:rsid w:val="00CE7962"/>
    <w:rsid w:val="00CE7B35"/>
    <w:rsid w:val="00CF0815"/>
    <w:rsid w:val="00CF1115"/>
    <w:rsid w:val="00CF14EF"/>
    <w:rsid w:val="00CF170F"/>
    <w:rsid w:val="00CF2139"/>
    <w:rsid w:val="00CF2BBB"/>
    <w:rsid w:val="00CF2EAA"/>
    <w:rsid w:val="00CF2FEE"/>
    <w:rsid w:val="00CF327B"/>
    <w:rsid w:val="00CF455B"/>
    <w:rsid w:val="00CF4975"/>
    <w:rsid w:val="00CF4D71"/>
    <w:rsid w:val="00CF5ECD"/>
    <w:rsid w:val="00CF679F"/>
    <w:rsid w:val="00CF6E45"/>
    <w:rsid w:val="00CF6EDA"/>
    <w:rsid w:val="00D011E8"/>
    <w:rsid w:val="00D04AA7"/>
    <w:rsid w:val="00D05175"/>
    <w:rsid w:val="00D05E8B"/>
    <w:rsid w:val="00D05F0E"/>
    <w:rsid w:val="00D063A6"/>
    <w:rsid w:val="00D06850"/>
    <w:rsid w:val="00D06D72"/>
    <w:rsid w:val="00D07C6C"/>
    <w:rsid w:val="00D1117B"/>
    <w:rsid w:val="00D11AE3"/>
    <w:rsid w:val="00D12293"/>
    <w:rsid w:val="00D123F7"/>
    <w:rsid w:val="00D125B1"/>
    <w:rsid w:val="00D138F6"/>
    <w:rsid w:val="00D13B86"/>
    <w:rsid w:val="00D13EEC"/>
    <w:rsid w:val="00D14053"/>
    <w:rsid w:val="00D14D3D"/>
    <w:rsid w:val="00D14E71"/>
    <w:rsid w:val="00D15AC8"/>
    <w:rsid w:val="00D15FC1"/>
    <w:rsid w:val="00D16813"/>
    <w:rsid w:val="00D20009"/>
    <w:rsid w:val="00D200C7"/>
    <w:rsid w:val="00D2032D"/>
    <w:rsid w:val="00D20C1E"/>
    <w:rsid w:val="00D23017"/>
    <w:rsid w:val="00D23348"/>
    <w:rsid w:val="00D243F6"/>
    <w:rsid w:val="00D2599B"/>
    <w:rsid w:val="00D25A3C"/>
    <w:rsid w:val="00D26239"/>
    <w:rsid w:val="00D2733F"/>
    <w:rsid w:val="00D27386"/>
    <w:rsid w:val="00D3007C"/>
    <w:rsid w:val="00D307C3"/>
    <w:rsid w:val="00D308E0"/>
    <w:rsid w:val="00D31163"/>
    <w:rsid w:val="00D31691"/>
    <w:rsid w:val="00D32C8B"/>
    <w:rsid w:val="00D3347A"/>
    <w:rsid w:val="00D34499"/>
    <w:rsid w:val="00D34FC0"/>
    <w:rsid w:val="00D356F0"/>
    <w:rsid w:val="00D364CF"/>
    <w:rsid w:val="00D37349"/>
    <w:rsid w:val="00D373CC"/>
    <w:rsid w:val="00D37E57"/>
    <w:rsid w:val="00D37EC0"/>
    <w:rsid w:val="00D40CF0"/>
    <w:rsid w:val="00D43D3C"/>
    <w:rsid w:val="00D43E7F"/>
    <w:rsid w:val="00D44622"/>
    <w:rsid w:val="00D44C14"/>
    <w:rsid w:val="00D45C1D"/>
    <w:rsid w:val="00D45F3C"/>
    <w:rsid w:val="00D464DA"/>
    <w:rsid w:val="00D4674A"/>
    <w:rsid w:val="00D46C15"/>
    <w:rsid w:val="00D47A9C"/>
    <w:rsid w:val="00D47CC3"/>
    <w:rsid w:val="00D47D35"/>
    <w:rsid w:val="00D47D41"/>
    <w:rsid w:val="00D5010F"/>
    <w:rsid w:val="00D50371"/>
    <w:rsid w:val="00D505D7"/>
    <w:rsid w:val="00D509B7"/>
    <w:rsid w:val="00D52B41"/>
    <w:rsid w:val="00D5465E"/>
    <w:rsid w:val="00D5479B"/>
    <w:rsid w:val="00D554D9"/>
    <w:rsid w:val="00D5580B"/>
    <w:rsid w:val="00D5598B"/>
    <w:rsid w:val="00D560E7"/>
    <w:rsid w:val="00D56A24"/>
    <w:rsid w:val="00D60141"/>
    <w:rsid w:val="00D602AF"/>
    <w:rsid w:val="00D60467"/>
    <w:rsid w:val="00D6077E"/>
    <w:rsid w:val="00D61CA7"/>
    <w:rsid w:val="00D62451"/>
    <w:rsid w:val="00D6282B"/>
    <w:rsid w:val="00D62B90"/>
    <w:rsid w:val="00D62FDD"/>
    <w:rsid w:val="00D635D5"/>
    <w:rsid w:val="00D63953"/>
    <w:rsid w:val="00D644B9"/>
    <w:rsid w:val="00D64662"/>
    <w:rsid w:val="00D65249"/>
    <w:rsid w:val="00D66BF6"/>
    <w:rsid w:val="00D676F2"/>
    <w:rsid w:val="00D70E22"/>
    <w:rsid w:val="00D71211"/>
    <w:rsid w:val="00D71ABA"/>
    <w:rsid w:val="00D71DE5"/>
    <w:rsid w:val="00D71FA8"/>
    <w:rsid w:val="00D726D8"/>
    <w:rsid w:val="00D729AE"/>
    <w:rsid w:val="00D7348D"/>
    <w:rsid w:val="00D772FE"/>
    <w:rsid w:val="00D77984"/>
    <w:rsid w:val="00D80954"/>
    <w:rsid w:val="00D80BCA"/>
    <w:rsid w:val="00D81228"/>
    <w:rsid w:val="00D817FA"/>
    <w:rsid w:val="00D827C3"/>
    <w:rsid w:val="00D82868"/>
    <w:rsid w:val="00D8340A"/>
    <w:rsid w:val="00D8361F"/>
    <w:rsid w:val="00D83B66"/>
    <w:rsid w:val="00D842DC"/>
    <w:rsid w:val="00D85108"/>
    <w:rsid w:val="00D858EC"/>
    <w:rsid w:val="00D8778F"/>
    <w:rsid w:val="00D87F7F"/>
    <w:rsid w:val="00D902D0"/>
    <w:rsid w:val="00D90B1C"/>
    <w:rsid w:val="00D911D9"/>
    <w:rsid w:val="00D91617"/>
    <w:rsid w:val="00D9166F"/>
    <w:rsid w:val="00D918A0"/>
    <w:rsid w:val="00D9242F"/>
    <w:rsid w:val="00D92805"/>
    <w:rsid w:val="00D92A43"/>
    <w:rsid w:val="00D92C8E"/>
    <w:rsid w:val="00D93178"/>
    <w:rsid w:val="00D9339A"/>
    <w:rsid w:val="00D9347F"/>
    <w:rsid w:val="00D943D6"/>
    <w:rsid w:val="00D94706"/>
    <w:rsid w:val="00D95A3C"/>
    <w:rsid w:val="00D9605C"/>
    <w:rsid w:val="00D96245"/>
    <w:rsid w:val="00D9699C"/>
    <w:rsid w:val="00D96EE4"/>
    <w:rsid w:val="00DA0784"/>
    <w:rsid w:val="00DA23D6"/>
    <w:rsid w:val="00DA341E"/>
    <w:rsid w:val="00DA39C9"/>
    <w:rsid w:val="00DA39F7"/>
    <w:rsid w:val="00DA3BCC"/>
    <w:rsid w:val="00DA3F8A"/>
    <w:rsid w:val="00DA4307"/>
    <w:rsid w:val="00DA4FE7"/>
    <w:rsid w:val="00DA5C4E"/>
    <w:rsid w:val="00DA63DC"/>
    <w:rsid w:val="00DA7257"/>
    <w:rsid w:val="00DA76D3"/>
    <w:rsid w:val="00DB0131"/>
    <w:rsid w:val="00DB0954"/>
    <w:rsid w:val="00DB121C"/>
    <w:rsid w:val="00DB2321"/>
    <w:rsid w:val="00DB26C8"/>
    <w:rsid w:val="00DB50BF"/>
    <w:rsid w:val="00DB51EB"/>
    <w:rsid w:val="00DB63C2"/>
    <w:rsid w:val="00DB6F1F"/>
    <w:rsid w:val="00DB7658"/>
    <w:rsid w:val="00DB7A99"/>
    <w:rsid w:val="00DB7B3B"/>
    <w:rsid w:val="00DB7BCC"/>
    <w:rsid w:val="00DC0408"/>
    <w:rsid w:val="00DC18AD"/>
    <w:rsid w:val="00DC190C"/>
    <w:rsid w:val="00DC28FB"/>
    <w:rsid w:val="00DC2D4E"/>
    <w:rsid w:val="00DC2F9C"/>
    <w:rsid w:val="00DC3B67"/>
    <w:rsid w:val="00DC5114"/>
    <w:rsid w:val="00DC556E"/>
    <w:rsid w:val="00DC5C4B"/>
    <w:rsid w:val="00DC5E5C"/>
    <w:rsid w:val="00DC64FC"/>
    <w:rsid w:val="00DC74C7"/>
    <w:rsid w:val="00DC7A07"/>
    <w:rsid w:val="00DD0482"/>
    <w:rsid w:val="00DD19CF"/>
    <w:rsid w:val="00DD33C8"/>
    <w:rsid w:val="00DD3F8B"/>
    <w:rsid w:val="00DD46A5"/>
    <w:rsid w:val="00DD5CBF"/>
    <w:rsid w:val="00DD6AD5"/>
    <w:rsid w:val="00DE0259"/>
    <w:rsid w:val="00DE0725"/>
    <w:rsid w:val="00DE1BA9"/>
    <w:rsid w:val="00DE2D40"/>
    <w:rsid w:val="00DE33C9"/>
    <w:rsid w:val="00DE3519"/>
    <w:rsid w:val="00DE3775"/>
    <w:rsid w:val="00DE428B"/>
    <w:rsid w:val="00DE439F"/>
    <w:rsid w:val="00DE46E1"/>
    <w:rsid w:val="00DE516C"/>
    <w:rsid w:val="00DE5270"/>
    <w:rsid w:val="00DE532A"/>
    <w:rsid w:val="00DE5381"/>
    <w:rsid w:val="00DE5FE2"/>
    <w:rsid w:val="00DE6B75"/>
    <w:rsid w:val="00DE6BB3"/>
    <w:rsid w:val="00DE710D"/>
    <w:rsid w:val="00DE7660"/>
    <w:rsid w:val="00DF0371"/>
    <w:rsid w:val="00DF1B47"/>
    <w:rsid w:val="00DF312F"/>
    <w:rsid w:val="00DF3F47"/>
    <w:rsid w:val="00DF4194"/>
    <w:rsid w:val="00DF4847"/>
    <w:rsid w:val="00DF5381"/>
    <w:rsid w:val="00DF795F"/>
    <w:rsid w:val="00DF7D18"/>
    <w:rsid w:val="00E00B70"/>
    <w:rsid w:val="00E00FEC"/>
    <w:rsid w:val="00E01B5A"/>
    <w:rsid w:val="00E02270"/>
    <w:rsid w:val="00E0230C"/>
    <w:rsid w:val="00E02620"/>
    <w:rsid w:val="00E02769"/>
    <w:rsid w:val="00E02A49"/>
    <w:rsid w:val="00E02CA7"/>
    <w:rsid w:val="00E038DB"/>
    <w:rsid w:val="00E03CBE"/>
    <w:rsid w:val="00E046CE"/>
    <w:rsid w:val="00E0480C"/>
    <w:rsid w:val="00E04854"/>
    <w:rsid w:val="00E04E56"/>
    <w:rsid w:val="00E04F9F"/>
    <w:rsid w:val="00E06169"/>
    <w:rsid w:val="00E064FA"/>
    <w:rsid w:val="00E06870"/>
    <w:rsid w:val="00E06887"/>
    <w:rsid w:val="00E06CC6"/>
    <w:rsid w:val="00E07285"/>
    <w:rsid w:val="00E072A1"/>
    <w:rsid w:val="00E07579"/>
    <w:rsid w:val="00E0788F"/>
    <w:rsid w:val="00E07C6F"/>
    <w:rsid w:val="00E1032C"/>
    <w:rsid w:val="00E104AA"/>
    <w:rsid w:val="00E124CB"/>
    <w:rsid w:val="00E13008"/>
    <w:rsid w:val="00E13616"/>
    <w:rsid w:val="00E143A2"/>
    <w:rsid w:val="00E14A7E"/>
    <w:rsid w:val="00E1561A"/>
    <w:rsid w:val="00E161B8"/>
    <w:rsid w:val="00E16548"/>
    <w:rsid w:val="00E17297"/>
    <w:rsid w:val="00E17345"/>
    <w:rsid w:val="00E201AF"/>
    <w:rsid w:val="00E20832"/>
    <w:rsid w:val="00E21356"/>
    <w:rsid w:val="00E21617"/>
    <w:rsid w:val="00E21634"/>
    <w:rsid w:val="00E22547"/>
    <w:rsid w:val="00E228A9"/>
    <w:rsid w:val="00E22C0D"/>
    <w:rsid w:val="00E24DC6"/>
    <w:rsid w:val="00E253F9"/>
    <w:rsid w:val="00E25EC9"/>
    <w:rsid w:val="00E26618"/>
    <w:rsid w:val="00E26805"/>
    <w:rsid w:val="00E2775D"/>
    <w:rsid w:val="00E278D7"/>
    <w:rsid w:val="00E27A13"/>
    <w:rsid w:val="00E3141C"/>
    <w:rsid w:val="00E3192A"/>
    <w:rsid w:val="00E322A2"/>
    <w:rsid w:val="00E325E4"/>
    <w:rsid w:val="00E32613"/>
    <w:rsid w:val="00E328F9"/>
    <w:rsid w:val="00E3435B"/>
    <w:rsid w:val="00E34EA0"/>
    <w:rsid w:val="00E3519B"/>
    <w:rsid w:val="00E36F98"/>
    <w:rsid w:val="00E3700D"/>
    <w:rsid w:val="00E37398"/>
    <w:rsid w:val="00E3761E"/>
    <w:rsid w:val="00E377E3"/>
    <w:rsid w:val="00E3798D"/>
    <w:rsid w:val="00E40131"/>
    <w:rsid w:val="00E40277"/>
    <w:rsid w:val="00E4098D"/>
    <w:rsid w:val="00E40D27"/>
    <w:rsid w:val="00E40EAD"/>
    <w:rsid w:val="00E40F8F"/>
    <w:rsid w:val="00E4128C"/>
    <w:rsid w:val="00E414F8"/>
    <w:rsid w:val="00E4336B"/>
    <w:rsid w:val="00E43611"/>
    <w:rsid w:val="00E43912"/>
    <w:rsid w:val="00E442E9"/>
    <w:rsid w:val="00E44638"/>
    <w:rsid w:val="00E45B61"/>
    <w:rsid w:val="00E45C7E"/>
    <w:rsid w:val="00E465A7"/>
    <w:rsid w:val="00E46875"/>
    <w:rsid w:val="00E476E3"/>
    <w:rsid w:val="00E477C3"/>
    <w:rsid w:val="00E50233"/>
    <w:rsid w:val="00E504CB"/>
    <w:rsid w:val="00E507E2"/>
    <w:rsid w:val="00E5080C"/>
    <w:rsid w:val="00E50B3A"/>
    <w:rsid w:val="00E50C58"/>
    <w:rsid w:val="00E51177"/>
    <w:rsid w:val="00E517D5"/>
    <w:rsid w:val="00E5286F"/>
    <w:rsid w:val="00E52DAE"/>
    <w:rsid w:val="00E52F58"/>
    <w:rsid w:val="00E54890"/>
    <w:rsid w:val="00E54A4D"/>
    <w:rsid w:val="00E54A8E"/>
    <w:rsid w:val="00E54CB3"/>
    <w:rsid w:val="00E55873"/>
    <w:rsid w:val="00E558DA"/>
    <w:rsid w:val="00E569EE"/>
    <w:rsid w:val="00E573FD"/>
    <w:rsid w:val="00E60F53"/>
    <w:rsid w:val="00E6180C"/>
    <w:rsid w:val="00E6199A"/>
    <w:rsid w:val="00E61BB1"/>
    <w:rsid w:val="00E6203A"/>
    <w:rsid w:val="00E6228D"/>
    <w:rsid w:val="00E62B1A"/>
    <w:rsid w:val="00E62F9E"/>
    <w:rsid w:val="00E630D1"/>
    <w:rsid w:val="00E637EE"/>
    <w:rsid w:val="00E63A54"/>
    <w:rsid w:val="00E63AE9"/>
    <w:rsid w:val="00E65067"/>
    <w:rsid w:val="00E65942"/>
    <w:rsid w:val="00E65FDF"/>
    <w:rsid w:val="00E6673C"/>
    <w:rsid w:val="00E66870"/>
    <w:rsid w:val="00E66985"/>
    <w:rsid w:val="00E66FFA"/>
    <w:rsid w:val="00E67667"/>
    <w:rsid w:val="00E70A31"/>
    <w:rsid w:val="00E72BF0"/>
    <w:rsid w:val="00E72F59"/>
    <w:rsid w:val="00E741EB"/>
    <w:rsid w:val="00E74304"/>
    <w:rsid w:val="00E7469E"/>
    <w:rsid w:val="00E751F2"/>
    <w:rsid w:val="00E75442"/>
    <w:rsid w:val="00E756E3"/>
    <w:rsid w:val="00E7576B"/>
    <w:rsid w:val="00E75942"/>
    <w:rsid w:val="00E7696E"/>
    <w:rsid w:val="00E76E74"/>
    <w:rsid w:val="00E77AEC"/>
    <w:rsid w:val="00E77BC6"/>
    <w:rsid w:val="00E801A7"/>
    <w:rsid w:val="00E8026C"/>
    <w:rsid w:val="00E80F34"/>
    <w:rsid w:val="00E81884"/>
    <w:rsid w:val="00E81D5F"/>
    <w:rsid w:val="00E81F9B"/>
    <w:rsid w:val="00E82036"/>
    <w:rsid w:val="00E825A0"/>
    <w:rsid w:val="00E829F4"/>
    <w:rsid w:val="00E82C90"/>
    <w:rsid w:val="00E82D8F"/>
    <w:rsid w:val="00E857CB"/>
    <w:rsid w:val="00E86356"/>
    <w:rsid w:val="00E87AEA"/>
    <w:rsid w:val="00E87B30"/>
    <w:rsid w:val="00E90C6B"/>
    <w:rsid w:val="00E92535"/>
    <w:rsid w:val="00E92CFD"/>
    <w:rsid w:val="00E92EA5"/>
    <w:rsid w:val="00E9306A"/>
    <w:rsid w:val="00E93309"/>
    <w:rsid w:val="00E940AB"/>
    <w:rsid w:val="00E94BD9"/>
    <w:rsid w:val="00E94C20"/>
    <w:rsid w:val="00E95C04"/>
    <w:rsid w:val="00E97D90"/>
    <w:rsid w:val="00EA09B7"/>
    <w:rsid w:val="00EA0C06"/>
    <w:rsid w:val="00EA0C6B"/>
    <w:rsid w:val="00EA27C5"/>
    <w:rsid w:val="00EA2DBB"/>
    <w:rsid w:val="00EA3319"/>
    <w:rsid w:val="00EA4643"/>
    <w:rsid w:val="00EA4DDA"/>
    <w:rsid w:val="00EA54E0"/>
    <w:rsid w:val="00EA653D"/>
    <w:rsid w:val="00EB037B"/>
    <w:rsid w:val="00EB198A"/>
    <w:rsid w:val="00EB22FA"/>
    <w:rsid w:val="00EB2F78"/>
    <w:rsid w:val="00EB3A2B"/>
    <w:rsid w:val="00EB611E"/>
    <w:rsid w:val="00EB65E6"/>
    <w:rsid w:val="00EB67F9"/>
    <w:rsid w:val="00EB7647"/>
    <w:rsid w:val="00EC0023"/>
    <w:rsid w:val="00EC077B"/>
    <w:rsid w:val="00EC11D2"/>
    <w:rsid w:val="00EC203F"/>
    <w:rsid w:val="00EC385E"/>
    <w:rsid w:val="00EC453F"/>
    <w:rsid w:val="00EC4940"/>
    <w:rsid w:val="00ED0173"/>
    <w:rsid w:val="00ED02D1"/>
    <w:rsid w:val="00ED06E0"/>
    <w:rsid w:val="00ED0F53"/>
    <w:rsid w:val="00ED1AD3"/>
    <w:rsid w:val="00ED1B5B"/>
    <w:rsid w:val="00ED3514"/>
    <w:rsid w:val="00ED3640"/>
    <w:rsid w:val="00ED3720"/>
    <w:rsid w:val="00ED3A33"/>
    <w:rsid w:val="00ED469F"/>
    <w:rsid w:val="00ED5723"/>
    <w:rsid w:val="00ED5F64"/>
    <w:rsid w:val="00ED5F88"/>
    <w:rsid w:val="00ED6913"/>
    <w:rsid w:val="00ED6E90"/>
    <w:rsid w:val="00ED72CF"/>
    <w:rsid w:val="00ED74E4"/>
    <w:rsid w:val="00ED7A2D"/>
    <w:rsid w:val="00EE023B"/>
    <w:rsid w:val="00EE06C8"/>
    <w:rsid w:val="00EE109B"/>
    <w:rsid w:val="00EE2480"/>
    <w:rsid w:val="00EE248F"/>
    <w:rsid w:val="00EE3A76"/>
    <w:rsid w:val="00EE4281"/>
    <w:rsid w:val="00EE565D"/>
    <w:rsid w:val="00EE58F6"/>
    <w:rsid w:val="00EE5954"/>
    <w:rsid w:val="00EE6560"/>
    <w:rsid w:val="00EE6954"/>
    <w:rsid w:val="00EE6D4B"/>
    <w:rsid w:val="00EE6D83"/>
    <w:rsid w:val="00EF0B2D"/>
    <w:rsid w:val="00EF187F"/>
    <w:rsid w:val="00EF238C"/>
    <w:rsid w:val="00EF338E"/>
    <w:rsid w:val="00EF3453"/>
    <w:rsid w:val="00EF349B"/>
    <w:rsid w:val="00EF3566"/>
    <w:rsid w:val="00EF412A"/>
    <w:rsid w:val="00EF4C25"/>
    <w:rsid w:val="00EF60AD"/>
    <w:rsid w:val="00EF6B1C"/>
    <w:rsid w:val="00EF6F49"/>
    <w:rsid w:val="00EF7692"/>
    <w:rsid w:val="00EF770A"/>
    <w:rsid w:val="00F000DF"/>
    <w:rsid w:val="00F00CEA"/>
    <w:rsid w:val="00F02857"/>
    <w:rsid w:val="00F02A1B"/>
    <w:rsid w:val="00F02ADE"/>
    <w:rsid w:val="00F033F2"/>
    <w:rsid w:val="00F0374A"/>
    <w:rsid w:val="00F03F2F"/>
    <w:rsid w:val="00F0406D"/>
    <w:rsid w:val="00F046B1"/>
    <w:rsid w:val="00F05F04"/>
    <w:rsid w:val="00F069CD"/>
    <w:rsid w:val="00F06A3A"/>
    <w:rsid w:val="00F0724C"/>
    <w:rsid w:val="00F101F2"/>
    <w:rsid w:val="00F10E09"/>
    <w:rsid w:val="00F11458"/>
    <w:rsid w:val="00F1376D"/>
    <w:rsid w:val="00F14184"/>
    <w:rsid w:val="00F142C4"/>
    <w:rsid w:val="00F14492"/>
    <w:rsid w:val="00F149BF"/>
    <w:rsid w:val="00F14B35"/>
    <w:rsid w:val="00F15C8D"/>
    <w:rsid w:val="00F15CDC"/>
    <w:rsid w:val="00F16432"/>
    <w:rsid w:val="00F16CCE"/>
    <w:rsid w:val="00F16ED4"/>
    <w:rsid w:val="00F17268"/>
    <w:rsid w:val="00F17C33"/>
    <w:rsid w:val="00F17FE6"/>
    <w:rsid w:val="00F22BCC"/>
    <w:rsid w:val="00F22CEE"/>
    <w:rsid w:val="00F22F7A"/>
    <w:rsid w:val="00F23A0B"/>
    <w:rsid w:val="00F24503"/>
    <w:rsid w:val="00F25437"/>
    <w:rsid w:val="00F271D9"/>
    <w:rsid w:val="00F27573"/>
    <w:rsid w:val="00F275F3"/>
    <w:rsid w:val="00F30649"/>
    <w:rsid w:val="00F313D0"/>
    <w:rsid w:val="00F31633"/>
    <w:rsid w:val="00F3180C"/>
    <w:rsid w:val="00F31872"/>
    <w:rsid w:val="00F323AE"/>
    <w:rsid w:val="00F32D82"/>
    <w:rsid w:val="00F33912"/>
    <w:rsid w:val="00F3485D"/>
    <w:rsid w:val="00F34ED7"/>
    <w:rsid w:val="00F3503C"/>
    <w:rsid w:val="00F36659"/>
    <w:rsid w:val="00F3696A"/>
    <w:rsid w:val="00F37A7B"/>
    <w:rsid w:val="00F40C8A"/>
    <w:rsid w:val="00F4176C"/>
    <w:rsid w:val="00F42B05"/>
    <w:rsid w:val="00F42BF9"/>
    <w:rsid w:val="00F42EA5"/>
    <w:rsid w:val="00F43349"/>
    <w:rsid w:val="00F43369"/>
    <w:rsid w:val="00F437AE"/>
    <w:rsid w:val="00F439CE"/>
    <w:rsid w:val="00F43B35"/>
    <w:rsid w:val="00F43CF6"/>
    <w:rsid w:val="00F43EDE"/>
    <w:rsid w:val="00F4450A"/>
    <w:rsid w:val="00F448D9"/>
    <w:rsid w:val="00F44FB4"/>
    <w:rsid w:val="00F44FD0"/>
    <w:rsid w:val="00F45874"/>
    <w:rsid w:val="00F46144"/>
    <w:rsid w:val="00F46B26"/>
    <w:rsid w:val="00F46C2A"/>
    <w:rsid w:val="00F47B94"/>
    <w:rsid w:val="00F5009C"/>
    <w:rsid w:val="00F50729"/>
    <w:rsid w:val="00F507A9"/>
    <w:rsid w:val="00F508C1"/>
    <w:rsid w:val="00F51191"/>
    <w:rsid w:val="00F52470"/>
    <w:rsid w:val="00F532A0"/>
    <w:rsid w:val="00F532BE"/>
    <w:rsid w:val="00F53FB4"/>
    <w:rsid w:val="00F543E5"/>
    <w:rsid w:val="00F545DE"/>
    <w:rsid w:val="00F55093"/>
    <w:rsid w:val="00F55138"/>
    <w:rsid w:val="00F5570D"/>
    <w:rsid w:val="00F55B2C"/>
    <w:rsid w:val="00F55D00"/>
    <w:rsid w:val="00F55DEC"/>
    <w:rsid w:val="00F56875"/>
    <w:rsid w:val="00F574C0"/>
    <w:rsid w:val="00F57F96"/>
    <w:rsid w:val="00F61DCF"/>
    <w:rsid w:val="00F61E6A"/>
    <w:rsid w:val="00F62501"/>
    <w:rsid w:val="00F62906"/>
    <w:rsid w:val="00F64207"/>
    <w:rsid w:val="00F6660C"/>
    <w:rsid w:val="00F66DE0"/>
    <w:rsid w:val="00F67FB8"/>
    <w:rsid w:val="00F70CFC"/>
    <w:rsid w:val="00F7133E"/>
    <w:rsid w:val="00F721E5"/>
    <w:rsid w:val="00F72825"/>
    <w:rsid w:val="00F72882"/>
    <w:rsid w:val="00F7300B"/>
    <w:rsid w:val="00F730D8"/>
    <w:rsid w:val="00F7348D"/>
    <w:rsid w:val="00F73A21"/>
    <w:rsid w:val="00F740D3"/>
    <w:rsid w:val="00F743FB"/>
    <w:rsid w:val="00F7459C"/>
    <w:rsid w:val="00F747B7"/>
    <w:rsid w:val="00F748F1"/>
    <w:rsid w:val="00F74B18"/>
    <w:rsid w:val="00F74CEB"/>
    <w:rsid w:val="00F75537"/>
    <w:rsid w:val="00F759F2"/>
    <w:rsid w:val="00F75B68"/>
    <w:rsid w:val="00F76C64"/>
    <w:rsid w:val="00F80A07"/>
    <w:rsid w:val="00F816A9"/>
    <w:rsid w:val="00F816DF"/>
    <w:rsid w:val="00F820CB"/>
    <w:rsid w:val="00F836E2"/>
    <w:rsid w:val="00F839A6"/>
    <w:rsid w:val="00F83DCF"/>
    <w:rsid w:val="00F83ED2"/>
    <w:rsid w:val="00F8480B"/>
    <w:rsid w:val="00F84B15"/>
    <w:rsid w:val="00F84DFF"/>
    <w:rsid w:val="00F85367"/>
    <w:rsid w:val="00F853D5"/>
    <w:rsid w:val="00F86677"/>
    <w:rsid w:val="00F87338"/>
    <w:rsid w:val="00F87694"/>
    <w:rsid w:val="00F87A88"/>
    <w:rsid w:val="00F90385"/>
    <w:rsid w:val="00F91370"/>
    <w:rsid w:val="00F91438"/>
    <w:rsid w:val="00F9158D"/>
    <w:rsid w:val="00F9389D"/>
    <w:rsid w:val="00F93D67"/>
    <w:rsid w:val="00F94085"/>
    <w:rsid w:val="00F94BF4"/>
    <w:rsid w:val="00F94EBE"/>
    <w:rsid w:val="00F967FF"/>
    <w:rsid w:val="00F96FA9"/>
    <w:rsid w:val="00F96FED"/>
    <w:rsid w:val="00FA17F9"/>
    <w:rsid w:val="00FA1815"/>
    <w:rsid w:val="00FA1968"/>
    <w:rsid w:val="00FA2373"/>
    <w:rsid w:val="00FA262B"/>
    <w:rsid w:val="00FA35E5"/>
    <w:rsid w:val="00FA4595"/>
    <w:rsid w:val="00FA46B5"/>
    <w:rsid w:val="00FA4989"/>
    <w:rsid w:val="00FA4CB5"/>
    <w:rsid w:val="00FA4D13"/>
    <w:rsid w:val="00FA5C9D"/>
    <w:rsid w:val="00FA649A"/>
    <w:rsid w:val="00FA66FF"/>
    <w:rsid w:val="00FA790A"/>
    <w:rsid w:val="00FA79FC"/>
    <w:rsid w:val="00FB0AA2"/>
    <w:rsid w:val="00FB18A4"/>
    <w:rsid w:val="00FB1D20"/>
    <w:rsid w:val="00FB2D2F"/>
    <w:rsid w:val="00FB2D9F"/>
    <w:rsid w:val="00FB4522"/>
    <w:rsid w:val="00FB4F15"/>
    <w:rsid w:val="00FB559A"/>
    <w:rsid w:val="00FB5CEC"/>
    <w:rsid w:val="00FB670D"/>
    <w:rsid w:val="00FB6BB8"/>
    <w:rsid w:val="00FC0A05"/>
    <w:rsid w:val="00FC0A27"/>
    <w:rsid w:val="00FC3773"/>
    <w:rsid w:val="00FC3A39"/>
    <w:rsid w:val="00FC3F1E"/>
    <w:rsid w:val="00FC4438"/>
    <w:rsid w:val="00FC4572"/>
    <w:rsid w:val="00FC4BBA"/>
    <w:rsid w:val="00FC525E"/>
    <w:rsid w:val="00FC54B3"/>
    <w:rsid w:val="00FC5D82"/>
    <w:rsid w:val="00FC5E7A"/>
    <w:rsid w:val="00FC6A31"/>
    <w:rsid w:val="00FC7077"/>
    <w:rsid w:val="00FD038B"/>
    <w:rsid w:val="00FD05D8"/>
    <w:rsid w:val="00FD065F"/>
    <w:rsid w:val="00FD14D5"/>
    <w:rsid w:val="00FD337F"/>
    <w:rsid w:val="00FD6BAC"/>
    <w:rsid w:val="00FD793E"/>
    <w:rsid w:val="00FE0F18"/>
    <w:rsid w:val="00FE1BCB"/>
    <w:rsid w:val="00FE284F"/>
    <w:rsid w:val="00FE3FD2"/>
    <w:rsid w:val="00FE4336"/>
    <w:rsid w:val="00FE47BE"/>
    <w:rsid w:val="00FE538A"/>
    <w:rsid w:val="00FE5552"/>
    <w:rsid w:val="00FE573D"/>
    <w:rsid w:val="00FE5A0B"/>
    <w:rsid w:val="00FE5E29"/>
    <w:rsid w:val="00FE6097"/>
    <w:rsid w:val="00FF0AA6"/>
    <w:rsid w:val="00FF0E78"/>
    <w:rsid w:val="00FF125E"/>
    <w:rsid w:val="00FF3AE8"/>
    <w:rsid w:val="00FF6DB8"/>
    <w:rsid w:val="00FF7648"/>
    <w:rsid w:val="00FF79C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C3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BC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A4BED"/>
    <w:pPr>
      <w:keepNext/>
      <w:keepLines/>
      <w:spacing w:after="240"/>
      <w:outlineLvl w:val="0"/>
    </w:pPr>
    <w:rPr>
      <w:rFonts w:eastAsiaTheme="majorEastAsia" w:cs="Times New Roman"/>
      <w:b/>
      <w:bCs/>
      <w:sz w:val="32"/>
      <w:szCs w:val="32"/>
    </w:rPr>
  </w:style>
  <w:style w:type="paragraph" w:styleId="Heading2">
    <w:name w:val="heading 2"/>
    <w:basedOn w:val="Normal"/>
    <w:next w:val="Normal"/>
    <w:link w:val="Heading2Char"/>
    <w:autoRedefine/>
    <w:uiPriority w:val="9"/>
    <w:unhideWhenUsed/>
    <w:qFormat/>
    <w:rsid w:val="00997EE2"/>
    <w:pPr>
      <w:keepNext/>
      <w:keepLines/>
      <w:spacing w:before="40" w:after="0"/>
      <w:outlineLvl w:val="1"/>
    </w:pPr>
    <w:rPr>
      <w:rFonts w:eastAsiaTheme="majorEastAsia" w:cs="Times New Roman"/>
      <w:b/>
      <w:bCs/>
      <w:sz w:val="26"/>
      <w:szCs w:val="26"/>
      <w:lang w:val="en-US"/>
    </w:rPr>
  </w:style>
  <w:style w:type="paragraph" w:styleId="Heading3">
    <w:name w:val="heading 3"/>
    <w:basedOn w:val="Normal"/>
    <w:next w:val="Normal"/>
    <w:link w:val="Heading3Char"/>
    <w:uiPriority w:val="9"/>
    <w:unhideWhenUsed/>
    <w:qFormat/>
    <w:rsid w:val="007C728E"/>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55577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764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764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BED"/>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rsid w:val="00997EE2"/>
    <w:rPr>
      <w:rFonts w:ascii="Times New Roman" w:eastAsiaTheme="majorEastAsia" w:hAnsi="Times New Roman" w:cs="Times New Roman"/>
      <w:b/>
      <w:bCs/>
      <w:sz w:val="26"/>
      <w:szCs w:val="26"/>
      <w:lang w:val="en-US"/>
    </w:rPr>
  </w:style>
  <w:style w:type="paragraph" w:styleId="ListParagraph">
    <w:name w:val="List Paragraph"/>
    <w:basedOn w:val="Normal"/>
    <w:uiPriority w:val="34"/>
    <w:qFormat/>
    <w:rsid w:val="00C546EA"/>
    <w:pPr>
      <w:ind w:left="720"/>
      <w:contextualSpacing/>
    </w:pPr>
  </w:style>
  <w:style w:type="paragraph" w:styleId="TOCHeading">
    <w:name w:val="TOC Heading"/>
    <w:basedOn w:val="Heading1"/>
    <w:next w:val="Normal"/>
    <w:uiPriority w:val="39"/>
    <w:unhideWhenUsed/>
    <w:qFormat/>
    <w:rsid w:val="00E40D27"/>
    <w:pPr>
      <w:spacing w:before="480" w:line="276" w:lineRule="auto"/>
      <w:outlineLvl w:val="9"/>
    </w:pPr>
    <w:rPr>
      <w:b w:val="0"/>
      <w:bCs w:val="0"/>
      <w:sz w:val="28"/>
      <w:szCs w:val="28"/>
      <w:lang w:val="en-US" w:eastAsia="ja-JP"/>
    </w:rPr>
  </w:style>
  <w:style w:type="paragraph" w:styleId="TOC1">
    <w:name w:val="toc 1"/>
    <w:basedOn w:val="Normal"/>
    <w:next w:val="Normal"/>
    <w:autoRedefine/>
    <w:uiPriority w:val="39"/>
    <w:unhideWhenUsed/>
    <w:rsid w:val="00E40D27"/>
    <w:pPr>
      <w:tabs>
        <w:tab w:val="right" w:leader="dot" w:pos="9016"/>
      </w:tabs>
      <w:spacing w:after="100"/>
    </w:pPr>
  </w:style>
  <w:style w:type="paragraph" w:styleId="TOC2">
    <w:name w:val="toc 2"/>
    <w:basedOn w:val="Normal"/>
    <w:next w:val="Normal"/>
    <w:autoRedefine/>
    <w:uiPriority w:val="39"/>
    <w:unhideWhenUsed/>
    <w:rsid w:val="00E40D27"/>
    <w:pPr>
      <w:spacing w:after="100"/>
      <w:ind w:left="220"/>
    </w:pPr>
  </w:style>
  <w:style w:type="character" w:styleId="Hyperlink">
    <w:name w:val="Hyperlink"/>
    <w:basedOn w:val="DefaultParagraphFont"/>
    <w:uiPriority w:val="99"/>
    <w:unhideWhenUsed/>
    <w:rsid w:val="00E40D27"/>
    <w:rPr>
      <w:color w:val="0563C1" w:themeColor="hyperlink"/>
      <w:u w:val="single"/>
    </w:rPr>
  </w:style>
  <w:style w:type="paragraph" w:styleId="BalloonText">
    <w:name w:val="Balloon Text"/>
    <w:basedOn w:val="Normal"/>
    <w:link w:val="BalloonTextChar"/>
    <w:uiPriority w:val="99"/>
    <w:semiHidden/>
    <w:unhideWhenUsed/>
    <w:rsid w:val="002E52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52B2"/>
    <w:rPr>
      <w:rFonts w:ascii="Tahoma" w:hAnsi="Tahoma" w:cs="Tahoma"/>
      <w:sz w:val="16"/>
      <w:szCs w:val="16"/>
    </w:rPr>
  </w:style>
  <w:style w:type="paragraph" w:styleId="Header">
    <w:name w:val="header"/>
    <w:basedOn w:val="Normal"/>
    <w:link w:val="HeaderChar"/>
    <w:uiPriority w:val="99"/>
    <w:unhideWhenUsed/>
    <w:rsid w:val="002E52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52B2"/>
  </w:style>
  <w:style w:type="paragraph" w:styleId="Footer">
    <w:name w:val="footer"/>
    <w:basedOn w:val="Normal"/>
    <w:link w:val="FooterChar"/>
    <w:uiPriority w:val="99"/>
    <w:unhideWhenUsed/>
    <w:rsid w:val="002E52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2B2"/>
  </w:style>
  <w:style w:type="character" w:customStyle="1" w:styleId="Heading3Char">
    <w:name w:val="Heading 3 Char"/>
    <w:basedOn w:val="DefaultParagraphFont"/>
    <w:link w:val="Heading3"/>
    <w:uiPriority w:val="9"/>
    <w:rsid w:val="007C728E"/>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55577E"/>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FD03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77D57"/>
    <w:rPr>
      <w:color w:val="605E5C"/>
      <w:shd w:val="clear" w:color="auto" w:fill="E1DFDD"/>
    </w:rPr>
  </w:style>
  <w:style w:type="character" w:customStyle="1" w:styleId="Heading5Char">
    <w:name w:val="Heading 5 Char"/>
    <w:basedOn w:val="DefaultParagraphFont"/>
    <w:link w:val="Heading5"/>
    <w:uiPriority w:val="9"/>
    <w:semiHidden/>
    <w:rsid w:val="0037764A"/>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37764A"/>
    <w:rPr>
      <w:rFonts w:asciiTheme="majorHAnsi" w:eastAsiaTheme="majorEastAsia" w:hAnsiTheme="majorHAnsi" w:cstheme="majorBidi"/>
      <w:color w:val="1F3763" w:themeColor="accent1" w:themeShade="7F"/>
      <w:sz w:val="24"/>
    </w:rPr>
  </w:style>
  <w:style w:type="character" w:styleId="Strong">
    <w:name w:val="Strong"/>
    <w:basedOn w:val="DefaultParagraphFont"/>
    <w:uiPriority w:val="22"/>
    <w:qFormat/>
    <w:rsid w:val="001A54F9"/>
    <w:rPr>
      <w:b/>
      <w:bCs/>
    </w:rPr>
  </w:style>
  <w:style w:type="character" w:styleId="Emphasis">
    <w:name w:val="Emphasis"/>
    <w:basedOn w:val="DefaultParagraphFont"/>
    <w:uiPriority w:val="20"/>
    <w:qFormat/>
    <w:rsid w:val="00546B6D"/>
    <w:rPr>
      <w:i/>
      <w:iCs/>
    </w:rPr>
  </w:style>
  <w:style w:type="paragraph" w:styleId="NormalWeb">
    <w:name w:val="Normal (Web)"/>
    <w:basedOn w:val="Normal"/>
    <w:uiPriority w:val="99"/>
    <w:unhideWhenUsed/>
    <w:rsid w:val="00433C34"/>
    <w:pPr>
      <w:spacing w:before="100" w:beforeAutospacing="1" w:after="100" w:afterAutospacing="1" w:line="240" w:lineRule="auto"/>
      <w:jc w:val="left"/>
    </w:pPr>
    <w:rPr>
      <w:rFonts w:eastAsia="Times New Roman" w:cs="Times New Roman"/>
      <w:szCs w:val="24"/>
      <w:lang w:val="en-US" w:eastAsia="en-US"/>
    </w:rPr>
  </w:style>
  <w:style w:type="paragraph" w:styleId="TOC3">
    <w:name w:val="toc 3"/>
    <w:basedOn w:val="Normal"/>
    <w:next w:val="Normal"/>
    <w:autoRedefine/>
    <w:uiPriority w:val="39"/>
    <w:unhideWhenUsed/>
    <w:rsid w:val="00566050"/>
    <w:pPr>
      <w:spacing w:after="100"/>
      <w:ind w:left="480"/>
    </w:pPr>
  </w:style>
  <w:style w:type="character" w:customStyle="1" w:styleId="mdc-buttonlabel">
    <w:name w:val="mdc-button__label"/>
    <w:basedOn w:val="DefaultParagraphFont"/>
    <w:rsid w:val="00607CA5"/>
  </w:style>
  <w:style w:type="character" w:styleId="PlaceholderText">
    <w:name w:val="Placeholder Text"/>
    <w:basedOn w:val="DefaultParagraphFont"/>
    <w:uiPriority w:val="99"/>
    <w:semiHidden/>
    <w:rsid w:val="00F820CB"/>
    <w:rPr>
      <w:color w:val="666666"/>
    </w:rPr>
  </w:style>
  <w:style w:type="character" w:customStyle="1" w:styleId="mord">
    <w:name w:val="mord"/>
    <w:basedOn w:val="DefaultParagraphFont"/>
    <w:rsid w:val="00F820CB"/>
  </w:style>
  <w:style w:type="character" w:customStyle="1" w:styleId="mpunct">
    <w:name w:val="mpunct"/>
    <w:basedOn w:val="DefaultParagraphFont"/>
    <w:rsid w:val="00F820CB"/>
  </w:style>
  <w:style w:type="character" w:customStyle="1" w:styleId="mbin">
    <w:name w:val="mbin"/>
    <w:basedOn w:val="DefaultParagraphFont"/>
    <w:rsid w:val="00F820CB"/>
  </w:style>
  <w:style w:type="character" w:customStyle="1" w:styleId="katex-mathml">
    <w:name w:val="katex-mathml"/>
    <w:basedOn w:val="DefaultParagraphFont"/>
    <w:rsid w:val="00DD5CBF"/>
  </w:style>
  <w:style w:type="character" w:customStyle="1" w:styleId="mrel">
    <w:name w:val="mrel"/>
    <w:basedOn w:val="DefaultParagraphFont"/>
    <w:rsid w:val="00DD5CBF"/>
  </w:style>
  <w:style w:type="character" w:customStyle="1" w:styleId="export-sheets-button">
    <w:name w:val="export-sheets-button"/>
    <w:basedOn w:val="DefaultParagraphFont"/>
    <w:rsid w:val="00E52F58"/>
  </w:style>
  <w:style w:type="table" w:styleId="GridTable5Dark-Accent2">
    <w:name w:val="Grid Table 5 Dark Accent 2"/>
    <w:basedOn w:val="TableNormal"/>
    <w:uiPriority w:val="50"/>
    <w:rsid w:val="00703D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citation-48">
    <w:name w:val="citation-48"/>
    <w:basedOn w:val="DefaultParagraphFont"/>
    <w:rsid w:val="00F42EA5"/>
  </w:style>
  <w:style w:type="character" w:customStyle="1" w:styleId="citation-47">
    <w:name w:val="citation-47"/>
    <w:basedOn w:val="DefaultParagraphFont"/>
    <w:rsid w:val="00F42EA5"/>
  </w:style>
  <w:style w:type="character" w:customStyle="1" w:styleId="citation-46">
    <w:name w:val="citation-46"/>
    <w:basedOn w:val="DefaultParagraphFont"/>
    <w:rsid w:val="00F42EA5"/>
  </w:style>
  <w:style w:type="character" w:customStyle="1" w:styleId="citation-45">
    <w:name w:val="citation-45"/>
    <w:basedOn w:val="DefaultParagraphFont"/>
    <w:rsid w:val="00F42EA5"/>
  </w:style>
  <w:style w:type="character" w:customStyle="1" w:styleId="citation-44">
    <w:name w:val="citation-44"/>
    <w:basedOn w:val="DefaultParagraphFont"/>
    <w:rsid w:val="00F42EA5"/>
  </w:style>
  <w:style w:type="character" w:customStyle="1" w:styleId="citation-43">
    <w:name w:val="citation-43"/>
    <w:basedOn w:val="DefaultParagraphFont"/>
    <w:rsid w:val="00F42EA5"/>
  </w:style>
  <w:style w:type="character" w:customStyle="1" w:styleId="animating">
    <w:name w:val="animating"/>
    <w:basedOn w:val="DefaultParagraphFont"/>
    <w:rsid w:val="002B4952"/>
  </w:style>
  <w:style w:type="character" w:customStyle="1" w:styleId="mop">
    <w:name w:val="mop"/>
    <w:basedOn w:val="DefaultParagraphFont"/>
    <w:rsid w:val="001A7BF4"/>
  </w:style>
  <w:style w:type="character" w:customStyle="1" w:styleId="selected">
    <w:name w:val="selected"/>
    <w:basedOn w:val="DefaultParagraphFont"/>
    <w:rsid w:val="00AE73A5"/>
  </w:style>
  <w:style w:type="character" w:customStyle="1" w:styleId="mopen">
    <w:name w:val="mopen"/>
    <w:basedOn w:val="DefaultParagraphFont"/>
    <w:rsid w:val="00AE73A5"/>
  </w:style>
  <w:style w:type="character" w:customStyle="1" w:styleId="mclose">
    <w:name w:val="mclose"/>
    <w:basedOn w:val="DefaultParagraphFont"/>
    <w:rsid w:val="00AE73A5"/>
  </w:style>
  <w:style w:type="character" w:customStyle="1" w:styleId="mspace">
    <w:name w:val="mspace"/>
    <w:basedOn w:val="DefaultParagraphFont"/>
    <w:rsid w:val="00AE73A5"/>
  </w:style>
  <w:style w:type="character" w:customStyle="1" w:styleId="mtight">
    <w:name w:val="mtight"/>
    <w:basedOn w:val="DefaultParagraphFont"/>
    <w:rsid w:val="00AE73A5"/>
  </w:style>
  <w:style w:type="character" w:customStyle="1" w:styleId="vlist-s">
    <w:name w:val="vlist-s"/>
    <w:basedOn w:val="DefaultParagraphFont"/>
    <w:rsid w:val="00AE73A5"/>
  </w:style>
  <w:style w:type="paragraph" w:customStyle="1" w:styleId="my-0">
    <w:name w:val="my-0"/>
    <w:basedOn w:val="Normal"/>
    <w:rsid w:val="001F5A70"/>
    <w:pPr>
      <w:spacing w:before="100" w:beforeAutospacing="1" w:after="100" w:afterAutospacing="1" w:line="240" w:lineRule="auto"/>
      <w:jc w:val="left"/>
    </w:pPr>
    <w:rPr>
      <w:rFonts w:eastAsia="Times New Roman" w:cs="Times New Roman"/>
      <w:szCs w:val="24"/>
      <w:lang w:val="en-US" w:eastAsia="en-US"/>
    </w:rPr>
  </w:style>
  <w:style w:type="paragraph" w:customStyle="1" w:styleId="my-2">
    <w:name w:val="my-2"/>
    <w:basedOn w:val="Normal"/>
    <w:rsid w:val="00D47D35"/>
    <w:pPr>
      <w:spacing w:before="100" w:beforeAutospacing="1" w:after="100" w:afterAutospacing="1" w:line="240" w:lineRule="auto"/>
      <w:jc w:val="left"/>
    </w:pPr>
    <w:rPr>
      <w:rFonts w:eastAsia="Times New Roman" w:cs="Times New Roman"/>
      <w:szCs w:val="24"/>
      <w:lang w:val="en-US" w:eastAsia="en-US"/>
    </w:rPr>
  </w:style>
  <w:style w:type="table" w:styleId="GridTable5Dark-Accent6">
    <w:name w:val="Grid Table 5 Dark Accent 6"/>
    <w:basedOn w:val="TableNormal"/>
    <w:uiPriority w:val="50"/>
    <w:rsid w:val="0095258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5">
    <w:name w:val="Plain Table 5"/>
    <w:basedOn w:val="TableNormal"/>
    <w:uiPriority w:val="45"/>
    <w:rsid w:val="001600E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citation-31">
    <w:name w:val="citation-31"/>
    <w:basedOn w:val="DefaultParagraphFont"/>
    <w:rsid w:val="0026358B"/>
  </w:style>
  <w:style w:type="character" w:customStyle="1" w:styleId="citation-30">
    <w:name w:val="citation-30"/>
    <w:basedOn w:val="DefaultParagraphFont"/>
    <w:rsid w:val="0026358B"/>
  </w:style>
  <w:style w:type="character" w:customStyle="1" w:styleId="citation-29">
    <w:name w:val="citation-29"/>
    <w:basedOn w:val="DefaultParagraphFont"/>
    <w:rsid w:val="0026358B"/>
  </w:style>
  <w:style w:type="character" w:customStyle="1" w:styleId="citation-28">
    <w:name w:val="citation-28"/>
    <w:basedOn w:val="DefaultParagraphFont"/>
    <w:rsid w:val="0026358B"/>
  </w:style>
  <w:style w:type="character" w:customStyle="1" w:styleId="citation-27">
    <w:name w:val="citation-27"/>
    <w:basedOn w:val="DefaultParagraphFont"/>
    <w:rsid w:val="0026358B"/>
  </w:style>
  <w:style w:type="character" w:customStyle="1" w:styleId="citation-26">
    <w:name w:val="citation-26"/>
    <w:basedOn w:val="DefaultParagraphFont"/>
    <w:rsid w:val="0026358B"/>
  </w:style>
  <w:style w:type="character" w:customStyle="1" w:styleId="citation-25">
    <w:name w:val="citation-25"/>
    <w:basedOn w:val="DefaultParagraphFont"/>
    <w:rsid w:val="0026358B"/>
  </w:style>
  <w:style w:type="character" w:customStyle="1" w:styleId="citation">
    <w:name w:val="citation"/>
    <w:basedOn w:val="DefaultParagraphFont"/>
    <w:rsid w:val="000A3BF3"/>
  </w:style>
  <w:style w:type="paragraph" w:customStyle="1" w:styleId="ds-markdown-paragraph">
    <w:name w:val="ds-markdown-paragraph"/>
    <w:basedOn w:val="Normal"/>
    <w:rsid w:val="00D9166F"/>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94763">
      <w:bodyDiv w:val="1"/>
      <w:marLeft w:val="0"/>
      <w:marRight w:val="0"/>
      <w:marTop w:val="0"/>
      <w:marBottom w:val="0"/>
      <w:divBdr>
        <w:top w:val="none" w:sz="0" w:space="0" w:color="auto"/>
        <w:left w:val="none" w:sz="0" w:space="0" w:color="auto"/>
        <w:bottom w:val="none" w:sz="0" w:space="0" w:color="auto"/>
        <w:right w:val="none" w:sz="0" w:space="0" w:color="auto"/>
      </w:divBdr>
    </w:div>
    <w:div w:id="26611170">
      <w:bodyDiv w:val="1"/>
      <w:marLeft w:val="0"/>
      <w:marRight w:val="0"/>
      <w:marTop w:val="0"/>
      <w:marBottom w:val="0"/>
      <w:divBdr>
        <w:top w:val="none" w:sz="0" w:space="0" w:color="auto"/>
        <w:left w:val="none" w:sz="0" w:space="0" w:color="auto"/>
        <w:bottom w:val="none" w:sz="0" w:space="0" w:color="auto"/>
        <w:right w:val="none" w:sz="0" w:space="0" w:color="auto"/>
      </w:divBdr>
    </w:div>
    <w:div w:id="53239867">
      <w:bodyDiv w:val="1"/>
      <w:marLeft w:val="0"/>
      <w:marRight w:val="0"/>
      <w:marTop w:val="0"/>
      <w:marBottom w:val="0"/>
      <w:divBdr>
        <w:top w:val="none" w:sz="0" w:space="0" w:color="auto"/>
        <w:left w:val="none" w:sz="0" w:space="0" w:color="auto"/>
        <w:bottom w:val="none" w:sz="0" w:space="0" w:color="auto"/>
        <w:right w:val="none" w:sz="0" w:space="0" w:color="auto"/>
      </w:divBdr>
    </w:div>
    <w:div w:id="84496899">
      <w:bodyDiv w:val="1"/>
      <w:marLeft w:val="0"/>
      <w:marRight w:val="0"/>
      <w:marTop w:val="0"/>
      <w:marBottom w:val="0"/>
      <w:divBdr>
        <w:top w:val="none" w:sz="0" w:space="0" w:color="auto"/>
        <w:left w:val="none" w:sz="0" w:space="0" w:color="auto"/>
        <w:bottom w:val="none" w:sz="0" w:space="0" w:color="auto"/>
        <w:right w:val="none" w:sz="0" w:space="0" w:color="auto"/>
      </w:divBdr>
    </w:div>
    <w:div w:id="92435065">
      <w:bodyDiv w:val="1"/>
      <w:marLeft w:val="0"/>
      <w:marRight w:val="0"/>
      <w:marTop w:val="0"/>
      <w:marBottom w:val="0"/>
      <w:divBdr>
        <w:top w:val="none" w:sz="0" w:space="0" w:color="auto"/>
        <w:left w:val="none" w:sz="0" w:space="0" w:color="auto"/>
        <w:bottom w:val="none" w:sz="0" w:space="0" w:color="auto"/>
        <w:right w:val="none" w:sz="0" w:space="0" w:color="auto"/>
      </w:divBdr>
    </w:div>
    <w:div w:id="100731251">
      <w:bodyDiv w:val="1"/>
      <w:marLeft w:val="0"/>
      <w:marRight w:val="0"/>
      <w:marTop w:val="0"/>
      <w:marBottom w:val="0"/>
      <w:divBdr>
        <w:top w:val="none" w:sz="0" w:space="0" w:color="auto"/>
        <w:left w:val="none" w:sz="0" w:space="0" w:color="auto"/>
        <w:bottom w:val="none" w:sz="0" w:space="0" w:color="auto"/>
        <w:right w:val="none" w:sz="0" w:space="0" w:color="auto"/>
      </w:divBdr>
    </w:div>
    <w:div w:id="126706320">
      <w:bodyDiv w:val="1"/>
      <w:marLeft w:val="0"/>
      <w:marRight w:val="0"/>
      <w:marTop w:val="0"/>
      <w:marBottom w:val="0"/>
      <w:divBdr>
        <w:top w:val="none" w:sz="0" w:space="0" w:color="auto"/>
        <w:left w:val="none" w:sz="0" w:space="0" w:color="auto"/>
        <w:bottom w:val="none" w:sz="0" w:space="0" w:color="auto"/>
        <w:right w:val="none" w:sz="0" w:space="0" w:color="auto"/>
      </w:divBdr>
      <w:divsChild>
        <w:div w:id="2005815575">
          <w:marLeft w:val="0"/>
          <w:marRight w:val="0"/>
          <w:marTop w:val="0"/>
          <w:marBottom w:val="0"/>
          <w:divBdr>
            <w:top w:val="none" w:sz="0" w:space="0" w:color="auto"/>
            <w:left w:val="none" w:sz="0" w:space="0" w:color="auto"/>
            <w:bottom w:val="none" w:sz="0" w:space="0" w:color="auto"/>
            <w:right w:val="none" w:sz="0" w:space="0" w:color="auto"/>
          </w:divBdr>
          <w:divsChild>
            <w:div w:id="1091194034">
              <w:marLeft w:val="0"/>
              <w:marRight w:val="0"/>
              <w:marTop w:val="0"/>
              <w:marBottom w:val="0"/>
              <w:divBdr>
                <w:top w:val="none" w:sz="0" w:space="0" w:color="auto"/>
                <w:left w:val="none" w:sz="0" w:space="0" w:color="auto"/>
                <w:bottom w:val="none" w:sz="0" w:space="0" w:color="auto"/>
                <w:right w:val="none" w:sz="0" w:space="0" w:color="auto"/>
              </w:divBdr>
              <w:divsChild>
                <w:div w:id="646862902">
                  <w:marLeft w:val="0"/>
                  <w:marRight w:val="0"/>
                  <w:marTop w:val="0"/>
                  <w:marBottom w:val="0"/>
                  <w:divBdr>
                    <w:top w:val="none" w:sz="0" w:space="0" w:color="auto"/>
                    <w:left w:val="none" w:sz="0" w:space="0" w:color="auto"/>
                    <w:bottom w:val="none" w:sz="0" w:space="0" w:color="auto"/>
                    <w:right w:val="none" w:sz="0" w:space="0" w:color="auto"/>
                  </w:divBdr>
                  <w:divsChild>
                    <w:div w:id="311642355">
                      <w:marLeft w:val="0"/>
                      <w:marRight w:val="0"/>
                      <w:marTop w:val="0"/>
                      <w:marBottom w:val="0"/>
                      <w:divBdr>
                        <w:top w:val="none" w:sz="0" w:space="0" w:color="auto"/>
                        <w:left w:val="none" w:sz="0" w:space="0" w:color="auto"/>
                        <w:bottom w:val="none" w:sz="0" w:space="0" w:color="auto"/>
                        <w:right w:val="none" w:sz="0" w:space="0" w:color="auto"/>
                      </w:divBdr>
                      <w:divsChild>
                        <w:div w:id="159389444">
                          <w:marLeft w:val="0"/>
                          <w:marRight w:val="0"/>
                          <w:marTop w:val="0"/>
                          <w:marBottom w:val="0"/>
                          <w:divBdr>
                            <w:top w:val="none" w:sz="0" w:space="0" w:color="auto"/>
                            <w:left w:val="none" w:sz="0" w:space="0" w:color="auto"/>
                            <w:bottom w:val="none" w:sz="0" w:space="0" w:color="auto"/>
                            <w:right w:val="none" w:sz="0" w:space="0" w:color="auto"/>
                          </w:divBdr>
                          <w:divsChild>
                            <w:div w:id="646937445">
                              <w:marLeft w:val="0"/>
                              <w:marRight w:val="0"/>
                              <w:marTop w:val="0"/>
                              <w:marBottom w:val="0"/>
                              <w:divBdr>
                                <w:top w:val="none" w:sz="0" w:space="0" w:color="auto"/>
                                <w:left w:val="none" w:sz="0" w:space="0" w:color="auto"/>
                                <w:bottom w:val="none" w:sz="0" w:space="0" w:color="auto"/>
                                <w:right w:val="none" w:sz="0" w:space="0" w:color="auto"/>
                              </w:divBdr>
                              <w:divsChild>
                                <w:div w:id="883175205">
                                  <w:marLeft w:val="0"/>
                                  <w:marRight w:val="0"/>
                                  <w:marTop w:val="0"/>
                                  <w:marBottom w:val="0"/>
                                  <w:divBdr>
                                    <w:top w:val="none" w:sz="0" w:space="0" w:color="auto"/>
                                    <w:left w:val="none" w:sz="0" w:space="0" w:color="auto"/>
                                    <w:bottom w:val="none" w:sz="0" w:space="0" w:color="auto"/>
                                    <w:right w:val="none" w:sz="0" w:space="0" w:color="auto"/>
                                  </w:divBdr>
                                  <w:divsChild>
                                    <w:div w:id="8693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296981">
      <w:bodyDiv w:val="1"/>
      <w:marLeft w:val="0"/>
      <w:marRight w:val="0"/>
      <w:marTop w:val="0"/>
      <w:marBottom w:val="0"/>
      <w:divBdr>
        <w:top w:val="none" w:sz="0" w:space="0" w:color="auto"/>
        <w:left w:val="none" w:sz="0" w:space="0" w:color="auto"/>
        <w:bottom w:val="none" w:sz="0" w:space="0" w:color="auto"/>
        <w:right w:val="none" w:sz="0" w:space="0" w:color="auto"/>
      </w:divBdr>
    </w:div>
    <w:div w:id="173307794">
      <w:bodyDiv w:val="1"/>
      <w:marLeft w:val="0"/>
      <w:marRight w:val="0"/>
      <w:marTop w:val="0"/>
      <w:marBottom w:val="0"/>
      <w:divBdr>
        <w:top w:val="none" w:sz="0" w:space="0" w:color="auto"/>
        <w:left w:val="none" w:sz="0" w:space="0" w:color="auto"/>
        <w:bottom w:val="none" w:sz="0" w:space="0" w:color="auto"/>
        <w:right w:val="none" w:sz="0" w:space="0" w:color="auto"/>
      </w:divBdr>
    </w:div>
    <w:div w:id="181359350">
      <w:bodyDiv w:val="1"/>
      <w:marLeft w:val="0"/>
      <w:marRight w:val="0"/>
      <w:marTop w:val="0"/>
      <w:marBottom w:val="0"/>
      <w:divBdr>
        <w:top w:val="none" w:sz="0" w:space="0" w:color="auto"/>
        <w:left w:val="none" w:sz="0" w:space="0" w:color="auto"/>
        <w:bottom w:val="none" w:sz="0" w:space="0" w:color="auto"/>
        <w:right w:val="none" w:sz="0" w:space="0" w:color="auto"/>
      </w:divBdr>
    </w:div>
    <w:div w:id="193425176">
      <w:bodyDiv w:val="1"/>
      <w:marLeft w:val="0"/>
      <w:marRight w:val="0"/>
      <w:marTop w:val="0"/>
      <w:marBottom w:val="0"/>
      <w:divBdr>
        <w:top w:val="none" w:sz="0" w:space="0" w:color="auto"/>
        <w:left w:val="none" w:sz="0" w:space="0" w:color="auto"/>
        <w:bottom w:val="none" w:sz="0" w:space="0" w:color="auto"/>
        <w:right w:val="none" w:sz="0" w:space="0" w:color="auto"/>
      </w:divBdr>
    </w:div>
    <w:div w:id="200019664">
      <w:bodyDiv w:val="1"/>
      <w:marLeft w:val="0"/>
      <w:marRight w:val="0"/>
      <w:marTop w:val="0"/>
      <w:marBottom w:val="0"/>
      <w:divBdr>
        <w:top w:val="none" w:sz="0" w:space="0" w:color="auto"/>
        <w:left w:val="none" w:sz="0" w:space="0" w:color="auto"/>
        <w:bottom w:val="none" w:sz="0" w:space="0" w:color="auto"/>
        <w:right w:val="none" w:sz="0" w:space="0" w:color="auto"/>
      </w:divBdr>
    </w:div>
    <w:div w:id="205534940">
      <w:bodyDiv w:val="1"/>
      <w:marLeft w:val="0"/>
      <w:marRight w:val="0"/>
      <w:marTop w:val="0"/>
      <w:marBottom w:val="0"/>
      <w:divBdr>
        <w:top w:val="none" w:sz="0" w:space="0" w:color="auto"/>
        <w:left w:val="none" w:sz="0" w:space="0" w:color="auto"/>
        <w:bottom w:val="none" w:sz="0" w:space="0" w:color="auto"/>
        <w:right w:val="none" w:sz="0" w:space="0" w:color="auto"/>
      </w:divBdr>
    </w:div>
    <w:div w:id="206140761">
      <w:bodyDiv w:val="1"/>
      <w:marLeft w:val="0"/>
      <w:marRight w:val="0"/>
      <w:marTop w:val="0"/>
      <w:marBottom w:val="0"/>
      <w:divBdr>
        <w:top w:val="none" w:sz="0" w:space="0" w:color="auto"/>
        <w:left w:val="none" w:sz="0" w:space="0" w:color="auto"/>
        <w:bottom w:val="none" w:sz="0" w:space="0" w:color="auto"/>
        <w:right w:val="none" w:sz="0" w:space="0" w:color="auto"/>
      </w:divBdr>
    </w:div>
    <w:div w:id="213009723">
      <w:bodyDiv w:val="1"/>
      <w:marLeft w:val="0"/>
      <w:marRight w:val="0"/>
      <w:marTop w:val="0"/>
      <w:marBottom w:val="0"/>
      <w:divBdr>
        <w:top w:val="none" w:sz="0" w:space="0" w:color="auto"/>
        <w:left w:val="none" w:sz="0" w:space="0" w:color="auto"/>
        <w:bottom w:val="none" w:sz="0" w:space="0" w:color="auto"/>
        <w:right w:val="none" w:sz="0" w:space="0" w:color="auto"/>
      </w:divBdr>
      <w:divsChild>
        <w:div w:id="304821453">
          <w:marLeft w:val="0"/>
          <w:marRight w:val="0"/>
          <w:marTop w:val="0"/>
          <w:marBottom w:val="0"/>
          <w:divBdr>
            <w:top w:val="none" w:sz="0" w:space="0" w:color="auto"/>
            <w:left w:val="none" w:sz="0" w:space="0" w:color="auto"/>
            <w:bottom w:val="none" w:sz="0" w:space="0" w:color="auto"/>
            <w:right w:val="none" w:sz="0" w:space="0" w:color="auto"/>
          </w:divBdr>
          <w:divsChild>
            <w:div w:id="114763365">
              <w:marLeft w:val="0"/>
              <w:marRight w:val="0"/>
              <w:marTop w:val="0"/>
              <w:marBottom w:val="0"/>
              <w:divBdr>
                <w:top w:val="none" w:sz="0" w:space="0" w:color="auto"/>
                <w:left w:val="none" w:sz="0" w:space="0" w:color="auto"/>
                <w:bottom w:val="none" w:sz="0" w:space="0" w:color="auto"/>
                <w:right w:val="none" w:sz="0" w:space="0" w:color="auto"/>
              </w:divBdr>
              <w:divsChild>
                <w:div w:id="1395660635">
                  <w:marLeft w:val="0"/>
                  <w:marRight w:val="0"/>
                  <w:marTop w:val="0"/>
                  <w:marBottom w:val="0"/>
                  <w:divBdr>
                    <w:top w:val="none" w:sz="0" w:space="0" w:color="auto"/>
                    <w:left w:val="none" w:sz="0" w:space="0" w:color="auto"/>
                    <w:bottom w:val="none" w:sz="0" w:space="0" w:color="auto"/>
                    <w:right w:val="none" w:sz="0" w:space="0" w:color="auto"/>
                  </w:divBdr>
                  <w:divsChild>
                    <w:div w:id="1039673032">
                      <w:marLeft w:val="0"/>
                      <w:marRight w:val="0"/>
                      <w:marTop w:val="0"/>
                      <w:marBottom w:val="0"/>
                      <w:divBdr>
                        <w:top w:val="none" w:sz="0" w:space="0" w:color="auto"/>
                        <w:left w:val="none" w:sz="0" w:space="0" w:color="auto"/>
                        <w:bottom w:val="none" w:sz="0" w:space="0" w:color="auto"/>
                        <w:right w:val="none" w:sz="0" w:space="0" w:color="auto"/>
                      </w:divBdr>
                      <w:divsChild>
                        <w:div w:id="437334648">
                          <w:marLeft w:val="0"/>
                          <w:marRight w:val="0"/>
                          <w:marTop w:val="0"/>
                          <w:marBottom w:val="0"/>
                          <w:divBdr>
                            <w:top w:val="none" w:sz="0" w:space="0" w:color="auto"/>
                            <w:left w:val="none" w:sz="0" w:space="0" w:color="auto"/>
                            <w:bottom w:val="none" w:sz="0" w:space="0" w:color="auto"/>
                            <w:right w:val="none" w:sz="0" w:space="0" w:color="auto"/>
                          </w:divBdr>
                          <w:divsChild>
                            <w:div w:id="2066638649">
                              <w:marLeft w:val="0"/>
                              <w:marRight w:val="0"/>
                              <w:marTop w:val="0"/>
                              <w:marBottom w:val="0"/>
                              <w:divBdr>
                                <w:top w:val="none" w:sz="0" w:space="0" w:color="auto"/>
                                <w:left w:val="none" w:sz="0" w:space="0" w:color="auto"/>
                                <w:bottom w:val="none" w:sz="0" w:space="0" w:color="auto"/>
                                <w:right w:val="none" w:sz="0" w:space="0" w:color="auto"/>
                              </w:divBdr>
                              <w:divsChild>
                                <w:div w:id="621961479">
                                  <w:marLeft w:val="0"/>
                                  <w:marRight w:val="0"/>
                                  <w:marTop w:val="0"/>
                                  <w:marBottom w:val="0"/>
                                  <w:divBdr>
                                    <w:top w:val="none" w:sz="0" w:space="0" w:color="auto"/>
                                    <w:left w:val="none" w:sz="0" w:space="0" w:color="auto"/>
                                    <w:bottom w:val="none" w:sz="0" w:space="0" w:color="auto"/>
                                    <w:right w:val="none" w:sz="0" w:space="0" w:color="auto"/>
                                  </w:divBdr>
                                  <w:divsChild>
                                    <w:div w:id="1328754308">
                                      <w:marLeft w:val="0"/>
                                      <w:marRight w:val="0"/>
                                      <w:marTop w:val="0"/>
                                      <w:marBottom w:val="0"/>
                                      <w:divBdr>
                                        <w:top w:val="none" w:sz="0" w:space="0" w:color="auto"/>
                                        <w:left w:val="none" w:sz="0" w:space="0" w:color="auto"/>
                                        <w:bottom w:val="none" w:sz="0" w:space="0" w:color="auto"/>
                                        <w:right w:val="none" w:sz="0" w:space="0" w:color="auto"/>
                                      </w:divBdr>
                                      <w:divsChild>
                                        <w:div w:id="1581478582">
                                          <w:marLeft w:val="0"/>
                                          <w:marRight w:val="0"/>
                                          <w:marTop w:val="0"/>
                                          <w:marBottom w:val="0"/>
                                          <w:divBdr>
                                            <w:top w:val="none" w:sz="0" w:space="0" w:color="auto"/>
                                            <w:left w:val="none" w:sz="0" w:space="0" w:color="auto"/>
                                            <w:bottom w:val="none" w:sz="0" w:space="0" w:color="auto"/>
                                            <w:right w:val="none" w:sz="0" w:space="0" w:color="auto"/>
                                          </w:divBdr>
                                          <w:divsChild>
                                            <w:div w:id="144653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3519392">
          <w:marLeft w:val="0"/>
          <w:marRight w:val="0"/>
          <w:marTop w:val="0"/>
          <w:marBottom w:val="0"/>
          <w:divBdr>
            <w:top w:val="none" w:sz="0" w:space="0" w:color="auto"/>
            <w:left w:val="none" w:sz="0" w:space="0" w:color="auto"/>
            <w:bottom w:val="none" w:sz="0" w:space="0" w:color="auto"/>
            <w:right w:val="none" w:sz="0" w:space="0" w:color="auto"/>
          </w:divBdr>
          <w:divsChild>
            <w:div w:id="1431463078">
              <w:marLeft w:val="0"/>
              <w:marRight w:val="0"/>
              <w:marTop w:val="0"/>
              <w:marBottom w:val="0"/>
              <w:divBdr>
                <w:top w:val="none" w:sz="0" w:space="0" w:color="auto"/>
                <w:left w:val="none" w:sz="0" w:space="0" w:color="auto"/>
                <w:bottom w:val="none" w:sz="0" w:space="0" w:color="auto"/>
                <w:right w:val="none" w:sz="0" w:space="0" w:color="auto"/>
              </w:divBdr>
              <w:divsChild>
                <w:div w:id="1602687523">
                  <w:marLeft w:val="0"/>
                  <w:marRight w:val="0"/>
                  <w:marTop w:val="0"/>
                  <w:marBottom w:val="0"/>
                  <w:divBdr>
                    <w:top w:val="none" w:sz="0" w:space="0" w:color="auto"/>
                    <w:left w:val="none" w:sz="0" w:space="0" w:color="auto"/>
                    <w:bottom w:val="none" w:sz="0" w:space="0" w:color="auto"/>
                    <w:right w:val="none" w:sz="0" w:space="0" w:color="auto"/>
                  </w:divBdr>
                  <w:divsChild>
                    <w:div w:id="127359348">
                      <w:marLeft w:val="0"/>
                      <w:marRight w:val="0"/>
                      <w:marTop w:val="0"/>
                      <w:marBottom w:val="0"/>
                      <w:divBdr>
                        <w:top w:val="none" w:sz="0" w:space="0" w:color="auto"/>
                        <w:left w:val="none" w:sz="0" w:space="0" w:color="auto"/>
                        <w:bottom w:val="none" w:sz="0" w:space="0" w:color="auto"/>
                        <w:right w:val="none" w:sz="0" w:space="0" w:color="auto"/>
                      </w:divBdr>
                      <w:divsChild>
                        <w:div w:id="658002606">
                          <w:marLeft w:val="0"/>
                          <w:marRight w:val="0"/>
                          <w:marTop w:val="0"/>
                          <w:marBottom w:val="0"/>
                          <w:divBdr>
                            <w:top w:val="none" w:sz="0" w:space="0" w:color="auto"/>
                            <w:left w:val="none" w:sz="0" w:space="0" w:color="auto"/>
                            <w:bottom w:val="none" w:sz="0" w:space="0" w:color="auto"/>
                            <w:right w:val="none" w:sz="0" w:space="0" w:color="auto"/>
                          </w:divBdr>
                          <w:divsChild>
                            <w:div w:id="1019090810">
                              <w:marLeft w:val="0"/>
                              <w:marRight w:val="0"/>
                              <w:marTop w:val="0"/>
                              <w:marBottom w:val="0"/>
                              <w:divBdr>
                                <w:top w:val="none" w:sz="0" w:space="0" w:color="auto"/>
                                <w:left w:val="none" w:sz="0" w:space="0" w:color="auto"/>
                                <w:bottom w:val="none" w:sz="0" w:space="0" w:color="auto"/>
                                <w:right w:val="none" w:sz="0" w:space="0" w:color="auto"/>
                              </w:divBdr>
                              <w:divsChild>
                                <w:div w:id="660085079">
                                  <w:marLeft w:val="0"/>
                                  <w:marRight w:val="0"/>
                                  <w:marTop w:val="0"/>
                                  <w:marBottom w:val="0"/>
                                  <w:divBdr>
                                    <w:top w:val="none" w:sz="0" w:space="0" w:color="auto"/>
                                    <w:left w:val="none" w:sz="0" w:space="0" w:color="auto"/>
                                    <w:bottom w:val="none" w:sz="0" w:space="0" w:color="auto"/>
                                    <w:right w:val="none" w:sz="0" w:space="0" w:color="auto"/>
                                  </w:divBdr>
                                  <w:divsChild>
                                    <w:div w:id="523174299">
                                      <w:marLeft w:val="0"/>
                                      <w:marRight w:val="0"/>
                                      <w:marTop w:val="0"/>
                                      <w:marBottom w:val="0"/>
                                      <w:divBdr>
                                        <w:top w:val="none" w:sz="0" w:space="0" w:color="auto"/>
                                        <w:left w:val="none" w:sz="0" w:space="0" w:color="auto"/>
                                        <w:bottom w:val="none" w:sz="0" w:space="0" w:color="auto"/>
                                        <w:right w:val="none" w:sz="0" w:space="0" w:color="auto"/>
                                      </w:divBdr>
                                      <w:divsChild>
                                        <w:div w:id="60654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8950895">
          <w:marLeft w:val="0"/>
          <w:marRight w:val="0"/>
          <w:marTop w:val="0"/>
          <w:marBottom w:val="0"/>
          <w:divBdr>
            <w:top w:val="none" w:sz="0" w:space="0" w:color="auto"/>
            <w:left w:val="none" w:sz="0" w:space="0" w:color="auto"/>
            <w:bottom w:val="none" w:sz="0" w:space="0" w:color="auto"/>
            <w:right w:val="none" w:sz="0" w:space="0" w:color="auto"/>
          </w:divBdr>
          <w:divsChild>
            <w:div w:id="978072568">
              <w:marLeft w:val="0"/>
              <w:marRight w:val="0"/>
              <w:marTop w:val="0"/>
              <w:marBottom w:val="0"/>
              <w:divBdr>
                <w:top w:val="none" w:sz="0" w:space="0" w:color="auto"/>
                <w:left w:val="none" w:sz="0" w:space="0" w:color="auto"/>
                <w:bottom w:val="none" w:sz="0" w:space="0" w:color="auto"/>
                <w:right w:val="none" w:sz="0" w:space="0" w:color="auto"/>
              </w:divBdr>
              <w:divsChild>
                <w:div w:id="736706165">
                  <w:marLeft w:val="0"/>
                  <w:marRight w:val="0"/>
                  <w:marTop w:val="0"/>
                  <w:marBottom w:val="0"/>
                  <w:divBdr>
                    <w:top w:val="none" w:sz="0" w:space="0" w:color="auto"/>
                    <w:left w:val="none" w:sz="0" w:space="0" w:color="auto"/>
                    <w:bottom w:val="none" w:sz="0" w:space="0" w:color="auto"/>
                    <w:right w:val="none" w:sz="0" w:space="0" w:color="auto"/>
                  </w:divBdr>
                  <w:divsChild>
                    <w:div w:id="1791121422">
                      <w:marLeft w:val="0"/>
                      <w:marRight w:val="0"/>
                      <w:marTop w:val="0"/>
                      <w:marBottom w:val="0"/>
                      <w:divBdr>
                        <w:top w:val="none" w:sz="0" w:space="0" w:color="auto"/>
                        <w:left w:val="none" w:sz="0" w:space="0" w:color="auto"/>
                        <w:bottom w:val="none" w:sz="0" w:space="0" w:color="auto"/>
                        <w:right w:val="none" w:sz="0" w:space="0" w:color="auto"/>
                      </w:divBdr>
                      <w:divsChild>
                        <w:div w:id="474492450">
                          <w:marLeft w:val="0"/>
                          <w:marRight w:val="0"/>
                          <w:marTop w:val="0"/>
                          <w:marBottom w:val="0"/>
                          <w:divBdr>
                            <w:top w:val="none" w:sz="0" w:space="0" w:color="auto"/>
                            <w:left w:val="none" w:sz="0" w:space="0" w:color="auto"/>
                            <w:bottom w:val="none" w:sz="0" w:space="0" w:color="auto"/>
                            <w:right w:val="none" w:sz="0" w:space="0" w:color="auto"/>
                          </w:divBdr>
                          <w:divsChild>
                            <w:div w:id="197857128">
                              <w:marLeft w:val="0"/>
                              <w:marRight w:val="0"/>
                              <w:marTop w:val="0"/>
                              <w:marBottom w:val="0"/>
                              <w:divBdr>
                                <w:top w:val="none" w:sz="0" w:space="0" w:color="auto"/>
                                <w:left w:val="none" w:sz="0" w:space="0" w:color="auto"/>
                                <w:bottom w:val="none" w:sz="0" w:space="0" w:color="auto"/>
                                <w:right w:val="none" w:sz="0" w:space="0" w:color="auto"/>
                              </w:divBdr>
                              <w:divsChild>
                                <w:div w:id="1542791280">
                                  <w:marLeft w:val="0"/>
                                  <w:marRight w:val="0"/>
                                  <w:marTop w:val="0"/>
                                  <w:marBottom w:val="0"/>
                                  <w:divBdr>
                                    <w:top w:val="none" w:sz="0" w:space="0" w:color="auto"/>
                                    <w:left w:val="none" w:sz="0" w:space="0" w:color="auto"/>
                                    <w:bottom w:val="none" w:sz="0" w:space="0" w:color="auto"/>
                                    <w:right w:val="none" w:sz="0" w:space="0" w:color="auto"/>
                                  </w:divBdr>
                                  <w:divsChild>
                                    <w:div w:id="170940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0454956">
      <w:bodyDiv w:val="1"/>
      <w:marLeft w:val="0"/>
      <w:marRight w:val="0"/>
      <w:marTop w:val="0"/>
      <w:marBottom w:val="0"/>
      <w:divBdr>
        <w:top w:val="none" w:sz="0" w:space="0" w:color="auto"/>
        <w:left w:val="none" w:sz="0" w:space="0" w:color="auto"/>
        <w:bottom w:val="none" w:sz="0" w:space="0" w:color="auto"/>
        <w:right w:val="none" w:sz="0" w:space="0" w:color="auto"/>
      </w:divBdr>
    </w:div>
    <w:div w:id="240872574">
      <w:bodyDiv w:val="1"/>
      <w:marLeft w:val="0"/>
      <w:marRight w:val="0"/>
      <w:marTop w:val="0"/>
      <w:marBottom w:val="0"/>
      <w:divBdr>
        <w:top w:val="none" w:sz="0" w:space="0" w:color="auto"/>
        <w:left w:val="none" w:sz="0" w:space="0" w:color="auto"/>
        <w:bottom w:val="none" w:sz="0" w:space="0" w:color="auto"/>
        <w:right w:val="none" w:sz="0" w:space="0" w:color="auto"/>
      </w:divBdr>
      <w:divsChild>
        <w:div w:id="369500533">
          <w:marLeft w:val="0"/>
          <w:marRight w:val="0"/>
          <w:marTop w:val="0"/>
          <w:marBottom w:val="0"/>
          <w:divBdr>
            <w:top w:val="none" w:sz="0" w:space="0" w:color="auto"/>
            <w:left w:val="none" w:sz="0" w:space="0" w:color="auto"/>
            <w:bottom w:val="none" w:sz="0" w:space="0" w:color="auto"/>
            <w:right w:val="none" w:sz="0" w:space="0" w:color="auto"/>
          </w:divBdr>
        </w:div>
      </w:divsChild>
    </w:div>
    <w:div w:id="246110064">
      <w:bodyDiv w:val="1"/>
      <w:marLeft w:val="0"/>
      <w:marRight w:val="0"/>
      <w:marTop w:val="0"/>
      <w:marBottom w:val="0"/>
      <w:divBdr>
        <w:top w:val="none" w:sz="0" w:space="0" w:color="auto"/>
        <w:left w:val="none" w:sz="0" w:space="0" w:color="auto"/>
        <w:bottom w:val="none" w:sz="0" w:space="0" w:color="auto"/>
        <w:right w:val="none" w:sz="0" w:space="0" w:color="auto"/>
      </w:divBdr>
      <w:divsChild>
        <w:div w:id="568855061">
          <w:marLeft w:val="0"/>
          <w:marRight w:val="0"/>
          <w:marTop w:val="0"/>
          <w:marBottom w:val="0"/>
          <w:divBdr>
            <w:top w:val="none" w:sz="0" w:space="0" w:color="auto"/>
            <w:left w:val="none" w:sz="0" w:space="0" w:color="auto"/>
            <w:bottom w:val="none" w:sz="0" w:space="0" w:color="auto"/>
            <w:right w:val="none" w:sz="0" w:space="0" w:color="auto"/>
          </w:divBdr>
          <w:divsChild>
            <w:div w:id="790972629">
              <w:marLeft w:val="0"/>
              <w:marRight w:val="0"/>
              <w:marTop w:val="0"/>
              <w:marBottom w:val="0"/>
              <w:divBdr>
                <w:top w:val="none" w:sz="0" w:space="0" w:color="auto"/>
                <w:left w:val="none" w:sz="0" w:space="0" w:color="auto"/>
                <w:bottom w:val="none" w:sz="0" w:space="0" w:color="auto"/>
                <w:right w:val="none" w:sz="0" w:space="0" w:color="auto"/>
              </w:divBdr>
              <w:divsChild>
                <w:div w:id="1705982738">
                  <w:marLeft w:val="0"/>
                  <w:marRight w:val="0"/>
                  <w:marTop w:val="0"/>
                  <w:marBottom w:val="0"/>
                  <w:divBdr>
                    <w:top w:val="none" w:sz="0" w:space="0" w:color="auto"/>
                    <w:left w:val="none" w:sz="0" w:space="0" w:color="auto"/>
                    <w:bottom w:val="none" w:sz="0" w:space="0" w:color="auto"/>
                    <w:right w:val="none" w:sz="0" w:space="0" w:color="auto"/>
                  </w:divBdr>
                  <w:divsChild>
                    <w:div w:id="926503441">
                      <w:marLeft w:val="0"/>
                      <w:marRight w:val="0"/>
                      <w:marTop w:val="0"/>
                      <w:marBottom w:val="0"/>
                      <w:divBdr>
                        <w:top w:val="none" w:sz="0" w:space="0" w:color="auto"/>
                        <w:left w:val="none" w:sz="0" w:space="0" w:color="auto"/>
                        <w:bottom w:val="none" w:sz="0" w:space="0" w:color="auto"/>
                        <w:right w:val="none" w:sz="0" w:space="0" w:color="auto"/>
                      </w:divBdr>
                      <w:divsChild>
                        <w:div w:id="1724021967">
                          <w:marLeft w:val="0"/>
                          <w:marRight w:val="0"/>
                          <w:marTop w:val="0"/>
                          <w:marBottom w:val="0"/>
                          <w:divBdr>
                            <w:top w:val="none" w:sz="0" w:space="0" w:color="auto"/>
                            <w:left w:val="none" w:sz="0" w:space="0" w:color="auto"/>
                            <w:bottom w:val="none" w:sz="0" w:space="0" w:color="auto"/>
                            <w:right w:val="none" w:sz="0" w:space="0" w:color="auto"/>
                          </w:divBdr>
                          <w:divsChild>
                            <w:div w:id="687214255">
                              <w:marLeft w:val="0"/>
                              <w:marRight w:val="0"/>
                              <w:marTop w:val="0"/>
                              <w:marBottom w:val="0"/>
                              <w:divBdr>
                                <w:top w:val="none" w:sz="0" w:space="0" w:color="auto"/>
                                <w:left w:val="none" w:sz="0" w:space="0" w:color="auto"/>
                                <w:bottom w:val="none" w:sz="0" w:space="0" w:color="auto"/>
                                <w:right w:val="none" w:sz="0" w:space="0" w:color="auto"/>
                              </w:divBdr>
                              <w:divsChild>
                                <w:div w:id="567226886">
                                  <w:marLeft w:val="0"/>
                                  <w:marRight w:val="0"/>
                                  <w:marTop w:val="0"/>
                                  <w:marBottom w:val="0"/>
                                  <w:divBdr>
                                    <w:top w:val="none" w:sz="0" w:space="0" w:color="auto"/>
                                    <w:left w:val="none" w:sz="0" w:space="0" w:color="auto"/>
                                    <w:bottom w:val="none" w:sz="0" w:space="0" w:color="auto"/>
                                    <w:right w:val="none" w:sz="0" w:space="0" w:color="auto"/>
                                  </w:divBdr>
                                  <w:divsChild>
                                    <w:div w:id="45109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5678965">
          <w:marLeft w:val="0"/>
          <w:marRight w:val="0"/>
          <w:marTop w:val="0"/>
          <w:marBottom w:val="0"/>
          <w:divBdr>
            <w:top w:val="none" w:sz="0" w:space="0" w:color="auto"/>
            <w:left w:val="none" w:sz="0" w:space="0" w:color="auto"/>
            <w:bottom w:val="none" w:sz="0" w:space="0" w:color="auto"/>
            <w:right w:val="none" w:sz="0" w:space="0" w:color="auto"/>
          </w:divBdr>
        </w:div>
        <w:div w:id="1634291518">
          <w:marLeft w:val="0"/>
          <w:marRight w:val="0"/>
          <w:marTop w:val="0"/>
          <w:marBottom w:val="0"/>
          <w:divBdr>
            <w:top w:val="none" w:sz="0" w:space="0" w:color="auto"/>
            <w:left w:val="none" w:sz="0" w:space="0" w:color="auto"/>
            <w:bottom w:val="none" w:sz="0" w:space="0" w:color="auto"/>
            <w:right w:val="none" w:sz="0" w:space="0" w:color="auto"/>
          </w:divBdr>
        </w:div>
      </w:divsChild>
    </w:div>
    <w:div w:id="247078075">
      <w:bodyDiv w:val="1"/>
      <w:marLeft w:val="0"/>
      <w:marRight w:val="0"/>
      <w:marTop w:val="0"/>
      <w:marBottom w:val="0"/>
      <w:divBdr>
        <w:top w:val="none" w:sz="0" w:space="0" w:color="auto"/>
        <w:left w:val="none" w:sz="0" w:space="0" w:color="auto"/>
        <w:bottom w:val="none" w:sz="0" w:space="0" w:color="auto"/>
        <w:right w:val="none" w:sz="0" w:space="0" w:color="auto"/>
      </w:divBdr>
    </w:div>
    <w:div w:id="250821378">
      <w:bodyDiv w:val="1"/>
      <w:marLeft w:val="0"/>
      <w:marRight w:val="0"/>
      <w:marTop w:val="0"/>
      <w:marBottom w:val="0"/>
      <w:divBdr>
        <w:top w:val="none" w:sz="0" w:space="0" w:color="auto"/>
        <w:left w:val="none" w:sz="0" w:space="0" w:color="auto"/>
        <w:bottom w:val="none" w:sz="0" w:space="0" w:color="auto"/>
        <w:right w:val="none" w:sz="0" w:space="0" w:color="auto"/>
      </w:divBdr>
    </w:div>
    <w:div w:id="251359299">
      <w:bodyDiv w:val="1"/>
      <w:marLeft w:val="0"/>
      <w:marRight w:val="0"/>
      <w:marTop w:val="0"/>
      <w:marBottom w:val="0"/>
      <w:divBdr>
        <w:top w:val="none" w:sz="0" w:space="0" w:color="auto"/>
        <w:left w:val="none" w:sz="0" w:space="0" w:color="auto"/>
        <w:bottom w:val="none" w:sz="0" w:space="0" w:color="auto"/>
        <w:right w:val="none" w:sz="0" w:space="0" w:color="auto"/>
      </w:divBdr>
      <w:divsChild>
        <w:div w:id="1089496892">
          <w:marLeft w:val="0"/>
          <w:marRight w:val="0"/>
          <w:marTop w:val="0"/>
          <w:marBottom w:val="0"/>
          <w:divBdr>
            <w:top w:val="none" w:sz="0" w:space="0" w:color="auto"/>
            <w:left w:val="none" w:sz="0" w:space="0" w:color="auto"/>
            <w:bottom w:val="none" w:sz="0" w:space="0" w:color="auto"/>
            <w:right w:val="none" w:sz="0" w:space="0" w:color="auto"/>
          </w:divBdr>
        </w:div>
      </w:divsChild>
    </w:div>
    <w:div w:id="337583365">
      <w:bodyDiv w:val="1"/>
      <w:marLeft w:val="0"/>
      <w:marRight w:val="0"/>
      <w:marTop w:val="0"/>
      <w:marBottom w:val="0"/>
      <w:divBdr>
        <w:top w:val="none" w:sz="0" w:space="0" w:color="auto"/>
        <w:left w:val="none" w:sz="0" w:space="0" w:color="auto"/>
        <w:bottom w:val="none" w:sz="0" w:space="0" w:color="auto"/>
        <w:right w:val="none" w:sz="0" w:space="0" w:color="auto"/>
      </w:divBdr>
    </w:div>
    <w:div w:id="343023836">
      <w:bodyDiv w:val="1"/>
      <w:marLeft w:val="0"/>
      <w:marRight w:val="0"/>
      <w:marTop w:val="0"/>
      <w:marBottom w:val="0"/>
      <w:divBdr>
        <w:top w:val="none" w:sz="0" w:space="0" w:color="auto"/>
        <w:left w:val="none" w:sz="0" w:space="0" w:color="auto"/>
        <w:bottom w:val="none" w:sz="0" w:space="0" w:color="auto"/>
        <w:right w:val="none" w:sz="0" w:space="0" w:color="auto"/>
      </w:divBdr>
    </w:div>
    <w:div w:id="413549385">
      <w:bodyDiv w:val="1"/>
      <w:marLeft w:val="0"/>
      <w:marRight w:val="0"/>
      <w:marTop w:val="0"/>
      <w:marBottom w:val="0"/>
      <w:divBdr>
        <w:top w:val="none" w:sz="0" w:space="0" w:color="auto"/>
        <w:left w:val="none" w:sz="0" w:space="0" w:color="auto"/>
        <w:bottom w:val="none" w:sz="0" w:space="0" w:color="auto"/>
        <w:right w:val="none" w:sz="0" w:space="0" w:color="auto"/>
      </w:divBdr>
      <w:divsChild>
        <w:div w:id="1513910846">
          <w:marLeft w:val="0"/>
          <w:marRight w:val="0"/>
          <w:marTop w:val="0"/>
          <w:marBottom w:val="0"/>
          <w:divBdr>
            <w:top w:val="none" w:sz="0" w:space="0" w:color="auto"/>
            <w:left w:val="none" w:sz="0" w:space="0" w:color="auto"/>
            <w:bottom w:val="none" w:sz="0" w:space="0" w:color="auto"/>
            <w:right w:val="none" w:sz="0" w:space="0" w:color="auto"/>
          </w:divBdr>
          <w:divsChild>
            <w:div w:id="1441097587">
              <w:marLeft w:val="0"/>
              <w:marRight w:val="0"/>
              <w:marTop w:val="0"/>
              <w:marBottom w:val="0"/>
              <w:divBdr>
                <w:top w:val="none" w:sz="0" w:space="0" w:color="auto"/>
                <w:left w:val="none" w:sz="0" w:space="0" w:color="auto"/>
                <w:bottom w:val="none" w:sz="0" w:space="0" w:color="auto"/>
                <w:right w:val="none" w:sz="0" w:space="0" w:color="auto"/>
              </w:divBdr>
              <w:divsChild>
                <w:div w:id="756023965">
                  <w:marLeft w:val="0"/>
                  <w:marRight w:val="0"/>
                  <w:marTop w:val="0"/>
                  <w:marBottom w:val="0"/>
                  <w:divBdr>
                    <w:top w:val="none" w:sz="0" w:space="0" w:color="auto"/>
                    <w:left w:val="none" w:sz="0" w:space="0" w:color="auto"/>
                    <w:bottom w:val="none" w:sz="0" w:space="0" w:color="auto"/>
                    <w:right w:val="none" w:sz="0" w:space="0" w:color="auto"/>
                  </w:divBdr>
                  <w:divsChild>
                    <w:div w:id="150214792">
                      <w:marLeft w:val="0"/>
                      <w:marRight w:val="0"/>
                      <w:marTop w:val="0"/>
                      <w:marBottom w:val="0"/>
                      <w:divBdr>
                        <w:top w:val="none" w:sz="0" w:space="0" w:color="auto"/>
                        <w:left w:val="none" w:sz="0" w:space="0" w:color="auto"/>
                        <w:bottom w:val="none" w:sz="0" w:space="0" w:color="auto"/>
                        <w:right w:val="none" w:sz="0" w:space="0" w:color="auto"/>
                      </w:divBdr>
                      <w:divsChild>
                        <w:div w:id="846601108">
                          <w:marLeft w:val="0"/>
                          <w:marRight w:val="0"/>
                          <w:marTop w:val="0"/>
                          <w:marBottom w:val="0"/>
                          <w:divBdr>
                            <w:top w:val="none" w:sz="0" w:space="0" w:color="auto"/>
                            <w:left w:val="none" w:sz="0" w:space="0" w:color="auto"/>
                            <w:bottom w:val="none" w:sz="0" w:space="0" w:color="auto"/>
                            <w:right w:val="none" w:sz="0" w:space="0" w:color="auto"/>
                          </w:divBdr>
                          <w:divsChild>
                            <w:div w:id="262999089">
                              <w:marLeft w:val="0"/>
                              <w:marRight w:val="0"/>
                              <w:marTop w:val="0"/>
                              <w:marBottom w:val="0"/>
                              <w:divBdr>
                                <w:top w:val="none" w:sz="0" w:space="0" w:color="auto"/>
                                <w:left w:val="none" w:sz="0" w:space="0" w:color="auto"/>
                                <w:bottom w:val="none" w:sz="0" w:space="0" w:color="auto"/>
                                <w:right w:val="none" w:sz="0" w:space="0" w:color="auto"/>
                              </w:divBdr>
                              <w:divsChild>
                                <w:div w:id="1737315831">
                                  <w:marLeft w:val="0"/>
                                  <w:marRight w:val="0"/>
                                  <w:marTop w:val="0"/>
                                  <w:marBottom w:val="0"/>
                                  <w:divBdr>
                                    <w:top w:val="none" w:sz="0" w:space="0" w:color="auto"/>
                                    <w:left w:val="none" w:sz="0" w:space="0" w:color="auto"/>
                                    <w:bottom w:val="none" w:sz="0" w:space="0" w:color="auto"/>
                                    <w:right w:val="none" w:sz="0" w:space="0" w:color="auto"/>
                                  </w:divBdr>
                                  <w:divsChild>
                                    <w:div w:id="56572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3307609">
          <w:marLeft w:val="0"/>
          <w:marRight w:val="0"/>
          <w:marTop w:val="0"/>
          <w:marBottom w:val="0"/>
          <w:divBdr>
            <w:top w:val="none" w:sz="0" w:space="0" w:color="auto"/>
            <w:left w:val="none" w:sz="0" w:space="0" w:color="auto"/>
            <w:bottom w:val="none" w:sz="0" w:space="0" w:color="auto"/>
            <w:right w:val="none" w:sz="0" w:space="0" w:color="auto"/>
          </w:divBdr>
        </w:div>
        <w:div w:id="1675958661">
          <w:marLeft w:val="0"/>
          <w:marRight w:val="0"/>
          <w:marTop w:val="0"/>
          <w:marBottom w:val="0"/>
          <w:divBdr>
            <w:top w:val="none" w:sz="0" w:space="0" w:color="auto"/>
            <w:left w:val="none" w:sz="0" w:space="0" w:color="auto"/>
            <w:bottom w:val="none" w:sz="0" w:space="0" w:color="auto"/>
            <w:right w:val="none" w:sz="0" w:space="0" w:color="auto"/>
          </w:divBdr>
        </w:div>
      </w:divsChild>
    </w:div>
    <w:div w:id="433282820">
      <w:bodyDiv w:val="1"/>
      <w:marLeft w:val="0"/>
      <w:marRight w:val="0"/>
      <w:marTop w:val="0"/>
      <w:marBottom w:val="0"/>
      <w:divBdr>
        <w:top w:val="none" w:sz="0" w:space="0" w:color="auto"/>
        <w:left w:val="none" w:sz="0" w:space="0" w:color="auto"/>
        <w:bottom w:val="none" w:sz="0" w:space="0" w:color="auto"/>
        <w:right w:val="none" w:sz="0" w:space="0" w:color="auto"/>
      </w:divBdr>
    </w:div>
    <w:div w:id="445465491">
      <w:bodyDiv w:val="1"/>
      <w:marLeft w:val="0"/>
      <w:marRight w:val="0"/>
      <w:marTop w:val="0"/>
      <w:marBottom w:val="0"/>
      <w:divBdr>
        <w:top w:val="none" w:sz="0" w:space="0" w:color="auto"/>
        <w:left w:val="none" w:sz="0" w:space="0" w:color="auto"/>
        <w:bottom w:val="none" w:sz="0" w:space="0" w:color="auto"/>
        <w:right w:val="none" w:sz="0" w:space="0" w:color="auto"/>
      </w:divBdr>
    </w:div>
    <w:div w:id="460849591">
      <w:bodyDiv w:val="1"/>
      <w:marLeft w:val="0"/>
      <w:marRight w:val="0"/>
      <w:marTop w:val="0"/>
      <w:marBottom w:val="0"/>
      <w:divBdr>
        <w:top w:val="none" w:sz="0" w:space="0" w:color="auto"/>
        <w:left w:val="none" w:sz="0" w:space="0" w:color="auto"/>
        <w:bottom w:val="none" w:sz="0" w:space="0" w:color="auto"/>
        <w:right w:val="none" w:sz="0" w:space="0" w:color="auto"/>
      </w:divBdr>
    </w:div>
    <w:div w:id="460998408">
      <w:bodyDiv w:val="1"/>
      <w:marLeft w:val="0"/>
      <w:marRight w:val="0"/>
      <w:marTop w:val="0"/>
      <w:marBottom w:val="0"/>
      <w:divBdr>
        <w:top w:val="none" w:sz="0" w:space="0" w:color="auto"/>
        <w:left w:val="none" w:sz="0" w:space="0" w:color="auto"/>
        <w:bottom w:val="none" w:sz="0" w:space="0" w:color="auto"/>
        <w:right w:val="none" w:sz="0" w:space="0" w:color="auto"/>
      </w:divBdr>
    </w:div>
    <w:div w:id="462889167">
      <w:bodyDiv w:val="1"/>
      <w:marLeft w:val="0"/>
      <w:marRight w:val="0"/>
      <w:marTop w:val="0"/>
      <w:marBottom w:val="0"/>
      <w:divBdr>
        <w:top w:val="none" w:sz="0" w:space="0" w:color="auto"/>
        <w:left w:val="none" w:sz="0" w:space="0" w:color="auto"/>
        <w:bottom w:val="none" w:sz="0" w:space="0" w:color="auto"/>
        <w:right w:val="none" w:sz="0" w:space="0" w:color="auto"/>
      </w:divBdr>
    </w:div>
    <w:div w:id="465198641">
      <w:bodyDiv w:val="1"/>
      <w:marLeft w:val="0"/>
      <w:marRight w:val="0"/>
      <w:marTop w:val="0"/>
      <w:marBottom w:val="0"/>
      <w:divBdr>
        <w:top w:val="none" w:sz="0" w:space="0" w:color="auto"/>
        <w:left w:val="none" w:sz="0" w:space="0" w:color="auto"/>
        <w:bottom w:val="none" w:sz="0" w:space="0" w:color="auto"/>
        <w:right w:val="none" w:sz="0" w:space="0" w:color="auto"/>
      </w:divBdr>
    </w:div>
    <w:div w:id="479034490">
      <w:bodyDiv w:val="1"/>
      <w:marLeft w:val="0"/>
      <w:marRight w:val="0"/>
      <w:marTop w:val="0"/>
      <w:marBottom w:val="0"/>
      <w:divBdr>
        <w:top w:val="none" w:sz="0" w:space="0" w:color="auto"/>
        <w:left w:val="none" w:sz="0" w:space="0" w:color="auto"/>
        <w:bottom w:val="none" w:sz="0" w:space="0" w:color="auto"/>
        <w:right w:val="none" w:sz="0" w:space="0" w:color="auto"/>
      </w:divBdr>
      <w:divsChild>
        <w:div w:id="169874210">
          <w:marLeft w:val="0"/>
          <w:marRight w:val="0"/>
          <w:marTop w:val="0"/>
          <w:marBottom w:val="0"/>
          <w:divBdr>
            <w:top w:val="none" w:sz="0" w:space="0" w:color="auto"/>
            <w:left w:val="none" w:sz="0" w:space="0" w:color="auto"/>
            <w:bottom w:val="none" w:sz="0" w:space="0" w:color="auto"/>
            <w:right w:val="none" w:sz="0" w:space="0" w:color="auto"/>
          </w:divBdr>
          <w:divsChild>
            <w:div w:id="1753620009">
              <w:marLeft w:val="0"/>
              <w:marRight w:val="0"/>
              <w:marTop w:val="0"/>
              <w:marBottom w:val="0"/>
              <w:divBdr>
                <w:top w:val="none" w:sz="0" w:space="0" w:color="auto"/>
                <w:left w:val="none" w:sz="0" w:space="0" w:color="auto"/>
                <w:bottom w:val="none" w:sz="0" w:space="0" w:color="auto"/>
                <w:right w:val="none" w:sz="0" w:space="0" w:color="auto"/>
              </w:divBdr>
              <w:divsChild>
                <w:div w:id="460727818">
                  <w:marLeft w:val="0"/>
                  <w:marRight w:val="0"/>
                  <w:marTop w:val="0"/>
                  <w:marBottom w:val="0"/>
                  <w:divBdr>
                    <w:top w:val="none" w:sz="0" w:space="0" w:color="auto"/>
                    <w:left w:val="none" w:sz="0" w:space="0" w:color="auto"/>
                    <w:bottom w:val="none" w:sz="0" w:space="0" w:color="auto"/>
                    <w:right w:val="none" w:sz="0" w:space="0" w:color="auto"/>
                  </w:divBdr>
                  <w:divsChild>
                    <w:div w:id="349140310">
                      <w:marLeft w:val="0"/>
                      <w:marRight w:val="0"/>
                      <w:marTop w:val="0"/>
                      <w:marBottom w:val="0"/>
                      <w:divBdr>
                        <w:top w:val="none" w:sz="0" w:space="0" w:color="auto"/>
                        <w:left w:val="none" w:sz="0" w:space="0" w:color="auto"/>
                        <w:bottom w:val="none" w:sz="0" w:space="0" w:color="auto"/>
                        <w:right w:val="none" w:sz="0" w:space="0" w:color="auto"/>
                      </w:divBdr>
                      <w:divsChild>
                        <w:div w:id="2112973762">
                          <w:marLeft w:val="0"/>
                          <w:marRight w:val="0"/>
                          <w:marTop w:val="0"/>
                          <w:marBottom w:val="0"/>
                          <w:divBdr>
                            <w:top w:val="none" w:sz="0" w:space="0" w:color="auto"/>
                            <w:left w:val="none" w:sz="0" w:space="0" w:color="auto"/>
                            <w:bottom w:val="none" w:sz="0" w:space="0" w:color="auto"/>
                            <w:right w:val="none" w:sz="0" w:space="0" w:color="auto"/>
                          </w:divBdr>
                          <w:divsChild>
                            <w:div w:id="520167309">
                              <w:marLeft w:val="0"/>
                              <w:marRight w:val="0"/>
                              <w:marTop w:val="0"/>
                              <w:marBottom w:val="0"/>
                              <w:divBdr>
                                <w:top w:val="none" w:sz="0" w:space="0" w:color="auto"/>
                                <w:left w:val="none" w:sz="0" w:space="0" w:color="auto"/>
                                <w:bottom w:val="none" w:sz="0" w:space="0" w:color="auto"/>
                                <w:right w:val="none" w:sz="0" w:space="0" w:color="auto"/>
                              </w:divBdr>
                              <w:divsChild>
                                <w:div w:id="1341273229">
                                  <w:marLeft w:val="0"/>
                                  <w:marRight w:val="0"/>
                                  <w:marTop w:val="0"/>
                                  <w:marBottom w:val="0"/>
                                  <w:divBdr>
                                    <w:top w:val="none" w:sz="0" w:space="0" w:color="auto"/>
                                    <w:left w:val="none" w:sz="0" w:space="0" w:color="auto"/>
                                    <w:bottom w:val="none" w:sz="0" w:space="0" w:color="auto"/>
                                    <w:right w:val="none" w:sz="0" w:space="0" w:color="auto"/>
                                  </w:divBdr>
                                  <w:divsChild>
                                    <w:div w:id="175574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541971">
      <w:bodyDiv w:val="1"/>
      <w:marLeft w:val="0"/>
      <w:marRight w:val="0"/>
      <w:marTop w:val="0"/>
      <w:marBottom w:val="0"/>
      <w:divBdr>
        <w:top w:val="none" w:sz="0" w:space="0" w:color="auto"/>
        <w:left w:val="none" w:sz="0" w:space="0" w:color="auto"/>
        <w:bottom w:val="none" w:sz="0" w:space="0" w:color="auto"/>
        <w:right w:val="none" w:sz="0" w:space="0" w:color="auto"/>
      </w:divBdr>
      <w:divsChild>
        <w:div w:id="347218984">
          <w:marLeft w:val="0"/>
          <w:marRight w:val="0"/>
          <w:marTop w:val="0"/>
          <w:marBottom w:val="0"/>
          <w:divBdr>
            <w:top w:val="none" w:sz="0" w:space="0" w:color="auto"/>
            <w:left w:val="none" w:sz="0" w:space="0" w:color="auto"/>
            <w:bottom w:val="none" w:sz="0" w:space="0" w:color="auto"/>
            <w:right w:val="none" w:sz="0" w:space="0" w:color="auto"/>
          </w:divBdr>
          <w:divsChild>
            <w:div w:id="896206185">
              <w:marLeft w:val="0"/>
              <w:marRight w:val="0"/>
              <w:marTop w:val="0"/>
              <w:marBottom w:val="0"/>
              <w:divBdr>
                <w:top w:val="none" w:sz="0" w:space="0" w:color="auto"/>
                <w:left w:val="none" w:sz="0" w:space="0" w:color="auto"/>
                <w:bottom w:val="none" w:sz="0" w:space="0" w:color="auto"/>
                <w:right w:val="none" w:sz="0" w:space="0" w:color="auto"/>
              </w:divBdr>
              <w:divsChild>
                <w:div w:id="1427580688">
                  <w:marLeft w:val="0"/>
                  <w:marRight w:val="0"/>
                  <w:marTop w:val="0"/>
                  <w:marBottom w:val="0"/>
                  <w:divBdr>
                    <w:top w:val="none" w:sz="0" w:space="0" w:color="auto"/>
                    <w:left w:val="none" w:sz="0" w:space="0" w:color="auto"/>
                    <w:bottom w:val="none" w:sz="0" w:space="0" w:color="auto"/>
                    <w:right w:val="none" w:sz="0" w:space="0" w:color="auto"/>
                  </w:divBdr>
                  <w:divsChild>
                    <w:div w:id="1078358523">
                      <w:marLeft w:val="0"/>
                      <w:marRight w:val="0"/>
                      <w:marTop w:val="0"/>
                      <w:marBottom w:val="0"/>
                      <w:divBdr>
                        <w:top w:val="none" w:sz="0" w:space="0" w:color="auto"/>
                        <w:left w:val="none" w:sz="0" w:space="0" w:color="auto"/>
                        <w:bottom w:val="none" w:sz="0" w:space="0" w:color="auto"/>
                        <w:right w:val="none" w:sz="0" w:space="0" w:color="auto"/>
                      </w:divBdr>
                      <w:divsChild>
                        <w:div w:id="89208030">
                          <w:marLeft w:val="0"/>
                          <w:marRight w:val="0"/>
                          <w:marTop w:val="0"/>
                          <w:marBottom w:val="0"/>
                          <w:divBdr>
                            <w:top w:val="none" w:sz="0" w:space="0" w:color="auto"/>
                            <w:left w:val="none" w:sz="0" w:space="0" w:color="auto"/>
                            <w:bottom w:val="none" w:sz="0" w:space="0" w:color="auto"/>
                            <w:right w:val="none" w:sz="0" w:space="0" w:color="auto"/>
                          </w:divBdr>
                          <w:divsChild>
                            <w:div w:id="1451827362">
                              <w:marLeft w:val="0"/>
                              <w:marRight w:val="0"/>
                              <w:marTop w:val="0"/>
                              <w:marBottom w:val="0"/>
                              <w:divBdr>
                                <w:top w:val="none" w:sz="0" w:space="0" w:color="auto"/>
                                <w:left w:val="none" w:sz="0" w:space="0" w:color="auto"/>
                                <w:bottom w:val="none" w:sz="0" w:space="0" w:color="auto"/>
                                <w:right w:val="none" w:sz="0" w:space="0" w:color="auto"/>
                              </w:divBdr>
                              <w:divsChild>
                                <w:div w:id="875895201">
                                  <w:marLeft w:val="0"/>
                                  <w:marRight w:val="0"/>
                                  <w:marTop w:val="0"/>
                                  <w:marBottom w:val="0"/>
                                  <w:divBdr>
                                    <w:top w:val="none" w:sz="0" w:space="0" w:color="auto"/>
                                    <w:left w:val="none" w:sz="0" w:space="0" w:color="auto"/>
                                    <w:bottom w:val="none" w:sz="0" w:space="0" w:color="auto"/>
                                    <w:right w:val="none" w:sz="0" w:space="0" w:color="auto"/>
                                  </w:divBdr>
                                  <w:divsChild>
                                    <w:div w:id="176974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6628801">
      <w:bodyDiv w:val="1"/>
      <w:marLeft w:val="0"/>
      <w:marRight w:val="0"/>
      <w:marTop w:val="0"/>
      <w:marBottom w:val="0"/>
      <w:divBdr>
        <w:top w:val="none" w:sz="0" w:space="0" w:color="auto"/>
        <w:left w:val="none" w:sz="0" w:space="0" w:color="auto"/>
        <w:bottom w:val="none" w:sz="0" w:space="0" w:color="auto"/>
        <w:right w:val="none" w:sz="0" w:space="0" w:color="auto"/>
      </w:divBdr>
      <w:divsChild>
        <w:div w:id="316304486">
          <w:marLeft w:val="0"/>
          <w:marRight w:val="0"/>
          <w:marTop w:val="0"/>
          <w:marBottom w:val="0"/>
          <w:divBdr>
            <w:top w:val="none" w:sz="0" w:space="0" w:color="auto"/>
            <w:left w:val="none" w:sz="0" w:space="0" w:color="auto"/>
            <w:bottom w:val="none" w:sz="0" w:space="0" w:color="auto"/>
            <w:right w:val="none" w:sz="0" w:space="0" w:color="auto"/>
          </w:divBdr>
          <w:divsChild>
            <w:div w:id="368846711">
              <w:marLeft w:val="0"/>
              <w:marRight w:val="0"/>
              <w:marTop w:val="0"/>
              <w:marBottom w:val="0"/>
              <w:divBdr>
                <w:top w:val="none" w:sz="0" w:space="0" w:color="auto"/>
                <w:left w:val="none" w:sz="0" w:space="0" w:color="auto"/>
                <w:bottom w:val="none" w:sz="0" w:space="0" w:color="auto"/>
                <w:right w:val="none" w:sz="0" w:space="0" w:color="auto"/>
              </w:divBdr>
              <w:divsChild>
                <w:div w:id="180164894">
                  <w:marLeft w:val="0"/>
                  <w:marRight w:val="0"/>
                  <w:marTop w:val="0"/>
                  <w:marBottom w:val="0"/>
                  <w:divBdr>
                    <w:top w:val="none" w:sz="0" w:space="0" w:color="auto"/>
                    <w:left w:val="none" w:sz="0" w:space="0" w:color="auto"/>
                    <w:bottom w:val="none" w:sz="0" w:space="0" w:color="auto"/>
                    <w:right w:val="none" w:sz="0" w:space="0" w:color="auto"/>
                  </w:divBdr>
                  <w:divsChild>
                    <w:div w:id="1746300145">
                      <w:marLeft w:val="0"/>
                      <w:marRight w:val="0"/>
                      <w:marTop w:val="0"/>
                      <w:marBottom w:val="0"/>
                      <w:divBdr>
                        <w:top w:val="none" w:sz="0" w:space="0" w:color="auto"/>
                        <w:left w:val="none" w:sz="0" w:space="0" w:color="auto"/>
                        <w:bottom w:val="none" w:sz="0" w:space="0" w:color="auto"/>
                        <w:right w:val="none" w:sz="0" w:space="0" w:color="auto"/>
                      </w:divBdr>
                      <w:divsChild>
                        <w:div w:id="594292979">
                          <w:marLeft w:val="0"/>
                          <w:marRight w:val="0"/>
                          <w:marTop w:val="0"/>
                          <w:marBottom w:val="0"/>
                          <w:divBdr>
                            <w:top w:val="none" w:sz="0" w:space="0" w:color="auto"/>
                            <w:left w:val="none" w:sz="0" w:space="0" w:color="auto"/>
                            <w:bottom w:val="none" w:sz="0" w:space="0" w:color="auto"/>
                            <w:right w:val="none" w:sz="0" w:space="0" w:color="auto"/>
                          </w:divBdr>
                          <w:divsChild>
                            <w:div w:id="1746686769">
                              <w:marLeft w:val="0"/>
                              <w:marRight w:val="0"/>
                              <w:marTop w:val="0"/>
                              <w:marBottom w:val="0"/>
                              <w:divBdr>
                                <w:top w:val="none" w:sz="0" w:space="0" w:color="auto"/>
                                <w:left w:val="none" w:sz="0" w:space="0" w:color="auto"/>
                                <w:bottom w:val="none" w:sz="0" w:space="0" w:color="auto"/>
                                <w:right w:val="none" w:sz="0" w:space="0" w:color="auto"/>
                              </w:divBdr>
                              <w:divsChild>
                                <w:div w:id="111942887">
                                  <w:marLeft w:val="0"/>
                                  <w:marRight w:val="0"/>
                                  <w:marTop w:val="0"/>
                                  <w:marBottom w:val="0"/>
                                  <w:divBdr>
                                    <w:top w:val="none" w:sz="0" w:space="0" w:color="auto"/>
                                    <w:left w:val="none" w:sz="0" w:space="0" w:color="auto"/>
                                    <w:bottom w:val="none" w:sz="0" w:space="0" w:color="auto"/>
                                    <w:right w:val="none" w:sz="0" w:space="0" w:color="auto"/>
                                  </w:divBdr>
                                  <w:divsChild>
                                    <w:div w:id="7918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9632863">
      <w:bodyDiv w:val="1"/>
      <w:marLeft w:val="0"/>
      <w:marRight w:val="0"/>
      <w:marTop w:val="0"/>
      <w:marBottom w:val="0"/>
      <w:divBdr>
        <w:top w:val="none" w:sz="0" w:space="0" w:color="auto"/>
        <w:left w:val="none" w:sz="0" w:space="0" w:color="auto"/>
        <w:bottom w:val="none" w:sz="0" w:space="0" w:color="auto"/>
        <w:right w:val="none" w:sz="0" w:space="0" w:color="auto"/>
      </w:divBdr>
      <w:divsChild>
        <w:div w:id="406725905">
          <w:marLeft w:val="0"/>
          <w:marRight w:val="0"/>
          <w:marTop w:val="0"/>
          <w:marBottom w:val="0"/>
          <w:divBdr>
            <w:top w:val="none" w:sz="0" w:space="0" w:color="auto"/>
            <w:left w:val="none" w:sz="0" w:space="0" w:color="auto"/>
            <w:bottom w:val="none" w:sz="0" w:space="0" w:color="auto"/>
            <w:right w:val="none" w:sz="0" w:space="0" w:color="auto"/>
          </w:divBdr>
          <w:divsChild>
            <w:div w:id="818496691">
              <w:marLeft w:val="0"/>
              <w:marRight w:val="0"/>
              <w:marTop w:val="0"/>
              <w:marBottom w:val="0"/>
              <w:divBdr>
                <w:top w:val="none" w:sz="0" w:space="0" w:color="auto"/>
                <w:left w:val="none" w:sz="0" w:space="0" w:color="auto"/>
                <w:bottom w:val="none" w:sz="0" w:space="0" w:color="auto"/>
                <w:right w:val="none" w:sz="0" w:space="0" w:color="auto"/>
              </w:divBdr>
              <w:divsChild>
                <w:div w:id="1572882742">
                  <w:marLeft w:val="0"/>
                  <w:marRight w:val="0"/>
                  <w:marTop w:val="0"/>
                  <w:marBottom w:val="0"/>
                  <w:divBdr>
                    <w:top w:val="none" w:sz="0" w:space="0" w:color="auto"/>
                    <w:left w:val="none" w:sz="0" w:space="0" w:color="auto"/>
                    <w:bottom w:val="none" w:sz="0" w:space="0" w:color="auto"/>
                    <w:right w:val="none" w:sz="0" w:space="0" w:color="auto"/>
                  </w:divBdr>
                  <w:divsChild>
                    <w:div w:id="1411543546">
                      <w:marLeft w:val="0"/>
                      <w:marRight w:val="0"/>
                      <w:marTop w:val="0"/>
                      <w:marBottom w:val="0"/>
                      <w:divBdr>
                        <w:top w:val="none" w:sz="0" w:space="0" w:color="auto"/>
                        <w:left w:val="none" w:sz="0" w:space="0" w:color="auto"/>
                        <w:bottom w:val="none" w:sz="0" w:space="0" w:color="auto"/>
                        <w:right w:val="none" w:sz="0" w:space="0" w:color="auto"/>
                      </w:divBdr>
                    </w:div>
                    <w:div w:id="62596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288560">
      <w:bodyDiv w:val="1"/>
      <w:marLeft w:val="0"/>
      <w:marRight w:val="0"/>
      <w:marTop w:val="0"/>
      <w:marBottom w:val="0"/>
      <w:divBdr>
        <w:top w:val="none" w:sz="0" w:space="0" w:color="auto"/>
        <w:left w:val="none" w:sz="0" w:space="0" w:color="auto"/>
        <w:bottom w:val="none" w:sz="0" w:space="0" w:color="auto"/>
        <w:right w:val="none" w:sz="0" w:space="0" w:color="auto"/>
      </w:divBdr>
    </w:div>
    <w:div w:id="611471461">
      <w:bodyDiv w:val="1"/>
      <w:marLeft w:val="0"/>
      <w:marRight w:val="0"/>
      <w:marTop w:val="0"/>
      <w:marBottom w:val="0"/>
      <w:divBdr>
        <w:top w:val="none" w:sz="0" w:space="0" w:color="auto"/>
        <w:left w:val="none" w:sz="0" w:space="0" w:color="auto"/>
        <w:bottom w:val="none" w:sz="0" w:space="0" w:color="auto"/>
        <w:right w:val="none" w:sz="0" w:space="0" w:color="auto"/>
      </w:divBdr>
    </w:div>
    <w:div w:id="630137336">
      <w:bodyDiv w:val="1"/>
      <w:marLeft w:val="0"/>
      <w:marRight w:val="0"/>
      <w:marTop w:val="0"/>
      <w:marBottom w:val="0"/>
      <w:divBdr>
        <w:top w:val="none" w:sz="0" w:space="0" w:color="auto"/>
        <w:left w:val="none" w:sz="0" w:space="0" w:color="auto"/>
        <w:bottom w:val="none" w:sz="0" w:space="0" w:color="auto"/>
        <w:right w:val="none" w:sz="0" w:space="0" w:color="auto"/>
      </w:divBdr>
    </w:div>
    <w:div w:id="633024151">
      <w:bodyDiv w:val="1"/>
      <w:marLeft w:val="0"/>
      <w:marRight w:val="0"/>
      <w:marTop w:val="0"/>
      <w:marBottom w:val="0"/>
      <w:divBdr>
        <w:top w:val="none" w:sz="0" w:space="0" w:color="auto"/>
        <w:left w:val="none" w:sz="0" w:space="0" w:color="auto"/>
        <w:bottom w:val="none" w:sz="0" w:space="0" w:color="auto"/>
        <w:right w:val="none" w:sz="0" w:space="0" w:color="auto"/>
      </w:divBdr>
    </w:div>
    <w:div w:id="645354295">
      <w:bodyDiv w:val="1"/>
      <w:marLeft w:val="0"/>
      <w:marRight w:val="0"/>
      <w:marTop w:val="0"/>
      <w:marBottom w:val="0"/>
      <w:divBdr>
        <w:top w:val="none" w:sz="0" w:space="0" w:color="auto"/>
        <w:left w:val="none" w:sz="0" w:space="0" w:color="auto"/>
        <w:bottom w:val="none" w:sz="0" w:space="0" w:color="auto"/>
        <w:right w:val="none" w:sz="0" w:space="0" w:color="auto"/>
      </w:divBdr>
      <w:divsChild>
        <w:div w:id="1015621365">
          <w:marLeft w:val="0"/>
          <w:marRight w:val="0"/>
          <w:marTop w:val="0"/>
          <w:marBottom w:val="0"/>
          <w:divBdr>
            <w:top w:val="none" w:sz="0" w:space="0" w:color="auto"/>
            <w:left w:val="none" w:sz="0" w:space="0" w:color="auto"/>
            <w:bottom w:val="none" w:sz="0" w:space="0" w:color="auto"/>
            <w:right w:val="none" w:sz="0" w:space="0" w:color="auto"/>
          </w:divBdr>
          <w:divsChild>
            <w:div w:id="599073416">
              <w:marLeft w:val="0"/>
              <w:marRight w:val="0"/>
              <w:marTop w:val="0"/>
              <w:marBottom w:val="0"/>
              <w:divBdr>
                <w:top w:val="none" w:sz="0" w:space="0" w:color="auto"/>
                <w:left w:val="none" w:sz="0" w:space="0" w:color="auto"/>
                <w:bottom w:val="none" w:sz="0" w:space="0" w:color="auto"/>
                <w:right w:val="none" w:sz="0" w:space="0" w:color="auto"/>
              </w:divBdr>
              <w:divsChild>
                <w:div w:id="1024593712">
                  <w:marLeft w:val="0"/>
                  <w:marRight w:val="0"/>
                  <w:marTop w:val="0"/>
                  <w:marBottom w:val="0"/>
                  <w:divBdr>
                    <w:top w:val="none" w:sz="0" w:space="0" w:color="auto"/>
                    <w:left w:val="none" w:sz="0" w:space="0" w:color="auto"/>
                    <w:bottom w:val="none" w:sz="0" w:space="0" w:color="auto"/>
                    <w:right w:val="none" w:sz="0" w:space="0" w:color="auto"/>
                  </w:divBdr>
                  <w:divsChild>
                    <w:div w:id="788474374">
                      <w:marLeft w:val="0"/>
                      <w:marRight w:val="0"/>
                      <w:marTop w:val="0"/>
                      <w:marBottom w:val="0"/>
                      <w:divBdr>
                        <w:top w:val="none" w:sz="0" w:space="0" w:color="auto"/>
                        <w:left w:val="none" w:sz="0" w:space="0" w:color="auto"/>
                        <w:bottom w:val="none" w:sz="0" w:space="0" w:color="auto"/>
                        <w:right w:val="none" w:sz="0" w:space="0" w:color="auto"/>
                      </w:divBdr>
                      <w:divsChild>
                        <w:div w:id="670255704">
                          <w:marLeft w:val="0"/>
                          <w:marRight w:val="0"/>
                          <w:marTop w:val="0"/>
                          <w:marBottom w:val="0"/>
                          <w:divBdr>
                            <w:top w:val="none" w:sz="0" w:space="0" w:color="auto"/>
                            <w:left w:val="none" w:sz="0" w:space="0" w:color="auto"/>
                            <w:bottom w:val="none" w:sz="0" w:space="0" w:color="auto"/>
                            <w:right w:val="none" w:sz="0" w:space="0" w:color="auto"/>
                          </w:divBdr>
                          <w:divsChild>
                            <w:div w:id="1033309176">
                              <w:marLeft w:val="0"/>
                              <w:marRight w:val="0"/>
                              <w:marTop w:val="0"/>
                              <w:marBottom w:val="0"/>
                              <w:divBdr>
                                <w:top w:val="none" w:sz="0" w:space="0" w:color="auto"/>
                                <w:left w:val="none" w:sz="0" w:space="0" w:color="auto"/>
                                <w:bottom w:val="none" w:sz="0" w:space="0" w:color="auto"/>
                                <w:right w:val="none" w:sz="0" w:space="0" w:color="auto"/>
                              </w:divBdr>
                              <w:divsChild>
                                <w:div w:id="922107506">
                                  <w:marLeft w:val="0"/>
                                  <w:marRight w:val="0"/>
                                  <w:marTop w:val="0"/>
                                  <w:marBottom w:val="0"/>
                                  <w:divBdr>
                                    <w:top w:val="none" w:sz="0" w:space="0" w:color="auto"/>
                                    <w:left w:val="none" w:sz="0" w:space="0" w:color="auto"/>
                                    <w:bottom w:val="none" w:sz="0" w:space="0" w:color="auto"/>
                                    <w:right w:val="none" w:sz="0" w:space="0" w:color="auto"/>
                                  </w:divBdr>
                                  <w:divsChild>
                                    <w:div w:id="143323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6667275">
      <w:bodyDiv w:val="1"/>
      <w:marLeft w:val="0"/>
      <w:marRight w:val="0"/>
      <w:marTop w:val="0"/>
      <w:marBottom w:val="0"/>
      <w:divBdr>
        <w:top w:val="none" w:sz="0" w:space="0" w:color="auto"/>
        <w:left w:val="none" w:sz="0" w:space="0" w:color="auto"/>
        <w:bottom w:val="none" w:sz="0" w:space="0" w:color="auto"/>
        <w:right w:val="none" w:sz="0" w:space="0" w:color="auto"/>
      </w:divBdr>
      <w:divsChild>
        <w:div w:id="1689258910">
          <w:marLeft w:val="0"/>
          <w:marRight w:val="0"/>
          <w:marTop w:val="0"/>
          <w:marBottom w:val="0"/>
          <w:divBdr>
            <w:top w:val="none" w:sz="0" w:space="0" w:color="auto"/>
            <w:left w:val="none" w:sz="0" w:space="0" w:color="auto"/>
            <w:bottom w:val="none" w:sz="0" w:space="0" w:color="auto"/>
            <w:right w:val="none" w:sz="0" w:space="0" w:color="auto"/>
          </w:divBdr>
          <w:divsChild>
            <w:div w:id="915021138">
              <w:marLeft w:val="0"/>
              <w:marRight w:val="0"/>
              <w:marTop w:val="0"/>
              <w:marBottom w:val="0"/>
              <w:divBdr>
                <w:top w:val="none" w:sz="0" w:space="0" w:color="auto"/>
                <w:left w:val="none" w:sz="0" w:space="0" w:color="auto"/>
                <w:bottom w:val="none" w:sz="0" w:space="0" w:color="auto"/>
                <w:right w:val="none" w:sz="0" w:space="0" w:color="auto"/>
              </w:divBdr>
              <w:divsChild>
                <w:div w:id="2103601204">
                  <w:marLeft w:val="0"/>
                  <w:marRight w:val="0"/>
                  <w:marTop w:val="0"/>
                  <w:marBottom w:val="0"/>
                  <w:divBdr>
                    <w:top w:val="none" w:sz="0" w:space="0" w:color="auto"/>
                    <w:left w:val="none" w:sz="0" w:space="0" w:color="auto"/>
                    <w:bottom w:val="none" w:sz="0" w:space="0" w:color="auto"/>
                    <w:right w:val="none" w:sz="0" w:space="0" w:color="auto"/>
                  </w:divBdr>
                  <w:divsChild>
                    <w:div w:id="2038459653">
                      <w:marLeft w:val="0"/>
                      <w:marRight w:val="0"/>
                      <w:marTop w:val="0"/>
                      <w:marBottom w:val="0"/>
                      <w:divBdr>
                        <w:top w:val="none" w:sz="0" w:space="0" w:color="auto"/>
                        <w:left w:val="none" w:sz="0" w:space="0" w:color="auto"/>
                        <w:bottom w:val="none" w:sz="0" w:space="0" w:color="auto"/>
                        <w:right w:val="none" w:sz="0" w:space="0" w:color="auto"/>
                      </w:divBdr>
                      <w:divsChild>
                        <w:div w:id="2047875510">
                          <w:marLeft w:val="0"/>
                          <w:marRight w:val="0"/>
                          <w:marTop w:val="0"/>
                          <w:marBottom w:val="0"/>
                          <w:divBdr>
                            <w:top w:val="none" w:sz="0" w:space="0" w:color="auto"/>
                            <w:left w:val="none" w:sz="0" w:space="0" w:color="auto"/>
                            <w:bottom w:val="none" w:sz="0" w:space="0" w:color="auto"/>
                            <w:right w:val="none" w:sz="0" w:space="0" w:color="auto"/>
                          </w:divBdr>
                          <w:divsChild>
                            <w:div w:id="230502490">
                              <w:marLeft w:val="0"/>
                              <w:marRight w:val="0"/>
                              <w:marTop w:val="0"/>
                              <w:marBottom w:val="0"/>
                              <w:divBdr>
                                <w:top w:val="none" w:sz="0" w:space="0" w:color="auto"/>
                                <w:left w:val="none" w:sz="0" w:space="0" w:color="auto"/>
                                <w:bottom w:val="none" w:sz="0" w:space="0" w:color="auto"/>
                                <w:right w:val="none" w:sz="0" w:space="0" w:color="auto"/>
                              </w:divBdr>
                              <w:divsChild>
                                <w:div w:id="1479759008">
                                  <w:marLeft w:val="0"/>
                                  <w:marRight w:val="0"/>
                                  <w:marTop w:val="0"/>
                                  <w:marBottom w:val="0"/>
                                  <w:divBdr>
                                    <w:top w:val="none" w:sz="0" w:space="0" w:color="auto"/>
                                    <w:left w:val="none" w:sz="0" w:space="0" w:color="auto"/>
                                    <w:bottom w:val="none" w:sz="0" w:space="0" w:color="auto"/>
                                    <w:right w:val="none" w:sz="0" w:space="0" w:color="auto"/>
                                  </w:divBdr>
                                  <w:divsChild>
                                    <w:div w:id="138379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013267">
      <w:bodyDiv w:val="1"/>
      <w:marLeft w:val="0"/>
      <w:marRight w:val="0"/>
      <w:marTop w:val="0"/>
      <w:marBottom w:val="0"/>
      <w:divBdr>
        <w:top w:val="none" w:sz="0" w:space="0" w:color="auto"/>
        <w:left w:val="none" w:sz="0" w:space="0" w:color="auto"/>
        <w:bottom w:val="none" w:sz="0" w:space="0" w:color="auto"/>
        <w:right w:val="none" w:sz="0" w:space="0" w:color="auto"/>
      </w:divBdr>
      <w:divsChild>
        <w:div w:id="2082437847">
          <w:marLeft w:val="0"/>
          <w:marRight w:val="0"/>
          <w:marTop w:val="0"/>
          <w:marBottom w:val="0"/>
          <w:divBdr>
            <w:top w:val="none" w:sz="0" w:space="0" w:color="auto"/>
            <w:left w:val="none" w:sz="0" w:space="0" w:color="auto"/>
            <w:bottom w:val="none" w:sz="0" w:space="0" w:color="auto"/>
            <w:right w:val="none" w:sz="0" w:space="0" w:color="auto"/>
          </w:divBdr>
        </w:div>
      </w:divsChild>
    </w:div>
    <w:div w:id="723794936">
      <w:bodyDiv w:val="1"/>
      <w:marLeft w:val="0"/>
      <w:marRight w:val="0"/>
      <w:marTop w:val="0"/>
      <w:marBottom w:val="0"/>
      <w:divBdr>
        <w:top w:val="none" w:sz="0" w:space="0" w:color="auto"/>
        <w:left w:val="none" w:sz="0" w:space="0" w:color="auto"/>
        <w:bottom w:val="none" w:sz="0" w:space="0" w:color="auto"/>
        <w:right w:val="none" w:sz="0" w:space="0" w:color="auto"/>
      </w:divBdr>
      <w:divsChild>
        <w:div w:id="940181156">
          <w:marLeft w:val="0"/>
          <w:marRight w:val="0"/>
          <w:marTop w:val="0"/>
          <w:marBottom w:val="0"/>
          <w:divBdr>
            <w:top w:val="none" w:sz="0" w:space="0" w:color="auto"/>
            <w:left w:val="none" w:sz="0" w:space="0" w:color="auto"/>
            <w:bottom w:val="none" w:sz="0" w:space="0" w:color="auto"/>
            <w:right w:val="none" w:sz="0" w:space="0" w:color="auto"/>
          </w:divBdr>
          <w:divsChild>
            <w:div w:id="1332558980">
              <w:marLeft w:val="0"/>
              <w:marRight w:val="0"/>
              <w:marTop w:val="0"/>
              <w:marBottom w:val="0"/>
              <w:divBdr>
                <w:top w:val="none" w:sz="0" w:space="0" w:color="auto"/>
                <w:left w:val="none" w:sz="0" w:space="0" w:color="auto"/>
                <w:bottom w:val="none" w:sz="0" w:space="0" w:color="auto"/>
                <w:right w:val="none" w:sz="0" w:space="0" w:color="auto"/>
              </w:divBdr>
            </w:div>
          </w:divsChild>
        </w:div>
        <w:div w:id="859009250">
          <w:marLeft w:val="0"/>
          <w:marRight w:val="0"/>
          <w:marTop w:val="0"/>
          <w:marBottom w:val="0"/>
          <w:divBdr>
            <w:top w:val="none" w:sz="0" w:space="0" w:color="auto"/>
            <w:left w:val="none" w:sz="0" w:space="0" w:color="auto"/>
            <w:bottom w:val="none" w:sz="0" w:space="0" w:color="auto"/>
            <w:right w:val="none" w:sz="0" w:space="0" w:color="auto"/>
          </w:divBdr>
          <w:divsChild>
            <w:div w:id="1939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1316606">
      <w:bodyDiv w:val="1"/>
      <w:marLeft w:val="0"/>
      <w:marRight w:val="0"/>
      <w:marTop w:val="0"/>
      <w:marBottom w:val="0"/>
      <w:divBdr>
        <w:top w:val="none" w:sz="0" w:space="0" w:color="auto"/>
        <w:left w:val="none" w:sz="0" w:space="0" w:color="auto"/>
        <w:bottom w:val="none" w:sz="0" w:space="0" w:color="auto"/>
        <w:right w:val="none" w:sz="0" w:space="0" w:color="auto"/>
      </w:divBdr>
    </w:div>
    <w:div w:id="743795235">
      <w:bodyDiv w:val="1"/>
      <w:marLeft w:val="0"/>
      <w:marRight w:val="0"/>
      <w:marTop w:val="0"/>
      <w:marBottom w:val="0"/>
      <w:divBdr>
        <w:top w:val="none" w:sz="0" w:space="0" w:color="auto"/>
        <w:left w:val="none" w:sz="0" w:space="0" w:color="auto"/>
        <w:bottom w:val="none" w:sz="0" w:space="0" w:color="auto"/>
        <w:right w:val="none" w:sz="0" w:space="0" w:color="auto"/>
      </w:divBdr>
    </w:div>
    <w:div w:id="775364882">
      <w:bodyDiv w:val="1"/>
      <w:marLeft w:val="0"/>
      <w:marRight w:val="0"/>
      <w:marTop w:val="0"/>
      <w:marBottom w:val="0"/>
      <w:divBdr>
        <w:top w:val="none" w:sz="0" w:space="0" w:color="auto"/>
        <w:left w:val="none" w:sz="0" w:space="0" w:color="auto"/>
        <w:bottom w:val="none" w:sz="0" w:space="0" w:color="auto"/>
        <w:right w:val="none" w:sz="0" w:space="0" w:color="auto"/>
      </w:divBdr>
    </w:div>
    <w:div w:id="777674388">
      <w:bodyDiv w:val="1"/>
      <w:marLeft w:val="0"/>
      <w:marRight w:val="0"/>
      <w:marTop w:val="0"/>
      <w:marBottom w:val="0"/>
      <w:divBdr>
        <w:top w:val="none" w:sz="0" w:space="0" w:color="auto"/>
        <w:left w:val="none" w:sz="0" w:space="0" w:color="auto"/>
        <w:bottom w:val="none" w:sz="0" w:space="0" w:color="auto"/>
        <w:right w:val="none" w:sz="0" w:space="0" w:color="auto"/>
      </w:divBdr>
      <w:divsChild>
        <w:div w:id="510805452">
          <w:marLeft w:val="0"/>
          <w:marRight w:val="0"/>
          <w:marTop w:val="0"/>
          <w:marBottom w:val="0"/>
          <w:divBdr>
            <w:top w:val="none" w:sz="0" w:space="0" w:color="auto"/>
            <w:left w:val="none" w:sz="0" w:space="0" w:color="auto"/>
            <w:bottom w:val="none" w:sz="0" w:space="0" w:color="auto"/>
            <w:right w:val="none" w:sz="0" w:space="0" w:color="auto"/>
          </w:divBdr>
        </w:div>
      </w:divsChild>
    </w:div>
    <w:div w:id="790705301">
      <w:bodyDiv w:val="1"/>
      <w:marLeft w:val="0"/>
      <w:marRight w:val="0"/>
      <w:marTop w:val="0"/>
      <w:marBottom w:val="0"/>
      <w:divBdr>
        <w:top w:val="none" w:sz="0" w:space="0" w:color="auto"/>
        <w:left w:val="none" w:sz="0" w:space="0" w:color="auto"/>
        <w:bottom w:val="none" w:sz="0" w:space="0" w:color="auto"/>
        <w:right w:val="none" w:sz="0" w:space="0" w:color="auto"/>
      </w:divBdr>
      <w:divsChild>
        <w:div w:id="729424082">
          <w:marLeft w:val="0"/>
          <w:marRight w:val="0"/>
          <w:marTop w:val="0"/>
          <w:marBottom w:val="0"/>
          <w:divBdr>
            <w:top w:val="none" w:sz="0" w:space="0" w:color="auto"/>
            <w:left w:val="none" w:sz="0" w:space="0" w:color="auto"/>
            <w:bottom w:val="none" w:sz="0" w:space="0" w:color="auto"/>
            <w:right w:val="none" w:sz="0" w:space="0" w:color="auto"/>
          </w:divBdr>
          <w:divsChild>
            <w:div w:id="872963136">
              <w:marLeft w:val="0"/>
              <w:marRight w:val="0"/>
              <w:marTop w:val="0"/>
              <w:marBottom w:val="0"/>
              <w:divBdr>
                <w:top w:val="none" w:sz="0" w:space="0" w:color="auto"/>
                <w:left w:val="none" w:sz="0" w:space="0" w:color="auto"/>
                <w:bottom w:val="none" w:sz="0" w:space="0" w:color="auto"/>
                <w:right w:val="none" w:sz="0" w:space="0" w:color="auto"/>
              </w:divBdr>
              <w:divsChild>
                <w:div w:id="1326201324">
                  <w:marLeft w:val="0"/>
                  <w:marRight w:val="0"/>
                  <w:marTop w:val="0"/>
                  <w:marBottom w:val="0"/>
                  <w:divBdr>
                    <w:top w:val="none" w:sz="0" w:space="0" w:color="auto"/>
                    <w:left w:val="none" w:sz="0" w:space="0" w:color="auto"/>
                    <w:bottom w:val="none" w:sz="0" w:space="0" w:color="auto"/>
                    <w:right w:val="none" w:sz="0" w:space="0" w:color="auto"/>
                  </w:divBdr>
                  <w:divsChild>
                    <w:div w:id="1113206322">
                      <w:marLeft w:val="0"/>
                      <w:marRight w:val="0"/>
                      <w:marTop w:val="0"/>
                      <w:marBottom w:val="0"/>
                      <w:divBdr>
                        <w:top w:val="none" w:sz="0" w:space="0" w:color="auto"/>
                        <w:left w:val="none" w:sz="0" w:space="0" w:color="auto"/>
                        <w:bottom w:val="none" w:sz="0" w:space="0" w:color="auto"/>
                        <w:right w:val="none" w:sz="0" w:space="0" w:color="auto"/>
                      </w:divBdr>
                      <w:divsChild>
                        <w:div w:id="665013715">
                          <w:marLeft w:val="0"/>
                          <w:marRight w:val="0"/>
                          <w:marTop w:val="0"/>
                          <w:marBottom w:val="0"/>
                          <w:divBdr>
                            <w:top w:val="none" w:sz="0" w:space="0" w:color="auto"/>
                            <w:left w:val="none" w:sz="0" w:space="0" w:color="auto"/>
                            <w:bottom w:val="none" w:sz="0" w:space="0" w:color="auto"/>
                            <w:right w:val="none" w:sz="0" w:space="0" w:color="auto"/>
                          </w:divBdr>
                          <w:divsChild>
                            <w:div w:id="1375345460">
                              <w:marLeft w:val="0"/>
                              <w:marRight w:val="0"/>
                              <w:marTop w:val="0"/>
                              <w:marBottom w:val="0"/>
                              <w:divBdr>
                                <w:top w:val="none" w:sz="0" w:space="0" w:color="auto"/>
                                <w:left w:val="none" w:sz="0" w:space="0" w:color="auto"/>
                                <w:bottom w:val="none" w:sz="0" w:space="0" w:color="auto"/>
                                <w:right w:val="none" w:sz="0" w:space="0" w:color="auto"/>
                              </w:divBdr>
                              <w:divsChild>
                                <w:div w:id="807480769">
                                  <w:marLeft w:val="0"/>
                                  <w:marRight w:val="0"/>
                                  <w:marTop w:val="0"/>
                                  <w:marBottom w:val="0"/>
                                  <w:divBdr>
                                    <w:top w:val="none" w:sz="0" w:space="0" w:color="auto"/>
                                    <w:left w:val="none" w:sz="0" w:space="0" w:color="auto"/>
                                    <w:bottom w:val="none" w:sz="0" w:space="0" w:color="auto"/>
                                    <w:right w:val="none" w:sz="0" w:space="0" w:color="auto"/>
                                  </w:divBdr>
                                  <w:divsChild>
                                    <w:div w:id="1391802653">
                                      <w:marLeft w:val="0"/>
                                      <w:marRight w:val="0"/>
                                      <w:marTop w:val="0"/>
                                      <w:marBottom w:val="0"/>
                                      <w:divBdr>
                                        <w:top w:val="none" w:sz="0" w:space="0" w:color="auto"/>
                                        <w:left w:val="none" w:sz="0" w:space="0" w:color="auto"/>
                                        <w:bottom w:val="none" w:sz="0" w:space="0" w:color="auto"/>
                                        <w:right w:val="none" w:sz="0" w:space="0" w:color="auto"/>
                                      </w:divBdr>
                                    </w:div>
                                    <w:div w:id="94793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5155538">
          <w:marLeft w:val="0"/>
          <w:marRight w:val="0"/>
          <w:marTop w:val="0"/>
          <w:marBottom w:val="0"/>
          <w:divBdr>
            <w:top w:val="none" w:sz="0" w:space="0" w:color="auto"/>
            <w:left w:val="none" w:sz="0" w:space="0" w:color="auto"/>
            <w:bottom w:val="none" w:sz="0" w:space="0" w:color="auto"/>
            <w:right w:val="none" w:sz="0" w:space="0" w:color="auto"/>
          </w:divBdr>
        </w:div>
        <w:div w:id="1862820889">
          <w:marLeft w:val="0"/>
          <w:marRight w:val="0"/>
          <w:marTop w:val="0"/>
          <w:marBottom w:val="0"/>
          <w:divBdr>
            <w:top w:val="none" w:sz="0" w:space="0" w:color="auto"/>
            <w:left w:val="none" w:sz="0" w:space="0" w:color="auto"/>
            <w:bottom w:val="none" w:sz="0" w:space="0" w:color="auto"/>
            <w:right w:val="none" w:sz="0" w:space="0" w:color="auto"/>
          </w:divBdr>
        </w:div>
      </w:divsChild>
    </w:div>
    <w:div w:id="804471478">
      <w:bodyDiv w:val="1"/>
      <w:marLeft w:val="0"/>
      <w:marRight w:val="0"/>
      <w:marTop w:val="0"/>
      <w:marBottom w:val="0"/>
      <w:divBdr>
        <w:top w:val="none" w:sz="0" w:space="0" w:color="auto"/>
        <w:left w:val="none" w:sz="0" w:space="0" w:color="auto"/>
        <w:bottom w:val="none" w:sz="0" w:space="0" w:color="auto"/>
        <w:right w:val="none" w:sz="0" w:space="0" w:color="auto"/>
      </w:divBdr>
      <w:divsChild>
        <w:div w:id="26221662">
          <w:marLeft w:val="0"/>
          <w:marRight w:val="0"/>
          <w:marTop w:val="0"/>
          <w:marBottom w:val="0"/>
          <w:divBdr>
            <w:top w:val="none" w:sz="0" w:space="0" w:color="auto"/>
            <w:left w:val="none" w:sz="0" w:space="0" w:color="auto"/>
            <w:bottom w:val="none" w:sz="0" w:space="0" w:color="auto"/>
            <w:right w:val="none" w:sz="0" w:space="0" w:color="auto"/>
          </w:divBdr>
          <w:divsChild>
            <w:div w:id="783964717">
              <w:marLeft w:val="0"/>
              <w:marRight w:val="0"/>
              <w:marTop w:val="0"/>
              <w:marBottom w:val="0"/>
              <w:divBdr>
                <w:top w:val="none" w:sz="0" w:space="0" w:color="auto"/>
                <w:left w:val="none" w:sz="0" w:space="0" w:color="auto"/>
                <w:bottom w:val="none" w:sz="0" w:space="0" w:color="auto"/>
                <w:right w:val="none" w:sz="0" w:space="0" w:color="auto"/>
              </w:divBdr>
              <w:divsChild>
                <w:div w:id="2026863482">
                  <w:marLeft w:val="0"/>
                  <w:marRight w:val="0"/>
                  <w:marTop w:val="0"/>
                  <w:marBottom w:val="0"/>
                  <w:divBdr>
                    <w:top w:val="none" w:sz="0" w:space="0" w:color="auto"/>
                    <w:left w:val="none" w:sz="0" w:space="0" w:color="auto"/>
                    <w:bottom w:val="none" w:sz="0" w:space="0" w:color="auto"/>
                    <w:right w:val="none" w:sz="0" w:space="0" w:color="auto"/>
                  </w:divBdr>
                  <w:divsChild>
                    <w:div w:id="1291060354">
                      <w:marLeft w:val="0"/>
                      <w:marRight w:val="0"/>
                      <w:marTop w:val="0"/>
                      <w:marBottom w:val="0"/>
                      <w:divBdr>
                        <w:top w:val="none" w:sz="0" w:space="0" w:color="auto"/>
                        <w:left w:val="none" w:sz="0" w:space="0" w:color="auto"/>
                        <w:bottom w:val="none" w:sz="0" w:space="0" w:color="auto"/>
                        <w:right w:val="none" w:sz="0" w:space="0" w:color="auto"/>
                      </w:divBdr>
                      <w:divsChild>
                        <w:div w:id="68772793">
                          <w:marLeft w:val="0"/>
                          <w:marRight w:val="0"/>
                          <w:marTop w:val="0"/>
                          <w:marBottom w:val="0"/>
                          <w:divBdr>
                            <w:top w:val="none" w:sz="0" w:space="0" w:color="auto"/>
                            <w:left w:val="none" w:sz="0" w:space="0" w:color="auto"/>
                            <w:bottom w:val="none" w:sz="0" w:space="0" w:color="auto"/>
                            <w:right w:val="none" w:sz="0" w:space="0" w:color="auto"/>
                          </w:divBdr>
                          <w:divsChild>
                            <w:div w:id="784229867">
                              <w:marLeft w:val="0"/>
                              <w:marRight w:val="0"/>
                              <w:marTop w:val="0"/>
                              <w:marBottom w:val="0"/>
                              <w:divBdr>
                                <w:top w:val="none" w:sz="0" w:space="0" w:color="auto"/>
                                <w:left w:val="none" w:sz="0" w:space="0" w:color="auto"/>
                                <w:bottom w:val="none" w:sz="0" w:space="0" w:color="auto"/>
                                <w:right w:val="none" w:sz="0" w:space="0" w:color="auto"/>
                              </w:divBdr>
                              <w:divsChild>
                                <w:div w:id="1294479998">
                                  <w:marLeft w:val="0"/>
                                  <w:marRight w:val="0"/>
                                  <w:marTop w:val="0"/>
                                  <w:marBottom w:val="0"/>
                                  <w:divBdr>
                                    <w:top w:val="none" w:sz="0" w:space="0" w:color="auto"/>
                                    <w:left w:val="none" w:sz="0" w:space="0" w:color="auto"/>
                                    <w:bottom w:val="none" w:sz="0" w:space="0" w:color="auto"/>
                                    <w:right w:val="none" w:sz="0" w:space="0" w:color="auto"/>
                                  </w:divBdr>
                                  <w:divsChild>
                                    <w:div w:id="202231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1204463">
          <w:marLeft w:val="0"/>
          <w:marRight w:val="0"/>
          <w:marTop w:val="0"/>
          <w:marBottom w:val="0"/>
          <w:divBdr>
            <w:top w:val="none" w:sz="0" w:space="0" w:color="auto"/>
            <w:left w:val="none" w:sz="0" w:space="0" w:color="auto"/>
            <w:bottom w:val="none" w:sz="0" w:space="0" w:color="auto"/>
            <w:right w:val="none" w:sz="0" w:space="0" w:color="auto"/>
          </w:divBdr>
        </w:div>
        <w:div w:id="674069817">
          <w:marLeft w:val="0"/>
          <w:marRight w:val="0"/>
          <w:marTop w:val="0"/>
          <w:marBottom w:val="0"/>
          <w:divBdr>
            <w:top w:val="none" w:sz="0" w:space="0" w:color="auto"/>
            <w:left w:val="none" w:sz="0" w:space="0" w:color="auto"/>
            <w:bottom w:val="none" w:sz="0" w:space="0" w:color="auto"/>
            <w:right w:val="none" w:sz="0" w:space="0" w:color="auto"/>
          </w:divBdr>
        </w:div>
      </w:divsChild>
    </w:div>
    <w:div w:id="822506827">
      <w:bodyDiv w:val="1"/>
      <w:marLeft w:val="0"/>
      <w:marRight w:val="0"/>
      <w:marTop w:val="0"/>
      <w:marBottom w:val="0"/>
      <w:divBdr>
        <w:top w:val="none" w:sz="0" w:space="0" w:color="auto"/>
        <w:left w:val="none" w:sz="0" w:space="0" w:color="auto"/>
        <w:bottom w:val="none" w:sz="0" w:space="0" w:color="auto"/>
        <w:right w:val="none" w:sz="0" w:space="0" w:color="auto"/>
      </w:divBdr>
    </w:div>
    <w:div w:id="833372685">
      <w:bodyDiv w:val="1"/>
      <w:marLeft w:val="0"/>
      <w:marRight w:val="0"/>
      <w:marTop w:val="0"/>
      <w:marBottom w:val="0"/>
      <w:divBdr>
        <w:top w:val="none" w:sz="0" w:space="0" w:color="auto"/>
        <w:left w:val="none" w:sz="0" w:space="0" w:color="auto"/>
        <w:bottom w:val="none" w:sz="0" w:space="0" w:color="auto"/>
        <w:right w:val="none" w:sz="0" w:space="0" w:color="auto"/>
      </w:divBdr>
    </w:div>
    <w:div w:id="863443943">
      <w:bodyDiv w:val="1"/>
      <w:marLeft w:val="0"/>
      <w:marRight w:val="0"/>
      <w:marTop w:val="0"/>
      <w:marBottom w:val="0"/>
      <w:divBdr>
        <w:top w:val="none" w:sz="0" w:space="0" w:color="auto"/>
        <w:left w:val="none" w:sz="0" w:space="0" w:color="auto"/>
        <w:bottom w:val="none" w:sz="0" w:space="0" w:color="auto"/>
        <w:right w:val="none" w:sz="0" w:space="0" w:color="auto"/>
      </w:divBdr>
      <w:divsChild>
        <w:div w:id="469517194">
          <w:marLeft w:val="0"/>
          <w:marRight w:val="0"/>
          <w:marTop w:val="0"/>
          <w:marBottom w:val="0"/>
          <w:divBdr>
            <w:top w:val="none" w:sz="0" w:space="0" w:color="auto"/>
            <w:left w:val="none" w:sz="0" w:space="0" w:color="auto"/>
            <w:bottom w:val="none" w:sz="0" w:space="0" w:color="auto"/>
            <w:right w:val="none" w:sz="0" w:space="0" w:color="auto"/>
          </w:divBdr>
          <w:divsChild>
            <w:div w:id="1950895941">
              <w:marLeft w:val="0"/>
              <w:marRight w:val="0"/>
              <w:marTop w:val="0"/>
              <w:marBottom w:val="0"/>
              <w:divBdr>
                <w:top w:val="none" w:sz="0" w:space="0" w:color="auto"/>
                <w:left w:val="none" w:sz="0" w:space="0" w:color="auto"/>
                <w:bottom w:val="none" w:sz="0" w:space="0" w:color="auto"/>
                <w:right w:val="none" w:sz="0" w:space="0" w:color="auto"/>
              </w:divBdr>
              <w:divsChild>
                <w:div w:id="962228442">
                  <w:marLeft w:val="0"/>
                  <w:marRight w:val="0"/>
                  <w:marTop w:val="0"/>
                  <w:marBottom w:val="0"/>
                  <w:divBdr>
                    <w:top w:val="none" w:sz="0" w:space="0" w:color="auto"/>
                    <w:left w:val="none" w:sz="0" w:space="0" w:color="auto"/>
                    <w:bottom w:val="none" w:sz="0" w:space="0" w:color="auto"/>
                    <w:right w:val="none" w:sz="0" w:space="0" w:color="auto"/>
                  </w:divBdr>
                  <w:divsChild>
                    <w:div w:id="40710650">
                      <w:marLeft w:val="0"/>
                      <w:marRight w:val="0"/>
                      <w:marTop w:val="0"/>
                      <w:marBottom w:val="0"/>
                      <w:divBdr>
                        <w:top w:val="none" w:sz="0" w:space="0" w:color="auto"/>
                        <w:left w:val="none" w:sz="0" w:space="0" w:color="auto"/>
                        <w:bottom w:val="none" w:sz="0" w:space="0" w:color="auto"/>
                        <w:right w:val="none" w:sz="0" w:space="0" w:color="auto"/>
                      </w:divBdr>
                    </w:div>
                    <w:div w:id="167028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791014">
      <w:bodyDiv w:val="1"/>
      <w:marLeft w:val="0"/>
      <w:marRight w:val="0"/>
      <w:marTop w:val="0"/>
      <w:marBottom w:val="0"/>
      <w:divBdr>
        <w:top w:val="none" w:sz="0" w:space="0" w:color="auto"/>
        <w:left w:val="none" w:sz="0" w:space="0" w:color="auto"/>
        <w:bottom w:val="none" w:sz="0" w:space="0" w:color="auto"/>
        <w:right w:val="none" w:sz="0" w:space="0" w:color="auto"/>
      </w:divBdr>
    </w:div>
    <w:div w:id="871844283">
      <w:bodyDiv w:val="1"/>
      <w:marLeft w:val="0"/>
      <w:marRight w:val="0"/>
      <w:marTop w:val="0"/>
      <w:marBottom w:val="0"/>
      <w:divBdr>
        <w:top w:val="none" w:sz="0" w:space="0" w:color="auto"/>
        <w:left w:val="none" w:sz="0" w:space="0" w:color="auto"/>
        <w:bottom w:val="none" w:sz="0" w:space="0" w:color="auto"/>
        <w:right w:val="none" w:sz="0" w:space="0" w:color="auto"/>
      </w:divBdr>
    </w:div>
    <w:div w:id="887230258">
      <w:bodyDiv w:val="1"/>
      <w:marLeft w:val="0"/>
      <w:marRight w:val="0"/>
      <w:marTop w:val="0"/>
      <w:marBottom w:val="0"/>
      <w:divBdr>
        <w:top w:val="none" w:sz="0" w:space="0" w:color="auto"/>
        <w:left w:val="none" w:sz="0" w:space="0" w:color="auto"/>
        <w:bottom w:val="none" w:sz="0" w:space="0" w:color="auto"/>
        <w:right w:val="none" w:sz="0" w:space="0" w:color="auto"/>
      </w:divBdr>
    </w:div>
    <w:div w:id="898639299">
      <w:bodyDiv w:val="1"/>
      <w:marLeft w:val="0"/>
      <w:marRight w:val="0"/>
      <w:marTop w:val="0"/>
      <w:marBottom w:val="0"/>
      <w:divBdr>
        <w:top w:val="none" w:sz="0" w:space="0" w:color="auto"/>
        <w:left w:val="none" w:sz="0" w:space="0" w:color="auto"/>
        <w:bottom w:val="none" w:sz="0" w:space="0" w:color="auto"/>
        <w:right w:val="none" w:sz="0" w:space="0" w:color="auto"/>
      </w:divBdr>
    </w:div>
    <w:div w:id="906113088">
      <w:bodyDiv w:val="1"/>
      <w:marLeft w:val="0"/>
      <w:marRight w:val="0"/>
      <w:marTop w:val="0"/>
      <w:marBottom w:val="0"/>
      <w:divBdr>
        <w:top w:val="none" w:sz="0" w:space="0" w:color="auto"/>
        <w:left w:val="none" w:sz="0" w:space="0" w:color="auto"/>
        <w:bottom w:val="none" w:sz="0" w:space="0" w:color="auto"/>
        <w:right w:val="none" w:sz="0" w:space="0" w:color="auto"/>
      </w:divBdr>
    </w:div>
    <w:div w:id="906956095">
      <w:bodyDiv w:val="1"/>
      <w:marLeft w:val="0"/>
      <w:marRight w:val="0"/>
      <w:marTop w:val="0"/>
      <w:marBottom w:val="0"/>
      <w:divBdr>
        <w:top w:val="none" w:sz="0" w:space="0" w:color="auto"/>
        <w:left w:val="none" w:sz="0" w:space="0" w:color="auto"/>
        <w:bottom w:val="none" w:sz="0" w:space="0" w:color="auto"/>
        <w:right w:val="none" w:sz="0" w:space="0" w:color="auto"/>
      </w:divBdr>
    </w:div>
    <w:div w:id="908345955">
      <w:bodyDiv w:val="1"/>
      <w:marLeft w:val="0"/>
      <w:marRight w:val="0"/>
      <w:marTop w:val="0"/>
      <w:marBottom w:val="0"/>
      <w:divBdr>
        <w:top w:val="none" w:sz="0" w:space="0" w:color="auto"/>
        <w:left w:val="none" w:sz="0" w:space="0" w:color="auto"/>
        <w:bottom w:val="none" w:sz="0" w:space="0" w:color="auto"/>
        <w:right w:val="none" w:sz="0" w:space="0" w:color="auto"/>
      </w:divBdr>
    </w:div>
    <w:div w:id="914896690">
      <w:bodyDiv w:val="1"/>
      <w:marLeft w:val="0"/>
      <w:marRight w:val="0"/>
      <w:marTop w:val="0"/>
      <w:marBottom w:val="0"/>
      <w:divBdr>
        <w:top w:val="none" w:sz="0" w:space="0" w:color="auto"/>
        <w:left w:val="none" w:sz="0" w:space="0" w:color="auto"/>
        <w:bottom w:val="none" w:sz="0" w:space="0" w:color="auto"/>
        <w:right w:val="none" w:sz="0" w:space="0" w:color="auto"/>
      </w:divBdr>
    </w:div>
    <w:div w:id="948052877">
      <w:bodyDiv w:val="1"/>
      <w:marLeft w:val="0"/>
      <w:marRight w:val="0"/>
      <w:marTop w:val="0"/>
      <w:marBottom w:val="0"/>
      <w:divBdr>
        <w:top w:val="none" w:sz="0" w:space="0" w:color="auto"/>
        <w:left w:val="none" w:sz="0" w:space="0" w:color="auto"/>
        <w:bottom w:val="none" w:sz="0" w:space="0" w:color="auto"/>
        <w:right w:val="none" w:sz="0" w:space="0" w:color="auto"/>
      </w:divBdr>
      <w:divsChild>
        <w:div w:id="1959529895">
          <w:marLeft w:val="0"/>
          <w:marRight w:val="0"/>
          <w:marTop w:val="0"/>
          <w:marBottom w:val="0"/>
          <w:divBdr>
            <w:top w:val="none" w:sz="0" w:space="0" w:color="auto"/>
            <w:left w:val="none" w:sz="0" w:space="0" w:color="auto"/>
            <w:bottom w:val="none" w:sz="0" w:space="0" w:color="auto"/>
            <w:right w:val="none" w:sz="0" w:space="0" w:color="auto"/>
          </w:divBdr>
          <w:divsChild>
            <w:div w:id="945112792">
              <w:marLeft w:val="0"/>
              <w:marRight w:val="0"/>
              <w:marTop w:val="0"/>
              <w:marBottom w:val="0"/>
              <w:divBdr>
                <w:top w:val="none" w:sz="0" w:space="0" w:color="auto"/>
                <w:left w:val="none" w:sz="0" w:space="0" w:color="auto"/>
                <w:bottom w:val="none" w:sz="0" w:space="0" w:color="auto"/>
                <w:right w:val="none" w:sz="0" w:space="0" w:color="auto"/>
              </w:divBdr>
              <w:divsChild>
                <w:div w:id="815269059">
                  <w:marLeft w:val="0"/>
                  <w:marRight w:val="0"/>
                  <w:marTop w:val="0"/>
                  <w:marBottom w:val="0"/>
                  <w:divBdr>
                    <w:top w:val="none" w:sz="0" w:space="0" w:color="auto"/>
                    <w:left w:val="none" w:sz="0" w:space="0" w:color="auto"/>
                    <w:bottom w:val="none" w:sz="0" w:space="0" w:color="auto"/>
                    <w:right w:val="none" w:sz="0" w:space="0" w:color="auto"/>
                  </w:divBdr>
                  <w:divsChild>
                    <w:div w:id="991057030">
                      <w:marLeft w:val="0"/>
                      <w:marRight w:val="0"/>
                      <w:marTop w:val="0"/>
                      <w:marBottom w:val="0"/>
                      <w:divBdr>
                        <w:top w:val="none" w:sz="0" w:space="0" w:color="auto"/>
                        <w:left w:val="none" w:sz="0" w:space="0" w:color="auto"/>
                        <w:bottom w:val="none" w:sz="0" w:space="0" w:color="auto"/>
                        <w:right w:val="none" w:sz="0" w:space="0" w:color="auto"/>
                      </w:divBdr>
                    </w:div>
                    <w:div w:id="92723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93288">
      <w:bodyDiv w:val="1"/>
      <w:marLeft w:val="0"/>
      <w:marRight w:val="0"/>
      <w:marTop w:val="0"/>
      <w:marBottom w:val="0"/>
      <w:divBdr>
        <w:top w:val="none" w:sz="0" w:space="0" w:color="auto"/>
        <w:left w:val="none" w:sz="0" w:space="0" w:color="auto"/>
        <w:bottom w:val="none" w:sz="0" w:space="0" w:color="auto"/>
        <w:right w:val="none" w:sz="0" w:space="0" w:color="auto"/>
      </w:divBdr>
    </w:div>
    <w:div w:id="970091068">
      <w:bodyDiv w:val="1"/>
      <w:marLeft w:val="0"/>
      <w:marRight w:val="0"/>
      <w:marTop w:val="0"/>
      <w:marBottom w:val="0"/>
      <w:divBdr>
        <w:top w:val="none" w:sz="0" w:space="0" w:color="auto"/>
        <w:left w:val="none" w:sz="0" w:space="0" w:color="auto"/>
        <w:bottom w:val="none" w:sz="0" w:space="0" w:color="auto"/>
        <w:right w:val="none" w:sz="0" w:space="0" w:color="auto"/>
      </w:divBdr>
      <w:divsChild>
        <w:div w:id="1893150146">
          <w:marLeft w:val="0"/>
          <w:marRight w:val="0"/>
          <w:marTop w:val="0"/>
          <w:marBottom w:val="0"/>
          <w:divBdr>
            <w:top w:val="none" w:sz="0" w:space="0" w:color="auto"/>
            <w:left w:val="none" w:sz="0" w:space="0" w:color="auto"/>
            <w:bottom w:val="none" w:sz="0" w:space="0" w:color="auto"/>
            <w:right w:val="none" w:sz="0" w:space="0" w:color="auto"/>
          </w:divBdr>
          <w:divsChild>
            <w:div w:id="1565065796">
              <w:marLeft w:val="0"/>
              <w:marRight w:val="0"/>
              <w:marTop w:val="0"/>
              <w:marBottom w:val="0"/>
              <w:divBdr>
                <w:top w:val="none" w:sz="0" w:space="0" w:color="auto"/>
                <w:left w:val="none" w:sz="0" w:space="0" w:color="auto"/>
                <w:bottom w:val="none" w:sz="0" w:space="0" w:color="auto"/>
                <w:right w:val="none" w:sz="0" w:space="0" w:color="auto"/>
              </w:divBdr>
              <w:divsChild>
                <w:div w:id="45764906">
                  <w:marLeft w:val="0"/>
                  <w:marRight w:val="0"/>
                  <w:marTop w:val="0"/>
                  <w:marBottom w:val="0"/>
                  <w:divBdr>
                    <w:top w:val="none" w:sz="0" w:space="0" w:color="auto"/>
                    <w:left w:val="none" w:sz="0" w:space="0" w:color="auto"/>
                    <w:bottom w:val="none" w:sz="0" w:space="0" w:color="auto"/>
                    <w:right w:val="none" w:sz="0" w:space="0" w:color="auto"/>
                  </w:divBdr>
                  <w:divsChild>
                    <w:div w:id="1888295361">
                      <w:marLeft w:val="0"/>
                      <w:marRight w:val="0"/>
                      <w:marTop w:val="0"/>
                      <w:marBottom w:val="0"/>
                      <w:divBdr>
                        <w:top w:val="none" w:sz="0" w:space="0" w:color="auto"/>
                        <w:left w:val="none" w:sz="0" w:space="0" w:color="auto"/>
                        <w:bottom w:val="none" w:sz="0" w:space="0" w:color="auto"/>
                        <w:right w:val="none" w:sz="0" w:space="0" w:color="auto"/>
                      </w:divBdr>
                      <w:divsChild>
                        <w:div w:id="1567574077">
                          <w:marLeft w:val="0"/>
                          <w:marRight w:val="0"/>
                          <w:marTop w:val="0"/>
                          <w:marBottom w:val="0"/>
                          <w:divBdr>
                            <w:top w:val="none" w:sz="0" w:space="0" w:color="auto"/>
                            <w:left w:val="none" w:sz="0" w:space="0" w:color="auto"/>
                            <w:bottom w:val="none" w:sz="0" w:space="0" w:color="auto"/>
                            <w:right w:val="none" w:sz="0" w:space="0" w:color="auto"/>
                          </w:divBdr>
                          <w:divsChild>
                            <w:div w:id="1396977216">
                              <w:marLeft w:val="0"/>
                              <w:marRight w:val="0"/>
                              <w:marTop w:val="0"/>
                              <w:marBottom w:val="0"/>
                              <w:divBdr>
                                <w:top w:val="none" w:sz="0" w:space="0" w:color="auto"/>
                                <w:left w:val="none" w:sz="0" w:space="0" w:color="auto"/>
                                <w:bottom w:val="none" w:sz="0" w:space="0" w:color="auto"/>
                                <w:right w:val="none" w:sz="0" w:space="0" w:color="auto"/>
                              </w:divBdr>
                              <w:divsChild>
                                <w:div w:id="80569837">
                                  <w:marLeft w:val="0"/>
                                  <w:marRight w:val="0"/>
                                  <w:marTop w:val="0"/>
                                  <w:marBottom w:val="0"/>
                                  <w:divBdr>
                                    <w:top w:val="none" w:sz="0" w:space="0" w:color="auto"/>
                                    <w:left w:val="none" w:sz="0" w:space="0" w:color="auto"/>
                                    <w:bottom w:val="none" w:sz="0" w:space="0" w:color="auto"/>
                                    <w:right w:val="none" w:sz="0" w:space="0" w:color="auto"/>
                                  </w:divBdr>
                                  <w:divsChild>
                                    <w:div w:id="4866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395025">
          <w:marLeft w:val="0"/>
          <w:marRight w:val="0"/>
          <w:marTop w:val="0"/>
          <w:marBottom w:val="0"/>
          <w:divBdr>
            <w:top w:val="none" w:sz="0" w:space="0" w:color="auto"/>
            <w:left w:val="none" w:sz="0" w:space="0" w:color="auto"/>
            <w:bottom w:val="none" w:sz="0" w:space="0" w:color="auto"/>
            <w:right w:val="none" w:sz="0" w:space="0" w:color="auto"/>
          </w:divBdr>
        </w:div>
        <w:div w:id="1006247729">
          <w:marLeft w:val="0"/>
          <w:marRight w:val="0"/>
          <w:marTop w:val="0"/>
          <w:marBottom w:val="0"/>
          <w:divBdr>
            <w:top w:val="none" w:sz="0" w:space="0" w:color="auto"/>
            <w:left w:val="none" w:sz="0" w:space="0" w:color="auto"/>
            <w:bottom w:val="none" w:sz="0" w:space="0" w:color="auto"/>
            <w:right w:val="none" w:sz="0" w:space="0" w:color="auto"/>
          </w:divBdr>
        </w:div>
      </w:divsChild>
    </w:div>
    <w:div w:id="1040057036">
      <w:bodyDiv w:val="1"/>
      <w:marLeft w:val="0"/>
      <w:marRight w:val="0"/>
      <w:marTop w:val="0"/>
      <w:marBottom w:val="0"/>
      <w:divBdr>
        <w:top w:val="none" w:sz="0" w:space="0" w:color="auto"/>
        <w:left w:val="none" w:sz="0" w:space="0" w:color="auto"/>
        <w:bottom w:val="none" w:sz="0" w:space="0" w:color="auto"/>
        <w:right w:val="none" w:sz="0" w:space="0" w:color="auto"/>
      </w:divBdr>
      <w:divsChild>
        <w:div w:id="163129924">
          <w:marLeft w:val="0"/>
          <w:marRight w:val="0"/>
          <w:marTop w:val="0"/>
          <w:marBottom w:val="0"/>
          <w:divBdr>
            <w:top w:val="none" w:sz="0" w:space="0" w:color="auto"/>
            <w:left w:val="none" w:sz="0" w:space="0" w:color="auto"/>
            <w:bottom w:val="none" w:sz="0" w:space="0" w:color="auto"/>
            <w:right w:val="none" w:sz="0" w:space="0" w:color="auto"/>
          </w:divBdr>
          <w:divsChild>
            <w:div w:id="188615060">
              <w:marLeft w:val="0"/>
              <w:marRight w:val="0"/>
              <w:marTop w:val="0"/>
              <w:marBottom w:val="0"/>
              <w:divBdr>
                <w:top w:val="none" w:sz="0" w:space="0" w:color="auto"/>
                <w:left w:val="none" w:sz="0" w:space="0" w:color="auto"/>
                <w:bottom w:val="none" w:sz="0" w:space="0" w:color="auto"/>
                <w:right w:val="none" w:sz="0" w:space="0" w:color="auto"/>
              </w:divBdr>
              <w:divsChild>
                <w:div w:id="1362364260">
                  <w:marLeft w:val="0"/>
                  <w:marRight w:val="0"/>
                  <w:marTop w:val="0"/>
                  <w:marBottom w:val="0"/>
                  <w:divBdr>
                    <w:top w:val="none" w:sz="0" w:space="0" w:color="auto"/>
                    <w:left w:val="none" w:sz="0" w:space="0" w:color="auto"/>
                    <w:bottom w:val="none" w:sz="0" w:space="0" w:color="auto"/>
                    <w:right w:val="none" w:sz="0" w:space="0" w:color="auto"/>
                  </w:divBdr>
                  <w:divsChild>
                    <w:div w:id="1656949656">
                      <w:marLeft w:val="0"/>
                      <w:marRight w:val="0"/>
                      <w:marTop w:val="0"/>
                      <w:marBottom w:val="0"/>
                      <w:divBdr>
                        <w:top w:val="none" w:sz="0" w:space="0" w:color="auto"/>
                        <w:left w:val="none" w:sz="0" w:space="0" w:color="auto"/>
                        <w:bottom w:val="none" w:sz="0" w:space="0" w:color="auto"/>
                        <w:right w:val="none" w:sz="0" w:space="0" w:color="auto"/>
                      </w:divBdr>
                      <w:divsChild>
                        <w:div w:id="1685208142">
                          <w:marLeft w:val="0"/>
                          <w:marRight w:val="0"/>
                          <w:marTop w:val="0"/>
                          <w:marBottom w:val="0"/>
                          <w:divBdr>
                            <w:top w:val="none" w:sz="0" w:space="0" w:color="auto"/>
                            <w:left w:val="none" w:sz="0" w:space="0" w:color="auto"/>
                            <w:bottom w:val="none" w:sz="0" w:space="0" w:color="auto"/>
                            <w:right w:val="none" w:sz="0" w:space="0" w:color="auto"/>
                          </w:divBdr>
                          <w:divsChild>
                            <w:div w:id="1367684039">
                              <w:marLeft w:val="0"/>
                              <w:marRight w:val="0"/>
                              <w:marTop w:val="0"/>
                              <w:marBottom w:val="0"/>
                              <w:divBdr>
                                <w:top w:val="none" w:sz="0" w:space="0" w:color="auto"/>
                                <w:left w:val="none" w:sz="0" w:space="0" w:color="auto"/>
                                <w:bottom w:val="none" w:sz="0" w:space="0" w:color="auto"/>
                                <w:right w:val="none" w:sz="0" w:space="0" w:color="auto"/>
                              </w:divBdr>
                              <w:divsChild>
                                <w:div w:id="1731686180">
                                  <w:marLeft w:val="0"/>
                                  <w:marRight w:val="0"/>
                                  <w:marTop w:val="0"/>
                                  <w:marBottom w:val="0"/>
                                  <w:divBdr>
                                    <w:top w:val="none" w:sz="0" w:space="0" w:color="auto"/>
                                    <w:left w:val="none" w:sz="0" w:space="0" w:color="auto"/>
                                    <w:bottom w:val="none" w:sz="0" w:space="0" w:color="auto"/>
                                    <w:right w:val="none" w:sz="0" w:space="0" w:color="auto"/>
                                  </w:divBdr>
                                  <w:divsChild>
                                    <w:div w:id="56564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944139">
                          <w:marLeft w:val="0"/>
                          <w:marRight w:val="0"/>
                          <w:marTop w:val="0"/>
                          <w:marBottom w:val="0"/>
                          <w:divBdr>
                            <w:top w:val="none" w:sz="0" w:space="0" w:color="auto"/>
                            <w:left w:val="none" w:sz="0" w:space="0" w:color="auto"/>
                            <w:bottom w:val="none" w:sz="0" w:space="0" w:color="auto"/>
                            <w:right w:val="none" w:sz="0" w:space="0" w:color="auto"/>
                          </w:divBdr>
                          <w:divsChild>
                            <w:div w:id="1862696326">
                              <w:marLeft w:val="0"/>
                              <w:marRight w:val="0"/>
                              <w:marTop w:val="0"/>
                              <w:marBottom w:val="0"/>
                              <w:divBdr>
                                <w:top w:val="none" w:sz="0" w:space="0" w:color="auto"/>
                                <w:left w:val="none" w:sz="0" w:space="0" w:color="auto"/>
                                <w:bottom w:val="none" w:sz="0" w:space="0" w:color="auto"/>
                                <w:right w:val="none" w:sz="0" w:space="0" w:color="auto"/>
                              </w:divBdr>
                              <w:divsChild>
                                <w:div w:id="40942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6002850">
          <w:marLeft w:val="0"/>
          <w:marRight w:val="0"/>
          <w:marTop w:val="0"/>
          <w:marBottom w:val="0"/>
          <w:divBdr>
            <w:top w:val="none" w:sz="0" w:space="0" w:color="auto"/>
            <w:left w:val="none" w:sz="0" w:space="0" w:color="auto"/>
            <w:bottom w:val="none" w:sz="0" w:space="0" w:color="auto"/>
            <w:right w:val="none" w:sz="0" w:space="0" w:color="auto"/>
          </w:divBdr>
          <w:divsChild>
            <w:div w:id="2057926104">
              <w:marLeft w:val="0"/>
              <w:marRight w:val="0"/>
              <w:marTop w:val="0"/>
              <w:marBottom w:val="0"/>
              <w:divBdr>
                <w:top w:val="none" w:sz="0" w:space="0" w:color="auto"/>
                <w:left w:val="none" w:sz="0" w:space="0" w:color="auto"/>
                <w:bottom w:val="none" w:sz="0" w:space="0" w:color="auto"/>
                <w:right w:val="none" w:sz="0" w:space="0" w:color="auto"/>
              </w:divBdr>
              <w:divsChild>
                <w:div w:id="1074476045">
                  <w:marLeft w:val="0"/>
                  <w:marRight w:val="0"/>
                  <w:marTop w:val="0"/>
                  <w:marBottom w:val="0"/>
                  <w:divBdr>
                    <w:top w:val="none" w:sz="0" w:space="0" w:color="auto"/>
                    <w:left w:val="none" w:sz="0" w:space="0" w:color="auto"/>
                    <w:bottom w:val="none" w:sz="0" w:space="0" w:color="auto"/>
                    <w:right w:val="none" w:sz="0" w:space="0" w:color="auto"/>
                  </w:divBdr>
                  <w:divsChild>
                    <w:div w:id="324668398">
                      <w:marLeft w:val="0"/>
                      <w:marRight w:val="0"/>
                      <w:marTop w:val="0"/>
                      <w:marBottom w:val="0"/>
                      <w:divBdr>
                        <w:top w:val="none" w:sz="0" w:space="0" w:color="auto"/>
                        <w:left w:val="none" w:sz="0" w:space="0" w:color="auto"/>
                        <w:bottom w:val="none" w:sz="0" w:space="0" w:color="auto"/>
                        <w:right w:val="none" w:sz="0" w:space="0" w:color="auto"/>
                      </w:divBdr>
                      <w:divsChild>
                        <w:div w:id="90400776">
                          <w:marLeft w:val="0"/>
                          <w:marRight w:val="0"/>
                          <w:marTop w:val="0"/>
                          <w:marBottom w:val="0"/>
                          <w:divBdr>
                            <w:top w:val="none" w:sz="0" w:space="0" w:color="auto"/>
                            <w:left w:val="none" w:sz="0" w:space="0" w:color="auto"/>
                            <w:bottom w:val="none" w:sz="0" w:space="0" w:color="auto"/>
                            <w:right w:val="none" w:sz="0" w:space="0" w:color="auto"/>
                          </w:divBdr>
                          <w:divsChild>
                            <w:div w:id="1367948005">
                              <w:marLeft w:val="0"/>
                              <w:marRight w:val="0"/>
                              <w:marTop w:val="0"/>
                              <w:marBottom w:val="0"/>
                              <w:divBdr>
                                <w:top w:val="none" w:sz="0" w:space="0" w:color="auto"/>
                                <w:left w:val="none" w:sz="0" w:space="0" w:color="auto"/>
                                <w:bottom w:val="none" w:sz="0" w:space="0" w:color="auto"/>
                                <w:right w:val="none" w:sz="0" w:space="0" w:color="auto"/>
                              </w:divBdr>
                              <w:divsChild>
                                <w:div w:id="1137837695">
                                  <w:marLeft w:val="0"/>
                                  <w:marRight w:val="0"/>
                                  <w:marTop w:val="0"/>
                                  <w:marBottom w:val="0"/>
                                  <w:divBdr>
                                    <w:top w:val="none" w:sz="0" w:space="0" w:color="auto"/>
                                    <w:left w:val="none" w:sz="0" w:space="0" w:color="auto"/>
                                    <w:bottom w:val="none" w:sz="0" w:space="0" w:color="auto"/>
                                    <w:right w:val="none" w:sz="0" w:space="0" w:color="auto"/>
                                  </w:divBdr>
                                  <w:divsChild>
                                    <w:div w:id="593634028">
                                      <w:marLeft w:val="0"/>
                                      <w:marRight w:val="0"/>
                                      <w:marTop w:val="0"/>
                                      <w:marBottom w:val="0"/>
                                      <w:divBdr>
                                        <w:top w:val="none" w:sz="0" w:space="0" w:color="auto"/>
                                        <w:left w:val="none" w:sz="0" w:space="0" w:color="auto"/>
                                        <w:bottom w:val="none" w:sz="0" w:space="0" w:color="auto"/>
                                        <w:right w:val="none" w:sz="0" w:space="0" w:color="auto"/>
                                      </w:divBdr>
                                      <w:divsChild>
                                        <w:div w:id="1066537916">
                                          <w:marLeft w:val="0"/>
                                          <w:marRight w:val="0"/>
                                          <w:marTop w:val="0"/>
                                          <w:marBottom w:val="0"/>
                                          <w:divBdr>
                                            <w:top w:val="none" w:sz="0" w:space="0" w:color="auto"/>
                                            <w:left w:val="none" w:sz="0" w:space="0" w:color="auto"/>
                                            <w:bottom w:val="none" w:sz="0" w:space="0" w:color="auto"/>
                                            <w:right w:val="none" w:sz="0" w:space="0" w:color="auto"/>
                                          </w:divBdr>
                                          <w:divsChild>
                                            <w:div w:id="43394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1694644">
          <w:marLeft w:val="0"/>
          <w:marRight w:val="0"/>
          <w:marTop w:val="0"/>
          <w:marBottom w:val="0"/>
          <w:divBdr>
            <w:top w:val="none" w:sz="0" w:space="0" w:color="auto"/>
            <w:left w:val="none" w:sz="0" w:space="0" w:color="auto"/>
            <w:bottom w:val="none" w:sz="0" w:space="0" w:color="auto"/>
            <w:right w:val="none" w:sz="0" w:space="0" w:color="auto"/>
          </w:divBdr>
          <w:divsChild>
            <w:div w:id="218715038">
              <w:marLeft w:val="0"/>
              <w:marRight w:val="0"/>
              <w:marTop w:val="0"/>
              <w:marBottom w:val="0"/>
              <w:divBdr>
                <w:top w:val="none" w:sz="0" w:space="0" w:color="auto"/>
                <w:left w:val="none" w:sz="0" w:space="0" w:color="auto"/>
                <w:bottom w:val="none" w:sz="0" w:space="0" w:color="auto"/>
                <w:right w:val="none" w:sz="0" w:space="0" w:color="auto"/>
              </w:divBdr>
              <w:divsChild>
                <w:div w:id="520583340">
                  <w:marLeft w:val="0"/>
                  <w:marRight w:val="0"/>
                  <w:marTop w:val="0"/>
                  <w:marBottom w:val="0"/>
                  <w:divBdr>
                    <w:top w:val="none" w:sz="0" w:space="0" w:color="auto"/>
                    <w:left w:val="none" w:sz="0" w:space="0" w:color="auto"/>
                    <w:bottom w:val="none" w:sz="0" w:space="0" w:color="auto"/>
                    <w:right w:val="none" w:sz="0" w:space="0" w:color="auto"/>
                  </w:divBdr>
                  <w:divsChild>
                    <w:div w:id="107235884">
                      <w:marLeft w:val="0"/>
                      <w:marRight w:val="0"/>
                      <w:marTop w:val="0"/>
                      <w:marBottom w:val="0"/>
                      <w:divBdr>
                        <w:top w:val="none" w:sz="0" w:space="0" w:color="auto"/>
                        <w:left w:val="none" w:sz="0" w:space="0" w:color="auto"/>
                        <w:bottom w:val="none" w:sz="0" w:space="0" w:color="auto"/>
                        <w:right w:val="none" w:sz="0" w:space="0" w:color="auto"/>
                      </w:divBdr>
                      <w:divsChild>
                        <w:div w:id="1187866471">
                          <w:marLeft w:val="0"/>
                          <w:marRight w:val="0"/>
                          <w:marTop w:val="0"/>
                          <w:marBottom w:val="0"/>
                          <w:divBdr>
                            <w:top w:val="none" w:sz="0" w:space="0" w:color="auto"/>
                            <w:left w:val="none" w:sz="0" w:space="0" w:color="auto"/>
                            <w:bottom w:val="none" w:sz="0" w:space="0" w:color="auto"/>
                            <w:right w:val="none" w:sz="0" w:space="0" w:color="auto"/>
                          </w:divBdr>
                          <w:divsChild>
                            <w:div w:id="1116681979">
                              <w:marLeft w:val="0"/>
                              <w:marRight w:val="0"/>
                              <w:marTop w:val="0"/>
                              <w:marBottom w:val="0"/>
                              <w:divBdr>
                                <w:top w:val="none" w:sz="0" w:space="0" w:color="auto"/>
                                <w:left w:val="none" w:sz="0" w:space="0" w:color="auto"/>
                                <w:bottom w:val="none" w:sz="0" w:space="0" w:color="auto"/>
                                <w:right w:val="none" w:sz="0" w:space="0" w:color="auto"/>
                              </w:divBdr>
                              <w:divsChild>
                                <w:div w:id="687298307">
                                  <w:marLeft w:val="0"/>
                                  <w:marRight w:val="0"/>
                                  <w:marTop w:val="0"/>
                                  <w:marBottom w:val="0"/>
                                  <w:divBdr>
                                    <w:top w:val="none" w:sz="0" w:space="0" w:color="auto"/>
                                    <w:left w:val="none" w:sz="0" w:space="0" w:color="auto"/>
                                    <w:bottom w:val="none" w:sz="0" w:space="0" w:color="auto"/>
                                    <w:right w:val="none" w:sz="0" w:space="0" w:color="auto"/>
                                  </w:divBdr>
                                  <w:divsChild>
                                    <w:div w:id="57455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4400968">
          <w:marLeft w:val="0"/>
          <w:marRight w:val="0"/>
          <w:marTop w:val="0"/>
          <w:marBottom w:val="0"/>
          <w:divBdr>
            <w:top w:val="none" w:sz="0" w:space="0" w:color="auto"/>
            <w:left w:val="none" w:sz="0" w:space="0" w:color="auto"/>
            <w:bottom w:val="none" w:sz="0" w:space="0" w:color="auto"/>
            <w:right w:val="none" w:sz="0" w:space="0" w:color="auto"/>
          </w:divBdr>
          <w:divsChild>
            <w:div w:id="183980174">
              <w:marLeft w:val="0"/>
              <w:marRight w:val="0"/>
              <w:marTop w:val="0"/>
              <w:marBottom w:val="0"/>
              <w:divBdr>
                <w:top w:val="none" w:sz="0" w:space="0" w:color="auto"/>
                <w:left w:val="none" w:sz="0" w:space="0" w:color="auto"/>
                <w:bottom w:val="none" w:sz="0" w:space="0" w:color="auto"/>
                <w:right w:val="none" w:sz="0" w:space="0" w:color="auto"/>
              </w:divBdr>
              <w:divsChild>
                <w:div w:id="1566262711">
                  <w:marLeft w:val="0"/>
                  <w:marRight w:val="0"/>
                  <w:marTop w:val="0"/>
                  <w:marBottom w:val="0"/>
                  <w:divBdr>
                    <w:top w:val="none" w:sz="0" w:space="0" w:color="auto"/>
                    <w:left w:val="none" w:sz="0" w:space="0" w:color="auto"/>
                    <w:bottom w:val="none" w:sz="0" w:space="0" w:color="auto"/>
                    <w:right w:val="none" w:sz="0" w:space="0" w:color="auto"/>
                  </w:divBdr>
                  <w:divsChild>
                    <w:div w:id="1894121958">
                      <w:marLeft w:val="0"/>
                      <w:marRight w:val="0"/>
                      <w:marTop w:val="0"/>
                      <w:marBottom w:val="0"/>
                      <w:divBdr>
                        <w:top w:val="none" w:sz="0" w:space="0" w:color="auto"/>
                        <w:left w:val="none" w:sz="0" w:space="0" w:color="auto"/>
                        <w:bottom w:val="none" w:sz="0" w:space="0" w:color="auto"/>
                        <w:right w:val="none" w:sz="0" w:space="0" w:color="auto"/>
                      </w:divBdr>
                      <w:divsChild>
                        <w:div w:id="1783265645">
                          <w:marLeft w:val="0"/>
                          <w:marRight w:val="0"/>
                          <w:marTop w:val="0"/>
                          <w:marBottom w:val="0"/>
                          <w:divBdr>
                            <w:top w:val="none" w:sz="0" w:space="0" w:color="auto"/>
                            <w:left w:val="none" w:sz="0" w:space="0" w:color="auto"/>
                            <w:bottom w:val="none" w:sz="0" w:space="0" w:color="auto"/>
                            <w:right w:val="none" w:sz="0" w:space="0" w:color="auto"/>
                          </w:divBdr>
                          <w:divsChild>
                            <w:div w:id="234127098">
                              <w:marLeft w:val="0"/>
                              <w:marRight w:val="0"/>
                              <w:marTop w:val="0"/>
                              <w:marBottom w:val="0"/>
                              <w:divBdr>
                                <w:top w:val="none" w:sz="0" w:space="0" w:color="auto"/>
                                <w:left w:val="none" w:sz="0" w:space="0" w:color="auto"/>
                                <w:bottom w:val="none" w:sz="0" w:space="0" w:color="auto"/>
                                <w:right w:val="none" w:sz="0" w:space="0" w:color="auto"/>
                              </w:divBdr>
                              <w:divsChild>
                                <w:div w:id="631596199">
                                  <w:marLeft w:val="0"/>
                                  <w:marRight w:val="0"/>
                                  <w:marTop w:val="0"/>
                                  <w:marBottom w:val="0"/>
                                  <w:divBdr>
                                    <w:top w:val="none" w:sz="0" w:space="0" w:color="auto"/>
                                    <w:left w:val="none" w:sz="0" w:space="0" w:color="auto"/>
                                    <w:bottom w:val="none" w:sz="0" w:space="0" w:color="auto"/>
                                    <w:right w:val="none" w:sz="0" w:space="0" w:color="auto"/>
                                  </w:divBdr>
                                  <w:divsChild>
                                    <w:div w:id="678776178">
                                      <w:marLeft w:val="0"/>
                                      <w:marRight w:val="0"/>
                                      <w:marTop w:val="0"/>
                                      <w:marBottom w:val="0"/>
                                      <w:divBdr>
                                        <w:top w:val="none" w:sz="0" w:space="0" w:color="auto"/>
                                        <w:left w:val="none" w:sz="0" w:space="0" w:color="auto"/>
                                        <w:bottom w:val="none" w:sz="0" w:space="0" w:color="auto"/>
                                        <w:right w:val="none" w:sz="0" w:space="0" w:color="auto"/>
                                      </w:divBdr>
                                      <w:divsChild>
                                        <w:div w:id="553933021">
                                          <w:marLeft w:val="0"/>
                                          <w:marRight w:val="0"/>
                                          <w:marTop w:val="0"/>
                                          <w:marBottom w:val="0"/>
                                          <w:divBdr>
                                            <w:top w:val="none" w:sz="0" w:space="0" w:color="auto"/>
                                            <w:left w:val="none" w:sz="0" w:space="0" w:color="auto"/>
                                            <w:bottom w:val="none" w:sz="0" w:space="0" w:color="auto"/>
                                            <w:right w:val="none" w:sz="0" w:space="0" w:color="auto"/>
                                          </w:divBdr>
                                          <w:divsChild>
                                            <w:div w:id="91628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020863">
          <w:marLeft w:val="0"/>
          <w:marRight w:val="0"/>
          <w:marTop w:val="0"/>
          <w:marBottom w:val="0"/>
          <w:divBdr>
            <w:top w:val="none" w:sz="0" w:space="0" w:color="auto"/>
            <w:left w:val="none" w:sz="0" w:space="0" w:color="auto"/>
            <w:bottom w:val="none" w:sz="0" w:space="0" w:color="auto"/>
            <w:right w:val="none" w:sz="0" w:space="0" w:color="auto"/>
          </w:divBdr>
          <w:divsChild>
            <w:div w:id="569658712">
              <w:marLeft w:val="0"/>
              <w:marRight w:val="0"/>
              <w:marTop w:val="0"/>
              <w:marBottom w:val="0"/>
              <w:divBdr>
                <w:top w:val="none" w:sz="0" w:space="0" w:color="auto"/>
                <w:left w:val="none" w:sz="0" w:space="0" w:color="auto"/>
                <w:bottom w:val="none" w:sz="0" w:space="0" w:color="auto"/>
                <w:right w:val="none" w:sz="0" w:space="0" w:color="auto"/>
              </w:divBdr>
              <w:divsChild>
                <w:div w:id="2005208179">
                  <w:marLeft w:val="0"/>
                  <w:marRight w:val="0"/>
                  <w:marTop w:val="0"/>
                  <w:marBottom w:val="0"/>
                  <w:divBdr>
                    <w:top w:val="none" w:sz="0" w:space="0" w:color="auto"/>
                    <w:left w:val="none" w:sz="0" w:space="0" w:color="auto"/>
                    <w:bottom w:val="none" w:sz="0" w:space="0" w:color="auto"/>
                    <w:right w:val="none" w:sz="0" w:space="0" w:color="auto"/>
                  </w:divBdr>
                  <w:divsChild>
                    <w:div w:id="1890799268">
                      <w:marLeft w:val="0"/>
                      <w:marRight w:val="0"/>
                      <w:marTop w:val="0"/>
                      <w:marBottom w:val="0"/>
                      <w:divBdr>
                        <w:top w:val="none" w:sz="0" w:space="0" w:color="auto"/>
                        <w:left w:val="none" w:sz="0" w:space="0" w:color="auto"/>
                        <w:bottom w:val="none" w:sz="0" w:space="0" w:color="auto"/>
                        <w:right w:val="none" w:sz="0" w:space="0" w:color="auto"/>
                      </w:divBdr>
                      <w:divsChild>
                        <w:div w:id="706489784">
                          <w:marLeft w:val="0"/>
                          <w:marRight w:val="0"/>
                          <w:marTop w:val="0"/>
                          <w:marBottom w:val="0"/>
                          <w:divBdr>
                            <w:top w:val="none" w:sz="0" w:space="0" w:color="auto"/>
                            <w:left w:val="none" w:sz="0" w:space="0" w:color="auto"/>
                            <w:bottom w:val="none" w:sz="0" w:space="0" w:color="auto"/>
                            <w:right w:val="none" w:sz="0" w:space="0" w:color="auto"/>
                          </w:divBdr>
                          <w:divsChild>
                            <w:div w:id="87194897">
                              <w:marLeft w:val="0"/>
                              <w:marRight w:val="0"/>
                              <w:marTop w:val="0"/>
                              <w:marBottom w:val="0"/>
                              <w:divBdr>
                                <w:top w:val="none" w:sz="0" w:space="0" w:color="auto"/>
                                <w:left w:val="none" w:sz="0" w:space="0" w:color="auto"/>
                                <w:bottom w:val="none" w:sz="0" w:space="0" w:color="auto"/>
                                <w:right w:val="none" w:sz="0" w:space="0" w:color="auto"/>
                              </w:divBdr>
                              <w:divsChild>
                                <w:div w:id="230043288">
                                  <w:marLeft w:val="0"/>
                                  <w:marRight w:val="0"/>
                                  <w:marTop w:val="0"/>
                                  <w:marBottom w:val="0"/>
                                  <w:divBdr>
                                    <w:top w:val="none" w:sz="0" w:space="0" w:color="auto"/>
                                    <w:left w:val="none" w:sz="0" w:space="0" w:color="auto"/>
                                    <w:bottom w:val="none" w:sz="0" w:space="0" w:color="auto"/>
                                    <w:right w:val="none" w:sz="0" w:space="0" w:color="auto"/>
                                  </w:divBdr>
                                  <w:divsChild>
                                    <w:div w:id="134690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4417291">
          <w:marLeft w:val="0"/>
          <w:marRight w:val="0"/>
          <w:marTop w:val="0"/>
          <w:marBottom w:val="0"/>
          <w:divBdr>
            <w:top w:val="none" w:sz="0" w:space="0" w:color="auto"/>
            <w:left w:val="none" w:sz="0" w:space="0" w:color="auto"/>
            <w:bottom w:val="none" w:sz="0" w:space="0" w:color="auto"/>
            <w:right w:val="none" w:sz="0" w:space="0" w:color="auto"/>
          </w:divBdr>
          <w:divsChild>
            <w:div w:id="2081708595">
              <w:marLeft w:val="0"/>
              <w:marRight w:val="0"/>
              <w:marTop w:val="0"/>
              <w:marBottom w:val="0"/>
              <w:divBdr>
                <w:top w:val="none" w:sz="0" w:space="0" w:color="auto"/>
                <w:left w:val="none" w:sz="0" w:space="0" w:color="auto"/>
                <w:bottom w:val="none" w:sz="0" w:space="0" w:color="auto"/>
                <w:right w:val="none" w:sz="0" w:space="0" w:color="auto"/>
              </w:divBdr>
              <w:divsChild>
                <w:div w:id="309940273">
                  <w:marLeft w:val="0"/>
                  <w:marRight w:val="0"/>
                  <w:marTop w:val="0"/>
                  <w:marBottom w:val="0"/>
                  <w:divBdr>
                    <w:top w:val="none" w:sz="0" w:space="0" w:color="auto"/>
                    <w:left w:val="none" w:sz="0" w:space="0" w:color="auto"/>
                    <w:bottom w:val="none" w:sz="0" w:space="0" w:color="auto"/>
                    <w:right w:val="none" w:sz="0" w:space="0" w:color="auto"/>
                  </w:divBdr>
                  <w:divsChild>
                    <w:div w:id="1497264733">
                      <w:marLeft w:val="0"/>
                      <w:marRight w:val="0"/>
                      <w:marTop w:val="0"/>
                      <w:marBottom w:val="0"/>
                      <w:divBdr>
                        <w:top w:val="none" w:sz="0" w:space="0" w:color="auto"/>
                        <w:left w:val="none" w:sz="0" w:space="0" w:color="auto"/>
                        <w:bottom w:val="none" w:sz="0" w:space="0" w:color="auto"/>
                        <w:right w:val="none" w:sz="0" w:space="0" w:color="auto"/>
                      </w:divBdr>
                      <w:divsChild>
                        <w:div w:id="1959873237">
                          <w:marLeft w:val="0"/>
                          <w:marRight w:val="0"/>
                          <w:marTop w:val="0"/>
                          <w:marBottom w:val="0"/>
                          <w:divBdr>
                            <w:top w:val="none" w:sz="0" w:space="0" w:color="auto"/>
                            <w:left w:val="none" w:sz="0" w:space="0" w:color="auto"/>
                            <w:bottom w:val="none" w:sz="0" w:space="0" w:color="auto"/>
                            <w:right w:val="none" w:sz="0" w:space="0" w:color="auto"/>
                          </w:divBdr>
                          <w:divsChild>
                            <w:div w:id="55788108">
                              <w:marLeft w:val="0"/>
                              <w:marRight w:val="0"/>
                              <w:marTop w:val="0"/>
                              <w:marBottom w:val="0"/>
                              <w:divBdr>
                                <w:top w:val="none" w:sz="0" w:space="0" w:color="auto"/>
                                <w:left w:val="none" w:sz="0" w:space="0" w:color="auto"/>
                                <w:bottom w:val="none" w:sz="0" w:space="0" w:color="auto"/>
                                <w:right w:val="none" w:sz="0" w:space="0" w:color="auto"/>
                              </w:divBdr>
                              <w:divsChild>
                                <w:div w:id="1168131527">
                                  <w:marLeft w:val="0"/>
                                  <w:marRight w:val="0"/>
                                  <w:marTop w:val="0"/>
                                  <w:marBottom w:val="0"/>
                                  <w:divBdr>
                                    <w:top w:val="none" w:sz="0" w:space="0" w:color="auto"/>
                                    <w:left w:val="none" w:sz="0" w:space="0" w:color="auto"/>
                                    <w:bottom w:val="none" w:sz="0" w:space="0" w:color="auto"/>
                                    <w:right w:val="none" w:sz="0" w:space="0" w:color="auto"/>
                                  </w:divBdr>
                                  <w:divsChild>
                                    <w:div w:id="1763529886">
                                      <w:marLeft w:val="0"/>
                                      <w:marRight w:val="0"/>
                                      <w:marTop w:val="0"/>
                                      <w:marBottom w:val="0"/>
                                      <w:divBdr>
                                        <w:top w:val="none" w:sz="0" w:space="0" w:color="auto"/>
                                        <w:left w:val="none" w:sz="0" w:space="0" w:color="auto"/>
                                        <w:bottom w:val="none" w:sz="0" w:space="0" w:color="auto"/>
                                        <w:right w:val="none" w:sz="0" w:space="0" w:color="auto"/>
                                      </w:divBdr>
                                      <w:divsChild>
                                        <w:div w:id="257064755">
                                          <w:marLeft w:val="0"/>
                                          <w:marRight w:val="0"/>
                                          <w:marTop w:val="0"/>
                                          <w:marBottom w:val="0"/>
                                          <w:divBdr>
                                            <w:top w:val="none" w:sz="0" w:space="0" w:color="auto"/>
                                            <w:left w:val="none" w:sz="0" w:space="0" w:color="auto"/>
                                            <w:bottom w:val="none" w:sz="0" w:space="0" w:color="auto"/>
                                            <w:right w:val="none" w:sz="0" w:space="0" w:color="auto"/>
                                          </w:divBdr>
                                          <w:divsChild>
                                            <w:div w:id="66775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8946068">
          <w:marLeft w:val="0"/>
          <w:marRight w:val="0"/>
          <w:marTop w:val="0"/>
          <w:marBottom w:val="0"/>
          <w:divBdr>
            <w:top w:val="none" w:sz="0" w:space="0" w:color="auto"/>
            <w:left w:val="none" w:sz="0" w:space="0" w:color="auto"/>
            <w:bottom w:val="none" w:sz="0" w:space="0" w:color="auto"/>
            <w:right w:val="none" w:sz="0" w:space="0" w:color="auto"/>
          </w:divBdr>
          <w:divsChild>
            <w:div w:id="1330864621">
              <w:marLeft w:val="0"/>
              <w:marRight w:val="0"/>
              <w:marTop w:val="0"/>
              <w:marBottom w:val="0"/>
              <w:divBdr>
                <w:top w:val="none" w:sz="0" w:space="0" w:color="auto"/>
                <w:left w:val="none" w:sz="0" w:space="0" w:color="auto"/>
                <w:bottom w:val="none" w:sz="0" w:space="0" w:color="auto"/>
                <w:right w:val="none" w:sz="0" w:space="0" w:color="auto"/>
              </w:divBdr>
              <w:divsChild>
                <w:div w:id="1163082902">
                  <w:marLeft w:val="0"/>
                  <w:marRight w:val="0"/>
                  <w:marTop w:val="0"/>
                  <w:marBottom w:val="0"/>
                  <w:divBdr>
                    <w:top w:val="none" w:sz="0" w:space="0" w:color="auto"/>
                    <w:left w:val="none" w:sz="0" w:space="0" w:color="auto"/>
                    <w:bottom w:val="none" w:sz="0" w:space="0" w:color="auto"/>
                    <w:right w:val="none" w:sz="0" w:space="0" w:color="auto"/>
                  </w:divBdr>
                  <w:divsChild>
                    <w:div w:id="888029067">
                      <w:marLeft w:val="0"/>
                      <w:marRight w:val="0"/>
                      <w:marTop w:val="0"/>
                      <w:marBottom w:val="0"/>
                      <w:divBdr>
                        <w:top w:val="none" w:sz="0" w:space="0" w:color="auto"/>
                        <w:left w:val="none" w:sz="0" w:space="0" w:color="auto"/>
                        <w:bottom w:val="none" w:sz="0" w:space="0" w:color="auto"/>
                        <w:right w:val="none" w:sz="0" w:space="0" w:color="auto"/>
                      </w:divBdr>
                      <w:divsChild>
                        <w:div w:id="449469918">
                          <w:marLeft w:val="0"/>
                          <w:marRight w:val="0"/>
                          <w:marTop w:val="0"/>
                          <w:marBottom w:val="0"/>
                          <w:divBdr>
                            <w:top w:val="none" w:sz="0" w:space="0" w:color="auto"/>
                            <w:left w:val="none" w:sz="0" w:space="0" w:color="auto"/>
                            <w:bottom w:val="none" w:sz="0" w:space="0" w:color="auto"/>
                            <w:right w:val="none" w:sz="0" w:space="0" w:color="auto"/>
                          </w:divBdr>
                          <w:divsChild>
                            <w:div w:id="496967576">
                              <w:marLeft w:val="0"/>
                              <w:marRight w:val="0"/>
                              <w:marTop w:val="0"/>
                              <w:marBottom w:val="0"/>
                              <w:divBdr>
                                <w:top w:val="none" w:sz="0" w:space="0" w:color="auto"/>
                                <w:left w:val="none" w:sz="0" w:space="0" w:color="auto"/>
                                <w:bottom w:val="none" w:sz="0" w:space="0" w:color="auto"/>
                                <w:right w:val="none" w:sz="0" w:space="0" w:color="auto"/>
                              </w:divBdr>
                              <w:divsChild>
                                <w:div w:id="363293351">
                                  <w:marLeft w:val="0"/>
                                  <w:marRight w:val="0"/>
                                  <w:marTop w:val="0"/>
                                  <w:marBottom w:val="0"/>
                                  <w:divBdr>
                                    <w:top w:val="none" w:sz="0" w:space="0" w:color="auto"/>
                                    <w:left w:val="none" w:sz="0" w:space="0" w:color="auto"/>
                                    <w:bottom w:val="none" w:sz="0" w:space="0" w:color="auto"/>
                                    <w:right w:val="none" w:sz="0" w:space="0" w:color="auto"/>
                                  </w:divBdr>
                                  <w:divsChild>
                                    <w:div w:id="4753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1648819">
          <w:marLeft w:val="0"/>
          <w:marRight w:val="0"/>
          <w:marTop w:val="0"/>
          <w:marBottom w:val="0"/>
          <w:divBdr>
            <w:top w:val="none" w:sz="0" w:space="0" w:color="auto"/>
            <w:left w:val="none" w:sz="0" w:space="0" w:color="auto"/>
            <w:bottom w:val="none" w:sz="0" w:space="0" w:color="auto"/>
            <w:right w:val="none" w:sz="0" w:space="0" w:color="auto"/>
          </w:divBdr>
          <w:divsChild>
            <w:div w:id="2015306097">
              <w:marLeft w:val="0"/>
              <w:marRight w:val="0"/>
              <w:marTop w:val="0"/>
              <w:marBottom w:val="0"/>
              <w:divBdr>
                <w:top w:val="none" w:sz="0" w:space="0" w:color="auto"/>
                <w:left w:val="none" w:sz="0" w:space="0" w:color="auto"/>
                <w:bottom w:val="none" w:sz="0" w:space="0" w:color="auto"/>
                <w:right w:val="none" w:sz="0" w:space="0" w:color="auto"/>
              </w:divBdr>
              <w:divsChild>
                <w:div w:id="1252279597">
                  <w:marLeft w:val="0"/>
                  <w:marRight w:val="0"/>
                  <w:marTop w:val="0"/>
                  <w:marBottom w:val="0"/>
                  <w:divBdr>
                    <w:top w:val="none" w:sz="0" w:space="0" w:color="auto"/>
                    <w:left w:val="none" w:sz="0" w:space="0" w:color="auto"/>
                    <w:bottom w:val="none" w:sz="0" w:space="0" w:color="auto"/>
                    <w:right w:val="none" w:sz="0" w:space="0" w:color="auto"/>
                  </w:divBdr>
                  <w:divsChild>
                    <w:div w:id="894854503">
                      <w:marLeft w:val="0"/>
                      <w:marRight w:val="0"/>
                      <w:marTop w:val="0"/>
                      <w:marBottom w:val="0"/>
                      <w:divBdr>
                        <w:top w:val="none" w:sz="0" w:space="0" w:color="auto"/>
                        <w:left w:val="none" w:sz="0" w:space="0" w:color="auto"/>
                        <w:bottom w:val="none" w:sz="0" w:space="0" w:color="auto"/>
                        <w:right w:val="none" w:sz="0" w:space="0" w:color="auto"/>
                      </w:divBdr>
                      <w:divsChild>
                        <w:div w:id="1183325417">
                          <w:marLeft w:val="0"/>
                          <w:marRight w:val="0"/>
                          <w:marTop w:val="0"/>
                          <w:marBottom w:val="0"/>
                          <w:divBdr>
                            <w:top w:val="none" w:sz="0" w:space="0" w:color="auto"/>
                            <w:left w:val="none" w:sz="0" w:space="0" w:color="auto"/>
                            <w:bottom w:val="none" w:sz="0" w:space="0" w:color="auto"/>
                            <w:right w:val="none" w:sz="0" w:space="0" w:color="auto"/>
                          </w:divBdr>
                          <w:divsChild>
                            <w:div w:id="803891926">
                              <w:marLeft w:val="0"/>
                              <w:marRight w:val="0"/>
                              <w:marTop w:val="0"/>
                              <w:marBottom w:val="0"/>
                              <w:divBdr>
                                <w:top w:val="none" w:sz="0" w:space="0" w:color="auto"/>
                                <w:left w:val="none" w:sz="0" w:space="0" w:color="auto"/>
                                <w:bottom w:val="none" w:sz="0" w:space="0" w:color="auto"/>
                                <w:right w:val="none" w:sz="0" w:space="0" w:color="auto"/>
                              </w:divBdr>
                              <w:divsChild>
                                <w:div w:id="1424453221">
                                  <w:marLeft w:val="0"/>
                                  <w:marRight w:val="0"/>
                                  <w:marTop w:val="0"/>
                                  <w:marBottom w:val="0"/>
                                  <w:divBdr>
                                    <w:top w:val="none" w:sz="0" w:space="0" w:color="auto"/>
                                    <w:left w:val="none" w:sz="0" w:space="0" w:color="auto"/>
                                    <w:bottom w:val="none" w:sz="0" w:space="0" w:color="auto"/>
                                    <w:right w:val="none" w:sz="0" w:space="0" w:color="auto"/>
                                  </w:divBdr>
                                  <w:divsChild>
                                    <w:div w:id="1561672890">
                                      <w:marLeft w:val="0"/>
                                      <w:marRight w:val="0"/>
                                      <w:marTop w:val="0"/>
                                      <w:marBottom w:val="0"/>
                                      <w:divBdr>
                                        <w:top w:val="none" w:sz="0" w:space="0" w:color="auto"/>
                                        <w:left w:val="none" w:sz="0" w:space="0" w:color="auto"/>
                                        <w:bottom w:val="none" w:sz="0" w:space="0" w:color="auto"/>
                                        <w:right w:val="none" w:sz="0" w:space="0" w:color="auto"/>
                                      </w:divBdr>
                                      <w:divsChild>
                                        <w:div w:id="2023047542">
                                          <w:marLeft w:val="0"/>
                                          <w:marRight w:val="0"/>
                                          <w:marTop w:val="0"/>
                                          <w:marBottom w:val="0"/>
                                          <w:divBdr>
                                            <w:top w:val="none" w:sz="0" w:space="0" w:color="auto"/>
                                            <w:left w:val="none" w:sz="0" w:space="0" w:color="auto"/>
                                            <w:bottom w:val="none" w:sz="0" w:space="0" w:color="auto"/>
                                            <w:right w:val="none" w:sz="0" w:space="0" w:color="auto"/>
                                          </w:divBdr>
                                          <w:divsChild>
                                            <w:div w:id="192802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6120040">
          <w:marLeft w:val="0"/>
          <w:marRight w:val="0"/>
          <w:marTop w:val="0"/>
          <w:marBottom w:val="0"/>
          <w:divBdr>
            <w:top w:val="none" w:sz="0" w:space="0" w:color="auto"/>
            <w:left w:val="none" w:sz="0" w:space="0" w:color="auto"/>
            <w:bottom w:val="none" w:sz="0" w:space="0" w:color="auto"/>
            <w:right w:val="none" w:sz="0" w:space="0" w:color="auto"/>
          </w:divBdr>
          <w:divsChild>
            <w:div w:id="564150170">
              <w:marLeft w:val="0"/>
              <w:marRight w:val="0"/>
              <w:marTop w:val="0"/>
              <w:marBottom w:val="0"/>
              <w:divBdr>
                <w:top w:val="none" w:sz="0" w:space="0" w:color="auto"/>
                <w:left w:val="none" w:sz="0" w:space="0" w:color="auto"/>
                <w:bottom w:val="none" w:sz="0" w:space="0" w:color="auto"/>
                <w:right w:val="none" w:sz="0" w:space="0" w:color="auto"/>
              </w:divBdr>
              <w:divsChild>
                <w:div w:id="1167674711">
                  <w:marLeft w:val="0"/>
                  <w:marRight w:val="0"/>
                  <w:marTop w:val="0"/>
                  <w:marBottom w:val="0"/>
                  <w:divBdr>
                    <w:top w:val="none" w:sz="0" w:space="0" w:color="auto"/>
                    <w:left w:val="none" w:sz="0" w:space="0" w:color="auto"/>
                    <w:bottom w:val="none" w:sz="0" w:space="0" w:color="auto"/>
                    <w:right w:val="none" w:sz="0" w:space="0" w:color="auto"/>
                  </w:divBdr>
                  <w:divsChild>
                    <w:div w:id="872497191">
                      <w:marLeft w:val="0"/>
                      <w:marRight w:val="0"/>
                      <w:marTop w:val="0"/>
                      <w:marBottom w:val="0"/>
                      <w:divBdr>
                        <w:top w:val="none" w:sz="0" w:space="0" w:color="auto"/>
                        <w:left w:val="none" w:sz="0" w:space="0" w:color="auto"/>
                        <w:bottom w:val="none" w:sz="0" w:space="0" w:color="auto"/>
                        <w:right w:val="none" w:sz="0" w:space="0" w:color="auto"/>
                      </w:divBdr>
                      <w:divsChild>
                        <w:div w:id="1449742480">
                          <w:marLeft w:val="0"/>
                          <w:marRight w:val="0"/>
                          <w:marTop w:val="0"/>
                          <w:marBottom w:val="0"/>
                          <w:divBdr>
                            <w:top w:val="none" w:sz="0" w:space="0" w:color="auto"/>
                            <w:left w:val="none" w:sz="0" w:space="0" w:color="auto"/>
                            <w:bottom w:val="none" w:sz="0" w:space="0" w:color="auto"/>
                            <w:right w:val="none" w:sz="0" w:space="0" w:color="auto"/>
                          </w:divBdr>
                          <w:divsChild>
                            <w:div w:id="118186580">
                              <w:marLeft w:val="0"/>
                              <w:marRight w:val="0"/>
                              <w:marTop w:val="0"/>
                              <w:marBottom w:val="0"/>
                              <w:divBdr>
                                <w:top w:val="none" w:sz="0" w:space="0" w:color="auto"/>
                                <w:left w:val="none" w:sz="0" w:space="0" w:color="auto"/>
                                <w:bottom w:val="none" w:sz="0" w:space="0" w:color="auto"/>
                                <w:right w:val="none" w:sz="0" w:space="0" w:color="auto"/>
                              </w:divBdr>
                              <w:divsChild>
                                <w:div w:id="143358638">
                                  <w:marLeft w:val="0"/>
                                  <w:marRight w:val="0"/>
                                  <w:marTop w:val="0"/>
                                  <w:marBottom w:val="0"/>
                                  <w:divBdr>
                                    <w:top w:val="none" w:sz="0" w:space="0" w:color="auto"/>
                                    <w:left w:val="none" w:sz="0" w:space="0" w:color="auto"/>
                                    <w:bottom w:val="none" w:sz="0" w:space="0" w:color="auto"/>
                                    <w:right w:val="none" w:sz="0" w:space="0" w:color="auto"/>
                                  </w:divBdr>
                                  <w:divsChild>
                                    <w:div w:id="19185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906113">
      <w:bodyDiv w:val="1"/>
      <w:marLeft w:val="0"/>
      <w:marRight w:val="0"/>
      <w:marTop w:val="0"/>
      <w:marBottom w:val="0"/>
      <w:divBdr>
        <w:top w:val="none" w:sz="0" w:space="0" w:color="auto"/>
        <w:left w:val="none" w:sz="0" w:space="0" w:color="auto"/>
        <w:bottom w:val="none" w:sz="0" w:space="0" w:color="auto"/>
        <w:right w:val="none" w:sz="0" w:space="0" w:color="auto"/>
      </w:divBdr>
    </w:div>
    <w:div w:id="1042361872">
      <w:bodyDiv w:val="1"/>
      <w:marLeft w:val="0"/>
      <w:marRight w:val="0"/>
      <w:marTop w:val="0"/>
      <w:marBottom w:val="0"/>
      <w:divBdr>
        <w:top w:val="none" w:sz="0" w:space="0" w:color="auto"/>
        <w:left w:val="none" w:sz="0" w:space="0" w:color="auto"/>
        <w:bottom w:val="none" w:sz="0" w:space="0" w:color="auto"/>
        <w:right w:val="none" w:sz="0" w:space="0" w:color="auto"/>
      </w:divBdr>
    </w:div>
    <w:div w:id="1072434026">
      <w:bodyDiv w:val="1"/>
      <w:marLeft w:val="0"/>
      <w:marRight w:val="0"/>
      <w:marTop w:val="0"/>
      <w:marBottom w:val="0"/>
      <w:divBdr>
        <w:top w:val="none" w:sz="0" w:space="0" w:color="auto"/>
        <w:left w:val="none" w:sz="0" w:space="0" w:color="auto"/>
        <w:bottom w:val="none" w:sz="0" w:space="0" w:color="auto"/>
        <w:right w:val="none" w:sz="0" w:space="0" w:color="auto"/>
      </w:divBdr>
    </w:div>
    <w:div w:id="1081752117">
      <w:bodyDiv w:val="1"/>
      <w:marLeft w:val="0"/>
      <w:marRight w:val="0"/>
      <w:marTop w:val="0"/>
      <w:marBottom w:val="0"/>
      <w:divBdr>
        <w:top w:val="none" w:sz="0" w:space="0" w:color="auto"/>
        <w:left w:val="none" w:sz="0" w:space="0" w:color="auto"/>
        <w:bottom w:val="none" w:sz="0" w:space="0" w:color="auto"/>
        <w:right w:val="none" w:sz="0" w:space="0" w:color="auto"/>
      </w:divBdr>
    </w:div>
    <w:div w:id="1167868959">
      <w:bodyDiv w:val="1"/>
      <w:marLeft w:val="0"/>
      <w:marRight w:val="0"/>
      <w:marTop w:val="0"/>
      <w:marBottom w:val="0"/>
      <w:divBdr>
        <w:top w:val="none" w:sz="0" w:space="0" w:color="auto"/>
        <w:left w:val="none" w:sz="0" w:space="0" w:color="auto"/>
        <w:bottom w:val="none" w:sz="0" w:space="0" w:color="auto"/>
        <w:right w:val="none" w:sz="0" w:space="0" w:color="auto"/>
      </w:divBdr>
      <w:divsChild>
        <w:div w:id="1887716984">
          <w:marLeft w:val="0"/>
          <w:marRight w:val="0"/>
          <w:marTop w:val="0"/>
          <w:marBottom w:val="0"/>
          <w:divBdr>
            <w:top w:val="none" w:sz="0" w:space="0" w:color="auto"/>
            <w:left w:val="none" w:sz="0" w:space="0" w:color="auto"/>
            <w:bottom w:val="none" w:sz="0" w:space="0" w:color="auto"/>
            <w:right w:val="none" w:sz="0" w:space="0" w:color="auto"/>
          </w:divBdr>
          <w:divsChild>
            <w:div w:id="835726048">
              <w:marLeft w:val="0"/>
              <w:marRight w:val="0"/>
              <w:marTop w:val="0"/>
              <w:marBottom w:val="0"/>
              <w:divBdr>
                <w:top w:val="none" w:sz="0" w:space="0" w:color="auto"/>
                <w:left w:val="none" w:sz="0" w:space="0" w:color="auto"/>
                <w:bottom w:val="none" w:sz="0" w:space="0" w:color="auto"/>
                <w:right w:val="none" w:sz="0" w:space="0" w:color="auto"/>
              </w:divBdr>
              <w:divsChild>
                <w:div w:id="1991788550">
                  <w:marLeft w:val="0"/>
                  <w:marRight w:val="0"/>
                  <w:marTop w:val="0"/>
                  <w:marBottom w:val="0"/>
                  <w:divBdr>
                    <w:top w:val="none" w:sz="0" w:space="0" w:color="auto"/>
                    <w:left w:val="none" w:sz="0" w:space="0" w:color="auto"/>
                    <w:bottom w:val="none" w:sz="0" w:space="0" w:color="auto"/>
                    <w:right w:val="none" w:sz="0" w:space="0" w:color="auto"/>
                  </w:divBdr>
                  <w:divsChild>
                    <w:div w:id="1951164990">
                      <w:marLeft w:val="0"/>
                      <w:marRight w:val="0"/>
                      <w:marTop w:val="0"/>
                      <w:marBottom w:val="0"/>
                      <w:divBdr>
                        <w:top w:val="none" w:sz="0" w:space="0" w:color="auto"/>
                        <w:left w:val="none" w:sz="0" w:space="0" w:color="auto"/>
                        <w:bottom w:val="none" w:sz="0" w:space="0" w:color="auto"/>
                        <w:right w:val="none" w:sz="0" w:space="0" w:color="auto"/>
                      </w:divBdr>
                      <w:divsChild>
                        <w:div w:id="759061567">
                          <w:marLeft w:val="0"/>
                          <w:marRight w:val="0"/>
                          <w:marTop w:val="0"/>
                          <w:marBottom w:val="0"/>
                          <w:divBdr>
                            <w:top w:val="none" w:sz="0" w:space="0" w:color="auto"/>
                            <w:left w:val="none" w:sz="0" w:space="0" w:color="auto"/>
                            <w:bottom w:val="none" w:sz="0" w:space="0" w:color="auto"/>
                            <w:right w:val="none" w:sz="0" w:space="0" w:color="auto"/>
                          </w:divBdr>
                          <w:divsChild>
                            <w:div w:id="1158568534">
                              <w:marLeft w:val="0"/>
                              <w:marRight w:val="0"/>
                              <w:marTop w:val="0"/>
                              <w:marBottom w:val="0"/>
                              <w:divBdr>
                                <w:top w:val="none" w:sz="0" w:space="0" w:color="auto"/>
                                <w:left w:val="none" w:sz="0" w:space="0" w:color="auto"/>
                                <w:bottom w:val="none" w:sz="0" w:space="0" w:color="auto"/>
                                <w:right w:val="none" w:sz="0" w:space="0" w:color="auto"/>
                              </w:divBdr>
                              <w:divsChild>
                                <w:div w:id="1379695626">
                                  <w:marLeft w:val="0"/>
                                  <w:marRight w:val="0"/>
                                  <w:marTop w:val="0"/>
                                  <w:marBottom w:val="0"/>
                                  <w:divBdr>
                                    <w:top w:val="none" w:sz="0" w:space="0" w:color="auto"/>
                                    <w:left w:val="none" w:sz="0" w:space="0" w:color="auto"/>
                                    <w:bottom w:val="none" w:sz="0" w:space="0" w:color="auto"/>
                                    <w:right w:val="none" w:sz="0" w:space="0" w:color="auto"/>
                                  </w:divBdr>
                                  <w:divsChild>
                                    <w:div w:id="1874611987">
                                      <w:marLeft w:val="0"/>
                                      <w:marRight w:val="0"/>
                                      <w:marTop w:val="0"/>
                                      <w:marBottom w:val="0"/>
                                      <w:divBdr>
                                        <w:top w:val="none" w:sz="0" w:space="0" w:color="auto"/>
                                        <w:left w:val="none" w:sz="0" w:space="0" w:color="auto"/>
                                        <w:bottom w:val="none" w:sz="0" w:space="0" w:color="auto"/>
                                        <w:right w:val="none" w:sz="0" w:space="0" w:color="auto"/>
                                      </w:divBdr>
                                    </w:div>
                                    <w:div w:id="2067101333">
                                      <w:marLeft w:val="0"/>
                                      <w:marRight w:val="0"/>
                                      <w:marTop w:val="0"/>
                                      <w:marBottom w:val="0"/>
                                      <w:divBdr>
                                        <w:top w:val="none" w:sz="0" w:space="0" w:color="auto"/>
                                        <w:left w:val="none" w:sz="0" w:space="0" w:color="auto"/>
                                        <w:bottom w:val="none" w:sz="0" w:space="0" w:color="auto"/>
                                        <w:right w:val="none" w:sz="0" w:space="0" w:color="auto"/>
                                      </w:divBdr>
                                      <w:divsChild>
                                        <w:div w:id="102108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83627">
          <w:marLeft w:val="0"/>
          <w:marRight w:val="0"/>
          <w:marTop w:val="0"/>
          <w:marBottom w:val="0"/>
          <w:divBdr>
            <w:top w:val="none" w:sz="0" w:space="0" w:color="auto"/>
            <w:left w:val="none" w:sz="0" w:space="0" w:color="auto"/>
            <w:bottom w:val="none" w:sz="0" w:space="0" w:color="auto"/>
            <w:right w:val="none" w:sz="0" w:space="0" w:color="auto"/>
          </w:divBdr>
        </w:div>
      </w:divsChild>
    </w:div>
    <w:div w:id="1175149043">
      <w:bodyDiv w:val="1"/>
      <w:marLeft w:val="0"/>
      <w:marRight w:val="0"/>
      <w:marTop w:val="0"/>
      <w:marBottom w:val="0"/>
      <w:divBdr>
        <w:top w:val="none" w:sz="0" w:space="0" w:color="auto"/>
        <w:left w:val="none" w:sz="0" w:space="0" w:color="auto"/>
        <w:bottom w:val="none" w:sz="0" w:space="0" w:color="auto"/>
        <w:right w:val="none" w:sz="0" w:space="0" w:color="auto"/>
      </w:divBdr>
    </w:div>
    <w:div w:id="1191258489">
      <w:bodyDiv w:val="1"/>
      <w:marLeft w:val="0"/>
      <w:marRight w:val="0"/>
      <w:marTop w:val="0"/>
      <w:marBottom w:val="0"/>
      <w:divBdr>
        <w:top w:val="none" w:sz="0" w:space="0" w:color="auto"/>
        <w:left w:val="none" w:sz="0" w:space="0" w:color="auto"/>
        <w:bottom w:val="none" w:sz="0" w:space="0" w:color="auto"/>
        <w:right w:val="none" w:sz="0" w:space="0" w:color="auto"/>
      </w:divBdr>
    </w:div>
    <w:div w:id="1217938256">
      <w:bodyDiv w:val="1"/>
      <w:marLeft w:val="0"/>
      <w:marRight w:val="0"/>
      <w:marTop w:val="0"/>
      <w:marBottom w:val="0"/>
      <w:divBdr>
        <w:top w:val="none" w:sz="0" w:space="0" w:color="auto"/>
        <w:left w:val="none" w:sz="0" w:space="0" w:color="auto"/>
        <w:bottom w:val="none" w:sz="0" w:space="0" w:color="auto"/>
        <w:right w:val="none" w:sz="0" w:space="0" w:color="auto"/>
      </w:divBdr>
    </w:div>
    <w:div w:id="1259605464">
      <w:bodyDiv w:val="1"/>
      <w:marLeft w:val="0"/>
      <w:marRight w:val="0"/>
      <w:marTop w:val="0"/>
      <w:marBottom w:val="0"/>
      <w:divBdr>
        <w:top w:val="none" w:sz="0" w:space="0" w:color="auto"/>
        <w:left w:val="none" w:sz="0" w:space="0" w:color="auto"/>
        <w:bottom w:val="none" w:sz="0" w:space="0" w:color="auto"/>
        <w:right w:val="none" w:sz="0" w:space="0" w:color="auto"/>
      </w:divBdr>
    </w:div>
    <w:div w:id="1266110042">
      <w:bodyDiv w:val="1"/>
      <w:marLeft w:val="0"/>
      <w:marRight w:val="0"/>
      <w:marTop w:val="0"/>
      <w:marBottom w:val="0"/>
      <w:divBdr>
        <w:top w:val="none" w:sz="0" w:space="0" w:color="auto"/>
        <w:left w:val="none" w:sz="0" w:space="0" w:color="auto"/>
        <w:bottom w:val="none" w:sz="0" w:space="0" w:color="auto"/>
        <w:right w:val="none" w:sz="0" w:space="0" w:color="auto"/>
      </w:divBdr>
    </w:div>
    <w:div w:id="1285500696">
      <w:bodyDiv w:val="1"/>
      <w:marLeft w:val="0"/>
      <w:marRight w:val="0"/>
      <w:marTop w:val="0"/>
      <w:marBottom w:val="0"/>
      <w:divBdr>
        <w:top w:val="none" w:sz="0" w:space="0" w:color="auto"/>
        <w:left w:val="none" w:sz="0" w:space="0" w:color="auto"/>
        <w:bottom w:val="none" w:sz="0" w:space="0" w:color="auto"/>
        <w:right w:val="none" w:sz="0" w:space="0" w:color="auto"/>
      </w:divBdr>
    </w:div>
    <w:div w:id="1350374758">
      <w:bodyDiv w:val="1"/>
      <w:marLeft w:val="0"/>
      <w:marRight w:val="0"/>
      <w:marTop w:val="0"/>
      <w:marBottom w:val="0"/>
      <w:divBdr>
        <w:top w:val="none" w:sz="0" w:space="0" w:color="auto"/>
        <w:left w:val="none" w:sz="0" w:space="0" w:color="auto"/>
        <w:bottom w:val="none" w:sz="0" w:space="0" w:color="auto"/>
        <w:right w:val="none" w:sz="0" w:space="0" w:color="auto"/>
      </w:divBdr>
    </w:div>
    <w:div w:id="1353873321">
      <w:bodyDiv w:val="1"/>
      <w:marLeft w:val="0"/>
      <w:marRight w:val="0"/>
      <w:marTop w:val="0"/>
      <w:marBottom w:val="0"/>
      <w:divBdr>
        <w:top w:val="none" w:sz="0" w:space="0" w:color="auto"/>
        <w:left w:val="none" w:sz="0" w:space="0" w:color="auto"/>
        <w:bottom w:val="none" w:sz="0" w:space="0" w:color="auto"/>
        <w:right w:val="none" w:sz="0" w:space="0" w:color="auto"/>
      </w:divBdr>
    </w:div>
    <w:div w:id="1354114753">
      <w:bodyDiv w:val="1"/>
      <w:marLeft w:val="0"/>
      <w:marRight w:val="0"/>
      <w:marTop w:val="0"/>
      <w:marBottom w:val="0"/>
      <w:divBdr>
        <w:top w:val="none" w:sz="0" w:space="0" w:color="auto"/>
        <w:left w:val="none" w:sz="0" w:space="0" w:color="auto"/>
        <w:bottom w:val="none" w:sz="0" w:space="0" w:color="auto"/>
        <w:right w:val="none" w:sz="0" w:space="0" w:color="auto"/>
      </w:divBdr>
    </w:div>
    <w:div w:id="1381174500">
      <w:bodyDiv w:val="1"/>
      <w:marLeft w:val="0"/>
      <w:marRight w:val="0"/>
      <w:marTop w:val="0"/>
      <w:marBottom w:val="0"/>
      <w:divBdr>
        <w:top w:val="none" w:sz="0" w:space="0" w:color="auto"/>
        <w:left w:val="none" w:sz="0" w:space="0" w:color="auto"/>
        <w:bottom w:val="none" w:sz="0" w:space="0" w:color="auto"/>
        <w:right w:val="none" w:sz="0" w:space="0" w:color="auto"/>
      </w:divBdr>
    </w:div>
    <w:div w:id="1381444253">
      <w:bodyDiv w:val="1"/>
      <w:marLeft w:val="0"/>
      <w:marRight w:val="0"/>
      <w:marTop w:val="0"/>
      <w:marBottom w:val="0"/>
      <w:divBdr>
        <w:top w:val="none" w:sz="0" w:space="0" w:color="auto"/>
        <w:left w:val="none" w:sz="0" w:space="0" w:color="auto"/>
        <w:bottom w:val="none" w:sz="0" w:space="0" w:color="auto"/>
        <w:right w:val="none" w:sz="0" w:space="0" w:color="auto"/>
      </w:divBdr>
    </w:div>
    <w:div w:id="1391343277">
      <w:bodyDiv w:val="1"/>
      <w:marLeft w:val="0"/>
      <w:marRight w:val="0"/>
      <w:marTop w:val="0"/>
      <w:marBottom w:val="0"/>
      <w:divBdr>
        <w:top w:val="none" w:sz="0" w:space="0" w:color="auto"/>
        <w:left w:val="none" w:sz="0" w:space="0" w:color="auto"/>
        <w:bottom w:val="none" w:sz="0" w:space="0" w:color="auto"/>
        <w:right w:val="none" w:sz="0" w:space="0" w:color="auto"/>
      </w:divBdr>
    </w:div>
    <w:div w:id="1429041403">
      <w:bodyDiv w:val="1"/>
      <w:marLeft w:val="0"/>
      <w:marRight w:val="0"/>
      <w:marTop w:val="0"/>
      <w:marBottom w:val="0"/>
      <w:divBdr>
        <w:top w:val="none" w:sz="0" w:space="0" w:color="auto"/>
        <w:left w:val="none" w:sz="0" w:space="0" w:color="auto"/>
        <w:bottom w:val="none" w:sz="0" w:space="0" w:color="auto"/>
        <w:right w:val="none" w:sz="0" w:space="0" w:color="auto"/>
      </w:divBdr>
      <w:divsChild>
        <w:div w:id="643585591">
          <w:marLeft w:val="0"/>
          <w:marRight w:val="0"/>
          <w:marTop w:val="0"/>
          <w:marBottom w:val="0"/>
          <w:divBdr>
            <w:top w:val="none" w:sz="0" w:space="0" w:color="auto"/>
            <w:left w:val="none" w:sz="0" w:space="0" w:color="auto"/>
            <w:bottom w:val="none" w:sz="0" w:space="0" w:color="auto"/>
            <w:right w:val="none" w:sz="0" w:space="0" w:color="auto"/>
          </w:divBdr>
          <w:divsChild>
            <w:div w:id="1610090591">
              <w:marLeft w:val="0"/>
              <w:marRight w:val="0"/>
              <w:marTop w:val="0"/>
              <w:marBottom w:val="0"/>
              <w:divBdr>
                <w:top w:val="none" w:sz="0" w:space="0" w:color="auto"/>
                <w:left w:val="none" w:sz="0" w:space="0" w:color="auto"/>
                <w:bottom w:val="none" w:sz="0" w:space="0" w:color="auto"/>
                <w:right w:val="none" w:sz="0" w:space="0" w:color="auto"/>
              </w:divBdr>
              <w:divsChild>
                <w:div w:id="1245259998">
                  <w:marLeft w:val="0"/>
                  <w:marRight w:val="0"/>
                  <w:marTop w:val="0"/>
                  <w:marBottom w:val="0"/>
                  <w:divBdr>
                    <w:top w:val="none" w:sz="0" w:space="0" w:color="auto"/>
                    <w:left w:val="none" w:sz="0" w:space="0" w:color="auto"/>
                    <w:bottom w:val="none" w:sz="0" w:space="0" w:color="auto"/>
                    <w:right w:val="none" w:sz="0" w:space="0" w:color="auto"/>
                  </w:divBdr>
                  <w:divsChild>
                    <w:div w:id="1605573205">
                      <w:marLeft w:val="0"/>
                      <w:marRight w:val="0"/>
                      <w:marTop w:val="0"/>
                      <w:marBottom w:val="0"/>
                      <w:divBdr>
                        <w:top w:val="none" w:sz="0" w:space="0" w:color="auto"/>
                        <w:left w:val="none" w:sz="0" w:space="0" w:color="auto"/>
                        <w:bottom w:val="none" w:sz="0" w:space="0" w:color="auto"/>
                        <w:right w:val="none" w:sz="0" w:space="0" w:color="auto"/>
                      </w:divBdr>
                      <w:divsChild>
                        <w:div w:id="1040515586">
                          <w:marLeft w:val="0"/>
                          <w:marRight w:val="0"/>
                          <w:marTop w:val="0"/>
                          <w:marBottom w:val="0"/>
                          <w:divBdr>
                            <w:top w:val="none" w:sz="0" w:space="0" w:color="auto"/>
                            <w:left w:val="none" w:sz="0" w:space="0" w:color="auto"/>
                            <w:bottom w:val="none" w:sz="0" w:space="0" w:color="auto"/>
                            <w:right w:val="none" w:sz="0" w:space="0" w:color="auto"/>
                          </w:divBdr>
                          <w:divsChild>
                            <w:div w:id="659433206">
                              <w:marLeft w:val="0"/>
                              <w:marRight w:val="0"/>
                              <w:marTop w:val="0"/>
                              <w:marBottom w:val="0"/>
                              <w:divBdr>
                                <w:top w:val="none" w:sz="0" w:space="0" w:color="auto"/>
                                <w:left w:val="none" w:sz="0" w:space="0" w:color="auto"/>
                                <w:bottom w:val="none" w:sz="0" w:space="0" w:color="auto"/>
                                <w:right w:val="none" w:sz="0" w:space="0" w:color="auto"/>
                              </w:divBdr>
                              <w:divsChild>
                                <w:div w:id="1246575101">
                                  <w:marLeft w:val="0"/>
                                  <w:marRight w:val="0"/>
                                  <w:marTop w:val="0"/>
                                  <w:marBottom w:val="0"/>
                                  <w:divBdr>
                                    <w:top w:val="none" w:sz="0" w:space="0" w:color="auto"/>
                                    <w:left w:val="none" w:sz="0" w:space="0" w:color="auto"/>
                                    <w:bottom w:val="none" w:sz="0" w:space="0" w:color="auto"/>
                                    <w:right w:val="none" w:sz="0" w:space="0" w:color="auto"/>
                                  </w:divBdr>
                                  <w:divsChild>
                                    <w:div w:id="203144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21368">
                          <w:marLeft w:val="0"/>
                          <w:marRight w:val="0"/>
                          <w:marTop w:val="0"/>
                          <w:marBottom w:val="0"/>
                          <w:divBdr>
                            <w:top w:val="none" w:sz="0" w:space="0" w:color="auto"/>
                            <w:left w:val="none" w:sz="0" w:space="0" w:color="auto"/>
                            <w:bottom w:val="none" w:sz="0" w:space="0" w:color="auto"/>
                            <w:right w:val="none" w:sz="0" w:space="0" w:color="auto"/>
                          </w:divBdr>
                          <w:divsChild>
                            <w:div w:id="1195920718">
                              <w:marLeft w:val="0"/>
                              <w:marRight w:val="0"/>
                              <w:marTop w:val="0"/>
                              <w:marBottom w:val="0"/>
                              <w:divBdr>
                                <w:top w:val="none" w:sz="0" w:space="0" w:color="auto"/>
                                <w:left w:val="none" w:sz="0" w:space="0" w:color="auto"/>
                                <w:bottom w:val="none" w:sz="0" w:space="0" w:color="auto"/>
                                <w:right w:val="none" w:sz="0" w:space="0" w:color="auto"/>
                              </w:divBdr>
                              <w:divsChild>
                                <w:div w:id="41336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1241947">
          <w:marLeft w:val="0"/>
          <w:marRight w:val="0"/>
          <w:marTop w:val="0"/>
          <w:marBottom w:val="0"/>
          <w:divBdr>
            <w:top w:val="none" w:sz="0" w:space="0" w:color="auto"/>
            <w:left w:val="none" w:sz="0" w:space="0" w:color="auto"/>
            <w:bottom w:val="none" w:sz="0" w:space="0" w:color="auto"/>
            <w:right w:val="none" w:sz="0" w:space="0" w:color="auto"/>
          </w:divBdr>
          <w:divsChild>
            <w:div w:id="315843900">
              <w:marLeft w:val="0"/>
              <w:marRight w:val="0"/>
              <w:marTop w:val="0"/>
              <w:marBottom w:val="0"/>
              <w:divBdr>
                <w:top w:val="none" w:sz="0" w:space="0" w:color="auto"/>
                <w:left w:val="none" w:sz="0" w:space="0" w:color="auto"/>
                <w:bottom w:val="none" w:sz="0" w:space="0" w:color="auto"/>
                <w:right w:val="none" w:sz="0" w:space="0" w:color="auto"/>
              </w:divBdr>
              <w:divsChild>
                <w:div w:id="962613104">
                  <w:marLeft w:val="0"/>
                  <w:marRight w:val="0"/>
                  <w:marTop w:val="0"/>
                  <w:marBottom w:val="0"/>
                  <w:divBdr>
                    <w:top w:val="none" w:sz="0" w:space="0" w:color="auto"/>
                    <w:left w:val="none" w:sz="0" w:space="0" w:color="auto"/>
                    <w:bottom w:val="none" w:sz="0" w:space="0" w:color="auto"/>
                    <w:right w:val="none" w:sz="0" w:space="0" w:color="auto"/>
                  </w:divBdr>
                  <w:divsChild>
                    <w:div w:id="1992908268">
                      <w:marLeft w:val="0"/>
                      <w:marRight w:val="0"/>
                      <w:marTop w:val="0"/>
                      <w:marBottom w:val="0"/>
                      <w:divBdr>
                        <w:top w:val="none" w:sz="0" w:space="0" w:color="auto"/>
                        <w:left w:val="none" w:sz="0" w:space="0" w:color="auto"/>
                        <w:bottom w:val="none" w:sz="0" w:space="0" w:color="auto"/>
                        <w:right w:val="none" w:sz="0" w:space="0" w:color="auto"/>
                      </w:divBdr>
                      <w:divsChild>
                        <w:div w:id="2096660095">
                          <w:marLeft w:val="0"/>
                          <w:marRight w:val="0"/>
                          <w:marTop w:val="0"/>
                          <w:marBottom w:val="0"/>
                          <w:divBdr>
                            <w:top w:val="none" w:sz="0" w:space="0" w:color="auto"/>
                            <w:left w:val="none" w:sz="0" w:space="0" w:color="auto"/>
                            <w:bottom w:val="none" w:sz="0" w:space="0" w:color="auto"/>
                            <w:right w:val="none" w:sz="0" w:space="0" w:color="auto"/>
                          </w:divBdr>
                          <w:divsChild>
                            <w:div w:id="989869693">
                              <w:marLeft w:val="0"/>
                              <w:marRight w:val="0"/>
                              <w:marTop w:val="0"/>
                              <w:marBottom w:val="0"/>
                              <w:divBdr>
                                <w:top w:val="none" w:sz="0" w:space="0" w:color="auto"/>
                                <w:left w:val="none" w:sz="0" w:space="0" w:color="auto"/>
                                <w:bottom w:val="none" w:sz="0" w:space="0" w:color="auto"/>
                                <w:right w:val="none" w:sz="0" w:space="0" w:color="auto"/>
                              </w:divBdr>
                              <w:divsChild>
                                <w:div w:id="1944454713">
                                  <w:marLeft w:val="0"/>
                                  <w:marRight w:val="0"/>
                                  <w:marTop w:val="0"/>
                                  <w:marBottom w:val="0"/>
                                  <w:divBdr>
                                    <w:top w:val="none" w:sz="0" w:space="0" w:color="auto"/>
                                    <w:left w:val="none" w:sz="0" w:space="0" w:color="auto"/>
                                    <w:bottom w:val="none" w:sz="0" w:space="0" w:color="auto"/>
                                    <w:right w:val="none" w:sz="0" w:space="0" w:color="auto"/>
                                  </w:divBdr>
                                  <w:divsChild>
                                    <w:div w:id="420176509">
                                      <w:marLeft w:val="0"/>
                                      <w:marRight w:val="0"/>
                                      <w:marTop w:val="0"/>
                                      <w:marBottom w:val="0"/>
                                      <w:divBdr>
                                        <w:top w:val="none" w:sz="0" w:space="0" w:color="auto"/>
                                        <w:left w:val="none" w:sz="0" w:space="0" w:color="auto"/>
                                        <w:bottom w:val="none" w:sz="0" w:space="0" w:color="auto"/>
                                        <w:right w:val="none" w:sz="0" w:space="0" w:color="auto"/>
                                      </w:divBdr>
                                      <w:divsChild>
                                        <w:div w:id="714236972">
                                          <w:marLeft w:val="0"/>
                                          <w:marRight w:val="0"/>
                                          <w:marTop w:val="0"/>
                                          <w:marBottom w:val="0"/>
                                          <w:divBdr>
                                            <w:top w:val="none" w:sz="0" w:space="0" w:color="auto"/>
                                            <w:left w:val="none" w:sz="0" w:space="0" w:color="auto"/>
                                            <w:bottom w:val="none" w:sz="0" w:space="0" w:color="auto"/>
                                            <w:right w:val="none" w:sz="0" w:space="0" w:color="auto"/>
                                          </w:divBdr>
                                          <w:divsChild>
                                            <w:div w:id="22650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69115753">
          <w:marLeft w:val="0"/>
          <w:marRight w:val="0"/>
          <w:marTop w:val="0"/>
          <w:marBottom w:val="0"/>
          <w:divBdr>
            <w:top w:val="none" w:sz="0" w:space="0" w:color="auto"/>
            <w:left w:val="none" w:sz="0" w:space="0" w:color="auto"/>
            <w:bottom w:val="none" w:sz="0" w:space="0" w:color="auto"/>
            <w:right w:val="none" w:sz="0" w:space="0" w:color="auto"/>
          </w:divBdr>
          <w:divsChild>
            <w:div w:id="1654287208">
              <w:marLeft w:val="0"/>
              <w:marRight w:val="0"/>
              <w:marTop w:val="0"/>
              <w:marBottom w:val="0"/>
              <w:divBdr>
                <w:top w:val="none" w:sz="0" w:space="0" w:color="auto"/>
                <w:left w:val="none" w:sz="0" w:space="0" w:color="auto"/>
                <w:bottom w:val="none" w:sz="0" w:space="0" w:color="auto"/>
                <w:right w:val="none" w:sz="0" w:space="0" w:color="auto"/>
              </w:divBdr>
              <w:divsChild>
                <w:div w:id="472404673">
                  <w:marLeft w:val="0"/>
                  <w:marRight w:val="0"/>
                  <w:marTop w:val="0"/>
                  <w:marBottom w:val="0"/>
                  <w:divBdr>
                    <w:top w:val="none" w:sz="0" w:space="0" w:color="auto"/>
                    <w:left w:val="none" w:sz="0" w:space="0" w:color="auto"/>
                    <w:bottom w:val="none" w:sz="0" w:space="0" w:color="auto"/>
                    <w:right w:val="none" w:sz="0" w:space="0" w:color="auto"/>
                  </w:divBdr>
                  <w:divsChild>
                    <w:div w:id="1937128072">
                      <w:marLeft w:val="0"/>
                      <w:marRight w:val="0"/>
                      <w:marTop w:val="0"/>
                      <w:marBottom w:val="0"/>
                      <w:divBdr>
                        <w:top w:val="none" w:sz="0" w:space="0" w:color="auto"/>
                        <w:left w:val="none" w:sz="0" w:space="0" w:color="auto"/>
                        <w:bottom w:val="none" w:sz="0" w:space="0" w:color="auto"/>
                        <w:right w:val="none" w:sz="0" w:space="0" w:color="auto"/>
                      </w:divBdr>
                      <w:divsChild>
                        <w:div w:id="1158420791">
                          <w:marLeft w:val="0"/>
                          <w:marRight w:val="0"/>
                          <w:marTop w:val="0"/>
                          <w:marBottom w:val="0"/>
                          <w:divBdr>
                            <w:top w:val="none" w:sz="0" w:space="0" w:color="auto"/>
                            <w:left w:val="none" w:sz="0" w:space="0" w:color="auto"/>
                            <w:bottom w:val="none" w:sz="0" w:space="0" w:color="auto"/>
                            <w:right w:val="none" w:sz="0" w:space="0" w:color="auto"/>
                          </w:divBdr>
                          <w:divsChild>
                            <w:div w:id="1599561653">
                              <w:marLeft w:val="0"/>
                              <w:marRight w:val="0"/>
                              <w:marTop w:val="0"/>
                              <w:marBottom w:val="0"/>
                              <w:divBdr>
                                <w:top w:val="none" w:sz="0" w:space="0" w:color="auto"/>
                                <w:left w:val="none" w:sz="0" w:space="0" w:color="auto"/>
                                <w:bottom w:val="none" w:sz="0" w:space="0" w:color="auto"/>
                                <w:right w:val="none" w:sz="0" w:space="0" w:color="auto"/>
                              </w:divBdr>
                              <w:divsChild>
                                <w:div w:id="635723858">
                                  <w:marLeft w:val="0"/>
                                  <w:marRight w:val="0"/>
                                  <w:marTop w:val="0"/>
                                  <w:marBottom w:val="0"/>
                                  <w:divBdr>
                                    <w:top w:val="none" w:sz="0" w:space="0" w:color="auto"/>
                                    <w:left w:val="none" w:sz="0" w:space="0" w:color="auto"/>
                                    <w:bottom w:val="none" w:sz="0" w:space="0" w:color="auto"/>
                                    <w:right w:val="none" w:sz="0" w:space="0" w:color="auto"/>
                                  </w:divBdr>
                                  <w:divsChild>
                                    <w:div w:id="138302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5926529">
          <w:marLeft w:val="0"/>
          <w:marRight w:val="0"/>
          <w:marTop w:val="0"/>
          <w:marBottom w:val="0"/>
          <w:divBdr>
            <w:top w:val="none" w:sz="0" w:space="0" w:color="auto"/>
            <w:left w:val="none" w:sz="0" w:space="0" w:color="auto"/>
            <w:bottom w:val="none" w:sz="0" w:space="0" w:color="auto"/>
            <w:right w:val="none" w:sz="0" w:space="0" w:color="auto"/>
          </w:divBdr>
          <w:divsChild>
            <w:div w:id="1285428158">
              <w:marLeft w:val="0"/>
              <w:marRight w:val="0"/>
              <w:marTop w:val="0"/>
              <w:marBottom w:val="0"/>
              <w:divBdr>
                <w:top w:val="none" w:sz="0" w:space="0" w:color="auto"/>
                <w:left w:val="none" w:sz="0" w:space="0" w:color="auto"/>
                <w:bottom w:val="none" w:sz="0" w:space="0" w:color="auto"/>
                <w:right w:val="none" w:sz="0" w:space="0" w:color="auto"/>
              </w:divBdr>
              <w:divsChild>
                <w:div w:id="1335954652">
                  <w:marLeft w:val="0"/>
                  <w:marRight w:val="0"/>
                  <w:marTop w:val="0"/>
                  <w:marBottom w:val="0"/>
                  <w:divBdr>
                    <w:top w:val="none" w:sz="0" w:space="0" w:color="auto"/>
                    <w:left w:val="none" w:sz="0" w:space="0" w:color="auto"/>
                    <w:bottom w:val="none" w:sz="0" w:space="0" w:color="auto"/>
                    <w:right w:val="none" w:sz="0" w:space="0" w:color="auto"/>
                  </w:divBdr>
                  <w:divsChild>
                    <w:div w:id="200752251">
                      <w:marLeft w:val="0"/>
                      <w:marRight w:val="0"/>
                      <w:marTop w:val="0"/>
                      <w:marBottom w:val="0"/>
                      <w:divBdr>
                        <w:top w:val="none" w:sz="0" w:space="0" w:color="auto"/>
                        <w:left w:val="none" w:sz="0" w:space="0" w:color="auto"/>
                        <w:bottom w:val="none" w:sz="0" w:space="0" w:color="auto"/>
                        <w:right w:val="none" w:sz="0" w:space="0" w:color="auto"/>
                      </w:divBdr>
                      <w:divsChild>
                        <w:div w:id="685399744">
                          <w:marLeft w:val="0"/>
                          <w:marRight w:val="0"/>
                          <w:marTop w:val="0"/>
                          <w:marBottom w:val="0"/>
                          <w:divBdr>
                            <w:top w:val="none" w:sz="0" w:space="0" w:color="auto"/>
                            <w:left w:val="none" w:sz="0" w:space="0" w:color="auto"/>
                            <w:bottom w:val="none" w:sz="0" w:space="0" w:color="auto"/>
                            <w:right w:val="none" w:sz="0" w:space="0" w:color="auto"/>
                          </w:divBdr>
                          <w:divsChild>
                            <w:div w:id="989211649">
                              <w:marLeft w:val="0"/>
                              <w:marRight w:val="0"/>
                              <w:marTop w:val="0"/>
                              <w:marBottom w:val="0"/>
                              <w:divBdr>
                                <w:top w:val="none" w:sz="0" w:space="0" w:color="auto"/>
                                <w:left w:val="none" w:sz="0" w:space="0" w:color="auto"/>
                                <w:bottom w:val="none" w:sz="0" w:space="0" w:color="auto"/>
                                <w:right w:val="none" w:sz="0" w:space="0" w:color="auto"/>
                              </w:divBdr>
                              <w:divsChild>
                                <w:div w:id="106050682">
                                  <w:marLeft w:val="0"/>
                                  <w:marRight w:val="0"/>
                                  <w:marTop w:val="0"/>
                                  <w:marBottom w:val="0"/>
                                  <w:divBdr>
                                    <w:top w:val="none" w:sz="0" w:space="0" w:color="auto"/>
                                    <w:left w:val="none" w:sz="0" w:space="0" w:color="auto"/>
                                    <w:bottom w:val="none" w:sz="0" w:space="0" w:color="auto"/>
                                    <w:right w:val="none" w:sz="0" w:space="0" w:color="auto"/>
                                  </w:divBdr>
                                  <w:divsChild>
                                    <w:div w:id="394356033">
                                      <w:marLeft w:val="0"/>
                                      <w:marRight w:val="0"/>
                                      <w:marTop w:val="0"/>
                                      <w:marBottom w:val="0"/>
                                      <w:divBdr>
                                        <w:top w:val="none" w:sz="0" w:space="0" w:color="auto"/>
                                        <w:left w:val="none" w:sz="0" w:space="0" w:color="auto"/>
                                        <w:bottom w:val="none" w:sz="0" w:space="0" w:color="auto"/>
                                        <w:right w:val="none" w:sz="0" w:space="0" w:color="auto"/>
                                      </w:divBdr>
                                      <w:divsChild>
                                        <w:div w:id="1000696883">
                                          <w:marLeft w:val="0"/>
                                          <w:marRight w:val="0"/>
                                          <w:marTop w:val="0"/>
                                          <w:marBottom w:val="0"/>
                                          <w:divBdr>
                                            <w:top w:val="none" w:sz="0" w:space="0" w:color="auto"/>
                                            <w:left w:val="none" w:sz="0" w:space="0" w:color="auto"/>
                                            <w:bottom w:val="none" w:sz="0" w:space="0" w:color="auto"/>
                                            <w:right w:val="none" w:sz="0" w:space="0" w:color="auto"/>
                                          </w:divBdr>
                                          <w:divsChild>
                                            <w:div w:id="117842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8236119">
          <w:marLeft w:val="0"/>
          <w:marRight w:val="0"/>
          <w:marTop w:val="0"/>
          <w:marBottom w:val="0"/>
          <w:divBdr>
            <w:top w:val="none" w:sz="0" w:space="0" w:color="auto"/>
            <w:left w:val="none" w:sz="0" w:space="0" w:color="auto"/>
            <w:bottom w:val="none" w:sz="0" w:space="0" w:color="auto"/>
            <w:right w:val="none" w:sz="0" w:space="0" w:color="auto"/>
          </w:divBdr>
          <w:divsChild>
            <w:div w:id="1033962670">
              <w:marLeft w:val="0"/>
              <w:marRight w:val="0"/>
              <w:marTop w:val="0"/>
              <w:marBottom w:val="0"/>
              <w:divBdr>
                <w:top w:val="none" w:sz="0" w:space="0" w:color="auto"/>
                <w:left w:val="none" w:sz="0" w:space="0" w:color="auto"/>
                <w:bottom w:val="none" w:sz="0" w:space="0" w:color="auto"/>
                <w:right w:val="none" w:sz="0" w:space="0" w:color="auto"/>
              </w:divBdr>
              <w:divsChild>
                <w:div w:id="2136676088">
                  <w:marLeft w:val="0"/>
                  <w:marRight w:val="0"/>
                  <w:marTop w:val="0"/>
                  <w:marBottom w:val="0"/>
                  <w:divBdr>
                    <w:top w:val="none" w:sz="0" w:space="0" w:color="auto"/>
                    <w:left w:val="none" w:sz="0" w:space="0" w:color="auto"/>
                    <w:bottom w:val="none" w:sz="0" w:space="0" w:color="auto"/>
                    <w:right w:val="none" w:sz="0" w:space="0" w:color="auto"/>
                  </w:divBdr>
                  <w:divsChild>
                    <w:div w:id="1339961077">
                      <w:marLeft w:val="0"/>
                      <w:marRight w:val="0"/>
                      <w:marTop w:val="0"/>
                      <w:marBottom w:val="0"/>
                      <w:divBdr>
                        <w:top w:val="none" w:sz="0" w:space="0" w:color="auto"/>
                        <w:left w:val="none" w:sz="0" w:space="0" w:color="auto"/>
                        <w:bottom w:val="none" w:sz="0" w:space="0" w:color="auto"/>
                        <w:right w:val="none" w:sz="0" w:space="0" w:color="auto"/>
                      </w:divBdr>
                      <w:divsChild>
                        <w:div w:id="295646254">
                          <w:marLeft w:val="0"/>
                          <w:marRight w:val="0"/>
                          <w:marTop w:val="0"/>
                          <w:marBottom w:val="0"/>
                          <w:divBdr>
                            <w:top w:val="none" w:sz="0" w:space="0" w:color="auto"/>
                            <w:left w:val="none" w:sz="0" w:space="0" w:color="auto"/>
                            <w:bottom w:val="none" w:sz="0" w:space="0" w:color="auto"/>
                            <w:right w:val="none" w:sz="0" w:space="0" w:color="auto"/>
                          </w:divBdr>
                          <w:divsChild>
                            <w:div w:id="912737062">
                              <w:marLeft w:val="0"/>
                              <w:marRight w:val="0"/>
                              <w:marTop w:val="0"/>
                              <w:marBottom w:val="0"/>
                              <w:divBdr>
                                <w:top w:val="none" w:sz="0" w:space="0" w:color="auto"/>
                                <w:left w:val="none" w:sz="0" w:space="0" w:color="auto"/>
                                <w:bottom w:val="none" w:sz="0" w:space="0" w:color="auto"/>
                                <w:right w:val="none" w:sz="0" w:space="0" w:color="auto"/>
                              </w:divBdr>
                              <w:divsChild>
                                <w:div w:id="1659649450">
                                  <w:marLeft w:val="0"/>
                                  <w:marRight w:val="0"/>
                                  <w:marTop w:val="0"/>
                                  <w:marBottom w:val="0"/>
                                  <w:divBdr>
                                    <w:top w:val="none" w:sz="0" w:space="0" w:color="auto"/>
                                    <w:left w:val="none" w:sz="0" w:space="0" w:color="auto"/>
                                    <w:bottom w:val="none" w:sz="0" w:space="0" w:color="auto"/>
                                    <w:right w:val="none" w:sz="0" w:space="0" w:color="auto"/>
                                  </w:divBdr>
                                  <w:divsChild>
                                    <w:div w:id="159943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97711">
                          <w:marLeft w:val="0"/>
                          <w:marRight w:val="0"/>
                          <w:marTop w:val="0"/>
                          <w:marBottom w:val="0"/>
                          <w:divBdr>
                            <w:top w:val="none" w:sz="0" w:space="0" w:color="auto"/>
                            <w:left w:val="none" w:sz="0" w:space="0" w:color="auto"/>
                            <w:bottom w:val="none" w:sz="0" w:space="0" w:color="auto"/>
                            <w:right w:val="none" w:sz="0" w:space="0" w:color="auto"/>
                          </w:divBdr>
                          <w:divsChild>
                            <w:div w:id="1010789851">
                              <w:marLeft w:val="0"/>
                              <w:marRight w:val="0"/>
                              <w:marTop w:val="0"/>
                              <w:marBottom w:val="0"/>
                              <w:divBdr>
                                <w:top w:val="none" w:sz="0" w:space="0" w:color="auto"/>
                                <w:left w:val="none" w:sz="0" w:space="0" w:color="auto"/>
                                <w:bottom w:val="none" w:sz="0" w:space="0" w:color="auto"/>
                                <w:right w:val="none" w:sz="0" w:space="0" w:color="auto"/>
                              </w:divBdr>
                              <w:divsChild>
                                <w:div w:id="156919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3449706">
          <w:marLeft w:val="0"/>
          <w:marRight w:val="0"/>
          <w:marTop w:val="0"/>
          <w:marBottom w:val="0"/>
          <w:divBdr>
            <w:top w:val="none" w:sz="0" w:space="0" w:color="auto"/>
            <w:left w:val="none" w:sz="0" w:space="0" w:color="auto"/>
            <w:bottom w:val="none" w:sz="0" w:space="0" w:color="auto"/>
            <w:right w:val="none" w:sz="0" w:space="0" w:color="auto"/>
          </w:divBdr>
          <w:divsChild>
            <w:div w:id="1851992515">
              <w:marLeft w:val="0"/>
              <w:marRight w:val="0"/>
              <w:marTop w:val="0"/>
              <w:marBottom w:val="0"/>
              <w:divBdr>
                <w:top w:val="none" w:sz="0" w:space="0" w:color="auto"/>
                <w:left w:val="none" w:sz="0" w:space="0" w:color="auto"/>
                <w:bottom w:val="none" w:sz="0" w:space="0" w:color="auto"/>
                <w:right w:val="none" w:sz="0" w:space="0" w:color="auto"/>
              </w:divBdr>
              <w:divsChild>
                <w:div w:id="477654427">
                  <w:marLeft w:val="0"/>
                  <w:marRight w:val="0"/>
                  <w:marTop w:val="0"/>
                  <w:marBottom w:val="0"/>
                  <w:divBdr>
                    <w:top w:val="none" w:sz="0" w:space="0" w:color="auto"/>
                    <w:left w:val="none" w:sz="0" w:space="0" w:color="auto"/>
                    <w:bottom w:val="none" w:sz="0" w:space="0" w:color="auto"/>
                    <w:right w:val="none" w:sz="0" w:space="0" w:color="auto"/>
                  </w:divBdr>
                  <w:divsChild>
                    <w:div w:id="2072925864">
                      <w:marLeft w:val="0"/>
                      <w:marRight w:val="0"/>
                      <w:marTop w:val="0"/>
                      <w:marBottom w:val="0"/>
                      <w:divBdr>
                        <w:top w:val="none" w:sz="0" w:space="0" w:color="auto"/>
                        <w:left w:val="none" w:sz="0" w:space="0" w:color="auto"/>
                        <w:bottom w:val="none" w:sz="0" w:space="0" w:color="auto"/>
                        <w:right w:val="none" w:sz="0" w:space="0" w:color="auto"/>
                      </w:divBdr>
                      <w:divsChild>
                        <w:div w:id="1400710837">
                          <w:marLeft w:val="0"/>
                          <w:marRight w:val="0"/>
                          <w:marTop w:val="0"/>
                          <w:marBottom w:val="0"/>
                          <w:divBdr>
                            <w:top w:val="none" w:sz="0" w:space="0" w:color="auto"/>
                            <w:left w:val="none" w:sz="0" w:space="0" w:color="auto"/>
                            <w:bottom w:val="none" w:sz="0" w:space="0" w:color="auto"/>
                            <w:right w:val="none" w:sz="0" w:space="0" w:color="auto"/>
                          </w:divBdr>
                          <w:divsChild>
                            <w:div w:id="1530413373">
                              <w:marLeft w:val="0"/>
                              <w:marRight w:val="0"/>
                              <w:marTop w:val="0"/>
                              <w:marBottom w:val="0"/>
                              <w:divBdr>
                                <w:top w:val="none" w:sz="0" w:space="0" w:color="auto"/>
                                <w:left w:val="none" w:sz="0" w:space="0" w:color="auto"/>
                                <w:bottom w:val="none" w:sz="0" w:space="0" w:color="auto"/>
                                <w:right w:val="none" w:sz="0" w:space="0" w:color="auto"/>
                              </w:divBdr>
                              <w:divsChild>
                                <w:div w:id="596258118">
                                  <w:marLeft w:val="0"/>
                                  <w:marRight w:val="0"/>
                                  <w:marTop w:val="0"/>
                                  <w:marBottom w:val="0"/>
                                  <w:divBdr>
                                    <w:top w:val="none" w:sz="0" w:space="0" w:color="auto"/>
                                    <w:left w:val="none" w:sz="0" w:space="0" w:color="auto"/>
                                    <w:bottom w:val="none" w:sz="0" w:space="0" w:color="auto"/>
                                    <w:right w:val="none" w:sz="0" w:space="0" w:color="auto"/>
                                  </w:divBdr>
                                  <w:divsChild>
                                    <w:div w:id="155345327">
                                      <w:marLeft w:val="0"/>
                                      <w:marRight w:val="0"/>
                                      <w:marTop w:val="0"/>
                                      <w:marBottom w:val="0"/>
                                      <w:divBdr>
                                        <w:top w:val="none" w:sz="0" w:space="0" w:color="auto"/>
                                        <w:left w:val="none" w:sz="0" w:space="0" w:color="auto"/>
                                        <w:bottom w:val="none" w:sz="0" w:space="0" w:color="auto"/>
                                        <w:right w:val="none" w:sz="0" w:space="0" w:color="auto"/>
                                      </w:divBdr>
                                      <w:divsChild>
                                        <w:div w:id="1389187231">
                                          <w:marLeft w:val="0"/>
                                          <w:marRight w:val="0"/>
                                          <w:marTop w:val="0"/>
                                          <w:marBottom w:val="0"/>
                                          <w:divBdr>
                                            <w:top w:val="none" w:sz="0" w:space="0" w:color="auto"/>
                                            <w:left w:val="none" w:sz="0" w:space="0" w:color="auto"/>
                                            <w:bottom w:val="none" w:sz="0" w:space="0" w:color="auto"/>
                                            <w:right w:val="none" w:sz="0" w:space="0" w:color="auto"/>
                                          </w:divBdr>
                                          <w:divsChild>
                                            <w:div w:id="171561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9989548">
          <w:marLeft w:val="0"/>
          <w:marRight w:val="0"/>
          <w:marTop w:val="0"/>
          <w:marBottom w:val="0"/>
          <w:divBdr>
            <w:top w:val="none" w:sz="0" w:space="0" w:color="auto"/>
            <w:left w:val="none" w:sz="0" w:space="0" w:color="auto"/>
            <w:bottom w:val="none" w:sz="0" w:space="0" w:color="auto"/>
            <w:right w:val="none" w:sz="0" w:space="0" w:color="auto"/>
          </w:divBdr>
          <w:divsChild>
            <w:div w:id="1954165078">
              <w:marLeft w:val="0"/>
              <w:marRight w:val="0"/>
              <w:marTop w:val="0"/>
              <w:marBottom w:val="0"/>
              <w:divBdr>
                <w:top w:val="none" w:sz="0" w:space="0" w:color="auto"/>
                <w:left w:val="none" w:sz="0" w:space="0" w:color="auto"/>
                <w:bottom w:val="none" w:sz="0" w:space="0" w:color="auto"/>
                <w:right w:val="none" w:sz="0" w:space="0" w:color="auto"/>
              </w:divBdr>
              <w:divsChild>
                <w:div w:id="990986791">
                  <w:marLeft w:val="0"/>
                  <w:marRight w:val="0"/>
                  <w:marTop w:val="0"/>
                  <w:marBottom w:val="0"/>
                  <w:divBdr>
                    <w:top w:val="none" w:sz="0" w:space="0" w:color="auto"/>
                    <w:left w:val="none" w:sz="0" w:space="0" w:color="auto"/>
                    <w:bottom w:val="none" w:sz="0" w:space="0" w:color="auto"/>
                    <w:right w:val="none" w:sz="0" w:space="0" w:color="auto"/>
                  </w:divBdr>
                  <w:divsChild>
                    <w:div w:id="741289965">
                      <w:marLeft w:val="0"/>
                      <w:marRight w:val="0"/>
                      <w:marTop w:val="0"/>
                      <w:marBottom w:val="0"/>
                      <w:divBdr>
                        <w:top w:val="none" w:sz="0" w:space="0" w:color="auto"/>
                        <w:left w:val="none" w:sz="0" w:space="0" w:color="auto"/>
                        <w:bottom w:val="none" w:sz="0" w:space="0" w:color="auto"/>
                        <w:right w:val="none" w:sz="0" w:space="0" w:color="auto"/>
                      </w:divBdr>
                      <w:divsChild>
                        <w:div w:id="1472013992">
                          <w:marLeft w:val="0"/>
                          <w:marRight w:val="0"/>
                          <w:marTop w:val="0"/>
                          <w:marBottom w:val="0"/>
                          <w:divBdr>
                            <w:top w:val="none" w:sz="0" w:space="0" w:color="auto"/>
                            <w:left w:val="none" w:sz="0" w:space="0" w:color="auto"/>
                            <w:bottom w:val="none" w:sz="0" w:space="0" w:color="auto"/>
                            <w:right w:val="none" w:sz="0" w:space="0" w:color="auto"/>
                          </w:divBdr>
                          <w:divsChild>
                            <w:div w:id="1978416525">
                              <w:marLeft w:val="0"/>
                              <w:marRight w:val="0"/>
                              <w:marTop w:val="0"/>
                              <w:marBottom w:val="0"/>
                              <w:divBdr>
                                <w:top w:val="none" w:sz="0" w:space="0" w:color="auto"/>
                                <w:left w:val="none" w:sz="0" w:space="0" w:color="auto"/>
                                <w:bottom w:val="none" w:sz="0" w:space="0" w:color="auto"/>
                                <w:right w:val="none" w:sz="0" w:space="0" w:color="auto"/>
                              </w:divBdr>
                              <w:divsChild>
                                <w:div w:id="954676377">
                                  <w:marLeft w:val="0"/>
                                  <w:marRight w:val="0"/>
                                  <w:marTop w:val="0"/>
                                  <w:marBottom w:val="0"/>
                                  <w:divBdr>
                                    <w:top w:val="none" w:sz="0" w:space="0" w:color="auto"/>
                                    <w:left w:val="none" w:sz="0" w:space="0" w:color="auto"/>
                                    <w:bottom w:val="none" w:sz="0" w:space="0" w:color="auto"/>
                                    <w:right w:val="none" w:sz="0" w:space="0" w:color="auto"/>
                                  </w:divBdr>
                                  <w:divsChild>
                                    <w:div w:id="197829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267590">
                          <w:marLeft w:val="0"/>
                          <w:marRight w:val="0"/>
                          <w:marTop w:val="0"/>
                          <w:marBottom w:val="0"/>
                          <w:divBdr>
                            <w:top w:val="none" w:sz="0" w:space="0" w:color="auto"/>
                            <w:left w:val="none" w:sz="0" w:space="0" w:color="auto"/>
                            <w:bottom w:val="none" w:sz="0" w:space="0" w:color="auto"/>
                            <w:right w:val="none" w:sz="0" w:space="0" w:color="auto"/>
                          </w:divBdr>
                          <w:divsChild>
                            <w:div w:id="121463404">
                              <w:marLeft w:val="0"/>
                              <w:marRight w:val="0"/>
                              <w:marTop w:val="0"/>
                              <w:marBottom w:val="0"/>
                              <w:divBdr>
                                <w:top w:val="none" w:sz="0" w:space="0" w:color="auto"/>
                                <w:left w:val="none" w:sz="0" w:space="0" w:color="auto"/>
                                <w:bottom w:val="none" w:sz="0" w:space="0" w:color="auto"/>
                                <w:right w:val="none" w:sz="0" w:space="0" w:color="auto"/>
                              </w:divBdr>
                              <w:divsChild>
                                <w:div w:id="26708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5184452">
          <w:marLeft w:val="0"/>
          <w:marRight w:val="0"/>
          <w:marTop w:val="0"/>
          <w:marBottom w:val="0"/>
          <w:divBdr>
            <w:top w:val="none" w:sz="0" w:space="0" w:color="auto"/>
            <w:left w:val="none" w:sz="0" w:space="0" w:color="auto"/>
            <w:bottom w:val="none" w:sz="0" w:space="0" w:color="auto"/>
            <w:right w:val="none" w:sz="0" w:space="0" w:color="auto"/>
          </w:divBdr>
          <w:divsChild>
            <w:div w:id="706293487">
              <w:marLeft w:val="0"/>
              <w:marRight w:val="0"/>
              <w:marTop w:val="0"/>
              <w:marBottom w:val="0"/>
              <w:divBdr>
                <w:top w:val="none" w:sz="0" w:space="0" w:color="auto"/>
                <w:left w:val="none" w:sz="0" w:space="0" w:color="auto"/>
                <w:bottom w:val="none" w:sz="0" w:space="0" w:color="auto"/>
                <w:right w:val="none" w:sz="0" w:space="0" w:color="auto"/>
              </w:divBdr>
              <w:divsChild>
                <w:div w:id="480734577">
                  <w:marLeft w:val="0"/>
                  <w:marRight w:val="0"/>
                  <w:marTop w:val="0"/>
                  <w:marBottom w:val="0"/>
                  <w:divBdr>
                    <w:top w:val="none" w:sz="0" w:space="0" w:color="auto"/>
                    <w:left w:val="none" w:sz="0" w:space="0" w:color="auto"/>
                    <w:bottom w:val="none" w:sz="0" w:space="0" w:color="auto"/>
                    <w:right w:val="none" w:sz="0" w:space="0" w:color="auto"/>
                  </w:divBdr>
                  <w:divsChild>
                    <w:div w:id="1620407758">
                      <w:marLeft w:val="0"/>
                      <w:marRight w:val="0"/>
                      <w:marTop w:val="0"/>
                      <w:marBottom w:val="0"/>
                      <w:divBdr>
                        <w:top w:val="none" w:sz="0" w:space="0" w:color="auto"/>
                        <w:left w:val="none" w:sz="0" w:space="0" w:color="auto"/>
                        <w:bottom w:val="none" w:sz="0" w:space="0" w:color="auto"/>
                        <w:right w:val="none" w:sz="0" w:space="0" w:color="auto"/>
                      </w:divBdr>
                      <w:divsChild>
                        <w:div w:id="192112266">
                          <w:marLeft w:val="0"/>
                          <w:marRight w:val="0"/>
                          <w:marTop w:val="0"/>
                          <w:marBottom w:val="0"/>
                          <w:divBdr>
                            <w:top w:val="none" w:sz="0" w:space="0" w:color="auto"/>
                            <w:left w:val="none" w:sz="0" w:space="0" w:color="auto"/>
                            <w:bottom w:val="none" w:sz="0" w:space="0" w:color="auto"/>
                            <w:right w:val="none" w:sz="0" w:space="0" w:color="auto"/>
                          </w:divBdr>
                          <w:divsChild>
                            <w:div w:id="2057195776">
                              <w:marLeft w:val="0"/>
                              <w:marRight w:val="0"/>
                              <w:marTop w:val="0"/>
                              <w:marBottom w:val="0"/>
                              <w:divBdr>
                                <w:top w:val="none" w:sz="0" w:space="0" w:color="auto"/>
                                <w:left w:val="none" w:sz="0" w:space="0" w:color="auto"/>
                                <w:bottom w:val="none" w:sz="0" w:space="0" w:color="auto"/>
                                <w:right w:val="none" w:sz="0" w:space="0" w:color="auto"/>
                              </w:divBdr>
                              <w:divsChild>
                                <w:div w:id="1836413900">
                                  <w:marLeft w:val="0"/>
                                  <w:marRight w:val="0"/>
                                  <w:marTop w:val="0"/>
                                  <w:marBottom w:val="0"/>
                                  <w:divBdr>
                                    <w:top w:val="none" w:sz="0" w:space="0" w:color="auto"/>
                                    <w:left w:val="none" w:sz="0" w:space="0" w:color="auto"/>
                                    <w:bottom w:val="none" w:sz="0" w:space="0" w:color="auto"/>
                                    <w:right w:val="none" w:sz="0" w:space="0" w:color="auto"/>
                                  </w:divBdr>
                                  <w:divsChild>
                                    <w:div w:id="450175808">
                                      <w:marLeft w:val="0"/>
                                      <w:marRight w:val="0"/>
                                      <w:marTop w:val="0"/>
                                      <w:marBottom w:val="0"/>
                                      <w:divBdr>
                                        <w:top w:val="none" w:sz="0" w:space="0" w:color="auto"/>
                                        <w:left w:val="none" w:sz="0" w:space="0" w:color="auto"/>
                                        <w:bottom w:val="none" w:sz="0" w:space="0" w:color="auto"/>
                                        <w:right w:val="none" w:sz="0" w:space="0" w:color="auto"/>
                                      </w:divBdr>
                                      <w:divsChild>
                                        <w:div w:id="1607614943">
                                          <w:marLeft w:val="0"/>
                                          <w:marRight w:val="0"/>
                                          <w:marTop w:val="0"/>
                                          <w:marBottom w:val="0"/>
                                          <w:divBdr>
                                            <w:top w:val="none" w:sz="0" w:space="0" w:color="auto"/>
                                            <w:left w:val="none" w:sz="0" w:space="0" w:color="auto"/>
                                            <w:bottom w:val="none" w:sz="0" w:space="0" w:color="auto"/>
                                            <w:right w:val="none" w:sz="0" w:space="0" w:color="auto"/>
                                          </w:divBdr>
                                          <w:divsChild>
                                            <w:div w:id="185442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986331">
          <w:marLeft w:val="0"/>
          <w:marRight w:val="0"/>
          <w:marTop w:val="0"/>
          <w:marBottom w:val="0"/>
          <w:divBdr>
            <w:top w:val="none" w:sz="0" w:space="0" w:color="auto"/>
            <w:left w:val="none" w:sz="0" w:space="0" w:color="auto"/>
            <w:bottom w:val="none" w:sz="0" w:space="0" w:color="auto"/>
            <w:right w:val="none" w:sz="0" w:space="0" w:color="auto"/>
          </w:divBdr>
          <w:divsChild>
            <w:div w:id="646935597">
              <w:marLeft w:val="0"/>
              <w:marRight w:val="0"/>
              <w:marTop w:val="0"/>
              <w:marBottom w:val="0"/>
              <w:divBdr>
                <w:top w:val="none" w:sz="0" w:space="0" w:color="auto"/>
                <w:left w:val="none" w:sz="0" w:space="0" w:color="auto"/>
                <w:bottom w:val="none" w:sz="0" w:space="0" w:color="auto"/>
                <w:right w:val="none" w:sz="0" w:space="0" w:color="auto"/>
              </w:divBdr>
              <w:divsChild>
                <w:div w:id="1774127916">
                  <w:marLeft w:val="0"/>
                  <w:marRight w:val="0"/>
                  <w:marTop w:val="0"/>
                  <w:marBottom w:val="0"/>
                  <w:divBdr>
                    <w:top w:val="none" w:sz="0" w:space="0" w:color="auto"/>
                    <w:left w:val="none" w:sz="0" w:space="0" w:color="auto"/>
                    <w:bottom w:val="none" w:sz="0" w:space="0" w:color="auto"/>
                    <w:right w:val="none" w:sz="0" w:space="0" w:color="auto"/>
                  </w:divBdr>
                  <w:divsChild>
                    <w:div w:id="1548103502">
                      <w:marLeft w:val="0"/>
                      <w:marRight w:val="0"/>
                      <w:marTop w:val="0"/>
                      <w:marBottom w:val="0"/>
                      <w:divBdr>
                        <w:top w:val="none" w:sz="0" w:space="0" w:color="auto"/>
                        <w:left w:val="none" w:sz="0" w:space="0" w:color="auto"/>
                        <w:bottom w:val="none" w:sz="0" w:space="0" w:color="auto"/>
                        <w:right w:val="none" w:sz="0" w:space="0" w:color="auto"/>
                      </w:divBdr>
                      <w:divsChild>
                        <w:div w:id="13390536">
                          <w:marLeft w:val="0"/>
                          <w:marRight w:val="0"/>
                          <w:marTop w:val="0"/>
                          <w:marBottom w:val="0"/>
                          <w:divBdr>
                            <w:top w:val="none" w:sz="0" w:space="0" w:color="auto"/>
                            <w:left w:val="none" w:sz="0" w:space="0" w:color="auto"/>
                            <w:bottom w:val="none" w:sz="0" w:space="0" w:color="auto"/>
                            <w:right w:val="none" w:sz="0" w:space="0" w:color="auto"/>
                          </w:divBdr>
                          <w:divsChild>
                            <w:div w:id="1248072121">
                              <w:marLeft w:val="0"/>
                              <w:marRight w:val="0"/>
                              <w:marTop w:val="0"/>
                              <w:marBottom w:val="0"/>
                              <w:divBdr>
                                <w:top w:val="none" w:sz="0" w:space="0" w:color="auto"/>
                                <w:left w:val="none" w:sz="0" w:space="0" w:color="auto"/>
                                <w:bottom w:val="none" w:sz="0" w:space="0" w:color="auto"/>
                                <w:right w:val="none" w:sz="0" w:space="0" w:color="auto"/>
                              </w:divBdr>
                              <w:divsChild>
                                <w:div w:id="459958354">
                                  <w:marLeft w:val="0"/>
                                  <w:marRight w:val="0"/>
                                  <w:marTop w:val="0"/>
                                  <w:marBottom w:val="0"/>
                                  <w:divBdr>
                                    <w:top w:val="none" w:sz="0" w:space="0" w:color="auto"/>
                                    <w:left w:val="none" w:sz="0" w:space="0" w:color="auto"/>
                                    <w:bottom w:val="none" w:sz="0" w:space="0" w:color="auto"/>
                                    <w:right w:val="none" w:sz="0" w:space="0" w:color="auto"/>
                                  </w:divBdr>
                                  <w:divsChild>
                                    <w:div w:id="88417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0959096">
          <w:marLeft w:val="0"/>
          <w:marRight w:val="0"/>
          <w:marTop w:val="0"/>
          <w:marBottom w:val="0"/>
          <w:divBdr>
            <w:top w:val="none" w:sz="0" w:space="0" w:color="auto"/>
            <w:left w:val="none" w:sz="0" w:space="0" w:color="auto"/>
            <w:bottom w:val="none" w:sz="0" w:space="0" w:color="auto"/>
            <w:right w:val="none" w:sz="0" w:space="0" w:color="auto"/>
          </w:divBdr>
          <w:divsChild>
            <w:div w:id="174267773">
              <w:marLeft w:val="0"/>
              <w:marRight w:val="0"/>
              <w:marTop w:val="0"/>
              <w:marBottom w:val="0"/>
              <w:divBdr>
                <w:top w:val="none" w:sz="0" w:space="0" w:color="auto"/>
                <w:left w:val="none" w:sz="0" w:space="0" w:color="auto"/>
                <w:bottom w:val="none" w:sz="0" w:space="0" w:color="auto"/>
                <w:right w:val="none" w:sz="0" w:space="0" w:color="auto"/>
              </w:divBdr>
              <w:divsChild>
                <w:div w:id="71972604">
                  <w:marLeft w:val="0"/>
                  <w:marRight w:val="0"/>
                  <w:marTop w:val="0"/>
                  <w:marBottom w:val="0"/>
                  <w:divBdr>
                    <w:top w:val="none" w:sz="0" w:space="0" w:color="auto"/>
                    <w:left w:val="none" w:sz="0" w:space="0" w:color="auto"/>
                    <w:bottom w:val="none" w:sz="0" w:space="0" w:color="auto"/>
                    <w:right w:val="none" w:sz="0" w:space="0" w:color="auto"/>
                  </w:divBdr>
                  <w:divsChild>
                    <w:div w:id="1457870100">
                      <w:marLeft w:val="0"/>
                      <w:marRight w:val="0"/>
                      <w:marTop w:val="0"/>
                      <w:marBottom w:val="0"/>
                      <w:divBdr>
                        <w:top w:val="none" w:sz="0" w:space="0" w:color="auto"/>
                        <w:left w:val="none" w:sz="0" w:space="0" w:color="auto"/>
                        <w:bottom w:val="none" w:sz="0" w:space="0" w:color="auto"/>
                        <w:right w:val="none" w:sz="0" w:space="0" w:color="auto"/>
                      </w:divBdr>
                      <w:divsChild>
                        <w:div w:id="1419517800">
                          <w:marLeft w:val="0"/>
                          <w:marRight w:val="0"/>
                          <w:marTop w:val="0"/>
                          <w:marBottom w:val="0"/>
                          <w:divBdr>
                            <w:top w:val="none" w:sz="0" w:space="0" w:color="auto"/>
                            <w:left w:val="none" w:sz="0" w:space="0" w:color="auto"/>
                            <w:bottom w:val="none" w:sz="0" w:space="0" w:color="auto"/>
                            <w:right w:val="none" w:sz="0" w:space="0" w:color="auto"/>
                          </w:divBdr>
                          <w:divsChild>
                            <w:div w:id="1553496195">
                              <w:marLeft w:val="0"/>
                              <w:marRight w:val="0"/>
                              <w:marTop w:val="0"/>
                              <w:marBottom w:val="0"/>
                              <w:divBdr>
                                <w:top w:val="none" w:sz="0" w:space="0" w:color="auto"/>
                                <w:left w:val="none" w:sz="0" w:space="0" w:color="auto"/>
                                <w:bottom w:val="none" w:sz="0" w:space="0" w:color="auto"/>
                                <w:right w:val="none" w:sz="0" w:space="0" w:color="auto"/>
                              </w:divBdr>
                              <w:divsChild>
                                <w:div w:id="1930847815">
                                  <w:marLeft w:val="0"/>
                                  <w:marRight w:val="0"/>
                                  <w:marTop w:val="0"/>
                                  <w:marBottom w:val="0"/>
                                  <w:divBdr>
                                    <w:top w:val="none" w:sz="0" w:space="0" w:color="auto"/>
                                    <w:left w:val="none" w:sz="0" w:space="0" w:color="auto"/>
                                    <w:bottom w:val="none" w:sz="0" w:space="0" w:color="auto"/>
                                    <w:right w:val="none" w:sz="0" w:space="0" w:color="auto"/>
                                  </w:divBdr>
                                  <w:divsChild>
                                    <w:div w:id="1890604938">
                                      <w:marLeft w:val="0"/>
                                      <w:marRight w:val="0"/>
                                      <w:marTop w:val="0"/>
                                      <w:marBottom w:val="0"/>
                                      <w:divBdr>
                                        <w:top w:val="none" w:sz="0" w:space="0" w:color="auto"/>
                                        <w:left w:val="none" w:sz="0" w:space="0" w:color="auto"/>
                                        <w:bottom w:val="none" w:sz="0" w:space="0" w:color="auto"/>
                                        <w:right w:val="none" w:sz="0" w:space="0" w:color="auto"/>
                                      </w:divBdr>
                                      <w:divsChild>
                                        <w:div w:id="1598244541">
                                          <w:marLeft w:val="0"/>
                                          <w:marRight w:val="0"/>
                                          <w:marTop w:val="0"/>
                                          <w:marBottom w:val="0"/>
                                          <w:divBdr>
                                            <w:top w:val="none" w:sz="0" w:space="0" w:color="auto"/>
                                            <w:left w:val="none" w:sz="0" w:space="0" w:color="auto"/>
                                            <w:bottom w:val="none" w:sz="0" w:space="0" w:color="auto"/>
                                            <w:right w:val="none" w:sz="0" w:space="0" w:color="auto"/>
                                          </w:divBdr>
                                          <w:divsChild>
                                            <w:div w:id="9447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0691048">
          <w:marLeft w:val="0"/>
          <w:marRight w:val="0"/>
          <w:marTop w:val="0"/>
          <w:marBottom w:val="0"/>
          <w:divBdr>
            <w:top w:val="none" w:sz="0" w:space="0" w:color="auto"/>
            <w:left w:val="none" w:sz="0" w:space="0" w:color="auto"/>
            <w:bottom w:val="none" w:sz="0" w:space="0" w:color="auto"/>
            <w:right w:val="none" w:sz="0" w:space="0" w:color="auto"/>
          </w:divBdr>
          <w:divsChild>
            <w:div w:id="634720786">
              <w:marLeft w:val="0"/>
              <w:marRight w:val="0"/>
              <w:marTop w:val="0"/>
              <w:marBottom w:val="0"/>
              <w:divBdr>
                <w:top w:val="none" w:sz="0" w:space="0" w:color="auto"/>
                <w:left w:val="none" w:sz="0" w:space="0" w:color="auto"/>
                <w:bottom w:val="none" w:sz="0" w:space="0" w:color="auto"/>
                <w:right w:val="none" w:sz="0" w:space="0" w:color="auto"/>
              </w:divBdr>
              <w:divsChild>
                <w:div w:id="219444847">
                  <w:marLeft w:val="0"/>
                  <w:marRight w:val="0"/>
                  <w:marTop w:val="0"/>
                  <w:marBottom w:val="0"/>
                  <w:divBdr>
                    <w:top w:val="none" w:sz="0" w:space="0" w:color="auto"/>
                    <w:left w:val="none" w:sz="0" w:space="0" w:color="auto"/>
                    <w:bottom w:val="none" w:sz="0" w:space="0" w:color="auto"/>
                    <w:right w:val="none" w:sz="0" w:space="0" w:color="auto"/>
                  </w:divBdr>
                  <w:divsChild>
                    <w:div w:id="990524930">
                      <w:marLeft w:val="0"/>
                      <w:marRight w:val="0"/>
                      <w:marTop w:val="0"/>
                      <w:marBottom w:val="0"/>
                      <w:divBdr>
                        <w:top w:val="none" w:sz="0" w:space="0" w:color="auto"/>
                        <w:left w:val="none" w:sz="0" w:space="0" w:color="auto"/>
                        <w:bottom w:val="none" w:sz="0" w:space="0" w:color="auto"/>
                        <w:right w:val="none" w:sz="0" w:space="0" w:color="auto"/>
                      </w:divBdr>
                      <w:divsChild>
                        <w:div w:id="795949158">
                          <w:marLeft w:val="0"/>
                          <w:marRight w:val="0"/>
                          <w:marTop w:val="0"/>
                          <w:marBottom w:val="0"/>
                          <w:divBdr>
                            <w:top w:val="none" w:sz="0" w:space="0" w:color="auto"/>
                            <w:left w:val="none" w:sz="0" w:space="0" w:color="auto"/>
                            <w:bottom w:val="none" w:sz="0" w:space="0" w:color="auto"/>
                            <w:right w:val="none" w:sz="0" w:space="0" w:color="auto"/>
                          </w:divBdr>
                          <w:divsChild>
                            <w:div w:id="1338146349">
                              <w:marLeft w:val="0"/>
                              <w:marRight w:val="0"/>
                              <w:marTop w:val="0"/>
                              <w:marBottom w:val="0"/>
                              <w:divBdr>
                                <w:top w:val="none" w:sz="0" w:space="0" w:color="auto"/>
                                <w:left w:val="none" w:sz="0" w:space="0" w:color="auto"/>
                                <w:bottom w:val="none" w:sz="0" w:space="0" w:color="auto"/>
                                <w:right w:val="none" w:sz="0" w:space="0" w:color="auto"/>
                              </w:divBdr>
                              <w:divsChild>
                                <w:div w:id="2094351947">
                                  <w:marLeft w:val="0"/>
                                  <w:marRight w:val="0"/>
                                  <w:marTop w:val="0"/>
                                  <w:marBottom w:val="0"/>
                                  <w:divBdr>
                                    <w:top w:val="none" w:sz="0" w:space="0" w:color="auto"/>
                                    <w:left w:val="none" w:sz="0" w:space="0" w:color="auto"/>
                                    <w:bottom w:val="none" w:sz="0" w:space="0" w:color="auto"/>
                                    <w:right w:val="none" w:sz="0" w:space="0" w:color="auto"/>
                                  </w:divBdr>
                                  <w:divsChild>
                                    <w:div w:id="180997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80471">
          <w:marLeft w:val="0"/>
          <w:marRight w:val="0"/>
          <w:marTop w:val="0"/>
          <w:marBottom w:val="0"/>
          <w:divBdr>
            <w:top w:val="none" w:sz="0" w:space="0" w:color="auto"/>
            <w:left w:val="none" w:sz="0" w:space="0" w:color="auto"/>
            <w:bottom w:val="none" w:sz="0" w:space="0" w:color="auto"/>
            <w:right w:val="none" w:sz="0" w:space="0" w:color="auto"/>
          </w:divBdr>
          <w:divsChild>
            <w:div w:id="972294919">
              <w:marLeft w:val="0"/>
              <w:marRight w:val="0"/>
              <w:marTop w:val="0"/>
              <w:marBottom w:val="0"/>
              <w:divBdr>
                <w:top w:val="none" w:sz="0" w:space="0" w:color="auto"/>
                <w:left w:val="none" w:sz="0" w:space="0" w:color="auto"/>
                <w:bottom w:val="none" w:sz="0" w:space="0" w:color="auto"/>
                <w:right w:val="none" w:sz="0" w:space="0" w:color="auto"/>
              </w:divBdr>
              <w:divsChild>
                <w:div w:id="1160073290">
                  <w:marLeft w:val="0"/>
                  <w:marRight w:val="0"/>
                  <w:marTop w:val="0"/>
                  <w:marBottom w:val="0"/>
                  <w:divBdr>
                    <w:top w:val="none" w:sz="0" w:space="0" w:color="auto"/>
                    <w:left w:val="none" w:sz="0" w:space="0" w:color="auto"/>
                    <w:bottom w:val="none" w:sz="0" w:space="0" w:color="auto"/>
                    <w:right w:val="none" w:sz="0" w:space="0" w:color="auto"/>
                  </w:divBdr>
                  <w:divsChild>
                    <w:div w:id="1380207970">
                      <w:marLeft w:val="0"/>
                      <w:marRight w:val="0"/>
                      <w:marTop w:val="0"/>
                      <w:marBottom w:val="0"/>
                      <w:divBdr>
                        <w:top w:val="none" w:sz="0" w:space="0" w:color="auto"/>
                        <w:left w:val="none" w:sz="0" w:space="0" w:color="auto"/>
                        <w:bottom w:val="none" w:sz="0" w:space="0" w:color="auto"/>
                        <w:right w:val="none" w:sz="0" w:space="0" w:color="auto"/>
                      </w:divBdr>
                      <w:divsChild>
                        <w:div w:id="265239084">
                          <w:marLeft w:val="0"/>
                          <w:marRight w:val="0"/>
                          <w:marTop w:val="0"/>
                          <w:marBottom w:val="0"/>
                          <w:divBdr>
                            <w:top w:val="none" w:sz="0" w:space="0" w:color="auto"/>
                            <w:left w:val="none" w:sz="0" w:space="0" w:color="auto"/>
                            <w:bottom w:val="none" w:sz="0" w:space="0" w:color="auto"/>
                            <w:right w:val="none" w:sz="0" w:space="0" w:color="auto"/>
                          </w:divBdr>
                          <w:divsChild>
                            <w:div w:id="1463961472">
                              <w:marLeft w:val="0"/>
                              <w:marRight w:val="0"/>
                              <w:marTop w:val="0"/>
                              <w:marBottom w:val="0"/>
                              <w:divBdr>
                                <w:top w:val="none" w:sz="0" w:space="0" w:color="auto"/>
                                <w:left w:val="none" w:sz="0" w:space="0" w:color="auto"/>
                                <w:bottom w:val="none" w:sz="0" w:space="0" w:color="auto"/>
                                <w:right w:val="none" w:sz="0" w:space="0" w:color="auto"/>
                              </w:divBdr>
                              <w:divsChild>
                                <w:div w:id="1618831600">
                                  <w:marLeft w:val="0"/>
                                  <w:marRight w:val="0"/>
                                  <w:marTop w:val="0"/>
                                  <w:marBottom w:val="0"/>
                                  <w:divBdr>
                                    <w:top w:val="none" w:sz="0" w:space="0" w:color="auto"/>
                                    <w:left w:val="none" w:sz="0" w:space="0" w:color="auto"/>
                                    <w:bottom w:val="none" w:sz="0" w:space="0" w:color="auto"/>
                                    <w:right w:val="none" w:sz="0" w:space="0" w:color="auto"/>
                                  </w:divBdr>
                                  <w:divsChild>
                                    <w:div w:id="1342855564">
                                      <w:marLeft w:val="0"/>
                                      <w:marRight w:val="0"/>
                                      <w:marTop w:val="0"/>
                                      <w:marBottom w:val="0"/>
                                      <w:divBdr>
                                        <w:top w:val="none" w:sz="0" w:space="0" w:color="auto"/>
                                        <w:left w:val="none" w:sz="0" w:space="0" w:color="auto"/>
                                        <w:bottom w:val="none" w:sz="0" w:space="0" w:color="auto"/>
                                        <w:right w:val="none" w:sz="0" w:space="0" w:color="auto"/>
                                      </w:divBdr>
                                      <w:divsChild>
                                        <w:div w:id="1435857069">
                                          <w:marLeft w:val="0"/>
                                          <w:marRight w:val="0"/>
                                          <w:marTop w:val="0"/>
                                          <w:marBottom w:val="0"/>
                                          <w:divBdr>
                                            <w:top w:val="none" w:sz="0" w:space="0" w:color="auto"/>
                                            <w:left w:val="none" w:sz="0" w:space="0" w:color="auto"/>
                                            <w:bottom w:val="none" w:sz="0" w:space="0" w:color="auto"/>
                                            <w:right w:val="none" w:sz="0" w:space="0" w:color="auto"/>
                                          </w:divBdr>
                                          <w:divsChild>
                                            <w:div w:id="16293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8709981">
          <w:marLeft w:val="0"/>
          <w:marRight w:val="0"/>
          <w:marTop w:val="0"/>
          <w:marBottom w:val="0"/>
          <w:divBdr>
            <w:top w:val="none" w:sz="0" w:space="0" w:color="auto"/>
            <w:left w:val="none" w:sz="0" w:space="0" w:color="auto"/>
            <w:bottom w:val="none" w:sz="0" w:space="0" w:color="auto"/>
            <w:right w:val="none" w:sz="0" w:space="0" w:color="auto"/>
          </w:divBdr>
          <w:divsChild>
            <w:div w:id="892615562">
              <w:marLeft w:val="0"/>
              <w:marRight w:val="0"/>
              <w:marTop w:val="0"/>
              <w:marBottom w:val="0"/>
              <w:divBdr>
                <w:top w:val="none" w:sz="0" w:space="0" w:color="auto"/>
                <w:left w:val="none" w:sz="0" w:space="0" w:color="auto"/>
                <w:bottom w:val="none" w:sz="0" w:space="0" w:color="auto"/>
                <w:right w:val="none" w:sz="0" w:space="0" w:color="auto"/>
              </w:divBdr>
              <w:divsChild>
                <w:div w:id="1886217051">
                  <w:marLeft w:val="0"/>
                  <w:marRight w:val="0"/>
                  <w:marTop w:val="0"/>
                  <w:marBottom w:val="0"/>
                  <w:divBdr>
                    <w:top w:val="none" w:sz="0" w:space="0" w:color="auto"/>
                    <w:left w:val="none" w:sz="0" w:space="0" w:color="auto"/>
                    <w:bottom w:val="none" w:sz="0" w:space="0" w:color="auto"/>
                    <w:right w:val="none" w:sz="0" w:space="0" w:color="auto"/>
                  </w:divBdr>
                  <w:divsChild>
                    <w:div w:id="786580097">
                      <w:marLeft w:val="0"/>
                      <w:marRight w:val="0"/>
                      <w:marTop w:val="0"/>
                      <w:marBottom w:val="0"/>
                      <w:divBdr>
                        <w:top w:val="none" w:sz="0" w:space="0" w:color="auto"/>
                        <w:left w:val="none" w:sz="0" w:space="0" w:color="auto"/>
                        <w:bottom w:val="none" w:sz="0" w:space="0" w:color="auto"/>
                        <w:right w:val="none" w:sz="0" w:space="0" w:color="auto"/>
                      </w:divBdr>
                      <w:divsChild>
                        <w:div w:id="886602114">
                          <w:marLeft w:val="0"/>
                          <w:marRight w:val="0"/>
                          <w:marTop w:val="0"/>
                          <w:marBottom w:val="0"/>
                          <w:divBdr>
                            <w:top w:val="none" w:sz="0" w:space="0" w:color="auto"/>
                            <w:left w:val="none" w:sz="0" w:space="0" w:color="auto"/>
                            <w:bottom w:val="none" w:sz="0" w:space="0" w:color="auto"/>
                            <w:right w:val="none" w:sz="0" w:space="0" w:color="auto"/>
                          </w:divBdr>
                          <w:divsChild>
                            <w:div w:id="1623613131">
                              <w:marLeft w:val="0"/>
                              <w:marRight w:val="0"/>
                              <w:marTop w:val="0"/>
                              <w:marBottom w:val="0"/>
                              <w:divBdr>
                                <w:top w:val="none" w:sz="0" w:space="0" w:color="auto"/>
                                <w:left w:val="none" w:sz="0" w:space="0" w:color="auto"/>
                                <w:bottom w:val="none" w:sz="0" w:space="0" w:color="auto"/>
                                <w:right w:val="none" w:sz="0" w:space="0" w:color="auto"/>
                              </w:divBdr>
                              <w:divsChild>
                                <w:div w:id="877010562">
                                  <w:marLeft w:val="0"/>
                                  <w:marRight w:val="0"/>
                                  <w:marTop w:val="0"/>
                                  <w:marBottom w:val="0"/>
                                  <w:divBdr>
                                    <w:top w:val="none" w:sz="0" w:space="0" w:color="auto"/>
                                    <w:left w:val="none" w:sz="0" w:space="0" w:color="auto"/>
                                    <w:bottom w:val="none" w:sz="0" w:space="0" w:color="auto"/>
                                    <w:right w:val="none" w:sz="0" w:space="0" w:color="auto"/>
                                  </w:divBdr>
                                  <w:divsChild>
                                    <w:div w:id="142595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7260673">
          <w:marLeft w:val="0"/>
          <w:marRight w:val="0"/>
          <w:marTop w:val="0"/>
          <w:marBottom w:val="0"/>
          <w:divBdr>
            <w:top w:val="none" w:sz="0" w:space="0" w:color="auto"/>
            <w:left w:val="none" w:sz="0" w:space="0" w:color="auto"/>
            <w:bottom w:val="none" w:sz="0" w:space="0" w:color="auto"/>
            <w:right w:val="none" w:sz="0" w:space="0" w:color="auto"/>
          </w:divBdr>
          <w:divsChild>
            <w:div w:id="1206217466">
              <w:marLeft w:val="0"/>
              <w:marRight w:val="0"/>
              <w:marTop w:val="0"/>
              <w:marBottom w:val="0"/>
              <w:divBdr>
                <w:top w:val="none" w:sz="0" w:space="0" w:color="auto"/>
                <w:left w:val="none" w:sz="0" w:space="0" w:color="auto"/>
                <w:bottom w:val="none" w:sz="0" w:space="0" w:color="auto"/>
                <w:right w:val="none" w:sz="0" w:space="0" w:color="auto"/>
              </w:divBdr>
              <w:divsChild>
                <w:div w:id="1403871487">
                  <w:marLeft w:val="0"/>
                  <w:marRight w:val="0"/>
                  <w:marTop w:val="0"/>
                  <w:marBottom w:val="0"/>
                  <w:divBdr>
                    <w:top w:val="none" w:sz="0" w:space="0" w:color="auto"/>
                    <w:left w:val="none" w:sz="0" w:space="0" w:color="auto"/>
                    <w:bottom w:val="none" w:sz="0" w:space="0" w:color="auto"/>
                    <w:right w:val="none" w:sz="0" w:space="0" w:color="auto"/>
                  </w:divBdr>
                  <w:divsChild>
                    <w:div w:id="1895698739">
                      <w:marLeft w:val="0"/>
                      <w:marRight w:val="0"/>
                      <w:marTop w:val="0"/>
                      <w:marBottom w:val="0"/>
                      <w:divBdr>
                        <w:top w:val="none" w:sz="0" w:space="0" w:color="auto"/>
                        <w:left w:val="none" w:sz="0" w:space="0" w:color="auto"/>
                        <w:bottom w:val="none" w:sz="0" w:space="0" w:color="auto"/>
                        <w:right w:val="none" w:sz="0" w:space="0" w:color="auto"/>
                      </w:divBdr>
                      <w:divsChild>
                        <w:div w:id="475295945">
                          <w:marLeft w:val="0"/>
                          <w:marRight w:val="0"/>
                          <w:marTop w:val="0"/>
                          <w:marBottom w:val="0"/>
                          <w:divBdr>
                            <w:top w:val="none" w:sz="0" w:space="0" w:color="auto"/>
                            <w:left w:val="none" w:sz="0" w:space="0" w:color="auto"/>
                            <w:bottom w:val="none" w:sz="0" w:space="0" w:color="auto"/>
                            <w:right w:val="none" w:sz="0" w:space="0" w:color="auto"/>
                          </w:divBdr>
                          <w:divsChild>
                            <w:div w:id="539979791">
                              <w:marLeft w:val="0"/>
                              <w:marRight w:val="0"/>
                              <w:marTop w:val="0"/>
                              <w:marBottom w:val="0"/>
                              <w:divBdr>
                                <w:top w:val="none" w:sz="0" w:space="0" w:color="auto"/>
                                <w:left w:val="none" w:sz="0" w:space="0" w:color="auto"/>
                                <w:bottom w:val="none" w:sz="0" w:space="0" w:color="auto"/>
                                <w:right w:val="none" w:sz="0" w:space="0" w:color="auto"/>
                              </w:divBdr>
                              <w:divsChild>
                                <w:div w:id="802698768">
                                  <w:marLeft w:val="0"/>
                                  <w:marRight w:val="0"/>
                                  <w:marTop w:val="0"/>
                                  <w:marBottom w:val="0"/>
                                  <w:divBdr>
                                    <w:top w:val="none" w:sz="0" w:space="0" w:color="auto"/>
                                    <w:left w:val="none" w:sz="0" w:space="0" w:color="auto"/>
                                    <w:bottom w:val="none" w:sz="0" w:space="0" w:color="auto"/>
                                    <w:right w:val="none" w:sz="0" w:space="0" w:color="auto"/>
                                  </w:divBdr>
                                  <w:divsChild>
                                    <w:div w:id="927150572">
                                      <w:marLeft w:val="0"/>
                                      <w:marRight w:val="0"/>
                                      <w:marTop w:val="0"/>
                                      <w:marBottom w:val="0"/>
                                      <w:divBdr>
                                        <w:top w:val="none" w:sz="0" w:space="0" w:color="auto"/>
                                        <w:left w:val="none" w:sz="0" w:space="0" w:color="auto"/>
                                        <w:bottom w:val="none" w:sz="0" w:space="0" w:color="auto"/>
                                        <w:right w:val="none" w:sz="0" w:space="0" w:color="auto"/>
                                      </w:divBdr>
                                      <w:divsChild>
                                        <w:div w:id="1673487976">
                                          <w:marLeft w:val="0"/>
                                          <w:marRight w:val="0"/>
                                          <w:marTop w:val="0"/>
                                          <w:marBottom w:val="0"/>
                                          <w:divBdr>
                                            <w:top w:val="none" w:sz="0" w:space="0" w:color="auto"/>
                                            <w:left w:val="none" w:sz="0" w:space="0" w:color="auto"/>
                                            <w:bottom w:val="none" w:sz="0" w:space="0" w:color="auto"/>
                                            <w:right w:val="none" w:sz="0" w:space="0" w:color="auto"/>
                                          </w:divBdr>
                                          <w:divsChild>
                                            <w:div w:id="110739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01461343">
          <w:marLeft w:val="0"/>
          <w:marRight w:val="0"/>
          <w:marTop w:val="0"/>
          <w:marBottom w:val="0"/>
          <w:divBdr>
            <w:top w:val="none" w:sz="0" w:space="0" w:color="auto"/>
            <w:left w:val="none" w:sz="0" w:space="0" w:color="auto"/>
            <w:bottom w:val="none" w:sz="0" w:space="0" w:color="auto"/>
            <w:right w:val="none" w:sz="0" w:space="0" w:color="auto"/>
          </w:divBdr>
          <w:divsChild>
            <w:div w:id="520316430">
              <w:marLeft w:val="0"/>
              <w:marRight w:val="0"/>
              <w:marTop w:val="0"/>
              <w:marBottom w:val="0"/>
              <w:divBdr>
                <w:top w:val="none" w:sz="0" w:space="0" w:color="auto"/>
                <w:left w:val="none" w:sz="0" w:space="0" w:color="auto"/>
                <w:bottom w:val="none" w:sz="0" w:space="0" w:color="auto"/>
                <w:right w:val="none" w:sz="0" w:space="0" w:color="auto"/>
              </w:divBdr>
              <w:divsChild>
                <w:div w:id="720401844">
                  <w:marLeft w:val="0"/>
                  <w:marRight w:val="0"/>
                  <w:marTop w:val="0"/>
                  <w:marBottom w:val="0"/>
                  <w:divBdr>
                    <w:top w:val="none" w:sz="0" w:space="0" w:color="auto"/>
                    <w:left w:val="none" w:sz="0" w:space="0" w:color="auto"/>
                    <w:bottom w:val="none" w:sz="0" w:space="0" w:color="auto"/>
                    <w:right w:val="none" w:sz="0" w:space="0" w:color="auto"/>
                  </w:divBdr>
                  <w:divsChild>
                    <w:div w:id="860554018">
                      <w:marLeft w:val="0"/>
                      <w:marRight w:val="0"/>
                      <w:marTop w:val="0"/>
                      <w:marBottom w:val="0"/>
                      <w:divBdr>
                        <w:top w:val="none" w:sz="0" w:space="0" w:color="auto"/>
                        <w:left w:val="none" w:sz="0" w:space="0" w:color="auto"/>
                        <w:bottom w:val="none" w:sz="0" w:space="0" w:color="auto"/>
                        <w:right w:val="none" w:sz="0" w:space="0" w:color="auto"/>
                      </w:divBdr>
                      <w:divsChild>
                        <w:div w:id="2104761621">
                          <w:marLeft w:val="0"/>
                          <w:marRight w:val="0"/>
                          <w:marTop w:val="0"/>
                          <w:marBottom w:val="0"/>
                          <w:divBdr>
                            <w:top w:val="none" w:sz="0" w:space="0" w:color="auto"/>
                            <w:left w:val="none" w:sz="0" w:space="0" w:color="auto"/>
                            <w:bottom w:val="none" w:sz="0" w:space="0" w:color="auto"/>
                            <w:right w:val="none" w:sz="0" w:space="0" w:color="auto"/>
                          </w:divBdr>
                          <w:divsChild>
                            <w:div w:id="622883721">
                              <w:marLeft w:val="0"/>
                              <w:marRight w:val="0"/>
                              <w:marTop w:val="0"/>
                              <w:marBottom w:val="0"/>
                              <w:divBdr>
                                <w:top w:val="none" w:sz="0" w:space="0" w:color="auto"/>
                                <w:left w:val="none" w:sz="0" w:space="0" w:color="auto"/>
                                <w:bottom w:val="none" w:sz="0" w:space="0" w:color="auto"/>
                                <w:right w:val="none" w:sz="0" w:space="0" w:color="auto"/>
                              </w:divBdr>
                              <w:divsChild>
                                <w:div w:id="1139373722">
                                  <w:marLeft w:val="0"/>
                                  <w:marRight w:val="0"/>
                                  <w:marTop w:val="0"/>
                                  <w:marBottom w:val="0"/>
                                  <w:divBdr>
                                    <w:top w:val="none" w:sz="0" w:space="0" w:color="auto"/>
                                    <w:left w:val="none" w:sz="0" w:space="0" w:color="auto"/>
                                    <w:bottom w:val="none" w:sz="0" w:space="0" w:color="auto"/>
                                    <w:right w:val="none" w:sz="0" w:space="0" w:color="auto"/>
                                  </w:divBdr>
                                  <w:divsChild>
                                    <w:div w:id="94943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3411739">
          <w:marLeft w:val="0"/>
          <w:marRight w:val="0"/>
          <w:marTop w:val="0"/>
          <w:marBottom w:val="0"/>
          <w:divBdr>
            <w:top w:val="none" w:sz="0" w:space="0" w:color="auto"/>
            <w:left w:val="none" w:sz="0" w:space="0" w:color="auto"/>
            <w:bottom w:val="none" w:sz="0" w:space="0" w:color="auto"/>
            <w:right w:val="none" w:sz="0" w:space="0" w:color="auto"/>
          </w:divBdr>
          <w:divsChild>
            <w:div w:id="834418586">
              <w:marLeft w:val="0"/>
              <w:marRight w:val="0"/>
              <w:marTop w:val="0"/>
              <w:marBottom w:val="0"/>
              <w:divBdr>
                <w:top w:val="none" w:sz="0" w:space="0" w:color="auto"/>
                <w:left w:val="none" w:sz="0" w:space="0" w:color="auto"/>
                <w:bottom w:val="none" w:sz="0" w:space="0" w:color="auto"/>
                <w:right w:val="none" w:sz="0" w:space="0" w:color="auto"/>
              </w:divBdr>
              <w:divsChild>
                <w:div w:id="412315597">
                  <w:marLeft w:val="0"/>
                  <w:marRight w:val="0"/>
                  <w:marTop w:val="0"/>
                  <w:marBottom w:val="0"/>
                  <w:divBdr>
                    <w:top w:val="none" w:sz="0" w:space="0" w:color="auto"/>
                    <w:left w:val="none" w:sz="0" w:space="0" w:color="auto"/>
                    <w:bottom w:val="none" w:sz="0" w:space="0" w:color="auto"/>
                    <w:right w:val="none" w:sz="0" w:space="0" w:color="auto"/>
                  </w:divBdr>
                  <w:divsChild>
                    <w:div w:id="1179392242">
                      <w:marLeft w:val="0"/>
                      <w:marRight w:val="0"/>
                      <w:marTop w:val="0"/>
                      <w:marBottom w:val="0"/>
                      <w:divBdr>
                        <w:top w:val="none" w:sz="0" w:space="0" w:color="auto"/>
                        <w:left w:val="none" w:sz="0" w:space="0" w:color="auto"/>
                        <w:bottom w:val="none" w:sz="0" w:space="0" w:color="auto"/>
                        <w:right w:val="none" w:sz="0" w:space="0" w:color="auto"/>
                      </w:divBdr>
                      <w:divsChild>
                        <w:div w:id="1928221950">
                          <w:marLeft w:val="0"/>
                          <w:marRight w:val="0"/>
                          <w:marTop w:val="0"/>
                          <w:marBottom w:val="0"/>
                          <w:divBdr>
                            <w:top w:val="none" w:sz="0" w:space="0" w:color="auto"/>
                            <w:left w:val="none" w:sz="0" w:space="0" w:color="auto"/>
                            <w:bottom w:val="none" w:sz="0" w:space="0" w:color="auto"/>
                            <w:right w:val="none" w:sz="0" w:space="0" w:color="auto"/>
                          </w:divBdr>
                          <w:divsChild>
                            <w:div w:id="1254124378">
                              <w:marLeft w:val="0"/>
                              <w:marRight w:val="0"/>
                              <w:marTop w:val="0"/>
                              <w:marBottom w:val="0"/>
                              <w:divBdr>
                                <w:top w:val="none" w:sz="0" w:space="0" w:color="auto"/>
                                <w:left w:val="none" w:sz="0" w:space="0" w:color="auto"/>
                                <w:bottom w:val="none" w:sz="0" w:space="0" w:color="auto"/>
                                <w:right w:val="none" w:sz="0" w:space="0" w:color="auto"/>
                              </w:divBdr>
                              <w:divsChild>
                                <w:div w:id="719403100">
                                  <w:marLeft w:val="0"/>
                                  <w:marRight w:val="0"/>
                                  <w:marTop w:val="0"/>
                                  <w:marBottom w:val="0"/>
                                  <w:divBdr>
                                    <w:top w:val="none" w:sz="0" w:space="0" w:color="auto"/>
                                    <w:left w:val="none" w:sz="0" w:space="0" w:color="auto"/>
                                    <w:bottom w:val="none" w:sz="0" w:space="0" w:color="auto"/>
                                    <w:right w:val="none" w:sz="0" w:space="0" w:color="auto"/>
                                  </w:divBdr>
                                  <w:divsChild>
                                    <w:div w:id="445544114">
                                      <w:marLeft w:val="0"/>
                                      <w:marRight w:val="0"/>
                                      <w:marTop w:val="0"/>
                                      <w:marBottom w:val="0"/>
                                      <w:divBdr>
                                        <w:top w:val="none" w:sz="0" w:space="0" w:color="auto"/>
                                        <w:left w:val="none" w:sz="0" w:space="0" w:color="auto"/>
                                        <w:bottom w:val="none" w:sz="0" w:space="0" w:color="auto"/>
                                        <w:right w:val="none" w:sz="0" w:space="0" w:color="auto"/>
                                      </w:divBdr>
                                      <w:divsChild>
                                        <w:div w:id="762605096">
                                          <w:marLeft w:val="0"/>
                                          <w:marRight w:val="0"/>
                                          <w:marTop w:val="0"/>
                                          <w:marBottom w:val="0"/>
                                          <w:divBdr>
                                            <w:top w:val="none" w:sz="0" w:space="0" w:color="auto"/>
                                            <w:left w:val="none" w:sz="0" w:space="0" w:color="auto"/>
                                            <w:bottom w:val="none" w:sz="0" w:space="0" w:color="auto"/>
                                            <w:right w:val="none" w:sz="0" w:space="0" w:color="auto"/>
                                          </w:divBdr>
                                          <w:divsChild>
                                            <w:div w:id="20187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5626744">
          <w:marLeft w:val="0"/>
          <w:marRight w:val="0"/>
          <w:marTop w:val="0"/>
          <w:marBottom w:val="0"/>
          <w:divBdr>
            <w:top w:val="none" w:sz="0" w:space="0" w:color="auto"/>
            <w:left w:val="none" w:sz="0" w:space="0" w:color="auto"/>
            <w:bottom w:val="none" w:sz="0" w:space="0" w:color="auto"/>
            <w:right w:val="none" w:sz="0" w:space="0" w:color="auto"/>
          </w:divBdr>
          <w:divsChild>
            <w:div w:id="1345937093">
              <w:marLeft w:val="0"/>
              <w:marRight w:val="0"/>
              <w:marTop w:val="0"/>
              <w:marBottom w:val="0"/>
              <w:divBdr>
                <w:top w:val="none" w:sz="0" w:space="0" w:color="auto"/>
                <w:left w:val="none" w:sz="0" w:space="0" w:color="auto"/>
                <w:bottom w:val="none" w:sz="0" w:space="0" w:color="auto"/>
                <w:right w:val="none" w:sz="0" w:space="0" w:color="auto"/>
              </w:divBdr>
              <w:divsChild>
                <w:div w:id="218170047">
                  <w:marLeft w:val="0"/>
                  <w:marRight w:val="0"/>
                  <w:marTop w:val="0"/>
                  <w:marBottom w:val="0"/>
                  <w:divBdr>
                    <w:top w:val="none" w:sz="0" w:space="0" w:color="auto"/>
                    <w:left w:val="none" w:sz="0" w:space="0" w:color="auto"/>
                    <w:bottom w:val="none" w:sz="0" w:space="0" w:color="auto"/>
                    <w:right w:val="none" w:sz="0" w:space="0" w:color="auto"/>
                  </w:divBdr>
                  <w:divsChild>
                    <w:div w:id="1024866171">
                      <w:marLeft w:val="0"/>
                      <w:marRight w:val="0"/>
                      <w:marTop w:val="0"/>
                      <w:marBottom w:val="0"/>
                      <w:divBdr>
                        <w:top w:val="none" w:sz="0" w:space="0" w:color="auto"/>
                        <w:left w:val="none" w:sz="0" w:space="0" w:color="auto"/>
                        <w:bottom w:val="none" w:sz="0" w:space="0" w:color="auto"/>
                        <w:right w:val="none" w:sz="0" w:space="0" w:color="auto"/>
                      </w:divBdr>
                      <w:divsChild>
                        <w:div w:id="303512849">
                          <w:marLeft w:val="0"/>
                          <w:marRight w:val="0"/>
                          <w:marTop w:val="0"/>
                          <w:marBottom w:val="0"/>
                          <w:divBdr>
                            <w:top w:val="none" w:sz="0" w:space="0" w:color="auto"/>
                            <w:left w:val="none" w:sz="0" w:space="0" w:color="auto"/>
                            <w:bottom w:val="none" w:sz="0" w:space="0" w:color="auto"/>
                            <w:right w:val="none" w:sz="0" w:space="0" w:color="auto"/>
                          </w:divBdr>
                          <w:divsChild>
                            <w:div w:id="1408647076">
                              <w:marLeft w:val="0"/>
                              <w:marRight w:val="0"/>
                              <w:marTop w:val="0"/>
                              <w:marBottom w:val="0"/>
                              <w:divBdr>
                                <w:top w:val="none" w:sz="0" w:space="0" w:color="auto"/>
                                <w:left w:val="none" w:sz="0" w:space="0" w:color="auto"/>
                                <w:bottom w:val="none" w:sz="0" w:space="0" w:color="auto"/>
                                <w:right w:val="none" w:sz="0" w:space="0" w:color="auto"/>
                              </w:divBdr>
                              <w:divsChild>
                                <w:div w:id="146747474">
                                  <w:marLeft w:val="0"/>
                                  <w:marRight w:val="0"/>
                                  <w:marTop w:val="0"/>
                                  <w:marBottom w:val="0"/>
                                  <w:divBdr>
                                    <w:top w:val="none" w:sz="0" w:space="0" w:color="auto"/>
                                    <w:left w:val="none" w:sz="0" w:space="0" w:color="auto"/>
                                    <w:bottom w:val="none" w:sz="0" w:space="0" w:color="auto"/>
                                    <w:right w:val="none" w:sz="0" w:space="0" w:color="auto"/>
                                  </w:divBdr>
                                  <w:divsChild>
                                    <w:div w:id="168840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7676419">
          <w:marLeft w:val="0"/>
          <w:marRight w:val="0"/>
          <w:marTop w:val="0"/>
          <w:marBottom w:val="0"/>
          <w:divBdr>
            <w:top w:val="none" w:sz="0" w:space="0" w:color="auto"/>
            <w:left w:val="none" w:sz="0" w:space="0" w:color="auto"/>
            <w:bottom w:val="none" w:sz="0" w:space="0" w:color="auto"/>
            <w:right w:val="none" w:sz="0" w:space="0" w:color="auto"/>
          </w:divBdr>
          <w:divsChild>
            <w:div w:id="1221861228">
              <w:marLeft w:val="0"/>
              <w:marRight w:val="0"/>
              <w:marTop w:val="0"/>
              <w:marBottom w:val="0"/>
              <w:divBdr>
                <w:top w:val="none" w:sz="0" w:space="0" w:color="auto"/>
                <w:left w:val="none" w:sz="0" w:space="0" w:color="auto"/>
                <w:bottom w:val="none" w:sz="0" w:space="0" w:color="auto"/>
                <w:right w:val="none" w:sz="0" w:space="0" w:color="auto"/>
              </w:divBdr>
              <w:divsChild>
                <w:div w:id="465203370">
                  <w:marLeft w:val="0"/>
                  <w:marRight w:val="0"/>
                  <w:marTop w:val="0"/>
                  <w:marBottom w:val="0"/>
                  <w:divBdr>
                    <w:top w:val="none" w:sz="0" w:space="0" w:color="auto"/>
                    <w:left w:val="none" w:sz="0" w:space="0" w:color="auto"/>
                    <w:bottom w:val="none" w:sz="0" w:space="0" w:color="auto"/>
                    <w:right w:val="none" w:sz="0" w:space="0" w:color="auto"/>
                  </w:divBdr>
                  <w:divsChild>
                    <w:div w:id="966622991">
                      <w:marLeft w:val="0"/>
                      <w:marRight w:val="0"/>
                      <w:marTop w:val="0"/>
                      <w:marBottom w:val="0"/>
                      <w:divBdr>
                        <w:top w:val="none" w:sz="0" w:space="0" w:color="auto"/>
                        <w:left w:val="none" w:sz="0" w:space="0" w:color="auto"/>
                        <w:bottom w:val="none" w:sz="0" w:space="0" w:color="auto"/>
                        <w:right w:val="none" w:sz="0" w:space="0" w:color="auto"/>
                      </w:divBdr>
                      <w:divsChild>
                        <w:div w:id="837037441">
                          <w:marLeft w:val="0"/>
                          <w:marRight w:val="0"/>
                          <w:marTop w:val="0"/>
                          <w:marBottom w:val="0"/>
                          <w:divBdr>
                            <w:top w:val="none" w:sz="0" w:space="0" w:color="auto"/>
                            <w:left w:val="none" w:sz="0" w:space="0" w:color="auto"/>
                            <w:bottom w:val="none" w:sz="0" w:space="0" w:color="auto"/>
                            <w:right w:val="none" w:sz="0" w:space="0" w:color="auto"/>
                          </w:divBdr>
                          <w:divsChild>
                            <w:div w:id="1907952285">
                              <w:marLeft w:val="0"/>
                              <w:marRight w:val="0"/>
                              <w:marTop w:val="0"/>
                              <w:marBottom w:val="0"/>
                              <w:divBdr>
                                <w:top w:val="none" w:sz="0" w:space="0" w:color="auto"/>
                                <w:left w:val="none" w:sz="0" w:space="0" w:color="auto"/>
                                <w:bottom w:val="none" w:sz="0" w:space="0" w:color="auto"/>
                                <w:right w:val="none" w:sz="0" w:space="0" w:color="auto"/>
                              </w:divBdr>
                              <w:divsChild>
                                <w:div w:id="1543984500">
                                  <w:marLeft w:val="0"/>
                                  <w:marRight w:val="0"/>
                                  <w:marTop w:val="0"/>
                                  <w:marBottom w:val="0"/>
                                  <w:divBdr>
                                    <w:top w:val="none" w:sz="0" w:space="0" w:color="auto"/>
                                    <w:left w:val="none" w:sz="0" w:space="0" w:color="auto"/>
                                    <w:bottom w:val="none" w:sz="0" w:space="0" w:color="auto"/>
                                    <w:right w:val="none" w:sz="0" w:space="0" w:color="auto"/>
                                  </w:divBdr>
                                  <w:divsChild>
                                    <w:div w:id="34160733">
                                      <w:marLeft w:val="0"/>
                                      <w:marRight w:val="0"/>
                                      <w:marTop w:val="0"/>
                                      <w:marBottom w:val="0"/>
                                      <w:divBdr>
                                        <w:top w:val="none" w:sz="0" w:space="0" w:color="auto"/>
                                        <w:left w:val="none" w:sz="0" w:space="0" w:color="auto"/>
                                        <w:bottom w:val="none" w:sz="0" w:space="0" w:color="auto"/>
                                        <w:right w:val="none" w:sz="0" w:space="0" w:color="auto"/>
                                      </w:divBdr>
                                      <w:divsChild>
                                        <w:div w:id="1381132859">
                                          <w:marLeft w:val="0"/>
                                          <w:marRight w:val="0"/>
                                          <w:marTop w:val="0"/>
                                          <w:marBottom w:val="0"/>
                                          <w:divBdr>
                                            <w:top w:val="none" w:sz="0" w:space="0" w:color="auto"/>
                                            <w:left w:val="none" w:sz="0" w:space="0" w:color="auto"/>
                                            <w:bottom w:val="none" w:sz="0" w:space="0" w:color="auto"/>
                                            <w:right w:val="none" w:sz="0" w:space="0" w:color="auto"/>
                                          </w:divBdr>
                                          <w:divsChild>
                                            <w:div w:id="91744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01310045">
          <w:marLeft w:val="0"/>
          <w:marRight w:val="0"/>
          <w:marTop w:val="0"/>
          <w:marBottom w:val="0"/>
          <w:divBdr>
            <w:top w:val="none" w:sz="0" w:space="0" w:color="auto"/>
            <w:left w:val="none" w:sz="0" w:space="0" w:color="auto"/>
            <w:bottom w:val="none" w:sz="0" w:space="0" w:color="auto"/>
            <w:right w:val="none" w:sz="0" w:space="0" w:color="auto"/>
          </w:divBdr>
          <w:divsChild>
            <w:div w:id="740366182">
              <w:marLeft w:val="0"/>
              <w:marRight w:val="0"/>
              <w:marTop w:val="0"/>
              <w:marBottom w:val="0"/>
              <w:divBdr>
                <w:top w:val="none" w:sz="0" w:space="0" w:color="auto"/>
                <w:left w:val="none" w:sz="0" w:space="0" w:color="auto"/>
                <w:bottom w:val="none" w:sz="0" w:space="0" w:color="auto"/>
                <w:right w:val="none" w:sz="0" w:space="0" w:color="auto"/>
              </w:divBdr>
              <w:divsChild>
                <w:div w:id="1188830128">
                  <w:marLeft w:val="0"/>
                  <w:marRight w:val="0"/>
                  <w:marTop w:val="0"/>
                  <w:marBottom w:val="0"/>
                  <w:divBdr>
                    <w:top w:val="none" w:sz="0" w:space="0" w:color="auto"/>
                    <w:left w:val="none" w:sz="0" w:space="0" w:color="auto"/>
                    <w:bottom w:val="none" w:sz="0" w:space="0" w:color="auto"/>
                    <w:right w:val="none" w:sz="0" w:space="0" w:color="auto"/>
                  </w:divBdr>
                  <w:divsChild>
                    <w:div w:id="1498577090">
                      <w:marLeft w:val="0"/>
                      <w:marRight w:val="0"/>
                      <w:marTop w:val="0"/>
                      <w:marBottom w:val="0"/>
                      <w:divBdr>
                        <w:top w:val="none" w:sz="0" w:space="0" w:color="auto"/>
                        <w:left w:val="none" w:sz="0" w:space="0" w:color="auto"/>
                        <w:bottom w:val="none" w:sz="0" w:space="0" w:color="auto"/>
                        <w:right w:val="none" w:sz="0" w:space="0" w:color="auto"/>
                      </w:divBdr>
                      <w:divsChild>
                        <w:div w:id="1719893904">
                          <w:marLeft w:val="0"/>
                          <w:marRight w:val="0"/>
                          <w:marTop w:val="0"/>
                          <w:marBottom w:val="0"/>
                          <w:divBdr>
                            <w:top w:val="none" w:sz="0" w:space="0" w:color="auto"/>
                            <w:left w:val="none" w:sz="0" w:space="0" w:color="auto"/>
                            <w:bottom w:val="none" w:sz="0" w:space="0" w:color="auto"/>
                            <w:right w:val="none" w:sz="0" w:space="0" w:color="auto"/>
                          </w:divBdr>
                          <w:divsChild>
                            <w:div w:id="816453413">
                              <w:marLeft w:val="0"/>
                              <w:marRight w:val="0"/>
                              <w:marTop w:val="0"/>
                              <w:marBottom w:val="0"/>
                              <w:divBdr>
                                <w:top w:val="none" w:sz="0" w:space="0" w:color="auto"/>
                                <w:left w:val="none" w:sz="0" w:space="0" w:color="auto"/>
                                <w:bottom w:val="none" w:sz="0" w:space="0" w:color="auto"/>
                                <w:right w:val="none" w:sz="0" w:space="0" w:color="auto"/>
                              </w:divBdr>
                              <w:divsChild>
                                <w:div w:id="913319189">
                                  <w:marLeft w:val="0"/>
                                  <w:marRight w:val="0"/>
                                  <w:marTop w:val="0"/>
                                  <w:marBottom w:val="0"/>
                                  <w:divBdr>
                                    <w:top w:val="none" w:sz="0" w:space="0" w:color="auto"/>
                                    <w:left w:val="none" w:sz="0" w:space="0" w:color="auto"/>
                                    <w:bottom w:val="none" w:sz="0" w:space="0" w:color="auto"/>
                                    <w:right w:val="none" w:sz="0" w:space="0" w:color="auto"/>
                                  </w:divBdr>
                                  <w:divsChild>
                                    <w:div w:id="12053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649089">
      <w:bodyDiv w:val="1"/>
      <w:marLeft w:val="0"/>
      <w:marRight w:val="0"/>
      <w:marTop w:val="0"/>
      <w:marBottom w:val="0"/>
      <w:divBdr>
        <w:top w:val="none" w:sz="0" w:space="0" w:color="auto"/>
        <w:left w:val="none" w:sz="0" w:space="0" w:color="auto"/>
        <w:bottom w:val="none" w:sz="0" w:space="0" w:color="auto"/>
        <w:right w:val="none" w:sz="0" w:space="0" w:color="auto"/>
      </w:divBdr>
      <w:divsChild>
        <w:div w:id="939532316">
          <w:marLeft w:val="0"/>
          <w:marRight w:val="0"/>
          <w:marTop w:val="0"/>
          <w:marBottom w:val="0"/>
          <w:divBdr>
            <w:top w:val="none" w:sz="0" w:space="0" w:color="auto"/>
            <w:left w:val="none" w:sz="0" w:space="0" w:color="auto"/>
            <w:bottom w:val="none" w:sz="0" w:space="0" w:color="auto"/>
            <w:right w:val="none" w:sz="0" w:space="0" w:color="auto"/>
          </w:divBdr>
          <w:divsChild>
            <w:div w:id="645669965">
              <w:marLeft w:val="0"/>
              <w:marRight w:val="0"/>
              <w:marTop w:val="0"/>
              <w:marBottom w:val="0"/>
              <w:divBdr>
                <w:top w:val="none" w:sz="0" w:space="0" w:color="auto"/>
                <w:left w:val="none" w:sz="0" w:space="0" w:color="auto"/>
                <w:bottom w:val="none" w:sz="0" w:space="0" w:color="auto"/>
                <w:right w:val="none" w:sz="0" w:space="0" w:color="auto"/>
              </w:divBdr>
              <w:divsChild>
                <w:div w:id="1206142458">
                  <w:marLeft w:val="0"/>
                  <w:marRight w:val="0"/>
                  <w:marTop w:val="0"/>
                  <w:marBottom w:val="0"/>
                  <w:divBdr>
                    <w:top w:val="none" w:sz="0" w:space="0" w:color="auto"/>
                    <w:left w:val="none" w:sz="0" w:space="0" w:color="auto"/>
                    <w:bottom w:val="none" w:sz="0" w:space="0" w:color="auto"/>
                    <w:right w:val="none" w:sz="0" w:space="0" w:color="auto"/>
                  </w:divBdr>
                  <w:divsChild>
                    <w:div w:id="341251309">
                      <w:marLeft w:val="0"/>
                      <w:marRight w:val="0"/>
                      <w:marTop w:val="0"/>
                      <w:marBottom w:val="0"/>
                      <w:divBdr>
                        <w:top w:val="none" w:sz="0" w:space="0" w:color="auto"/>
                        <w:left w:val="none" w:sz="0" w:space="0" w:color="auto"/>
                        <w:bottom w:val="none" w:sz="0" w:space="0" w:color="auto"/>
                        <w:right w:val="none" w:sz="0" w:space="0" w:color="auto"/>
                      </w:divBdr>
                      <w:divsChild>
                        <w:div w:id="1666081591">
                          <w:marLeft w:val="0"/>
                          <w:marRight w:val="0"/>
                          <w:marTop w:val="0"/>
                          <w:marBottom w:val="0"/>
                          <w:divBdr>
                            <w:top w:val="none" w:sz="0" w:space="0" w:color="auto"/>
                            <w:left w:val="none" w:sz="0" w:space="0" w:color="auto"/>
                            <w:bottom w:val="none" w:sz="0" w:space="0" w:color="auto"/>
                            <w:right w:val="none" w:sz="0" w:space="0" w:color="auto"/>
                          </w:divBdr>
                          <w:divsChild>
                            <w:div w:id="338656441">
                              <w:marLeft w:val="0"/>
                              <w:marRight w:val="0"/>
                              <w:marTop w:val="0"/>
                              <w:marBottom w:val="0"/>
                              <w:divBdr>
                                <w:top w:val="none" w:sz="0" w:space="0" w:color="auto"/>
                                <w:left w:val="none" w:sz="0" w:space="0" w:color="auto"/>
                                <w:bottom w:val="none" w:sz="0" w:space="0" w:color="auto"/>
                                <w:right w:val="none" w:sz="0" w:space="0" w:color="auto"/>
                              </w:divBdr>
                              <w:divsChild>
                                <w:div w:id="1052643">
                                  <w:marLeft w:val="0"/>
                                  <w:marRight w:val="0"/>
                                  <w:marTop w:val="0"/>
                                  <w:marBottom w:val="0"/>
                                  <w:divBdr>
                                    <w:top w:val="none" w:sz="0" w:space="0" w:color="auto"/>
                                    <w:left w:val="none" w:sz="0" w:space="0" w:color="auto"/>
                                    <w:bottom w:val="none" w:sz="0" w:space="0" w:color="auto"/>
                                    <w:right w:val="none" w:sz="0" w:space="0" w:color="auto"/>
                                  </w:divBdr>
                                  <w:divsChild>
                                    <w:div w:id="202088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43295">
                          <w:marLeft w:val="0"/>
                          <w:marRight w:val="0"/>
                          <w:marTop w:val="0"/>
                          <w:marBottom w:val="0"/>
                          <w:divBdr>
                            <w:top w:val="none" w:sz="0" w:space="0" w:color="auto"/>
                            <w:left w:val="none" w:sz="0" w:space="0" w:color="auto"/>
                            <w:bottom w:val="none" w:sz="0" w:space="0" w:color="auto"/>
                            <w:right w:val="none" w:sz="0" w:space="0" w:color="auto"/>
                          </w:divBdr>
                          <w:divsChild>
                            <w:div w:id="811823036">
                              <w:marLeft w:val="0"/>
                              <w:marRight w:val="0"/>
                              <w:marTop w:val="0"/>
                              <w:marBottom w:val="0"/>
                              <w:divBdr>
                                <w:top w:val="none" w:sz="0" w:space="0" w:color="auto"/>
                                <w:left w:val="none" w:sz="0" w:space="0" w:color="auto"/>
                                <w:bottom w:val="none" w:sz="0" w:space="0" w:color="auto"/>
                                <w:right w:val="none" w:sz="0" w:space="0" w:color="auto"/>
                              </w:divBdr>
                              <w:divsChild>
                                <w:div w:id="131275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176634">
          <w:marLeft w:val="0"/>
          <w:marRight w:val="0"/>
          <w:marTop w:val="0"/>
          <w:marBottom w:val="0"/>
          <w:divBdr>
            <w:top w:val="none" w:sz="0" w:space="0" w:color="auto"/>
            <w:left w:val="none" w:sz="0" w:space="0" w:color="auto"/>
            <w:bottom w:val="none" w:sz="0" w:space="0" w:color="auto"/>
            <w:right w:val="none" w:sz="0" w:space="0" w:color="auto"/>
          </w:divBdr>
          <w:divsChild>
            <w:div w:id="52045868">
              <w:marLeft w:val="0"/>
              <w:marRight w:val="0"/>
              <w:marTop w:val="0"/>
              <w:marBottom w:val="0"/>
              <w:divBdr>
                <w:top w:val="none" w:sz="0" w:space="0" w:color="auto"/>
                <w:left w:val="none" w:sz="0" w:space="0" w:color="auto"/>
                <w:bottom w:val="none" w:sz="0" w:space="0" w:color="auto"/>
                <w:right w:val="none" w:sz="0" w:space="0" w:color="auto"/>
              </w:divBdr>
              <w:divsChild>
                <w:div w:id="356472084">
                  <w:marLeft w:val="0"/>
                  <w:marRight w:val="0"/>
                  <w:marTop w:val="0"/>
                  <w:marBottom w:val="0"/>
                  <w:divBdr>
                    <w:top w:val="none" w:sz="0" w:space="0" w:color="auto"/>
                    <w:left w:val="none" w:sz="0" w:space="0" w:color="auto"/>
                    <w:bottom w:val="none" w:sz="0" w:space="0" w:color="auto"/>
                    <w:right w:val="none" w:sz="0" w:space="0" w:color="auto"/>
                  </w:divBdr>
                  <w:divsChild>
                    <w:div w:id="1134366808">
                      <w:marLeft w:val="0"/>
                      <w:marRight w:val="0"/>
                      <w:marTop w:val="0"/>
                      <w:marBottom w:val="0"/>
                      <w:divBdr>
                        <w:top w:val="none" w:sz="0" w:space="0" w:color="auto"/>
                        <w:left w:val="none" w:sz="0" w:space="0" w:color="auto"/>
                        <w:bottom w:val="none" w:sz="0" w:space="0" w:color="auto"/>
                        <w:right w:val="none" w:sz="0" w:space="0" w:color="auto"/>
                      </w:divBdr>
                      <w:divsChild>
                        <w:div w:id="1777289399">
                          <w:marLeft w:val="0"/>
                          <w:marRight w:val="0"/>
                          <w:marTop w:val="0"/>
                          <w:marBottom w:val="0"/>
                          <w:divBdr>
                            <w:top w:val="none" w:sz="0" w:space="0" w:color="auto"/>
                            <w:left w:val="none" w:sz="0" w:space="0" w:color="auto"/>
                            <w:bottom w:val="none" w:sz="0" w:space="0" w:color="auto"/>
                            <w:right w:val="none" w:sz="0" w:space="0" w:color="auto"/>
                          </w:divBdr>
                          <w:divsChild>
                            <w:div w:id="1777015192">
                              <w:marLeft w:val="0"/>
                              <w:marRight w:val="0"/>
                              <w:marTop w:val="0"/>
                              <w:marBottom w:val="0"/>
                              <w:divBdr>
                                <w:top w:val="none" w:sz="0" w:space="0" w:color="auto"/>
                                <w:left w:val="none" w:sz="0" w:space="0" w:color="auto"/>
                                <w:bottom w:val="none" w:sz="0" w:space="0" w:color="auto"/>
                                <w:right w:val="none" w:sz="0" w:space="0" w:color="auto"/>
                              </w:divBdr>
                              <w:divsChild>
                                <w:div w:id="1172599005">
                                  <w:marLeft w:val="0"/>
                                  <w:marRight w:val="0"/>
                                  <w:marTop w:val="0"/>
                                  <w:marBottom w:val="0"/>
                                  <w:divBdr>
                                    <w:top w:val="none" w:sz="0" w:space="0" w:color="auto"/>
                                    <w:left w:val="none" w:sz="0" w:space="0" w:color="auto"/>
                                    <w:bottom w:val="none" w:sz="0" w:space="0" w:color="auto"/>
                                    <w:right w:val="none" w:sz="0" w:space="0" w:color="auto"/>
                                  </w:divBdr>
                                  <w:divsChild>
                                    <w:div w:id="2093239106">
                                      <w:marLeft w:val="0"/>
                                      <w:marRight w:val="0"/>
                                      <w:marTop w:val="0"/>
                                      <w:marBottom w:val="0"/>
                                      <w:divBdr>
                                        <w:top w:val="none" w:sz="0" w:space="0" w:color="auto"/>
                                        <w:left w:val="none" w:sz="0" w:space="0" w:color="auto"/>
                                        <w:bottom w:val="none" w:sz="0" w:space="0" w:color="auto"/>
                                        <w:right w:val="none" w:sz="0" w:space="0" w:color="auto"/>
                                      </w:divBdr>
                                      <w:divsChild>
                                        <w:div w:id="1952975476">
                                          <w:marLeft w:val="0"/>
                                          <w:marRight w:val="0"/>
                                          <w:marTop w:val="0"/>
                                          <w:marBottom w:val="0"/>
                                          <w:divBdr>
                                            <w:top w:val="none" w:sz="0" w:space="0" w:color="auto"/>
                                            <w:left w:val="none" w:sz="0" w:space="0" w:color="auto"/>
                                            <w:bottom w:val="none" w:sz="0" w:space="0" w:color="auto"/>
                                            <w:right w:val="none" w:sz="0" w:space="0" w:color="auto"/>
                                          </w:divBdr>
                                          <w:divsChild>
                                            <w:div w:id="194268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8478166">
          <w:marLeft w:val="0"/>
          <w:marRight w:val="0"/>
          <w:marTop w:val="0"/>
          <w:marBottom w:val="0"/>
          <w:divBdr>
            <w:top w:val="none" w:sz="0" w:space="0" w:color="auto"/>
            <w:left w:val="none" w:sz="0" w:space="0" w:color="auto"/>
            <w:bottom w:val="none" w:sz="0" w:space="0" w:color="auto"/>
            <w:right w:val="none" w:sz="0" w:space="0" w:color="auto"/>
          </w:divBdr>
          <w:divsChild>
            <w:div w:id="1704750031">
              <w:marLeft w:val="0"/>
              <w:marRight w:val="0"/>
              <w:marTop w:val="0"/>
              <w:marBottom w:val="0"/>
              <w:divBdr>
                <w:top w:val="none" w:sz="0" w:space="0" w:color="auto"/>
                <w:left w:val="none" w:sz="0" w:space="0" w:color="auto"/>
                <w:bottom w:val="none" w:sz="0" w:space="0" w:color="auto"/>
                <w:right w:val="none" w:sz="0" w:space="0" w:color="auto"/>
              </w:divBdr>
              <w:divsChild>
                <w:div w:id="249120862">
                  <w:marLeft w:val="0"/>
                  <w:marRight w:val="0"/>
                  <w:marTop w:val="0"/>
                  <w:marBottom w:val="0"/>
                  <w:divBdr>
                    <w:top w:val="none" w:sz="0" w:space="0" w:color="auto"/>
                    <w:left w:val="none" w:sz="0" w:space="0" w:color="auto"/>
                    <w:bottom w:val="none" w:sz="0" w:space="0" w:color="auto"/>
                    <w:right w:val="none" w:sz="0" w:space="0" w:color="auto"/>
                  </w:divBdr>
                  <w:divsChild>
                    <w:div w:id="589898071">
                      <w:marLeft w:val="0"/>
                      <w:marRight w:val="0"/>
                      <w:marTop w:val="0"/>
                      <w:marBottom w:val="0"/>
                      <w:divBdr>
                        <w:top w:val="none" w:sz="0" w:space="0" w:color="auto"/>
                        <w:left w:val="none" w:sz="0" w:space="0" w:color="auto"/>
                        <w:bottom w:val="none" w:sz="0" w:space="0" w:color="auto"/>
                        <w:right w:val="none" w:sz="0" w:space="0" w:color="auto"/>
                      </w:divBdr>
                      <w:divsChild>
                        <w:div w:id="773288488">
                          <w:marLeft w:val="0"/>
                          <w:marRight w:val="0"/>
                          <w:marTop w:val="0"/>
                          <w:marBottom w:val="0"/>
                          <w:divBdr>
                            <w:top w:val="none" w:sz="0" w:space="0" w:color="auto"/>
                            <w:left w:val="none" w:sz="0" w:space="0" w:color="auto"/>
                            <w:bottom w:val="none" w:sz="0" w:space="0" w:color="auto"/>
                            <w:right w:val="none" w:sz="0" w:space="0" w:color="auto"/>
                          </w:divBdr>
                          <w:divsChild>
                            <w:div w:id="969359656">
                              <w:marLeft w:val="0"/>
                              <w:marRight w:val="0"/>
                              <w:marTop w:val="0"/>
                              <w:marBottom w:val="0"/>
                              <w:divBdr>
                                <w:top w:val="none" w:sz="0" w:space="0" w:color="auto"/>
                                <w:left w:val="none" w:sz="0" w:space="0" w:color="auto"/>
                                <w:bottom w:val="none" w:sz="0" w:space="0" w:color="auto"/>
                                <w:right w:val="none" w:sz="0" w:space="0" w:color="auto"/>
                              </w:divBdr>
                              <w:divsChild>
                                <w:div w:id="940723143">
                                  <w:marLeft w:val="0"/>
                                  <w:marRight w:val="0"/>
                                  <w:marTop w:val="0"/>
                                  <w:marBottom w:val="0"/>
                                  <w:divBdr>
                                    <w:top w:val="none" w:sz="0" w:space="0" w:color="auto"/>
                                    <w:left w:val="none" w:sz="0" w:space="0" w:color="auto"/>
                                    <w:bottom w:val="none" w:sz="0" w:space="0" w:color="auto"/>
                                    <w:right w:val="none" w:sz="0" w:space="0" w:color="auto"/>
                                  </w:divBdr>
                                  <w:divsChild>
                                    <w:div w:id="16575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4511945">
          <w:marLeft w:val="0"/>
          <w:marRight w:val="0"/>
          <w:marTop w:val="0"/>
          <w:marBottom w:val="0"/>
          <w:divBdr>
            <w:top w:val="none" w:sz="0" w:space="0" w:color="auto"/>
            <w:left w:val="none" w:sz="0" w:space="0" w:color="auto"/>
            <w:bottom w:val="none" w:sz="0" w:space="0" w:color="auto"/>
            <w:right w:val="none" w:sz="0" w:space="0" w:color="auto"/>
          </w:divBdr>
          <w:divsChild>
            <w:div w:id="1699816296">
              <w:marLeft w:val="0"/>
              <w:marRight w:val="0"/>
              <w:marTop w:val="0"/>
              <w:marBottom w:val="0"/>
              <w:divBdr>
                <w:top w:val="none" w:sz="0" w:space="0" w:color="auto"/>
                <w:left w:val="none" w:sz="0" w:space="0" w:color="auto"/>
                <w:bottom w:val="none" w:sz="0" w:space="0" w:color="auto"/>
                <w:right w:val="none" w:sz="0" w:space="0" w:color="auto"/>
              </w:divBdr>
              <w:divsChild>
                <w:div w:id="1317949585">
                  <w:marLeft w:val="0"/>
                  <w:marRight w:val="0"/>
                  <w:marTop w:val="0"/>
                  <w:marBottom w:val="0"/>
                  <w:divBdr>
                    <w:top w:val="none" w:sz="0" w:space="0" w:color="auto"/>
                    <w:left w:val="none" w:sz="0" w:space="0" w:color="auto"/>
                    <w:bottom w:val="none" w:sz="0" w:space="0" w:color="auto"/>
                    <w:right w:val="none" w:sz="0" w:space="0" w:color="auto"/>
                  </w:divBdr>
                  <w:divsChild>
                    <w:div w:id="2118058169">
                      <w:marLeft w:val="0"/>
                      <w:marRight w:val="0"/>
                      <w:marTop w:val="0"/>
                      <w:marBottom w:val="0"/>
                      <w:divBdr>
                        <w:top w:val="none" w:sz="0" w:space="0" w:color="auto"/>
                        <w:left w:val="none" w:sz="0" w:space="0" w:color="auto"/>
                        <w:bottom w:val="none" w:sz="0" w:space="0" w:color="auto"/>
                        <w:right w:val="none" w:sz="0" w:space="0" w:color="auto"/>
                      </w:divBdr>
                      <w:divsChild>
                        <w:div w:id="523443252">
                          <w:marLeft w:val="0"/>
                          <w:marRight w:val="0"/>
                          <w:marTop w:val="0"/>
                          <w:marBottom w:val="0"/>
                          <w:divBdr>
                            <w:top w:val="none" w:sz="0" w:space="0" w:color="auto"/>
                            <w:left w:val="none" w:sz="0" w:space="0" w:color="auto"/>
                            <w:bottom w:val="none" w:sz="0" w:space="0" w:color="auto"/>
                            <w:right w:val="none" w:sz="0" w:space="0" w:color="auto"/>
                          </w:divBdr>
                          <w:divsChild>
                            <w:div w:id="478041849">
                              <w:marLeft w:val="0"/>
                              <w:marRight w:val="0"/>
                              <w:marTop w:val="0"/>
                              <w:marBottom w:val="0"/>
                              <w:divBdr>
                                <w:top w:val="none" w:sz="0" w:space="0" w:color="auto"/>
                                <w:left w:val="none" w:sz="0" w:space="0" w:color="auto"/>
                                <w:bottom w:val="none" w:sz="0" w:space="0" w:color="auto"/>
                                <w:right w:val="none" w:sz="0" w:space="0" w:color="auto"/>
                              </w:divBdr>
                              <w:divsChild>
                                <w:div w:id="1454011554">
                                  <w:marLeft w:val="0"/>
                                  <w:marRight w:val="0"/>
                                  <w:marTop w:val="0"/>
                                  <w:marBottom w:val="0"/>
                                  <w:divBdr>
                                    <w:top w:val="none" w:sz="0" w:space="0" w:color="auto"/>
                                    <w:left w:val="none" w:sz="0" w:space="0" w:color="auto"/>
                                    <w:bottom w:val="none" w:sz="0" w:space="0" w:color="auto"/>
                                    <w:right w:val="none" w:sz="0" w:space="0" w:color="auto"/>
                                  </w:divBdr>
                                  <w:divsChild>
                                    <w:div w:id="1352880690">
                                      <w:marLeft w:val="0"/>
                                      <w:marRight w:val="0"/>
                                      <w:marTop w:val="0"/>
                                      <w:marBottom w:val="0"/>
                                      <w:divBdr>
                                        <w:top w:val="none" w:sz="0" w:space="0" w:color="auto"/>
                                        <w:left w:val="none" w:sz="0" w:space="0" w:color="auto"/>
                                        <w:bottom w:val="none" w:sz="0" w:space="0" w:color="auto"/>
                                        <w:right w:val="none" w:sz="0" w:space="0" w:color="auto"/>
                                      </w:divBdr>
                                      <w:divsChild>
                                        <w:div w:id="139658052">
                                          <w:marLeft w:val="0"/>
                                          <w:marRight w:val="0"/>
                                          <w:marTop w:val="0"/>
                                          <w:marBottom w:val="0"/>
                                          <w:divBdr>
                                            <w:top w:val="none" w:sz="0" w:space="0" w:color="auto"/>
                                            <w:left w:val="none" w:sz="0" w:space="0" w:color="auto"/>
                                            <w:bottom w:val="none" w:sz="0" w:space="0" w:color="auto"/>
                                            <w:right w:val="none" w:sz="0" w:space="0" w:color="auto"/>
                                          </w:divBdr>
                                          <w:divsChild>
                                            <w:div w:id="135596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5253238">
          <w:marLeft w:val="0"/>
          <w:marRight w:val="0"/>
          <w:marTop w:val="0"/>
          <w:marBottom w:val="0"/>
          <w:divBdr>
            <w:top w:val="none" w:sz="0" w:space="0" w:color="auto"/>
            <w:left w:val="none" w:sz="0" w:space="0" w:color="auto"/>
            <w:bottom w:val="none" w:sz="0" w:space="0" w:color="auto"/>
            <w:right w:val="none" w:sz="0" w:space="0" w:color="auto"/>
          </w:divBdr>
          <w:divsChild>
            <w:div w:id="2030835008">
              <w:marLeft w:val="0"/>
              <w:marRight w:val="0"/>
              <w:marTop w:val="0"/>
              <w:marBottom w:val="0"/>
              <w:divBdr>
                <w:top w:val="none" w:sz="0" w:space="0" w:color="auto"/>
                <w:left w:val="none" w:sz="0" w:space="0" w:color="auto"/>
                <w:bottom w:val="none" w:sz="0" w:space="0" w:color="auto"/>
                <w:right w:val="none" w:sz="0" w:space="0" w:color="auto"/>
              </w:divBdr>
              <w:divsChild>
                <w:div w:id="1449348391">
                  <w:marLeft w:val="0"/>
                  <w:marRight w:val="0"/>
                  <w:marTop w:val="0"/>
                  <w:marBottom w:val="0"/>
                  <w:divBdr>
                    <w:top w:val="none" w:sz="0" w:space="0" w:color="auto"/>
                    <w:left w:val="none" w:sz="0" w:space="0" w:color="auto"/>
                    <w:bottom w:val="none" w:sz="0" w:space="0" w:color="auto"/>
                    <w:right w:val="none" w:sz="0" w:space="0" w:color="auto"/>
                  </w:divBdr>
                  <w:divsChild>
                    <w:div w:id="433015892">
                      <w:marLeft w:val="0"/>
                      <w:marRight w:val="0"/>
                      <w:marTop w:val="0"/>
                      <w:marBottom w:val="0"/>
                      <w:divBdr>
                        <w:top w:val="none" w:sz="0" w:space="0" w:color="auto"/>
                        <w:left w:val="none" w:sz="0" w:space="0" w:color="auto"/>
                        <w:bottom w:val="none" w:sz="0" w:space="0" w:color="auto"/>
                        <w:right w:val="none" w:sz="0" w:space="0" w:color="auto"/>
                      </w:divBdr>
                      <w:divsChild>
                        <w:div w:id="1035274095">
                          <w:marLeft w:val="0"/>
                          <w:marRight w:val="0"/>
                          <w:marTop w:val="0"/>
                          <w:marBottom w:val="0"/>
                          <w:divBdr>
                            <w:top w:val="none" w:sz="0" w:space="0" w:color="auto"/>
                            <w:left w:val="none" w:sz="0" w:space="0" w:color="auto"/>
                            <w:bottom w:val="none" w:sz="0" w:space="0" w:color="auto"/>
                            <w:right w:val="none" w:sz="0" w:space="0" w:color="auto"/>
                          </w:divBdr>
                          <w:divsChild>
                            <w:div w:id="1477062160">
                              <w:marLeft w:val="0"/>
                              <w:marRight w:val="0"/>
                              <w:marTop w:val="0"/>
                              <w:marBottom w:val="0"/>
                              <w:divBdr>
                                <w:top w:val="none" w:sz="0" w:space="0" w:color="auto"/>
                                <w:left w:val="none" w:sz="0" w:space="0" w:color="auto"/>
                                <w:bottom w:val="none" w:sz="0" w:space="0" w:color="auto"/>
                                <w:right w:val="none" w:sz="0" w:space="0" w:color="auto"/>
                              </w:divBdr>
                              <w:divsChild>
                                <w:div w:id="734666223">
                                  <w:marLeft w:val="0"/>
                                  <w:marRight w:val="0"/>
                                  <w:marTop w:val="0"/>
                                  <w:marBottom w:val="0"/>
                                  <w:divBdr>
                                    <w:top w:val="none" w:sz="0" w:space="0" w:color="auto"/>
                                    <w:left w:val="none" w:sz="0" w:space="0" w:color="auto"/>
                                    <w:bottom w:val="none" w:sz="0" w:space="0" w:color="auto"/>
                                    <w:right w:val="none" w:sz="0" w:space="0" w:color="auto"/>
                                  </w:divBdr>
                                  <w:divsChild>
                                    <w:div w:id="19786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93239">
                          <w:marLeft w:val="0"/>
                          <w:marRight w:val="0"/>
                          <w:marTop w:val="0"/>
                          <w:marBottom w:val="0"/>
                          <w:divBdr>
                            <w:top w:val="none" w:sz="0" w:space="0" w:color="auto"/>
                            <w:left w:val="none" w:sz="0" w:space="0" w:color="auto"/>
                            <w:bottom w:val="none" w:sz="0" w:space="0" w:color="auto"/>
                            <w:right w:val="none" w:sz="0" w:space="0" w:color="auto"/>
                          </w:divBdr>
                          <w:divsChild>
                            <w:div w:id="1656452466">
                              <w:marLeft w:val="0"/>
                              <w:marRight w:val="0"/>
                              <w:marTop w:val="0"/>
                              <w:marBottom w:val="0"/>
                              <w:divBdr>
                                <w:top w:val="none" w:sz="0" w:space="0" w:color="auto"/>
                                <w:left w:val="none" w:sz="0" w:space="0" w:color="auto"/>
                                <w:bottom w:val="none" w:sz="0" w:space="0" w:color="auto"/>
                                <w:right w:val="none" w:sz="0" w:space="0" w:color="auto"/>
                              </w:divBdr>
                              <w:divsChild>
                                <w:div w:id="7741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289611">
          <w:marLeft w:val="0"/>
          <w:marRight w:val="0"/>
          <w:marTop w:val="0"/>
          <w:marBottom w:val="0"/>
          <w:divBdr>
            <w:top w:val="none" w:sz="0" w:space="0" w:color="auto"/>
            <w:left w:val="none" w:sz="0" w:space="0" w:color="auto"/>
            <w:bottom w:val="none" w:sz="0" w:space="0" w:color="auto"/>
            <w:right w:val="none" w:sz="0" w:space="0" w:color="auto"/>
          </w:divBdr>
          <w:divsChild>
            <w:div w:id="1181700818">
              <w:marLeft w:val="0"/>
              <w:marRight w:val="0"/>
              <w:marTop w:val="0"/>
              <w:marBottom w:val="0"/>
              <w:divBdr>
                <w:top w:val="none" w:sz="0" w:space="0" w:color="auto"/>
                <w:left w:val="none" w:sz="0" w:space="0" w:color="auto"/>
                <w:bottom w:val="none" w:sz="0" w:space="0" w:color="auto"/>
                <w:right w:val="none" w:sz="0" w:space="0" w:color="auto"/>
              </w:divBdr>
              <w:divsChild>
                <w:div w:id="1175535989">
                  <w:marLeft w:val="0"/>
                  <w:marRight w:val="0"/>
                  <w:marTop w:val="0"/>
                  <w:marBottom w:val="0"/>
                  <w:divBdr>
                    <w:top w:val="none" w:sz="0" w:space="0" w:color="auto"/>
                    <w:left w:val="none" w:sz="0" w:space="0" w:color="auto"/>
                    <w:bottom w:val="none" w:sz="0" w:space="0" w:color="auto"/>
                    <w:right w:val="none" w:sz="0" w:space="0" w:color="auto"/>
                  </w:divBdr>
                  <w:divsChild>
                    <w:div w:id="1630747480">
                      <w:marLeft w:val="0"/>
                      <w:marRight w:val="0"/>
                      <w:marTop w:val="0"/>
                      <w:marBottom w:val="0"/>
                      <w:divBdr>
                        <w:top w:val="none" w:sz="0" w:space="0" w:color="auto"/>
                        <w:left w:val="none" w:sz="0" w:space="0" w:color="auto"/>
                        <w:bottom w:val="none" w:sz="0" w:space="0" w:color="auto"/>
                        <w:right w:val="none" w:sz="0" w:space="0" w:color="auto"/>
                      </w:divBdr>
                      <w:divsChild>
                        <w:div w:id="1813860647">
                          <w:marLeft w:val="0"/>
                          <w:marRight w:val="0"/>
                          <w:marTop w:val="0"/>
                          <w:marBottom w:val="0"/>
                          <w:divBdr>
                            <w:top w:val="none" w:sz="0" w:space="0" w:color="auto"/>
                            <w:left w:val="none" w:sz="0" w:space="0" w:color="auto"/>
                            <w:bottom w:val="none" w:sz="0" w:space="0" w:color="auto"/>
                            <w:right w:val="none" w:sz="0" w:space="0" w:color="auto"/>
                          </w:divBdr>
                          <w:divsChild>
                            <w:div w:id="215089522">
                              <w:marLeft w:val="0"/>
                              <w:marRight w:val="0"/>
                              <w:marTop w:val="0"/>
                              <w:marBottom w:val="0"/>
                              <w:divBdr>
                                <w:top w:val="none" w:sz="0" w:space="0" w:color="auto"/>
                                <w:left w:val="none" w:sz="0" w:space="0" w:color="auto"/>
                                <w:bottom w:val="none" w:sz="0" w:space="0" w:color="auto"/>
                                <w:right w:val="none" w:sz="0" w:space="0" w:color="auto"/>
                              </w:divBdr>
                              <w:divsChild>
                                <w:div w:id="1257715736">
                                  <w:marLeft w:val="0"/>
                                  <w:marRight w:val="0"/>
                                  <w:marTop w:val="0"/>
                                  <w:marBottom w:val="0"/>
                                  <w:divBdr>
                                    <w:top w:val="none" w:sz="0" w:space="0" w:color="auto"/>
                                    <w:left w:val="none" w:sz="0" w:space="0" w:color="auto"/>
                                    <w:bottom w:val="none" w:sz="0" w:space="0" w:color="auto"/>
                                    <w:right w:val="none" w:sz="0" w:space="0" w:color="auto"/>
                                  </w:divBdr>
                                  <w:divsChild>
                                    <w:div w:id="25520898">
                                      <w:marLeft w:val="0"/>
                                      <w:marRight w:val="0"/>
                                      <w:marTop w:val="0"/>
                                      <w:marBottom w:val="0"/>
                                      <w:divBdr>
                                        <w:top w:val="none" w:sz="0" w:space="0" w:color="auto"/>
                                        <w:left w:val="none" w:sz="0" w:space="0" w:color="auto"/>
                                        <w:bottom w:val="none" w:sz="0" w:space="0" w:color="auto"/>
                                        <w:right w:val="none" w:sz="0" w:space="0" w:color="auto"/>
                                      </w:divBdr>
                                      <w:divsChild>
                                        <w:div w:id="1402868757">
                                          <w:marLeft w:val="0"/>
                                          <w:marRight w:val="0"/>
                                          <w:marTop w:val="0"/>
                                          <w:marBottom w:val="0"/>
                                          <w:divBdr>
                                            <w:top w:val="none" w:sz="0" w:space="0" w:color="auto"/>
                                            <w:left w:val="none" w:sz="0" w:space="0" w:color="auto"/>
                                            <w:bottom w:val="none" w:sz="0" w:space="0" w:color="auto"/>
                                            <w:right w:val="none" w:sz="0" w:space="0" w:color="auto"/>
                                          </w:divBdr>
                                          <w:divsChild>
                                            <w:div w:id="124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3795959">
          <w:marLeft w:val="0"/>
          <w:marRight w:val="0"/>
          <w:marTop w:val="0"/>
          <w:marBottom w:val="0"/>
          <w:divBdr>
            <w:top w:val="none" w:sz="0" w:space="0" w:color="auto"/>
            <w:left w:val="none" w:sz="0" w:space="0" w:color="auto"/>
            <w:bottom w:val="none" w:sz="0" w:space="0" w:color="auto"/>
            <w:right w:val="none" w:sz="0" w:space="0" w:color="auto"/>
          </w:divBdr>
          <w:divsChild>
            <w:div w:id="1821575782">
              <w:marLeft w:val="0"/>
              <w:marRight w:val="0"/>
              <w:marTop w:val="0"/>
              <w:marBottom w:val="0"/>
              <w:divBdr>
                <w:top w:val="none" w:sz="0" w:space="0" w:color="auto"/>
                <w:left w:val="none" w:sz="0" w:space="0" w:color="auto"/>
                <w:bottom w:val="none" w:sz="0" w:space="0" w:color="auto"/>
                <w:right w:val="none" w:sz="0" w:space="0" w:color="auto"/>
              </w:divBdr>
              <w:divsChild>
                <w:div w:id="135144647">
                  <w:marLeft w:val="0"/>
                  <w:marRight w:val="0"/>
                  <w:marTop w:val="0"/>
                  <w:marBottom w:val="0"/>
                  <w:divBdr>
                    <w:top w:val="none" w:sz="0" w:space="0" w:color="auto"/>
                    <w:left w:val="none" w:sz="0" w:space="0" w:color="auto"/>
                    <w:bottom w:val="none" w:sz="0" w:space="0" w:color="auto"/>
                    <w:right w:val="none" w:sz="0" w:space="0" w:color="auto"/>
                  </w:divBdr>
                  <w:divsChild>
                    <w:div w:id="596989588">
                      <w:marLeft w:val="0"/>
                      <w:marRight w:val="0"/>
                      <w:marTop w:val="0"/>
                      <w:marBottom w:val="0"/>
                      <w:divBdr>
                        <w:top w:val="none" w:sz="0" w:space="0" w:color="auto"/>
                        <w:left w:val="none" w:sz="0" w:space="0" w:color="auto"/>
                        <w:bottom w:val="none" w:sz="0" w:space="0" w:color="auto"/>
                        <w:right w:val="none" w:sz="0" w:space="0" w:color="auto"/>
                      </w:divBdr>
                      <w:divsChild>
                        <w:div w:id="1751196532">
                          <w:marLeft w:val="0"/>
                          <w:marRight w:val="0"/>
                          <w:marTop w:val="0"/>
                          <w:marBottom w:val="0"/>
                          <w:divBdr>
                            <w:top w:val="none" w:sz="0" w:space="0" w:color="auto"/>
                            <w:left w:val="none" w:sz="0" w:space="0" w:color="auto"/>
                            <w:bottom w:val="none" w:sz="0" w:space="0" w:color="auto"/>
                            <w:right w:val="none" w:sz="0" w:space="0" w:color="auto"/>
                          </w:divBdr>
                          <w:divsChild>
                            <w:div w:id="1426412896">
                              <w:marLeft w:val="0"/>
                              <w:marRight w:val="0"/>
                              <w:marTop w:val="0"/>
                              <w:marBottom w:val="0"/>
                              <w:divBdr>
                                <w:top w:val="none" w:sz="0" w:space="0" w:color="auto"/>
                                <w:left w:val="none" w:sz="0" w:space="0" w:color="auto"/>
                                <w:bottom w:val="none" w:sz="0" w:space="0" w:color="auto"/>
                                <w:right w:val="none" w:sz="0" w:space="0" w:color="auto"/>
                              </w:divBdr>
                              <w:divsChild>
                                <w:div w:id="321010110">
                                  <w:marLeft w:val="0"/>
                                  <w:marRight w:val="0"/>
                                  <w:marTop w:val="0"/>
                                  <w:marBottom w:val="0"/>
                                  <w:divBdr>
                                    <w:top w:val="none" w:sz="0" w:space="0" w:color="auto"/>
                                    <w:left w:val="none" w:sz="0" w:space="0" w:color="auto"/>
                                    <w:bottom w:val="none" w:sz="0" w:space="0" w:color="auto"/>
                                    <w:right w:val="none" w:sz="0" w:space="0" w:color="auto"/>
                                  </w:divBdr>
                                  <w:divsChild>
                                    <w:div w:id="97290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77403">
                          <w:marLeft w:val="0"/>
                          <w:marRight w:val="0"/>
                          <w:marTop w:val="0"/>
                          <w:marBottom w:val="0"/>
                          <w:divBdr>
                            <w:top w:val="none" w:sz="0" w:space="0" w:color="auto"/>
                            <w:left w:val="none" w:sz="0" w:space="0" w:color="auto"/>
                            <w:bottom w:val="none" w:sz="0" w:space="0" w:color="auto"/>
                            <w:right w:val="none" w:sz="0" w:space="0" w:color="auto"/>
                          </w:divBdr>
                          <w:divsChild>
                            <w:div w:id="98331354">
                              <w:marLeft w:val="0"/>
                              <w:marRight w:val="0"/>
                              <w:marTop w:val="0"/>
                              <w:marBottom w:val="0"/>
                              <w:divBdr>
                                <w:top w:val="none" w:sz="0" w:space="0" w:color="auto"/>
                                <w:left w:val="none" w:sz="0" w:space="0" w:color="auto"/>
                                <w:bottom w:val="none" w:sz="0" w:space="0" w:color="auto"/>
                                <w:right w:val="none" w:sz="0" w:space="0" w:color="auto"/>
                              </w:divBdr>
                              <w:divsChild>
                                <w:div w:id="77733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341436">
          <w:marLeft w:val="0"/>
          <w:marRight w:val="0"/>
          <w:marTop w:val="0"/>
          <w:marBottom w:val="0"/>
          <w:divBdr>
            <w:top w:val="none" w:sz="0" w:space="0" w:color="auto"/>
            <w:left w:val="none" w:sz="0" w:space="0" w:color="auto"/>
            <w:bottom w:val="none" w:sz="0" w:space="0" w:color="auto"/>
            <w:right w:val="none" w:sz="0" w:space="0" w:color="auto"/>
          </w:divBdr>
          <w:divsChild>
            <w:div w:id="1289047560">
              <w:marLeft w:val="0"/>
              <w:marRight w:val="0"/>
              <w:marTop w:val="0"/>
              <w:marBottom w:val="0"/>
              <w:divBdr>
                <w:top w:val="none" w:sz="0" w:space="0" w:color="auto"/>
                <w:left w:val="none" w:sz="0" w:space="0" w:color="auto"/>
                <w:bottom w:val="none" w:sz="0" w:space="0" w:color="auto"/>
                <w:right w:val="none" w:sz="0" w:space="0" w:color="auto"/>
              </w:divBdr>
              <w:divsChild>
                <w:div w:id="650477165">
                  <w:marLeft w:val="0"/>
                  <w:marRight w:val="0"/>
                  <w:marTop w:val="0"/>
                  <w:marBottom w:val="0"/>
                  <w:divBdr>
                    <w:top w:val="none" w:sz="0" w:space="0" w:color="auto"/>
                    <w:left w:val="none" w:sz="0" w:space="0" w:color="auto"/>
                    <w:bottom w:val="none" w:sz="0" w:space="0" w:color="auto"/>
                    <w:right w:val="none" w:sz="0" w:space="0" w:color="auto"/>
                  </w:divBdr>
                  <w:divsChild>
                    <w:div w:id="1994941608">
                      <w:marLeft w:val="0"/>
                      <w:marRight w:val="0"/>
                      <w:marTop w:val="0"/>
                      <w:marBottom w:val="0"/>
                      <w:divBdr>
                        <w:top w:val="none" w:sz="0" w:space="0" w:color="auto"/>
                        <w:left w:val="none" w:sz="0" w:space="0" w:color="auto"/>
                        <w:bottom w:val="none" w:sz="0" w:space="0" w:color="auto"/>
                        <w:right w:val="none" w:sz="0" w:space="0" w:color="auto"/>
                      </w:divBdr>
                      <w:divsChild>
                        <w:div w:id="2087797137">
                          <w:marLeft w:val="0"/>
                          <w:marRight w:val="0"/>
                          <w:marTop w:val="0"/>
                          <w:marBottom w:val="0"/>
                          <w:divBdr>
                            <w:top w:val="none" w:sz="0" w:space="0" w:color="auto"/>
                            <w:left w:val="none" w:sz="0" w:space="0" w:color="auto"/>
                            <w:bottom w:val="none" w:sz="0" w:space="0" w:color="auto"/>
                            <w:right w:val="none" w:sz="0" w:space="0" w:color="auto"/>
                          </w:divBdr>
                          <w:divsChild>
                            <w:div w:id="1393235539">
                              <w:marLeft w:val="0"/>
                              <w:marRight w:val="0"/>
                              <w:marTop w:val="0"/>
                              <w:marBottom w:val="0"/>
                              <w:divBdr>
                                <w:top w:val="none" w:sz="0" w:space="0" w:color="auto"/>
                                <w:left w:val="none" w:sz="0" w:space="0" w:color="auto"/>
                                <w:bottom w:val="none" w:sz="0" w:space="0" w:color="auto"/>
                                <w:right w:val="none" w:sz="0" w:space="0" w:color="auto"/>
                              </w:divBdr>
                              <w:divsChild>
                                <w:div w:id="541135208">
                                  <w:marLeft w:val="0"/>
                                  <w:marRight w:val="0"/>
                                  <w:marTop w:val="0"/>
                                  <w:marBottom w:val="0"/>
                                  <w:divBdr>
                                    <w:top w:val="none" w:sz="0" w:space="0" w:color="auto"/>
                                    <w:left w:val="none" w:sz="0" w:space="0" w:color="auto"/>
                                    <w:bottom w:val="none" w:sz="0" w:space="0" w:color="auto"/>
                                    <w:right w:val="none" w:sz="0" w:space="0" w:color="auto"/>
                                  </w:divBdr>
                                  <w:divsChild>
                                    <w:div w:id="380247603">
                                      <w:marLeft w:val="0"/>
                                      <w:marRight w:val="0"/>
                                      <w:marTop w:val="0"/>
                                      <w:marBottom w:val="0"/>
                                      <w:divBdr>
                                        <w:top w:val="none" w:sz="0" w:space="0" w:color="auto"/>
                                        <w:left w:val="none" w:sz="0" w:space="0" w:color="auto"/>
                                        <w:bottom w:val="none" w:sz="0" w:space="0" w:color="auto"/>
                                        <w:right w:val="none" w:sz="0" w:space="0" w:color="auto"/>
                                      </w:divBdr>
                                      <w:divsChild>
                                        <w:div w:id="1132593556">
                                          <w:marLeft w:val="0"/>
                                          <w:marRight w:val="0"/>
                                          <w:marTop w:val="0"/>
                                          <w:marBottom w:val="0"/>
                                          <w:divBdr>
                                            <w:top w:val="none" w:sz="0" w:space="0" w:color="auto"/>
                                            <w:left w:val="none" w:sz="0" w:space="0" w:color="auto"/>
                                            <w:bottom w:val="none" w:sz="0" w:space="0" w:color="auto"/>
                                            <w:right w:val="none" w:sz="0" w:space="0" w:color="auto"/>
                                          </w:divBdr>
                                          <w:divsChild>
                                            <w:div w:id="111837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7315663">
          <w:marLeft w:val="0"/>
          <w:marRight w:val="0"/>
          <w:marTop w:val="0"/>
          <w:marBottom w:val="0"/>
          <w:divBdr>
            <w:top w:val="none" w:sz="0" w:space="0" w:color="auto"/>
            <w:left w:val="none" w:sz="0" w:space="0" w:color="auto"/>
            <w:bottom w:val="none" w:sz="0" w:space="0" w:color="auto"/>
            <w:right w:val="none" w:sz="0" w:space="0" w:color="auto"/>
          </w:divBdr>
          <w:divsChild>
            <w:div w:id="533929146">
              <w:marLeft w:val="0"/>
              <w:marRight w:val="0"/>
              <w:marTop w:val="0"/>
              <w:marBottom w:val="0"/>
              <w:divBdr>
                <w:top w:val="none" w:sz="0" w:space="0" w:color="auto"/>
                <w:left w:val="none" w:sz="0" w:space="0" w:color="auto"/>
                <w:bottom w:val="none" w:sz="0" w:space="0" w:color="auto"/>
                <w:right w:val="none" w:sz="0" w:space="0" w:color="auto"/>
              </w:divBdr>
              <w:divsChild>
                <w:div w:id="526875287">
                  <w:marLeft w:val="0"/>
                  <w:marRight w:val="0"/>
                  <w:marTop w:val="0"/>
                  <w:marBottom w:val="0"/>
                  <w:divBdr>
                    <w:top w:val="none" w:sz="0" w:space="0" w:color="auto"/>
                    <w:left w:val="none" w:sz="0" w:space="0" w:color="auto"/>
                    <w:bottom w:val="none" w:sz="0" w:space="0" w:color="auto"/>
                    <w:right w:val="none" w:sz="0" w:space="0" w:color="auto"/>
                  </w:divBdr>
                  <w:divsChild>
                    <w:div w:id="1908373313">
                      <w:marLeft w:val="0"/>
                      <w:marRight w:val="0"/>
                      <w:marTop w:val="0"/>
                      <w:marBottom w:val="0"/>
                      <w:divBdr>
                        <w:top w:val="none" w:sz="0" w:space="0" w:color="auto"/>
                        <w:left w:val="none" w:sz="0" w:space="0" w:color="auto"/>
                        <w:bottom w:val="none" w:sz="0" w:space="0" w:color="auto"/>
                        <w:right w:val="none" w:sz="0" w:space="0" w:color="auto"/>
                      </w:divBdr>
                      <w:divsChild>
                        <w:div w:id="177040391">
                          <w:marLeft w:val="0"/>
                          <w:marRight w:val="0"/>
                          <w:marTop w:val="0"/>
                          <w:marBottom w:val="0"/>
                          <w:divBdr>
                            <w:top w:val="none" w:sz="0" w:space="0" w:color="auto"/>
                            <w:left w:val="none" w:sz="0" w:space="0" w:color="auto"/>
                            <w:bottom w:val="none" w:sz="0" w:space="0" w:color="auto"/>
                            <w:right w:val="none" w:sz="0" w:space="0" w:color="auto"/>
                          </w:divBdr>
                          <w:divsChild>
                            <w:div w:id="976253170">
                              <w:marLeft w:val="0"/>
                              <w:marRight w:val="0"/>
                              <w:marTop w:val="0"/>
                              <w:marBottom w:val="0"/>
                              <w:divBdr>
                                <w:top w:val="none" w:sz="0" w:space="0" w:color="auto"/>
                                <w:left w:val="none" w:sz="0" w:space="0" w:color="auto"/>
                                <w:bottom w:val="none" w:sz="0" w:space="0" w:color="auto"/>
                                <w:right w:val="none" w:sz="0" w:space="0" w:color="auto"/>
                              </w:divBdr>
                              <w:divsChild>
                                <w:div w:id="1825390027">
                                  <w:marLeft w:val="0"/>
                                  <w:marRight w:val="0"/>
                                  <w:marTop w:val="0"/>
                                  <w:marBottom w:val="0"/>
                                  <w:divBdr>
                                    <w:top w:val="none" w:sz="0" w:space="0" w:color="auto"/>
                                    <w:left w:val="none" w:sz="0" w:space="0" w:color="auto"/>
                                    <w:bottom w:val="none" w:sz="0" w:space="0" w:color="auto"/>
                                    <w:right w:val="none" w:sz="0" w:space="0" w:color="auto"/>
                                  </w:divBdr>
                                  <w:divsChild>
                                    <w:div w:id="136598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755381">
          <w:marLeft w:val="0"/>
          <w:marRight w:val="0"/>
          <w:marTop w:val="0"/>
          <w:marBottom w:val="0"/>
          <w:divBdr>
            <w:top w:val="none" w:sz="0" w:space="0" w:color="auto"/>
            <w:left w:val="none" w:sz="0" w:space="0" w:color="auto"/>
            <w:bottom w:val="none" w:sz="0" w:space="0" w:color="auto"/>
            <w:right w:val="none" w:sz="0" w:space="0" w:color="auto"/>
          </w:divBdr>
          <w:divsChild>
            <w:div w:id="509760385">
              <w:marLeft w:val="0"/>
              <w:marRight w:val="0"/>
              <w:marTop w:val="0"/>
              <w:marBottom w:val="0"/>
              <w:divBdr>
                <w:top w:val="none" w:sz="0" w:space="0" w:color="auto"/>
                <w:left w:val="none" w:sz="0" w:space="0" w:color="auto"/>
                <w:bottom w:val="none" w:sz="0" w:space="0" w:color="auto"/>
                <w:right w:val="none" w:sz="0" w:space="0" w:color="auto"/>
              </w:divBdr>
              <w:divsChild>
                <w:div w:id="1326208240">
                  <w:marLeft w:val="0"/>
                  <w:marRight w:val="0"/>
                  <w:marTop w:val="0"/>
                  <w:marBottom w:val="0"/>
                  <w:divBdr>
                    <w:top w:val="none" w:sz="0" w:space="0" w:color="auto"/>
                    <w:left w:val="none" w:sz="0" w:space="0" w:color="auto"/>
                    <w:bottom w:val="none" w:sz="0" w:space="0" w:color="auto"/>
                    <w:right w:val="none" w:sz="0" w:space="0" w:color="auto"/>
                  </w:divBdr>
                  <w:divsChild>
                    <w:div w:id="442380173">
                      <w:marLeft w:val="0"/>
                      <w:marRight w:val="0"/>
                      <w:marTop w:val="0"/>
                      <w:marBottom w:val="0"/>
                      <w:divBdr>
                        <w:top w:val="none" w:sz="0" w:space="0" w:color="auto"/>
                        <w:left w:val="none" w:sz="0" w:space="0" w:color="auto"/>
                        <w:bottom w:val="none" w:sz="0" w:space="0" w:color="auto"/>
                        <w:right w:val="none" w:sz="0" w:space="0" w:color="auto"/>
                      </w:divBdr>
                      <w:divsChild>
                        <w:div w:id="1363483624">
                          <w:marLeft w:val="0"/>
                          <w:marRight w:val="0"/>
                          <w:marTop w:val="0"/>
                          <w:marBottom w:val="0"/>
                          <w:divBdr>
                            <w:top w:val="none" w:sz="0" w:space="0" w:color="auto"/>
                            <w:left w:val="none" w:sz="0" w:space="0" w:color="auto"/>
                            <w:bottom w:val="none" w:sz="0" w:space="0" w:color="auto"/>
                            <w:right w:val="none" w:sz="0" w:space="0" w:color="auto"/>
                          </w:divBdr>
                          <w:divsChild>
                            <w:div w:id="122044029">
                              <w:marLeft w:val="0"/>
                              <w:marRight w:val="0"/>
                              <w:marTop w:val="0"/>
                              <w:marBottom w:val="0"/>
                              <w:divBdr>
                                <w:top w:val="none" w:sz="0" w:space="0" w:color="auto"/>
                                <w:left w:val="none" w:sz="0" w:space="0" w:color="auto"/>
                                <w:bottom w:val="none" w:sz="0" w:space="0" w:color="auto"/>
                                <w:right w:val="none" w:sz="0" w:space="0" w:color="auto"/>
                              </w:divBdr>
                              <w:divsChild>
                                <w:div w:id="704449010">
                                  <w:marLeft w:val="0"/>
                                  <w:marRight w:val="0"/>
                                  <w:marTop w:val="0"/>
                                  <w:marBottom w:val="0"/>
                                  <w:divBdr>
                                    <w:top w:val="none" w:sz="0" w:space="0" w:color="auto"/>
                                    <w:left w:val="none" w:sz="0" w:space="0" w:color="auto"/>
                                    <w:bottom w:val="none" w:sz="0" w:space="0" w:color="auto"/>
                                    <w:right w:val="none" w:sz="0" w:space="0" w:color="auto"/>
                                  </w:divBdr>
                                  <w:divsChild>
                                    <w:div w:id="91366110">
                                      <w:marLeft w:val="0"/>
                                      <w:marRight w:val="0"/>
                                      <w:marTop w:val="0"/>
                                      <w:marBottom w:val="0"/>
                                      <w:divBdr>
                                        <w:top w:val="none" w:sz="0" w:space="0" w:color="auto"/>
                                        <w:left w:val="none" w:sz="0" w:space="0" w:color="auto"/>
                                        <w:bottom w:val="none" w:sz="0" w:space="0" w:color="auto"/>
                                        <w:right w:val="none" w:sz="0" w:space="0" w:color="auto"/>
                                      </w:divBdr>
                                      <w:divsChild>
                                        <w:div w:id="1694650287">
                                          <w:marLeft w:val="0"/>
                                          <w:marRight w:val="0"/>
                                          <w:marTop w:val="0"/>
                                          <w:marBottom w:val="0"/>
                                          <w:divBdr>
                                            <w:top w:val="none" w:sz="0" w:space="0" w:color="auto"/>
                                            <w:left w:val="none" w:sz="0" w:space="0" w:color="auto"/>
                                            <w:bottom w:val="none" w:sz="0" w:space="0" w:color="auto"/>
                                            <w:right w:val="none" w:sz="0" w:space="0" w:color="auto"/>
                                          </w:divBdr>
                                          <w:divsChild>
                                            <w:div w:id="5099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636311">
          <w:marLeft w:val="0"/>
          <w:marRight w:val="0"/>
          <w:marTop w:val="0"/>
          <w:marBottom w:val="0"/>
          <w:divBdr>
            <w:top w:val="none" w:sz="0" w:space="0" w:color="auto"/>
            <w:left w:val="none" w:sz="0" w:space="0" w:color="auto"/>
            <w:bottom w:val="none" w:sz="0" w:space="0" w:color="auto"/>
            <w:right w:val="none" w:sz="0" w:space="0" w:color="auto"/>
          </w:divBdr>
          <w:divsChild>
            <w:div w:id="1804233944">
              <w:marLeft w:val="0"/>
              <w:marRight w:val="0"/>
              <w:marTop w:val="0"/>
              <w:marBottom w:val="0"/>
              <w:divBdr>
                <w:top w:val="none" w:sz="0" w:space="0" w:color="auto"/>
                <w:left w:val="none" w:sz="0" w:space="0" w:color="auto"/>
                <w:bottom w:val="none" w:sz="0" w:space="0" w:color="auto"/>
                <w:right w:val="none" w:sz="0" w:space="0" w:color="auto"/>
              </w:divBdr>
              <w:divsChild>
                <w:div w:id="815100982">
                  <w:marLeft w:val="0"/>
                  <w:marRight w:val="0"/>
                  <w:marTop w:val="0"/>
                  <w:marBottom w:val="0"/>
                  <w:divBdr>
                    <w:top w:val="none" w:sz="0" w:space="0" w:color="auto"/>
                    <w:left w:val="none" w:sz="0" w:space="0" w:color="auto"/>
                    <w:bottom w:val="none" w:sz="0" w:space="0" w:color="auto"/>
                    <w:right w:val="none" w:sz="0" w:space="0" w:color="auto"/>
                  </w:divBdr>
                  <w:divsChild>
                    <w:div w:id="47648453">
                      <w:marLeft w:val="0"/>
                      <w:marRight w:val="0"/>
                      <w:marTop w:val="0"/>
                      <w:marBottom w:val="0"/>
                      <w:divBdr>
                        <w:top w:val="none" w:sz="0" w:space="0" w:color="auto"/>
                        <w:left w:val="none" w:sz="0" w:space="0" w:color="auto"/>
                        <w:bottom w:val="none" w:sz="0" w:space="0" w:color="auto"/>
                        <w:right w:val="none" w:sz="0" w:space="0" w:color="auto"/>
                      </w:divBdr>
                      <w:divsChild>
                        <w:div w:id="713893297">
                          <w:marLeft w:val="0"/>
                          <w:marRight w:val="0"/>
                          <w:marTop w:val="0"/>
                          <w:marBottom w:val="0"/>
                          <w:divBdr>
                            <w:top w:val="none" w:sz="0" w:space="0" w:color="auto"/>
                            <w:left w:val="none" w:sz="0" w:space="0" w:color="auto"/>
                            <w:bottom w:val="none" w:sz="0" w:space="0" w:color="auto"/>
                            <w:right w:val="none" w:sz="0" w:space="0" w:color="auto"/>
                          </w:divBdr>
                          <w:divsChild>
                            <w:div w:id="1082215987">
                              <w:marLeft w:val="0"/>
                              <w:marRight w:val="0"/>
                              <w:marTop w:val="0"/>
                              <w:marBottom w:val="0"/>
                              <w:divBdr>
                                <w:top w:val="none" w:sz="0" w:space="0" w:color="auto"/>
                                <w:left w:val="none" w:sz="0" w:space="0" w:color="auto"/>
                                <w:bottom w:val="none" w:sz="0" w:space="0" w:color="auto"/>
                                <w:right w:val="none" w:sz="0" w:space="0" w:color="auto"/>
                              </w:divBdr>
                              <w:divsChild>
                                <w:div w:id="1547715167">
                                  <w:marLeft w:val="0"/>
                                  <w:marRight w:val="0"/>
                                  <w:marTop w:val="0"/>
                                  <w:marBottom w:val="0"/>
                                  <w:divBdr>
                                    <w:top w:val="none" w:sz="0" w:space="0" w:color="auto"/>
                                    <w:left w:val="none" w:sz="0" w:space="0" w:color="auto"/>
                                    <w:bottom w:val="none" w:sz="0" w:space="0" w:color="auto"/>
                                    <w:right w:val="none" w:sz="0" w:space="0" w:color="auto"/>
                                  </w:divBdr>
                                  <w:divsChild>
                                    <w:div w:id="150385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582313">
          <w:marLeft w:val="0"/>
          <w:marRight w:val="0"/>
          <w:marTop w:val="0"/>
          <w:marBottom w:val="0"/>
          <w:divBdr>
            <w:top w:val="none" w:sz="0" w:space="0" w:color="auto"/>
            <w:left w:val="none" w:sz="0" w:space="0" w:color="auto"/>
            <w:bottom w:val="none" w:sz="0" w:space="0" w:color="auto"/>
            <w:right w:val="none" w:sz="0" w:space="0" w:color="auto"/>
          </w:divBdr>
          <w:divsChild>
            <w:div w:id="1230000561">
              <w:marLeft w:val="0"/>
              <w:marRight w:val="0"/>
              <w:marTop w:val="0"/>
              <w:marBottom w:val="0"/>
              <w:divBdr>
                <w:top w:val="none" w:sz="0" w:space="0" w:color="auto"/>
                <w:left w:val="none" w:sz="0" w:space="0" w:color="auto"/>
                <w:bottom w:val="none" w:sz="0" w:space="0" w:color="auto"/>
                <w:right w:val="none" w:sz="0" w:space="0" w:color="auto"/>
              </w:divBdr>
              <w:divsChild>
                <w:div w:id="1908101891">
                  <w:marLeft w:val="0"/>
                  <w:marRight w:val="0"/>
                  <w:marTop w:val="0"/>
                  <w:marBottom w:val="0"/>
                  <w:divBdr>
                    <w:top w:val="none" w:sz="0" w:space="0" w:color="auto"/>
                    <w:left w:val="none" w:sz="0" w:space="0" w:color="auto"/>
                    <w:bottom w:val="none" w:sz="0" w:space="0" w:color="auto"/>
                    <w:right w:val="none" w:sz="0" w:space="0" w:color="auto"/>
                  </w:divBdr>
                  <w:divsChild>
                    <w:div w:id="1654797729">
                      <w:marLeft w:val="0"/>
                      <w:marRight w:val="0"/>
                      <w:marTop w:val="0"/>
                      <w:marBottom w:val="0"/>
                      <w:divBdr>
                        <w:top w:val="none" w:sz="0" w:space="0" w:color="auto"/>
                        <w:left w:val="none" w:sz="0" w:space="0" w:color="auto"/>
                        <w:bottom w:val="none" w:sz="0" w:space="0" w:color="auto"/>
                        <w:right w:val="none" w:sz="0" w:space="0" w:color="auto"/>
                      </w:divBdr>
                      <w:divsChild>
                        <w:div w:id="1977293238">
                          <w:marLeft w:val="0"/>
                          <w:marRight w:val="0"/>
                          <w:marTop w:val="0"/>
                          <w:marBottom w:val="0"/>
                          <w:divBdr>
                            <w:top w:val="none" w:sz="0" w:space="0" w:color="auto"/>
                            <w:left w:val="none" w:sz="0" w:space="0" w:color="auto"/>
                            <w:bottom w:val="none" w:sz="0" w:space="0" w:color="auto"/>
                            <w:right w:val="none" w:sz="0" w:space="0" w:color="auto"/>
                          </w:divBdr>
                          <w:divsChild>
                            <w:div w:id="1995797235">
                              <w:marLeft w:val="0"/>
                              <w:marRight w:val="0"/>
                              <w:marTop w:val="0"/>
                              <w:marBottom w:val="0"/>
                              <w:divBdr>
                                <w:top w:val="none" w:sz="0" w:space="0" w:color="auto"/>
                                <w:left w:val="none" w:sz="0" w:space="0" w:color="auto"/>
                                <w:bottom w:val="none" w:sz="0" w:space="0" w:color="auto"/>
                                <w:right w:val="none" w:sz="0" w:space="0" w:color="auto"/>
                              </w:divBdr>
                              <w:divsChild>
                                <w:div w:id="313723544">
                                  <w:marLeft w:val="0"/>
                                  <w:marRight w:val="0"/>
                                  <w:marTop w:val="0"/>
                                  <w:marBottom w:val="0"/>
                                  <w:divBdr>
                                    <w:top w:val="none" w:sz="0" w:space="0" w:color="auto"/>
                                    <w:left w:val="none" w:sz="0" w:space="0" w:color="auto"/>
                                    <w:bottom w:val="none" w:sz="0" w:space="0" w:color="auto"/>
                                    <w:right w:val="none" w:sz="0" w:space="0" w:color="auto"/>
                                  </w:divBdr>
                                  <w:divsChild>
                                    <w:div w:id="662126507">
                                      <w:marLeft w:val="0"/>
                                      <w:marRight w:val="0"/>
                                      <w:marTop w:val="0"/>
                                      <w:marBottom w:val="0"/>
                                      <w:divBdr>
                                        <w:top w:val="none" w:sz="0" w:space="0" w:color="auto"/>
                                        <w:left w:val="none" w:sz="0" w:space="0" w:color="auto"/>
                                        <w:bottom w:val="none" w:sz="0" w:space="0" w:color="auto"/>
                                        <w:right w:val="none" w:sz="0" w:space="0" w:color="auto"/>
                                      </w:divBdr>
                                      <w:divsChild>
                                        <w:div w:id="392001415">
                                          <w:marLeft w:val="0"/>
                                          <w:marRight w:val="0"/>
                                          <w:marTop w:val="0"/>
                                          <w:marBottom w:val="0"/>
                                          <w:divBdr>
                                            <w:top w:val="none" w:sz="0" w:space="0" w:color="auto"/>
                                            <w:left w:val="none" w:sz="0" w:space="0" w:color="auto"/>
                                            <w:bottom w:val="none" w:sz="0" w:space="0" w:color="auto"/>
                                            <w:right w:val="none" w:sz="0" w:space="0" w:color="auto"/>
                                          </w:divBdr>
                                          <w:divsChild>
                                            <w:div w:id="197467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2269714">
          <w:marLeft w:val="0"/>
          <w:marRight w:val="0"/>
          <w:marTop w:val="0"/>
          <w:marBottom w:val="0"/>
          <w:divBdr>
            <w:top w:val="none" w:sz="0" w:space="0" w:color="auto"/>
            <w:left w:val="none" w:sz="0" w:space="0" w:color="auto"/>
            <w:bottom w:val="none" w:sz="0" w:space="0" w:color="auto"/>
            <w:right w:val="none" w:sz="0" w:space="0" w:color="auto"/>
          </w:divBdr>
          <w:divsChild>
            <w:div w:id="627467879">
              <w:marLeft w:val="0"/>
              <w:marRight w:val="0"/>
              <w:marTop w:val="0"/>
              <w:marBottom w:val="0"/>
              <w:divBdr>
                <w:top w:val="none" w:sz="0" w:space="0" w:color="auto"/>
                <w:left w:val="none" w:sz="0" w:space="0" w:color="auto"/>
                <w:bottom w:val="none" w:sz="0" w:space="0" w:color="auto"/>
                <w:right w:val="none" w:sz="0" w:space="0" w:color="auto"/>
              </w:divBdr>
              <w:divsChild>
                <w:div w:id="923493230">
                  <w:marLeft w:val="0"/>
                  <w:marRight w:val="0"/>
                  <w:marTop w:val="0"/>
                  <w:marBottom w:val="0"/>
                  <w:divBdr>
                    <w:top w:val="none" w:sz="0" w:space="0" w:color="auto"/>
                    <w:left w:val="none" w:sz="0" w:space="0" w:color="auto"/>
                    <w:bottom w:val="none" w:sz="0" w:space="0" w:color="auto"/>
                    <w:right w:val="none" w:sz="0" w:space="0" w:color="auto"/>
                  </w:divBdr>
                  <w:divsChild>
                    <w:div w:id="1703555997">
                      <w:marLeft w:val="0"/>
                      <w:marRight w:val="0"/>
                      <w:marTop w:val="0"/>
                      <w:marBottom w:val="0"/>
                      <w:divBdr>
                        <w:top w:val="none" w:sz="0" w:space="0" w:color="auto"/>
                        <w:left w:val="none" w:sz="0" w:space="0" w:color="auto"/>
                        <w:bottom w:val="none" w:sz="0" w:space="0" w:color="auto"/>
                        <w:right w:val="none" w:sz="0" w:space="0" w:color="auto"/>
                      </w:divBdr>
                      <w:divsChild>
                        <w:div w:id="1105417741">
                          <w:marLeft w:val="0"/>
                          <w:marRight w:val="0"/>
                          <w:marTop w:val="0"/>
                          <w:marBottom w:val="0"/>
                          <w:divBdr>
                            <w:top w:val="none" w:sz="0" w:space="0" w:color="auto"/>
                            <w:left w:val="none" w:sz="0" w:space="0" w:color="auto"/>
                            <w:bottom w:val="none" w:sz="0" w:space="0" w:color="auto"/>
                            <w:right w:val="none" w:sz="0" w:space="0" w:color="auto"/>
                          </w:divBdr>
                          <w:divsChild>
                            <w:div w:id="293484409">
                              <w:marLeft w:val="0"/>
                              <w:marRight w:val="0"/>
                              <w:marTop w:val="0"/>
                              <w:marBottom w:val="0"/>
                              <w:divBdr>
                                <w:top w:val="none" w:sz="0" w:space="0" w:color="auto"/>
                                <w:left w:val="none" w:sz="0" w:space="0" w:color="auto"/>
                                <w:bottom w:val="none" w:sz="0" w:space="0" w:color="auto"/>
                                <w:right w:val="none" w:sz="0" w:space="0" w:color="auto"/>
                              </w:divBdr>
                              <w:divsChild>
                                <w:div w:id="1979801370">
                                  <w:marLeft w:val="0"/>
                                  <w:marRight w:val="0"/>
                                  <w:marTop w:val="0"/>
                                  <w:marBottom w:val="0"/>
                                  <w:divBdr>
                                    <w:top w:val="none" w:sz="0" w:space="0" w:color="auto"/>
                                    <w:left w:val="none" w:sz="0" w:space="0" w:color="auto"/>
                                    <w:bottom w:val="none" w:sz="0" w:space="0" w:color="auto"/>
                                    <w:right w:val="none" w:sz="0" w:space="0" w:color="auto"/>
                                  </w:divBdr>
                                  <w:divsChild>
                                    <w:div w:id="36753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8473657">
          <w:marLeft w:val="0"/>
          <w:marRight w:val="0"/>
          <w:marTop w:val="0"/>
          <w:marBottom w:val="0"/>
          <w:divBdr>
            <w:top w:val="none" w:sz="0" w:space="0" w:color="auto"/>
            <w:left w:val="none" w:sz="0" w:space="0" w:color="auto"/>
            <w:bottom w:val="none" w:sz="0" w:space="0" w:color="auto"/>
            <w:right w:val="none" w:sz="0" w:space="0" w:color="auto"/>
          </w:divBdr>
          <w:divsChild>
            <w:div w:id="910624399">
              <w:marLeft w:val="0"/>
              <w:marRight w:val="0"/>
              <w:marTop w:val="0"/>
              <w:marBottom w:val="0"/>
              <w:divBdr>
                <w:top w:val="none" w:sz="0" w:space="0" w:color="auto"/>
                <w:left w:val="none" w:sz="0" w:space="0" w:color="auto"/>
                <w:bottom w:val="none" w:sz="0" w:space="0" w:color="auto"/>
                <w:right w:val="none" w:sz="0" w:space="0" w:color="auto"/>
              </w:divBdr>
              <w:divsChild>
                <w:div w:id="1492410216">
                  <w:marLeft w:val="0"/>
                  <w:marRight w:val="0"/>
                  <w:marTop w:val="0"/>
                  <w:marBottom w:val="0"/>
                  <w:divBdr>
                    <w:top w:val="none" w:sz="0" w:space="0" w:color="auto"/>
                    <w:left w:val="none" w:sz="0" w:space="0" w:color="auto"/>
                    <w:bottom w:val="none" w:sz="0" w:space="0" w:color="auto"/>
                    <w:right w:val="none" w:sz="0" w:space="0" w:color="auto"/>
                  </w:divBdr>
                  <w:divsChild>
                    <w:div w:id="766731417">
                      <w:marLeft w:val="0"/>
                      <w:marRight w:val="0"/>
                      <w:marTop w:val="0"/>
                      <w:marBottom w:val="0"/>
                      <w:divBdr>
                        <w:top w:val="none" w:sz="0" w:space="0" w:color="auto"/>
                        <w:left w:val="none" w:sz="0" w:space="0" w:color="auto"/>
                        <w:bottom w:val="none" w:sz="0" w:space="0" w:color="auto"/>
                        <w:right w:val="none" w:sz="0" w:space="0" w:color="auto"/>
                      </w:divBdr>
                      <w:divsChild>
                        <w:div w:id="638655347">
                          <w:marLeft w:val="0"/>
                          <w:marRight w:val="0"/>
                          <w:marTop w:val="0"/>
                          <w:marBottom w:val="0"/>
                          <w:divBdr>
                            <w:top w:val="none" w:sz="0" w:space="0" w:color="auto"/>
                            <w:left w:val="none" w:sz="0" w:space="0" w:color="auto"/>
                            <w:bottom w:val="none" w:sz="0" w:space="0" w:color="auto"/>
                            <w:right w:val="none" w:sz="0" w:space="0" w:color="auto"/>
                          </w:divBdr>
                          <w:divsChild>
                            <w:div w:id="1619020309">
                              <w:marLeft w:val="0"/>
                              <w:marRight w:val="0"/>
                              <w:marTop w:val="0"/>
                              <w:marBottom w:val="0"/>
                              <w:divBdr>
                                <w:top w:val="none" w:sz="0" w:space="0" w:color="auto"/>
                                <w:left w:val="none" w:sz="0" w:space="0" w:color="auto"/>
                                <w:bottom w:val="none" w:sz="0" w:space="0" w:color="auto"/>
                                <w:right w:val="none" w:sz="0" w:space="0" w:color="auto"/>
                              </w:divBdr>
                              <w:divsChild>
                                <w:div w:id="901401951">
                                  <w:marLeft w:val="0"/>
                                  <w:marRight w:val="0"/>
                                  <w:marTop w:val="0"/>
                                  <w:marBottom w:val="0"/>
                                  <w:divBdr>
                                    <w:top w:val="none" w:sz="0" w:space="0" w:color="auto"/>
                                    <w:left w:val="none" w:sz="0" w:space="0" w:color="auto"/>
                                    <w:bottom w:val="none" w:sz="0" w:space="0" w:color="auto"/>
                                    <w:right w:val="none" w:sz="0" w:space="0" w:color="auto"/>
                                  </w:divBdr>
                                  <w:divsChild>
                                    <w:div w:id="160583934">
                                      <w:marLeft w:val="0"/>
                                      <w:marRight w:val="0"/>
                                      <w:marTop w:val="0"/>
                                      <w:marBottom w:val="0"/>
                                      <w:divBdr>
                                        <w:top w:val="none" w:sz="0" w:space="0" w:color="auto"/>
                                        <w:left w:val="none" w:sz="0" w:space="0" w:color="auto"/>
                                        <w:bottom w:val="none" w:sz="0" w:space="0" w:color="auto"/>
                                        <w:right w:val="none" w:sz="0" w:space="0" w:color="auto"/>
                                      </w:divBdr>
                                      <w:divsChild>
                                        <w:div w:id="1390492793">
                                          <w:marLeft w:val="0"/>
                                          <w:marRight w:val="0"/>
                                          <w:marTop w:val="0"/>
                                          <w:marBottom w:val="0"/>
                                          <w:divBdr>
                                            <w:top w:val="none" w:sz="0" w:space="0" w:color="auto"/>
                                            <w:left w:val="none" w:sz="0" w:space="0" w:color="auto"/>
                                            <w:bottom w:val="none" w:sz="0" w:space="0" w:color="auto"/>
                                            <w:right w:val="none" w:sz="0" w:space="0" w:color="auto"/>
                                          </w:divBdr>
                                          <w:divsChild>
                                            <w:div w:id="8692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522395">
          <w:marLeft w:val="0"/>
          <w:marRight w:val="0"/>
          <w:marTop w:val="0"/>
          <w:marBottom w:val="0"/>
          <w:divBdr>
            <w:top w:val="none" w:sz="0" w:space="0" w:color="auto"/>
            <w:left w:val="none" w:sz="0" w:space="0" w:color="auto"/>
            <w:bottom w:val="none" w:sz="0" w:space="0" w:color="auto"/>
            <w:right w:val="none" w:sz="0" w:space="0" w:color="auto"/>
          </w:divBdr>
          <w:divsChild>
            <w:div w:id="106776367">
              <w:marLeft w:val="0"/>
              <w:marRight w:val="0"/>
              <w:marTop w:val="0"/>
              <w:marBottom w:val="0"/>
              <w:divBdr>
                <w:top w:val="none" w:sz="0" w:space="0" w:color="auto"/>
                <w:left w:val="none" w:sz="0" w:space="0" w:color="auto"/>
                <w:bottom w:val="none" w:sz="0" w:space="0" w:color="auto"/>
                <w:right w:val="none" w:sz="0" w:space="0" w:color="auto"/>
              </w:divBdr>
              <w:divsChild>
                <w:div w:id="1406877444">
                  <w:marLeft w:val="0"/>
                  <w:marRight w:val="0"/>
                  <w:marTop w:val="0"/>
                  <w:marBottom w:val="0"/>
                  <w:divBdr>
                    <w:top w:val="none" w:sz="0" w:space="0" w:color="auto"/>
                    <w:left w:val="none" w:sz="0" w:space="0" w:color="auto"/>
                    <w:bottom w:val="none" w:sz="0" w:space="0" w:color="auto"/>
                    <w:right w:val="none" w:sz="0" w:space="0" w:color="auto"/>
                  </w:divBdr>
                  <w:divsChild>
                    <w:div w:id="296642916">
                      <w:marLeft w:val="0"/>
                      <w:marRight w:val="0"/>
                      <w:marTop w:val="0"/>
                      <w:marBottom w:val="0"/>
                      <w:divBdr>
                        <w:top w:val="none" w:sz="0" w:space="0" w:color="auto"/>
                        <w:left w:val="none" w:sz="0" w:space="0" w:color="auto"/>
                        <w:bottom w:val="none" w:sz="0" w:space="0" w:color="auto"/>
                        <w:right w:val="none" w:sz="0" w:space="0" w:color="auto"/>
                      </w:divBdr>
                      <w:divsChild>
                        <w:div w:id="747926900">
                          <w:marLeft w:val="0"/>
                          <w:marRight w:val="0"/>
                          <w:marTop w:val="0"/>
                          <w:marBottom w:val="0"/>
                          <w:divBdr>
                            <w:top w:val="none" w:sz="0" w:space="0" w:color="auto"/>
                            <w:left w:val="none" w:sz="0" w:space="0" w:color="auto"/>
                            <w:bottom w:val="none" w:sz="0" w:space="0" w:color="auto"/>
                            <w:right w:val="none" w:sz="0" w:space="0" w:color="auto"/>
                          </w:divBdr>
                          <w:divsChild>
                            <w:div w:id="1482038745">
                              <w:marLeft w:val="0"/>
                              <w:marRight w:val="0"/>
                              <w:marTop w:val="0"/>
                              <w:marBottom w:val="0"/>
                              <w:divBdr>
                                <w:top w:val="none" w:sz="0" w:space="0" w:color="auto"/>
                                <w:left w:val="none" w:sz="0" w:space="0" w:color="auto"/>
                                <w:bottom w:val="none" w:sz="0" w:space="0" w:color="auto"/>
                                <w:right w:val="none" w:sz="0" w:space="0" w:color="auto"/>
                              </w:divBdr>
                              <w:divsChild>
                                <w:div w:id="271984678">
                                  <w:marLeft w:val="0"/>
                                  <w:marRight w:val="0"/>
                                  <w:marTop w:val="0"/>
                                  <w:marBottom w:val="0"/>
                                  <w:divBdr>
                                    <w:top w:val="none" w:sz="0" w:space="0" w:color="auto"/>
                                    <w:left w:val="none" w:sz="0" w:space="0" w:color="auto"/>
                                    <w:bottom w:val="none" w:sz="0" w:space="0" w:color="auto"/>
                                    <w:right w:val="none" w:sz="0" w:space="0" w:color="auto"/>
                                  </w:divBdr>
                                  <w:divsChild>
                                    <w:div w:id="5149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1880262">
          <w:marLeft w:val="0"/>
          <w:marRight w:val="0"/>
          <w:marTop w:val="0"/>
          <w:marBottom w:val="0"/>
          <w:divBdr>
            <w:top w:val="none" w:sz="0" w:space="0" w:color="auto"/>
            <w:left w:val="none" w:sz="0" w:space="0" w:color="auto"/>
            <w:bottom w:val="none" w:sz="0" w:space="0" w:color="auto"/>
            <w:right w:val="none" w:sz="0" w:space="0" w:color="auto"/>
          </w:divBdr>
          <w:divsChild>
            <w:div w:id="1934509967">
              <w:marLeft w:val="0"/>
              <w:marRight w:val="0"/>
              <w:marTop w:val="0"/>
              <w:marBottom w:val="0"/>
              <w:divBdr>
                <w:top w:val="none" w:sz="0" w:space="0" w:color="auto"/>
                <w:left w:val="none" w:sz="0" w:space="0" w:color="auto"/>
                <w:bottom w:val="none" w:sz="0" w:space="0" w:color="auto"/>
                <w:right w:val="none" w:sz="0" w:space="0" w:color="auto"/>
              </w:divBdr>
              <w:divsChild>
                <w:div w:id="301615873">
                  <w:marLeft w:val="0"/>
                  <w:marRight w:val="0"/>
                  <w:marTop w:val="0"/>
                  <w:marBottom w:val="0"/>
                  <w:divBdr>
                    <w:top w:val="none" w:sz="0" w:space="0" w:color="auto"/>
                    <w:left w:val="none" w:sz="0" w:space="0" w:color="auto"/>
                    <w:bottom w:val="none" w:sz="0" w:space="0" w:color="auto"/>
                    <w:right w:val="none" w:sz="0" w:space="0" w:color="auto"/>
                  </w:divBdr>
                  <w:divsChild>
                    <w:div w:id="1827167025">
                      <w:marLeft w:val="0"/>
                      <w:marRight w:val="0"/>
                      <w:marTop w:val="0"/>
                      <w:marBottom w:val="0"/>
                      <w:divBdr>
                        <w:top w:val="none" w:sz="0" w:space="0" w:color="auto"/>
                        <w:left w:val="none" w:sz="0" w:space="0" w:color="auto"/>
                        <w:bottom w:val="none" w:sz="0" w:space="0" w:color="auto"/>
                        <w:right w:val="none" w:sz="0" w:space="0" w:color="auto"/>
                      </w:divBdr>
                      <w:divsChild>
                        <w:div w:id="585503995">
                          <w:marLeft w:val="0"/>
                          <w:marRight w:val="0"/>
                          <w:marTop w:val="0"/>
                          <w:marBottom w:val="0"/>
                          <w:divBdr>
                            <w:top w:val="none" w:sz="0" w:space="0" w:color="auto"/>
                            <w:left w:val="none" w:sz="0" w:space="0" w:color="auto"/>
                            <w:bottom w:val="none" w:sz="0" w:space="0" w:color="auto"/>
                            <w:right w:val="none" w:sz="0" w:space="0" w:color="auto"/>
                          </w:divBdr>
                          <w:divsChild>
                            <w:div w:id="1636178440">
                              <w:marLeft w:val="0"/>
                              <w:marRight w:val="0"/>
                              <w:marTop w:val="0"/>
                              <w:marBottom w:val="0"/>
                              <w:divBdr>
                                <w:top w:val="none" w:sz="0" w:space="0" w:color="auto"/>
                                <w:left w:val="none" w:sz="0" w:space="0" w:color="auto"/>
                                <w:bottom w:val="none" w:sz="0" w:space="0" w:color="auto"/>
                                <w:right w:val="none" w:sz="0" w:space="0" w:color="auto"/>
                              </w:divBdr>
                              <w:divsChild>
                                <w:div w:id="1147553843">
                                  <w:marLeft w:val="0"/>
                                  <w:marRight w:val="0"/>
                                  <w:marTop w:val="0"/>
                                  <w:marBottom w:val="0"/>
                                  <w:divBdr>
                                    <w:top w:val="none" w:sz="0" w:space="0" w:color="auto"/>
                                    <w:left w:val="none" w:sz="0" w:space="0" w:color="auto"/>
                                    <w:bottom w:val="none" w:sz="0" w:space="0" w:color="auto"/>
                                    <w:right w:val="none" w:sz="0" w:space="0" w:color="auto"/>
                                  </w:divBdr>
                                  <w:divsChild>
                                    <w:div w:id="89855963">
                                      <w:marLeft w:val="0"/>
                                      <w:marRight w:val="0"/>
                                      <w:marTop w:val="0"/>
                                      <w:marBottom w:val="0"/>
                                      <w:divBdr>
                                        <w:top w:val="none" w:sz="0" w:space="0" w:color="auto"/>
                                        <w:left w:val="none" w:sz="0" w:space="0" w:color="auto"/>
                                        <w:bottom w:val="none" w:sz="0" w:space="0" w:color="auto"/>
                                        <w:right w:val="none" w:sz="0" w:space="0" w:color="auto"/>
                                      </w:divBdr>
                                      <w:divsChild>
                                        <w:div w:id="978657212">
                                          <w:marLeft w:val="0"/>
                                          <w:marRight w:val="0"/>
                                          <w:marTop w:val="0"/>
                                          <w:marBottom w:val="0"/>
                                          <w:divBdr>
                                            <w:top w:val="none" w:sz="0" w:space="0" w:color="auto"/>
                                            <w:left w:val="none" w:sz="0" w:space="0" w:color="auto"/>
                                            <w:bottom w:val="none" w:sz="0" w:space="0" w:color="auto"/>
                                            <w:right w:val="none" w:sz="0" w:space="0" w:color="auto"/>
                                          </w:divBdr>
                                          <w:divsChild>
                                            <w:div w:id="55601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0010151">
          <w:marLeft w:val="0"/>
          <w:marRight w:val="0"/>
          <w:marTop w:val="0"/>
          <w:marBottom w:val="0"/>
          <w:divBdr>
            <w:top w:val="none" w:sz="0" w:space="0" w:color="auto"/>
            <w:left w:val="none" w:sz="0" w:space="0" w:color="auto"/>
            <w:bottom w:val="none" w:sz="0" w:space="0" w:color="auto"/>
            <w:right w:val="none" w:sz="0" w:space="0" w:color="auto"/>
          </w:divBdr>
          <w:divsChild>
            <w:div w:id="1206605032">
              <w:marLeft w:val="0"/>
              <w:marRight w:val="0"/>
              <w:marTop w:val="0"/>
              <w:marBottom w:val="0"/>
              <w:divBdr>
                <w:top w:val="none" w:sz="0" w:space="0" w:color="auto"/>
                <w:left w:val="none" w:sz="0" w:space="0" w:color="auto"/>
                <w:bottom w:val="none" w:sz="0" w:space="0" w:color="auto"/>
                <w:right w:val="none" w:sz="0" w:space="0" w:color="auto"/>
              </w:divBdr>
              <w:divsChild>
                <w:div w:id="2110929502">
                  <w:marLeft w:val="0"/>
                  <w:marRight w:val="0"/>
                  <w:marTop w:val="0"/>
                  <w:marBottom w:val="0"/>
                  <w:divBdr>
                    <w:top w:val="none" w:sz="0" w:space="0" w:color="auto"/>
                    <w:left w:val="none" w:sz="0" w:space="0" w:color="auto"/>
                    <w:bottom w:val="none" w:sz="0" w:space="0" w:color="auto"/>
                    <w:right w:val="none" w:sz="0" w:space="0" w:color="auto"/>
                  </w:divBdr>
                  <w:divsChild>
                    <w:div w:id="1531259536">
                      <w:marLeft w:val="0"/>
                      <w:marRight w:val="0"/>
                      <w:marTop w:val="0"/>
                      <w:marBottom w:val="0"/>
                      <w:divBdr>
                        <w:top w:val="none" w:sz="0" w:space="0" w:color="auto"/>
                        <w:left w:val="none" w:sz="0" w:space="0" w:color="auto"/>
                        <w:bottom w:val="none" w:sz="0" w:space="0" w:color="auto"/>
                        <w:right w:val="none" w:sz="0" w:space="0" w:color="auto"/>
                      </w:divBdr>
                      <w:divsChild>
                        <w:div w:id="1402412543">
                          <w:marLeft w:val="0"/>
                          <w:marRight w:val="0"/>
                          <w:marTop w:val="0"/>
                          <w:marBottom w:val="0"/>
                          <w:divBdr>
                            <w:top w:val="none" w:sz="0" w:space="0" w:color="auto"/>
                            <w:left w:val="none" w:sz="0" w:space="0" w:color="auto"/>
                            <w:bottom w:val="none" w:sz="0" w:space="0" w:color="auto"/>
                            <w:right w:val="none" w:sz="0" w:space="0" w:color="auto"/>
                          </w:divBdr>
                          <w:divsChild>
                            <w:div w:id="1807889490">
                              <w:marLeft w:val="0"/>
                              <w:marRight w:val="0"/>
                              <w:marTop w:val="0"/>
                              <w:marBottom w:val="0"/>
                              <w:divBdr>
                                <w:top w:val="none" w:sz="0" w:space="0" w:color="auto"/>
                                <w:left w:val="none" w:sz="0" w:space="0" w:color="auto"/>
                                <w:bottom w:val="none" w:sz="0" w:space="0" w:color="auto"/>
                                <w:right w:val="none" w:sz="0" w:space="0" w:color="auto"/>
                              </w:divBdr>
                              <w:divsChild>
                                <w:div w:id="1905136958">
                                  <w:marLeft w:val="0"/>
                                  <w:marRight w:val="0"/>
                                  <w:marTop w:val="0"/>
                                  <w:marBottom w:val="0"/>
                                  <w:divBdr>
                                    <w:top w:val="none" w:sz="0" w:space="0" w:color="auto"/>
                                    <w:left w:val="none" w:sz="0" w:space="0" w:color="auto"/>
                                    <w:bottom w:val="none" w:sz="0" w:space="0" w:color="auto"/>
                                    <w:right w:val="none" w:sz="0" w:space="0" w:color="auto"/>
                                  </w:divBdr>
                                  <w:divsChild>
                                    <w:div w:id="1580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3578578">
          <w:marLeft w:val="0"/>
          <w:marRight w:val="0"/>
          <w:marTop w:val="0"/>
          <w:marBottom w:val="0"/>
          <w:divBdr>
            <w:top w:val="none" w:sz="0" w:space="0" w:color="auto"/>
            <w:left w:val="none" w:sz="0" w:space="0" w:color="auto"/>
            <w:bottom w:val="none" w:sz="0" w:space="0" w:color="auto"/>
            <w:right w:val="none" w:sz="0" w:space="0" w:color="auto"/>
          </w:divBdr>
          <w:divsChild>
            <w:div w:id="602499142">
              <w:marLeft w:val="0"/>
              <w:marRight w:val="0"/>
              <w:marTop w:val="0"/>
              <w:marBottom w:val="0"/>
              <w:divBdr>
                <w:top w:val="none" w:sz="0" w:space="0" w:color="auto"/>
                <w:left w:val="none" w:sz="0" w:space="0" w:color="auto"/>
                <w:bottom w:val="none" w:sz="0" w:space="0" w:color="auto"/>
                <w:right w:val="none" w:sz="0" w:space="0" w:color="auto"/>
              </w:divBdr>
              <w:divsChild>
                <w:div w:id="267659318">
                  <w:marLeft w:val="0"/>
                  <w:marRight w:val="0"/>
                  <w:marTop w:val="0"/>
                  <w:marBottom w:val="0"/>
                  <w:divBdr>
                    <w:top w:val="none" w:sz="0" w:space="0" w:color="auto"/>
                    <w:left w:val="none" w:sz="0" w:space="0" w:color="auto"/>
                    <w:bottom w:val="none" w:sz="0" w:space="0" w:color="auto"/>
                    <w:right w:val="none" w:sz="0" w:space="0" w:color="auto"/>
                  </w:divBdr>
                  <w:divsChild>
                    <w:div w:id="839587982">
                      <w:marLeft w:val="0"/>
                      <w:marRight w:val="0"/>
                      <w:marTop w:val="0"/>
                      <w:marBottom w:val="0"/>
                      <w:divBdr>
                        <w:top w:val="none" w:sz="0" w:space="0" w:color="auto"/>
                        <w:left w:val="none" w:sz="0" w:space="0" w:color="auto"/>
                        <w:bottom w:val="none" w:sz="0" w:space="0" w:color="auto"/>
                        <w:right w:val="none" w:sz="0" w:space="0" w:color="auto"/>
                      </w:divBdr>
                      <w:divsChild>
                        <w:div w:id="492718930">
                          <w:marLeft w:val="0"/>
                          <w:marRight w:val="0"/>
                          <w:marTop w:val="0"/>
                          <w:marBottom w:val="0"/>
                          <w:divBdr>
                            <w:top w:val="none" w:sz="0" w:space="0" w:color="auto"/>
                            <w:left w:val="none" w:sz="0" w:space="0" w:color="auto"/>
                            <w:bottom w:val="none" w:sz="0" w:space="0" w:color="auto"/>
                            <w:right w:val="none" w:sz="0" w:space="0" w:color="auto"/>
                          </w:divBdr>
                          <w:divsChild>
                            <w:div w:id="458037971">
                              <w:marLeft w:val="0"/>
                              <w:marRight w:val="0"/>
                              <w:marTop w:val="0"/>
                              <w:marBottom w:val="0"/>
                              <w:divBdr>
                                <w:top w:val="none" w:sz="0" w:space="0" w:color="auto"/>
                                <w:left w:val="none" w:sz="0" w:space="0" w:color="auto"/>
                                <w:bottom w:val="none" w:sz="0" w:space="0" w:color="auto"/>
                                <w:right w:val="none" w:sz="0" w:space="0" w:color="auto"/>
                              </w:divBdr>
                              <w:divsChild>
                                <w:div w:id="523205771">
                                  <w:marLeft w:val="0"/>
                                  <w:marRight w:val="0"/>
                                  <w:marTop w:val="0"/>
                                  <w:marBottom w:val="0"/>
                                  <w:divBdr>
                                    <w:top w:val="none" w:sz="0" w:space="0" w:color="auto"/>
                                    <w:left w:val="none" w:sz="0" w:space="0" w:color="auto"/>
                                    <w:bottom w:val="none" w:sz="0" w:space="0" w:color="auto"/>
                                    <w:right w:val="none" w:sz="0" w:space="0" w:color="auto"/>
                                  </w:divBdr>
                                  <w:divsChild>
                                    <w:div w:id="40794051">
                                      <w:marLeft w:val="0"/>
                                      <w:marRight w:val="0"/>
                                      <w:marTop w:val="0"/>
                                      <w:marBottom w:val="0"/>
                                      <w:divBdr>
                                        <w:top w:val="none" w:sz="0" w:space="0" w:color="auto"/>
                                        <w:left w:val="none" w:sz="0" w:space="0" w:color="auto"/>
                                        <w:bottom w:val="none" w:sz="0" w:space="0" w:color="auto"/>
                                        <w:right w:val="none" w:sz="0" w:space="0" w:color="auto"/>
                                      </w:divBdr>
                                      <w:divsChild>
                                        <w:div w:id="910390854">
                                          <w:marLeft w:val="0"/>
                                          <w:marRight w:val="0"/>
                                          <w:marTop w:val="0"/>
                                          <w:marBottom w:val="0"/>
                                          <w:divBdr>
                                            <w:top w:val="none" w:sz="0" w:space="0" w:color="auto"/>
                                            <w:left w:val="none" w:sz="0" w:space="0" w:color="auto"/>
                                            <w:bottom w:val="none" w:sz="0" w:space="0" w:color="auto"/>
                                            <w:right w:val="none" w:sz="0" w:space="0" w:color="auto"/>
                                          </w:divBdr>
                                          <w:divsChild>
                                            <w:div w:id="70537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7805526">
          <w:marLeft w:val="0"/>
          <w:marRight w:val="0"/>
          <w:marTop w:val="0"/>
          <w:marBottom w:val="0"/>
          <w:divBdr>
            <w:top w:val="none" w:sz="0" w:space="0" w:color="auto"/>
            <w:left w:val="none" w:sz="0" w:space="0" w:color="auto"/>
            <w:bottom w:val="none" w:sz="0" w:space="0" w:color="auto"/>
            <w:right w:val="none" w:sz="0" w:space="0" w:color="auto"/>
          </w:divBdr>
          <w:divsChild>
            <w:div w:id="1039085053">
              <w:marLeft w:val="0"/>
              <w:marRight w:val="0"/>
              <w:marTop w:val="0"/>
              <w:marBottom w:val="0"/>
              <w:divBdr>
                <w:top w:val="none" w:sz="0" w:space="0" w:color="auto"/>
                <w:left w:val="none" w:sz="0" w:space="0" w:color="auto"/>
                <w:bottom w:val="none" w:sz="0" w:space="0" w:color="auto"/>
                <w:right w:val="none" w:sz="0" w:space="0" w:color="auto"/>
              </w:divBdr>
              <w:divsChild>
                <w:div w:id="1958029189">
                  <w:marLeft w:val="0"/>
                  <w:marRight w:val="0"/>
                  <w:marTop w:val="0"/>
                  <w:marBottom w:val="0"/>
                  <w:divBdr>
                    <w:top w:val="none" w:sz="0" w:space="0" w:color="auto"/>
                    <w:left w:val="none" w:sz="0" w:space="0" w:color="auto"/>
                    <w:bottom w:val="none" w:sz="0" w:space="0" w:color="auto"/>
                    <w:right w:val="none" w:sz="0" w:space="0" w:color="auto"/>
                  </w:divBdr>
                  <w:divsChild>
                    <w:div w:id="984158963">
                      <w:marLeft w:val="0"/>
                      <w:marRight w:val="0"/>
                      <w:marTop w:val="0"/>
                      <w:marBottom w:val="0"/>
                      <w:divBdr>
                        <w:top w:val="none" w:sz="0" w:space="0" w:color="auto"/>
                        <w:left w:val="none" w:sz="0" w:space="0" w:color="auto"/>
                        <w:bottom w:val="none" w:sz="0" w:space="0" w:color="auto"/>
                        <w:right w:val="none" w:sz="0" w:space="0" w:color="auto"/>
                      </w:divBdr>
                      <w:divsChild>
                        <w:div w:id="1810704812">
                          <w:marLeft w:val="0"/>
                          <w:marRight w:val="0"/>
                          <w:marTop w:val="0"/>
                          <w:marBottom w:val="0"/>
                          <w:divBdr>
                            <w:top w:val="none" w:sz="0" w:space="0" w:color="auto"/>
                            <w:left w:val="none" w:sz="0" w:space="0" w:color="auto"/>
                            <w:bottom w:val="none" w:sz="0" w:space="0" w:color="auto"/>
                            <w:right w:val="none" w:sz="0" w:space="0" w:color="auto"/>
                          </w:divBdr>
                          <w:divsChild>
                            <w:div w:id="465004280">
                              <w:marLeft w:val="0"/>
                              <w:marRight w:val="0"/>
                              <w:marTop w:val="0"/>
                              <w:marBottom w:val="0"/>
                              <w:divBdr>
                                <w:top w:val="none" w:sz="0" w:space="0" w:color="auto"/>
                                <w:left w:val="none" w:sz="0" w:space="0" w:color="auto"/>
                                <w:bottom w:val="none" w:sz="0" w:space="0" w:color="auto"/>
                                <w:right w:val="none" w:sz="0" w:space="0" w:color="auto"/>
                              </w:divBdr>
                              <w:divsChild>
                                <w:div w:id="2142259199">
                                  <w:marLeft w:val="0"/>
                                  <w:marRight w:val="0"/>
                                  <w:marTop w:val="0"/>
                                  <w:marBottom w:val="0"/>
                                  <w:divBdr>
                                    <w:top w:val="none" w:sz="0" w:space="0" w:color="auto"/>
                                    <w:left w:val="none" w:sz="0" w:space="0" w:color="auto"/>
                                    <w:bottom w:val="none" w:sz="0" w:space="0" w:color="auto"/>
                                    <w:right w:val="none" w:sz="0" w:space="0" w:color="auto"/>
                                  </w:divBdr>
                                  <w:divsChild>
                                    <w:div w:id="68460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810970">
      <w:bodyDiv w:val="1"/>
      <w:marLeft w:val="0"/>
      <w:marRight w:val="0"/>
      <w:marTop w:val="0"/>
      <w:marBottom w:val="0"/>
      <w:divBdr>
        <w:top w:val="none" w:sz="0" w:space="0" w:color="auto"/>
        <w:left w:val="none" w:sz="0" w:space="0" w:color="auto"/>
        <w:bottom w:val="none" w:sz="0" w:space="0" w:color="auto"/>
        <w:right w:val="none" w:sz="0" w:space="0" w:color="auto"/>
      </w:divBdr>
      <w:divsChild>
        <w:div w:id="1057360623">
          <w:marLeft w:val="0"/>
          <w:marRight w:val="0"/>
          <w:marTop w:val="0"/>
          <w:marBottom w:val="0"/>
          <w:divBdr>
            <w:top w:val="none" w:sz="0" w:space="0" w:color="auto"/>
            <w:left w:val="none" w:sz="0" w:space="0" w:color="auto"/>
            <w:bottom w:val="none" w:sz="0" w:space="0" w:color="auto"/>
            <w:right w:val="none" w:sz="0" w:space="0" w:color="auto"/>
          </w:divBdr>
          <w:divsChild>
            <w:div w:id="1704865223">
              <w:marLeft w:val="0"/>
              <w:marRight w:val="0"/>
              <w:marTop w:val="0"/>
              <w:marBottom w:val="0"/>
              <w:divBdr>
                <w:top w:val="none" w:sz="0" w:space="0" w:color="auto"/>
                <w:left w:val="none" w:sz="0" w:space="0" w:color="auto"/>
                <w:bottom w:val="none" w:sz="0" w:space="0" w:color="auto"/>
                <w:right w:val="none" w:sz="0" w:space="0" w:color="auto"/>
              </w:divBdr>
              <w:divsChild>
                <w:div w:id="282806156">
                  <w:marLeft w:val="0"/>
                  <w:marRight w:val="0"/>
                  <w:marTop w:val="0"/>
                  <w:marBottom w:val="0"/>
                  <w:divBdr>
                    <w:top w:val="none" w:sz="0" w:space="0" w:color="auto"/>
                    <w:left w:val="none" w:sz="0" w:space="0" w:color="auto"/>
                    <w:bottom w:val="none" w:sz="0" w:space="0" w:color="auto"/>
                    <w:right w:val="none" w:sz="0" w:space="0" w:color="auto"/>
                  </w:divBdr>
                  <w:divsChild>
                    <w:div w:id="1109735121">
                      <w:marLeft w:val="0"/>
                      <w:marRight w:val="0"/>
                      <w:marTop w:val="0"/>
                      <w:marBottom w:val="0"/>
                      <w:divBdr>
                        <w:top w:val="none" w:sz="0" w:space="0" w:color="auto"/>
                        <w:left w:val="none" w:sz="0" w:space="0" w:color="auto"/>
                        <w:bottom w:val="none" w:sz="0" w:space="0" w:color="auto"/>
                        <w:right w:val="none" w:sz="0" w:space="0" w:color="auto"/>
                      </w:divBdr>
                      <w:divsChild>
                        <w:div w:id="985431374">
                          <w:marLeft w:val="0"/>
                          <w:marRight w:val="0"/>
                          <w:marTop w:val="0"/>
                          <w:marBottom w:val="0"/>
                          <w:divBdr>
                            <w:top w:val="none" w:sz="0" w:space="0" w:color="auto"/>
                            <w:left w:val="none" w:sz="0" w:space="0" w:color="auto"/>
                            <w:bottom w:val="none" w:sz="0" w:space="0" w:color="auto"/>
                            <w:right w:val="none" w:sz="0" w:space="0" w:color="auto"/>
                          </w:divBdr>
                          <w:divsChild>
                            <w:div w:id="1660503887">
                              <w:marLeft w:val="0"/>
                              <w:marRight w:val="0"/>
                              <w:marTop w:val="0"/>
                              <w:marBottom w:val="0"/>
                              <w:divBdr>
                                <w:top w:val="none" w:sz="0" w:space="0" w:color="auto"/>
                                <w:left w:val="none" w:sz="0" w:space="0" w:color="auto"/>
                                <w:bottom w:val="none" w:sz="0" w:space="0" w:color="auto"/>
                                <w:right w:val="none" w:sz="0" w:space="0" w:color="auto"/>
                              </w:divBdr>
                              <w:divsChild>
                                <w:div w:id="1576625308">
                                  <w:marLeft w:val="0"/>
                                  <w:marRight w:val="0"/>
                                  <w:marTop w:val="0"/>
                                  <w:marBottom w:val="0"/>
                                  <w:divBdr>
                                    <w:top w:val="none" w:sz="0" w:space="0" w:color="auto"/>
                                    <w:left w:val="none" w:sz="0" w:space="0" w:color="auto"/>
                                    <w:bottom w:val="none" w:sz="0" w:space="0" w:color="auto"/>
                                    <w:right w:val="none" w:sz="0" w:space="0" w:color="auto"/>
                                  </w:divBdr>
                                  <w:divsChild>
                                    <w:div w:id="1435444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6026679">
          <w:marLeft w:val="0"/>
          <w:marRight w:val="0"/>
          <w:marTop w:val="0"/>
          <w:marBottom w:val="0"/>
          <w:divBdr>
            <w:top w:val="none" w:sz="0" w:space="0" w:color="auto"/>
            <w:left w:val="none" w:sz="0" w:space="0" w:color="auto"/>
            <w:bottom w:val="none" w:sz="0" w:space="0" w:color="auto"/>
            <w:right w:val="none" w:sz="0" w:space="0" w:color="auto"/>
          </w:divBdr>
        </w:div>
      </w:divsChild>
    </w:div>
    <w:div w:id="1450777310">
      <w:bodyDiv w:val="1"/>
      <w:marLeft w:val="0"/>
      <w:marRight w:val="0"/>
      <w:marTop w:val="0"/>
      <w:marBottom w:val="0"/>
      <w:divBdr>
        <w:top w:val="none" w:sz="0" w:space="0" w:color="auto"/>
        <w:left w:val="none" w:sz="0" w:space="0" w:color="auto"/>
        <w:bottom w:val="none" w:sz="0" w:space="0" w:color="auto"/>
        <w:right w:val="none" w:sz="0" w:space="0" w:color="auto"/>
      </w:divBdr>
    </w:div>
    <w:div w:id="1471357943">
      <w:bodyDiv w:val="1"/>
      <w:marLeft w:val="0"/>
      <w:marRight w:val="0"/>
      <w:marTop w:val="0"/>
      <w:marBottom w:val="0"/>
      <w:divBdr>
        <w:top w:val="none" w:sz="0" w:space="0" w:color="auto"/>
        <w:left w:val="none" w:sz="0" w:space="0" w:color="auto"/>
        <w:bottom w:val="none" w:sz="0" w:space="0" w:color="auto"/>
        <w:right w:val="none" w:sz="0" w:space="0" w:color="auto"/>
      </w:divBdr>
    </w:div>
    <w:div w:id="1479759344">
      <w:bodyDiv w:val="1"/>
      <w:marLeft w:val="0"/>
      <w:marRight w:val="0"/>
      <w:marTop w:val="0"/>
      <w:marBottom w:val="0"/>
      <w:divBdr>
        <w:top w:val="none" w:sz="0" w:space="0" w:color="auto"/>
        <w:left w:val="none" w:sz="0" w:space="0" w:color="auto"/>
        <w:bottom w:val="none" w:sz="0" w:space="0" w:color="auto"/>
        <w:right w:val="none" w:sz="0" w:space="0" w:color="auto"/>
      </w:divBdr>
      <w:divsChild>
        <w:div w:id="158933510">
          <w:marLeft w:val="0"/>
          <w:marRight w:val="0"/>
          <w:marTop w:val="0"/>
          <w:marBottom w:val="0"/>
          <w:divBdr>
            <w:top w:val="none" w:sz="0" w:space="0" w:color="auto"/>
            <w:left w:val="none" w:sz="0" w:space="0" w:color="auto"/>
            <w:bottom w:val="none" w:sz="0" w:space="0" w:color="auto"/>
            <w:right w:val="none" w:sz="0" w:space="0" w:color="auto"/>
          </w:divBdr>
          <w:divsChild>
            <w:div w:id="123159664">
              <w:marLeft w:val="0"/>
              <w:marRight w:val="0"/>
              <w:marTop w:val="0"/>
              <w:marBottom w:val="0"/>
              <w:divBdr>
                <w:top w:val="none" w:sz="0" w:space="0" w:color="auto"/>
                <w:left w:val="none" w:sz="0" w:space="0" w:color="auto"/>
                <w:bottom w:val="none" w:sz="0" w:space="0" w:color="auto"/>
                <w:right w:val="none" w:sz="0" w:space="0" w:color="auto"/>
              </w:divBdr>
              <w:divsChild>
                <w:div w:id="839658232">
                  <w:marLeft w:val="0"/>
                  <w:marRight w:val="0"/>
                  <w:marTop w:val="0"/>
                  <w:marBottom w:val="0"/>
                  <w:divBdr>
                    <w:top w:val="none" w:sz="0" w:space="0" w:color="auto"/>
                    <w:left w:val="none" w:sz="0" w:space="0" w:color="auto"/>
                    <w:bottom w:val="none" w:sz="0" w:space="0" w:color="auto"/>
                    <w:right w:val="none" w:sz="0" w:space="0" w:color="auto"/>
                  </w:divBdr>
                  <w:divsChild>
                    <w:div w:id="1593665298">
                      <w:marLeft w:val="0"/>
                      <w:marRight w:val="0"/>
                      <w:marTop w:val="0"/>
                      <w:marBottom w:val="0"/>
                      <w:divBdr>
                        <w:top w:val="none" w:sz="0" w:space="0" w:color="auto"/>
                        <w:left w:val="none" w:sz="0" w:space="0" w:color="auto"/>
                        <w:bottom w:val="none" w:sz="0" w:space="0" w:color="auto"/>
                        <w:right w:val="none" w:sz="0" w:space="0" w:color="auto"/>
                      </w:divBdr>
                      <w:divsChild>
                        <w:div w:id="756170712">
                          <w:marLeft w:val="0"/>
                          <w:marRight w:val="0"/>
                          <w:marTop w:val="0"/>
                          <w:marBottom w:val="0"/>
                          <w:divBdr>
                            <w:top w:val="none" w:sz="0" w:space="0" w:color="auto"/>
                            <w:left w:val="none" w:sz="0" w:space="0" w:color="auto"/>
                            <w:bottom w:val="none" w:sz="0" w:space="0" w:color="auto"/>
                            <w:right w:val="none" w:sz="0" w:space="0" w:color="auto"/>
                          </w:divBdr>
                          <w:divsChild>
                            <w:div w:id="703285888">
                              <w:marLeft w:val="0"/>
                              <w:marRight w:val="0"/>
                              <w:marTop w:val="0"/>
                              <w:marBottom w:val="0"/>
                              <w:divBdr>
                                <w:top w:val="none" w:sz="0" w:space="0" w:color="auto"/>
                                <w:left w:val="none" w:sz="0" w:space="0" w:color="auto"/>
                                <w:bottom w:val="none" w:sz="0" w:space="0" w:color="auto"/>
                                <w:right w:val="none" w:sz="0" w:space="0" w:color="auto"/>
                              </w:divBdr>
                              <w:divsChild>
                                <w:div w:id="107045295">
                                  <w:marLeft w:val="0"/>
                                  <w:marRight w:val="0"/>
                                  <w:marTop w:val="0"/>
                                  <w:marBottom w:val="0"/>
                                  <w:divBdr>
                                    <w:top w:val="none" w:sz="0" w:space="0" w:color="auto"/>
                                    <w:left w:val="none" w:sz="0" w:space="0" w:color="auto"/>
                                    <w:bottom w:val="none" w:sz="0" w:space="0" w:color="auto"/>
                                    <w:right w:val="none" w:sz="0" w:space="0" w:color="auto"/>
                                  </w:divBdr>
                                  <w:divsChild>
                                    <w:div w:id="199013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3538250">
          <w:marLeft w:val="0"/>
          <w:marRight w:val="0"/>
          <w:marTop w:val="0"/>
          <w:marBottom w:val="0"/>
          <w:divBdr>
            <w:top w:val="none" w:sz="0" w:space="0" w:color="auto"/>
            <w:left w:val="none" w:sz="0" w:space="0" w:color="auto"/>
            <w:bottom w:val="none" w:sz="0" w:space="0" w:color="auto"/>
            <w:right w:val="none" w:sz="0" w:space="0" w:color="auto"/>
          </w:divBdr>
        </w:div>
        <w:div w:id="140662916">
          <w:marLeft w:val="0"/>
          <w:marRight w:val="0"/>
          <w:marTop w:val="0"/>
          <w:marBottom w:val="0"/>
          <w:divBdr>
            <w:top w:val="none" w:sz="0" w:space="0" w:color="auto"/>
            <w:left w:val="none" w:sz="0" w:space="0" w:color="auto"/>
            <w:bottom w:val="none" w:sz="0" w:space="0" w:color="auto"/>
            <w:right w:val="none" w:sz="0" w:space="0" w:color="auto"/>
          </w:divBdr>
        </w:div>
      </w:divsChild>
    </w:div>
    <w:div w:id="1487745395">
      <w:bodyDiv w:val="1"/>
      <w:marLeft w:val="0"/>
      <w:marRight w:val="0"/>
      <w:marTop w:val="0"/>
      <w:marBottom w:val="0"/>
      <w:divBdr>
        <w:top w:val="none" w:sz="0" w:space="0" w:color="auto"/>
        <w:left w:val="none" w:sz="0" w:space="0" w:color="auto"/>
        <w:bottom w:val="none" w:sz="0" w:space="0" w:color="auto"/>
        <w:right w:val="none" w:sz="0" w:space="0" w:color="auto"/>
      </w:divBdr>
    </w:div>
    <w:div w:id="1503399481">
      <w:bodyDiv w:val="1"/>
      <w:marLeft w:val="0"/>
      <w:marRight w:val="0"/>
      <w:marTop w:val="0"/>
      <w:marBottom w:val="0"/>
      <w:divBdr>
        <w:top w:val="none" w:sz="0" w:space="0" w:color="auto"/>
        <w:left w:val="none" w:sz="0" w:space="0" w:color="auto"/>
        <w:bottom w:val="none" w:sz="0" w:space="0" w:color="auto"/>
        <w:right w:val="none" w:sz="0" w:space="0" w:color="auto"/>
      </w:divBdr>
    </w:div>
    <w:div w:id="1513765935">
      <w:bodyDiv w:val="1"/>
      <w:marLeft w:val="0"/>
      <w:marRight w:val="0"/>
      <w:marTop w:val="0"/>
      <w:marBottom w:val="0"/>
      <w:divBdr>
        <w:top w:val="none" w:sz="0" w:space="0" w:color="auto"/>
        <w:left w:val="none" w:sz="0" w:space="0" w:color="auto"/>
        <w:bottom w:val="none" w:sz="0" w:space="0" w:color="auto"/>
        <w:right w:val="none" w:sz="0" w:space="0" w:color="auto"/>
      </w:divBdr>
      <w:divsChild>
        <w:div w:id="158037702">
          <w:marLeft w:val="0"/>
          <w:marRight w:val="0"/>
          <w:marTop w:val="0"/>
          <w:marBottom w:val="0"/>
          <w:divBdr>
            <w:top w:val="none" w:sz="0" w:space="0" w:color="auto"/>
            <w:left w:val="none" w:sz="0" w:space="0" w:color="auto"/>
            <w:bottom w:val="none" w:sz="0" w:space="0" w:color="auto"/>
            <w:right w:val="none" w:sz="0" w:space="0" w:color="auto"/>
          </w:divBdr>
        </w:div>
      </w:divsChild>
    </w:div>
    <w:div w:id="1519734875">
      <w:bodyDiv w:val="1"/>
      <w:marLeft w:val="0"/>
      <w:marRight w:val="0"/>
      <w:marTop w:val="0"/>
      <w:marBottom w:val="0"/>
      <w:divBdr>
        <w:top w:val="none" w:sz="0" w:space="0" w:color="auto"/>
        <w:left w:val="none" w:sz="0" w:space="0" w:color="auto"/>
        <w:bottom w:val="none" w:sz="0" w:space="0" w:color="auto"/>
        <w:right w:val="none" w:sz="0" w:space="0" w:color="auto"/>
      </w:divBdr>
      <w:divsChild>
        <w:div w:id="1533617334">
          <w:marLeft w:val="0"/>
          <w:marRight w:val="0"/>
          <w:marTop w:val="0"/>
          <w:marBottom w:val="0"/>
          <w:divBdr>
            <w:top w:val="none" w:sz="0" w:space="0" w:color="auto"/>
            <w:left w:val="none" w:sz="0" w:space="0" w:color="auto"/>
            <w:bottom w:val="none" w:sz="0" w:space="0" w:color="auto"/>
            <w:right w:val="none" w:sz="0" w:space="0" w:color="auto"/>
          </w:divBdr>
        </w:div>
      </w:divsChild>
    </w:div>
    <w:div w:id="1526403999">
      <w:bodyDiv w:val="1"/>
      <w:marLeft w:val="0"/>
      <w:marRight w:val="0"/>
      <w:marTop w:val="0"/>
      <w:marBottom w:val="0"/>
      <w:divBdr>
        <w:top w:val="none" w:sz="0" w:space="0" w:color="auto"/>
        <w:left w:val="none" w:sz="0" w:space="0" w:color="auto"/>
        <w:bottom w:val="none" w:sz="0" w:space="0" w:color="auto"/>
        <w:right w:val="none" w:sz="0" w:space="0" w:color="auto"/>
      </w:divBdr>
      <w:divsChild>
        <w:div w:id="1775899135">
          <w:marLeft w:val="0"/>
          <w:marRight w:val="0"/>
          <w:marTop w:val="0"/>
          <w:marBottom w:val="0"/>
          <w:divBdr>
            <w:top w:val="none" w:sz="0" w:space="0" w:color="auto"/>
            <w:left w:val="none" w:sz="0" w:space="0" w:color="auto"/>
            <w:bottom w:val="none" w:sz="0" w:space="0" w:color="auto"/>
            <w:right w:val="none" w:sz="0" w:space="0" w:color="auto"/>
          </w:divBdr>
          <w:divsChild>
            <w:div w:id="1302030993">
              <w:marLeft w:val="0"/>
              <w:marRight w:val="0"/>
              <w:marTop w:val="0"/>
              <w:marBottom w:val="0"/>
              <w:divBdr>
                <w:top w:val="none" w:sz="0" w:space="0" w:color="auto"/>
                <w:left w:val="none" w:sz="0" w:space="0" w:color="auto"/>
                <w:bottom w:val="none" w:sz="0" w:space="0" w:color="auto"/>
                <w:right w:val="none" w:sz="0" w:space="0" w:color="auto"/>
              </w:divBdr>
              <w:divsChild>
                <w:div w:id="1465541227">
                  <w:marLeft w:val="0"/>
                  <w:marRight w:val="0"/>
                  <w:marTop w:val="0"/>
                  <w:marBottom w:val="0"/>
                  <w:divBdr>
                    <w:top w:val="none" w:sz="0" w:space="0" w:color="auto"/>
                    <w:left w:val="none" w:sz="0" w:space="0" w:color="auto"/>
                    <w:bottom w:val="none" w:sz="0" w:space="0" w:color="auto"/>
                    <w:right w:val="none" w:sz="0" w:space="0" w:color="auto"/>
                  </w:divBdr>
                  <w:divsChild>
                    <w:div w:id="1049453687">
                      <w:marLeft w:val="0"/>
                      <w:marRight w:val="0"/>
                      <w:marTop w:val="0"/>
                      <w:marBottom w:val="0"/>
                      <w:divBdr>
                        <w:top w:val="none" w:sz="0" w:space="0" w:color="auto"/>
                        <w:left w:val="none" w:sz="0" w:space="0" w:color="auto"/>
                        <w:bottom w:val="none" w:sz="0" w:space="0" w:color="auto"/>
                        <w:right w:val="none" w:sz="0" w:space="0" w:color="auto"/>
                      </w:divBdr>
                      <w:divsChild>
                        <w:div w:id="603852003">
                          <w:marLeft w:val="0"/>
                          <w:marRight w:val="0"/>
                          <w:marTop w:val="0"/>
                          <w:marBottom w:val="0"/>
                          <w:divBdr>
                            <w:top w:val="none" w:sz="0" w:space="0" w:color="auto"/>
                            <w:left w:val="none" w:sz="0" w:space="0" w:color="auto"/>
                            <w:bottom w:val="none" w:sz="0" w:space="0" w:color="auto"/>
                            <w:right w:val="none" w:sz="0" w:space="0" w:color="auto"/>
                          </w:divBdr>
                          <w:divsChild>
                            <w:div w:id="964501270">
                              <w:marLeft w:val="0"/>
                              <w:marRight w:val="0"/>
                              <w:marTop w:val="0"/>
                              <w:marBottom w:val="0"/>
                              <w:divBdr>
                                <w:top w:val="none" w:sz="0" w:space="0" w:color="auto"/>
                                <w:left w:val="none" w:sz="0" w:space="0" w:color="auto"/>
                                <w:bottom w:val="none" w:sz="0" w:space="0" w:color="auto"/>
                                <w:right w:val="none" w:sz="0" w:space="0" w:color="auto"/>
                              </w:divBdr>
                              <w:divsChild>
                                <w:div w:id="2001417998">
                                  <w:marLeft w:val="0"/>
                                  <w:marRight w:val="0"/>
                                  <w:marTop w:val="0"/>
                                  <w:marBottom w:val="0"/>
                                  <w:divBdr>
                                    <w:top w:val="none" w:sz="0" w:space="0" w:color="auto"/>
                                    <w:left w:val="none" w:sz="0" w:space="0" w:color="auto"/>
                                    <w:bottom w:val="none" w:sz="0" w:space="0" w:color="auto"/>
                                    <w:right w:val="none" w:sz="0" w:space="0" w:color="auto"/>
                                  </w:divBdr>
                                  <w:divsChild>
                                    <w:div w:id="53747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703844">
                          <w:marLeft w:val="0"/>
                          <w:marRight w:val="0"/>
                          <w:marTop w:val="0"/>
                          <w:marBottom w:val="0"/>
                          <w:divBdr>
                            <w:top w:val="none" w:sz="0" w:space="0" w:color="auto"/>
                            <w:left w:val="none" w:sz="0" w:space="0" w:color="auto"/>
                            <w:bottom w:val="none" w:sz="0" w:space="0" w:color="auto"/>
                            <w:right w:val="none" w:sz="0" w:space="0" w:color="auto"/>
                          </w:divBdr>
                          <w:divsChild>
                            <w:div w:id="949822174">
                              <w:marLeft w:val="0"/>
                              <w:marRight w:val="0"/>
                              <w:marTop w:val="0"/>
                              <w:marBottom w:val="0"/>
                              <w:divBdr>
                                <w:top w:val="none" w:sz="0" w:space="0" w:color="auto"/>
                                <w:left w:val="none" w:sz="0" w:space="0" w:color="auto"/>
                                <w:bottom w:val="none" w:sz="0" w:space="0" w:color="auto"/>
                                <w:right w:val="none" w:sz="0" w:space="0" w:color="auto"/>
                              </w:divBdr>
                              <w:divsChild>
                                <w:div w:id="2081634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89849">
          <w:marLeft w:val="0"/>
          <w:marRight w:val="0"/>
          <w:marTop w:val="0"/>
          <w:marBottom w:val="0"/>
          <w:divBdr>
            <w:top w:val="none" w:sz="0" w:space="0" w:color="auto"/>
            <w:left w:val="none" w:sz="0" w:space="0" w:color="auto"/>
            <w:bottom w:val="none" w:sz="0" w:space="0" w:color="auto"/>
            <w:right w:val="none" w:sz="0" w:space="0" w:color="auto"/>
          </w:divBdr>
          <w:divsChild>
            <w:div w:id="1641152732">
              <w:marLeft w:val="0"/>
              <w:marRight w:val="0"/>
              <w:marTop w:val="0"/>
              <w:marBottom w:val="0"/>
              <w:divBdr>
                <w:top w:val="none" w:sz="0" w:space="0" w:color="auto"/>
                <w:left w:val="none" w:sz="0" w:space="0" w:color="auto"/>
                <w:bottom w:val="none" w:sz="0" w:space="0" w:color="auto"/>
                <w:right w:val="none" w:sz="0" w:space="0" w:color="auto"/>
              </w:divBdr>
              <w:divsChild>
                <w:div w:id="1979266141">
                  <w:marLeft w:val="0"/>
                  <w:marRight w:val="0"/>
                  <w:marTop w:val="0"/>
                  <w:marBottom w:val="0"/>
                  <w:divBdr>
                    <w:top w:val="none" w:sz="0" w:space="0" w:color="auto"/>
                    <w:left w:val="none" w:sz="0" w:space="0" w:color="auto"/>
                    <w:bottom w:val="none" w:sz="0" w:space="0" w:color="auto"/>
                    <w:right w:val="none" w:sz="0" w:space="0" w:color="auto"/>
                  </w:divBdr>
                  <w:divsChild>
                    <w:div w:id="33432104">
                      <w:marLeft w:val="0"/>
                      <w:marRight w:val="0"/>
                      <w:marTop w:val="0"/>
                      <w:marBottom w:val="0"/>
                      <w:divBdr>
                        <w:top w:val="none" w:sz="0" w:space="0" w:color="auto"/>
                        <w:left w:val="none" w:sz="0" w:space="0" w:color="auto"/>
                        <w:bottom w:val="none" w:sz="0" w:space="0" w:color="auto"/>
                        <w:right w:val="none" w:sz="0" w:space="0" w:color="auto"/>
                      </w:divBdr>
                      <w:divsChild>
                        <w:div w:id="1238318161">
                          <w:marLeft w:val="0"/>
                          <w:marRight w:val="0"/>
                          <w:marTop w:val="0"/>
                          <w:marBottom w:val="0"/>
                          <w:divBdr>
                            <w:top w:val="none" w:sz="0" w:space="0" w:color="auto"/>
                            <w:left w:val="none" w:sz="0" w:space="0" w:color="auto"/>
                            <w:bottom w:val="none" w:sz="0" w:space="0" w:color="auto"/>
                            <w:right w:val="none" w:sz="0" w:space="0" w:color="auto"/>
                          </w:divBdr>
                          <w:divsChild>
                            <w:div w:id="1999503415">
                              <w:marLeft w:val="0"/>
                              <w:marRight w:val="0"/>
                              <w:marTop w:val="0"/>
                              <w:marBottom w:val="0"/>
                              <w:divBdr>
                                <w:top w:val="none" w:sz="0" w:space="0" w:color="auto"/>
                                <w:left w:val="none" w:sz="0" w:space="0" w:color="auto"/>
                                <w:bottom w:val="none" w:sz="0" w:space="0" w:color="auto"/>
                                <w:right w:val="none" w:sz="0" w:space="0" w:color="auto"/>
                              </w:divBdr>
                              <w:divsChild>
                                <w:div w:id="160857864">
                                  <w:marLeft w:val="0"/>
                                  <w:marRight w:val="0"/>
                                  <w:marTop w:val="0"/>
                                  <w:marBottom w:val="0"/>
                                  <w:divBdr>
                                    <w:top w:val="none" w:sz="0" w:space="0" w:color="auto"/>
                                    <w:left w:val="none" w:sz="0" w:space="0" w:color="auto"/>
                                    <w:bottom w:val="none" w:sz="0" w:space="0" w:color="auto"/>
                                    <w:right w:val="none" w:sz="0" w:space="0" w:color="auto"/>
                                  </w:divBdr>
                                  <w:divsChild>
                                    <w:div w:id="564295161">
                                      <w:marLeft w:val="0"/>
                                      <w:marRight w:val="0"/>
                                      <w:marTop w:val="0"/>
                                      <w:marBottom w:val="0"/>
                                      <w:divBdr>
                                        <w:top w:val="none" w:sz="0" w:space="0" w:color="auto"/>
                                        <w:left w:val="none" w:sz="0" w:space="0" w:color="auto"/>
                                        <w:bottom w:val="none" w:sz="0" w:space="0" w:color="auto"/>
                                        <w:right w:val="none" w:sz="0" w:space="0" w:color="auto"/>
                                      </w:divBdr>
                                      <w:divsChild>
                                        <w:div w:id="1453983228">
                                          <w:marLeft w:val="0"/>
                                          <w:marRight w:val="0"/>
                                          <w:marTop w:val="0"/>
                                          <w:marBottom w:val="0"/>
                                          <w:divBdr>
                                            <w:top w:val="none" w:sz="0" w:space="0" w:color="auto"/>
                                            <w:left w:val="none" w:sz="0" w:space="0" w:color="auto"/>
                                            <w:bottom w:val="none" w:sz="0" w:space="0" w:color="auto"/>
                                            <w:right w:val="none" w:sz="0" w:space="0" w:color="auto"/>
                                          </w:divBdr>
                                          <w:divsChild>
                                            <w:div w:id="21261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58297999">
          <w:marLeft w:val="0"/>
          <w:marRight w:val="0"/>
          <w:marTop w:val="0"/>
          <w:marBottom w:val="0"/>
          <w:divBdr>
            <w:top w:val="none" w:sz="0" w:space="0" w:color="auto"/>
            <w:left w:val="none" w:sz="0" w:space="0" w:color="auto"/>
            <w:bottom w:val="none" w:sz="0" w:space="0" w:color="auto"/>
            <w:right w:val="none" w:sz="0" w:space="0" w:color="auto"/>
          </w:divBdr>
          <w:divsChild>
            <w:div w:id="1595937629">
              <w:marLeft w:val="0"/>
              <w:marRight w:val="0"/>
              <w:marTop w:val="0"/>
              <w:marBottom w:val="0"/>
              <w:divBdr>
                <w:top w:val="none" w:sz="0" w:space="0" w:color="auto"/>
                <w:left w:val="none" w:sz="0" w:space="0" w:color="auto"/>
                <w:bottom w:val="none" w:sz="0" w:space="0" w:color="auto"/>
                <w:right w:val="none" w:sz="0" w:space="0" w:color="auto"/>
              </w:divBdr>
              <w:divsChild>
                <w:div w:id="507864447">
                  <w:marLeft w:val="0"/>
                  <w:marRight w:val="0"/>
                  <w:marTop w:val="0"/>
                  <w:marBottom w:val="0"/>
                  <w:divBdr>
                    <w:top w:val="none" w:sz="0" w:space="0" w:color="auto"/>
                    <w:left w:val="none" w:sz="0" w:space="0" w:color="auto"/>
                    <w:bottom w:val="none" w:sz="0" w:space="0" w:color="auto"/>
                    <w:right w:val="none" w:sz="0" w:space="0" w:color="auto"/>
                  </w:divBdr>
                  <w:divsChild>
                    <w:div w:id="1474833468">
                      <w:marLeft w:val="0"/>
                      <w:marRight w:val="0"/>
                      <w:marTop w:val="0"/>
                      <w:marBottom w:val="0"/>
                      <w:divBdr>
                        <w:top w:val="none" w:sz="0" w:space="0" w:color="auto"/>
                        <w:left w:val="none" w:sz="0" w:space="0" w:color="auto"/>
                        <w:bottom w:val="none" w:sz="0" w:space="0" w:color="auto"/>
                        <w:right w:val="none" w:sz="0" w:space="0" w:color="auto"/>
                      </w:divBdr>
                      <w:divsChild>
                        <w:div w:id="215119966">
                          <w:marLeft w:val="0"/>
                          <w:marRight w:val="0"/>
                          <w:marTop w:val="0"/>
                          <w:marBottom w:val="0"/>
                          <w:divBdr>
                            <w:top w:val="none" w:sz="0" w:space="0" w:color="auto"/>
                            <w:left w:val="none" w:sz="0" w:space="0" w:color="auto"/>
                            <w:bottom w:val="none" w:sz="0" w:space="0" w:color="auto"/>
                            <w:right w:val="none" w:sz="0" w:space="0" w:color="auto"/>
                          </w:divBdr>
                          <w:divsChild>
                            <w:div w:id="1908688921">
                              <w:marLeft w:val="0"/>
                              <w:marRight w:val="0"/>
                              <w:marTop w:val="0"/>
                              <w:marBottom w:val="0"/>
                              <w:divBdr>
                                <w:top w:val="none" w:sz="0" w:space="0" w:color="auto"/>
                                <w:left w:val="none" w:sz="0" w:space="0" w:color="auto"/>
                                <w:bottom w:val="none" w:sz="0" w:space="0" w:color="auto"/>
                                <w:right w:val="none" w:sz="0" w:space="0" w:color="auto"/>
                              </w:divBdr>
                              <w:divsChild>
                                <w:div w:id="1990668881">
                                  <w:marLeft w:val="0"/>
                                  <w:marRight w:val="0"/>
                                  <w:marTop w:val="0"/>
                                  <w:marBottom w:val="0"/>
                                  <w:divBdr>
                                    <w:top w:val="none" w:sz="0" w:space="0" w:color="auto"/>
                                    <w:left w:val="none" w:sz="0" w:space="0" w:color="auto"/>
                                    <w:bottom w:val="none" w:sz="0" w:space="0" w:color="auto"/>
                                    <w:right w:val="none" w:sz="0" w:space="0" w:color="auto"/>
                                  </w:divBdr>
                                  <w:divsChild>
                                    <w:div w:id="5525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3702775">
          <w:marLeft w:val="0"/>
          <w:marRight w:val="0"/>
          <w:marTop w:val="0"/>
          <w:marBottom w:val="0"/>
          <w:divBdr>
            <w:top w:val="none" w:sz="0" w:space="0" w:color="auto"/>
            <w:left w:val="none" w:sz="0" w:space="0" w:color="auto"/>
            <w:bottom w:val="none" w:sz="0" w:space="0" w:color="auto"/>
            <w:right w:val="none" w:sz="0" w:space="0" w:color="auto"/>
          </w:divBdr>
          <w:divsChild>
            <w:div w:id="2115321727">
              <w:marLeft w:val="0"/>
              <w:marRight w:val="0"/>
              <w:marTop w:val="0"/>
              <w:marBottom w:val="0"/>
              <w:divBdr>
                <w:top w:val="none" w:sz="0" w:space="0" w:color="auto"/>
                <w:left w:val="none" w:sz="0" w:space="0" w:color="auto"/>
                <w:bottom w:val="none" w:sz="0" w:space="0" w:color="auto"/>
                <w:right w:val="none" w:sz="0" w:space="0" w:color="auto"/>
              </w:divBdr>
              <w:divsChild>
                <w:div w:id="699204555">
                  <w:marLeft w:val="0"/>
                  <w:marRight w:val="0"/>
                  <w:marTop w:val="0"/>
                  <w:marBottom w:val="0"/>
                  <w:divBdr>
                    <w:top w:val="none" w:sz="0" w:space="0" w:color="auto"/>
                    <w:left w:val="none" w:sz="0" w:space="0" w:color="auto"/>
                    <w:bottom w:val="none" w:sz="0" w:space="0" w:color="auto"/>
                    <w:right w:val="none" w:sz="0" w:space="0" w:color="auto"/>
                  </w:divBdr>
                  <w:divsChild>
                    <w:div w:id="1849060758">
                      <w:marLeft w:val="0"/>
                      <w:marRight w:val="0"/>
                      <w:marTop w:val="0"/>
                      <w:marBottom w:val="0"/>
                      <w:divBdr>
                        <w:top w:val="none" w:sz="0" w:space="0" w:color="auto"/>
                        <w:left w:val="none" w:sz="0" w:space="0" w:color="auto"/>
                        <w:bottom w:val="none" w:sz="0" w:space="0" w:color="auto"/>
                        <w:right w:val="none" w:sz="0" w:space="0" w:color="auto"/>
                      </w:divBdr>
                      <w:divsChild>
                        <w:div w:id="194079477">
                          <w:marLeft w:val="0"/>
                          <w:marRight w:val="0"/>
                          <w:marTop w:val="0"/>
                          <w:marBottom w:val="0"/>
                          <w:divBdr>
                            <w:top w:val="none" w:sz="0" w:space="0" w:color="auto"/>
                            <w:left w:val="none" w:sz="0" w:space="0" w:color="auto"/>
                            <w:bottom w:val="none" w:sz="0" w:space="0" w:color="auto"/>
                            <w:right w:val="none" w:sz="0" w:space="0" w:color="auto"/>
                          </w:divBdr>
                          <w:divsChild>
                            <w:div w:id="1179848388">
                              <w:marLeft w:val="0"/>
                              <w:marRight w:val="0"/>
                              <w:marTop w:val="0"/>
                              <w:marBottom w:val="0"/>
                              <w:divBdr>
                                <w:top w:val="none" w:sz="0" w:space="0" w:color="auto"/>
                                <w:left w:val="none" w:sz="0" w:space="0" w:color="auto"/>
                                <w:bottom w:val="none" w:sz="0" w:space="0" w:color="auto"/>
                                <w:right w:val="none" w:sz="0" w:space="0" w:color="auto"/>
                              </w:divBdr>
                              <w:divsChild>
                                <w:div w:id="1249844988">
                                  <w:marLeft w:val="0"/>
                                  <w:marRight w:val="0"/>
                                  <w:marTop w:val="0"/>
                                  <w:marBottom w:val="0"/>
                                  <w:divBdr>
                                    <w:top w:val="none" w:sz="0" w:space="0" w:color="auto"/>
                                    <w:left w:val="none" w:sz="0" w:space="0" w:color="auto"/>
                                    <w:bottom w:val="none" w:sz="0" w:space="0" w:color="auto"/>
                                    <w:right w:val="none" w:sz="0" w:space="0" w:color="auto"/>
                                  </w:divBdr>
                                  <w:divsChild>
                                    <w:div w:id="2042853143">
                                      <w:marLeft w:val="0"/>
                                      <w:marRight w:val="0"/>
                                      <w:marTop w:val="0"/>
                                      <w:marBottom w:val="0"/>
                                      <w:divBdr>
                                        <w:top w:val="none" w:sz="0" w:space="0" w:color="auto"/>
                                        <w:left w:val="none" w:sz="0" w:space="0" w:color="auto"/>
                                        <w:bottom w:val="none" w:sz="0" w:space="0" w:color="auto"/>
                                        <w:right w:val="none" w:sz="0" w:space="0" w:color="auto"/>
                                      </w:divBdr>
                                      <w:divsChild>
                                        <w:div w:id="1180466558">
                                          <w:marLeft w:val="0"/>
                                          <w:marRight w:val="0"/>
                                          <w:marTop w:val="0"/>
                                          <w:marBottom w:val="0"/>
                                          <w:divBdr>
                                            <w:top w:val="none" w:sz="0" w:space="0" w:color="auto"/>
                                            <w:left w:val="none" w:sz="0" w:space="0" w:color="auto"/>
                                            <w:bottom w:val="none" w:sz="0" w:space="0" w:color="auto"/>
                                            <w:right w:val="none" w:sz="0" w:space="0" w:color="auto"/>
                                          </w:divBdr>
                                          <w:divsChild>
                                            <w:div w:id="43124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844470">
          <w:marLeft w:val="0"/>
          <w:marRight w:val="0"/>
          <w:marTop w:val="0"/>
          <w:marBottom w:val="0"/>
          <w:divBdr>
            <w:top w:val="none" w:sz="0" w:space="0" w:color="auto"/>
            <w:left w:val="none" w:sz="0" w:space="0" w:color="auto"/>
            <w:bottom w:val="none" w:sz="0" w:space="0" w:color="auto"/>
            <w:right w:val="none" w:sz="0" w:space="0" w:color="auto"/>
          </w:divBdr>
          <w:divsChild>
            <w:div w:id="299921524">
              <w:marLeft w:val="0"/>
              <w:marRight w:val="0"/>
              <w:marTop w:val="0"/>
              <w:marBottom w:val="0"/>
              <w:divBdr>
                <w:top w:val="none" w:sz="0" w:space="0" w:color="auto"/>
                <w:left w:val="none" w:sz="0" w:space="0" w:color="auto"/>
                <w:bottom w:val="none" w:sz="0" w:space="0" w:color="auto"/>
                <w:right w:val="none" w:sz="0" w:space="0" w:color="auto"/>
              </w:divBdr>
              <w:divsChild>
                <w:div w:id="1356079454">
                  <w:marLeft w:val="0"/>
                  <w:marRight w:val="0"/>
                  <w:marTop w:val="0"/>
                  <w:marBottom w:val="0"/>
                  <w:divBdr>
                    <w:top w:val="none" w:sz="0" w:space="0" w:color="auto"/>
                    <w:left w:val="none" w:sz="0" w:space="0" w:color="auto"/>
                    <w:bottom w:val="none" w:sz="0" w:space="0" w:color="auto"/>
                    <w:right w:val="none" w:sz="0" w:space="0" w:color="auto"/>
                  </w:divBdr>
                  <w:divsChild>
                    <w:div w:id="792405780">
                      <w:marLeft w:val="0"/>
                      <w:marRight w:val="0"/>
                      <w:marTop w:val="0"/>
                      <w:marBottom w:val="0"/>
                      <w:divBdr>
                        <w:top w:val="none" w:sz="0" w:space="0" w:color="auto"/>
                        <w:left w:val="none" w:sz="0" w:space="0" w:color="auto"/>
                        <w:bottom w:val="none" w:sz="0" w:space="0" w:color="auto"/>
                        <w:right w:val="none" w:sz="0" w:space="0" w:color="auto"/>
                      </w:divBdr>
                      <w:divsChild>
                        <w:div w:id="1059523853">
                          <w:marLeft w:val="0"/>
                          <w:marRight w:val="0"/>
                          <w:marTop w:val="0"/>
                          <w:marBottom w:val="0"/>
                          <w:divBdr>
                            <w:top w:val="none" w:sz="0" w:space="0" w:color="auto"/>
                            <w:left w:val="none" w:sz="0" w:space="0" w:color="auto"/>
                            <w:bottom w:val="none" w:sz="0" w:space="0" w:color="auto"/>
                            <w:right w:val="none" w:sz="0" w:space="0" w:color="auto"/>
                          </w:divBdr>
                          <w:divsChild>
                            <w:div w:id="635599882">
                              <w:marLeft w:val="0"/>
                              <w:marRight w:val="0"/>
                              <w:marTop w:val="0"/>
                              <w:marBottom w:val="0"/>
                              <w:divBdr>
                                <w:top w:val="none" w:sz="0" w:space="0" w:color="auto"/>
                                <w:left w:val="none" w:sz="0" w:space="0" w:color="auto"/>
                                <w:bottom w:val="none" w:sz="0" w:space="0" w:color="auto"/>
                                <w:right w:val="none" w:sz="0" w:space="0" w:color="auto"/>
                              </w:divBdr>
                              <w:divsChild>
                                <w:div w:id="1993174755">
                                  <w:marLeft w:val="0"/>
                                  <w:marRight w:val="0"/>
                                  <w:marTop w:val="0"/>
                                  <w:marBottom w:val="0"/>
                                  <w:divBdr>
                                    <w:top w:val="none" w:sz="0" w:space="0" w:color="auto"/>
                                    <w:left w:val="none" w:sz="0" w:space="0" w:color="auto"/>
                                    <w:bottom w:val="none" w:sz="0" w:space="0" w:color="auto"/>
                                    <w:right w:val="none" w:sz="0" w:space="0" w:color="auto"/>
                                  </w:divBdr>
                                  <w:divsChild>
                                    <w:div w:id="197705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0579513">
          <w:marLeft w:val="0"/>
          <w:marRight w:val="0"/>
          <w:marTop w:val="0"/>
          <w:marBottom w:val="0"/>
          <w:divBdr>
            <w:top w:val="none" w:sz="0" w:space="0" w:color="auto"/>
            <w:left w:val="none" w:sz="0" w:space="0" w:color="auto"/>
            <w:bottom w:val="none" w:sz="0" w:space="0" w:color="auto"/>
            <w:right w:val="none" w:sz="0" w:space="0" w:color="auto"/>
          </w:divBdr>
          <w:divsChild>
            <w:div w:id="1917475597">
              <w:marLeft w:val="0"/>
              <w:marRight w:val="0"/>
              <w:marTop w:val="0"/>
              <w:marBottom w:val="0"/>
              <w:divBdr>
                <w:top w:val="none" w:sz="0" w:space="0" w:color="auto"/>
                <w:left w:val="none" w:sz="0" w:space="0" w:color="auto"/>
                <w:bottom w:val="none" w:sz="0" w:space="0" w:color="auto"/>
                <w:right w:val="none" w:sz="0" w:space="0" w:color="auto"/>
              </w:divBdr>
              <w:divsChild>
                <w:div w:id="813105565">
                  <w:marLeft w:val="0"/>
                  <w:marRight w:val="0"/>
                  <w:marTop w:val="0"/>
                  <w:marBottom w:val="0"/>
                  <w:divBdr>
                    <w:top w:val="none" w:sz="0" w:space="0" w:color="auto"/>
                    <w:left w:val="none" w:sz="0" w:space="0" w:color="auto"/>
                    <w:bottom w:val="none" w:sz="0" w:space="0" w:color="auto"/>
                    <w:right w:val="none" w:sz="0" w:space="0" w:color="auto"/>
                  </w:divBdr>
                  <w:divsChild>
                    <w:div w:id="669718150">
                      <w:marLeft w:val="0"/>
                      <w:marRight w:val="0"/>
                      <w:marTop w:val="0"/>
                      <w:marBottom w:val="0"/>
                      <w:divBdr>
                        <w:top w:val="none" w:sz="0" w:space="0" w:color="auto"/>
                        <w:left w:val="none" w:sz="0" w:space="0" w:color="auto"/>
                        <w:bottom w:val="none" w:sz="0" w:space="0" w:color="auto"/>
                        <w:right w:val="none" w:sz="0" w:space="0" w:color="auto"/>
                      </w:divBdr>
                      <w:divsChild>
                        <w:div w:id="649213630">
                          <w:marLeft w:val="0"/>
                          <w:marRight w:val="0"/>
                          <w:marTop w:val="0"/>
                          <w:marBottom w:val="0"/>
                          <w:divBdr>
                            <w:top w:val="none" w:sz="0" w:space="0" w:color="auto"/>
                            <w:left w:val="none" w:sz="0" w:space="0" w:color="auto"/>
                            <w:bottom w:val="none" w:sz="0" w:space="0" w:color="auto"/>
                            <w:right w:val="none" w:sz="0" w:space="0" w:color="auto"/>
                          </w:divBdr>
                          <w:divsChild>
                            <w:div w:id="391580140">
                              <w:marLeft w:val="0"/>
                              <w:marRight w:val="0"/>
                              <w:marTop w:val="0"/>
                              <w:marBottom w:val="0"/>
                              <w:divBdr>
                                <w:top w:val="none" w:sz="0" w:space="0" w:color="auto"/>
                                <w:left w:val="none" w:sz="0" w:space="0" w:color="auto"/>
                                <w:bottom w:val="none" w:sz="0" w:space="0" w:color="auto"/>
                                <w:right w:val="none" w:sz="0" w:space="0" w:color="auto"/>
                              </w:divBdr>
                              <w:divsChild>
                                <w:div w:id="1781879754">
                                  <w:marLeft w:val="0"/>
                                  <w:marRight w:val="0"/>
                                  <w:marTop w:val="0"/>
                                  <w:marBottom w:val="0"/>
                                  <w:divBdr>
                                    <w:top w:val="none" w:sz="0" w:space="0" w:color="auto"/>
                                    <w:left w:val="none" w:sz="0" w:space="0" w:color="auto"/>
                                    <w:bottom w:val="none" w:sz="0" w:space="0" w:color="auto"/>
                                    <w:right w:val="none" w:sz="0" w:space="0" w:color="auto"/>
                                  </w:divBdr>
                                  <w:divsChild>
                                    <w:div w:id="2091390270">
                                      <w:marLeft w:val="0"/>
                                      <w:marRight w:val="0"/>
                                      <w:marTop w:val="0"/>
                                      <w:marBottom w:val="0"/>
                                      <w:divBdr>
                                        <w:top w:val="none" w:sz="0" w:space="0" w:color="auto"/>
                                        <w:left w:val="none" w:sz="0" w:space="0" w:color="auto"/>
                                        <w:bottom w:val="none" w:sz="0" w:space="0" w:color="auto"/>
                                        <w:right w:val="none" w:sz="0" w:space="0" w:color="auto"/>
                                      </w:divBdr>
                                      <w:divsChild>
                                        <w:div w:id="1685982609">
                                          <w:marLeft w:val="0"/>
                                          <w:marRight w:val="0"/>
                                          <w:marTop w:val="0"/>
                                          <w:marBottom w:val="0"/>
                                          <w:divBdr>
                                            <w:top w:val="none" w:sz="0" w:space="0" w:color="auto"/>
                                            <w:left w:val="none" w:sz="0" w:space="0" w:color="auto"/>
                                            <w:bottom w:val="none" w:sz="0" w:space="0" w:color="auto"/>
                                            <w:right w:val="none" w:sz="0" w:space="0" w:color="auto"/>
                                          </w:divBdr>
                                          <w:divsChild>
                                            <w:div w:id="139843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7799477">
          <w:marLeft w:val="0"/>
          <w:marRight w:val="0"/>
          <w:marTop w:val="0"/>
          <w:marBottom w:val="0"/>
          <w:divBdr>
            <w:top w:val="none" w:sz="0" w:space="0" w:color="auto"/>
            <w:left w:val="none" w:sz="0" w:space="0" w:color="auto"/>
            <w:bottom w:val="none" w:sz="0" w:space="0" w:color="auto"/>
            <w:right w:val="none" w:sz="0" w:space="0" w:color="auto"/>
          </w:divBdr>
          <w:divsChild>
            <w:div w:id="1422217325">
              <w:marLeft w:val="0"/>
              <w:marRight w:val="0"/>
              <w:marTop w:val="0"/>
              <w:marBottom w:val="0"/>
              <w:divBdr>
                <w:top w:val="none" w:sz="0" w:space="0" w:color="auto"/>
                <w:left w:val="none" w:sz="0" w:space="0" w:color="auto"/>
                <w:bottom w:val="none" w:sz="0" w:space="0" w:color="auto"/>
                <w:right w:val="none" w:sz="0" w:space="0" w:color="auto"/>
              </w:divBdr>
              <w:divsChild>
                <w:div w:id="1148132132">
                  <w:marLeft w:val="0"/>
                  <w:marRight w:val="0"/>
                  <w:marTop w:val="0"/>
                  <w:marBottom w:val="0"/>
                  <w:divBdr>
                    <w:top w:val="none" w:sz="0" w:space="0" w:color="auto"/>
                    <w:left w:val="none" w:sz="0" w:space="0" w:color="auto"/>
                    <w:bottom w:val="none" w:sz="0" w:space="0" w:color="auto"/>
                    <w:right w:val="none" w:sz="0" w:space="0" w:color="auto"/>
                  </w:divBdr>
                  <w:divsChild>
                    <w:div w:id="413479744">
                      <w:marLeft w:val="0"/>
                      <w:marRight w:val="0"/>
                      <w:marTop w:val="0"/>
                      <w:marBottom w:val="0"/>
                      <w:divBdr>
                        <w:top w:val="none" w:sz="0" w:space="0" w:color="auto"/>
                        <w:left w:val="none" w:sz="0" w:space="0" w:color="auto"/>
                        <w:bottom w:val="none" w:sz="0" w:space="0" w:color="auto"/>
                        <w:right w:val="none" w:sz="0" w:space="0" w:color="auto"/>
                      </w:divBdr>
                      <w:divsChild>
                        <w:div w:id="523522838">
                          <w:marLeft w:val="0"/>
                          <w:marRight w:val="0"/>
                          <w:marTop w:val="0"/>
                          <w:marBottom w:val="0"/>
                          <w:divBdr>
                            <w:top w:val="none" w:sz="0" w:space="0" w:color="auto"/>
                            <w:left w:val="none" w:sz="0" w:space="0" w:color="auto"/>
                            <w:bottom w:val="none" w:sz="0" w:space="0" w:color="auto"/>
                            <w:right w:val="none" w:sz="0" w:space="0" w:color="auto"/>
                          </w:divBdr>
                          <w:divsChild>
                            <w:div w:id="1433822966">
                              <w:marLeft w:val="0"/>
                              <w:marRight w:val="0"/>
                              <w:marTop w:val="0"/>
                              <w:marBottom w:val="0"/>
                              <w:divBdr>
                                <w:top w:val="none" w:sz="0" w:space="0" w:color="auto"/>
                                <w:left w:val="none" w:sz="0" w:space="0" w:color="auto"/>
                                <w:bottom w:val="none" w:sz="0" w:space="0" w:color="auto"/>
                                <w:right w:val="none" w:sz="0" w:space="0" w:color="auto"/>
                              </w:divBdr>
                              <w:divsChild>
                                <w:div w:id="443891715">
                                  <w:marLeft w:val="0"/>
                                  <w:marRight w:val="0"/>
                                  <w:marTop w:val="0"/>
                                  <w:marBottom w:val="0"/>
                                  <w:divBdr>
                                    <w:top w:val="none" w:sz="0" w:space="0" w:color="auto"/>
                                    <w:left w:val="none" w:sz="0" w:space="0" w:color="auto"/>
                                    <w:bottom w:val="none" w:sz="0" w:space="0" w:color="auto"/>
                                    <w:right w:val="none" w:sz="0" w:space="0" w:color="auto"/>
                                  </w:divBdr>
                                  <w:divsChild>
                                    <w:div w:id="16892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04000">
          <w:marLeft w:val="0"/>
          <w:marRight w:val="0"/>
          <w:marTop w:val="0"/>
          <w:marBottom w:val="0"/>
          <w:divBdr>
            <w:top w:val="none" w:sz="0" w:space="0" w:color="auto"/>
            <w:left w:val="none" w:sz="0" w:space="0" w:color="auto"/>
            <w:bottom w:val="none" w:sz="0" w:space="0" w:color="auto"/>
            <w:right w:val="none" w:sz="0" w:space="0" w:color="auto"/>
          </w:divBdr>
          <w:divsChild>
            <w:div w:id="449131447">
              <w:marLeft w:val="0"/>
              <w:marRight w:val="0"/>
              <w:marTop w:val="0"/>
              <w:marBottom w:val="0"/>
              <w:divBdr>
                <w:top w:val="none" w:sz="0" w:space="0" w:color="auto"/>
                <w:left w:val="none" w:sz="0" w:space="0" w:color="auto"/>
                <w:bottom w:val="none" w:sz="0" w:space="0" w:color="auto"/>
                <w:right w:val="none" w:sz="0" w:space="0" w:color="auto"/>
              </w:divBdr>
              <w:divsChild>
                <w:div w:id="655034779">
                  <w:marLeft w:val="0"/>
                  <w:marRight w:val="0"/>
                  <w:marTop w:val="0"/>
                  <w:marBottom w:val="0"/>
                  <w:divBdr>
                    <w:top w:val="none" w:sz="0" w:space="0" w:color="auto"/>
                    <w:left w:val="none" w:sz="0" w:space="0" w:color="auto"/>
                    <w:bottom w:val="none" w:sz="0" w:space="0" w:color="auto"/>
                    <w:right w:val="none" w:sz="0" w:space="0" w:color="auto"/>
                  </w:divBdr>
                  <w:divsChild>
                    <w:div w:id="1150825423">
                      <w:marLeft w:val="0"/>
                      <w:marRight w:val="0"/>
                      <w:marTop w:val="0"/>
                      <w:marBottom w:val="0"/>
                      <w:divBdr>
                        <w:top w:val="none" w:sz="0" w:space="0" w:color="auto"/>
                        <w:left w:val="none" w:sz="0" w:space="0" w:color="auto"/>
                        <w:bottom w:val="none" w:sz="0" w:space="0" w:color="auto"/>
                        <w:right w:val="none" w:sz="0" w:space="0" w:color="auto"/>
                      </w:divBdr>
                      <w:divsChild>
                        <w:div w:id="2141726461">
                          <w:marLeft w:val="0"/>
                          <w:marRight w:val="0"/>
                          <w:marTop w:val="0"/>
                          <w:marBottom w:val="0"/>
                          <w:divBdr>
                            <w:top w:val="none" w:sz="0" w:space="0" w:color="auto"/>
                            <w:left w:val="none" w:sz="0" w:space="0" w:color="auto"/>
                            <w:bottom w:val="none" w:sz="0" w:space="0" w:color="auto"/>
                            <w:right w:val="none" w:sz="0" w:space="0" w:color="auto"/>
                          </w:divBdr>
                          <w:divsChild>
                            <w:div w:id="1855149392">
                              <w:marLeft w:val="0"/>
                              <w:marRight w:val="0"/>
                              <w:marTop w:val="0"/>
                              <w:marBottom w:val="0"/>
                              <w:divBdr>
                                <w:top w:val="none" w:sz="0" w:space="0" w:color="auto"/>
                                <w:left w:val="none" w:sz="0" w:space="0" w:color="auto"/>
                                <w:bottom w:val="none" w:sz="0" w:space="0" w:color="auto"/>
                                <w:right w:val="none" w:sz="0" w:space="0" w:color="auto"/>
                              </w:divBdr>
                              <w:divsChild>
                                <w:div w:id="718822012">
                                  <w:marLeft w:val="0"/>
                                  <w:marRight w:val="0"/>
                                  <w:marTop w:val="0"/>
                                  <w:marBottom w:val="0"/>
                                  <w:divBdr>
                                    <w:top w:val="none" w:sz="0" w:space="0" w:color="auto"/>
                                    <w:left w:val="none" w:sz="0" w:space="0" w:color="auto"/>
                                    <w:bottom w:val="none" w:sz="0" w:space="0" w:color="auto"/>
                                    <w:right w:val="none" w:sz="0" w:space="0" w:color="auto"/>
                                  </w:divBdr>
                                  <w:divsChild>
                                    <w:div w:id="474179402">
                                      <w:marLeft w:val="0"/>
                                      <w:marRight w:val="0"/>
                                      <w:marTop w:val="0"/>
                                      <w:marBottom w:val="0"/>
                                      <w:divBdr>
                                        <w:top w:val="none" w:sz="0" w:space="0" w:color="auto"/>
                                        <w:left w:val="none" w:sz="0" w:space="0" w:color="auto"/>
                                        <w:bottom w:val="none" w:sz="0" w:space="0" w:color="auto"/>
                                        <w:right w:val="none" w:sz="0" w:space="0" w:color="auto"/>
                                      </w:divBdr>
                                      <w:divsChild>
                                        <w:div w:id="603151254">
                                          <w:marLeft w:val="0"/>
                                          <w:marRight w:val="0"/>
                                          <w:marTop w:val="0"/>
                                          <w:marBottom w:val="0"/>
                                          <w:divBdr>
                                            <w:top w:val="none" w:sz="0" w:space="0" w:color="auto"/>
                                            <w:left w:val="none" w:sz="0" w:space="0" w:color="auto"/>
                                            <w:bottom w:val="none" w:sz="0" w:space="0" w:color="auto"/>
                                            <w:right w:val="none" w:sz="0" w:space="0" w:color="auto"/>
                                          </w:divBdr>
                                          <w:divsChild>
                                            <w:div w:id="91373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3520367">
          <w:marLeft w:val="0"/>
          <w:marRight w:val="0"/>
          <w:marTop w:val="0"/>
          <w:marBottom w:val="0"/>
          <w:divBdr>
            <w:top w:val="none" w:sz="0" w:space="0" w:color="auto"/>
            <w:left w:val="none" w:sz="0" w:space="0" w:color="auto"/>
            <w:bottom w:val="none" w:sz="0" w:space="0" w:color="auto"/>
            <w:right w:val="none" w:sz="0" w:space="0" w:color="auto"/>
          </w:divBdr>
          <w:divsChild>
            <w:div w:id="1684016641">
              <w:marLeft w:val="0"/>
              <w:marRight w:val="0"/>
              <w:marTop w:val="0"/>
              <w:marBottom w:val="0"/>
              <w:divBdr>
                <w:top w:val="none" w:sz="0" w:space="0" w:color="auto"/>
                <w:left w:val="none" w:sz="0" w:space="0" w:color="auto"/>
                <w:bottom w:val="none" w:sz="0" w:space="0" w:color="auto"/>
                <w:right w:val="none" w:sz="0" w:space="0" w:color="auto"/>
              </w:divBdr>
              <w:divsChild>
                <w:div w:id="2008165482">
                  <w:marLeft w:val="0"/>
                  <w:marRight w:val="0"/>
                  <w:marTop w:val="0"/>
                  <w:marBottom w:val="0"/>
                  <w:divBdr>
                    <w:top w:val="none" w:sz="0" w:space="0" w:color="auto"/>
                    <w:left w:val="none" w:sz="0" w:space="0" w:color="auto"/>
                    <w:bottom w:val="none" w:sz="0" w:space="0" w:color="auto"/>
                    <w:right w:val="none" w:sz="0" w:space="0" w:color="auto"/>
                  </w:divBdr>
                  <w:divsChild>
                    <w:div w:id="327442752">
                      <w:marLeft w:val="0"/>
                      <w:marRight w:val="0"/>
                      <w:marTop w:val="0"/>
                      <w:marBottom w:val="0"/>
                      <w:divBdr>
                        <w:top w:val="none" w:sz="0" w:space="0" w:color="auto"/>
                        <w:left w:val="none" w:sz="0" w:space="0" w:color="auto"/>
                        <w:bottom w:val="none" w:sz="0" w:space="0" w:color="auto"/>
                        <w:right w:val="none" w:sz="0" w:space="0" w:color="auto"/>
                      </w:divBdr>
                      <w:divsChild>
                        <w:div w:id="1524897604">
                          <w:marLeft w:val="0"/>
                          <w:marRight w:val="0"/>
                          <w:marTop w:val="0"/>
                          <w:marBottom w:val="0"/>
                          <w:divBdr>
                            <w:top w:val="none" w:sz="0" w:space="0" w:color="auto"/>
                            <w:left w:val="none" w:sz="0" w:space="0" w:color="auto"/>
                            <w:bottom w:val="none" w:sz="0" w:space="0" w:color="auto"/>
                            <w:right w:val="none" w:sz="0" w:space="0" w:color="auto"/>
                          </w:divBdr>
                          <w:divsChild>
                            <w:div w:id="2107800030">
                              <w:marLeft w:val="0"/>
                              <w:marRight w:val="0"/>
                              <w:marTop w:val="0"/>
                              <w:marBottom w:val="0"/>
                              <w:divBdr>
                                <w:top w:val="none" w:sz="0" w:space="0" w:color="auto"/>
                                <w:left w:val="none" w:sz="0" w:space="0" w:color="auto"/>
                                <w:bottom w:val="none" w:sz="0" w:space="0" w:color="auto"/>
                                <w:right w:val="none" w:sz="0" w:space="0" w:color="auto"/>
                              </w:divBdr>
                              <w:divsChild>
                                <w:div w:id="1515342856">
                                  <w:marLeft w:val="0"/>
                                  <w:marRight w:val="0"/>
                                  <w:marTop w:val="0"/>
                                  <w:marBottom w:val="0"/>
                                  <w:divBdr>
                                    <w:top w:val="none" w:sz="0" w:space="0" w:color="auto"/>
                                    <w:left w:val="none" w:sz="0" w:space="0" w:color="auto"/>
                                    <w:bottom w:val="none" w:sz="0" w:space="0" w:color="auto"/>
                                    <w:right w:val="none" w:sz="0" w:space="0" w:color="auto"/>
                                  </w:divBdr>
                                  <w:divsChild>
                                    <w:div w:id="171090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891814">
      <w:bodyDiv w:val="1"/>
      <w:marLeft w:val="0"/>
      <w:marRight w:val="0"/>
      <w:marTop w:val="0"/>
      <w:marBottom w:val="0"/>
      <w:divBdr>
        <w:top w:val="none" w:sz="0" w:space="0" w:color="auto"/>
        <w:left w:val="none" w:sz="0" w:space="0" w:color="auto"/>
        <w:bottom w:val="none" w:sz="0" w:space="0" w:color="auto"/>
        <w:right w:val="none" w:sz="0" w:space="0" w:color="auto"/>
      </w:divBdr>
    </w:div>
    <w:div w:id="1624454987">
      <w:bodyDiv w:val="1"/>
      <w:marLeft w:val="0"/>
      <w:marRight w:val="0"/>
      <w:marTop w:val="0"/>
      <w:marBottom w:val="0"/>
      <w:divBdr>
        <w:top w:val="none" w:sz="0" w:space="0" w:color="auto"/>
        <w:left w:val="none" w:sz="0" w:space="0" w:color="auto"/>
        <w:bottom w:val="none" w:sz="0" w:space="0" w:color="auto"/>
        <w:right w:val="none" w:sz="0" w:space="0" w:color="auto"/>
      </w:divBdr>
    </w:div>
    <w:div w:id="1648702325">
      <w:bodyDiv w:val="1"/>
      <w:marLeft w:val="0"/>
      <w:marRight w:val="0"/>
      <w:marTop w:val="0"/>
      <w:marBottom w:val="0"/>
      <w:divBdr>
        <w:top w:val="none" w:sz="0" w:space="0" w:color="auto"/>
        <w:left w:val="none" w:sz="0" w:space="0" w:color="auto"/>
        <w:bottom w:val="none" w:sz="0" w:space="0" w:color="auto"/>
        <w:right w:val="none" w:sz="0" w:space="0" w:color="auto"/>
      </w:divBdr>
    </w:div>
    <w:div w:id="1659916479">
      <w:bodyDiv w:val="1"/>
      <w:marLeft w:val="0"/>
      <w:marRight w:val="0"/>
      <w:marTop w:val="0"/>
      <w:marBottom w:val="0"/>
      <w:divBdr>
        <w:top w:val="none" w:sz="0" w:space="0" w:color="auto"/>
        <w:left w:val="none" w:sz="0" w:space="0" w:color="auto"/>
        <w:bottom w:val="none" w:sz="0" w:space="0" w:color="auto"/>
        <w:right w:val="none" w:sz="0" w:space="0" w:color="auto"/>
      </w:divBdr>
      <w:divsChild>
        <w:div w:id="987632843">
          <w:marLeft w:val="0"/>
          <w:marRight w:val="0"/>
          <w:marTop w:val="0"/>
          <w:marBottom w:val="0"/>
          <w:divBdr>
            <w:top w:val="none" w:sz="0" w:space="0" w:color="auto"/>
            <w:left w:val="none" w:sz="0" w:space="0" w:color="auto"/>
            <w:bottom w:val="none" w:sz="0" w:space="0" w:color="auto"/>
            <w:right w:val="none" w:sz="0" w:space="0" w:color="auto"/>
          </w:divBdr>
          <w:divsChild>
            <w:div w:id="929972697">
              <w:marLeft w:val="0"/>
              <w:marRight w:val="0"/>
              <w:marTop w:val="0"/>
              <w:marBottom w:val="0"/>
              <w:divBdr>
                <w:top w:val="none" w:sz="0" w:space="0" w:color="auto"/>
                <w:left w:val="none" w:sz="0" w:space="0" w:color="auto"/>
                <w:bottom w:val="none" w:sz="0" w:space="0" w:color="auto"/>
                <w:right w:val="none" w:sz="0" w:space="0" w:color="auto"/>
              </w:divBdr>
              <w:divsChild>
                <w:div w:id="1171993061">
                  <w:marLeft w:val="0"/>
                  <w:marRight w:val="0"/>
                  <w:marTop w:val="0"/>
                  <w:marBottom w:val="0"/>
                  <w:divBdr>
                    <w:top w:val="none" w:sz="0" w:space="0" w:color="auto"/>
                    <w:left w:val="none" w:sz="0" w:space="0" w:color="auto"/>
                    <w:bottom w:val="none" w:sz="0" w:space="0" w:color="auto"/>
                    <w:right w:val="none" w:sz="0" w:space="0" w:color="auto"/>
                  </w:divBdr>
                  <w:divsChild>
                    <w:div w:id="259023125">
                      <w:marLeft w:val="0"/>
                      <w:marRight w:val="0"/>
                      <w:marTop w:val="0"/>
                      <w:marBottom w:val="0"/>
                      <w:divBdr>
                        <w:top w:val="none" w:sz="0" w:space="0" w:color="auto"/>
                        <w:left w:val="none" w:sz="0" w:space="0" w:color="auto"/>
                        <w:bottom w:val="none" w:sz="0" w:space="0" w:color="auto"/>
                        <w:right w:val="none" w:sz="0" w:space="0" w:color="auto"/>
                      </w:divBdr>
                    </w:div>
                    <w:div w:id="29275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227423">
          <w:marLeft w:val="0"/>
          <w:marRight w:val="0"/>
          <w:marTop w:val="0"/>
          <w:marBottom w:val="0"/>
          <w:divBdr>
            <w:top w:val="none" w:sz="0" w:space="0" w:color="auto"/>
            <w:left w:val="none" w:sz="0" w:space="0" w:color="auto"/>
            <w:bottom w:val="none" w:sz="0" w:space="0" w:color="auto"/>
            <w:right w:val="none" w:sz="0" w:space="0" w:color="auto"/>
          </w:divBdr>
          <w:divsChild>
            <w:div w:id="1749108346">
              <w:marLeft w:val="0"/>
              <w:marRight w:val="0"/>
              <w:marTop w:val="0"/>
              <w:marBottom w:val="0"/>
              <w:divBdr>
                <w:top w:val="none" w:sz="0" w:space="0" w:color="auto"/>
                <w:left w:val="none" w:sz="0" w:space="0" w:color="auto"/>
                <w:bottom w:val="none" w:sz="0" w:space="0" w:color="auto"/>
                <w:right w:val="none" w:sz="0" w:space="0" w:color="auto"/>
              </w:divBdr>
              <w:divsChild>
                <w:div w:id="1975480063">
                  <w:marLeft w:val="0"/>
                  <w:marRight w:val="0"/>
                  <w:marTop w:val="0"/>
                  <w:marBottom w:val="0"/>
                  <w:divBdr>
                    <w:top w:val="none" w:sz="0" w:space="0" w:color="auto"/>
                    <w:left w:val="none" w:sz="0" w:space="0" w:color="auto"/>
                    <w:bottom w:val="none" w:sz="0" w:space="0" w:color="auto"/>
                    <w:right w:val="none" w:sz="0" w:space="0" w:color="auto"/>
                  </w:divBdr>
                  <w:divsChild>
                    <w:div w:id="232592584">
                      <w:marLeft w:val="0"/>
                      <w:marRight w:val="0"/>
                      <w:marTop w:val="0"/>
                      <w:marBottom w:val="0"/>
                      <w:divBdr>
                        <w:top w:val="none" w:sz="0" w:space="0" w:color="auto"/>
                        <w:left w:val="none" w:sz="0" w:space="0" w:color="auto"/>
                        <w:bottom w:val="none" w:sz="0" w:space="0" w:color="auto"/>
                        <w:right w:val="none" w:sz="0" w:space="0" w:color="auto"/>
                      </w:divBdr>
                    </w:div>
                    <w:div w:id="11426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712054">
      <w:bodyDiv w:val="1"/>
      <w:marLeft w:val="0"/>
      <w:marRight w:val="0"/>
      <w:marTop w:val="0"/>
      <w:marBottom w:val="0"/>
      <w:divBdr>
        <w:top w:val="none" w:sz="0" w:space="0" w:color="auto"/>
        <w:left w:val="none" w:sz="0" w:space="0" w:color="auto"/>
        <w:bottom w:val="none" w:sz="0" w:space="0" w:color="auto"/>
        <w:right w:val="none" w:sz="0" w:space="0" w:color="auto"/>
      </w:divBdr>
      <w:divsChild>
        <w:div w:id="1797527873">
          <w:marLeft w:val="0"/>
          <w:marRight w:val="0"/>
          <w:marTop w:val="0"/>
          <w:marBottom w:val="0"/>
          <w:divBdr>
            <w:top w:val="none" w:sz="0" w:space="0" w:color="auto"/>
            <w:left w:val="none" w:sz="0" w:space="0" w:color="auto"/>
            <w:bottom w:val="none" w:sz="0" w:space="0" w:color="auto"/>
            <w:right w:val="none" w:sz="0" w:space="0" w:color="auto"/>
          </w:divBdr>
          <w:divsChild>
            <w:div w:id="1097628940">
              <w:marLeft w:val="0"/>
              <w:marRight w:val="0"/>
              <w:marTop w:val="0"/>
              <w:marBottom w:val="0"/>
              <w:divBdr>
                <w:top w:val="none" w:sz="0" w:space="0" w:color="auto"/>
                <w:left w:val="none" w:sz="0" w:space="0" w:color="auto"/>
                <w:bottom w:val="none" w:sz="0" w:space="0" w:color="auto"/>
                <w:right w:val="none" w:sz="0" w:space="0" w:color="auto"/>
              </w:divBdr>
              <w:divsChild>
                <w:div w:id="1847013287">
                  <w:marLeft w:val="0"/>
                  <w:marRight w:val="0"/>
                  <w:marTop w:val="0"/>
                  <w:marBottom w:val="0"/>
                  <w:divBdr>
                    <w:top w:val="none" w:sz="0" w:space="0" w:color="auto"/>
                    <w:left w:val="none" w:sz="0" w:space="0" w:color="auto"/>
                    <w:bottom w:val="none" w:sz="0" w:space="0" w:color="auto"/>
                    <w:right w:val="none" w:sz="0" w:space="0" w:color="auto"/>
                  </w:divBdr>
                  <w:divsChild>
                    <w:div w:id="853499810">
                      <w:marLeft w:val="0"/>
                      <w:marRight w:val="0"/>
                      <w:marTop w:val="0"/>
                      <w:marBottom w:val="0"/>
                      <w:divBdr>
                        <w:top w:val="none" w:sz="0" w:space="0" w:color="auto"/>
                        <w:left w:val="none" w:sz="0" w:space="0" w:color="auto"/>
                        <w:bottom w:val="none" w:sz="0" w:space="0" w:color="auto"/>
                        <w:right w:val="none" w:sz="0" w:space="0" w:color="auto"/>
                      </w:divBdr>
                      <w:divsChild>
                        <w:div w:id="451284347">
                          <w:marLeft w:val="0"/>
                          <w:marRight w:val="0"/>
                          <w:marTop w:val="0"/>
                          <w:marBottom w:val="0"/>
                          <w:divBdr>
                            <w:top w:val="none" w:sz="0" w:space="0" w:color="auto"/>
                            <w:left w:val="none" w:sz="0" w:space="0" w:color="auto"/>
                            <w:bottom w:val="none" w:sz="0" w:space="0" w:color="auto"/>
                            <w:right w:val="none" w:sz="0" w:space="0" w:color="auto"/>
                          </w:divBdr>
                          <w:divsChild>
                            <w:div w:id="333994731">
                              <w:marLeft w:val="0"/>
                              <w:marRight w:val="0"/>
                              <w:marTop w:val="0"/>
                              <w:marBottom w:val="0"/>
                              <w:divBdr>
                                <w:top w:val="none" w:sz="0" w:space="0" w:color="auto"/>
                                <w:left w:val="none" w:sz="0" w:space="0" w:color="auto"/>
                                <w:bottom w:val="none" w:sz="0" w:space="0" w:color="auto"/>
                                <w:right w:val="none" w:sz="0" w:space="0" w:color="auto"/>
                              </w:divBdr>
                              <w:divsChild>
                                <w:div w:id="924143942">
                                  <w:marLeft w:val="0"/>
                                  <w:marRight w:val="0"/>
                                  <w:marTop w:val="0"/>
                                  <w:marBottom w:val="0"/>
                                  <w:divBdr>
                                    <w:top w:val="none" w:sz="0" w:space="0" w:color="auto"/>
                                    <w:left w:val="none" w:sz="0" w:space="0" w:color="auto"/>
                                    <w:bottom w:val="none" w:sz="0" w:space="0" w:color="auto"/>
                                    <w:right w:val="none" w:sz="0" w:space="0" w:color="auto"/>
                                  </w:divBdr>
                                  <w:divsChild>
                                    <w:div w:id="184681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5495715">
      <w:bodyDiv w:val="1"/>
      <w:marLeft w:val="0"/>
      <w:marRight w:val="0"/>
      <w:marTop w:val="0"/>
      <w:marBottom w:val="0"/>
      <w:divBdr>
        <w:top w:val="none" w:sz="0" w:space="0" w:color="auto"/>
        <w:left w:val="none" w:sz="0" w:space="0" w:color="auto"/>
        <w:bottom w:val="none" w:sz="0" w:space="0" w:color="auto"/>
        <w:right w:val="none" w:sz="0" w:space="0" w:color="auto"/>
      </w:divBdr>
    </w:div>
    <w:div w:id="1698701605">
      <w:bodyDiv w:val="1"/>
      <w:marLeft w:val="0"/>
      <w:marRight w:val="0"/>
      <w:marTop w:val="0"/>
      <w:marBottom w:val="0"/>
      <w:divBdr>
        <w:top w:val="none" w:sz="0" w:space="0" w:color="auto"/>
        <w:left w:val="none" w:sz="0" w:space="0" w:color="auto"/>
        <w:bottom w:val="none" w:sz="0" w:space="0" w:color="auto"/>
        <w:right w:val="none" w:sz="0" w:space="0" w:color="auto"/>
      </w:divBdr>
    </w:div>
    <w:div w:id="1704666795">
      <w:bodyDiv w:val="1"/>
      <w:marLeft w:val="0"/>
      <w:marRight w:val="0"/>
      <w:marTop w:val="0"/>
      <w:marBottom w:val="0"/>
      <w:divBdr>
        <w:top w:val="none" w:sz="0" w:space="0" w:color="auto"/>
        <w:left w:val="none" w:sz="0" w:space="0" w:color="auto"/>
        <w:bottom w:val="none" w:sz="0" w:space="0" w:color="auto"/>
        <w:right w:val="none" w:sz="0" w:space="0" w:color="auto"/>
      </w:divBdr>
    </w:div>
    <w:div w:id="1715739844">
      <w:bodyDiv w:val="1"/>
      <w:marLeft w:val="0"/>
      <w:marRight w:val="0"/>
      <w:marTop w:val="0"/>
      <w:marBottom w:val="0"/>
      <w:divBdr>
        <w:top w:val="none" w:sz="0" w:space="0" w:color="auto"/>
        <w:left w:val="none" w:sz="0" w:space="0" w:color="auto"/>
        <w:bottom w:val="none" w:sz="0" w:space="0" w:color="auto"/>
        <w:right w:val="none" w:sz="0" w:space="0" w:color="auto"/>
      </w:divBdr>
      <w:divsChild>
        <w:div w:id="663165313">
          <w:marLeft w:val="0"/>
          <w:marRight w:val="0"/>
          <w:marTop w:val="0"/>
          <w:marBottom w:val="0"/>
          <w:divBdr>
            <w:top w:val="none" w:sz="0" w:space="0" w:color="auto"/>
            <w:left w:val="none" w:sz="0" w:space="0" w:color="auto"/>
            <w:bottom w:val="none" w:sz="0" w:space="0" w:color="auto"/>
            <w:right w:val="none" w:sz="0" w:space="0" w:color="auto"/>
          </w:divBdr>
          <w:divsChild>
            <w:div w:id="980228906">
              <w:marLeft w:val="0"/>
              <w:marRight w:val="0"/>
              <w:marTop w:val="0"/>
              <w:marBottom w:val="0"/>
              <w:divBdr>
                <w:top w:val="none" w:sz="0" w:space="0" w:color="auto"/>
                <w:left w:val="none" w:sz="0" w:space="0" w:color="auto"/>
                <w:bottom w:val="none" w:sz="0" w:space="0" w:color="auto"/>
                <w:right w:val="none" w:sz="0" w:space="0" w:color="auto"/>
              </w:divBdr>
              <w:divsChild>
                <w:div w:id="807824343">
                  <w:marLeft w:val="0"/>
                  <w:marRight w:val="0"/>
                  <w:marTop w:val="0"/>
                  <w:marBottom w:val="0"/>
                  <w:divBdr>
                    <w:top w:val="none" w:sz="0" w:space="0" w:color="auto"/>
                    <w:left w:val="none" w:sz="0" w:space="0" w:color="auto"/>
                    <w:bottom w:val="none" w:sz="0" w:space="0" w:color="auto"/>
                    <w:right w:val="none" w:sz="0" w:space="0" w:color="auto"/>
                  </w:divBdr>
                  <w:divsChild>
                    <w:div w:id="98107757">
                      <w:marLeft w:val="0"/>
                      <w:marRight w:val="0"/>
                      <w:marTop w:val="0"/>
                      <w:marBottom w:val="0"/>
                      <w:divBdr>
                        <w:top w:val="none" w:sz="0" w:space="0" w:color="auto"/>
                        <w:left w:val="none" w:sz="0" w:space="0" w:color="auto"/>
                        <w:bottom w:val="none" w:sz="0" w:space="0" w:color="auto"/>
                        <w:right w:val="none" w:sz="0" w:space="0" w:color="auto"/>
                      </w:divBdr>
                      <w:divsChild>
                        <w:div w:id="2117945292">
                          <w:marLeft w:val="0"/>
                          <w:marRight w:val="0"/>
                          <w:marTop w:val="0"/>
                          <w:marBottom w:val="0"/>
                          <w:divBdr>
                            <w:top w:val="none" w:sz="0" w:space="0" w:color="auto"/>
                            <w:left w:val="none" w:sz="0" w:space="0" w:color="auto"/>
                            <w:bottom w:val="none" w:sz="0" w:space="0" w:color="auto"/>
                            <w:right w:val="none" w:sz="0" w:space="0" w:color="auto"/>
                          </w:divBdr>
                          <w:divsChild>
                            <w:div w:id="1764690084">
                              <w:marLeft w:val="0"/>
                              <w:marRight w:val="0"/>
                              <w:marTop w:val="0"/>
                              <w:marBottom w:val="0"/>
                              <w:divBdr>
                                <w:top w:val="none" w:sz="0" w:space="0" w:color="auto"/>
                                <w:left w:val="none" w:sz="0" w:space="0" w:color="auto"/>
                                <w:bottom w:val="none" w:sz="0" w:space="0" w:color="auto"/>
                                <w:right w:val="none" w:sz="0" w:space="0" w:color="auto"/>
                              </w:divBdr>
                              <w:divsChild>
                                <w:div w:id="1518425737">
                                  <w:marLeft w:val="0"/>
                                  <w:marRight w:val="0"/>
                                  <w:marTop w:val="0"/>
                                  <w:marBottom w:val="0"/>
                                  <w:divBdr>
                                    <w:top w:val="none" w:sz="0" w:space="0" w:color="auto"/>
                                    <w:left w:val="none" w:sz="0" w:space="0" w:color="auto"/>
                                    <w:bottom w:val="none" w:sz="0" w:space="0" w:color="auto"/>
                                    <w:right w:val="none" w:sz="0" w:space="0" w:color="auto"/>
                                  </w:divBdr>
                                  <w:divsChild>
                                    <w:div w:id="363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392703">
      <w:bodyDiv w:val="1"/>
      <w:marLeft w:val="0"/>
      <w:marRight w:val="0"/>
      <w:marTop w:val="0"/>
      <w:marBottom w:val="0"/>
      <w:divBdr>
        <w:top w:val="none" w:sz="0" w:space="0" w:color="auto"/>
        <w:left w:val="none" w:sz="0" w:space="0" w:color="auto"/>
        <w:bottom w:val="none" w:sz="0" w:space="0" w:color="auto"/>
        <w:right w:val="none" w:sz="0" w:space="0" w:color="auto"/>
      </w:divBdr>
      <w:divsChild>
        <w:div w:id="908148223">
          <w:marLeft w:val="0"/>
          <w:marRight w:val="0"/>
          <w:marTop w:val="0"/>
          <w:marBottom w:val="0"/>
          <w:divBdr>
            <w:top w:val="none" w:sz="0" w:space="0" w:color="auto"/>
            <w:left w:val="none" w:sz="0" w:space="0" w:color="auto"/>
            <w:bottom w:val="none" w:sz="0" w:space="0" w:color="auto"/>
            <w:right w:val="none" w:sz="0" w:space="0" w:color="auto"/>
          </w:divBdr>
          <w:divsChild>
            <w:div w:id="1282222021">
              <w:marLeft w:val="0"/>
              <w:marRight w:val="0"/>
              <w:marTop w:val="0"/>
              <w:marBottom w:val="0"/>
              <w:divBdr>
                <w:top w:val="none" w:sz="0" w:space="0" w:color="auto"/>
                <w:left w:val="none" w:sz="0" w:space="0" w:color="auto"/>
                <w:bottom w:val="none" w:sz="0" w:space="0" w:color="auto"/>
                <w:right w:val="none" w:sz="0" w:space="0" w:color="auto"/>
              </w:divBdr>
              <w:divsChild>
                <w:div w:id="851996305">
                  <w:marLeft w:val="0"/>
                  <w:marRight w:val="0"/>
                  <w:marTop w:val="0"/>
                  <w:marBottom w:val="0"/>
                  <w:divBdr>
                    <w:top w:val="none" w:sz="0" w:space="0" w:color="auto"/>
                    <w:left w:val="none" w:sz="0" w:space="0" w:color="auto"/>
                    <w:bottom w:val="none" w:sz="0" w:space="0" w:color="auto"/>
                    <w:right w:val="none" w:sz="0" w:space="0" w:color="auto"/>
                  </w:divBdr>
                  <w:divsChild>
                    <w:div w:id="413086788">
                      <w:marLeft w:val="0"/>
                      <w:marRight w:val="0"/>
                      <w:marTop w:val="0"/>
                      <w:marBottom w:val="0"/>
                      <w:divBdr>
                        <w:top w:val="none" w:sz="0" w:space="0" w:color="auto"/>
                        <w:left w:val="none" w:sz="0" w:space="0" w:color="auto"/>
                        <w:bottom w:val="none" w:sz="0" w:space="0" w:color="auto"/>
                        <w:right w:val="none" w:sz="0" w:space="0" w:color="auto"/>
                      </w:divBdr>
                      <w:divsChild>
                        <w:div w:id="1990551353">
                          <w:marLeft w:val="0"/>
                          <w:marRight w:val="0"/>
                          <w:marTop w:val="0"/>
                          <w:marBottom w:val="0"/>
                          <w:divBdr>
                            <w:top w:val="none" w:sz="0" w:space="0" w:color="auto"/>
                            <w:left w:val="none" w:sz="0" w:space="0" w:color="auto"/>
                            <w:bottom w:val="none" w:sz="0" w:space="0" w:color="auto"/>
                            <w:right w:val="none" w:sz="0" w:space="0" w:color="auto"/>
                          </w:divBdr>
                          <w:divsChild>
                            <w:div w:id="354501480">
                              <w:marLeft w:val="0"/>
                              <w:marRight w:val="0"/>
                              <w:marTop w:val="0"/>
                              <w:marBottom w:val="0"/>
                              <w:divBdr>
                                <w:top w:val="none" w:sz="0" w:space="0" w:color="auto"/>
                                <w:left w:val="none" w:sz="0" w:space="0" w:color="auto"/>
                                <w:bottom w:val="none" w:sz="0" w:space="0" w:color="auto"/>
                                <w:right w:val="none" w:sz="0" w:space="0" w:color="auto"/>
                              </w:divBdr>
                              <w:divsChild>
                                <w:div w:id="421724484">
                                  <w:marLeft w:val="0"/>
                                  <w:marRight w:val="0"/>
                                  <w:marTop w:val="0"/>
                                  <w:marBottom w:val="0"/>
                                  <w:divBdr>
                                    <w:top w:val="none" w:sz="0" w:space="0" w:color="auto"/>
                                    <w:left w:val="none" w:sz="0" w:space="0" w:color="auto"/>
                                    <w:bottom w:val="none" w:sz="0" w:space="0" w:color="auto"/>
                                    <w:right w:val="none" w:sz="0" w:space="0" w:color="auto"/>
                                  </w:divBdr>
                                  <w:divsChild>
                                    <w:div w:id="156140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2450839">
      <w:bodyDiv w:val="1"/>
      <w:marLeft w:val="0"/>
      <w:marRight w:val="0"/>
      <w:marTop w:val="0"/>
      <w:marBottom w:val="0"/>
      <w:divBdr>
        <w:top w:val="none" w:sz="0" w:space="0" w:color="auto"/>
        <w:left w:val="none" w:sz="0" w:space="0" w:color="auto"/>
        <w:bottom w:val="none" w:sz="0" w:space="0" w:color="auto"/>
        <w:right w:val="none" w:sz="0" w:space="0" w:color="auto"/>
      </w:divBdr>
      <w:divsChild>
        <w:div w:id="440757963">
          <w:marLeft w:val="0"/>
          <w:marRight w:val="0"/>
          <w:marTop w:val="0"/>
          <w:marBottom w:val="0"/>
          <w:divBdr>
            <w:top w:val="none" w:sz="0" w:space="0" w:color="auto"/>
            <w:left w:val="none" w:sz="0" w:space="0" w:color="auto"/>
            <w:bottom w:val="none" w:sz="0" w:space="0" w:color="auto"/>
            <w:right w:val="none" w:sz="0" w:space="0" w:color="auto"/>
          </w:divBdr>
          <w:divsChild>
            <w:div w:id="1965496185">
              <w:marLeft w:val="0"/>
              <w:marRight w:val="0"/>
              <w:marTop w:val="0"/>
              <w:marBottom w:val="0"/>
              <w:divBdr>
                <w:top w:val="none" w:sz="0" w:space="0" w:color="auto"/>
                <w:left w:val="none" w:sz="0" w:space="0" w:color="auto"/>
                <w:bottom w:val="none" w:sz="0" w:space="0" w:color="auto"/>
                <w:right w:val="none" w:sz="0" w:space="0" w:color="auto"/>
              </w:divBdr>
              <w:divsChild>
                <w:div w:id="51856528">
                  <w:marLeft w:val="0"/>
                  <w:marRight w:val="0"/>
                  <w:marTop w:val="0"/>
                  <w:marBottom w:val="0"/>
                  <w:divBdr>
                    <w:top w:val="none" w:sz="0" w:space="0" w:color="auto"/>
                    <w:left w:val="none" w:sz="0" w:space="0" w:color="auto"/>
                    <w:bottom w:val="none" w:sz="0" w:space="0" w:color="auto"/>
                    <w:right w:val="none" w:sz="0" w:space="0" w:color="auto"/>
                  </w:divBdr>
                  <w:divsChild>
                    <w:div w:id="1352411129">
                      <w:marLeft w:val="0"/>
                      <w:marRight w:val="0"/>
                      <w:marTop w:val="0"/>
                      <w:marBottom w:val="0"/>
                      <w:divBdr>
                        <w:top w:val="none" w:sz="0" w:space="0" w:color="auto"/>
                        <w:left w:val="none" w:sz="0" w:space="0" w:color="auto"/>
                        <w:bottom w:val="none" w:sz="0" w:space="0" w:color="auto"/>
                        <w:right w:val="none" w:sz="0" w:space="0" w:color="auto"/>
                      </w:divBdr>
                      <w:divsChild>
                        <w:div w:id="429467096">
                          <w:marLeft w:val="0"/>
                          <w:marRight w:val="0"/>
                          <w:marTop w:val="0"/>
                          <w:marBottom w:val="0"/>
                          <w:divBdr>
                            <w:top w:val="none" w:sz="0" w:space="0" w:color="auto"/>
                            <w:left w:val="none" w:sz="0" w:space="0" w:color="auto"/>
                            <w:bottom w:val="none" w:sz="0" w:space="0" w:color="auto"/>
                            <w:right w:val="none" w:sz="0" w:space="0" w:color="auto"/>
                          </w:divBdr>
                          <w:divsChild>
                            <w:div w:id="37121422">
                              <w:marLeft w:val="0"/>
                              <w:marRight w:val="0"/>
                              <w:marTop w:val="0"/>
                              <w:marBottom w:val="0"/>
                              <w:divBdr>
                                <w:top w:val="none" w:sz="0" w:space="0" w:color="auto"/>
                                <w:left w:val="none" w:sz="0" w:space="0" w:color="auto"/>
                                <w:bottom w:val="none" w:sz="0" w:space="0" w:color="auto"/>
                                <w:right w:val="none" w:sz="0" w:space="0" w:color="auto"/>
                              </w:divBdr>
                              <w:divsChild>
                                <w:div w:id="173612084">
                                  <w:marLeft w:val="0"/>
                                  <w:marRight w:val="0"/>
                                  <w:marTop w:val="0"/>
                                  <w:marBottom w:val="0"/>
                                  <w:divBdr>
                                    <w:top w:val="none" w:sz="0" w:space="0" w:color="auto"/>
                                    <w:left w:val="none" w:sz="0" w:space="0" w:color="auto"/>
                                    <w:bottom w:val="none" w:sz="0" w:space="0" w:color="auto"/>
                                    <w:right w:val="none" w:sz="0" w:space="0" w:color="auto"/>
                                  </w:divBdr>
                                  <w:divsChild>
                                    <w:div w:id="1244684513">
                                      <w:marLeft w:val="0"/>
                                      <w:marRight w:val="0"/>
                                      <w:marTop w:val="0"/>
                                      <w:marBottom w:val="0"/>
                                      <w:divBdr>
                                        <w:top w:val="none" w:sz="0" w:space="0" w:color="auto"/>
                                        <w:left w:val="none" w:sz="0" w:space="0" w:color="auto"/>
                                        <w:bottom w:val="none" w:sz="0" w:space="0" w:color="auto"/>
                                        <w:right w:val="none" w:sz="0" w:space="0" w:color="auto"/>
                                      </w:divBdr>
                                    </w:div>
                                    <w:div w:id="1757555031">
                                      <w:marLeft w:val="0"/>
                                      <w:marRight w:val="0"/>
                                      <w:marTop w:val="0"/>
                                      <w:marBottom w:val="0"/>
                                      <w:divBdr>
                                        <w:top w:val="none" w:sz="0" w:space="0" w:color="auto"/>
                                        <w:left w:val="none" w:sz="0" w:space="0" w:color="auto"/>
                                        <w:bottom w:val="none" w:sz="0" w:space="0" w:color="auto"/>
                                        <w:right w:val="none" w:sz="0" w:space="0" w:color="auto"/>
                                      </w:divBdr>
                                      <w:divsChild>
                                        <w:div w:id="77144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012339">
          <w:marLeft w:val="0"/>
          <w:marRight w:val="0"/>
          <w:marTop w:val="0"/>
          <w:marBottom w:val="0"/>
          <w:divBdr>
            <w:top w:val="none" w:sz="0" w:space="0" w:color="auto"/>
            <w:left w:val="none" w:sz="0" w:space="0" w:color="auto"/>
            <w:bottom w:val="none" w:sz="0" w:space="0" w:color="auto"/>
            <w:right w:val="none" w:sz="0" w:space="0" w:color="auto"/>
          </w:divBdr>
        </w:div>
      </w:divsChild>
    </w:div>
    <w:div w:id="1885949608">
      <w:bodyDiv w:val="1"/>
      <w:marLeft w:val="0"/>
      <w:marRight w:val="0"/>
      <w:marTop w:val="0"/>
      <w:marBottom w:val="0"/>
      <w:divBdr>
        <w:top w:val="none" w:sz="0" w:space="0" w:color="auto"/>
        <w:left w:val="none" w:sz="0" w:space="0" w:color="auto"/>
        <w:bottom w:val="none" w:sz="0" w:space="0" w:color="auto"/>
        <w:right w:val="none" w:sz="0" w:space="0" w:color="auto"/>
      </w:divBdr>
    </w:div>
    <w:div w:id="1892765470">
      <w:bodyDiv w:val="1"/>
      <w:marLeft w:val="0"/>
      <w:marRight w:val="0"/>
      <w:marTop w:val="0"/>
      <w:marBottom w:val="0"/>
      <w:divBdr>
        <w:top w:val="none" w:sz="0" w:space="0" w:color="auto"/>
        <w:left w:val="none" w:sz="0" w:space="0" w:color="auto"/>
        <w:bottom w:val="none" w:sz="0" w:space="0" w:color="auto"/>
        <w:right w:val="none" w:sz="0" w:space="0" w:color="auto"/>
      </w:divBdr>
    </w:div>
    <w:div w:id="1894386717">
      <w:bodyDiv w:val="1"/>
      <w:marLeft w:val="0"/>
      <w:marRight w:val="0"/>
      <w:marTop w:val="0"/>
      <w:marBottom w:val="0"/>
      <w:divBdr>
        <w:top w:val="none" w:sz="0" w:space="0" w:color="auto"/>
        <w:left w:val="none" w:sz="0" w:space="0" w:color="auto"/>
        <w:bottom w:val="none" w:sz="0" w:space="0" w:color="auto"/>
        <w:right w:val="none" w:sz="0" w:space="0" w:color="auto"/>
      </w:divBdr>
      <w:divsChild>
        <w:div w:id="13463925">
          <w:marLeft w:val="0"/>
          <w:marRight w:val="0"/>
          <w:marTop w:val="0"/>
          <w:marBottom w:val="0"/>
          <w:divBdr>
            <w:top w:val="none" w:sz="0" w:space="0" w:color="auto"/>
            <w:left w:val="none" w:sz="0" w:space="0" w:color="auto"/>
            <w:bottom w:val="none" w:sz="0" w:space="0" w:color="auto"/>
            <w:right w:val="none" w:sz="0" w:space="0" w:color="auto"/>
          </w:divBdr>
          <w:divsChild>
            <w:div w:id="1143935044">
              <w:marLeft w:val="0"/>
              <w:marRight w:val="0"/>
              <w:marTop w:val="0"/>
              <w:marBottom w:val="0"/>
              <w:divBdr>
                <w:top w:val="none" w:sz="0" w:space="0" w:color="auto"/>
                <w:left w:val="none" w:sz="0" w:space="0" w:color="auto"/>
                <w:bottom w:val="none" w:sz="0" w:space="0" w:color="auto"/>
                <w:right w:val="none" w:sz="0" w:space="0" w:color="auto"/>
              </w:divBdr>
              <w:divsChild>
                <w:div w:id="529688855">
                  <w:marLeft w:val="0"/>
                  <w:marRight w:val="0"/>
                  <w:marTop w:val="0"/>
                  <w:marBottom w:val="0"/>
                  <w:divBdr>
                    <w:top w:val="none" w:sz="0" w:space="0" w:color="auto"/>
                    <w:left w:val="none" w:sz="0" w:space="0" w:color="auto"/>
                    <w:bottom w:val="none" w:sz="0" w:space="0" w:color="auto"/>
                    <w:right w:val="none" w:sz="0" w:space="0" w:color="auto"/>
                  </w:divBdr>
                  <w:divsChild>
                    <w:div w:id="2001500343">
                      <w:marLeft w:val="0"/>
                      <w:marRight w:val="0"/>
                      <w:marTop w:val="0"/>
                      <w:marBottom w:val="0"/>
                      <w:divBdr>
                        <w:top w:val="none" w:sz="0" w:space="0" w:color="auto"/>
                        <w:left w:val="none" w:sz="0" w:space="0" w:color="auto"/>
                        <w:bottom w:val="none" w:sz="0" w:space="0" w:color="auto"/>
                        <w:right w:val="none" w:sz="0" w:space="0" w:color="auto"/>
                      </w:divBdr>
                      <w:divsChild>
                        <w:div w:id="196040553">
                          <w:marLeft w:val="0"/>
                          <w:marRight w:val="0"/>
                          <w:marTop w:val="0"/>
                          <w:marBottom w:val="0"/>
                          <w:divBdr>
                            <w:top w:val="none" w:sz="0" w:space="0" w:color="auto"/>
                            <w:left w:val="none" w:sz="0" w:space="0" w:color="auto"/>
                            <w:bottom w:val="none" w:sz="0" w:space="0" w:color="auto"/>
                            <w:right w:val="none" w:sz="0" w:space="0" w:color="auto"/>
                          </w:divBdr>
                          <w:divsChild>
                            <w:div w:id="1425765144">
                              <w:marLeft w:val="0"/>
                              <w:marRight w:val="0"/>
                              <w:marTop w:val="0"/>
                              <w:marBottom w:val="0"/>
                              <w:divBdr>
                                <w:top w:val="none" w:sz="0" w:space="0" w:color="auto"/>
                                <w:left w:val="none" w:sz="0" w:space="0" w:color="auto"/>
                                <w:bottom w:val="none" w:sz="0" w:space="0" w:color="auto"/>
                                <w:right w:val="none" w:sz="0" w:space="0" w:color="auto"/>
                              </w:divBdr>
                              <w:divsChild>
                                <w:div w:id="2037341553">
                                  <w:marLeft w:val="0"/>
                                  <w:marRight w:val="0"/>
                                  <w:marTop w:val="0"/>
                                  <w:marBottom w:val="0"/>
                                  <w:divBdr>
                                    <w:top w:val="none" w:sz="0" w:space="0" w:color="auto"/>
                                    <w:left w:val="none" w:sz="0" w:space="0" w:color="auto"/>
                                    <w:bottom w:val="none" w:sz="0" w:space="0" w:color="auto"/>
                                    <w:right w:val="none" w:sz="0" w:space="0" w:color="auto"/>
                                  </w:divBdr>
                                  <w:divsChild>
                                    <w:div w:id="132831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1969457">
          <w:marLeft w:val="0"/>
          <w:marRight w:val="0"/>
          <w:marTop w:val="0"/>
          <w:marBottom w:val="0"/>
          <w:divBdr>
            <w:top w:val="none" w:sz="0" w:space="0" w:color="auto"/>
            <w:left w:val="none" w:sz="0" w:space="0" w:color="auto"/>
            <w:bottom w:val="none" w:sz="0" w:space="0" w:color="auto"/>
            <w:right w:val="none" w:sz="0" w:space="0" w:color="auto"/>
          </w:divBdr>
        </w:div>
        <w:div w:id="1749307277">
          <w:marLeft w:val="0"/>
          <w:marRight w:val="0"/>
          <w:marTop w:val="0"/>
          <w:marBottom w:val="0"/>
          <w:divBdr>
            <w:top w:val="none" w:sz="0" w:space="0" w:color="auto"/>
            <w:left w:val="none" w:sz="0" w:space="0" w:color="auto"/>
            <w:bottom w:val="none" w:sz="0" w:space="0" w:color="auto"/>
            <w:right w:val="none" w:sz="0" w:space="0" w:color="auto"/>
          </w:divBdr>
        </w:div>
      </w:divsChild>
    </w:div>
    <w:div w:id="1909463814">
      <w:bodyDiv w:val="1"/>
      <w:marLeft w:val="0"/>
      <w:marRight w:val="0"/>
      <w:marTop w:val="0"/>
      <w:marBottom w:val="0"/>
      <w:divBdr>
        <w:top w:val="none" w:sz="0" w:space="0" w:color="auto"/>
        <w:left w:val="none" w:sz="0" w:space="0" w:color="auto"/>
        <w:bottom w:val="none" w:sz="0" w:space="0" w:color="auto"/>
        <w:right w:val="none" w:sz="0" w:space="0" w:color="auto"/>
      </w:divBdr>
    </w:div>
    <w:div w:id="1941060191">
      <w:bodyDiv w:val="1"/>
      <w:marLeft w:val="0"/>
      <w:marRight w:val="0"/>
      <w:marTop w:val="0"/>
      <w:marBottom w:val="0"/>
      <w:divBdr>
        <w:top w:val="none" w:sz="0" w:space="0" w:color="auto"/>
        <w:left w:val="none" w:sz="0" w:space="0" w:color="auto"/>
        <w:bottom w:val="none" w:sz="0" w:space="0" w:color="auto"/>
        <w:right w:val="none" w:sz="0" w:space="0" w:color="auto"/>
      </w:divBdr>
    </w:div>
    <w:div w:id="1987931848">
      <w:bodyDiv w:val="1"/>
      <w:marLeft w:val="0"/>
      <w:marRight w:val="0"/>
      <w:marTop w:val="0"/>
      <w:marBottom w:val="0"/>
      <w:divBdr>
        <w:top w:val="none" w:sz="0" w:space="0" w:color="auto"/>
        <w:left w:val="none" w:sz="0" w:space="0" w:color="auto"/>
        <w:bottom w:val="none" w:sz="0" w:space="0" w:color="auto"/>
        <w:right w:val="none" w:sz="0" w:space="0" w:color="auto"/>
      </w:divBdr>
      <w:divsChild>
        <w:div w:id="633560611">
          <w:marLeft w:val="0"/>
          <w:marRight w:val="0"/>
          <w:marTop w:val="0"/>
          <w:marBottom w:val="0"/>
          <w:divBdr>
            <w:top w:val="none" w:sz="0" w:space="0" w:color="auto"/>
            <w:left w:val="none" w:sz="0" w:space="0" w:color="auto"/>
            <w:bottom w:val="none" w:sz="0" w:space="0" w:color="auto"/>
            <w:right w:val="none" w:sz="0" w:space="0" w:color="auto"/>
          </w:divBdr>
          <w:divsChild>
            <w:div w:id="1805417758">
              <w:marLeft w:val="0"/>
              <w:marRight w:val="0"/>
              <w:marTop w:val="0"/>
              <w:marBottom w:val="0"/>
              <w:divBdr>
                <w:top w:val="none" w:sz="0" w:space="0" w:color="auto"/>
                <w:left w:val="none" w:sz="0" w:space="0" w:color="auto"/>
                <w:bottom w:val="none" w:sz="0" w:space="0" w:color="auto"/>
                <w:right w:val="none" w:sz="0" w:space="0" w:color="auto"/>
              </w:divBdr>
              <w:divsChild>
                <w:div w:id="515771823">
                  <w:marLeft w:val="0"/>
                  <w:marRight w:val="0"/>
                  <w:marTop w:val="0"/>
                  <w:marBottom w:val="0"/>
                  <w:divBdr>
                    <w:top w:val="none" w:sz="0" w:space="0" w:color="auto"/>
                    <w:left w:val="none" w:sz="0" w:space="0" w:color="auto"/>
                    <w:bottom w:val="none" w:sz="0" w:space="0" w:color="auto"/>
                    <w:right w:val="none" w:sz="0" w:space="0" w:color="auto"/>
                  </w:divBdr>
                  <w:divsChild>
                    <w:div w:id="48185836">
                      <w:marLeft w:val="0"/>
                      <w:marRight w:val="0"/>
                      <w:marTop w:val="0"/>
                      <w:marBottom w:val="0"/>
                      <w:divBdr>
                        <w:top w:val="none" w:sz="0" w:space="0" w:color="auto"/>
                        <w:left w:val="none" w:sz="0" w:space="0" w:color="auto"/>
                        <w:bottom w:val="none" w:sz="0" w:space="0" w:color="auto"/>
                        <w:right w:val="none" w:sz="0" w:space="0" w:color="auto"/>
                      </w:divBdr>
                      <w:divsChild>
                        <w:div w:id="96755552">
                          <w:marLeft w:val="0"/>
                          <w:marRight w:val="0"/>
                          <w:marTop w:val="0"/>
                          <w:marBottom w:val="0"/>
                          <w:divBdr>
                            <w:top w:val="none" w:sz="0" w:space="0" w:color="auto"/>
                            <w:left w:val="none" w:sz="0" w:space="0" w:color="auto"/>
                            <w:bottom w:val="none" w:sz="0" w:space="0" w:color="auto"/>
                            <w:right w:val="none" w:sz="0" w:space="0" w:color="auto"/>
                          </w:divBdr>
                          <w:divsChild>
                            <w:div w:id="25646813">
                              <w:marLeft w:val="0"/>
                              <w:marRight w:val="0"/>
                              <w:marTop w:val="0"/>
                              <w:marBottom w:val="0"/>
                              <w:divBdr>
                                <w:top w:val="none" w:sz="0" w:space="0" w:color="auto"/>
                                <w:left w:val="none" w:sz="0" w:space="0" w:color="auto"/>
                                <w:bottom w:val="none" w:sz="0" w:space="0" w:color="auto"/>
                                <w:right w:val="none" w:sz="0" w:space="0" w:color="auto"/>
                              </w:divBdr>
                              <w:divsChild>
                                <w:div w:id="2127918642">
                                  <w:marLeft w:val="0"/>
                                  <w:marRight w:val="0"/>
                                  <w:marTop w:val="0"/>
                                  <w:marBottom w:val="0"/>
                                  <w:divBdr>
                                    <w:top w:val="none" w:sz="0" w:space="0" w:color="auto"/>
                                    <w:left w:val="none" w:sz="0" w:space="0" w:color="auto"/>
                                    <w:bottom w:val="none" w:sz="0" w:space="0" w:color="auto"/>
                                    <w:right w:val="none" w:sz="0" w:space="0" w:color="auto"/>
                                  </w:divBdr>
                                  <w:divsChild>
                                    <w:div w:id="155407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677468">
          <w:marLeft w:val="0"/>
          <w:marRight w:val="0"/>
          <w:marTop w:val="0"/>
          <w:marBottom w:val="0"/>
          <w:divBdr>
            <w:top w:val="none" w:sz="0" w:space="0" w:color="auto"/>
            <w:left w:val="none" w:sz="0" w:space="0" w:color="auto"/>
            <w:bottom w:val="none" w:sz="0" w:space="0" w:color="auto"/>
            <w:right w:val="none" w:sz="0" w:space="0" w:color="auto"/>
          </w:divBdr>
        </w:div>
        <w:div w:id="2067990975">
          <w:marLeft w:val="0"/>
          <w:marRight w:val="0"/>
          <w:marTop w:val="0"/>
          <w:marBottom w:val="0"/>
          <w:divBdr>
            <w:top w:val="none" w:sz="0" w:space="0" w:color="auto"/>
            <w:left w:val="none" w:sz="0" w:space="0" w:color="auto"/>
            <w:bottom w:val="none" w:sz="0" w:space="0" w:color="auto"/>
            <w:right w:val="none" w:sz="0" w:space="0" w:color="auto"/>
          </w:divBdr>
        </w:div>
      </w:divsChild>
    </w:div>
    <w:div w:id="1988508570">
      <w:bodyDiv w:val="1"/>
      <w:marLeft w:val="0"/>
      <w:marRight w:val="0"/>
      <w:marTop w:val="0"/>
      <w:marBottom w:val="0"/>
      <w:divBdr>
        <w:top w:val="none" w:sz="0" w:space="0" w:color="auto"/>
        <w:left w:val="none" w:sz="0" w:space="0" w:color="auto"/>
        <w:bottom w:val="none" w:sz="0" w:space="0" w:color="auto"/>
        <w:right w:val="none" w:sz="0" w:space="0" w:color="auto"/>
      </w:divBdr>
    </w:div>
    <w:div w:id="2008903413">
      <w:bodyDiv w:val="1"/>
      <w:marLeft w:val="0"/>
      <w:marRight w:val="0"/>
      <w:marTop w:val="0"/>
      <w:marBottom w:val="0"/>
      <w:divBdr>
        <w:top w:val="none" w:sz="0" w:space="0" w:color="auto"/>
        <w:left w:val="none" w:sz="0" w:space="0" w:color="auto"/>
        <w:bottom w:val="none" w:sz="0" w:space="0" w:color="auto"/>
        <w:right w:val="none" w:sz="0" w:space="0" w:color="auto"/>
      </w:divBdr>
    </w:div>
    <w:div w:id="2043050856">
      <w:bodyDiv w:val="1"/>
      <w:marLeft w:val="0"/>
      <w:marRight w:val="0"/>
      <w:marTop w:val="0"/>
      <w:marBottom w:val="0"/>
      <w:divBdr>
        <w:top w:val="none" w:sz="0" w:space="0" w:color="auto"/>
        <w:left w:val="none" w:sz="0" w:space="0" w:color="auto"/>
        <w:bottom w:val="none" w:sz="0" w:space="0" w:color="auto"/>
        <w:right w:val="none" w:sz="0" w:space="0" w:color="auto"/>
      </w:divBdr>
      <w:divsChild>
        <w:div w:id="798108174">
          <w:marLeft w:val="0"/>
          <w:marRight w:val="0"/>
          <w:marTop w:val="0"/>
          <w:marBottom w:val="0"/>
          <w:divBdr>
            <w:top w:val="none" w:sz="0" w:space="0" w:color="auto"/>
            <w:left w:val="none" w:sz="0" w:space="0" w:color="auto"/>
            <w:bottom w:val="none" w:sz="0" w:space="0" w:color="auto"/>
            <w:right w:val="none" w:sz="0" w:space="0" w:color="auto"/>
          </w:divBdr>
        </w:div>
      </w:divsChild>
    </w:div>
    <w:div w:id="2055811927">
      <w:bodyDiv w:val="1"/>
      <w:marLeft w:val="0"/>
      <w:marRight w:val="0"/>
      <w:marTop w:val="0"/>
      <w:marBottom w:val="0"/>
      <w:divBdr>
        <w:top w:val="none" w:sz="0" w:space="0" w:color="auto"/>
        <w:left w:val="none" w:sz="0" w:space="0" w:color="auto"/>
        <w:bottom w:val="none" w:sz="0" w:space="0" w:color="auto"/>
        <w:right w:val="none" w:sz="0" w:space="0" w:color="auto"/>
      </w:divBdr>
      <w:divsChild>
        <w:div w:id="1849372418">
          <w:marLeft w:val="0"/>
          <w:marRight w:val="0"/>
          <w:marTop w:val="0"/>
          <w:marBottom w:val="0"/>
          <w:divBdr>
            <w:top w:val="none" w:sz="0" w:space="0" w:color="auto"/>
            <w:left w:val="none" w:sz="0" w:space="0" w:color="auto"/>
            <w:bottom w:val="none" w:sz="0" w:space="0" w:color="auto"/>
            <w:right w:val="none" w:sz="0" w:space="0" w:color="auto"/>
          </w:divBdr>
          <w:divsChild>
            <w:div w:id="425420053">
              <w:marLeft w:val="0"/>
              <w:marRight w:val="0"/>
              <w:marTop w:val="0"/>
              <w:marBottom w:val="0"/>
              <w:divBdr>
                <w:top w:val="none" w:sz="0" w:space="0" w:color="auto"/>
                <w:left w:val="none" w:sz="0" w:space="0" w:color="auto"/>
                <w:bottom w:val="none" w:sz="0" w:space="0" w:color="auto"/>
                <w:right w:val="none" w:sz="0" w:space="0" w:color="auto"/>
              </w:divBdr>
              <w:divsChild>
                <w:div w:id="1640112651">
                  <w:marLeft w:val="0"/>
                  <w:marRight w:val="0"/>
                  <w:marTop w:val="0"/>
                  <w:marBottom w:val="0"/>
                  <w:divBdr>
                    <w:top w:val="none" w:sz="0" w:space="0" w:color="auto"/>
                    <w:left w:val="none" w:sz="0" w:space="0" w:color="auto"/>
                    <w:bottom w:val="none" w:sz="0" w:space="0" w:color="auto"/>
                    <w:right w:val="none" w:sz="0" w:space="0" w:color="auto"/>
                  </w:divBdr>
                  <w:divsChild>
                    <w:div w:id="961153572">
                      <w:marLeft w:val="0"/>
                      <w:marRight w:val="0"/>
                      <w:marTop w:val="0"/>
                      <w:marBottom w:val="0"/>
                      <w:divBdr>
                        <w:top w:val="none" w:sz="0" w:space="0" w:color="auto"/>
                        <w:left w:val="none" w:sz="0" w:space="0" w:color="auto"/>
                        <w:bottom w:val="none" w:sz="0" w:space="0" w:color="auto"/>
                        <w:right w:val="none" w:sz="0" w:space="0" w:color="auto"/>
                      </w:divBdr>
                    </w:div>
                    <w:div w:id="56329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332862">
      <w:bodyDiv w:val="1"/>
      <w:marLeft w:val="0"/>
      <w:marRight w:val="0"/>
      <w:marTop w:val="0"/>
      <w:marBottom w:val="0"/>
      <w:divBdr>
        <w:top w:val="none" w:sz="0" w:space="0" w:color="auto"/>
        <w:left w:val="none" w:sz="0" w:space="0" w:color="auto"/>
        <w:bottom w:val="none" w:sz="0" w:space="0" w:color="auto"/>
        <w:right w:val="none" w:sz="0" w:space="0" w:color="auto"/>
      </w:divBdr>
    </w:div>
    <w:div w:id="2101174870">
      <w:bodyDiv w:val="1"/>
      <w:marLeft w:val="0"/>
      <w:marRight w:val="0"/>
      <w:marTop w:val="0"/>
      <w:marBottom w:val="0"/>
      <w:divBdr>
        <w:top w:val="none" w:sz="0" w:space="0" w:color="auto"/>
        <w:left w:val="none" w:sz="0" w:space="0" w:color="auto"/>
        <w:bottom w:val="none" w:sz="0" w:space="0" w:color="auto"/>
        <w:right w:val="none" w:sz="0" w:space="0" w:color="auto"/>
      </w:divBdr>
    </w:div>
    <w:div w:id="2144080885">
      <w:bodyDiv w:val="1"/>
      <w:marLeft w:val="0"/>
      <w:marRight w:val="0"/>
      <w:marTop w:val="0"/>
      <w:marBottom w:val="0"/>
      <w:divBdr>
        <w:top w:val="none" w:sz="0" w:space="0" w:color="auto"/>
        <w:left w:val="none" w:sz="0" w:space="0" w:color="auto"/>
        <w:bottom w:val="none" w:sz="0" w:space="0" w:color="auto"/>
        <w:right w:val="none" w:sz="0" w:space="0" w:color="auto"/>
      </w:divBdr>
    </w:div>
    <w:div w:id="214584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35</Pages>
  <Words>7528</Words>
  <Characters>42913</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2025-12-21T19:09:00Z</dcterms:created>
  <dcterms:modified xsi:type="dcterms:W3CDTF">2025-12-21T19:09:00Z</dcterms:modified>
</cp:coreProperties>
</file>