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45AB" w:rsidRDefault="009945AB" w:rsidP="009945AB">
      <w:pPr>
        <w:jc w:val="center"/>
        <w:rPr>
          <w:rFonts w:asciiTheme="majorBidi" w:hAnsiTheme="majorBidi" w:cstheme="majorBidi"/>
          <w:b/>
          <w:bCs/>
          <w:color w:val="000000" w:themeColor="text1"/>
          <w:sz w:val="24"/>
          <w:szCs w:val="24"/>
        </w:rPr>
      </w:pPr>
    </w:p>
    <w:p w:rsidR="009945AB" w:rsidRDefault="009945AB" w:rsidP="009945AB">
      <w:pPr>
        <w:jc w:val="center"/>
        <w:rPr>
          <w:rFonts w:asciiTheme="majorBidi" w:hAnsiTheme="majorBidi" w:cstheme="majorBidi"/>
          <w:b/>
          <w:bCs/>
          <w:color w:val="000000" w:themeColor="text1"/>
          <w:sz w:val="24"/>
          <w:szCs w:val="24"/>
        </w:rPr>
      </w:pPr>
    </w:p>
    <w:p w:rsidR="009945AB" w:rsidRPr="00350C93" w:rsidRDefault="009945AB" w:rsidP="009945AB">
      <w:pPr>
        <w:jc w:val="center"/>
        <w:rPr>
          <w:rFonts w:asciiTheme="majorBidi" w:hAnsiTheme="majorBidi" w:cstheme="majorBidi"/>
          <w:b/>
          <w:bCs/>
          <w:color w:val="000000" w:themeColor="text1"/>
          <w:sz w:val="56"/>
          <w:szCs w:val="56"/>
        </w:rPr>
      </w:pPr>
    </w:p>
    <w:p w:rsidR="009945AB" w:rsidRPr="00350C93" w:rsidRDefault="009945AB" w:rsidP="009945AB">
      <w:pPr>
        <w:jc w:val="center"/>
        <w:rPr>
          <w:rFonts w:asciiTheme="majorBidi" w:hAnsiTheme="majorBidi" w:cstheme="majorBidi"/>
          <w:b/>
          <w:bCs/>
          <w:color w:val="000000" w:themeColor="text1"/>
          <w:sz w:val="56"/>
          <w:szCs w:val="56"/>
        </w:rPr>
      </w:pPr>
      <w:proofErr w:type="gramStart"/>
      <w:r w:rsidRPr="00350C93">
        <w:rPr>
          <w:rFonts w:asciiTheme="majorBidi" w:hAnsiTheme="majorBidi" w:cstheme="majorBidi"/>
          <w:b/>
          <w:bCs/>
          <w:color w:val="000000" w:themeColor="text1"/>
          <w:sz w:val="56"/>
          <w:szCs w:val="56"/>
        </w:rPr>
        <w:t>Name :</w:t>
      </w:r>
      <w:proofErr w:type="gramEnd"/>
      <w:r w:rsidRPr="00350C93">
        <w:rPr>
          <w:rFonts w:asciiTheme="majorBidi" w:hAnsiTheme="majorBidi" w:cstheme="majorBidi"/>
          <w:b/>
          <w:bCs/>
          <w:color w:val="000000" w:themeColor="text1"/>
          <w:sz w:val="56"/>
          <w:szCs w:val="56"/>
        </w:rPr>
        <w:t xml:space="preserve"> Ion Lucian </w:t>
      </w:r>
      <w:proofErr w:type="spellStart"/>
      <w:r w:rsidRPr="00350C93">
        <w:rPr>
          <w:rFonts w:asciiTheme="majorBidi" w:hAnsiTheme="majorBidi" w:cstheme="majorBidi"/>
          <w:b/>
          <w:bCs/>
          <w:color w:val="000000" w:themeColor="text1"/>
          <w:sz w:val="56"/>
          <w:szCs w:val="56"/>
        </w:rPr>
        <w:t>Grigore</w:t>
      </w:r>
      <w:proofErr w:type="spellEnd"/>
      <w:r w:rsidRPr="00350C93">
        <w:rPr>
          <w:rFonts w:asciiTheme="majorBidi" w:hAnsiTheme="majorBidi" w:cstheme="majorBidi"/>
          <w:b/>
          <w:bCs/>
          <w:color w:val="000000" w:themeColor="text1"/>
          <w:sz w:val="56"/>
          <w:szCs w:val="56"/>
        </w:rPr>
        <w:t xml:space="preserve"> </w:t>
      </w:r>
      <w:proofErr w:type="spellStart"/>
      <w:r w:rsidRPr="00350C93">
        <w:rPr>
          <w:rFonts w:asciiTheme="majorBidi" w:hAnsiTheme="majorBidi" w:cstheme="majorBidi"/>
          <w:b/>
          <w:bCs/>
          <w:color w:val="000000" w:themeColor="text1"/>
          <w:sz w:val="56"/>
          <w:szCs w:val="56"/>
        </w:rPr>
        <w:t>Maracine</w:t>
      </w:r>
      <w:proofErr w:type="spellEnd"/>
    </w:p>
    <w:p w:rsidR="009945AB" w:rsidRPr="00350C93" w:rsidRDefault="009945AB" w:rsidP="009945AB">
      <w:pPr>
        <w:jc w:val="center"/>
        <w:rPr>
          <w:rFonts w:asciiTheme="majorBidi" w:hAnsiTheme="majorBidi" w:cstheme="majorBidi"/>
          <w:b/>
          <w:bCs/>
          <w:color w:val="000000" w:themeColor="text1"/>
          <w:sz w:val="56"/>
          <w:szCs w:val="56"/>
        </w:rPr>
      </w:pPr>
      <w:r w:rsidRPr="00350C93">
        <w:rPr>
          <w:rFonts w:asciiTheme="majorBidi" w:hAnsiTheme="majorBidi" w:cstheme="majorBidi"/>
          <w:b/>
          <w:bCs/>
          <w:color w:val="000000" w:themeColor="text1"/>
          <w:sz w:val="56"/>
          <w:szCs w:val="56"/>
        </w:rPr>
        <w:t>Student ID number: 2131338</w:t>
      </w:r>
    </w:p>
    <w:p w:rsidR="009945AB" w:rsidRPr="00350C93" w:rsidRDefault="009945AB" w:rsidP="006F75DE">
      <w:pPr>
        <w:jc w:val="center"/>
        <w:rPr>
          <w:rFonts w:ascii="Times New Roman" w:hAnsi="Times New Roman" w:cs="Times New Roman"/>
          <w:b/>
          <w:bCs/>
          <w:color w:val="000000" w:themeColor="text1"/>
          <w:sz w:val="56"/>
          <w:szCs w:val="56"/>
        </w:rPr>
      </w:pPr>
      <w:proofErr w:type="gramStart"/>
      <w:r w:rsidRPr="00350C93">
        <w:rPr>
          <w:rFonts w:ascii="Times New Roman" w:hAnsi="Times New Roman" w:cs="Times New Roman"/>
          <w:b/>
          <w:bCs/>
          <w:color w:val="000000" w:themeColor="text1"/>
          <w:sz w:val="56"/>
          <w:szCs w:val="56"/>
        </w:rPr>
        <w:t>Module</w:t>
      </w:r>
      <w:r w:rsidR="006F75DE" w:rsidRPr="00350C93">
        <w:rPr>
          <w:rFonts w:ascii="Times New Roman" w:hAnsi="Times New Roman" w:cs="Times New Roman"/>
          <w:b/>
          <w:bCs/>
          <w:color w:val="000000" w:themeColor="text1"/>
          <w:sz w:val="56"/>
          <w:szCs w:val="56"/>
        </w:rPr>
        <w:t xml:space="preserve"> </w:t>
      </w:r>
      <w:r w:rsidRPr="00350C93">
        <w:rPr>
          <w:rFonts w:ascii="Times New Roman" w:hAnsi="Times New Roman" w:cs="Times New Roman"/>
          <w:b/>
          <w:bCs/>
          <w:color w:val="000000" w:themeColor="text1"/>
          <w:sz w:val="56"/>
          <w:szCs w:val="56"/>
        </w:rPr>
        <w:t>:</w:t>
      </w:r>
      <w:proofErr w:type="gramEnd"/>
      <w:r w:rsidRPr="00350C93">
        <w:rPr>
          <w:rFonts w:ascii="Times New Roman" w:hAnsi="Times New Roman" w:cs="Times New Roman"/>
          <w:b/>
          <w:bCs/>
          <w:color w:val="000000" w:themeColor="text1"/>
          <w:sz w:val="56"/>
          <w:szCs w:val="56"/>
        </w:rPr>
        <w:t xml:space="preserve"> BMIH5005</w:t>
      </w:r>
    </w:p>
    <w:p w:rsidR="009945AB" w:rsidRPr="00350C93" w:rsidRDefault="009945AB" w:rsidP="009945AB">
      <w:pPr>
        <w:jc w:val="center"/>
        <w:rPr>
          <w:rFonts w:asciiTheme="majorBidi" w:hAnsiTheme="majorBidi" w:cstheme="majorBidi"/>
          <w:b/>
          <w:bCs/>
          <w:color w:val="000000" w:themeColor="text1"/>
          <w:sz w:val="56"/>
          <w:szCs w:val="56"/>
        </w:rPr>
      </w:pPr>
      <w:r w:rsidRPr="00350C93">
        <w:rPr>
          <w:rFonts w:asciiTheme="majorBidi" w:hAnsiTheme="majorBidi" w:cstheme="majorBidi"/>
          <w:b/>
          <w:bCs/>
          <w:color w:val="000000" w:themeColor="text1"/>
          <w:sz w:val="56"/>
          <w:szCs w:val="56"/>
        </w:rPr>
        <w:t>Lecturer’s Names: Helen Evans</w:t>
      </w:r>
    </w:p>
    <w:p w:rsidR="00C541AA" w:rsidRDefault="00C541AA" w:rsidP="00C541AA">
      <w:pPr>
        <w:rPr>
          <w:rFonts w:asciiTheme="majorBidi" w:hAnsiTheme="majorBidi" w:cstheme="majorBidi"/>
          <w:b/>
          <w:bCs/>
          <w:color w:val="000000" w:themeColor="text1"/>
          <w:sz w:val="24"/>
          <w:szCs w:val="24"/>
        </w:rPr>
      </w:pPr>
    </w:p>
    <w:p w:rsidR="009945AB" w:rsidRDefault="009945AB" w:rsidP="00C541AA">
      <w:pPr>
        <w:rPr>
          <w:rFonts w:asciiTheme="majorBidi" w:hAnsiTheme="majorBidi" w:cstheme="majorBidi"/>
          <w:b/>
          <w:bCs/>
          <w:color w:val="000000" w:themeColor="text1"/>
          <w:sz w:val="24"/>
          <w:szCs w:val="24"/>
        </w:rPr>
      </w:pPr>
    </w:p>
    <w:p w:rsidR="009945AB" w:rsidRDefault="009945AB" w:rsidP="00C541AA"/>
    <w:p w:rsidR="009945AB" w:rsidRDefault="009945AB" w:rsidP="009945AB">
      <w:pPr>
        <w:pStyle w:val="Heading2"/>
        <w:rPr>
          <w:rFonts w:ascii="Times New Roman" w:eastAsiaTheme="minorHAnsi" w:hAnsi="Times New Roman" w:cs="Times New Roman"/>
          <w:bCs w:val="0"/>
          <w:color w:val="auto"/>
          <w:sz w:val="40"/>
          <w:szCs w:val="40"/>
        </w:rPr>
      </w:pPr>
    </w:p>
    <w:p w:rsidR="00473822" w:rsidRDefault="00473822" w:rsidP="00473822"/>
    <w:p w:rsidR="00473822" w:rsidRDefault="00473822" w:rsidP="00473822"/>
    <w:p w:rsidR="00473822" w:rsidRPr="00473822" w:rsidRDefault="00473822" w:rsidP="00473822"/>
    <w:p w:rsidR="009945AB" w:rsidRDefault="009945AB" w:rsidP="009945AB">
      <w:pPr>
        <w:pStyle w:val="Heading2"/>
      </w:pPr>
    </w:p>
    <w:p w:rsidR="009945AB" w:rsidRDefault="009945AB" w:rsidP="009945AB">
      <w:pPr>
        <w:pStyle w:val="Heading2"/>
      </w:pPr>
    </w:p>
    <w:p w:rsidR="009945AB" w:rsidRDefault="009945AB" w:rsidP="009945AB">
      <w:pPr>
        <w:pStyle w:val="Heading2"/>
      </w:pPr>
    </w:p>
    <w:p w:rsidR="009945AB" w:rsidRDefault="009945AB" w:rsidP="009945AB">
      <w:pPr>
        <w:pStyle w:val="Heading2"/>
      </w:pPr>
    </w:p>
    <w:p w:rsidR="009945AB" w:rsidRDefault="009945AB" w:rsidP="009945AB"/>
    <w:p w:rsidR="009945AB" w:rsidRDefault="009945AB" w:rsidP="009945AB"/>
    <w:p w:rsidR="009945AB" w:rsidRDefault="009945AB" w:rsidP="009945AB"/>
    <w:p w:rsidR="009945AB" w:rsidRPr="009945AB" w:rsidRDefault="009945AB" w:rsidP="009945AB">
      <w:pPr>
        <w:pStyle w:val="Heading2"/>
        <w:rPr>
          <w:rFonts w:ascii="Arial" w:hAnsi="Arial" w:cs="Arial"/>
          <w:sz w:val="24"/>
          <w:szCs w:val="24"/>
        </w:rPr>
      </w:pPr>
      <w:r w:rsidRPr="003F540C">
        <w:rPr>
          <w:color w:val="000000" w:themeColor="text1"/>
        </w:rPr>
        <w:lastRenderedPageBreak/>
        <w:t>How to Retain and Engage employees throughout the employee lifecycle</w:t>
      </w:r>
    </w:p>
    <w:p w:rsidR="009945AB" w:rsidRDefault="009945AB" w:rsidP="00C541AA">
      <w:pPr>
        <w:rPr>
          <w:rFonts w:eastAsiaTheme="majorEastAsia"/>
          <w:color w:val="4F81BD" w:themeColor="accent1"/>
        </w:rPr>
      </w:pPr>
    </w:p>
    <w:p w:rsidR="000B1E80" w:rsidRPr="003D4B12" w:rsidRDefault="000B1E80" w:rsidP="009945AB">
      <w:pPr>
        <w:pStyle w:val="Heading2"/>
        <w:jc w:val="center"/>
        <w:rPr>
          <w:rFonts w:ascii="Arial" w:hAnsi="Arial" w:cs="Arial"/>
          <w:color w:val="000000" w:themeColor="text1"/>
          <w:sz w:val="24"/>
          <w:szCs w:val="24"/>
          <w:u w:val="single"/>
        </w:rPr>
      </w:pPr>
      <w:r w:rsidRPr="003D4B12">
        <w:rPr>
          <w:rFonts w:ascii="Arial" w:hAnsi="Arial" w:cs="Arial"/>
          <w:color w:val="000000" w:themeColor="text1"/>
          <w:sz w:val="24"/>
          <w:szCs w:val="24"/>
          <w:u w:val="single"/>
        </w:rPr>
        <w:t>Introduction</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Companies understand that their employees are their most valuable asset, so they use various measures to keep their best workers on board for an extended period. So, along with cutting costs and boosting morale and productivity, staff retention has become an essential component in the success of businesses today. However, keeping good employees in the 21st century has been acknowledged as one of the industry's most significant concerns. To combat the issue of a constantly changing workforce, the hotel business must continuously adapt its retention strategies.</w:t>
      </w:r>
      <w:r w:rsidR="008D5CEE">
        <w:rPr>
          <w:rFonts w:ascii="Arial" w:hAnsi="Arial" w:cs="Arial"/>
          <w:sz w:val="24"/>
          <w:szCs w:val="24"/>
        </w:rPr>
        <w:t xml:space="preserve"> (</w:t>
      </w:r>
      <w:proofErr w:type="spellStart"/>
      <w:r w:rsidR="008D5CEE">
        <w:rPr>
          <w:rFonts w:ascii="Arial" w:hAnsi="Arial" w:cs="Arial"/>
          <w:sz w:val="24"/>
          <w:szCs w:val="24"/>
        </w:rPr>
        <w:t>Yuniyati</w:t>
      </w:r>
      <w:proofErr w:type="spellEnd"/>
      <w:r w:rsidR="008D5CEE">
        <w:rPr>
          <w:rFonts w:ascii="Arial" w:hAnsi="Arial" w:cs="Arial"/>
          <w:sz w:val="24"/>
          <w:szCs w:val="24"/>
        </w:rPr>
        <w:t xml:space="preserve"> et al, 2021)</w:t>
      </w:r>
      <w:r w:rsidRPr="00C541AA">
        <w:rPr>
          <w:rFonts w:ascii="Arial" w:hAnsi="Arial" w:cs="Arial"/>
          <w:sz w:val="24"/>
          <w:szCs w:val="24"/>
        </w:rPr>
        <w:t xml:space="preserve"> An employee lifecycle Program provides workers with a standard sequence of activities to complete during their tenure with the organization, and it allows managers to examine data that may be used to enhance the working environment. This can boost morale, health, longevity, and productivity in the workplace. Employee engagement is all about employees' emotional commitment toward work, and it meets the organizational goals and objectives. </w:t>
      </w:r>
      <w:r w:rsidR="00441732">
        <w:rPr>
          <w:rFonts w:ascii="Arial" w:hAnsi="Arial" w:cs="Arial"/>
          <w:sz w:val="24"/>
          <w:szCs w:val="24"/>
        </w:rPr>
        <w:t xml:space="preserve"> (</w:t>
      </w:r>
      <w:proofErr w:type="spellStart"/>
      <w:r w:rsidR="00441732">
        <w:rPr>
          <w:rFonts w:ascii="Arial" w:hAnsi="Arial" w:cs="Arial"/>
          <w:sz w:val="24"/>
          <w:szCs w:val="24"/>
        </w:rPr>
        <w:t>Sirmulyani</w:t>
      </w:r>
      <w:proofErr w:type="spellEnd"/>
      <w:r w:rsidR="00441732">
        <w:rPr>
          <w:rFonts w:ascii="Arial" w:hAnsi="Arial" w:cs="Arial"/>
          <w:sz w:val="24"/>
          <w:szCs w:val="24"/>
        </w:rPr>
        <w:t xml:space="preserve"> et al, 2020) </w:t>
      </w:r>
      <w:r w:rsidRPr="00C541AA">
        <w:rPr>
          <w:rFonts w:ascii="Arial" w:hAnsi="Arial" w:cs="Arial"/>
          <w:sz w:val="24"/>
          <w:szCs w:val="24"/>
        </w:rPr>
        <w:t>This essay critically evaluates the methods of retaining and engaging employees within the hospitality industry throughout the employee lifecycle. The essay will also highlight the importance of managing and developing talent and the role of Human Resource Management in motivating employees.</w:t>
      </w:r>
    </w:p>
    <w:p w:rsidR="009945AB" w:rsidRDefault="00C17242" w:rsidP="00C17242">
      <w:pPr>
        <w:pStyle w:val="Heading2"/>
        <w:rPr>
          <w:rFonts w:ascii="Arial" w:hAnsi="Arial" w:cs="Arial"/>
          <w:sz w:val="24"/>
          <w:szCs w:val="24"/>
        </w:rPr>
      </w:pPr>
      <w:r w:rsidRPr="00C541AA">
        <w:rPr>
          <w:rFonts w:ascii="Arial" w:hAnsi="Arial" w:cs="Arial"/>
          <w:sz w:val="24"/>
          <w:szCs w:val="24"/>
        </w:rPr>
        <w:t xml:space="preserve">                                                        </w:t>
      </w:r>
    </w:p>
    <w:p w:rsidR="009945AB" w:rsidRDefault="009945AB" w:rsidP="00C17242">
      <w:pPr>
        <w:pStyle w:val="Heading2"/>
        <w:rPr>
          <w:rFonts w:ascii="Arial" w:hAnsi="Arial" w:cs="Arial"/>
          <w:sz w:val="24"/>
          <w:szCs w:val="24"/>
        </w:rPr>
      </w:pPr>
    </w:p>
    <w:p w:rsidR="009945AB" w:rsidRDefault="009945AB" w:rsidP="00C17242">
      <w:pPr>
        <w:pStyle w:val="Heading2"/>
        <w:rPr>
          <w:rFonts w:ascii="Arial" w:hAnsi="Arial" w:cs="Arial"/>
          <w:sz w:val="24"/>
          <w:szCs w:val="24"/>
        </w:rPr>
      </w:pPr>
    </w:p>
    <w:p w:rsidR="009945AB" w:rsidRDefault="009945AB" w:rsidP="009945AB"/>
    <w:p w:rsidR="009945AB" w:rsidRPr="009945AB" w:rsidRDefault="009945AB" w:rsidP="009945AB"/>
    <w:p w:rsidR="009945AB" w:rsidRDefault="009945AB" w:rsidP="00C17242">
      <w:pPr>
        <w:pStyle w:val="Heading2"/>
        <w:rPr>
          <w:rFonts w:ascii="Arial" w:hAnsi="Arial" w:cs="Arial"/>
          <w:sz w:val="24"/>
          <w:szCs w:val="24"/>
        </w:rPr>
      </w:pPr>
    </w:p>
    <w:p w:rsidR="00350C93" w:rsidRDefault="00350C93" w:rsidP="00350C93"/>
    <w:p w:rsidR="00350C93" w:rsidRPr="00350C93" w:rsidRDefault="00350C93" w:rsidP="00350C93"/>
    <w:p w:rsidR="000B1E80" w:rsidRPr="00C541AA" w:rsidRDefault="000B1E80" w:rsidP="009945AB">
      <w:pPr>
        <w:pStyle w:val="Heading2"/>
        <w:jc w:val="center"/>
        <w:rPr>
          <w:rFonts w:ascii="Arial" w:hAnsi="Arial" w:cs="Arial"/>
          <w:color w:val="000000" w:themeColor="text1"/>
          <w:sz w:val="24"/>
          <w:szCs w:val="24"/>
          <w:u w:val="single"/>
        </w:rPr>
      </w:pPr>
      <w:r w:rsidRPr="00C541AA">
        <w:rPr>
          <w:rFonts w:ascii="Arial" w:hAnsi="Arial" w:cs="Arial"/>
          <w:color w:val="000000" w:themeColor="text1"/>
          <w:sz w:val="24"/>
          <w:szCs w:val="24"/>
          <w:u w:val="single"/>
        </w:rPr>
        <w:lastRenderedPageBreak/>
        <w:t>Main body</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 xml:space="preserve">Human resource management (HRM) in the hospitality business, particularly at large hotel chains, has advanced in recent years due to the introduction of cutting-edge HRM tools. Human resource management is becoming more vital in the hospitality sector. Changing the office layout is one-way hotels may help attract, hire, and keep the best employees. Human resource managers must stay current on the latest corporate world developments. </w:t>
      </w:r>
      <w:r w:rsidR="00542100">
        <w:rPr>
          <w:rFonts w:ascii="Arial" w:hAnsi="Arial" w:cs="Arial"/>
          <w:sz w:val="24"/>
          <w:szCs w:val="24"/>
        </w:rPr>
        <w:t xml:space="preserve"> (</w:t>
      </w:r>
      <w:proofErr w:type="spellStart"/>
      <w:r w:rsidR="00542100">
        <w:rPr>
          <w:rFonts w:ascii="Arial" w:hAnsi="Arial" w:cs="Arial"/>
          <w:sz w:val="24"/>
          <w:szCs w:val="24"/>
        </w:rPr>
        <w:t>Payambarpour</w:t>
      </w:r>
      <w:proofErr w:type="spellEnd"/>
      <w:r w:rsidR="00542100">
        <w:rPr>
          <w:rFonts w:ascii="Arial" w:hAnsi="Arial" w:cs="Arial"/>
          <w:sz w:val="24"/>
          <w:szCs w:val="24"/>
        </w:rPr>
        <w:t xml:space="preserve"> et al, 2015) </w:t>
      </w:r>
      <w:r w:rsidRPr="00C541AA">
        <w:rPr>
          <w:rFonts w:ascii="Arial" w:hAnsi="Arial" w:cs="Arial"/>
          <w:sz w:val="24"/>
          <w:szCs w:val="24"/>
        </w:rPr>
        <w:t>The human resources manager in the hospitality business must be patient since the client is always right. Human resource managers must also keep up with the ever-shifting corporate climate and prevailing fashions. The hospitality industry continues to struggle with significant employee turnover and difficulty retaining skilled workers due to the unpleasant nature of the job (long, anti-social hours, poor pay, instability, and low status). The role of HR in managing and developing talent is crucial as it can provide employees with the opportunity for development and effective performance. For example, HR managers can provide employees with growth opportunities by creating career paths, facilitating job rotations, and providing skillful training and development.</w:t>
      </w:r>
      <w:r w:rsidR="00EA7F95">
        <w:rPr>
          <w:rFonts w:ascii="Arial" w:hAnsi="Arial" w:cs="Arial"/>
          <w:sz w:val="24"/>
          <w:szCs w:val="24"/>
        </w:rPr>
        <w:t xml:space="preserve"> (Alias et al, 2014)</w:t>
      </w:r>
      <w:r w:rsidRPr="00C541AA">
        <w:rPr>
          <w:rFonts w:ascii="Arial" w:hAnsi="Arial" w:cs="Arial"/>
          <w:sz w:val="24"/>
          <w:szCs w:val="24"/>
        </w:rPr>
        <w:t xml:space="preserve"> Employee retention and engagement are also linked with a positive workplace culture that the HR department can promote through work-life balance, flexible working hours, and a friendly environment at the workplace. Long hours at work are stressful for workers and may negatively impact their mental and physical well-being. The HR department should focus on managing and retaining talent by adopting various techniques suitable for employees.</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In the competitive hotel business, an effective personnel management plan may minimize the loss of valuable employees while raising morale, productivity, and satisfaction. Due to the COVID-19 pandemic, the hospitality sector has seen extraordinary upheaval in its functional management areas, creating a strong need for prospective talent that may help it recover. However, the hotel business must recruit individuals with a discretionary work attitude to recover effectively from the abovementioned changes.</w:t>
      </w:r>
      <w:r w:rsidR="00564647">
        <w:rPr>
          <w:rFonts w:ascii="Arial" w:hAnsi="Arial" w:cs="Arial"/>
          <w:sz w:val="24"/>
          <w:szCs w:val="24"/>
        </w:rPr>
        <w:t xml:space="preserve"> (Li et al, 2021)</w:t>
      </w:r>
      <w:r w:rsidRPr="00C541AA">
        <w:rPr>
          <w:rFonts w:ascii="Arial" w:hAnsi="Arial" w:cs="Arial"/>
          <w:sz w:val="24"/>
          <w:szCs w:val="24"/>
        </w:rPr>
        <w:t xml:space="preserve"> By managing and developing talent, capable individuals will play the needed roles, and the hotel industry will carry out business operations with continuity without any disruptions due to retirement and other unseen </w:t>
      </w:r>
      <w:r w:rsidRPr="00C541AA">
        <w:rPr>
          <w:rFonts w:ascii="Arial" w:hAnsi="Arial" w:cs="Arial"/>
          <w:sz w:val="24"/>
          <w:szCs w:val="24"/>
        </w:rPr>
        <w:lastRenderedPageBreak/>
        <w:t>events. By nurturing talented employees, their creative and innovative ideas can be polished. Through talent management, top talents within the industry can be attracted and retained.   One critical component of talent management is aligning talent goals with larger business objectives. Moreover, it is based on fulfilling those promised practices during their hiring and making better decisions.</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Organizational success relies heavily on the employee life cycle. After all, there is sufficient scope for development during an employee's tenure with a firm. That may have knock-on effects on things like interest, applications, promotions, and employee loyalty. The employee life cycle model is a framework for building and maintaining a productive and happy staff.</w:t>
      </w:r>
      <w:r w:rsidR="00224603">
        <w:rPr>
          <w:rFonts w:ascii="Arial" w:hAnsi="Arial" w:cs="Arial"/>
          <w:sz w:val="24"/>
          <w:szCs w:val="24"/>
        </w:rPr>
        <w:t xml:space="preserve"> (</w:t>
      </w:r>
      <w:proofErr w:type="spellStart"/>
      <w:r w:rsidR="00224603">
        <w:rPr>
          <w:rFonts w:ascii="Arial" w:hAnsi="Arial" w:cs="Arial"/>
          <w:sz w:val="24"/>
          <w:szCs w:val="24"/>
        </w:rPr>
        <w:t>Yuniyati</w:t>
      </w:r>
      <w:proofErr w:type="spellEnd"/>
      <w:r w:rsidR="00224603">
        <w:rPr>
          <w:rFonts w:ascii="Arial" w:hAnsi="Arial" w:cs="Arial"/>
          <w:sz w:val="24"/>
          <w:szCs w:val="24"/>
        </w:rPr>
        <w:t xml:space="preserve"> et al, 2021)</w:t>
      </w:r>
      <w:r w:rsidRPr="00C541AA">
        <w:rPr>
          <w:rFonts w:ascii="Arial" w:hAnsi="Arial" w:cs="Arial"/>
          <w:sz w:val="24"/>
          <w:szCs w:val="24"/>
        </w:rPr>
        <w:t xml:space="preserve"> The stages of the employee life cycle are Attraction, Recruitment, Onboarding, Development, Retention, and Separation.</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In this stage of the employee life cycle, you'll be working to get people interested in your vacant positions, your company's values, and your work. How you connect with potential employees may significantly impact their impression of your company. Employer branding is an essential technique that a large hotel can adopt to express the organization's employee benefits and unique culture. Through this stage, it is possible to promote employee career development opportunities.</w:t>
      </w:r>
      <w:r w:rsidR="007E0439">
        <w:rPr>
          <w:rFonts w:ascii="Arial" w:hAnsi="Arial" w:cs="Arial"/>
          <w:sz w:val="24"/>
          <w:szCs w:val="24"/>
        </w:rPr>
        <w:t xml:space="preserve"> (Crane et al, 2019)</w:t>
      </w:r>
      <w:r w:rsidRPr="00C541AA">
        <w:rPr>
          <w:rFonts w:ascii="Arial" w:hAnsi="Arial" w:cs="Arial"/>
          <w:sz w:val="24"/>
          <w:szCs w:val="24"/>
        </w:rPr>
        <w:t xml:space="preserve"> For example, The Ritz London UK hotel is famous for its luxurious image. The hotel's elegant working environment is how it attracts candidates according to their business values.</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Moreover, The Savoy London Hotel is famous for its outstanding guest service. This hotel highlights the growth opportunities at its stage of attraction. Those candidates interested in delivering exceptional customer experience can be attracted by the growth opportunities offered by the hotel.</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The second stage of the employee life cycle is recruitment. At this stage, by screening the job applications, the right clients are hired with excellent work experience. This stage begins when the attraction stage attracts potential candidates. The hotels design a structured selection process, and it is based on various assessments, checks, and various interviews</w:t>
      </w:r>
      <w:proofErr w:type="gramStart"/>
      <w:r w:rsidRPr="00C541AA">
        <w:rPr>
          <w:rFonts w:ascii="Arial" w:hAnsi="Arial" w:cs="Arial"/>
          <w:sz w:val="24"/>
          <w:szCs w:val="24"/>
        </w:rPr>
        <w:t>.</w:t>
      </w:r>
      <w:r w:rsidR="007D5EC2">
        <w:rPr>
          <w:rFonts w:ascii="Arial" w:hAnsi="Arial" w:cs="Arial"/>
          <w:sz w:val="24"/>
          <w:szCs w:val="24"/>
        </w:rPr>
        <w:t>(</w:t>
      </w:r>
      <w:proofErr w:type="spellStart"/>
      <w:proofErr w:type="gramEnd"/>
      <w:r w:rsidR="007D5EC2">
        <w:rPr>
          <w:rFonts w:ascii="Arial" w:hAnsi="Arial" w:cs="Arial"/>
          <w:sz w:val="24"/>
          <w:szCs w:val="24"/>
        </w:rPr>
        <w:t>Dachner</w:t>
      </w:r>
      <w:proofErr w:type="spellEnd"/>
      <w:r w:rsidR="007D5EC2">
        <w:rPr>
          <w:rFonts w:ascii="Arial" w:hAnsi="Arial" w:cs="Arial"/>
          <w:sz w:val="24"/>
          <w:szCs w:val="24"/>
        </w:rPr>
        <w:t xml:space="preserve"> et al,2021)</w:t>
      </w:r>
      <w:r w:rsidRPr="00C541AA">
        <w:rPr>
          <w:rFonts w:ascii="Arial" w:hAnsi="Arial" w:cs="Arial"/>
          <w:sz w:val="24"/>
          <w:szCs w:val="24"/>
        </w:rPr>
        <w:t xml:space="preserve"> The selection process is responsible for the comprehensive evaluation of the candidates. In the UK, most hotels follow the "Culture </w:t>
      </w:r>
      <w:r w:rsidRPr="00C541AA">
        <w:rPr>
          <w:rFonts w:ascii="Arial" w:hAnsi="Arial" w:cs="Arial"/>
          <w:sz w:val="24"/>
          <w:szCs w:val="24"/>
        </w:rPr>
        <w:lastRenderedPageBreak/>
        <w:t>fit assessment model" as it is accountable for customer orientation by aligning the hotel's cultures and values. This approach is responsible for ensuring that the candidates are suitable for the working environment of the hotel. One of the famous hotels of the UK that follows a fit cultural approach is Gleneagles Hotel, which selects candidates who align with teamwork, passion, and values of hospitality. Those candidates are selected who can promote a welcoming atmosphere within the hotel.</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 xml:space="preserve">The onboarding stage is about integrating the new employees within the organization and their warm welcome. For example, a good approach primarily followed in big hotels is conducting orientation programs. </w:t>
      </w:r>
      <w:r w:rsidR="00B526B5">
        <w:rPr>
          <w:rFonts w:ascii="Arial" w:hAnsi="Arial" w:cs="Arial"/>
          <w:sz w:val="24"/>
          <w:szCs w:val="24"/>
        </w:rPr>
        <w:t>(</w:t>
      </w:r>
      <w:proofErr w:type="spellStart"/>
      <w:r w:rsidR="00B526B5">
        <w:rPr>
          <w:rFonts w:ascii="Arial" w:hAnsi="Arial" w:cs="Arial"/>
          <w:sz w:val="24"/>
          <w:szCs w:val="24"/>
        </w:rPr>
        <w:t>Reljic</w:t>
      </w:r>
      <w:proofErr w:type="spellEnd"/>
      <w:r w:rsidR="00B526B5">
        <w:rPr>
          <w:rFonts w:ascii="Arial" w:hAnsi="Arial" w:cs="Arial"/>
          <w:sz w:val="24"/>
          <w:szCs w:val="24"/>
        </w:rPr>
        <w:t xml:space="preserve"> et al, 2021) </w:t>
      </w:r>
      <w:r w:rsidRPr="00C541AA">
        <w:rPr>
          <w:rFonts w:ascii="Arial" w:hAnsi="Arial" w:cs="Arial"/>
          <w:sz w:val="24"/>
          <w:szCs w:val="24"/>
        </w:rPr>
        <w:t xml:space="preserve">In these orientation programs, the employees are introduced to new procedures and policies and become familiar with the hotel's operations. With this approach of onboarding, the employee becomes able to understand their roles and responsibilities, and they can comprehend their expectations from the organizations. Moreover, in some organizations mentor system approach is also followed. In this approach, the new employees get guidance from experienced employees, and this knowledge-based approach with peers helps the new employees settle down in their new roles. </w:t>
      </w:r>
      <w:r w:rsidR="000834E8">
        <w:rPr>
          <w:rFonts w:ascii="Arial" w:hAnsi="Arial" w:cs="Arial"/>
          <w:sz w:val="24"/>
          <w:szCs w:val="24"/>
        </w:rPr>
        <w:t xml:space="preserve"> (Ahmad et al, 2019) </w:t>
      </w:r>
      <w:r w:rsidRPr="00C541AA">
        <w:rPr>
          <w:rFonts w:ascii="Arial" w:hAnsi="Arial" w:cs="Arial"/>
          <w:sz w:val="24"/>
          <w:szCs w:val="24"/>
        </w:rPr>
        <w:t>In a straightforward onboarding program, there are a few key points that should be followed, such as a clear work schedule should be provided to the employees from day one, new hires should be introduced to teams, the new employee should be provided with customer experience, and they should be offered with definite career plans. For example, the Goring London Hotel conducts orientation sessions and onboarding programs based on the comprehensive approach provided by them.</w:t>
      </w:r>
      <w:r w:rsidR="00C3636C">
        <w:rPr>
          <w:rFonts w:ascii="Arial" w:hAnsi="Arial" w:cs="Arial"/>
          <w:sz w:val="24"/>
          <w:szCs w:val="24"/>
        </w:rPr>
        <w:t xml:space="preserve"> (Asghar et al, 2021) </w:t>
      </w:r>
      <w:r w:rsidRPr="00C541AA">
        <w:rPr>
          <w:rFonts w:ascii="Arial" w:hAnsi="Arial" w:cs="Arial"/>
          <w:sz w:val="24"/>
          <w:szCs w:val="24"/>
        </w:rPr>
        <w:t xml:space="preserve"> Moreover, some large hotels focus on training programs to familiarize the employees with hotel procedures and brand values.</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 xml:space="preserve">The development stage of the employee life cycle is based on promoting the employee's skills by implementing different training and development programs within the hotel. Other training and development programs include learning technical skills, customer service training, and learning new competencies for career progression. There are different roles within the hotel and various departments as well. Through Cross-training programs, employees can broaden their skills of holistic understanding. With </w:t>
      </w:r>
      <w:r w:rsidRPr="00C541AA">
        <w:rPr>
          <w:rFonts w:ascii="Arial" w:hAnsi="Arial" w:cs="Arial"/>
          <w:sz w:val="24"/>
          <w:szCs w:val="24"/>
        </w:rPr>
        <w:lastRenderedPageBreak/>
        <w:t xml:space="preserve">these training programs, employee satisfaction is increased, and turnover and hiring rates are decreased. The knowledge is improved with training opportunities that, in turn, enhance the delivery of the hospitality industry and other business-related activities. Since providing excellent service to guests is the industry's top priority, this is of utmost significance in the hospitality sector. </w:t>
      </w:r>
      <w:r w:rsidR="009613E0">
        <w:rPr>
          <w:rFonts w:ascii="Arial" w:hAnsi="Arial" w:cs="Arial"/>
          <w:sz w:val="24"/>
          <w:szCs w:val="24"/>
        </w:rPr>
        <w:t xml:space="preserve"> (</w:t>
      </w:r>
      <w:proofErr w:type="spellStart"/>
      <w:r w:rsidR="009613E0">
        <w:rPr>
          <w:rFonts w:ascii="Arial" w:hAnsi="Arial" w:cs="Arial"/>
          <w:sz w:val="24"/>
          <w:szCs w:val="24"/>
        </w:rPr>
        <w:t>Raza</w:t>
      </w:r>
      <w:proofErr w:type="spellEnd"/>
      <w:r w:rsidR="009613E0">
        <w:rPr>
          <w:rFonts w:ascii="Arial" w:hAnsi="Arial" w:cs="Arial"/>
          <w:sz w:val="24"/>
          <w:szCs w:val="24"/>
        </w:rPr>
        <w:t xml:space="preserve"> et al, 2021) </w:t>
      </w:r>
      <w:r w:rsidRPr="00C541AA">
        <w:rPr>
          <w:rFonts w:ascii="Arial" w:hAnsi="Arial" w:cs="Arial"/>
          <w:sz w:val="24"/>
          <w:szCs w:val="24"/>
        </w:rPr>
        <w:t>This implies that businesses providing hospitality services aim to provide a positive experience for every customer. A drop in customer satisfaction and revenue might result from a lack of training. For example, the Goring Hotel UK is famous for developing employee skills through its "Goring Academy." In this academy, the employees are trained regarding guest keeping and improving customer relationships.</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Retention is all about engaging the top talent at the workplace. To retain the top talent, the hotels should provide employee compensation benefits such as different wellness programs, employee recognition initiatives, and other perks and privileges. According to the employee's review, The Ned London Hotel provides them with good culture, staff training, personal appreciation, and fair pay.</w:t>
      </w:r>
      <w:r w:rsidR="00744924">
        <w:rPr>
          <w:rFonts w:ascii="Arial" w:hAnsi="Arial" w:cs="Arial"/>
          <w:sz w:val="24"/>
          <w:szCs w:val="24"/>
        </w:rPr>
        <w:t xml:space="preserve"> (Ali et al, 2019)</w:t>
      </w:r>
      <w:r w:rsidRPr="00C541AA">
        <w:rPr>
          <w:rFonts w:ascii="Arial" w:hAnsi="Arial" w:cs="Arial"/>
          <w:sz w:val="24"/>
          <w:szCs w:val="24"/>
        </w:rPr>
        <w:t xml:space="preserve"> All these strategies are responsible for top talent retention within the hotel. Retention is also accompanied by an improved sense of belonging and increased employee loyalty.</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 xml:space="preserve">The separation stage is also known as the off-boarding stage. At this stage, the employee quits the company, and it could be for various personal reasons, retirement, or any other recruitment. Maintaining a positive relationship with the employees when they leave the organization is necessary. For example, Ritz London Hotel conducts separation interviews when employees leave the organization. The off-boarding process is responsible for leaving a last impression on the organization. It is responsible for affecting the employee's reputation. </w:t>
      </w:r>
      <w:r w:rsidR="009E0F5A">
        <w:rPr>
          <w:rFonts w:ascii="Arial" w:hAnsi="Arial" w:cs="Arial"/>
          <w:sz w:val="24"/>
          <w:szCs w:val="24"/>
        </w:rPr>
        <w:t xml:space="preserve"> (</w:t>
      </w:r>
      <w:proofErr w:type="spellStart"/>
      <w:r w:rsidR="009E0F5A">
        <w:rPr>
          <w:rFonts w:ascii="Arial" w:hAnsi="Arial" w:cs="Arial"/>
          <w:sz w:val="24"/>
          <w:szCs w:val="24"/>
        </w:rPr>
        <w:t>Pangton</w:t>
      </w:r>
      <w:proofErr w:type="spellEnd"/>
      <w:r w:rsidR="009E0F5A">
        <w:rPr>
          <w:rFonts w:ascii="Arial" w:hAnsi="Arial" w:cs="Arial"/>
          <w:sz w:val="24"/>
          <w:szCs w:val="24"/>
        </w:rPr>
        <w:t xml:space="preserve"> et al, 2019) </w:t>
      </w:r>
      <w:r w:rsidRPr="00C541AA">
        <w:rPr>
          <w:rFonts w:ascii="Arial" w:hAnsi="Arial" w:cs="Arial"/>
          <w:sz w:val="24"/>
          <w:szCs w:val="24"/>
        </w:rPr>
        <w:t>The hotel's reputation depends on the efficient off-boarding process of employees because negative word of mouth can damage the company's reputation. A loss of valuable knowledge and potential legal issues are accompanied by poor separation experience of the employees.</w:t>
      </w:r>
    </w:p>
    <w:p w:rsidR="00BA25A2" w:rsidRDefault="000B1E80" w:rsidP="00894049">
      <w:pPr>
        <w:spacing w:line="360" w:lineRule="auto"/>
        <w:jc w:val="both"/>
        <w:rPr>
          <w:rFonts w:ascii="Arial" w:hAnsi="Arial" w:cs="Arial"/>
          <w:sz w:val="24"/>
          <w:szCs w:val="24"/>
        </w:rPr>
      </w:pPr>
      <w:r w:rsidRPr="00C541AA">
        <w:rPr>
          <w:rFonts w:ascii="Arial" w:hAnsi="Arial" w:cs="Arial"/>
          <w:sz w:val="24"/>
          <w:szCs w:val="24"/>
        </w:rPr>
        <w:t xml:space="preserve">The hospitality business employs many workers, some of whom may need formal training. In contrast to front desk employees, concierge providers, managers, valets, </w:t>
      </w:r>
      <w:r w:rsidRPr="00C541AA">
        <w:rPr>
          <w:rFonts w:ascii="Arial" w:hAnsi="Arial" w:cs="Arial"/>
          <w:sz w:val="24"/>
          <w:szCs w:val="24"/>
        </w:rPr>
        <w:lastRenderedPageBreak/>
        <w:t xml:space="preserve">housekeepers, and wait staff have unique needs. </w:t>
      </w:r>
      <w:r w:rsidR="00E1501E">
        <w:rPr>
          <w:rFonts w:ascii="Arial" w:hAnsi="Arial" w:cs="Arial"/>
          <w:sz w:val="24"/>
          <w:szCs w:val="24"/>
        </w:rPr>
        <w:t xml:space="preserve"> It is necessary that all the staff should be provided with the training opportunity as all of them are involved in team building. </w:t>
      </w:r>
      <w:r w:rsidR="009C1743">
        <w:rPr>
          <w:rFonts w:ascii="Arial" w:hAnsi="Arial" w:cs="Arial"/>
          <w:sz w:val="24"/>
          <w:szCs w:val="24"/>
        </w:rPr>
        <w:t xml:space="preserve"> The hospitality culture is represented </w:t>
      </w:r>
      <w:r w:rsidRPr="00C541AA">
        <w:rPr>
          <w:rFonts w:ascii="Arial" w:hAnsi="Arial" w:cs="Arial"/>
          <w:sz w:val="24"/>
          <w:szCs w:val="24"/>
        </w:rPr>
        <w:t xml:space="preserve">from the management team on down. Learning opportunities in the hospitality sector are varied. The ability to communicate and connect with hotel customers is fundamental. Because of the customers' unified view of the personnel, this also includes diversity and collaboration training. </w:t>
      </w:r>
      <w:r w:rsidR="00807953">
        <w:rPr>
          <w:rFonts w:ascii="Arial" w:hAnsi="Arial" w:cs="Arial"/>
          <w:sz w:val="24"/>
          <w:szCs w:val="24"/>
        </w:rPr>
        <w:t>(Chanana et al, 2021)</w:t>
      </w:r>
      <w:r w:rsidR="00BA25A2">
        <w:rPr>
          <w:rFonts w:ascii="Arial" w:hAnsi="Arial" w:cs="Arial"/>
          <w:sz w:val="24"/>
          <w:szCs w:val="24"/>
        </w:rPr>
        <w:t xml:space="preserve">. The hotels in the guests belong to wide range of social and cultural backgrounds so it is required that the hotel staff should be able to communicate with all kinds of customers. </w:t>
      </w:r>
    </w:p>
    <w:p w:rsidR="000B1E80" w:rsidRPr="00C541AA" w:rsidRDefault="000B1E80" w:rsidP="00894049">
      <w:pPr>
        <w:spacing w:line="360" w:lineRule="auto"/>
        <w:jc w:val="both"/>
        <w:rPr>
          <w:rFonts w:ascii="Arial" w:hAnsi="Arial" w:cs="Arial"/>
          <w:sz w:val="24"/>
          <w:szCs w:val="24"/>
        </w:rPr>
      </w:pPr>
      <w:r w:rsidRPr="00C541AA">
        <w:rPr>
          <w:rFonts w:ascii="Arial" w:hAnsi="Arial" w:cs="Arial"/>
          <w:sz w:val="24"/>
          <w:szCs w:val="24"/>
        </w:rPr>
        <w:t>. Still, every visitor must have the same experience. Training facilitates the acquisition of new information and abilities. The best exercise also reduces what is known as the transmission of learning or learning transfer, which is the application of what was learned in the classroom to the workplace. How successfully your training facilitates new knowledge acquisition and application is a measure of its efficacy.</w:t>
      </w:r>
    </w:p>
    <w:p w:rsidR="009945AB" w:rsidRDefault="008321BF" w:rsidP="008321BF">
      <w:pPr>
        <w:pStyle w:val="Heading2"/>
        <w:rPr>
          <w:rFonts w:ascii="Arial" w:hAnsi="Arial" w:cs="Arial"/>
          <w:sz w:val="24"/>
          <w:szCs w:val="24"/>
        </w:rPr>
      </w:pPr>
      <w:r w:rsidRPr="00C541AA">
        <w:rPr>
          <w:rFonts w:ascii="Arial" w:hAnsi="Arial" w:cs="Arial"/>
          <w:sz w:val="24"/>
          <w:szCs w:val="24"/>
        </w:rPr>
        <w:t xml:space="preserve">                                          </w:t>
      </w:r>
    </w:p>
    <w:p w:rsidR="009945AB" w:rsidRDefault="009945AB" w:rsidP="008321BF">
      <w:pPr>
        <w:pStyle w:val="Heading2"/>
        <w:rPr>
          <w:rFonts w:ascii="Arial" w:hAnsi="Arial" w:cs="Arial"/>
          <w:color w:val="000000" w:themeColor="text1"/>
          <w:sz w:val="24"/>
          <w:szCs w:val="24"/>
          <w:u w:val="single"/>
        </w:rPr>
      </w:pPr>
    </w:p>
    <w:p w:rsidR="009945AB" w:rsidRDefault="009945AB" w:rsidP="008321BF">
      <w:pPr>
        <w:pStyle w:val="Heading2"/>
        <w:rPr>
          <w:rFonts w:ascii="Arial" w:hAnsi="Arial" w:cs="Arial"/>
          <w:color w:val="000000" w:themeColor="text1"/>
          <w:sz w:val="24"/>
          <w:szCs w:val="24"/>
          <w:u w:val="single"/>
        </w:rPr>
      </w:pPr>
    </w:p>
    <w:p w:rsidR="009945AB" w:rsidRDefault="009945AB" w:rsidP="008321BF">
      <w:pPr>
        <w:pStyle w:val="Heading2"/>
        <w:rPr>
          <w:rFonts w:ascii="Arial" w:hAnsi="Arial" w:cs="Arial"/>
          <w:color w:val="000000" w:themeColor="text1"/>
          <w:sz w:val="24"/>
          <w:szCs w:val="24"/>
          <w:u w:val="single"/>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both"/>
        <w:rPr>
          <w:rFonts w:ascii="Arial" w:hAnsi="Arial" w:cs="Arial"/>
          <w:sz w:val="24"/>
          <w:szCs w:val="24"/>
        </w:rPr>
      </w:pPr>
    </w:p>
    <w:p w:rsidR="009945AB" w:rsidRDefault="009945AB" w:rsidP="009945AB">
      <w:pPr>
        <w:spacing w:line="360" w:lineRule="auto"/>
        <w:jc w:val="center"/>
        <w:rPr>
          <w:rFonts w:ascii="Arial" w:hAnsi="Arial" w:cs="Arial"/>
          <w:b/>
          <w:sz w:val="24"/>
          <w:szCs w:val="24"/>
          <w:u w:val="single"/>
        </w:rPr>
      </w:pPr>
    </w:p>
    <w:p w:rsidR="009945AB" w:rsidRPr="009945AB" w:rsidRDefault="009945AB" w:rsidP="009945AB">
      <w:pPr>
        <w:spacing w:line="360" w:lineRule="auto"/>
        <w:jc w:val="center"/>
        <w:rPr>
          <w:rFonts w:ascii="Arial" w:hAnsi="Arial" w:cs="Arial"/>
          <w:b/>
          <w:sz w:val="24"/>
          <w:szCs w:val="24"/>
          <w:u w:val="single"/>
        </w:rPr>
      </w:pPr>
      <w:r w:rsidRPr="009945AB">
        <w:rPr>
          <w:rFonts w:ascii="Arial" w:hAnsi="Arial" w:cs="Arial"/>
          <w:b/>
          <w:sz w:val="24"/>
          <w:szCs w:val="24"/>
          <w:u w:val="single"/>
        </w:rPr>
        <w:lastRenderedPageBreak/>
        <w:t>Conclusion</w:t>
      </w:r>
    </w:p>
    <w:p w:rsidR="009945AB" w:rsidRPr="009945AB" w:rsidRDefault="000B1E80" w:rsidP="009945AB">
      <w:pPr>
        <w:spacing w:line="360" w:lineRule="auto"/>
        <w:jc w:val="both"/>
        <w:rPr>
          <w:rFonts w:ascii="Arial" w:hAnsi="Arial" w:cs="Arial"/>
          <w:sz w:val="24"/>
          <w:szCs w:val="24"/>
        </w:rPr>
      </w:pPr>
      <w:r w:rsidRPr="00C541AA">
        <w:rPr>
          <w:rFonts w:ascii="Arial" w:hAnsi="Arial" w:cs="Arial"/>
          <w:sz w:val="24"/>
          <w:szCs w:val="24"/>
        </w:rPr>
        <w:t>Human resource management (HRM) in the hospitality business, particularly at large hotel chains, has advanced in recent years due to the introduction of cutting-edge HRM tools. Human resource management is becoming more vital in the hospitality sector</w:t>
      </w:r>
      <w:proofErr w:type="gramStart"/>
      <w:r w:rsidRPr="00C541AA">
        <w:rPr>
          <w:rFonts w:ascii="Arial" w:hAnsi="Arial" w:cs="Arial"/>
          <w:sz w:val="24"/>
          <w:szCs w:val="24"/>
        </w:rPr>
        <w:t>..</w:t>
      </w:r>
      <w:proofErr w:type="gramEnd"/>
      <w:r w:rsidRPr="00C541AA">
        <w:rPr>
          <w:rFonts w:ascii="Arial" w:hAnsi="Arial" w:cs="Arial"/>
          <w:sz w:val="24"/>
          <w:szCs w:val="24"/>
        </w:rPr>
        <w:t xml:space="preserve"> Human resources (HR) aims to </w:t>
      </w:r>
      <w:r w:rsidR="00501A93" w:rsidRPr="00C541AA">
        <w:rPr>
          <w:rFonts w:ascii="Arial" w:hAnsi="Arial" w:cs="Arial"/>
          <w:sz w:val="24"/>
          <w:szCs w:val="24"/>
        </w:rPr>
        <w:t>recruit</w:t>
      </w:r>
      <w:r w:rsidRPr="00C541AA">
        <w:rPr>
          <w:rFonts w:ascii="Arial" w:hAnsi="Arial" w:cs="Arial"/>
          <w:sz w:val="24"/>
          <w:szCs w:val="24"/>
        </w:rPr>
        <w:t xml:space="preserve"> motivate and put personnel in the best-fitting roles, yet it takes many others to perform these duties. </w:t>
      </w:r>
      <w:r w:rsidR="007A344F">
        <w:rPr>
          <w:rFonts w:ascii="Arial" w:hAnsi="Arial" w:cs="Arial"/>
          <w:sz w:val="24"/>
          <w:szCs w:val="24"/>
        </w:rPr>
        <w:t xml:space="preserve"> The success of any firm is associated with its strength of customer’s satisfaction and the customers can enjoy high quality of experiences through satisfied customers. </w:t>
      </w:r>
      <w:bookmarkStart w:id="0" w:name="_GoBack"/>
      <w:bookmarkEnd w:id="0"/>
      <w:r w:rsidRPr="00C541AA">
        <w:rPr>
          <w:rFonts w:ascii="Arial" w:hAnsi="Arial" w:cs="Arial"/>
          <w:sz w:val="24"/>
          <w:szCs w:val="24"/>
        </w:rPr>
        <w:t>The HR department should focus on managing and retaining talent by adopting various techniques suitable for employees. To combat the issue of a constantly changing workforce, the hotel business must continuously adapt its retention strategies. An employee lifecycle Program provides workers with a standard sequence of activities to complete during their tenure with the organization, and it allows managers to examine data that may be used to enhance the working environment.</w:t>
      </w:r>
      <w:r w:rsidR="00501A93" w:rsidRPr="00C541AA">
        <w:rPr>
          <w:rFonts w:ascii="Arial" w:hAnsi="Arial" w:cs="Arial"/>
          <w:sz w:val="24"/>
          <w:szCs w:val="24"/>
        </w:rPr>
        <w:t xml:space="preserve"> The role of HR in managing and developing talent is crucial as it can provide employees with the opportunity for development and effective performance. For example, HR managers can provide employees with growth opportunities by creating career paths, facilitating job rotations, and providing skillful training and development.</w:t>
      </w:r>
      <w:r w:rsidR="009945AB">
        <w:rPr>
          <w:rFonts w:ascii="Arial" w:hAnsi="Arial" w:cs="Arial"/>
          <w:color w:val="000000" w:themeColor="text1"/>
          <w:sz w:val="24"/>
          <w:szCs w:val="24"/>
        </w:rPr>
        <w:t xml:space="preserve"> </w:t>
      </w:r>
    </w:p>
    <w:p w:rsidR="009945AB" w:rsidRDefault="009945AB" w:rsidP="001E7B7C">
      <w:pPr>
        <w:pStyle w:val="Heading2"/>
        <w:rPr>
          <w:rFonts w:ascii="Arial" w:hAnsi="Arial" w:cs="Arial"/>
          <w:color w:val="000000" w:themeColor="text1"/>
          <w:sz w:val="24"/>
          <w:szCs w:val="24"/>
        </w:rPr>
      </w:pPr>
    </w:p>
    <w:p w:rsidR="009945AB" w:rsidRDefault="009945AB" w:rsidP="001E7B7C">
      <w:pPr>
        <w:pStyle w:val="Heading2"/>
        <w:rPr>
          <w:rFonts w:ascii="Arial" w:hAnsi="Arial" w:cs="Arial"/>
          <w:color w:val="000000" w:themeColor="text1"/>
          <w:sz w:val="24"/>
          <w:szCs w:val="24"/>
        </w:rPr>
      </w:pPr>
    </w:p>
    <w:p w:rsidR="009945AB" w:rsidRDefault="009945AB" w:rsidP="001E7B7C">
      <w:pPr>
        <w:pStyle w:val="Heading2"/>
        <w:rPr>
          <w:rFonts w:ascii="Arial" w:hAnsi="Arial" w:cs="Arial"/>
          <w:color w:val="000000" w:themeColor="text1"/>
          <w:sz w:val="24"/>
          <w:szCs w:val="24"/>
        </w:rPr>
      </w:pPr>
    </w:p>
    <w:p w:rsidR="009945AB" w:rsidRPr="009945AB" w:rsidRDefault="009945AB" w:rsidP="009945AB"/>
    <w:p w:rsidR="009945AB" w:rsidRDefault="009945AB" w:rsidP="001E7B7C">
      <w:pPr>
        <w:pStyle w:val="Heading2"/>
        <w:rPr>
          <w:rFonts w:ascii="Arial" w:hAnsi="Arial" w:cs="Arial"/>
          <w:color w:val="000000" w:themeColor="text1"/>
          <w:sz w:val="24"/>
          <w:szCs w:val="24"/>
        </w:rPr>
      </w:pPr>
    </w:p>
    <w:p w:rsidR="009945AB" w:rsidRDefault="009945AB" w:rsidP="001E7B7C">
      <w:pPr>
        <w:pStyle w:val="Heading2"/>
        <w:rPr>
          <w:rFonts w:ascii="Arial" w:hAnsi="Arial" w:cs="Arial"/>
          <w:color w:val="000000" w:themeColor="text1"/>
          <w:sz w:val="24"/>
          <w:szCs w:val="24"/>
        </w:rPr>
      </w:pPr>
    </w:p>
    <w:p w:rsidR="00350C93" w:rsidRDefault="00350C93" w:rsidP="009945AB">
      <w:pPr>
        <w:pStyle w:val="Heading2"/>
        <w:jc w:val="center"/>
        <w:rPr>
          <w:rFonts w:ascii="Arial" w:hAnsi="Arial" w:cs="Arial"/>
          <w:color w:val="000000" w:themeColor="text1"/>
          <w:sz w:val="24"/>
          <w:szCs w:val="24"/>
          <w:u w:val="single"/>
        </w:rPr>
      </w:pPr>
    </w:p>
    <w:p w:rsidR="009945AB" w:rsidRDefault="00E40A76" w:rsidP="009945AB">
      <w:pPr>
        <w:pStyle w:val="Heading2"/>
        <w:jc w:val="center"/>
        <w:rPr>
          <w:rFonts w:ascii="Arial" w:hAnsi="Arial" w:cs="Arial"/>
          <w:color w:val="000000" w:themeColor="text1"/>
          <w:sz w:val="24"/>
          <w:szCs w:val="24"/>
          <w:u w:val="single"/>
        </w:rPr>
      </w:pPr>
      <w:r w:rsidRPr="00C541AA">
        <w:rPr>
          <w:rFonts w:ascii="Arial" w:hAnsi="Arial" w:cs="Arial"/>
          <w:color w:val="000000" w:themeColor="text1"/>
          <w:sz w:val="24"/>
          <w:szCs w:val="24"/>
          <w:u w:val="single"/>
        </w:rPr>
        <w:t>References</w:t>
      </w:r>
    </w:p>
    <w:p w:rsidR="0082573C" w:rsidRPr="009945AB" w:rsidRDefault="00613FB5" w:rsidP="009945AB">
      <w:pPr>
        <w:pStyle w:val="Heading2"/>
        <w:rPr>
          <w:rFonts w:ascii="Arial" w:hAnsi="Arial" w:cs="Arial"/>
          <w:color w:val="000000" w:themeColor="text1"/>
          <w:sz w:val="24"/>
          <w:szCs w:val="24"/>
        </w:rPr>
      </w:pPr>
      <w:proofErr w:type="spellStart"/>
      <w:proofErr w:type="gramStart"/>
      <w:r w:rsidRPr="00C541AA">
        <w:rPr>
          <w:rFonts w:ascii="Arial" w:hAnsi="Arial" w:cs="Arial"/>
          <w:color w:val="222222"/>
          <w:sz w:val="24"/>
          <w:szCs w:val="24"/>
          <w:shd w:val="clear" w:color="auto" w:fill="FFFFFF"/>
        </w:rPr>
        <w:t>Yuniati</w:t>
      </w:r>
      <w:proofErr w:type="spellEnd"/>
      <w:r w:rsidRPr="00C541AA">
        <w:rPr>
          <w:rFonts w:ascii="Arial" w:hAnsi="Arial" w:cs="Arial"/>
          <w:color w:val="222222"/>
          <w:sz w:val="24"/>
          <w:szCs w:val="24"/>
          <w:shd w:val="clear" w:color="auto" w:fill="FFFFFF"/>
        </w:rPr>
        <w:t xml:space="preserve">, E., </w:t>
      </w:r>
      <w:proofErr w:type="spellStart"/>
      <w:r w:rsidRPr="00C541AA">
        <w:rPr>
          <w:rFonts w:ascii="Arial" w:hAnsi="Arial" w:cs="Arial"/>
          <w:color w:val="222222"/>
          <w:sz w:val="24"/>
          <w:szCs w:val="24"/>
          <w:shd w:val="clear" w:color="auto" w:fill="FFFFFF"/>
        </w:rPr>
        <w:t>Soetjipto</w:t>
      </w:r>
      <w:proofErr w:type="spellEnd"/>
      <w:r w:rsidRPr="00C541AA">
        <w:rPr>
          <w:rFonts w:ascii="Arial" w:hAnsi="Arial" w:cs="Arial"/>
          <w:color w:val="222222"/>
          <w:sz w:val="24"/>
          <w:szCs w:val="24"/>
          <w:shd w:val="clear" w:color="auto" w:fill="FFFFFF"/>
        </w:rPr>
        <w:t xml:space="preserve">, B., </w:t>
      </w:r>
      <w:proofErr w:type="spellStart"/>
      <w:r w:rsidRPr="00C541AA">
        <w:rPr>
          <w:rFonts w:ascii="Arial" w:hAnsi="Arial" w:cs="Arial"/>
          <w:color w:val="222222"/>
          <w:sz w:val="24"/>
          <w:szCs w:val="24"/>
          <w:shd w:val="clear" w:color="auto" w:fill="FFFFFF"/>
        </w:rPr>
        <w:t>Wardoyo</w:t>
      </w:r>
      <w:proofErr w:type="spellEnd"/>
      <w:r w:rsidRPr="00C541AA">
        <w:rPr>
          <w:rFonts w:ascii="Arial" w:hAnsi="Arial" w:cs="Arial"/>
          <w:color w:val="222222"/>
          <w:sz w:val="24"/>
          <w:szCs w:val="24"/>
          <w:shd w:val="clear" w:color="auto" w:fill="FFFFFF"/>
        </w:rPr>
        <w:t xml:space="preserve">, T., </w:t>
      </w:r>
      <w:proofErr w:type="spellStart"/>
      <w:r w:rsidRPr="00C541AA">
        <w:rPr>
          <w:rFonts w:ascii="Arial" w:hAnsi="Arial" w:cs="Arial"/>
          <w:color w:val="222222"/>
          <w:sz w:val="24"/>
          <w:szCs w:val="24"/>
          <w:shd w:val="clear" w:color="auto" w:fill="FFFFFF"/>
        </w:rPr>
        <w:t>Sudarmiatin</w:t>
      </w:r>
      <w:proofErr w:type="spellEnd"/>
      <w:r w:rsidRPr="00C541AA">
        <w:rPr>
          <w:rFonts w:ascii="Arial" w:hAnsi="Arial" w:cs="Arial"/>
          <w:color w:val="222222"/>
          <w:sz w:val="24"/>
          <w:szCs w:val="24"/>
          <w:shd w:val="clear" w:color="auto" w:fill="FFFFFF"/>
        </w:rPr>
        <w:t xml:space="preserve">, S. and </w:t>
      </w:r>
      <w:proofErr w:type="spellStart"/>
      <w:r w:rsidRPr="00C541AA">
        <w:rPr>
          <w:rFonts w:ascii="Arial" w:hAnsi="Arial" w:cs="Arial"/>
          <w:color w:val="222222"/>
          <w:sz w:val="24"/>
          <w:szCs w:val="24"/>
          <w:shd w:val="clear" w:color="auto" w:fill="FFFFFF"/>
        </w:rPr>
        <w:t>Nikmah</w:t>
      </w:r>
      <w:proofErr w:type="spellEnd"/>
      <w:r w:rsidRPr="00C541AA">
        <w:rPr>
          <w:rFonts w:ascii="Arial" w:hAnsi="Arial" w:cs="Arial"/>
          <w:color w:val="222222"/>
          <w:sz w:val="24"/>
          <w:szCs w:val="24"/>
          <w:shd w:val="clear" w:color="auto" w:fill="FFFFFF"/>
        </w:rPr>
        <w:t>, F., 2021.</w:t>
      </w:r>
      <w:proofErr w:type="gramEnd"/>
      <w:r w:rsidRPr="00C541AA">
        <w:rPr>
          <w:rFonts w:ascii="Arial" w:hAnsi="Arial" w:cs="Arial"/>
          <w:color w:val="222222"/>
          <w:sz w:val="24"/>
          <w:szCs w:val="24"/>
          <w:shd w:val="clear" w:color="auto" w:fill="FFFFFF"/>
        </w:rPr>
        <w:t xml:space="preserve"> Talent management and organizational performance: The mediating role of employee engagement. </w:t>
      </w:r>
      <w:proofErr w:type="gramStart"/>
      <w:r w:rsidRPr="00C541AA">
        <w:rPr>
          <w:rFonts w:ascii="Arial" w:hAnsi="Arial" w:cs="Arial"/>
          <w:i/>
          <w:iCs/>
          <w:color w:val="222222"/>
          <w:sz w:val="24"/>
          <w:szCs w:val="24"/>
          <w:shd w:val="clear" w:color="auto" w:fill="FFFFFF"/>
        </w:rPr>
        <w:t>Management Science Letters</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11</w:t>
      </w:r>
      <w:r w:rsidRPr="00C541AA">
        <w:rPr>
          <w:rFonts w:ascii="Arial" w:hAnsi="Arial" w:cs="Arial"/>
          <w:color w:val="222222"/>
          <w:sz w:val="24"/>
          <w:szCs w:val="24"/>
          <w:shd w:val="clear" w:color="auto" w:fill="FFFFFF"/>
        </w:rPr>
        <w:t>(9), pp.2341-2346.</w:t>
      </w:r>
      <w:proofErr w:type="gramEnd"/>
    </w:p>
    <w:p w:rsidR="00FD7C15" w:rsidRPr="00C541AA" w:rsidRDefault="009635D8" w:rsidP="00894049">
      <w:pPr>
        <w:spacing w:line="360" w:lineRule="auto"/>
        <w:jc w:val="both"/>
        <w:rPr>
          <w:rFonts w:ascii="Arial" w:hAnsi="Arial" w:cs="Arial"/>
          <w:sz w:val="24"/>
          <w:szCs w:val="24"/>
        </w:rPr>
      </w:pPr>
      <w:hyperlink r:id="rId4" w:history="1">
        <w:r w:rsidR="00FD7C15" w:rsidRPr="00C541AA">
          <w:rPr>
            <w:rStyle w:val="Hyperlink"/>
            <w:rFonts w:ascii="Arial" w:hAnsi="Arial" w:cs="Arial"/>
            <w:sz w:val="24"/>
            <w:szCs w:val="24"/>
          </w:rPr>
          <w:t>http://m.growingscience.com/beta/msl/4980-talent-management-and-organizational-performance-the-mediating-role-of-employee-engagement.html</w:t>
        </w:r>
      </w:hyperlink>
    </w:p>
    <w:p w:rsidR="00FD7C15" w:rsidRPr="00C541AA" w:rsidRDefault="000964BB" w:rsidP="00894049">
      <w:pPr>
        <w:spacing w:line="360" w:lineRule="auto"/>
        <w:jc w:val="both"/>
        <w:rPr>
          <w:rFonts w:ascii="Arial" w:hAnsi="Arial" w:cs="Arial"/>
          <w:color w:val="222222"/>
          <w:sz w:val="24"/>
          <w:szCs w:val="24"/>
          <w:shd w:val="clear" w:color="auto" w:fill="FFFFFF"/>
        </w:rPr>
      </w:pPr>
      <w:proofErr w:type="spellStart"/>
      <w:r w:rsidRPr="00C541AA">
        <w:rPr>
          <w:rFonts w:ascii="Arial" w:hAnsi="Arial" w:cs="Arial"/>
          <w:color w:val="222222"/>
          <w:sz w:val="24"/>
          <w:szCs w:val="24"/>
          <w:shd w:val="clear" w:color="auto" w:fill="FFFFFF"/>
        </w:rPr>
        <w:t>Srimulyani</w:t>
      </w:r>
      <w:proofErr w:type="spellEnd"/>
      <w:r w:rsidRPr="00C541AA">
        <w:rPr>
          <w:rFonts w:ascii="Arial" w:hAnsi="Arial" w:cs="Arial"/>
          <w:color w:val="222222"/>
          <w:sz w:val="24"/>
          <w:szCs w:val="24"/>
          <w:shd w:val="clear" w:color="auto" w:fill="FFFFFF"/>
        </w:rPr>
        <w:t xml:space="preserve">, V.A., 2020. </w:t>
      </w:r>
      <w:proofErr w:type="gramStart"/>
      <w:r w:rsidRPr="00C541AA">
        <w:rPr>
          <w:rFonts w:ascii="Arial" w:hAnsi="Arial" w:cs="Arial"/>
          <w:color w:val="222222"/>
          <w:sz w:val="24"/>
          <w:szCs w:val="24"/>
          <w:shd w:val="clear" w:color="auto" w:fill="FFFFFF"/>
        </w:rPr>
        <w:t xml:space="preserve">Talent Management </w:t>
      </w:r>
      <w:proofErr w:type="spellStart"/>
      <w:r w:rsidRPr="00C541AA">
        <w:rPr>
          <w:rFonts w:ascii="Arial" w:hAnsi="Arial" w:cs="Arial"/>
          <w:color w:val="222222"/>
          <w:sz w:val="24"/>
          <w:szCs w:val="24"/>
          <w:shd w:val="clear" w:color="auto" w:fill="FFFFFF"/>
        </w:rPr>
        <w:t>dan</w:t>
      </w:r>
      <w:proofErr w:type="spellEnd"/>
      <w:r w:rsidRPr="00C541AA">
        <w:rPr>
          <w:rFonts w:ascii="Arial" w:hAnsi="Arial" w:cs="Arial"/>
          <w:color w:val="222222"/>
          <w:sz w:val="24"/>
          <w:szCs w:val="24"/>
          <w:shd w:val="clear" w:color="auto" w:fill="FFFFFF"/>
        </w:rPr>
        <w:t xml:space="preserve"> </w:t>
      </w:r>
      <w:proofErr w:type="spellStart"/>
      <w:r w:rsidRPr="00C541AA">
        <w:rPr>
          <w:rFonts w:ascii="Arial" w:hAnsi="Arial" w:cs="Arial"/>
          <w:color w:val="222222"/>
          <w:sz w:val="24"/>
          <w:szCs w:val="24"/>
          <w:shd w:val="clear" w:color="auto" w:fill="FFFFFF"/>
        </w:rPr>
        <w:t>Konsekuensinya</w:t>
      </w:r>
      <w:proofErr w:type="spellEnd"/>
      <w:r w:rsidRPr="00C541AA">
        <w:rPr>
          <w:rFonts w:ascii="Arial" w:hAnsi="Arial" w:cs="Arial"/>
          <w:color w:val="222222"/>
          <w:sz w:val="24"/>
          <w:szCs w:val="24"/>
          <w:shd w:val="clear" w:color="auto" w:fill="FFFFFF"/>
        </w:rPr>
        <w:t xml:space="preserve"> </w:t>
      </w:r>
      <w:proofErr w:type="spellStart"/>
      <w:r w:rsidRPr="00C541AA">
        <w:rPr>
          <w:rFonts w:ascii="Arial" w:hAnsi="Arial" w:cs="Arial"/>
          <w:color w:val="222222"/>
          <w:sz w:val="24"/>
          <w:szCs w:val="24"/>
          <w:shd w:val="clear" w:color="auto" w:fill="FFFFFF"/>
        </w:rPr>
        <w:t>terhadap</w:t>
      </w:r>
      <w:proofErr w:type="spellEnd"/>
      <w:r w:rsidRPr="00C541AA">
        <w:rPr>
          <w:rFonts w:ascii="Arial" w:hAnsi="Arial" w:cs="Arial"/>
          <w:color w:val="222222"/>
          <w:sz w:val="24"/>
          <w:szCs w:val="24"/>
          <w:shd w:val="clear" w:color="auto" w:fill="FFFFFF"/>
        </w:rPr>
        <w:t xml:space="preserve"> Employee Engagement </w:t>
      </w:r>
      <w:proofErr w:type="spellStart"/>
      <w:r w:rsidRPr="00C541AA">
        <w:rPr>
          <w:rFonts w:ascii="Arial" w:hAnsi="Arial" w:cs="Arial"/>
          <w:color w:val="222222"/>
          <w:sz w:val="24"/>
          <w:szCs w:val="24"/>
          <w:shd w:val="clear" w:color="auto" w:fill="FFFFFF"/>
        </w:rPr>
        <w:t>dan</w:t>
      </w:r>
      <w:proofErr w:type="spellEnd"/>
      <w:r w:rsidRPr="00C541AA">
        <w:rPr>
          <w:rFonts w:ascii="Arial" w:hAnsi="Arial" w:cs="Arial"/>
          <w:color w:val="222222"/>
          <w:sz w:val="24"/>
          <w:szCs w:val="24"/>
          <w:shd w:val="clear" w:color="auto" w:fill="FFFFFF"/>
        </w:rPr>
        <w:t xml:space="preserve"> Employee Retention.</w:t>
      </w:r>
      <w:proofErr w:type="gramEnd"/>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 xml:space="preserve">INOBIS: </w:t>
      </w:r>
      <w:proofErr w:type="spellStart"/>
      <w:r w:rsidRPr="00C541AA">
        <w:rPr>
          <w:rFonts w:ascii="Arial" w:hAnsi="Arial" w:cs="Arial"/>
          <w:i/>
          <w:iCs/>
          <w:color w:val="222222"/>
          <w:sz w:val="24"/>
          <w:szCs w:val="24"/>
          <w:shd w:val="clear" w:color="auto" w:fill="FFFFFF"/>
        </w:rPr>
        <w:t>Jurnal</w:t>
      </w:r>
      <w:proofErr w:type="spellEnd"/>
      <w:r w:rsidRPr="00C541AA">
        <w:rPr>
          <w:rFonts w:ascii="Arial" w:hAnsi="Arial" w:cs="Arial"/>
          <w:i/>
          <w:iCs/>
          <w:color w:val="222222"/>
          <w:sz w:val="24"/>
          <w:szCs w:val="24"/>
          <w:shd w:val="clear" w:color="auto" w:fill="FFFFFF"/>
        </w:rPr>
        <w:t xml:space="preserve"> </w:t>
      </w:r>
      <w:proofErr w:type="spellStart"/>
      <w:r w:rsidRPr="00C541AA">
        <w:rPr>
          <w:rFonts w:ascii="Arial" w:hAnsi="Arial" w:cs="Arial"/>
          <w:i/>
          <w:iCs/>
          <w:color w:val="222222"/>
          <w:sz w:val="24"/>
          <w:szCs w:val="24"/>
          <w:shd w:val="clear" w:color="auto" w:fill="FFFFFF"/>
        </w:rPr>
        <w:t>Inovasi</w:t>
      </w:r>
      <w:proofErr w:type="spellEnd"/>
      <w:r w:rsidRPr="00C541AA">
        <w:rPr>
          <w:rFonts w:ascii="Arial" w:hAnsi="Arial" w:cs="Arial"/>
          <w:i/>
          <w:iCs/>
          <w:color w:val="222222"/>
          <w:sz w:val="24"/>
          <w:szCs w:val="24"/>
          <w:shd w:val="clear" w:color="auto" w:fill="FFFFFF"/>
        </w:rPr>
        <w:t xml:space="preserve"> </w:t>
      </w:r>
      <w:proofErr w:type="spellStart"/>
      <w:r w:rsidRPr="00C541AA">
        <w:rPr>
          <w:rFonts w:ascii="Arial" w:hAnsi="Arial" w:cs="Arial"/>
          <w:i/>
          <w:iCs/>
          <w:color w:val="222222"/>
          <w:sz w:val="24"/>
          <w:szCs w:val="24"/>
          <w:shd w:val="clear" w:color="auto" w:fill="FFFFFF"/>
        </w:rPr>
        <w:t>Bisnis</w:t>
      </w:r>
      <w:proofErr w:type="spellEnd"/>
      <w:r w:rsidRPr="00C541AA">
        <w:rPr>
          <w:rFonts w:ascii="Arial" w:hAnsi="Arial" w:cs="Arial"/>
          <w:i/>
          <w:iCs/>
          <w:color w:val="222222"/>
          <w:sz w:val="24"/>
          <w:szCs w:val="24"/>
          <w:shd w:val="clear" w:color="auto" w:fill="FFFFFF"/>
        </w:rPr>
        <w:t xml:space="preserve"> </w:t>
      </w:r>
      <w:proofErr w:type="spellStart"/>
      <w:r w:rsidRPr="00C541AA">
        <w:rPr>
          <w:rFonts w:ascii="Arial" w:hAnsi="Arial" w:cs="Arial"/>
          <w:i/>
          <w:iCs/>
          <w:color w:val="222222"/>
          <w:sz w:val="24"/>
          <w:szCs w:val="24"/>
          <w:shd w:val="clear" w:color="auto" w:fill="FFFFFF"/>
        </w:rPr>
        <w:t>dan</w:t>
      </w:r>
      <w:proofErr w:type="spellEnd"/>
      <w:r w:rsidRPr="00C541AA">
        <w:rPr>
          <w:rFonts w:ascii="Arial" w:hAnsi="Arial" w:cs="Arial"/>
          <w:i/>
          <w:iCs/>
          <w:color w:val="222222"/>
          <w:sz w:val="24"/>
          <w:szCs w:val="24"/>
          <w:shd w:val="clear" w:color="auto" w:fill="FFFFFF"/>
        </w:rPr>
        <w:t xml:space="preserve"> </w:t>
      </w:r>
      <w:proofErr w:type="spellStart"/>
      <w:r w:rsidRPr="00C541AA">
        <w:rPr>
          <w:rFonts w:ascii="Arial" w:hAnsi="Arial" w:cs="Arial"/>
          <w:i/>
          <w:iCs/>
          <w:color w:val="222222"/>
          <w:sz w:val="24"/>
          <w:szCs w:val="24"/>
          <w:shd w:val="clear" w:color="auto" w:fill="FFFFFF"/>
        </w:rPr>
        <w:t>Manajemen</w:t>
      </w:r>
      <w:proofErr w:type="spellEnd"/>
      <w:r w:rsidRPr="00C541AA">
        <w:rPr>
          <w:rFonts w:ascii="Arial" w:hAnsi="Arial" w:cs="Arial"/>
          <w:i/>
          <w:iCs/>
          <w:color w:val="222222"/>
          <w:sz w:val="24"/>
          <w:szCs w:val="24"/>
          <w:shd w:val="clear" w:color="auto" w:fill="FFFFFF"/>
        </w:rPr>
        <w:t xml:space="preserve"> Indonesia</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3</w:t>
      </w:r>
      <w:r w:rsidRPr="00C541AA">
        <w:rPr>
          <w:rFonts w:ascii="Arial" w:hAnsi="Arial" w:cs="Arial"/>
          <w:color w:val="222222"/>
          <w:sz w:val="24"/>
          <w:szCs w:val="24"/>
          <w:shd w:val="clear" w:color="auto" w:fill="FFFFFF"/>
        </w:rPr>
        <w:t>(4), pp.538-552.</w:t>
      </w:r>
    </w:p>
    <w:p w:rsidR="000964BB" w:rsidRPr="00C541AA" w:rsidRDefault="009635D8" w:rsidP="00894049">
      <w:pPr>
        <w:spacing w:line="360" w:lineRule="auto"/>
        <w:jc w:val="both"/>
        <w:rPr>
          <w:rFonts w:ascii="Arial" w:hAnsi="Arial" w:cs="Arial"/>
          <w:sz w:val="24"/>
          <w:szCs w:val="24"/>
        </w:rPr>
      </w:pPr>
      <w:hyperlink r:id="rId5" w:history="1">
        <w:r w:rsidR="00640833" w:rsidRPr="00C541AA">
          <w:rPr>
            <w:rStyle w:val="Hyperlink"/>
            <w:rFonts w:ascii="Arial" w:hAnsi="Arial" w:cs="Arial"/>
            <w:sz w:val="24"/>
            <w:szCs w:val="24"/>
          </w:rPr>
          <w:t>https://inobis.org/ojs/index.php/jurnal-inobis/article/view/157</w:t>
        </w:r>
      </w:hyperlink>
    </w:p>
    <w:p w:rsidR="00640833" w:rsidRPr="00C541AA" w:rsidRDefault="00CB2251" w:rsidP="00894049">
      <w:pPr>
        <w:spacing w:line="360" w:lineRule="auto"/>
        <w:jc w:val="both"/>
        <w:rPr>
          <w:rFonts w:ascii="Arial" w:hAnsi="Arial" w:cs="Arial"/>
          <w:color w:val="222222"/>
          <w:sz w:val="24"/>
          <w:szCs w:val="24"/>
          <w:shd w:val="clear" w:color="auto" w:fill="FFFFFF"/>
        </w:rPr>
      </w:pPr>
      <w:proofErr w:type="spellStart"/>
      <w:proofErr w:type="gramStart"/>
      <w:r w:rsidRPr="00C541AA">
        <w:rPr>
          <w:rFonts w:ascii="Arial" w:hAnsi="Arial" w:cs="Arial"/>
          <w:color w:val="222222"/>
          <w:sz w:val="24"/>
          <w:szCs w:val="24"/>
          <w:shd w:val="clear" w:color="auto" w:fill="FFFFFF"/>
        </w:rPr>
        <w:t>Payambarpour</w:t>
      </w:r>
      <w:proofErr w:type="spellEnd"/>
      <w:r w:rsidRPr="00C541AA">
        <w:rPr>
          <w:rFonts w:ascii="Arial" w:hAnsi="Arial" w:cs="Arial"/>
          <w:color w:val="222222"/>
          <w:sz w:val="24"/>
          <w:szCs w:val="24"/>
          <w:shd w:val="clear" w:color="auto" w:fill="FFFFFF"/>
        </w:rPr>
        <w:t xml:space="preserve">, S.A. and </w:t>
      </w:r>
      <w:proofErr w:type="spellStart"/>
      <w:r w:rsidRPr="00C541AA">
        <w:rPr>
          <w:rFonts w:ascii="Arial" w:hAnsi="Arial" w:cs="Arial"/>
          <w:color w:val="222222"/>
          <w:sz w:val="24"/>
          <w:szCs w:val="24"/>
          <w:shd w:val="clear" w:color="auto" w:fill="FFFFFF"/>
        </w:rPr>
        <w:t>Hooi</w:t>
      </w:r>
      <w:proofErr w:type="spellEnd"/>
      <w:r w:rsidRPr="00C541AA">
        <w:rPr>
          <w:rFonts w:ascii="Arial" w:hAnsi="Arial" w:cs="Arial"/>
          <w:color w:val="222222"/>
          <w:sz w:val="24"/>
          <w:szCs w:val="24"/>
          <w:shd w:val="clear" w:color="auto" w:fill="FFFFFF"/>
        </w:rPr>
        <w:t>, L.W., 2015.</w:t>
      </w:r>
      <w:proofErr w:type="gramEnd"/>
      <w:r w:rsidRPr="00C541AA">
        <w:rPr>
          <w:rFonts w:ascii="Arial" w:hAnsi="Arial" w:cs="Arial"/>
          <w:color w:val="222222"/>
          <w:sz w:val="24"/>
          <w:szCs w:val="24"/>
          <w:shd w:val="clear" w:color="auto" w:fill="FFFFFF"/>
        </w:rPr>
        <w:t xml:space="preserve"> </w:t>
      </w:r>
      <w:proofErr w:type="gramStart"/>
      <w:r w:rsidRPr="00C541AA">
        <w:rPr>
          <w:rFonts w:ascii="Arial" w:hAnsi="Arial" w:cs="Arial"/>
          <w:color w:val="222222"/>
          <w:sz w:val="24"/>
          <w:szCs w:val="24"/>
          <w:shd w:val="clear" w:color="auto" w:fill="FFFFFF"/>
        </w:rPr>
        <w:t>The impact of talent management and employee engagement on organisational performance.</w:t>
      </w:r>
      <w:proofErr w:type="gramEnd"/>
      <w:r w:rsidRPr="00C541AA">
        <w:rPr>
          <w:rFonts w:ascii="Arial" w:hAnsi="Arial" w:cs="Arial"/>
          <w:color w:val="222222"/>
          <w:sz w:val="24"/>
          <w:szCs w:val="24"/>
          <w:shd w:val="clear" w:color="auto" w:fill="FFFFFF"/>
        </w:rPr>
        <w:t> </w:t>
      </w:r>
      <w:proofErr w:type="gramStart"/>
      <w:r w:rsidRPr="00C541AA">
        <w:rPr>
          <w:rFonts w:ascii="Arial" w:hAnsi="Arial" w:cs="Arial"/>
          <w:i/>
          <w:iCs/>
          <w:color w:val="222222"/>
          <w:sz w:val="24"/>
          <w:szCs w:val="24"/>
          <w:shd w:val="clear" w:color="auto" w:fill="FFFFFF"/>
        </w:rPr>
        <w:t>International Journal of Management Practice</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8</w:t>
      </w:r>
      <w:r w:rsidRPr="00C541AA">
        <w:rPr>
          <w:rFonts w:ascii="Arial" w:hAnsi="Arial" w:cs="Arial"/>
          <w:color w:val="222222"/>
          <w:sz w:val="24"/>
          <w:szCs w:val="24"/>
          <w:shd w:val="clear" w:color="auto" w:fill="FFFFFF"/>
        </w:rPr>
        <w:t>(4), pp.311-336.</w:t>
      </w:r>
      <w:proofErr w:type="gramEnd"/>
      <w:r w:rsidR="006960B8" w:rsidRPr="00C541AA">
        <w:rPr>
          <w:rFonts w:ascii="Arial" w:hAnsi="Arial" w:cs="Arial"/>
          <w:sz w:val="24"/>
          <w:szCs w:val="24"/>
        </w:rPr>
        <w:t xml:space="preserve"> </w:t>
      </w:r>
      <w:hyperlink r:id="rId6" w:history="1">
        <w:r w:rsidR="006960B8" w:rsidRPr="00C541AA">
          <w:rPr>
            <w:rStyle w:val="Hyperlink"/>
            <w:rFonts w:ascii="Arial" w:hAnsi="Arial" w:cs="Arial"/>
            <w:sz w:val="24"/>
            <w:szCs w:val="24"/>
            <w:shd w:val="clear" w:color="auto" w:fill="FFFFFF"/>
          </w:rPr>
          <w:t>https://www.inderscienceonline.com/doi/abs/10.1504/IJMP.2015.073483</w:t>
        </w:r>
      </w:hyperlink>
    </w:p>
    <w:p w:rsidR="006960B8" w:rsidRPr="00C541AA" w:rsidRDefault="00053A01" w:rsidP="00894049">
      <w:pPr>
        <w:spacing w:line="360" w:lineRule="auto"/>
        <w:jc w:val="both"/>
        <w:rPr>
          <w:rFonts w:ascii="Arial" w:hAnsi="Arial" w:cs="Arial"/>
          <w:color w:val="222222"/>
          <w:sz w:val="24"/>
          <w:szCs w:val="24"/>
          <w:shd w:val="clear" w:color="auto" w:fill="FFFFFF"/>
        </w:rPr>
      </w:pPr>
      <w:proofErr w:type="gramStart"/>
      <w:r w:rsidRPr="00C541AA">
        <w:rPr>
          <w:rFonts w:ascii="Arial" w:hAnsi="Arial" w:cs="Arial"/>
          <w:color w:val="222222"/>
          <w:sz w:val="24"/>
          <w:szCs w:val="24"/>
          <w:shd w:val="clear" w:color="auto" w:fill="FFFFFF"/>
        </w:rPr>
        <w:t>Alias, N.E., Noor, N. and Hassan, R., 2014.</w:t>
      </w:r>
      <w:proofErr w:type="gramEnd"/>
      <w:r w:rsidRPr="00C541AA">
        <w:rPr>
          <w:rFonts w:ascii="Arial" w:hAnsi="Arial" w:cs="Arial"/>
          <w:color w:val="222222"/>
          <w:sz w:val="24"/>
          <w:szCs w:val="24"/>
          <w:shd w:val="clear" w:color="auto" w:fill="FFFFFF"/>
        </w:rPr>
        <w:t xml:space="preserve"> </w:t>
      </w:r>
      <w:proofErr w:type="gramStart"/>
      <w:r w:rsidRPr="00C541AA">
        <w:rPr>
          <w:rFonts w:ascii="Arial" w:hAnsi="Arial" w:cs="Arial"/>
          <w:color w:val="222222"/>
          <w:sz w:val="24"/>
          <w:szCs w:val="24"/>
          <w:shd w:val="clear" w:color="auto" w:fill="FFFFFF"/>
        </w:rPr>
        <w:t>Examining the mediating effect of employee engagement on the relationship between talent management practices and employee retention in the Information and Technology (IT) organizations in Malaysia.</w:t>
      </w:r>
      <w:proofErr w:type="gramEnd"/>
      <w:r w:rsidRPr="00C541AA">
        <w:rPr>
          <w:rFonts w:ascii="Arial" w:hAnsi="Arial" w:cs="Arial"/>
          <w:color w:val="222222"/>
          <w:sz w:val="24"/>
          <w:szCs w:val="24"/>
          <w:shd w:val="clear" w:color="auto" w:fill="FFFFFF"/>
        </w:rPr>
        <w:t> </w:t>
      </w:r>
      <w:proofErr w:type="gramStart"/>
      <w:r w:rsidRPr="00C541AA">
        <w:rPr>
          <w:rFonts w:ascii="Arial" w:hAnsi="Arial" w:cs="Arial"/>
          <w:i/>
          <w:iCs/>
          <w:color w:val="222222"/>
          <w:sz w:val="24"/>
          <w:szCs w:val="24"/>
          <w:shd w:val="clear" w:color="auto" w:fill="FFFFFF"/>
        </w:rPr>
        <w:t>Journal of Human Resources Management and Labor Studies</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2</w:t>
      </w:r>
      <w:r w:rsidRPr="00C541AA">
        <w:rPr>
          <w:rFonts w:ascii="Arial" w:hAnsi="Arial" w:cs="Arial"/>
          <w:color w:val="222222"/>
          <w:sz w:val="24"/>
          <w:szCs w:val="24"/>
          <w:shd w:val="clear" w:color="auto" w:fill="FFFFFF"/>
        </w:rPr>
        <w:t>(2), pp.227-242.</w:t>
      </w:r>
      <w:proofErr w:type="gramEnd"/>
    </w:p>
    <w:p w:rsidR="00053A01" w:rsidRPr="00C541AA" w:rsidRDefault="009635D8" w:rsidP="00894049">
      <w:pPr>
        <w:spacing w:line="360" w:lineRule="auto"/>
        <w:jc w:val="both"/>
        <w:rPr>
          <w:rFonts w:ascii="Arial" w:hAnsi="Arial" w:cs="Arial"/>
          <w:sz w:val="24"/>
          <w:szCs w:val="24"/>
        </w:rPr>
      </w:pPr>
      <w:hyperlink r:id="rId7" w:history="1">
        <w:r w:rsidR="0069128E" w:rsidRPr="00C541AA">
          <w:rPr>
            <w:rStyle w:val="Hyperlink"/>
            <w:rFonts w:ascii="Arial" w:hAnsi="Arial" w:cs="Arial"/>
            <w:sz w:val="24"/>
            <w:szCs w:val="24"/>
          </w:rPr>
          <w:t>http://jhrmls.com/journals/jhrmls/Vol_2_No_2_June_2014/14.pdf</w:t>
        </w:r>
      </w:hyperlink>
    </w:p>
    <w:p w:rsidR="0069128E" w:rsidRPr="00C541AA" w:rsidRDefault="002F2413" w:rsidP="00894049">
      <w:pPr>
        <w:spacing w:line="360" w:lineRule="auto"/>
        <w:jc w:val="both"/>
        <w:rPr>
          <w:rFonts w:ascii="Arial" w:hAnsi="Arial" w:cs="Arial"/>
          <w:color w:val="222222"/>
          <w:sz w:val="24"/>
          <w:szCs w:val="24"/>
          <w:shd w:val="clear" w:color="auto" w:fill="FFFFFF"/>
        </w:rPr>
      </w:pPr>
      <w:proofErr w:type="gramStart"/>
      <w:r w:rsidRPr="00C541AA">
        <w:rPr>
          <w:rFonts w:ascii="Arial" w:hAnsi="Arial" w:cs="Arial"/>
          <w:color w:val="222222"/>
          <w:sz w:val="24"/>
          <w:szCs w:val="24"/>
          <w:shd w:val="clear" w:color="auto" w:fill="FFFFFF"/>
        </w:rPr>
        <w:t xml:space="preserve">Li Qi, V. and </w:t>
      </w:r>
      <w:proofErr w:type="spellStart"/>
      <w:r w:rsidRPr="00C541AA">
        <w:rPr>
          <w:rFonts w:ascii="Arial" w:hAnsi="Arial" w:cs="Arial"/>
          <w:color w:val="222222"/>
          <w:sz w:val="24"/>
          <w:szCs w:val="24"/>
          <w:shd w:val="clear" w:color="auto" w:fill="FFFFFF"/>
        </w:rPr>
        <w:t>Jia</w:t>
      </w:r>
      <w:proofErr w:type="spellEnd"/>
      <w:r w:rsidRPr="00C541AA">
        <w:rPr>
          <w:rFonts w:ascii="Arial" w:hAnsi="Arial" w:cs="Arial"/>
          <w:color w:val="222222"/>
          <w:sz w:val="24"/>
          <w:szCs w:val="24"/>
          <w:shd w:val="clear" w:color="auto" w:fill="FFFFFF"/>
        </w:rPr>
        <w:t xml:space="preserve"> </w:t>
      </w:r>
      <w:proofErr w:type="spellStart"/>
      <w:r w:rsidRPr="00C541AA">
        <w:rPr>
          <w:rFonts w:ascii="Arial" w:hAnsi="Arial" w:cs="Arial"/>
          <w:color w:val="222222"/>
          <w:sz w:val="24"/>
          <w:szCs w:val="24"/>
          <w:shd w:val="clear" w:color="auto" w:fill="FFFFFF"/>
        </w:rPr>
        <w:t>Qi</w:t>
      </w:r>
      <w:proofErr w:type="spellEnd"/>
      <w:r w:rsidRPr="00C541AA">
        <w:rPr>
          <w:rFonts w:ascii="Arial" w:hAnsi="Arial" w:cs="Arial"/>
          <w:color w:val="222222"/>
          <w:sz w:val="24"/>
          <w:szCs w:val="24"/>
          <w:shd w:val="clear" w:color="auto" w:fill="FFFFFF"/>
        </w:rPr>
        <w:t>, C., 2021.</w:t>
      </w:r>
      <w:proofErr w:type="gramEnd"/>
      <w:r w:rsidRPr="00C541AA">
        <w:rPr>
          <w:rFonts w:ascii="Arial" w:hAnsi="Arial" w:cs="Arial"/>
          <w:color w:val="222222"/>
          <w:sz w:val="24"/>
          <w:szCs w:val="24"/>
          <w:shd w:val="clear" w:color="auto" w:fill="FFFFFF"/>
        </w:rPr>
        <w:t xml:space="preserve"> </w:t>
      </w:r>
      <w:proofErr w:type="gramStart"/>
      <w:r w:rsidRPr="00C541AA">
        <w:rPr>
          <w:rFonts w:ascii="Arial" w:hAnsi="Arial" w:cs="Arial"/>
          <w:color w:val="222222"/>
          <w:sz w:val="24"/>
          <w:szCs w:val="24"/>
          <w:shd w:val="clear" w:color="auto" w:fill="FFFFFF"/>
        </w:rPr>
        <w:t>Talent Management Practices and Employee Engagement-A Study in Malaysian GLCs.</w:t>
      </w:r>
      <w:proofErr w:type="gramEnd"/>
    </w:p>
    <w:p w:rsidR="002F2413" w:rsidRPr="00C541AA" w:rsidRDefault="009635D8" w:rsidP="00894049">
      <w:pPr>
        <w:spacing w:line="360" w:lineRule="auto"/>
        <w:jc w:val="both"/>
        <w:rPr>
          <w:rFonts w:ascii="Arial" w:hAnsi="Arial" w:cs="Arial"/>
          <w:sz w:val="24"/>
          <w:szCs w:val="24"/>
        </w:rPr>
      </w:pPr>
      <w:hyperlink r:id="rId8" w:history="1">
        <w:r w:rsidR="00C5482C" w:rsidRPr="00C541AA">
          <w:rPr>
            <w:rStyle w:val="Hyperlink"/>
            <w:rFonts w:ascii="Arial" w:hAnsi="Arial" w:cs="Arial"/>
            <w:sz w:val="24"/>
            <w:szCs w:val="24"/>
          </w:rPr>
          <w:t>https://oer.ums.edu.my/handle/oer_source_files/1507</w:t>
        </w:r>
      </w:hyperlink>
    </w:p>
    <w:p w:rsidR="00C5482C" w:rsidRPr="00C541AA" w:rsidRDefault="006A57E0" w:rsidP="00894049">
      <w:pPr>
        <w:spacing w:line="360" w:lineRule="auto"/>
        <w:jc w:val="both"/>
        <w:rPr>
          <w:rFonts w:ascii="Arial" w:hAnsi="Arial" w:cs="Arial"/>
          <w:color w:val="222222"/>
          <w:sz w:val="24"/>
          <w:szCs w:val="24"/>
          <w:shd w:val="clear" w:color="auto" w:fill="FFFFFF"/>
        </w:rPr>
      </w:pPr>
      <w:proofErr w:type="spellStart"/>
      <w:proofErr w:type="gramStart"/>
      <w:r w:rsidRPr="00C541AA">
        <w:rPr>
          <w:rFonts w:ascii="Arial" w:hAnsi="Arial" w:cs="Arial"/>
          <w:color w:val="222222"/>
          <w:sz w:val="24"/>
          <w:szCs w:val="24"/>
          <w:shd w:val="clear" w:color="auto" w:fill="FFFFFF"/>
        </w:rPr>
        <w:lastRenderedPageBreak/>
        <w:t>Yuniati</w:t>
      </w:r>
      <w:proofErr w:type="spellEnd"/>
      <w:r w:rsidRPr="00C541AA">
        <w:rPr>
          <w:rFonts w:ascii="Arial" w:hAnsi="Arial" w:cs="Arial"/>
          <w:color w:val="222222"/>
          <w:sz w:val="24"/>
          <w:szCs w:val="24"/>
          <w:shd w:val="clear" w:color="auto" w:fill="FFFFFF"/>
        </w:rPr>
        <w:t xml:space="preserve">, E., </w:t>
      </w:r>
      <w:proofErr w:type="spellStart"/>
      <w:r w:rsidRPr="00C541AA">
        <w:rPr>
          <w:rFonts w:ascii="Arial" w:hAnsi="Arial" w:cs="Arial"/>
          <w:color w:val="222222"/>
          <w:sz w:val="24"/>
          <w:szCs w:val="24"/>
          <w:shd w:val="clear" w:color="auto" w:fill="FFFFFF"/>
        </w:rPr>
        <w:t>Soetjipto</w:t>
      </w:r>
      <w:proofErr w:type="spellEnd"/>
      <w:r w:rsidRPr="00C541AA">
        <w:rPr>
          <w:rFonts w:ascii="Arial" w:hAnsi="Arial" w:cs="Arial"/>
          <w:color w:val="222222"/>
          <w:sz w:val="24"/>
          <w:szCs w:val="24"/>
          <w:shd w:val="clear" w:color="auto" w:fill="FFFFFF"/>
        </w:rPr>
        <w:t xml:space="preserve">, B., </w:t>
      </w:r>
      <w:proofErr w:type="spellStart"/>
      <w:r w:rsidRPr="00C541AA">
        <w:rPr>
          <w:rFonts w:ascii="Arial" w:hAnsi="Arial" w:cs="Arial"/>
          <w:color w:val="222222"/>
          <w:sz w:val="24"/>
          <w:szCs w:val="24"/>
          <w:shd w:val="clear" w:color="auto" w:fill="FFFFFF"/>
        </w:rPr>
        <w:t>Wardoyo</w:t>
      </w:r>
      <w:proofErr w:type="spellEnd"/>
      <w:r w:rsidRPr="00C541AA">
        <w:rPr>
          <w:rFonts w:ascii="Arial" w:hAnsi="Arial" w:cs="Arial"/>
          <w:color w:val="222222"/>
          <w:sz w:val="24"/>
          <w:szCs w:val="24"/>
          <w:shd w:val="clear" w:color="auto" w:fill="FFFFFF"/>
        </w:rPr>
        <w:t xml:space="preserve">, T., </w:t>
      </w:r>
      <w:proofErr w:type="spellStart"/>
      <w:r w:rsidRPr="00C541AA">
        <w:rPr>
          <w:rFonts w:ascii="Arial" w:hAnsi="Arial" w:cs="Arial"/>
          <w:color w:val="222222"/>
          <w:sz w:val="24"/>
          <w:szCs w:val="24"/>
          <w:shd w:val="clear" w:color="auto" w:fill="FFFFFF"/>
        </w:rPr>
        <w:t>Sudarmiatin</w:t>
      </w:r>
      <w:proofErr w:type="spellEnd"/>
      <w:r w:rsidRPr="00C541AA">
        <w:rPr>
          <w:rFonts w:ascii="Arial" w:hAnsi="Arial" w:cs="Arial"/>
          <w:color w:val="222222"/>
          <w:sz w:val="24"/>
          <w:szCs w:val="24"/>
          <w:shd w:val="clear" w:color="auto" w:fill="FFFFFF"/>
        </w:rPr>
        <w:t xml:space="preserve">, S. and </w:t>
      </w:r>
      <w:proofErr w:type="spellStart"/>
      <w:r w:rsidRPr="00C541AA">
        <w:rPr>
          <w:rFonts w:ascii="Arial" w:hAnsi="Arial" w:cs="Arial"/>
          <w:color w:val="222222"/>
          <w:sz w:val="24"/>
          <w:szCs w:val="24"/>
          <w:shd w:val="clear" w:color="auto" w:fill="FFFFFF"/>
        </w:rPr>
        <w:t>Nikmah</w:t>
      </w:r>
      <w:proofErr w:type="spellEnd"/>
      <w:r w:rsidRPr="00C541AA">
        <w:rPr>
          <w:rFonts w:ascii="Arial" w:hAnsi="Arial" w:cs="Arial"/>
          <w:color w:val="222222"/>
          <w:sz w:val="24"/>
          <w:szCs w:val="24"/>
          <w:shd w:val="clear" w:color="auto" w:fill="FFFFFF"/>
        </w:rPr>
        <w:t>, F., 2021.</w:t>
      </w:r>
      <w:proofErr w:type="gramEnd"/>
      <w:r w:rsidRPr="00C541AA">
        <w:rPr>
          <w:rFonts w:ascii="Arial" w:hAnsi="Arial" w:cs="Arial"/>
          <w:color w:val="222222"/>
          <w:sz w:val="24"/>
          <w:szCs w:val="24"/>
          <w:shd w:val="clear" w:color="auto" w:fill="FFFFFF"/>
        </w:rPr>
        <w:t xml:space="preserve"> Talent management and organizational performance: The mediating role of employee engagement. </w:t>
      </w:r>
      <w:proofErr w:type="gramStart"/>
      <w:r w:rsidRPr="00C541AA">
        <w:rPr>
          <w:rFonts w:ascii="Arial" w:hAnsi="Arial" w:cs="Arial"/>
          <w:i/>
          <w:iCs/>
          <w:color w:val="222222"/>
          <w:sz w:val="24"/>
          <w:szCs w:val="24"/>
          <w:shd w:val="clear" w:color="auto" w:fill="FFFFFF"/>
        </w:rPr>
        <w:t>Management Science Letters</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11</w:t>
      </w:r>
      <w:r w:rsidRPr="00C541AA">
        <w:rPr>
          <w:rFonts w:ascii="Arial" w:hAnsi="Arial" w:cs="Arial"/>
          <w:color w:val="222222"/>
          <w:sz w:val="24"/>
          <w:szCs w:val="24"/>
          <w:shd w:val="clear" w:color="auto" w:fill="FFFFFF"/>
        </w:rPr>
        <w:t>(9), pp.2341-2346.</w:t>
      </w:r>
      <w:proofErr w:type="gramEnd"/>
    </w:p>
    <w:p w:rsidR="006A57E0" w:rsidRPr="00C541AA" w:rsidRDefault="009635D8" w:rsidP="00894049">
      <w:pPr>
        <w:spacing w:line="360" w:lineRule="auto"/>
        <w:jc w:val="both"/>
        <w:rPr>
          <w:rFonts w:ascii="Arial" w:hAnsi="Arial" w:cs="Arial"/>
          <w:sz w:val="24"/>
          <w:szCs w:val="24"/>
        </w:rPr>
      </w:pPr>
      <w:hyperlink r:id="rId9" w:history="1">
        <w:r w:rsidR="00F97563" w:rsidRPr="00C541AA">
          <w:rPr>
            <w:rStyle w:val="Hyperlink"/>
            <w:rFonts w:ascii="Arial" w:hAnsi="Arial" w:cs="Arial"/>
            <w:sz w:val="24"/>
            <w:szCs w:val="24"/>
          </w:rPr>
          <w:t>http://m.growingscience.com/beta/msl/4980-talent-management-and-organizational-performance-the-mediating-role-of-employee-engagement.html</w:t>
        </w:r>
      </w:hyperlink>
    </w:p>
    <w:p w:rsidR="00F97563" w:rsidRPr="00C541AA" w:rsidRDefault="008D09C5" w:rsidP="00894049">
      <w:pPr>
        <w:spacing w:line="360" w:lineRule="auto"/>
        <w:jc w:val="both"/>
        <w:rPr>
          <w:rFonts w:ascii="Arial" w:hAnsi="Arial" w:cs="Arial"/>
          <w:color w:val="222222"/>
          <w:sz w:val="24"/>
          <w:szCs w:val="24"/>
          <w:shd w:val="clear" w:color="auto" w:fill="FFFFFF"/>
        </w:rPr>
      </w:pPr>
      <w:r w:rsidRPr="00C541AA">
        <w:rPr>
          <w:rFonts w:ascii="Arial" w:hAnsi="Arial" w:cs="Arial"/>
          <w:color w:val="222222"/>
          <w:sz w:val="24"/>
          <w:szCs w:val="24"/>
          <w:shd w:val="clear" w:color="auto" w:fill="FFFFFF"/>
        </w:rPr>
        <w:t>Crane, B. and Hartwell, C.J., 2019. Global talent management: A life cycle view of the interaction between human and social capital. </w:t>
      </w:r>
      <w:proofErr w:type="gramStart"/>
      <w:r w:rsidRPr="00C541AA">
        <w:rPr>
          <w:rFonts w:ascii="Arial" w:hAnsi="Arial" w:cs="Arial"/>
          <w:i/>
          <w:iCs/>
          <w:color w:val="222222"/>
          <w:sz w:val="24"/>
          <w:szCs w:val="24"/>
          <w:shd w:val="clear" w:color="auto" w:fill="FFFFFF"/>
        </w:rPr>
        <w:t>Journal of World Business</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54</w:t>
      </w:r>
      <w:r w:rsidRPr="00C541AA">
        <w:rPr>
          <w:rFonts w:ascii="Arial" w:hAnsi="Arial" w:cs="Arial"/>
          <w:color w:val="222222"/>
          <w:sz w:val="24"/>
          <w:szCs w:val="24"/>
          <w:shd w:val="clear" w:color="auto" w:fill="FFFFFF"/>
        </w:rPr>
        <w:t>(2), pp.82-92.</w:t>
      </w:r>
      <w:proofErr w:type="gramEnd"/>
    </w:p>
    <w:p w:rsidR="008D09C5" w:rsidRPr="00C541AA" w:rsidRDefault="009635D8" w:rsidP="00894049">
      <w:pPr>
        <w:spacing w:line="360" w:lineRule="auto"/>
        <w:jc w:val="both"/>
        <w:rPr>
          <w:rFonts w:ascii="Arial" w:hAnsi="Arial" w:cs="Arial"/>
          <w:sz w:val="24"/>
          <w:szCs w:val="24"/>
        </w:rPr>
      </w:pPr>
      <w:hyperlink r:id="rId10" w:history="1">
        <w:r w:rsidR="005C12C6" w:rsidRPr="00C541AA">
          <w:rPr>
            <w:rStyle w:val="Hyperlink"/>
            <w:rFonts w:ascii="Arial" w:hAnsi="Arial" w:cs="Arial"/>
            <w:sz w:val="24"/>
            <w:szCs w:val="24"/>
          </w:rPr>
          <w:t>https://www.sciencedirect.com/science/article/abs/pii/S1090951618301548</w:t>
        </w:r>
      </w:hyperlink>
    </w:p>
    <w:p w:rsidR="005C12C6" w:rsidRPr="00C541AA" w:rsidRDefault="00CE7D6F" w:rsidP="00894049">
      <w:pPr>
        <w:spacing w:line="360" w:lineRule="auto"/>
        <w:jc w:val="both"/>
        <w:rPr>
          <w:rFonts w:ascii="Arial" w:hAnsi="Arial" w:cs="Arial"/>
          <w:color w:val="222222"/>
          <w:sz w:val="24"/>
          <w:szCs w:val="24"/>
          <w:shd w:val="clear" w:color="auto" w:fill="FFFFFF"/>
        </w:rPr>
      </w:pPr>
      <w:proofErr w:type="spellStart"/>
      <w:proofErr w:type="gramStart"/>
      <w:r w:rsidRPr="00C541AA">
        <w:rPr>
          <w:rFonts w:ascii="Arial" w:hAnsi="Arial" w:cs="Arial"/>
          <w:color w:val="222222"/>
          <w:sz w:val="24"/>
          <w:szCs w:val="24"/>
          <w:shd w:val="clear" w:color="auto" w:fill="FFFFFF"/>
        </w:rPr>
        <w:t>Dachner</w:t>
      </w:r>
      <w:proofErr w:type="spellEnd"/>
      <w:r w:rsidRPr="00C541AA">
        <w:rPr>
          <w:rFonts w:ascii="Arial" w:hAnsi="Arial" w:cs="Arial"/>
          <w:color w:val="222222"/>
          <w:sz w:val="24"/>
          <w:szCs w:val="24"/>
          <w:shd w:val="clear" w:color="auto" w:fill="FFFFFF"/>
        </w:rPr>
        <w:t xml:space="preserve">, A.M., </w:t>
      </w:r>
      <w:proofErr w:type="spellStart"/>
      <w:r w:rsidRPr="00C541AA">
        <w:rPr>
          <w:rFonts w:ascii="Arial" w:hAnsi="Arial" w:cs="Arial"/>
          <w:color w:val="222222"/>
          <w:sz w:val="24"/>
          <w:szCs w:val="24"/>
          <w:shd w:val="clear" w:color="auto" w:fill="FFFFFF"/>
        </w:rPr>
        <w:t>Ellingson</w:t>
      </w:r>
      <w:proofErr w:type="spellEnd"/>
      <w:r w:rsidRPr="00C541AA">
        <w:rPr>
          <w:rFonts w:ascii="Arial" w:hAnsi="Arial" w:cs="Arial"/>
          <w:color w:val="222222"/>
          <w:sz w:val="24"/>
          <w:szCs w:val="24"/>
          <w:shd w:val="clear" w:color="auto" w:fill="FFFFFF"/>
        </w:rPr>
        <w:t xml:space="preserve">, J.E., </w:t>
      </w:r>
      <w:proofErr w:type="spellStart"/>
      <w:r w:rsidRPr="00C541AA">
        <w:rPr>
          <w:rFonts w:ascii="Arial" w:hAnsi="Arial" w:cs="Arial"/>
          <w:color w:val="222222"/>
          <w:sz w:val="24"/>
          <w:szCs w:val="24"/>
          <w:shd w:val="clear" w:color="auto" w:fill="FFFFFF"/>
        </w:rPr>
        <w:t>Noe</w:t>
      </w:r>
      <w:proofErr w:type="spellEnd"/>
      <w:r w:rsidRPr="00C541AA">
        <w:rPr>
          <w:rFonts w:ascii="Arial" w:hAnsi="Arial" w:cs="Arial"/>
          <w:color w:val="222222"/>
          <w:sz w:val="24"/>
          <w:szCs w:val="24"/>
          <w:shd w:val="clear" w:color="auto" w:fill="FFFFFF"/>
        </w:rPr>
        <w:t>, R.A. and Saxton, B.M., 2021.</w:t>
      </w:r>
      <w:proofErr w:type="gramEnd"/>
      <w:r w:rsidRPr="00C541AA">
        <w:rPr>
          <w:rFonts w:ascii="Arial" w:hAnsi="Arial" w:cs="Arial"/>
          <w:color w:val="222222"/>
          <w:sz w:val="24"/>
          <w:szCs w:val="24"/>
          <w:shd w:val="clear" w:color="auto" w:fill="FFFFFF"/>
        </w:rPr>
        <w:t xml:space="preserve"> </w:t>
      </w:r>
      <w:proofErr w:type="gramStart"/>
      <w:r w:rsidRPr="00C541AA">
        <w:rPr>
          <w:rFonts w:ascii="Arial" w:hAnsi="Arial" w:cs="Arial"/>
          <w:color w:val="222222"/>
          <w:sz w:val="24"/>
          <w:szCs w:val="24"/>
          <w:shd w:val="clear" w:color="auto" w:fill="FFFFFF"/>
        </w:rPr>
        <w:t>The future of employee development.</w:t>
      </w:r>
      <w:proofErr w:type="gramEnd"/>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Human Resource Management Review</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31</w:t>
      </w:r>
      <w:r w:rsidRPr="00C541AA">
        <w:rPr>
          <w:rFonts w:ascii="Arial" w:hAnsi="Arial" w:cs="Arial"/>
          <w:color w:val="222222"/>
          <w:sz w:val="24"/>
          <w:szCs w:val="24"/>
          <w:shd w:val="clear" w:color="auto" w:fill="FFFFFF"/>
        </w:rPr>
        <w:t>(2), p.100732.</w:t>
      </w:r>
    </w:p>
    <w:p w:rsidR="00CE7D6F" w:rsidRPr="00C541AA" w:rsidRDefault="009635D8" w:rsidP="00894049">
      <w:pPr>
        <w:spacing w:line="360" w:lineRule="auto"/>
        <w:jc w:val="both"/>
        <w:rPr>
          <w:rFonts w:ascii="Arial" w:hAnsi="Arial" w:cs="Arial"/>
          <w:sz w:val="24"/>
          <w:szCs w:val="24"/>
        </w:rPr>
      </w:pPr>
      <w:hyperlink r:id="rId11" w:history="1">
        <w:r w:rsidR="00641643" w:rsidRPr="00C541AA">
          <w:rPr>
            <w:rStyle w:val="Hyperlink"/>
            <w:rFonts w:ascii="Arial" w:hAnsi="Arial" w:cs="Arial"/>
            <w:sz w:val="24"/>
            <w:szCs w:val="24"/>
          </w:rPr>
          <w:t>https://www.sciencedirect.com/science/article/abs/pii/S1053482219301500</w:t>
        </w:r>
      </w:hyperlink>
    </w:p>
    <w:p w:rsidR="00641643" w:rsidRPr="00C541AA" w:rsidRDefault="00B42946" w:rsidP="00894049">
      <w:pPr>
        <w:spacing w:line="360" w:lineRule="auto"/>
        <w:jc w:val="both"/>
        <w:rPr>
          <w:rFonts w:ascii="Arial" w:hAnsi="Arial" w:cs="Arial"/>
          <w:color w:val="222222"/>
          <w:sz w:val="24"/>
          <w:szCs w:val="24"/>
          <w:shd w:val="clear" w:color="auto" w:fill="FFFFFF"/>
        </w:rPr>
      </w:pPr>
      <w:proofErr w:type="spellStart"/>
      <w:proofErr w:type="gramStart"/>
      <w:r w:rsidRPr="00C541AA">
        <w:rPr>
          <w:rFonts w:ascii="Arial" w:hAnsi="Arial" w:cs="Arial"/>
          <w:color w:val="222222"/>
          <w:sz w:val="24"/>
          <w:szCs w:val="24"/>
          <w:shd w:val="clear" w:color="auto" w:fill="FFFFFF"/>
        </w:rPr>
        <w:t>Reljic</w:t>
      </w:r>
      <w:proofErr w:type="spellEnd"/>
      <w:r w:rsidRPr="00C541AA">
        <w:rPr>
          <w:rFonts w:ascii="Arial" w:hAnsi="Arial" w:cs="Arial"/>
          <w:color w:val="222222"/>
          <w:sz w:val="24"/>
          <w:szCs w:val="24"/>
          <w:shd w:val="clear" w:color="auto" w:fill="FFFFFF"/>
        </w:rPr>
        <w:t xml:space="preserve">, J., Evangelista, R. and </w:t>
      </w:r>
      <w:proofErr w:type="spellStart"/>
      <w:r w:rsidRPr="00C541AA">
        <w:rPr>
          <w:rFonts w:ascii="Arial" w:hAnsi="Arial" w:cs="Arial"/>
          <w:color w:val="222222"/>
          <w:sz w:val="24"/>
          <w:szCs w:val="24"/>
          <w:shd w:val="clear" w:color="auto" w:fill="FFFFFF"/>
        </w:rPr>
        <w:t>Pianta</w:t>
      </w:r>
      <w:proofErr w:type="spellEnd"/>
      <w:r w:rsidRPr="00C541AA">
        <w:rPr>
          <w:rFonts w:ascii="Arial" w:hAnsi="Arial" w:cs="Arial"/>
          <w:color w:val="222222"/>
          <w:sz w:val="24"/>
          <w:szCs w:val="24"/>
          <w:shd w:val="clear" w:color="auto" w:fill="FFFFFF"/>
        </w:rPr>
        <w:t>, M., 2021.</w:t>
      </w:r>
      <w:proofErr w:type="gramEnd"/>
      <w:r w:rsidRPr="00C541AA">
        <w:rPr>
          <w:rFonts w:ascii="Arial" w:hAnsi="Arial" w:cs="Arial"/>
          <w:color w:val="222222"/>
          <w:sz w:val="24"/>
          <w:szCs w:val="24"/>
          <w:shd w:val="clear" w:color="auto" w:fill="FFFFFF"/>
        </w:rPr>
        <w:t xml:space="preserve"> </w:t>
      </w:r>
      <w:proofErr w:type="gramStart"/>
      <w:r w:rsidRPr="00C541AA">
        <w:rPr>
          <w:rFonts w:ascii="Arial" w:hAnsi="Arial" w:cs="Arial"/>
          <w:color w:val="222222"/>
          <w:sz w:val="24"/>
          <w:szCs w:val="24"/>
          <w:shd w:val="clear" w:color="auto" w:fill="FFFFFF"/>
        </w:rPr>
        <w:t>Digital technologies, employment, and skills.</w:t>
      </w:r>
      <w:proofErr w:type="gramEnd"/>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Industrial and Corporate Change</w:t>
      </w:r>
      <w:r w:rsidRPr="00C541AA">
        <w:rPr>
          <w:rFonts w:ascii="Arial" w:hAnsi="Arial" w:cs="Arial"/>
          <w:color w:val="222222"/>
          <w:sz w:val="24"/>
          <w:szCs w:val="24"/>
          <w:shd w:val="clear" w:color="auto" w:fill="FFFFFF"/>
        </w:rPr>
        <w:t>, p.dtab059.</w:t>
      </w:r>
    </w:p>
    <w:p w:rsidR="00B42946" w:rsidRPr="00C541AA" w:rsidRDefault="009635D8" w:rsidP="00894049">
      <w:pPr>
        <w:spacing w:line="360" w:lineRule="auto"/>
        <w:jc w:val="both"/>
        <w:rPr>
          <w:rFonts w:ascii="Arial" w:hAnsi="Arial" w:cs="Arial"/>
          <w:sz w:val="24"/>
          <w:szCs w:val="24"/>
        </w:rPr>
      </w:pPr>
      <w:hyperlink r:id="rId12" w:history="1">
        <w:r w:rsidR="00592739" w:rsidRPr="00C541AA">
          <w:rPr>
            <w:rStyle w:val="Hyperlink"/>
            <w:rFonts w:ascii="Arial" w:hAnsi="Arial" w:cs="Arial"/>
            <w:sz w:val="24"/>
            <w:szCs w:val="24"/>
          </w:rPr>
          <w:t>https://academic.oup.com/icc/advance-article-abstract/doi/10.1093/icc/dtab059/6371776</w:t>
        </w:r>
      </w:hyperlink>
    </w:p>
    <w:p w:rsidR="00592739" w:rsidRPr="00C541AA" w:rsidRDefault="00917BBD" w:rsidP="00894049">
      <w:pPr>
        <w:spacing w:line="360" w:lineRule="auto"/>
        <w:jc w:val="both"/>
        <w:rPr>
          <w:rFonts w:ascii="Arial" w:hAnsi="Arial" w:cs="Arial"/>
          <w:color w:val="222222"/>
          <w:sz w:val="24"/>
          <w:szCs w:val="24"/>
          <w:shd w:val="clear" w:color="auto" w:fill="FFFFFF"/>
        </w:rPr>
      </w:pPr>
      <w:proofErr w:type="gramStart"/>
      <w:r w:rsidRPr="00C541AA">
        <w:rPr>
          <w:rFonts w:ascii="Arial" w:hAnsi="Arial" w:cs="Arial"/>
          <w:color w:val="222222"/>
          <w:sz w:val="24"/>
          <w:szCs w:val="24"/>
          <w:shd w:val="clear" w:color="auto" w:fill="FFFFFF"/>
        </w:rPr>
        <w:t>Ahmad, F. and Karim, M., 2019.</w:t>
      </w:r>
      <w:proofErr w:type="gramEnd"/>
      <w:r w:rsidRPr="00C541AA">
        <w:rPr>
          <w:rFonts w:ascii="Arial" w:hAnsi="Arial" w:cs="Arial"/>
          <w:color w:val="222222"/>
          <w:sz w:val="24"/>
          <w:szCs w:val="24"/>
          <w:shd w:val="clear" w:color="auto" w:fill="FFFFFF"/>
        </w:rPr>
        <w:t xml:space="preserve"> Impacts of knowledge sharing: a review and directions for future research. </w:t>
      </w:r>
      <w:proofErr w:type="gramStart"/>
      <w:r w:rsidRPr="00C541AA">
        <w:rPr>
          <w:rFonts w:ascii="Arial" w:hAnsi="Arial" w:cs="Arial"/>
          <w:i/>
          <w:iCs/>
          <w:color w:val="222222"/>
          <w:sz w:val="24"/>
          <w:szCs w:val="24"/>
          <w:shd w:val="clear" w:color="auto" w:fill="FFFFFF"/>
        </w:rPr>
        <w:t>Journal of Workplace Learning</w:t>
      </w:r>
      <w:r w:rsidRPr="00C541AA">
        <w:rPr>
          <w:rFonts w:ascii="Arial" w:hAnsi="Arial" w:cs="Arial"/>
          <w:color w:val="222222"/>
          <w:sz w:val="24"/>
          <w:szCs w:val="24"/>
          <w:shd w:val="clear" w:color="auto" w:fill="FFFFFF"/>
        </w:rPr>
        <w:t>.</w:t>
      </w:r>
      <w:proofErr w:type="gramEnd"/>
    </w:p>
    <w:p w:rsidR="00917BBD" w:rsidRPr="00C541AA" w:rsidRDefault="009635D8" w:rsidP="00894049">
      <w:pPr>
        <w:spacing w:line="360" w:lineRule="auto"/>
        <w:jc w:val="both"/>
        <w:rPr>
          <w:rFonts w:ascii="Arial" w:hAnsi="Arial" w:cs="Arial"/>
          <w:sz w:val="24"/>
          <w:szCs w:val="24"/>
        </w:rPr>
      </w:pPr>
      <w:hyperlink r:id="rId13" w:history="1">
        <w:r w:rsidR="00DA6CBC" w:rsidRPr="00C541AA">
          <w:rPr>
            <w:rStyle w:val="Hyperlink"/>
            <w:rFonts w:ascii="Arial" w:hAnsi="Arial" w:cs="Arial"/>
            <w:sz w:val="24"/>
            <w:szCs w:val="24"/>
          </w:rPr>
          <w:t>https://www.emerald.com/insight/content/doi/10.1108/JWL-07-2018-0096/full/html</w:t>
        </w:r>
      </w:hyperlink>
    </w:p>
    <w:p w:rsidR="00DA6CBC" w:rsidRPr="00C541AA" w:rsidRDefault="002C406E" w:rsidP="00894049">
      <w:pPr>
        <w:spacing w:line="360" w:lineRule="auto"/>
        <w:jc w:val="both"/>
        <w:rPr>
          <w:rFonts w:ascii="Arial" w:hAnsi="Arial" w:cs="Arial"/>
          <w:color w:val="222222"/>
          <w:sz w:val="24"/>
          <w:szCs w:val="24"/>
          <w:shd w:val="clear" w:color="auto" w:fill="FFFFFF"/>
        </w:rPr>
      </w:pPr>
      <w:r w:rsidRPr="00C541AA">
        <w:rPr>
          <w:rFonts w:ascii="Arial" w:hAnsi="Arial" w:cs="Arial"/>
          <w:color w:val="222222"/>
          <w:sz w:val="24"/>
          <w:szCs w:val="24"/>
          <w:shd w:val="clear" w:color="auto" w:fill="FFFFFF"/>
        </w:rPr>
        <w:t xml:space="preserve">Asghar, M., </w:t>
      </w:r>
      <w:proofErr w:type="spellStart"/>
      <w:r w:rsidRPr="00C541AA">
        <w:rPr>
          <w:rFonts w:ascii="Arial" w:hAnsi="Arial" w:cs="Arial"/>
          <w:color w:val="222222"/>
          <w:sz w:val="24"/>
          <w:szCs w:val="24"/>
          <w:shd w:val="clear" w:color="auto" w:fill="FFFFFF"/>
        </w:rPr>
        <w:t>Tayyab</w:t>
      </w:r>
      <w:proofErr w:type="spellEnd"/>
      <w:r w:rsidRPr="00C541AA">
        <w:rPr>
          <w:rFonts w:ascii="Arial" w:hAnsi="Arial" w:cs="Arial"/>
          <w:color w:val="222222"/>
          <w:sz w:val="24"/>
          <w:szCs w:val="24"/>
          <w:shd w:val="clear" w:color="auto" w:fill="FFFFFF"/>
        </w:rPr>
        <w:t xml:space="preserve">, M., Gull, N., </w:t>
      </w:r>
      <w:proofErr w:type="spellStart"/>
      <w:r w:rsidRPr="00C541AA">
        <w:rPr>
          <w:rFonts w:ascii="Arial" w:hAnsi="Arial" w:cs="Arial"/>
          <w:color w:val="222222"/>
          <w:sz w:val="24"/>
          <w:szCs w:val="24"/>
          <w:shd w:val="clear" w:color="auto" w:fill="FFFFFF"/>
        </w:rPr>
        <w:t>Zhijie</w:t>
      </w:r>
      <w:proofErr w:type="spellEnd"/>
      <w:r w:rsidRPr="00C541AA">
        <w:rPr>
          <w:rFonts w:ascii="Arial" w:hAnsi="Arial" w:cs="Arial"/>
          <w:color w:val="222222"/>
          <w:sz w:val="24"/>
          <w:szCs w:val="24"/>
          <w:shd w:val="clear" w:color="auto" w:fill="FFFFFF"/>
        </w:rPr>
        <w:t xml:space="preserve">, S., Shi, R. and Tao, X., 2021. </w:t>
      </w:r>
      <w:proofErr w:type="spellStart"/>
      <w:r w:rsidRPr="00C541AA">
        <w:rPr>
          <w:rFonts w:ascii="Arial" w:hAnsi="Arial" w:cs="Arial"/>
          <w:color w:val="222222"/>
          <w:sz w:val="24"/>
          <w:szCs w:val="24"/>
          <w:shd w:val="clear" w:color="auto" w:fill="FFFFFF"/>
        </w:rPr>
        <w:t>Polychronicity</w:t>
      </w:r>
      <w:proofErr w:type="spellEnd"/>
      <w:r w:rsidRPr="00C541AA">
        <w:rPr>
          <w:rFonts w:ascii="Arial" w:hAnsi="Arial" w:cs="Arial"/>
          <w:color w:val="222222"/>
          <w:sz w:val="24"/>
          <w:szCs w:val="24"/>
          <w:shd w:val="clear" w:color="auto" w:fill="FFFFFF"/>
        </w:rPr>
        <w:t>, work engagement, and turnover intention: The moderating role of perceived organizational support in the hotel industry. </w:t>
      </w:r>
      <w:proofErr w:type="gramStart"/>
      <w:r w:rsidRPr="00C541AA">
        <w:rPr>
          <w:rFonts w:ascii="Arial" w:hAnsi="Arial" w:cs="Arial"/>
          <w:i/>
          <w:iCs/>
          <w:color w:val="222222"/>
          <w:sz w:val="24"/>
          <w:szCs w:val="24"/>
          <w:shd w:val="clear" w:color="auto" w:fill="FFFFFF"/>
        </w:rPr>
        <w:t>Journal of Hospitality and Tourism Management</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49</w:t>
      </w:r>
      <w:r w:rsidRPr="00C541AA">
        <w:rPr>
          <w:rFonts w:ascii="Arial" w:hAnsi="Arial" w:cs="Arial"/>
          <w:color w:val="222222"/>
          <w:sz w:val="24"/>
          <w:szCs w:val="24"/>
          <w:shd w:val="clear" w:color="auto" w:fill="FFFFFF"/>
        </w:rPr>
        <w:t>, pp.129-139.</w:t>
      </w:r>
      <w:proofErr w:type="gramEnd"/>
    </w:p>
    <w:p w:rsidR="0013304C" w:rsidRPr="00C541AA" w:rsidRDefault="009635D8" w:rsidP="00894049">
      <w:pPr>
        <w:spacing w:line="360" w:lineRule="auto"/>
        <w:jc w:val="both"/>
        <w:rPr>
          <w:rFonts w:ascii="Arial" w:hAnsi="Arial" w:cs="Arial"/>
          <w:color w:val="222222"/>
          <w:sz w:val="24"/>
          <w:szCs w:val="24"/>
          <w:shd w:val="clear" w:color="auto" w:fill="FFFFFF"/>
        </w:rPr>
      </w:pPr>
      <w:hyperlink r:id="rId14" w:history="1">
        <w:r w:rsidR="0013304C" w:rsidRPr="00C541AA">
          <w:rPr>
            <w:rStyle w:val="Hyperlink"/>
            <w:rFonts w:ascii="Arial" w:hAnsi="Arial" w:cs="Arial"/>
            <w:sz w:val="24"/>
            <w:szCs w:val="24"/>
            <w:shd w:val="clear" w:color="auto" w:fill="FFFFFF"/>
          </w:rPr>
          <w:t>https://www.sciencedirect.com/science/article/abs/pii/S1447677021001510</w:t>
        </w:r>
      </w:hyperlink>
    </w:p>
    <w:p w:rsidR="00DF5771" w:rsidRPr="00C541AA" w:rsidRDefault="00DF5771" w:rsidP="00894049">
      <w:pPr>
        <w:spacing w:line="360" w:lineRule="auto"/>
        <w:jc w:val="both"/>
        <w:rPr>
          <w:rFonts w:ascii="Arial" w:hAnsi="Arial" w:cs="Arial"/>
          <w:color w:val="222222"/>
          <w:sz w:val="24"/>
          <w:szCs w:val="24"/>
          <w:shd w:val="clear" w:color="auto" w:fill="FFFFFF"/>
        </w:rPr>
      </w:pPr>
      <w:proofErr w:type="spellStart"/>
      <w:proofErr w:type="gramStart"/>
      <w:r w:rsidRPr="00C541AA">
        <w:rPr>
          <w:rFonts w:ascii="Arial" w:hAnsi="Arial" w:cs="Arial"/>
          <w:color w:val="222222"/>
          <w:sz w:val="24"/>
          <w:szCs w:val="24"/>
          <w:shd w:val="clear" w:color="auto" w:fill="FFFFFF"/>
        </w:rPr>
        <w:t>Raza</w:t>
      </w:r>
      <w:proofErr w:type="spellEnd"/>
      <w:r w:rsidRPr="00C541AA">
        <w:rPr>
          <w:rFonts w:ascii="Arial" w:hAnsi="Arial" w:cs="Arial"/>
          <w:color w:val="222222"/>
          <w:sz w:val="24"/>
          <w:szCs w:val="24"/>
          <w:shd w:val="clear" w:color="auto" w:fill="FFFFFF"/>
        </w:rPr>
        <w:t xml:space="preserve">, A., </w:t>
      </w:r>
      <w:proofErr w:type="spellStart"/>
      <w:r w:rsidRPr="00C541AA">
        <w:rPr>
          <w:rFonts w:ascii="Arial" w:hAnsi="Arial" w:cs="Arial"/>
          <w:color w:val="222222"/>
          <w:sz w:val="24"/>
          <w:szCs w:val="24"/>
          <w:shd w:val="clear" w:color="auto" w:fill="FFFFFF"/>
        </w:rPr>
        <w:t>Farrukh</w:t>
      </w:r>
      <w:proofErr w:type="spellEnd"/>
      <w:r w:rsidRPr="00C541AA">
        <w:rPr>
          <w:rFonts w:ascii="Arial" w:hAnsi="Arial" w:cs="Arial"/>
          <w:color w:val="222222"/>
          <w:sz w:val="24"/>
          <w:szCs w:val="24"/>
          <w:shd w:val="clear" w:color="auto" w:fill="FFFFFF"/>
        </w:rPr>
        <w:t xml:space="preserve">, M., </w:t>
      </w:r>
      <w:proofErr w:type="spellStart"/>
      <w:r w:rsidRPr="00C541AA">
        <w:rPr>
          <w:rFonts w:ascii="Arial" w:hAnsi="Arial" w:cs="Arial"/>
          <w:color w:val="222222"/>
          <w:sz w:val="24"/>
          <w:szCs w:val="24"/>
          <w:shd w:val="clear" w:color="auto" w:fill="FFFFFF"/>
        </w:rPr>
        <w:t>Iqbal</w:t>
      </w:r>
      <w:proofErr w:type="spellEnd"/>
      <w:r w:rsidRPr="00C541AA">
        <w:rPr>
          <w:rFonts w:ascii="Arial" w:hAnsi="Arial" w:cs="Arial"/>
          <w:color w:val="222222"/>
          <w:sz w:val="24"/>
          <w:szCs w:val="24"/>
          <w:shd w:val="clear" w:color="auto" w:fill="FFFFFF"/>
        </w:rPr>
        <w:t xml:space="preserve">, M.K., </w:t>
      </w:r>
      <w:proofErr w:type="spellStart"/>
      <w:r w:rsidRPr="00C541AA">
        <w:rPr>
          <w:rFonts w:ascii="Arial" w:hAnsi="Arial" w:cs="Arial"/>
          <w:color w:val="222222"/>
          <w:sz w:val="24"/>
          <w:szCs w:val="24"/>
          <w:shd w:val="clear" w:color="auto" w:fill="FFFFFF"/>
        </w:rPr>
        <w:t>Farhan</w:t>
      </w:r>
      <w:proofErr w:type="spellEnd"/>
      <w:r w:rsidRPr="00C541AA">
        <w:rPr>
          <w:rFonts w:ascii="Arial" w:hAnsi="Arial" w:cs="Arial"/>
          <w:color w:val="222222"/>
          <w:sz w:val="24"/>
          <w:szCs w:val="24"/>
          <w:shd w:val="clear" w:color="auto" w:fill="FFFFFF"/>
        </w:rPr>
        <w:t>, M. and Wu, Y., 2021.</w:t>
      </w:r>
      <w:proofErr w:type="gramEnd"/>
      <w:r w:rsidRPr="00C541AA">
        <w:rPr>
          <w:rFonts w:ascii="Arial" w:hAnsi="Arial" w:cs="Arial"/>
          <w:color w:val="222222"/>
          <w:sz w:val="24"/>
          <w:szCs w:val="24"/>
          <w:shd w:val="clear" w:color="auto" w:fill="FFFFFF"/>
        </w:rPr>
        <w:t xml:space="preserve"> Corporate social responsibility and employees' voluntary pro</w:t>
      </w:r>
      <w:r w:rsidRPr="00C541AA">
        <w:rPr>
          <w:rFonts w:ascii="Cambria Math" w:hAnsi="Cambria Math" w:cs="Cambria Math"/>
          <w:color w:val="222222"/>
          <w:sz w:val="24"/>
          <w:szCs w:val="24"/>
          <w:shd w:val="clear" w:color="auto" w:fill="FFFFFF"/>
        </w:rPr>
        <w:t>‐</w:t>
      </w:r>
      <w:r w:rsidRPr="00C541AA">
        <w:rPr>
          <w:rFonts w:ascii="Arial" w:hAnsi="Arial" w:cs="Arial"/>
          <w:color w:val="222222"/>
          <w:sz w:val="24"/>
          <w:szCs w:val="24"/>
          <w:shd w:val="clear" w:color="auto" w:fill="FFFFFF"/>
        </w:rPr>
        <w:t xml:space="preserve">environmental behavior: The role of </w:t>
      </w:r>
      <w:r w:rsidRPr="00C541AA">
        <w:rPr>
          <w:rFonts w:ascii="Arial" w:hAnsi="Arial" w:cs="Arial"/>
          <w:color w:val="222222"/>
          <w:sz w:val="24"/>
          <w:szCs w:val="24"/>
          <w:shd w:val="clear" w:color="auto" w:fill="FFFFFF"/>
        </w:rPr>
        <w:lastRenderedPageBreak/>
        <w:t>organizational pride and employee engagement. </w:t>
      </w:r>
      <w:proofErr w:type="gramStart"/>
      <w:r w:rsidRPr="00C541AA">
        <w:rPr>
          <w:rFonts w:ascii="Arial" w:hAnsi="Arial" w:cs="Arial"/>
          <w:i/>
          <w:iCs/>
          <w:color w:val="222222"/>
          <w:sz w:val="24"/>
          <w:szCs w:val="24"/>
          <w:shd w:val="clear" w:color="auto" w:fill="FFFFFF"/>
        </w:rPr>
        <w:t>Corporate Social Responsibility and Environmental Management</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28</w:t>
      </w:r>
      <w:r w:rsidRPr="00C541AA">
        <w:rPr>
          <w:rFonts w:ascii="Arial" w:hAnsi="Arial" w:cs="Arial"/>
          <w:color w:val="222222"/>
          <w:sz w:val="24"/>
          <w:szCs w:val="24"/>
          <w:shd w:val="clear" w:color="auto" w:fill="FFFFFF"/>
        </w:rPr>
        <w:t>(3), pp.1104-1116.</w:t>
      </w:r>
      <w:proofErr w:type="gramEnd"/>
    </w:p>
    <w:p w:rsidR="00044B73" w:rsidRPr="00C541AA" w:rsidRDefault="009635D8" w:rsidP="00894049">
      <w:pPr>
        <w:spacing w:line="360" w:lineRule="auto"/>
        <w:jc w:val="both"/>
        <w:rPr>
          <w:rFonts w:ascii="Arial" w:hAnsi="Arial" w:cs="Arial"/>
          <w:color w:val="222222"/>
          <w:sz w:val="24"/>
          <w:szCs w:val="24"/>
          <w:shd w:val="clear" w:color="auto" w:fill="FFFFFF"/>
        </w:rPr>
      </w:pPr>
      <w:hyperlink r:id="rId15" w:history="1">
        <w:r w:rsidR="00044B73" w:rsidRPr="00C541AA">
          <w:rPr>
            <w:rStyle w:val="Hyperlink"/>
            <w:rFonts w:ascii="Arial" w:hAnsi="Arial" w:cs="Arial"/>
            <w:sz w:val="24"/>
            <w:szCs w:val="24"/>
            <w:shd w:val="clear" w:color="auto" w:fill="FFFFFF"/>
          </w:rPr>
          <w:t>https://www.researchgate.net/profile/Rosmah-Mohamed/publication/344276458_Role_of_Authentic_Leadership_Servant_Leadership_and_Destructive_Leadership_Behaviour_on_Employee_Engagement_in_Malaysian_Hospitality_Industry/links/5f7d633492851c14bcb38011/Role-of-Authentic-Leadership-Servant-Leadership-and-Destructive-Leadership-Behaviour-on-Employee-Engagement-in-Malaysian-Hospitality-Industry.pdf</w:t>
        </w:r>
      </w:hyperlink>
    </w:p>
    <w:p w:rsidR="005A529E" w:rsidRPr="00C541AA" w:rsidRDefault="005A529E" w:rsidP="00894049">
      <w:pPr>
        <w:spacing w:line="360" w:lineRule="auto"/>
        <w:jc w:val="both"/>
        <w:rPr>
          <w:rFonts w:ascii="Arial" w:hAnsi="Arial" w:cs="Arial"/>
          <w:color w:val="222222"/>
          <w:sz w:val="24"/>
          <w:szCs w:val="24"/>
          <w:shd w:val="clear" w:color="auto" w:fill="FFFFFF"/>
        </w:rPr>
      </w:pPr>
      <w:proofErr w:type="gramStart"/>
      <w:r w:rsidRPr="00C541AA">
        <w:rPr>
          <w:rFonts w:ascii="Arial" w:hAnsi="Arial" w:cs="Arial"/>
          <w:color w:val="222222"/>
          <w:sz w:val="24"/>
          <w:szCs w:val="24"/>
          <w:shd w:val="clear" w:color="auto" w:fill="FFFFFF"/>
        </w:rPr>
        <w:t xml:space="preserve">Ali, Z., Bashir, M. and </w:t>
      </w:r>
      <w:proofErr w:type="spellStart"/>
      <w:r w:rsidRPr="00C541AA">
        <w:rPr>
          <w:rFonts w:ascii="Arial" w:hAnsi="Arial" w:cs="Arial"/>
          <w:color w:val="222222"/>
          <w:sz w:val="24"/>
          <w:szCs w:val="24"/>
          <w:shd w:val="clear" w:color="auto" w:fill="FFFFFF"/>
        </w:rPr>
        <w:t>Mehreen</w:t>
      </w:r>
      <w:proofErr w:type="spellEnd"/>
      <w:r w:rsidRPr="00C541AA">
        <w:rPr>
          <w:rFonts w:ascii="Arial" w:hAnsi="Arial" w:cs="Arial"/>
          <w:color w:val="222222"/>
          <w:sz w:val="24"/>
          <w:szCs w:val="24"/>
          <w:shd w:val="clear" w:color="auto" w:fill="FFFFFF"/>
        </w:rPr>
        <w:t>, A., 2019.</w:t>
      </w:r>
      <w:proofErr w:type="gramEnd"/>
      <w:r w:rsidRPr="00C541AA">
        <w:rPr>
          <w:rFonts w:ascii="Arial" w:hAnsi="Arial" w:cs="Arial"/>
          <w:color w:val="222222"/>
          <w:sz w:val="24"/>
          <w:szCs w:val="24"/>
          <w:shd w:val="clear" w:color="auto" w:fill="FFFFFF"/>
        </w:rPr>
        <w:t xml:space="preserve"> Managing organizational effectiveness through talent management and career development: The mediating role of employee engagement. </w:t>
      </w:r>
      <w:proofErr w:type="gramStart"/>
      <w:r w:rsidRPr="00C541AA">
        <w:rPr>
          <w:rFonts w:ascii="Arial" w:hAnsi="Arial" w:cs="Arial"/>
          <w:i/>
          <w:iCs/>
          <w:color w:val="222222"/>
          <w:sz w:val="24"/>
          <w:szCs w:val="24"/>
          <w:shd w:val="clear" w:color="auto" w:fill="FFFFFF"/>
        </w:rPr>
        <w:t>Journal of Management Sciences</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6</w:t>
      </w:r>
      <w:r w:rsidRPr="00C541AA">
        <w:rPr>
          <w:rFonts w:ascii="Arial" w:hAnsi="Arial" w:cs="Arial"/>
          <w:color w:val="222222"/>
          <w:sz w:val="24"/>
          <w:szCs w:val="24"/>
          <w:shd w:val="clear" w:color="auto" w:fill="FFFFFF"/>
        </w:rPr>
        <w:t>(1), pp.62-78.</w:t>
      </w:r>
      <w:proofErr w:type="gramEnd"/>
    </w:p>
    <w:p w:rsidR="005A529E" w:rsidRPr="00C541AA" w:rsidRDefault="009635D8" w:rsidP="00894049">
      <w:pPr>
        <w:spacing w:line="360" w:lineRule="auto"/>
        <w:jc w:val="both"/>
        <w:rPr>
          <w:rFonts w:ascii="Arial" w:hAnsi="Arial" w:cs="Arial"/>
          <w:color w:val="222222"/>
          <w:sz w:val="24"/>
          <w:szCs w:val="24"/>
          <w:shd w:val="clear" w:color="auto" w:fill="FFFFFF"/>
        </w:rPr>
      </w:pPr>
      <w:hyperlink r:id="rId16" w:history="1">
        <w:r w:rsidR="008676FB" w:rsidRPr="00C541AA">
          <w:rPr>
            <w:rStyle w:val="Hyperlink"/>
            <w:rFonts w:ascii="Arial" w:hAnsi="Arial" w:cs="Arial"/>
            <w:sz w:val="24"/>
            <w:szCs w:val="24"/>
            <w:shd w:val="clear" w:color="auto" w:fill="FFFFFF"/>
          </w:rPr>
          <w:t>https://www.researchgate.net/profile/Zulqurnain-Ali/publication/332560759_Managing_Organizational_Effectiveness_through_Talent_Management_and_Career_Development_The_Mediating_Role_of_Employee_Engagement/links/5cc15238299bf120977d832d/Managing-Organizational-Effectiveness-through-Talent-Management-and-Career-Development-The-Mediating-Role-of-Employee-Engagement.pdf?_sg%5B0%5D=started_experiment_milestone&amp;origin=journalDetail&amp;_rtd=e30%3D</w:t>
        </w:r>
      </w:hyperlink>
    </w:p>
    <w:p w:rsidR="008676FB" w:rsidRPr="00C541AA" w:rsidRDefault="00F221B5" w:rsidP="00894049">
      <w:pPr>
        <w:spacing w:line="360" w:lineRule="auto"/>
        <w:jc w:val="both"/>
        <w:rPr>
          <w:rFonts w:ascii="Arial" w:hAnsi="Arial" w:cs="Arial"/>
          <w:color w:val="222222"/>
          <w:sz w:val="24"/>
          <w:szCs w:val="24"/>
          <w:shd w:val="clear" w:color="auto" w:fill="FFFFFF"/>
        </w:rPr>
      </w:pPr>
      <w:proofErr w:type="spellStart"/>
      <w:r w:rsidRPr="00C541AA">
        <w:rPr>
          <w:rFonts w:ascii="Arial" w:hAnsi="Arial" w:cs="Arial"/>
          <w:color w:val="222222"/>
          <w:sz w:val="24"/>
          <w:szCs w:val="24"/>
          <w:shd w:val="clear" w:color="auto" w:fill="FFFFFF"/>
        </w:rPr>
        <w:t>Pongton</w:t>
      </w:r>
      <w:proofErr w:type="spellEnd"/>
      <w:r w:rsidRPr="00C541AA">
        <w:rPr>
          <w:rFonts w:ascii="Arial" w:hAnsi="Arial" w:cs="Arial"/>
          <w:color w:val="222222"/>
          <w:sz w:val="24"/>
          <w:szCs w:val="24"/>
          <w:shd w:val="clear" w:color="auto" w:fill="FFFFFF"/>
        </w:rPr>
        <w:t xml:space="preserve">, P. and </w:t>
      </w:r>
      <w:proofErr w:type="spellStart"/>
      <w:r w:rsidRPr="00C541AA">
        <w:rPr>
          <w:rFonts w:ascii="Arial" w:hAnsi="Arial" w:cs="Arial"/>
          <w:color w:val="222222"/>
          <w:sz w:val="24"/>
          <w:szCs w:val="24"/>
          <w:shd w:val="clear" w:color="auto" w:fill="FFFFFF"/>
        </w:rPr>
        <w:t>Suntrayuth</w:t>
      </w:r>
      <w:proofErr w:type="spellEnd"/>
      <w:r w:rsidRPr="00C541AA">
        <w:rPr>
          <w:rFonts w:ascii="Arial" w:hAnsi="Arial" w:cs="Arial"/>
          <w:color w:val="222222"/>
          <w:sz w:val="24"/>
          <w:szCs w:val="24"/>
          <w:shd w:val="clear" w:color="auto" w:fill="FFFFFF"/>
        </w:rPr>
        <w:t xml:space="preserve">, S., 2019. </w:t>
      </w:r>
      <w:proofErr w:type="gramStart"/>
      <w:r w:rsidRPr="00C541AA">
        <w:rPr>
          <w:rFonts w:ascii="Arial" w:hAnsi="Arial" w:cs="Arial"/>
          <w:color w:val="222222"/>
          <w:sz w:val="24"/>
          <w:szCs w:val="24"/>
          <w:shd w:val="clear" w:color="auto" w:fill="FFFFFF"/>
        </w:rPr>
        <w:t>Communication satisfaction, employee engagement, job satisfaction, and job performance in higher education institutions.</w:t>
      </w:r>
      <w:proofErr w:type="gramEnd"/>
      <w:r w:rsidRPr="00C541AA">
        <w:rPr>
          <w:rFonts w:ascii="Arial" w:hAnsi="Arial" w:cs="Arial"/>
          <w:color w:val="222222"/>
          <w:sz w:val="24"/>
          <w:szCs w:val="24"/>
          <w:shd w:val="clear" w:color="auto" w:fill="FFFFFF"/>
        </w:rPr>
        <w:t> </w:t>
      </w:r>
      <w:proofErr w:type="spellStart"/>
      <w:proofErr w:type="gramStart"/>
      <w:r w:rsidRPr="00C541AA">
        <w:rPr>
          <w:rFonts w:ascii="Arial" w:hAnsi="Arial" w:cs="Arial"/>
          <w:i/>
          <w:iCs/>
          <w:color w:val="222222"/>
          <w:sz w:val="24"/>
          <w:szCs w:val="24"/>
          <w:shd w:val="clear" w:color="auto" w:fill="FFFFFF"/>
        </w:rPr>
        <w:t>Abac</w:t>
      </w:r>
      <w:proofErr w:type="spellEnd"/>
      <w:r w:rsidRPr="00C541AA">
        <w:rPr>
          <w:rFonts w:ascii="Arial" w:hAnsi="Arial" w:cs="Arial"/>
          <w:i/>
          <w:iCs/>
          <w:color w:val="222222"/>
          <w:sz w:val="24"/>
          <w:szCs w:val="24"/>
          <w:shd w:val="clear" w:color="auto" w:fill="FFFFFF"/>
        </w:rPr>
        <w:t xml:space="preserve"> Journal</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39</w:t>
      </w:r>
      <w:r w:rsidRPr="00C541AA">
        <w:rPr>
          <w:rFonts w:ascii="Arial" w:hAnsi="Arial" w:cs="Arial"/>
          <w:color w:val="222222"/>
          <w:sz w:val="24"/>
          <w:szCs w:val="24"/>
          <w:shd w:val="clear" w:color="auto" w:fill="FFFFFF"/>
        </w:rPr>
        <w:t>(3), pp.90-110.</w:t>
      </w:r>
      <w:proofErr w:type="gramEnd"/>
    </w:p>
    <w:p w:rsidR="00F221B5" w:rsidRPr="00C541AA" w:rsidRDefault="009635D8" w:rsidP="00894049">
      <w:pPr>
        <w:spacing w:line="360" w:lineRule="auto"/>
        <w:jc w:val="both"/>
        <w:rPr>
          <w:rFonts w:ascii="Arial" w:hAnsi="Arial" w:cs="Arial"/>
          <w:color w:val="222222"/>
          <w:sz w:val="24"/>
          <w:szCs w:val="24"/>
          <w:shd w:val="clear" w:color="auto" w:fill="FFFFFF"/>
        </w:rPr>
      </w:pPr>
      <w:hyperlink r:id="rId17" w:history="1">
        <w:r w:rsidR="00F85496" w:rsidRPr="00C541AA">
          <w:rPr>
            <w:rStyle w:val="Hyperlink"/>
            <w:rFonts w:ascii="Arial" w:hAnsi="Arial" w:cs="Arial"/>
            <w:sz w:val="24"/>
            <w:szCs w:val="24"/>
            <w:shd w:val="clear" w:color="auto" w:fill="FFFFFF"/>
          </w:rPr>
          <w:t>http://www.assumptionjournal.au.edu/index.php/abacjournal/article/view/4204</w:t>
        </w:r>
      </w:hyperlink>
    </w:p>
    <w:p w:rsidR="00F85496" w:rsidRPr="00C541AA" w:rsidRDefault="00064CA8" w:rsidP="00894049">
      <w:pPr>
        <w:spacing w:line="360" w:lineRule="auto"/>
        <w:jc w:val="both"/>
        <w:rPr>
          <w:rFonts w:ascii="Arial" w:hAnsi="Arial" w:cs="Arial"/>
          <w:color w:val="222222"/>
          <w:sz w:val="24"/>
          <w:szCs w:val="24"/>
          <w:shd w:val="clear" w:color="auto" w:fill="FFFFFF"/>
        </w:rPr>
      </w:pPr>
      <w:proofErr w:type="gramStart"/>
      <w:r w:rsidRPr="00C541AA">
        <w:rPr>
          <w:rFonts w:ascii="Arial" w:hAnsi="Arial" w:cs="Arial"/>
          <w:color w:val="222222"/>
          <w:sz w:val="24"/>
          <w:szCs w:val="24"/>
          <w:shd w:val="clear" w:color="auto" w:fill="FFFFFF"/>
        </w:rPr>
        <w:t xml:space="preserve">Chanana, N. and </w:t>
      </w:r>
      <w:proofErr w:type="spellStart"/>
      <w:r w:rsidRPr="00C541AA">
        <w:rPr>
          <w:rFonts w:ascii="Arial" w:hAnsi="Arial" w:cs="Arial"/>
          <w:color w:val="222222"/>
          <w:sz w:val="24"/>
          <w:szCs w:val="24"/>
          <w:shd w:val="clear" w:color="auto" w:fill="FFFFFF"/>
        </w:rPr>
        <w:t>Sangeeta</w:t>
      </w:r>
      <w:proofErr w:type="spellEnd"/>
      <w:r w:rsidRPr="00C541AA">
        <w:rPr>
          <w:rFonts w:ascii="Arial" w:hAnsi="Arial" w:cs="Arial"/>
          <w:color w:val="222222"/>
          <w:sz w:val="24"/>
          <w:szCs w:val="24"/>
          <w:shd w:val="clear" w:color="auto" w:fill="FFFFFF"/>
        </w:rPr>
        <w:t>, 2021.</w:t>
      </w:r>
      <w:proofErr w:type="gramEnd"/>
      <w:r w:rsidRPr="00C541AA">
        <w:rPr>
          <w:rFonts w:ascii="Arial" w:hAnsi="Arial" w:cs="Arial"/>
          <w:color w:val="222222"/>
          <w:sz w:val="24"/>
          <w:szCs w:val="24"/>
          <w:shd w:val="clear" w:color="auto" w:fill="FFFFFF"/>
        </w:rPr>
        <w:t xml:space="preserve"> Employee engagement practices during COVID</w:t>
      </w:r>
      <w:r w:rsidRPr="00C541AA">
        <w:rPr>
          <w:rFonts w:ascii="Cambria Math" w:hAnsi="Cambria Math" w:cs="Cambria Math"/>
          <w:color w:val="222222"/>
          <w:sz w:val="24"/>
          <w:szCs w:val="24"/>
          <w:shd w:val="clear" w:color="auto" w:fill="FFFFFF"/>
        </w:rPr>
        <w:t>‐</w:t>
      </w:r>
      <w:r w:rsidRPr="00C541AA">
        <w:rPr>
          <w:rFonts w:ascii="Arial" w:hAnsi="Arial" w:cs="Arial"/>
          <w:color w:val="222222"/>
          <w:sz w:val="24"/>
          <w:szCs w:val="24"/>
          <w:shd w:val="clear" w:color="auto" w:fill="FFFFFF"/>
        </w:rPr>
        <w:t>19 lockdown. </w:t>
      </w:r>
      <w:r w:rsidRPr="00C541AA">
        <w:rPr>
          <w:rFonts w:ascii="Arial" w:hAnsi="Arial" w:cs="Arial"/>
          <w:i/>
          <w:iCs/>
          <w:color w:val="222222"/>
          <w:sz w:val="24"/>
          <w:szCs w:val="24"/>
          <w:shd w:val="clear" w:color="auto" w:fill="FFFFFF"/>
        </w:rPr>
        <w:t>Journal of public affairs</w:t>
      </w:r>
      <w:r w:rsidRPr="00C541AA">
        <w:rPr>
          <w:rFonts w:ascii="Arial" w:hAnsi="Arial" w:cs="Arial"/>
          <w:color w:val="222222"/>
          <w:sz w:val="24"/>
          <w:szCs w:val="24"/>
          <w:shd w:val="clear" w:color="auto" w:fill="FFFFFF"/>
        </w:rPr>
        <w:t>, </w:t>
      </w:r>
      <w:r w:rsidRPr="00C541AA">
        <w:rPr>
          <w:rFonts w:ascii="Arial" w:hAnsi="Arial" w:cs="Arial"/>
          <w:i/>
          <w:iCs/>
          <w:color w:val="222222"/>
          <w:sz w:val="24"/>
          <w:szCs w:val="24"/>
          <w:shd w:val="clear" w:color="auto" w:fill="FFFFFF"/>
        </w:rPr>
        <w:t>21</w:t>
      </w:r>
      <w:r w:rsidRPr="00C541AA">
        <w:rPr>
          <w:rFonts w:ascii="Arial" w:hAnsi="Arial" w:cs="Arial"/>
          <w:color w:val="222222"/>
          <w:sz w:val="24"/>
          <w:szCs w:val="24"/>
          <w:shd w:val="clear" w:color="auto" w:fill="FFFFFF"/>
        </w:rPr>
        <w:t>(4), p.e2508.</w:t>
      </w:r>
    </w:p>
    <w:p w:rsidR="00064CA8" w:rsidRPr="00C541AA" w:rsidRDefault="009635D8" w:rsidP="00894049">
      <w:pPr>
        <w:spacing w:line="360" w:lineRule="auto"/>
        <w:jc w:val="both"/>
        <w:rPr>
          <w:rFonts w:ascii="Arial" w:hAnsi="Arial" w:cs="Arial"/>
          <w:color w:val="222222"/>
          <w:sz w:val="24"/>
          <w:szCs w:val="24"/>
          <w:shd w:val="clear" w:color="auto" w:fill="FFFFFF"/>
        </w:rPr>
      </w:pPr>
      <w:hyperlink r:id="rId18" w:history="1">
        <w:r w:rsidR="00695AEF" w:rsidRPr="00C541AA">
          <w:rPr>
            <w:rStyle w:val="Hyperlink"/>
            <w:rFonts w:ascii="Arial" w:hAnsi="Arial" w:cs="Arial"/>
            <w:sz w:val="24"/>
            <w:szCs w:val="24"/>
            <w:shd w:val="clear" w:color="auto" w:fill="FFFFFF"/>
          </w:rPr>
          <w:t>https://onlinelibrary.wiley.com/doi/abs/10.1002/pa.2508</w:t>
        </w:r>
      </w:hyperlink>
    </w:p>
    <w:p w:rsidR="002C406E" w:rsidRPr="00C541AA" w:rsidRDefault="002C406E" w:rsidP="00894049">
      <w:pPr>
        <w:spacing w:line="360" w:lineRule="auto"/>
        <w:jc w:val="both"/>
        <w:rPr>
          <w:rFonts w:ascii="Arial" w:hAnsi="Arial" w:cs="Arial"/>
          <w:color w:val="222222"/>
          <w:sz w:val="24"/>
          <w:szCs w:val="24"/>
          <w:shd w:val="clear" w:color="auto" w:fill="FFFFFF"/>
        </w:rPr>
      </w:pPr>
    </w:p>
    <w:sectPr w:rsidR="002C406E" w:rsidRPr="00C541AA" w:rsidSect="008C7B8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7"/>
  <w:doNotDisplayPageBoundaries/>
  <w:proofState w:spelling="clean" w:grammar="clean"/>
  <w:defaultTabStop w:val="720"/>
  <w:characterSpacingControl w:val="doNotCompress"/>
  <w:compat/>
  <w:rsids>
    <w:rsidRoot w:val="003418AE"/>
    <w:rsid w:val="00044403"/>
    <w:rsid w:val="00044B73"/>
    <w:rsid w:val="00053A01"/>
    <w:rsid w:val="00055874"/>
    <w:rsid w:val="00064CA8"/>
    <w:rsid w:val="000834E8"/>
    <w:rsid w:val="000964BB"/>
    <w:rsid w:val="000A5394"/>
    <w:rsid w:val="000B1E80"/>
    <w:rsid w:val="000E4EE4"/>
    <w:rsid w:val="000F51B8"/>
    <w:rsid w:val="00113CFD"/>
    <w:rsid w:val="00127887"/>
    <w:rsid w:val="0013304C"/>
    <w:rsid w:val="001374E1"/>
    <w:rsid w:val="00146072"/>
    <w:rsid w:val="00151715"/>
    <w:rsid w:val="00164BAB"/>
    <w:rsid w:val="0016507D"/>
    <w:rsid w:val="00185FFD"/>
    <w:rsid w:val="001B4E43"/>
    <w:rsid w:val="001B60D6"/>
    <w:rsid w:val="001E7B7C"/>
    <w:rsid w:val="00202E5C"/>
    <w:rsid w:val="00224603"/>
    <w:rsid w:val="00232B73"/>
    <w:rsid w:val="0025523F"/>
    <w:rsid w:val="002C406E"/>
    <w:rsid w:val="002E6551"/>
    <w:rsid w:val="002F2094"/>
    <w:rsid w:val="002F2413"/>
    <w:rsid w:val="00306821"/>
    <w:rsid w:val="003418AE"/>
    <w:rsid w:val="00350C93"/>
    <w:rsid w:val="00351FF9"/>
    <w:rsid w:val="0038506A"/>
    <w:rsid w:val="003B6FD1"/>
    <w:rsid w:val="003C2C4D"/>
    <w:rsid w:val="003D434C"/>
    <w:rsid w:val="003D4B12"/>
    <w:rsid w:val="003E722A"/>
    <w:rsid w:val="003F540C"/>
    <w:rsid w:val="004408CA"/>
    <w:rsid w:val="00441732"/>
    <w:rsid w:val="00465F33"/>
    <w:rsid w:val="00473822"/>
    <w:rsid w:val="00480F68"/>
    <w:rsid w:val="004A465E"/>
    <w:rsid w:val="004A5497"/>
    <w:rsid w:val="00501A93"/>
    <w:rsid w:val="00507760"/>
    <w:rsid w:val="005352E5"/>
    <w:rsid w:val="00540AEB"/>
    <w:rsid w:val="00542100"/>
    <w:rsid w:val="00547161"/>
    <w:rsid w:val="005532E1"/>
    <w:rsid w:val="00564647"/>
    <w:rsid w:val="00592739"/>
    <w:rsid w:val="005A529E"/>
    <w:rsid w:val="005C12C6"/>
    <w:rsid w:val="005F0D94"/>
    <w:rsid w:val="00613FB5"/>
    <w:rsid w:val="00620254"/>
    <w:rsid w:val="0062054A"/>
    <w:rsid w:val="006247D6"/>
    <w:rsid w:val="00640833"/>
    <w:rsid w:val="00641643"/>
    <w:rsid w:val="006801D2"/>
    <w:rsid w:val="0069128E"/>
    <w:rsid w:val="00695AEF"/>
    <w:rsid w:val="006960B8"/>
    <w:rsid w:val="006A57E0"/>
    <w:rsid w:val="006B03E9"/>
    <w:rsid w:val="006D1EEE"/>
    <w:rsid w:val="006D65A5"/>
    <w:rsid w:val="006F75DE"/>
    <w:rsid w:val="00703471"/>
    <w:rsid w:val="007143EE"/>
    <w:rsid w:val="00723330"/>
    <w:rsid w:val="00731D3E"/>
    <w:rsid w:val="00744924"/>
    <w:rsid w:val="00772032"/>
    <w:rsid w:val="00776CA0"/>
    <w:rsid w:val="0078024A"/>
    <w:rsid w:val="007A344F"/>
    <w:rsid w:val="007A3AB7"/>
    <w:rsid w:val="007D1E17"/>
    <w:rsid w:val="007D5EC2"/>
    <w:rsid w:val="007E0439"/>
    <w:rsid w:val="007F05C1"/>
    <w:rsid w:val="00807953"/>
    <w:rsid w:val="00814731"/>
    <w:rsid w:val="0082573C"/>
    <w:rsid w:val="00830BA2"/>
    <w:rsid w:val="008321BF"/>
    <w:rsid w:val="00850364"/>
    <w:rsid w:val="008676FB"/>
    <w:rsid w:val="008746D5"/>
    <w:rsid w:val="00894049"/>
    <w:rsid w:val="008C7B8B"/>
    <w:rsid w:val="008D09C5"/>
    <w:rsid w:val="008D5CEE"/>
    <w:rsid w:val="008E6056"/>
    <w:rsid w:val="008E7049"/>
    <w:rsid w:val="008F3203"/>
    <w:rsid w:val="00902A3E"/>
    <w:rsid w:val="00917BBD"/>
    <w:rsid w:val="0092469C"/>
    <w:rsid w:val="00932714"/>
    <w:rsid w:val="0095069F"/>
    <w:rsid w:val="009613E0"/>
    <w:rsid w:val="009635D8"/>
    <w:rsid w:val="009945AB"/>
    <w:rsid w:val="00997627"/>
    <w:rsid w:val="009C1743"/>
    <w:rsid w:val="009E0F5A"/>
    <w:rsid w:val="00A13F26"/>
    <w:rsid w:val="00A41ACD"/>
    <w:rsid w:val="00A6051A"/>
    <w:rsid w:val="00A87436"/>
    <w:rsid w:val="00AF2DCB"/>
    <w:rsid w:val="00AF3D24"/>
    <w:rsid w:val="00AF60FC"/>
    <w:rsid w:val="00B42946"/>
    <w:rsid w:val="00B479DE"/>
    <w:rsid w:val="00B526B5"/>
    <w:rsid w:val="00B76025"/>
    <w:rsid w:val="00BA25A2"/>
    <w:rsid w:val="00C17242"/>
    <w:rsid w:val="00C3636C"/>
    <w:rsid w:val="00C541AA"/>
    <w:rsid w:val="00C5482C"/>
    <w:rsid w:val="00C73801"/>
    <w:rsid w:val="00CB2251"/>
    <w:rsid w:val="00CE7D6F"/>
    <w:rsid w:val="00CF2C40"/>
    <w:rsid w:val="00D25582"/>
    <w:rsid w:val="00D3110F"/>
    <w:rsid w:val="00D472F6"/>
    <w:rsid w:val="00D63EEB"/>
    <w:rsid w:val="00D80FB1"/>
    <w:rsid w:val="00D812D5"/>
    <w:rsid w:val="00DA6CBC"/>
    <w:rsid w:val="00DD5C5A"/>
    <w:rsid w:val="00DE305C"/>
    <w:rsid w:val="00DF5771"/>
    <w:rsid w:val="00E1501E"/>
    <w:rsid w:val="00E37FEA"/>
    <w:rsid w:val="00E40A76"/>
    <w:rsid w:val="00E52456"/>
    <w:rsid w:val="00E66677"/>
    <w:rsid w:val="00E7768A"/>
    <w:rsid w:val="00EA4E39"/>
    <w:rsid w:val="00EA7F95"/>
    <w:rsid w:val="00EB151F"/>
    <w:rsid w:val="00EE21CB"/>
    <w:rsid w:val="00F11E34"/>
    <w:rsid w:val="00F221B5"/>
    <w:rsid w:val="00F66723"/>
    <w:rsid w:val="00F85496"/>
    <w:rsid w:val="00F927E8"/>
    <w:rsid w:val="00F97563"/>
    <w:rsid w:val="00FB50EB"/>
    <w:rsid w:val="00FB6496"/>
    <w:rsid w:val="00FD7C15"/>
    <w:rsid w:val="00FE56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B8B"/>
  </w:style>
  <w:style w:type="paragraph" w:styleId="Heading1">
    <w:name w:val="heading 1"/>
    <w:basedOn w:val="Normal"/>
    <w:next w:val="Normal"/>
    <w:link w:val="Heading1Char"/>
    <w:uiPriority w:val="9"/>
    <w:qFormat/>
    <w:rsid w:val="008E60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172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7242"/>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FD7C15"/>
    <w:rPr>
      <w:color w:val="0000FF" w:themeColor="hyperlink"/>
      <w:u w:val="single"/>
    </w:rPr>
  </w:style>
  <w:style w:type="character" w:customStyle="1" w:styleId="Heading1Char">
    <w:name w:val="Heading 1 Char"/>
    <w:basedOn w:val="DefaultParagraphFont"/>
    <w:link w:val="Heading1"/>
    <w:uiPriority w:val="9"/>
    <w:rsid w:val="008E6056"/>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60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172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7242"/>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FD7C15"/>
    <w:rPr>
      <w:color w:val="0000FF" w:themeColor="hyperlink"/>
      <w:u w:val="single"/>
    </w:rPr>
  </w:style>
  <w:style w:type="character" w:customStyle="1" w:styleId="Heading1Char">
    <w:name w:val="Heading 1 Char"/>
    <w:basedOn w:val="DefaultParagraphFont"/>
    <w:link w:val="Heading1"/>
    <w:uiPriority w:val="9"/>
    <w:rsid w:val="008E6056"/>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er.ums.edu.my/handle/oer_source_files/1507" TargetMode="External"/><Relationship Id="rId13" Type="http://schemas.openxmlformats.org/officeDocument/2006/relationships/hyperlink" Target="https://www.emerald.com/insight/content/doi/10.1108/JWL-07-2018-0096/full/html" TargetMode="External"/><Relationship Id="rId18" Type="http://schemas.openxmlformats.org/officeDocument/2006/relationships/hyperlink" Target="https://onlinelibrary.wiley.com/doi/abs/10.1002/pa.2508" TargetMode="External"/><Relationship Id="rId3" Type="http://schemas.openxmlformats.org/officeDocument/2006/relationships/webSettings" Target="webSettings.xml"/><Relationship Id="rId21" Type="http://schemas.microsoft.com/office/2007/relationships/stylesWithEffects" Target="stylesWithEffects.xml"/><Relationship Id="rId7" Type="http://schemas.openxmlformats.org/officeDocument/2006/relationships/hyperlink" Target="http://jhrmls.com/journals/jhrmls/Vol_2_No_2_June_2014/14.pdf" TargetMode="External"/><Relationship Id="rId12" Type="http://schemas.openxmlformats.org/officeDocument/2006/relationships/hyperlink" Target="https://academic.oup.com/icc/advance-article-abstract/doi/10.1093/icc/dtab059/6371776" TargetMode="External"/><Relationship Id="rId17" Type="http://schemas.openxmlformats.org/officeDocument/2006/relationships/hyperlink" Target="http://www.assumptionjournal.au.edu/index.php/abacjournal/article/view/4204" TargetMode="External"/><Relationship Id="rId2" Type="http://schemas.openxmlformats.org/officeDocument/2006/relationships/settings" Target="settings.xml"/><Relationship Id="rId16" Type="http://schemas.openxmlformats.org/officeDocument/2006/relationships/hyperlink" Target="https://www.researchgate.net/profile/Zulqurnain-Ali/publication/332560759_Managing_Organizational_Effectiveness_through_Talent_Management_and_Career_Development_The_Mediating_Role_of_Employee_Engagement/links/5cc15238299bf120977d832d/Managing-Organizational-Effectiveness-through-Talent-Management-and-Career-Development-The-Mediating-Role-of-Employee-Engagement.pdf?_sg%5B0%5D=started_experiment_milestone&amp;origin=journalDetail&amp;_rtd=e30%3D"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inderscienceonline.com/doi/abs/10.1504/IJMP.2015.073483" TargetMode="External"/><Relationship Id="rId11" Type="http://schemas.openxmlformats.org/officeDocument/2006/relationships/hyperlink" Target="https://www.sciencedirect.com/science/article/abs/pii/S1053482219301500" TargetMode="External"/><Relationship Id="rId5" Type="http://schemas.openxmlformats.org/officeDocument/2006/relationships/hyperlink" Target="https://inobis.org/ojs/index.php/jurnal-inobis/article/view/157" TargetMode="External"/><Relationship Id="rId15" Type="http://schemas.openxmlformats.org/officeDocument/2006/relationships/hyperlink" Target="https://www.researchgate.net/profile/Rosmah-Mohamed/publication/344276458_Role_of_Authentic_Leadership_Servant_Leadership_and_Destructive_Leadership_Behaviour_on_Employee_Engagement_in_Malaysian_Hospitality_Industry/links/5f7d633492851c14bcb38011/Role-of-Authentic-Leadership-Servant-Leadership-and-Destructive-Leadership-Behaviour-on-Employee-Engagement-in-Malaysian-Hospitality-Industry.pdf" TargetMode="External"/><Relationship Id="rId10" Type="http://schemas.openxmlformats.org/officeDocument/2006/relationships/hyperlink" Target="https://www.sciencedirect.com/science/article/abs/pii/S1090951618301548" TargetMode="External"/><Relationship Id="rId19" Type="http://schemas.openxmlformats.org/officeDocument/2006/relationships/fontTable" Target="fontTable.xml"/><Relationship Id="rId4" Type="http://schemas.openxmlformats.org/officeDocument/2006/relationships/hyperlink" Target="http://m.growingscience.com/beta/msl/4980-talent-management-and-organizational-performance-the-mediating-role-of-employee-engagement.html" TargetMode="External"/><Relationship Id="rId9" Type="http://schemas.openxmlformats.org/officeDocument/2006/relationships/hyperlink" Target="http://m.growingscience.com/beta/msl/4980-talent-management-and-organizational-performance-the-mediating-role-of-employee-engagement.html" TargetMode="External"/><Relationship Id="rId14" Type="http://schemas.openxmlformats.org/officeDocument/2006/relationships/hyperlink" Target="https://www.sciencedirect.com/science/article/abs/pii/S14476770210015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3106</Words>
  <Characters>17707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MNA</dc:creator>
  <cp:lastModifiedBy>maracine.ion.lucian@gmail.com</cp:lastModifiedBy>
  <cp:revision>5</cp:revision>
  <dcterms:created xsi:type="dcterms:W3CDTF">2023-06-08T13:20:00Z</dcterms:created>
  <dcterms:modified xsi:type="dcterms:W3CDTF">2023-06-11T18:40:00Z</dcterms:modified>
</cp:coreProperties>
</file>