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center"/>
        <w:rPr>
          <w:rFonts w:hint="default" w:ascii="Times New Roman" w:hAnsi="Times New Roman" w:cs="Times New Roman"/>
          <w:b w:val="0"/>
          <w:bCs w:val="0"/>
          <w:sz w:val="24"/>
          <w:szCs w:val="24"/>
          <w:lang w:val="en-US" w:eastAsia="zh-CN"/>
        </w:rPr>
      </w:pPr>
    </w:p>
    <w:p>
      <w:pPr>
        <w:spacing w:line="480" w:lineRule="auto"/>
        <w:jc w:val="center"/>
        <w:rPr>
          <w:rFonts w:hint="default" w:ascii="Times New Roman" w:hAnsi="Times New Roman" w:cs="Times New Roman"/>
          <w:b w:val="0"/>
          <w:bCs w:val="0"/>
          <w:sz w:val="24"/>
          <w:szCs w:val="24"/>
          <w:lang w:val="en-US" w:eastAsia="zh-CN"/>
        </w:rPr>
      </w:pPr>
    </w:p>
    <w:p>
      <w:pPr>
        <w:spacing w:line="480" w:lineRule="auto"/>
        <w:jc w:val="center"/>
        <w:rPr>
          <w:rFonts w:hint="default" w:ascii="Times New Roman" w:hAnsi="Times New Roman" w:cs="Times New Roman"/>
          <w:b w:val="0"/>
          <w:bCs w:val="0"/>
          <w:sz w:val="24"/>
          <w:szCs w:val="24"/>
          <w:lang w:val="en-US" w:eastAsia="zh-CN"/>
        </w:rPr>
      </w:pPr>
    </w:p>
    <w:p>
      <w:pPr>
        <w:spacing w:line="480" w:lineRule="auto"/>
        <w:jc w:val="center"/>
        <w:rPr>
          <w:rFonts w:hint="default" w:ascii="Times New Roman" w:hAnsi="Times New Roman" w:cs="Times New Roman"/>
          <w:b w:val="0"/>
          <w:bCs w:val="0"/>
          <w:sz w:val="24"/>
          <w:szCs w:val="24"/>
          <w:lang w:val="en-US" w:eastAsia="zh-CN"/>
        </w:rPr>
      </w:pPr>
    </w:p>
    <w:p>
      <w:pPr>
        <w:spacing w:line="480" w:lineRule="auto"/>
        <w:jc w:val="center"/>
        <w:rPr>
          <w:rFonts w:hint="default" w:ascii="Times New Roman" w:hAnsi="Times New Roman" w:cs="Times New Roman"/>
          <w:sz w:val="24"/>
          <w:szCs w:val="24"/>
          <w:lang w:val="en-US" w:eastAsia="zh-CN"/>
        </w:rPr>
      </w:pPr>
      <w:r>
        <w:rPr>
          <w:rFonts w:hint="default" w:ascii="Times New Roman" w:hAnsi="Times New Roman" w:cs="Times New Roman"/>
          <w:b w:val="0"/>
          <w:bCs w:val="0"/>
          <w:sz w:val="24"/>
          <w:szCs w:val="24"/>
          <w:lang w:val="en-US" w:eastAsia="zh-CN"/>
        </w:rPr>
        <w:t>Anta B</w:t>
      </w:r>
      <w:r>
        <w:rPr>
          <w:rFonts w:hint="default" w:ascii="Times New Roman" w:hAnsi="Times New Roman" w:cs="Times New Roman"/>
          <w:b w:val="0"/>
          <w:bCs w:val="0"/>
          <w:sz w:val="24"/>
          <w:szCs w:val="24"/>
          <w:lang w:val="en-US" w:eastAsia="zh-CN"/>
        </w:rPr>
        <w:t>rand A</w:t>
      </w:r>
      <w:r>
        <w:rPr>
          <w:rFonts w:hint="default" w:ascii="Times New Roman" w:hAnsi="Times New Roman" w:cs="Times New Roman"/>
          <w:b w:val="0"/>
          <w:bCs w:val="0"/>
          <w:sz w:val="24"/>
          <w:szCs w:val="24"/>
          <w:lang w:val="en-US" w:eastAsia="zh-CN"/>
        </w:rPr>
        <w:t>nalysis</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"https://moodle.uwtsd.ac.uk/course/view.php?id=2711" </w:instrText>
      </w:r>
      <w:r>
        <w:rPr>
          <w:rFonts w:hint="default" w:ascii="Times New Roman" w:hAnsi="Times New Roman" w:cs="Times New Roman"/>
          <w:sz w:val="24"/>
          <w:szCs w:val="24"/>
          <w:lang w:val="en-US" w:eastAsia="zh-CN"/>
        </w:rPr>
        <w:fldChar w:fldCharType="separate"/>
      </w:r>
    </w:p>
    <w:p>
      <w:pPr>
        <w:spacing w:line="480" w:lineRule="auto"/>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MBA Marketing Management (BMMB7012)</w:t>
      </w:r>
    </w:p>
    <w:p>
      <w:pPr>
        <w:spacing w:line="480" w:lineRule="auto"/>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Tutor：</w:t>
      </w:r>
      <w:r>
        <w:rPr>
          <w:rFonts w:hint="eastAsia" w:ascii="Times New Roman" w:hAnsi="Times New Roman" w:cs="Times New Roman"/>
          <w:sz w:val="24"/>
          <w:szCs w:val="24"/>
          <w:lang w:val="en-US" w:eastAsia="zh-CN"/>
        </w:rPr>
        <w:t>Davina Evans&amp;Jayne Williams</w:t>
      </w:r>
      <w:bookmarkStart w:id="17" w:name="_GoBack"/>
      <w:bookmarkEnd w:id="17"/>
    </w:p>
    <w:p>
      <w:pPr>
        <w:spacing w:line="480" w:lineRule="auto"/>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Name：Luyao Zhang</w:t>
      </w:r>
    </w:p>
    <w:p>
      <w:pPr>
        <w:spacing w:line="480" w:lineRule="auto"/>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Student number：2006706</w:t>
      </w:r>
    </w:p>
    <w:p>
      <w:pPr>
        <w:spacing w:line="480" w:lineRule="auto"/>
        <w:jc w:val="center"/>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 xml:space="preserve">                 </w:t>
      </w:r>
    </w:p>
    <w:p>
      <w:pPr>
        <w:spacing w:line="480" w:lineRule="auto"/>
        <w:jc w:val="center"/>
        <w:rPr>
          <w:rFonts w:hint="eastAsia" w:ascii="Times New Roman" w:hAnsi="Times New Roman" w:eastAsia="宋体" w:cs="Times New Roman"/>
          <w:b w:val="0"/>
          <w:bCs w:val="0"/>
          <w:sz w:val="24"/>
          <w:szCs w:val="24"/>
          <w:lang w:val="en-US" w:eastAsia="zh-CN"/>
        </w:rPr>
      </w:pPr>
    </w:p>
    <w:p>
      <w:pPr>
        <w:spacing w:line="480" w:lineRule="auto"/>
        <w:jc w:val="center"/>
        <w:rPr>
          <w:rFonts w:hint="eastAsia" w:ascii="Times New Roman" w:hAnsi="Times New Roman" w:eastAsia="宋体" w:cs="Times New Roman"/>
          <w:b w:val="0"/>
          <w:bCs w:val="0"/>
          <w:sz w:val="24"/>
          <w:szCs w:val="24"/>
          <w:lang w:val="en-US" w:eastAsia="zh-CN"/>
        </w:rPr>
      </w:pPr>
    </w:p>
    <w:p>
      <w:pPr>
        <w:spacing w:line="480" w:lineRule="auto"/>
        <w:jc w:val="center"/>
        <w:rPr>
          <w:rFonts w:hint="eastAsia" w:ascii="Times New Roman" w:hAnsi="Times New Roman" w:eastAsia="宋体" w:cs="Times New Roman"/>
          <w:b w:val="0"/>
          <w:bCs w:val="0"/>
          <w:sz w:val="24"/>
          <w:szCs w:val="24"/>
          <w:lang w:val="en-US" w:eastAsia="zh-CN"/>
        </w:rPr>
      </w:pPr>
    </w:p>
    <w:p>
      <w:pPr>
        <w:spacing w:line="480" w:lineRule="auto"/>
        <w:jc w:val="center"/>
        <w:rPr>
          <w:rFonts w:hint="eastAsia" w:ascii="Times New Roman" w:hAnsi="Times New Roman" w:eastAsia="宋体" w:cs="Times New Roman"/>
          <w:b w:val="0"/>
          <w:bCs w:val="0"/>
          <w:sz w:val="24"/>
          <w:szCs w:val="24"/>
          <w:lang w:val="en-US" w:eastAsia="zh-CN"/>
        </w:rPr>
      </w:pPr>
    </w:p>
    <w:p>
      <w:pPr>
        <w:spacing w:line="480" w:lineRule="auto"/>
        <w:jc w:val="center"/>
        <w:rPr>
          <w:rFonts w:hint="eastAsia" w:ascii="Times New Roman" w:hAnsi="Times New Roman" w:eastAsia="宋体" w:cs="Times New Roman"/>
          <w:b w:val="0"/>
          <w:bCs w:val="0"/>
          <w:sz w:val="24"/>
          <w:szCs w:val="24"/>
          <w:lang w:val="en-US" w:eastAsia="zh-CN"/>
        </w:rPr>
      </w:pPr>
    </w:p>
    <w:p>
      <w:pPr>
        <w:spacing w:line="480" w:lineRule="auto"/>
        <w:jc w:val="center"/>
        <w:rPr>
          <w:rFonts w:hint="eastAsia" w:ascii="Times New Roman" w:hAnsi="Times New Roman" w:eastAsia="宋体" w:cs="Times New Roman"/>
          <w:b w:val="0"/>
          <w:bCs w:val="0"/>
          <w:sz w:val="24"/>
          <w:szCs w:val="24"/>
          <w:lang w:val="en-US" w:eastAsia="zh-CN"/>
        </w:rPr>
      </w:pPr>
    </w:p>
    <w:p>
      <w:pPr>
        <w:spacing w:line="480" w:lineRule="auto"/>
        <w:jc w:val="center"/>
        <w:rPr>
          <w:rFonts w:hint="eastAsia" w:ascii="Times New Roman" w:hAnsi="Times New Roman" w:eastAsia="宋体" w:cs="Times New Roman"/>
          <w:b w:val="0"/>
          <w:bCs w:val="0"/>
          <w:sz w:val="24"/>
          <w:szCs w:val="24"/>
          <w:lang w:val="en-US" w:eastAsia="zh-CN"/>
        </w:rPr>
      </w:pPr>
    </w:p>
    <w:p>
      <w:pPr>
        <w:spacing w:line="480" w:lineRule="auto"/>
        <w:jc w:val="center"/>
        <w:rPr>
          <w:rFonts w:hint="eastAsia" w:ascii="Times New Roman" w:hAnsi="Times New Roman" w:eastAsia="宋体" w:cs="Times New Roman"/>
          <w:b w:val="0"/>
          <w:bCs w:val="0"/>
          <w:sz w:val="24"/>
          <w:szCs w:val="24"/>
          <w:lang w:val="en-US" w:eastAsia="zh-CN"/>
        </w:rPr>
      </w:pPr>
    </w:p>
    <w:p>
      <w:pPr>
        <w:spacing w:line="480" w:lineRule="auto"/>
        <w:jc w:val="center"/>
        <w:rPr>
          <w:rFonts w:hint="default" w:ascii="Times New Roman" w:hAnsi="Times New Roman" w:eastAsia="宋体" w:cs="Times New Roman"/>
          <w:b w:val="0"/>
          <w:bCs w:val="0"/>
          <w:sz w:val="24"/>
          <w:szCs w:val="24"/>
          <w:lang w:val="en-US" w:eastAsia="zh-CN"/>
        </w:rPr>
      </w:pPr>
    </w:p>
    <w:sdt>
      <w:sdtPr>
        <w:rPr>
          <w:rFonts w:hint="default" w:ascii="Times New Roman" w:hAnsi="Times New Roman" w:eastAsia="宋体" w:cs="Times New Roman"/>
          <w:sz w:val="24"/>
          <w:szCs w:val="24"/>
          <w:lang w:val="en-US" w:eastAsia="en-US" w:bidi="ar-SA"/>
        </w:rPr>
        <w:id w:val="147464133"/>
        <w15:color w:val="DBDBDB"/>
        <w:docPartObj>
          <w:docPartGallery w:val="Table of Contents"/>
          <w:docPartUnique/>
        </w:docPartObj>
      </w:sdtPr>
      <w:sdtEndPr>
        <w:rPr>
          <w:rFonts w:hint="eastAsia" w:ascii="Times New Roman" w:hAnsi="Times New Roman" w:eastAsia="宋体" w:cs="Times New Roman"/>
          <w:bCs w:val="0"/>
          <w:sz w:val="22"/>
          <w:szCs w:val="24"/>
          <w:lang w:val="en-US" w:eastAsia="zh-CN" w:bidi="ar-SA"/>
        </w:rPr>
      </w:sdtEndPr>
      <w:sdtContent>
        <w:p>
          <w:pPr>
            <w:spacing w:before="0" w:beforeLines="0" w:after="0" w:afterLines="0" w:line="240" w:lineRule="auto"/>
            <w:ind w:left="0" w:leftChars="0" w:right="0" w:rightChars="0" w:firstLine="0" w:firstLineChars="0"/>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Content</w:t>
          </w: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sz w:val="24"/>
              <w:szCs w:val="24"/>
              <w:lang w:val="en-US" w:eastAsia="zh-CN" w:bidi="ar-SA"/>
            </w:rPr>
          </w:pPr>
        </w:p>
        <w:p>
          <w:pPr>
            <w:pStyle w:val="13"/>
            <w:tabs>
              <w:tab w:val="right" w:leader="dot" w:pos="9360"/>
            </w:tabs>
            <w:spacing w:line="480" w:lineRule="auto"/>
            <w:rPr>
              <w:rFonts w:hint="default" w:ascii="Times New Roman" w:hAnsi="Times New Roman" w:cs="Times New Roman"/>
              <w:sz w:val="24"/>
              <w:szCs w:val="24"/>
            </w:rPr>
          </w:pPr>
          <w:r>
            <w:rPr>
              <w:rFonts w:hint="default" w:ascii="Times New Roman" w:hAnsi="Times New Roman" w:eastAsia="宋体" w:cs="Times New Roman"/>
              <w:b w:val="0"/>
              <w:bCs w:val="0"/>
              <w:sz w:val="24"/>
              <w:szCs w:val="24"/>
              <w:lang w:val="en-US" w:eastAsia="zh-CN"/>
            </w:rPr>
            <w:fldChar w:fldCharType="begin"/>
          </w:r>
          <w:r>
            <w:rPr>
              <w:rFonts w:hint="default" w:ascii="Times New Roman" w:hAnsi="Times New Roman" w:eastAsia="宋体" w:cs="Times New Roman"/>
              <w:b w:val="0"/>
              <w:bCs w:val="0"/>
              <w:sz w:val="24"/>
              <w:szCs w:val="24"/>
              <w:lang w:val="en-US" w:eastAsia="zh-CN"/>
            </w:rPr>
            <w:instrText xml:space="preserve">TOC \o "1-1" \h \u </w:instrText>
          </w:r>
          <w:r>
            <w:rPr>
              <w:rFonts w:hint="default" w:ascii="Times New Roman" w:hAnsi="Times New Roman" w:eastAsia="宋体" w:cs="Times New Roman"/>
              <w:b w:val="0"/>
              <w:bCs w:val="0"/>
              <w:sz w:val="24"/>
              <w:szCs w:val="24"/>
              <w:lang w:val="en-US" w:eastAsia="zh-CN"/>
            </w:rPr>
            <w:fldChar w:fldCharType="separate"/>
          </w:r>
          <w:r>
            <w:rPr>
              <w:rFonts w:hint="default" w:ascii="Times New Roman" w:hAnsi="Times New Roman" w:eastAsia="宋体" w:cs="Times New Roman"/>
              <w:bCs w:val="0"/>
              <w:sz w:val="24"/>
              <w:szCs w:val="24"/>
              <w:lang w:val="en-US" w:eastAsia="zh-CN"/>
            </w:rPr>
            <w:fldChar w:fldCharType="begin"/>
          </w:r>
          <w:r>
            <w:rPr>
              <w:rFonts w:hint="default" w:ascii="Times New Roman" w:hAnsi="Times New Roman" w:eastAsia="宋体" w:cs="Times New Roman"/>
              <w:bCs w:val="0"/>
              <w:sz w:val="24"/>
              <w:szCs w:val="24"/>
              <w:lang w:val="en-US" w:eastAsia="zh-CN"/>
            </w:rPr>
            <w:instrText xml:space="preserve"> HYPERLINK \l _Toc24296 </w:instrText>
          </w:r>
          <w:r>
            <w:rPr>
              <w:rFonts w:hint="default" w:ascii="Times New Roman" w:hAnsi="Times New Roman" w:eastAsia="宋体" w:cs="Times New Roman"/>
              <w:bCs w:val="0"/>
              <w:sz w:val="24"/>
              <w:szCs w:val="24"/>
              <w:lang w:val="en-US" w:eastAsia="zh-CN"/>
            </w:rPr>
            <w:fldChar w:fldCharType="separate"/>
          </w:r>
          <w:r>
            <w:rPr>
              <w:rFonts w:hint="default" w:ascii="Times New Roman" w:hAnsi="Times New Roman" w:cs="Times New Roman"/>
              <w:sz w:val="24"/>
              <w:szCs w:val="24"/>
            </w:rPr>
            <w:t>Organization background</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_Toc24296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eastAsia="宋体" w:cs="Times New Roman"/>
              <w:bCs w:val="0"/>
              <w:sz w:val="24"/>
              <w:szCs w:val="24"/>
              <w:lang w:val="en-US" w:eastAsia="zh-CN"/>
            </w:rPr>
            <w:fldChar w:fldCharType="end"/>
          </w:r>
        </w:p>
        <w:p>
          <w:pPr>
            <w:pStyle w:val="13"/>
            <w:tabs>
              <w:tab w:val="right" w:leader="dot" w:pos="9360"/>
            </w:tabs>
            <w:spacing w:line="480" w:lineRule="auto"/>
            <w:rPr>
              <w:rFonts w:hint="default" w:ascii="Times New Roman" w:hAnsi="Times New Roman" w:cs="Times New Roman"/>
              <w:sz w:val="24"/>
              <w:szCs w:val="24"/>
            </w:rPr>
          </w:pPr>
          <w:r>
            <w:rPr>
              <w:rFonts w:hint="default" w:ascii="Times New Roman" w:hAnsi="Times New Roman" w:eastAsia="宋体" w:cs="Times New Roman"/>
              <w:bCs w:val="0"/>
              <w:sz w:val="24"/>
              <w:szCs w:val="24"/>
              <w:lang w:val="en-US" w:eastAsia="zh-CN"/>
            </w:rPr>
            <w:fldChar w:fldCharType="begin"/>
          </w:r>
          <w:r>
            <w:rPr>
              <w:rFonts w:hint="default" w:ascii="Times New Roman" w:hAnsi="Times New Roman" w:eastAsia="宋体" w:cs="Times New Roman"/>
              <w:bCs w:val="0"/>
              <w:sz w:val="24"/>
              <w:szCs w:val="24"/>
              <w:lang w:val="en-US" w:eastAsia="zh-CN"/>
            </w:rPr>
            <w:instrText xml:space="preserve"> HYPERLINK \l _Toc19808 </w:instrText>
          </w:r>
          <w:r>
            <w:rPr>
              <w:rFonts w:hint="default" w:ascii="Times New Roman" w:hAnsi="Times New Roman" w:eastAsia="宋体" w:cs="Times New Roman"/>
              <w:bCs w:val="0"/>
              <w:sz w:val="24"/>
              <w:szCs w:val="24"/>
              <w:lang w:val="en-US" w:eastAsia="zh-CN"/>
            </w:rPr>
            <w:fldChar w:fldCharType="separate"/>
          </w:r>
          <w:r>
            <w:rPr>
              <w:rFonts w:hint="default" w:ascii="Times New Roman" w:hAnsi="Times New Roman" w:cs="Times New Roman"/>
              <w:sz w:val="24"/>
              <w:szCs w:val="24"/>
            </w:rPr>
            <w:t>Environmental marketing audit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_Toc19808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eastAsia="宋体" w:cs="Times New Roman"/>
              <w:bCs w:val="0"/>
              <w:sz w:val="24"/>
              <w:szCs w:val="24"/>
              <w:lang w:val="en-US" w:eastAsia="zh-CN"/>
            </w:rPr>
            <w:fldChar w:fldCharType="end"/>
          </w:r>
        </w:p>
        <w:p>
          <w:pPr>
            <w:pStyle w:val="13"/>
            <w:tabs>
              <w:tab w:val="right" w:leader="dot" w:pos="9360"/>
            </w:tabs>
            <w:spacing w:line="480" w:lineRule="auto"/>
            <w:rPr>
              <w:rFonts w:hint="default" w:ascii="Times New Roman" w:hAnsi="Times New Roman" w:cs="Times New Roman"/>
              <w:sz w:val="24"/>
              <w:szCs w:val="24"/>
            </w:rPr>
          </w:pPr>
          <w:r>
            <w:rPr>
              <w:rFonts w:hint="default" w:ascii="Times New Roman" w:hAnsi="Times New Roman" w:eastAsia="宋体" w:cs="Times New Roman"/>
              <w:bCs w:val="0"/>
              <w:sz w:val="24"/>
              <w:szCs w:val="24"/>
              <w:lang w:val="en-US" w:eastAsia="zh-CN"/>
            </w:rPr>
            <w:fldChar w:fldCharType="begin"/>
          </w:r>
          <w:r>
            <w:rPr>
              <w:rFonts w:hint="default" w:ascii="Times New Roman" w:hAnsi="Times New Roman" w:eastAsia="宋体" w:cs="Times New Roman"/>
              <w:bCs w:val="0"/>
              <w:sz w:val="24"/>
              <w:szCs w:val="24"/>
              <w:lang w:val="en-US" w:eastAsia="zh-CN"/>
            </w:rPr>
            <w:instrText xml:space="preserve"> HYPERLINK \l _Toc7189 </w:instrText>
          </w:r>
          <w:r>
            <w:rPr>
              <w:rFonts w:hint="default" w:ascii="Times New Roman" w:hAnsi="Times New Roman" w:eastAsia="宋体" w:cs="Times New Roman"/>
              <w:bCs w:val="0"/>
              <w:sz w:val="24"/>
              <w:szCs w:val="24"/>
              <w:lang w:val="en-US" w:eastAsia="zh-CN"/>
            </w:rPr>
            <w:fldChar w:fldCharType="separate"/>
          </w:r>
          <w:r>
            <w:rPr>
              <w:rFonts w:hint="default" w:ascii="Times New Roman" w:hAnsi="Times New Roman" w:cs="Times New Roman"/>
              <w:sz w:val="24"/>
              <w:szCs w:val="24"/>
            </w:rPr>
            <w:t>Marketing objectives and strategic options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_Toc7189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eastAsia="宋体" w:cs="Times New Roman"/>
              <w:bCs w:val="0"/>
              <w:sz w:val="24"/>
              <w:szCs w:val="24"/>
              <w:lang w:val="en-US" w:eastAsia="zh-CN"/>
            </w:rPr>
            <w:fldChar w:fldCharType="end"/>
          </w:r>
        </w:p>
        <w:p>
          <w:pPr>
            <w:pStyle w:val="13"/>
            <w:tabs>
              <w:tab w:val="right" w:leader="dot" w:pos="9360"/>
            </w:tabs>
            <w:spacing w:line="480" w:lineRule="auto"/>
            <w:rPr>
              <w:rFonts w:hint="default" w:ascii="Times New Roman" w:hAnsi="Times New Roman" w:cs="Times New Roman"/>
              <w:sz w:val="24"/>
              <w:szCs w:val="24"/>
            </w:rPr>
          </w:pPr>
          <w:r>
            <w:rPr>
              <w:rFonts w:hint="default" w:ascii="Times New Roman" w:hAnsi="Times New Roman" w:eastAsia="宋体" w:cs="Times New Roman"/>
              <w:bCs w:val="0"/>
              <w:sz w:val="24"/>
              <w:szCs w:val="24"/>
              <w:lang w:val="en-US" w:eastAsia="zh-CN"/>
            </w:rPr>
            <w:fldChar w:fldCharType="begin"/>
          </w:r>
          <w:r>
            <w:rPr>
              <w:rFonts w:hint="default" w:ascii="Times New Roman" w:hAnsi="Times New Roman" w:eastAsia="宋体" w:cs="Times New Roman"/>
              <w:bCs w:val="0"/>
              <w:sz w:val="24"/>
              <w:szCs w:val="24"/>
              <w:lang w:val="en-US" w:eastAsia="zh-CN"/>
            </w:rPr>
            <w:instrText xml:space="preserve"> HYPERLINK \l _Toc32272 </w:instrText>
          </w:r>
          <w:r>
            <w:rPr>
              <w:rFonts w:hint="default" w:ascii="Times New Roman" w:hAnsi="Times New Roman" w:eastAsia="宋体" w:cs="Times New Roman"/>
              <w:bCs w:val="0"/>
              <w:sz w:val="24"/>
              <w:szCs w:val="24"/>
              <w:lang w:val="en-US" w:eastAsia="zh-CN"/>
            </w:rPr>
            <w:fldChar w:fldCharType="separate"/>
          </w:r>
          <w:r>
            <w:rPr>
              <w:rFonts w:hint="default" w:ascii="Times New Roman" w:hAnsi="Times New Roman" w:cs="Times New Roman"/>
              <w:sz w:val="24"/>
              <w:szCs w:val="24"/>
            </w:rPr>
            <w:t>Multi-brand Strategy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_Toc32272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eastAsia="宋体" w:cs="Times New Roman"/>
              <w:bCs w:val="0"/>
              <w:sz w:val="24"/>
              <w:szCs w:val="24"/>
              <w:lang w:val="en-US" w:eastAsia="zh-CN"/>
            </w:rPr>
            <w:fldChar w:fldCharType="end"/>
          </w:r>
        </w:p>
        <w:p>
          <w:pPr>
            <w:pStyle w:val="13"/>
            <w:tabs>
              <w:tab w:val="right" w:leader="dot" w:pos="9360"/>
            </w:tabs>
            <w:spacing w:line="480" w:lineRule="auto"/>
            <w:rPr>
              <w:rFonts w:hint="default" w:ascii="Times New Roman" w:hAnsi="Times New Roman" w:cs="Times New Roman"/>
              <w:sz w:val="24"/>
              <w:szCs w:val="24"/>
            </w:rPr>
          </w:pPr>
          <w:r>
            <w:rPr>
              <w:rFonts w:hint="default" w:ascii="Times New Roman" w:hAnsi="Times New Roman" w:eastAsia="宋体" w:cs="Times New Roman"/>
              <w:bCs w:val="0"/>
              <w:sz w:val="24"/>
              <w:szCs w:val="24"/>
              <w:lang w:val="en-US" w:eastAsia="zh-CN"/>
            </w:rPr>
            <w:fldChar w:fldCharType="begin"/>
          </w:r>
          <w:r>
            <w:rPr>
              <w:rFonts w:hint="default" w:ascii="Times New Roman" w:hAnsi="Times New Roman" w:eastAsia="宋体" w:cs="Times New Roman"/>
              <w:bCs w:val="0"/>
              <w:sz w:val="24"/>
              <w:szCs w:val="24"/>
              <w:lang w:val="en-US" w:eastAsia="zh-CN"/>
            </w:rPr>
            <w:instrText xml:space="preserve"> HYPERLINK \l _Toc22652 </w:instrText>
          </w:r>
          <w:r>
            <w:rPr>
              <w:rFonts w:hint="default" w:ascii="Times New Roman" w:hAnsi="Times New Roman" w:eastAsia="宋体" w:cs="Times New Roman"/>
              <w:bCs w:val="0"/>
              <w:sz w:val="24"/>
              <w:szCs w:val="24"/>
              <w:lang w:val="en-US" w:eastAsia="zh-CN"/>
            </w:rPr>
            <w:fldChar w:fldCharType="separate"/>
          </w:r>
          <w:r>
            <w:rPr>
              <w:rFonts w:hint="default" w:ascii="Times New Roman" w:hAnsi="Times New Roman" w:cs="Times New Roman"/>
              <w:sz w:val="24"/>
              <w:szCs w:val="24"/>
            </w:rPr>
            <w:t>Implementation of multi-brand strategy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_Toc22652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eastAsia="宋体" w:cs="Times New Roman"/>
              <w:bCs w:val="0"/>
              <w:sz w:val="24"/>
              <w:szCs w:val="24"/>
              <w:lang w:val="en-US" w:eastAsia="zh-CN"/>
            </w:rPr>
            <w:fldChar w:fldCharType="end"/>
          </w:r>
        </w:p>
        <w:p>
          <w:pPr>
            <w:pStyle w:val="13"/>
            <w:tabs>
              <w:tab w:val="right" w:leader="dot" w:pos="9360"/>
            </w:tabs>
            <w:spacing w:line="480" w:lineRule="auto"/>
            <w:rPr>
              <w:rFonts w:hint="default" w:ascii="Times New Roman" w:hAnsi="Times New Roman" w:cs="Times New Roman"/>
              <w:sz w:val="24"/>
              <w:szCs w:val="24"/>
            </w:rPr>
          </w:pPr>
          <w:r>
            <w:rPr>
              <w:rFonts w:hint="default" w:ascii="Times New Roman" w:hAnsi="Times New Roman" w:eastAsia="宋体" w:cs="Times New Roman"/>
              <w:bCs w:val="0"/>
              <w:sz w:val="24"/>
              <w:szCs w:val="24"/>
              <w:lang w:val="en-US" w:eastAsia="zh-CN"/>
            </w:rPr>
            <w:fldChar w:fldCharType="begin"/>
          </w:r>
          <w:r>
            <w:rPr>
              <w:rFonts w:hint="default" w:ascii="Times New Roman" w:hAnsi="Times New Roman" w:eastAsia="宋体" w:cs="Times New Roman"/>
              <w:bCs w:val="0"/>
              <w:sz w:val="24"/>
              <w:szCs w:val="24"/>
              <w:lang w:val="en-US" w:eastAsia="zh-CN"/>
            </w:rPr>
            <w:instrText xml:space="preserve"> HYPERLINK \l _Toc18442 </w:instrText>
          </w:r>
          <w:r>
            <w:rPr>
              <w:rFonts w:hint="default" w:ascii="Times New Roman" w:hAnsi="Times New Roman" w:eastAsia="宋体" w:cs="Times New Roman"/>
              <w:bCs w:val="0"/>
              <w:sz w:val="24"/>
              <w:szCs w:val="24"/>
              <w:lang w:val="en-US" w:eastAsia="zh-CN"/>
            </w:rPr>
            <w:fldChar w:fldCharType="separate"/>
          </w:r>
          <w:r>
            <w:rPr>
              <w:rFonts w:hint="default" w:ascii="Times New Roman" w:hAnsi="Times New Roman" w:cs="Times New Roman"/>
              <w:sz w:val="24"/>
              <w:szCs w:val="24"/>
            </w:rPr>
            <w:t>Moderate Brands extension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_Toc18442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eastAsia="宋体" w:cs="Times New Roman"/>
              <w:bCs w:val="0"/>
              <w:sz w:val="24"/>
              <w:szCs w:val="24"/>
              <w:lang w:val="en-US" w:eastAsia="zh-CN"/>
            </w:rPr>
            <w:fldChar w:fldCharType="end"/>
          </w:r>
        </w:p>
        <w:p>
          <w:pPr>
            <w:pStyle w:val="13"/>
            <w:tabs>
              <w:tab w:val="right" w:leader="dot" w:pos="9360"/>
            </w:tabs>
            <w:spacing w:line="480" w:lineRule="auto"/>
            <w:rPr>
              <w:rFonts w:hint="default" w:ascii="Times New Roman" w:hAnsi="Times New Roman" w:cs="Times New Roman"/>
              <w:sz w:val="24"/>
              <w:szCs w:val="24"/>
            </w:rPr>
          </w:pPr>
          <w:r>
            <w:rPr>
              <w:rFonts w:hint="default" w:ascii="Times New Roman" w:hAnsi="Times New Roman" w:eastAsia="宋体" w:cs="Times New Roman"/>
              <w:bCs w:val="0"/>
              <w:sz w:val="24"/>
              <w:szCs w:val="24"/>
              <w:lang w:val="en-US" w:eastAsia="zh-CN"/>
            </w:rPr>
            <w:fldChar w:fldCharType="begin"/>
          </w:r>
          <w:r>
            <w:rPr>
              <w:rFonts w:hint="default" w:ascii="Times New Roman" w:hAnsi="Times New Roman" w:eastAsia="宋体" w:cs="Times New Roman"/>
              <w:bCs w:val="0"/>
              <w:sz w:val="24"/>
              <w:szCs w:val="24"/>
              <w:lang w:val="en-US" w:eastAsia="zh-CN"/>
            </w:rPr>
            <w:instrText xml:space="preserve"> HYPERLINK \l _Toc15641 </w:instrText>
          </w:r>
          <w:r>
            <w:rPr>
              <w:rFonts w:hint="default" w:ascii="Times New Roman" w:hAnsi="Times New Roman" w:eastAsia="宋体" w:cs="Times New Roman"/>
              <w:bCs w:val="0"/>
              <w:sz w:val="24"/>
              <w:szCs w:val="24"/>
              <w:lang w:val="en-US" w:eastAsia="zh-CN"/>
            </w:rPr>
            <w:fldChar w:fldCharType="separate"/>
          </w:r>
          <w:r>
            <w:rPr>
              <w:rFonts w:hint="default" w:ascii="Times New Roman" w:hAnsi="Times New Roman" w:cs="Times New Roman"/>
              <w:sz w:val="24"/>
              <w:szCs w:val="24"/>
            </w:rPr>
            <w:t>Acquisition of competitive brands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_Toc15641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eastAsia="宋体" w:cs="Times New Roman"/>
              <w:bCs w:val="0"/>
              <w:sz w:val="24"/>
              <w:szCs w:val="24"/>
              <w:lang w:val="en-US" w:eastAsia="zh-CN"/>
            </w:rPr>
            <w:fldChar w:fldCharType="end"/>
          </w:r>
        </w:p>
        <w:p>
          <w:pPr>
            <w:pStyle w:val="13"/>
            <w:tabs>
              <w:tab w:val="right" w:leader="dot" w:pos="9360"/>
            </w:tabs>
            <w:spacing w:line="480" w:lineRule="auto"/>
            <w:rPr>
              <w:rFonts w:hint="default" w:ascii="Times New Roman" w:hAnsi="Times New Roman" w:cs="Times New Roman"/>
              <w:sz w:val="24"/>
              <w:szCs w:val="24"/>
            </w:rPr>
          </w:pPr>
          <w:r>
            <w:rPr>
              <w:rFonts w:hint="default" w:ascii="Times New Roman" w:hAnsi="Times New Roman" w:eastAsia="宋体" w:cs="Times New Roman"/>
              <w:bCs w:val="0"/>
              <w:sz w:val="24"/>
              <w:szCs w:val="24"/>
              <w:lang w:val="en-US" w:eastAsia="zh-CN"/>
            </w:rPr>
            <w:fldChar w:fldCharType="begin"/>
          </w:r>
          <w:r>
            <w:rPr>
              <w:rFonts w:hint="default" w:ascii="Times New Roman" w:hAnsi="Times New Roman" w:eastAsia="宋体" w:cs="Times New Roman"/>
              <w:bCs w:val="0"/>
              <w:sz w:val="24"/>
              <w:szCs w:val="24"/>
              <w:lang w:val="en-US" w:eastAsia="zh-CN"/>
            </w:rPr>
            <w:instrText xml:space="preserve"> HYPERLINK \l _Toc4657 </w:instrText>
          </w:r>
          <w:r>
            <w:rPr>
              <w:rFonts w:hint="default" w:ascii="Times New Roman" w:hAnsi="Times New Roman" w:eastAsia="宋体" w:cs="Times New Roman"/>
              <w:bCs w:val="0"/>
              <w:sz w:val="24"/>
              <w:szCs w:val="24"/>
              <w:lang w:val="en-US" w:eastAsia="zh-CN"/>
            </w:rPr>
            <w:fldChar w:fldCharType="separate"/>
          </w:r>
          <w:r>
            <w:rPr>
              <w:rFonts w:hint="default" w:ascii="Times New Roman" w:hAnsi="Times New Roman" w:cs="Times New Roman"/>
              <w:sz w:val="24"/>
              <w:szCs w:val="24"/>
            </w:rPr>
            <w:t>Joint venture strong brand</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_Toc4657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eastAsia="宋体" w:cs="Times New Roman"/>
              <w:bCs w:val="0"/>
              <w:sz w:val="24"/>
              <w:szCs w:val="24"/>
              <w:lang w:val="en-US" w:eastAsia="zh-CN"/>
            </w:rPr>
            <w:fldChar w:fldCharType="end"/>
          </w:r>
        </w:p>
        <w:p>
          <w:pPr>
            <w:pStyle w:val="13"/>
            <w:tabs>
              <w:tab w:val="right" w:leader="dot" w:pos="9360"/>
            </w:tabs>
            <w:spacing w:line="480" w:lineRule="auto"/>
            <w:rPr>
              <w:rFonts w:hint="default" w:ascii="Times New Roman" w:hAnsi="Times New Roman" w:cs="Times New Roman"/>
              <w:sz w:val="24"/>
              <w:szCs w:val="24"/>
            </w:rPr>
          </w:pPr>
          <w:r>
            <w:rPr>
              <w:rFonts w:hint="default" w:ascii="Times New Roman" w:hAnsi="Times New Roman" w:eastAsia="宋体" w:cs="Times New Roman"/>
              <w:bCs w:val="0"/>
              <w:sz w:val="24"/>
              <w:szCs w:val="24"/>
              <w:lang w:val="en-US" w:eastAsia="zh-CN"/>
            </w:rPr>
            <w:fldChar w:fldCharType="begin"/>
          </w:r>
          <w:r>
            <w:rPr>
              <w:rFonts w:hint="default" w:ascii="Times New Roman" w:hAnsi="Times New Roman" w:eastAsia="宋体" w:cs="Times New Roman"/>
              <w:bCs w:val="0"/>
              <w:sz w:val="24"/>
              <w:szCs w:val="24"/>
              <w:lang w:val="en-US" w:eastAsia="zh-CN"/>
            </w:rPr>
            <w:instrText xml:space="preserve"> HYPERLINK \l _Toc14285 </w:instrText>
          </w:r>
          <w:r>
            <w:rPr>
              <w:rFonts w:hint="default" w:ascii="Times New Roman" w:hAnsi="Times New Roman" w:eastAsia="宋体" w:cs="Times New Roman"/>
              <w:bCs w:val="0"/>
              <w:sz w:val="24"/>
              <w:szCs w:val="24"/>
              <w:lang w:val="en-US" w:eastAsia="zh-CN"/>
            </w:rPr>
            <w:fldChar w:fldCharType="separate"/>
          </w:r>
          <w:r>
            <w:rPr>
              <w:rFonts w:hint="default" w:ascii="Times New Roman" w:hAnsi="Times New Roman" w:cs="Times New Roman"/>
              <w:sz w:val="24"/>
              <w:szCs w:val="24"/>
            </w:rPr>
            <w:t>Analysis of Multi-brand strategic impact of ANTA Sports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_Toc14285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eastAsia="宋体" w:cs="Times New Roman"/>
              <w:bCs w:val="0"/>
              <w:sz w:val="24"/>
              <w:szCs w:val="24"/>
              <w:lang w:val="en-US" w:eastAsia="zh-CN"/>
            </w:rPr>
            <w:fldChar w:fldCharType="end"/>
          </w:r>
        </w:p>
        <w:p>
          <w:pPr>
            <w:pStyle w:val="13"/>
            <w:tabs>
              <w:tab w:val="right" w:leader="dot" w:pos="9360"/>
            </w:tabs>
            <w:spacing w:line="480" w:lineRule="auto"/>
            <w:rPr>
              <w:rFonts w:hint="default" w:ascii="Times New Roman" w:hAnsi="Times New Roman" w:cs="Times New Roman"/>
              <w:sz w:val="24"/>
              <w:szCs w:val="24"/>
            </w:rPr>
          </w:pPr>
          <w:r>
            <w:rPr>
              <w:rFonts w:hint="default" w:ascii="Times New Roman" w:hAnsi="Times New Roman" w:eastAsia="宋体" w:cs="Times New Roman"/>
              <w:bCs w:val="0"/>
              <w:sz w:val="24"/>
              <w:szCs w:val="24"/>
              <w:lang w:val="en-US" w:eastAsia="zh-CN"/>
            </w:rPr>
            <w:fldChar w:fldCharType="begin"/>
          </w:r>
          <w:r>
            <w:rPr>
              <w:rFonts w:hint="default" w:ascii="Times New Roman" w:hAnsi="Times New Roman" w:eastAsia="宋体" w:cs="Times New Roman"/>
              <w:bCs w:val="0"/>
              <w:sz w:val="24"/>
              <w:szCs w:val="24"/>
              <w:lang w:val="en-US" w:eastAsia="zh-CN"/>
            </w:rPr>
            <w:instrText xml:space="preserve"> HYPERLINK \l _Toc21316 </w:instrText>
          </w:r>
          <w:r>
            <w:rPr>
              <w:rFonts w:hint="default" w:ascii="Times New Roman" w:hAnsi="Times New Roman" w:eastAsia="宋体" w:cs="Times New Roman"/>
              <w:bCs w:val="0"/>
              <w:sz w:val="24"/>
              <w:szCs w:val="24"/>
              <w:lang w:val="en-US" w:eastAsia="zh-CN"/>
            </w:rPr>
            <w:fldChar w:fldCharType="separate"/>
          </w:r>
          <w:r>
            <w:rPr>
              <w:rFonts w:hint="default" w:ascii="Times New Roman" w:hAnsi="Times New Roman" w:cs="Times New Roman"/>
              <w:sz w:val="24"/>
              <w:szCs w:val="24"/>
            </w:rPr>
            <w:t>Continuous operating revenue improvement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_Toc21316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eastAsia="宋体" w:cs="Times New Roman"/>
              <w:bCs w:val="0"/>
              <w:sz w:val="24"/>
              <w:szCs w:val="24"/>
              <w:lang w:val="en-US" w:eastAsia="zh-CN"/>
            </w:rPr>
            <w:fldChar w:fldCharType="end"/>
          </w:r>
        </w:p>
        <w:p>
          <w:pPr>
            <w:pStyle w:val="13"/>
            <w:tabs>
              <w:tab w:val="right" w:leader="dot" w:pos="9360"/>
            </w:tabs>
            <w:spacing w:line="480" w:lineRule="auto"/>
            <w:rPr>
              <w:rFonts w:hint="default" w:ascii="Times New Roman" w:hAnsi="Times New Roman" w:cs="Times New Roman"/>
              <w:sz w:val="24"/>
              <w:szCs w:val="24"/>
            </w:rPr>
          </w:pPr>
          <w:r>
            <w:rPr>
              <w:rFonts w:hint="default" w:ascii="Times New Roman" w:hAnsi="Times New Roman" w:eastAsia="宋体" w:cs="Times New Roman"/>
              <w:bCs w:val="0"/>
              <w:sz w:val="24"/>
              <w:szCs w:val="24"/>
              <w:lang w:val="en-US" w:eastAsia="zh-CN"/>
            </w:rPr>
            <w:fldChar w:fldCharType="begin"/>
          </w:r>
          <w:r>
            <w:rPr>
              <w:rFonts w:hint="default" w:ascii="Times New Roman" w:hAnsi="Times New Roman" w:eastAsia="宋体" w:cs="Times New Roman"/>
              <w:bCs w:val="0"/>
              <w:sz w:val="24"/>
              <w:szCs w:val="24"/>
              <w:lang w:val="en-US" w:eastAsia="zh-CN"/>
            </w:rPr>
            <w:instrText xml:space="preserve"> HYPERLINK \l _Toc11056 </w:instrText>
          </w:r>
          <w:r>
            <w:rPr>
              <w:rFonts w:hint="default" w:ascii="Times New Roman" w:hAnsi="Times New Roman" w:eastAsia="宋体" w:cs="Times New Roman"/>
              <w:bCs w:val="0"/>
              <w:sz w:val="24"/>
              <w:szCs w:val="24"/>
              <w:lang w:val="en-US" w:eastAsia="zh-CN"/>
            </w:rPr>
            <w:fldChar w:fldCharType="separate"/>
          </w:r>
          <w:r>
            <w:rPr>
              <w:rFonts w:hint="default" w:ascii="Times New Roman" w:hAnsi="Times New Roman" w:cs="Times New Roman"/>
              <w:sz w:val="24"/>
              <w:szCs w:val="24"/>
            </w:rPr>
            <w:t>The decline in an asset management capacity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_Toc11056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w:t>
          </w:r>
          <w:r>
            <w:rPr>
              <w:rFonts w:hint="default" w:ascii="Times New Roman" w:hAnsi="Times New Roman" w:cs="Times New Roman"/>
              <w:sz w:val="24"/>
              <w:szCs w:val="24"/>
            </w:rPr>
            <w:fldChar w:fldCharType="end"/>
          </w:r>
          <w:r>
            <w:rPr>
              <w:rFonts w:hint="default" w:ascii="Times New Roman" w:hAnsi="Times New Roman" w:eastAsia="宋体" w:cs="Times New Roman"/>
              <w:bCs w:val="0"/>
              <w:sz w:val="24"/>
              <w:szCs w:val="24"/>
              <w:lang w:val="en-US" w:eastAsia="zh-CN"/>
            </w:rPr>
            <w:fldChar w:fldCharType="end"/>
          </w:r>
        </w:p>
        <w:p>
          <w:pPr>
            <w:pStyle w:val="13"/>
            <w:tabs>
              <w:tab w:val="right" w:leader="dot" w:pos="9360"/>
            </w:tabs>
            <w:spacing w:line="480" w:lineRule="auto"/>
            <w:rPr>
              <w:rFonts w:hint="default" w:ascii="Times New Roman" w:hAnsi="Times New Roman" w:cs="Times New Roman"/>
              <w:sz w:val="24"/>
              <w:szCs w:val="24"/>
            </w:rPr>
          </w:pPr>
          <w:r>
            <w:rPr>
              <w:rFonts w:hint="default" w:ascii="Times New Roman" w:hAnsi="Times New Roman" w:eastAsia="宋体" w:cs="Times New Roman"/>
              <w:bCs w:val="0"/>
              <w:sz w:val="24"/>
              <w:szCs w:val="24"/>
              <w:lang w:val="en-US" w:eastAsia="zh-CN"/>
            </w:rPr>
            <w:fldChar w:fldCharType="begin"/>
          </w:r>
          <w:r>
            <w:rPr>
              <w:rFonts w:hint="default" w:ascii="Times New Roman" w:hAnsi="Times New Roman" w:eastAsia="宋体" w:cs="Times New Roman"/>
              <w:bCs w:val="0"/>
              <w:sz w:val="24"/>
              <w:szCs w:val="24"/>
              <w:lang w:val="en-US" w:eastAsia="zh-CN"/>
            </w:rPr>
            <w:instrText xml:space="preserve"> HYPERLINK \l _Toc30438 </w:instrText>
          </w:r>
          <w:r>
            <w:rPr>
              <w:rFonts w:hint="default" w:ascii="Times New Roman" w:hAnsi="Times New Roman" w:eastAsia="宋体" w:cs="Times New Roman"/>
              <w:bCs w:val="0"/>
              <w:sz w:val="24"/>
              <w:szCs w:val="24"/>
              <w:lang w:val="en-US" w:eastAsia="zh-CN"/>
            </w:rPr>
            <w:fldChar w:fldCharType="separate"/>
          </w:r>
          <w:r>
            <w:rPr>
              <w:rFonts w:hint="default" w:ascii="Times New Roman" w:hAnsi="Times New Roman" w:cs="Times New Roman"/>
              <w:sz w:val="24"/>
              <w:szCs w:val="24"/>
            </w:rPr>
            <w:t>Relatively stable solvency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_Toc30438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eastAsia="宋体" w:cs="Times New Roman"/>
              <w:bCs w:val="0"/>
              <w:sz w:val="24"/>
              <w:szCs w:val="24"/>
              <w:lang w:val="en-US" w:eastAsia="zh-CN"/>
            </w:rPr>
            <w:fldChar w:fldCharType="end"/>
          </w:r>
        </w:p>
        <w:p>
          <w:pPr>
            <w:pStyle w:val="13"/>
            <w:tabs>
              <w:tab w:val="right" w:leader="dot" w:pos="9360"/>
            </w:tabs>
            <w:spacing w:line="480" w:lineRule="auto"/>
            <w:rPr>
              <w:rFonts w:hint="default" w:ascii="Times New Roman" w:hAnsi="Times New Roman" w:cs="Times New Roman"/>
              <w:sz w:val="24"/>
              <w:szCs w:val="24"/>
            </w:rPr>
          </w:pPr>
          <w:r>
            <w:rPr>
              <w:rFonts w:hint="default" w:ascii="Times New Roman" w:hAnsi="Times New Roman" w:eastAsia="宋体" w:cs="Times New Roman"/>
              <w:bCs w:val="0"/>
              <w:sz w:val="24"/>
              <w:szCs w:val="24"/>
              <w:lang w:val="en-US" w:eastAsia="zh-CN"/>
            </w:rPr>
            <w:fldChar w:fldCharType="begin"/>
          </w:r>
          <w:r>
            <w:rPr>
              <w:rFonts w:hint="default" w:ascii="Times New Roman" w:hAnsi="Times New Roman" w:eastAsia="宋体" w:cs="Times New Roman"/>
              <w:bCs w:val="0"/>
              <w:sz w:val="24"/>
              <w:szCs w:val="24"/>
              <w:lang w:val="en-US" w:eastAsia="zh-CN"/>
            </w:rPr>
            <w:instrText xml:space="preserve"> HYPERLINK \l _Toc25091 </w:instrText>
          </w:r>
          <w:r>
            <w:rPr>
              <w:rFonts w:hint="default" w:ascii="Times New Roman" w:hAnsi="Times New Roman" w:eastAsia="宋体" w:cs="Times New Roman"/>
              <w:bCs w:val="0"/>
              <w:sz w:val="24"/>
              <w:szCs w:val="24"/>
              <w:lang w:val="en-US" w:eastAsia="zh-CN"/>
            </w:rPr>
            <w:fldChar w:fldCharType="separate"/>
          </w:r>
          <w:r>
            <w:rPr>
              <w:rFonts w:hint="default" w:ascii="Times New Roman" w:hAnsi="Times New Roman" w:cs="Times New Roman"/>
              <w:sz w:val="24"/>
              <w:szCs w:val="24"/>
            </w:rPr>
            <w:t>Recommendations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_Toc25091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eastAsia="宋体" w:cs="Times New Roman"/>
              <w:bCs w:val="0"/>
              <w:sz w:val="24"/>
              <w:szCs w:val="24"/>
              <w:lang w:val="en-US" w:eastAsia="zh-CN"/>
            </w:rPr>
            <w:fldChar w:fldCharType="end"/>
          </w:r>
        </w:p>
        <w:p>
          <w:pPr>
            <w:pStyle w:val="13"/>
            <w:tabs>
              <w:tab w:val="right" w:leader="dot" w:pos="9360"/>
            </w:tabs>
            <w:spacing w:line="480" w:lineRule="auto"/>
            <w:rPr>
              <w:rFonts w:hint="default" w:ascii="Times New Roman" w:hAnsi="Times New Roman" w:cs="Times New Roman"/>
              <w:sz w:val="24"/>
              <w:szCs w:val="24"/>
            </w:rPr>
          </w:pPr>
          <w:r>
            <w:rPr>
              <w:rFonts w:hint="default" w:ascii="Times New Roman" w:hAnsi="Times New Roman" w:eastAsia="宋体" w:cs="Times New Roman"/>
              <w:bCs w:val="0"/>
              <w:sz w:val="24"/>
              <w:szCs w:val="24"/>
              <w:lang w:val="en-US" w:eastAsia="zh-CN"/>
            </w:rPr>
            <w:fldChar w:fldCharType="begin"/>
          </w:r>
          <w:r>
            <w:rPr>
              <w:rFonts w:hint="default" w:ascii="Times New Roman" w:hAnsi="Times New Roman" w:eastAsia="宋体" w:cs="Times New Roman"/>
              <w:bCs w:val="0"/>
              <w:sz w:val="24"/>
              <w:szCs w:val="24"/>
              <w:lang w:val="en-US" w:eastAsia="zh-CN"/>
            </w:rPr>
            <w:instrText xml:space="preserve"> HYPERLINK \l _Toc7131 </w:instrText>
          </w:r>
          <w:r>
            <w:rPr>
              <w:rFonts w:hint="default" w:ascii="Times New Roman" w:hAnsi="Times New Roman" w:eastAsia="宋体" w:cs="Times New Roman"/>
              <w:bCs w:val="0"/>
              <w:sz w:val="24"/>
              <w:szCs w:val="24"/>
              <w:lang w:val="en-US" w:eastAsia="zh-CN"/>
            </w:rPr>
            <w:fldChar w:fldCharType="separate"/>
          </w:r>
          <w:r>
            <w:rPr>
              <w:rFonts w:hint="default" w:ascii="Times New Roman" w:hAnsi="Times New Roman" w:cs="Times New Roman"/>
              <w:sz w:val="24"/>
              <w:szCs w:val="24"/>
            </w:rPr>
            <w:t>Positioning establishment step</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_Toc7131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eastAsia="宋体" w:cs="Times New Roman"/>
              <w:bCs w:val="0"/>
              <w:sz w:val="24"/>
              <w:szCs w:val="24"/>
              <w:lang w:val="en-US" w:eastAsia="zh-CN"/>
            </w:rPr>
            <w:fldChar w:fldCharType="end"/>
          </w:r>
        </w:p>
        <w:p>
          <w:pPr>
            <w:pStyle w:val="13"/>
            <w:tabs>
              <w:tab w:val="right" w:leader="dot" w:pos="9360"/>
            </w:tabs>
            <w:spacing w:line="480" w:lineRule="auto"/>
            <w:rPr>
              <w:rFonts w:hint="default" w:ascii="Times New Roman" w:hAnsi="Times New Roman" w:cs="Times New Roman"/>
              <w:sz w:val="24"/>
              <w:szCs w:val="24"/>
            </w:rPr>
          </w:pPr>
          <w:r>
            <w:rPr>
              <w:rFonts w:hint="default" w:ascii="Times New Roman" w:hAnsi="Times New Roman" w:eastAsia="宋体" w:cs="Times New Roman"/>
              <w:bCs w:val="0"/>
              <w:sz w:val="24"/>
              <w:szCs w:val="24"/>
              <w:lang w:val="en-US" w:eastAsia="zh-CN"/>
            </w:rPr>
            <w:fldChar w:fldCharType="begin"/>
          </w:r>
          <w:r>
            <w:rPr>
              <w:rFonts w:hint="default" w:ascii="Times New Roman" w:hAnsi="Times New Roman" w:eastAsia="宋体" w:cs="Times New Roman"/>
              <w:bCs w:val="0"/>
              <w:sz w:val="24"/>
              <w:szCs w:val="24"/>
              <w:lang w:val="en-US" w:eastAsia="zh-CN"/>
            </w:rPr>
            <w:instrText xml:space="preserve"> HYPERLINK \l _Toc2809 </w:instrText>
          </w:r>
          <w:r>
            <w:rPr>
              <w:rFonts w:hint="default" w:ascii="Times New Roman" w:hAnsi="Times New Roman" w:eastAsia="宋体" w:cs="Times New Roman"/>
              <w:bCs w:val="0"/>
              <w:sz w:val="24"/>
              <w:szCs w:val="24"/>
              <w:lang w:val="en-US" w:eastAsia="zh-CN"/>
            </w:rPr>
            <w:fldChar w:fldCharType="separate"/>
          </w:r>
          <w:r>
            <w:rPr>
              <w:rFonts w:hint="default" w:ascii="Times New Roman" w:hAnsi="Times New Roman" w:cs="Times New Roman"/>
              <w:sz w:val="24"/>
              <w:szCs w:val="24"/>
            </w:rPr>
            <w:t>Definite target brand</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_Toc2809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eastAsia="宋体" w:cs="Times New Roman"/>
              <w:bCs w:val="0"/>
              <w:sz w:val="24"/>
              <w:szCs w:val="24"/>
              <w:lang w:val="en-US" w:eastAsia="zh-CN"/>
            </w:rPr>
            <w:fldChar w:fldCharType="end"/>
          </w:r>
        </w:p>
        <w:p>
          <w:pPr>
            <w:pStyle w:val="13"/>
            <w:tabs>
              <w:tab w:val="right" w:leader="dot" w:pos="9360"/>
            </w:tabs>
            <w:spacing w:line="480" w:lineRule="auto"/>
            <w:rPr>
              <w:rFonts w:hint="default" w:ascii="Times New Roman" w:hAnsi="Times New Roman" w:cs="Times New Roman"/>
              <w:sz w:val="24"/>
              <w:szCs w:val="24"/>
            </w:rPr>
          </w:pPr>
          <w:r>
            <w:rPr>
              <w:rFonts w:hint="default" w:ascii="Times New Roman" w:hAnsi="Times New Roman" w:eastAsia="宋体" w:cs="Times New Roman"/>
              <w:bCs w:val="0"/>
              <w:sz w:val="24"/>
              <w:szCs w:val="24"/>
              <w:lang w:val="en-US" w:eastAsia="zh-CN"/>
            </w:rPr>
            <w:fldChar w:fldCharType="begin"/>
          </w:r>
          <w:r>
            <w:rPr>
              <w:rFonts w:hint="default" w:ascii="Times New Roman" w:hAnsi="Times New Roman" w:eastAsia="宋体" w:cs="Times New Roman"/>
              <w:bCs w:val="0"/>
              <w:sz w:val="24"/>
              <w:szCs w:val="24"/>
              <w:lang w:val="en-US" w:eastAsia="zh-CN"/>
            </w:rPr>
            <w:instrText xml:space="preserve"> HYPERLINK \l _Toc32029 </w:instrText>
          </w:r>
          <w:r>
            <w:rPr>
              <w:rFonts w:hint="default" w:ascii="Times New Roman" w:hAnsi="Times New Roman" w:eastAsia="宋体" w:cs="Times New Roman"/>
              <w:bCs w:val="0"/>
              <w:sz w:val="24"/>
              <w:szCs w:val="24"/>
              <w:lang w:val="en-US" w:eastAsia="zh-CN"/>
            </w:rPr>
            <w:fldChar w:fldCharType="separate"/>
          </w:r>
          <w:r>
            <w:rPr>
              <w:rFonts w:hint="default" w:ascii="Times New Roman" w:hAnsi="Times New Roman" w:cs="Times New Roman"/>
              <w:sz w:val="24"/>
              <w:szCs w:val="24"/>
            </w:rPr>
            <w:t>Incorporation of brand resources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_Toc32029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eastAsia="宋体" w:cs="Times New Roman"/>
              <w:bCs w:val="0"/>
              <w:sz w:val="24"/>
              <w:szCs w:val="24"/>
              <w:lang w:val="en-US" w:eastAsia="zh-CN"/>
            </w:rPr>
            <w:fldChar w:fldCharType="end"/>
          </w:r>
        </w:p>
        <w:p>
          <w:pPr>
            <w:pStyle w:val="13"/>
            <w:tabs>
              <w:tab w:val="right" w:leader="dot" w:pos="9360"/>
            </w:tabs>
            <w:spacing w:line="480" w:lineRule="auto"/>
            <w:rPr>
              <w:rFonts w:hint="default" w:ascii="Times New Roman" w:hAnsi="Times New Roman" w:cs="Times New Roman"/>
              <w:sz w:val="24"/>
              <w:szCs w:val="24"/>
            </w:rPr>
          </w:pPr>
          <w:r>
            <w:rPr>
              <w:rFonts w:hint="default" w:ascii="Times New Roman" w:hAnsi="Times New Roman" w:eastAsia="宋体" w:cs="Times New Roman"/>
              <w:bCs w:val="0"/>
              <w:sz w:val="24"/>
              <w:szCs w:val="24"/>
              <w:lang w:val="en-US" w:eastAsia="zh-CN"/>
            </w:rPr>
            <w:fldChar w:fldCharType="begin"/>
          </w:r>
          <w:r>
            <w:rPr>
              <w:rFonts w:hint="default" w:ascii="Times New Roman" w:hAnsi="Times New Roman" w:eastAsia="宋体" w:cs="Times New Roman"/>
              <w:bCs w:val="0"/>
              <w:sz w:val="24"/>
              <w:szCs w:val="24"/>
              <w:lang w:val="en-US" w:eastAsia="zh-CN"/>
            </w:rPr>
            <w:instrText xml:space="preserve"> HYPERLINK \l _Toc26605 </w:instrText>
          </w:r>
          <w:r>
            <w:rPr>
              <w:rFonts w:hint="default" w:ascii="Times New Roman" w:hAnsi="Times New Roman" w:eastAsia="宋体" w:cs="Times New Roman"/>
              <w:bCs w:val="0"/>
              <w:sz w:val="24"/>
              <w:szCs w:val="24"/>
              <w:lang w:val="en-US" w:eastAsia="zh-CN"/>
            </w:rPr>
            <w:fldChar w:fldCharType="separate"/>
          </w:r>
          <w:r>
            <w:rPr>
              <w:rFonts w:hint="default" w:ascii="Times New Roman" w:hAnsi="Times New Roman" w:cs="Times New Roman"/>
              <w:sz w:val="24"/>
              <w:szCs w:val="24"/>
            </w:rPr>
            <w:t>References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_Toc26605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15</w:t>
          </w:r>
          <w:r>
            <w:rPr>
              <w:rFonts w:hint="default" w:ascii="Times New Roman" w:hAnsi="Times New Roman" w:cs="Times New Roman"/>
              <w:sz w:val="24"/>
              <w:szCs w:val="24"/>
            </w:rPr>
            <w:fldChar w:fldCharType="end"/>
          </w:r>
          <w:r>
            <w:rPr>
              <w:rFonts w:hint="default" w:ascii="Times New Roman" w:hAnsi="Times New Roman" w:eastAsia="宋体" w:cs="Times New Roman"/>
              <w:bCs w:val="0"/>
              <w:sz w:val="24"/>
              <w:szCs w:val="24"/>
              <w:lang w:val="en-US" w:eastAsia="zh-CN"/>
            </w:rPr>
            <w:fldChar w:fldCharType="end"/>
          </w:r>
        </w:p>
        <w:p>
          <w:pPr>
            <w:spacing w:line="480" w:lineRule="auto"/>
            <w:jc w:val="center"/>
            <w:rPr>
              <w:rFonts w:hint="eastAsia" w:ascii="Times New Roman" w:hAnsi="Times New Roman" w:eastAsia="宋体" w:cs="Times New Roman"/>
              <w:b w:val="0"/>
              <w:bCs w:val="0"/>
              <w:sz w:val="24"/>
              <w:szCs w:val="24"/>
              <w:lang w:val="en-US" w:eastAsia="zh-CN"/>
            </w:rPr>
          </w:pPr>
          <w:r>
            <w:rPr>
              <w:rFonts w:hint="default" w:ascii="Times New Roman" w:hAnsi="Times New Roman" w:eastAsia="宋体" w:cs="Times New Roman"/>
              <w:bCs w:val="0"/>
              <w:sz w:val="24"/>
              <w:szCs w:val="24"/>
              <w:lang w:val="en-US" w:eastAsia="zh-CN"/>
            </w:rPr>
            <w:fldChar w:fldCharType="end"/>
          </w:r>
        </w:p>
      </w:sdtContent>
    </w:sdt>
    <w:p>
      <w:pPr>
        <w:spacing w:line="480" w:lineRule="auto"/>
        <w:jc w:val="center"/>
        <w:rPr>
          <w:rFonts w:hint="eastAsia" w:ascii="Times New Roman" w:hAnsi="Times New Roman" w:eastAsia="宋体" w:cs="Times New Roman"/>
          <w:b w:val="0"/>
          <w:bCs w:val="0"/>
          <w:sz w:val="24"/>
          <w:szCs w:val="24"/>
          <w:lang w:val="en-US" w:eastAsia="zh-CN"/>
        </w:rPr>
      </w:pPr>
    </w:p>
    <w:p>
      <w:pPr>
        <w:spacing w:line="480" w:lineRule="auto"/>
        <w:jc w:val="both"/>
        <w:rPr>
          <w:rFonts w:hint="default" w:ascii="Times New Roman" w:hAnsi="Times New Roman" w:eastAsia="宋体" w:cs="Times New Roman"/>
          <w:b w:val="0"/>
          <w:bCs w:val="0"/>
          <w:sz w:val="24"/>
          <w:szCs w:val="24"/>
          <w:lang w:val="en-US" w:eastAsia="zh-CN"/>
        </w:rPr>
      </w:pPr>
    </w:p>
    <w:p>
      <w:pPr>
        <w:pStyle w:val="2"/>
        <w:bidi w:val="0"/>
        <w:rPr>
          <w:rFonts w:hint="default"/>
        </w:rPr>
      </w:pPr>
      <w:bookmarkStart w:id="0" w:name="_Toc24296"/>
      <w:r>
        <w:rPr>
          <w:rFonts w:hint="default"/>
        </w:rPr>
        <w:t>Organization background</w:t>
      </w:r>
      <w:bookmarkEnd w:id="0"/>
    </w:p>
    <w:p>
      <w:pPr>
        <w:spacing w:line="480" w:lineRule="auto"/>
        <w:ind w:firstLine="72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ANTA brand was founded in 1991, is a leading China sports brand that engages in the manufacture and marketing of sports shoes, accessories, and clothing. The vision of the organization is to be the topmost national sportswear organization in China through market share, brand desirability and be in the top ten international sports accessories and sportswear brands through global revenues.  In 1999, ANTA created a group that participated in international sporting product exhibitions to prepare to enter an international market (</w:t>
      </w:r>
      <w:r>
        <w:rPr>
          <w:rFonts w:hint="default" w:ascii="Times New Roman" w:hAnsi="Times New Roman" w:cs="Times New Roman"/>
          <w:b w:val="0"/>
          <w:bCs w:val="0"/>
          <w:color w:val="222222"/>
          <w:sz w:val="24"/>
          <w:szCs w:val="24"/>
          <w:shd w:val="clear" w:color="auto" w:fill="FFFFFF"/>
        </w:rPr>
        <w:t>SHAO and Lei, 2020).</w:t>
      </w:r>
      <w:r>
        <w:rPr>
          <w:rFonts w:hint="default" w:ascii="Times New Roman" w:hAnsi="Times New Roman" w:cs="Times New Roman"/>
          <w:b w:val="0"/>
          <w:bCs w:val="0"/>
          <w:sz w:val="24"/>
          <w:szCs w:val="24"/>
        </w:rPr>
        <w:t xml:space="preserve"> In 2000, the group started to acquire sponsorship of foreign distribution channels and foreign sports teams. The company entered the Singapore market and established its official office in Singapore in 2005. In 2006, ANTA Sports joined other markets such as Ukraine, Greece, and the Czech Republic. ANTA brand was listed on Hong Kong Stock Exchange main board in 2007.  According to </w:t>
      </w:r>
      <w:r>
        <w:rPr>
          <w:rFonts w:hint="default" w:ascii="Times New Roman" w:hAnsi="Times New Roman" w:cs="Times New Roman"/>
          <w:b w:val="0"/>
          <w:bCs w:val="0"/>
          <w:color w:val="222222"/>
          <w:sz w:val="24"/>
          <w:szCs w:val="24"/>
          <w:shd w:val="clear" w:color="auto" w:fill="FFFFFF"/>
        </w:rPr>
        <w:t>JAWOREK</w:t>
      </w:r>
      <w:r>
        <w:rPr>
          <w:rFonts w:hint="default" w:ascii="Times New Roman" w:hAnsi="Times New Roman" w:cs="Times New Roman"/>
          <w:b w:val="0"/>
          <w:bCs w:val="0"/>
          <w:sz w:val="24"/>
          <w:szCs w:val="24"/>
        </w:rPr>
        <w:t xml:space="preserve"> </w:t>
      </w:r>
      <w:r>
        <w:rPr>
          <w:rFonts w:hint="default" w:ascii="Times New Roman" w:hAnsi="Times New Roman" w:cs="Times New Roman"/>
          <w:b w:val="0"/>
          <w:bCs w:val="0"/>
          <w:sz w:val="24"/>
          <w:szCs w:val="24"/>
        </w:rPr>
        <w:t>et al,</w:t>
      </w:r>
      <w:r>
        <w:rPr>
          <w:rFonts w:hint="default" w:ascii="Times New Roman" w:hAnsi="Times New Roman" w:cs="Times New Roman"/>
          <w:b w:val="0"/>
          <w:bCs w:val="0"/>
          <w:sz w:val="24"/>
          <w:szCs w:val="24"/>
        </w:rPr>
        <w:t xml:space="preserve"> compared to other competitors such as Nike, Lining, and Adidas, ANTA Brand is a smaller and younger sports organization. The organization has a limited brand enhancement experience to improve its brand image.</w:t>
      </w:r>
    </w:p>
    <w:p>
      <w:pPr>
        <w:spacing w:line="480" w:lineRule="auto"/>
        <w:ind w:firstLine="72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ANTA Sports adopted Single-focus, Omni-Channel, Multi-Brand strategy in recent years to enhance its brand image. The organization had embraced an all-round brand collection consisting of FILA, KOLON SPORT, ANTA, and DESCENTE and set up an investor consortium which effectively enhanced the acquisition of Amer Sports Corporation in 2019, also called Finnish sportswear group that is composed of internationally recognized brands such as Salomon, Peak Performance, Arc'teryx, Wilson, Suunto, and Atomic (</w:t>
      </w:r>
      <w:r>
        <w:rPr>
          <w:rFonts w:hint="default" w:ascii="Times New Roman" w:hAnsi="Times New Roman" w:cs="Times New Roman"/>
          <w:b w:val="0"/>
          <w:bCs w:val="0"/>
          <w:color w:val="222222"/>
          <w:sz w:val="24"/>
          <w:szCs w:val="24"/>
          <w:shd w:val="clear" w:color="auto" w:fill="FFFFFF"/>
        </w:rPr>
        <w:t>Ajay, Hess, Wess, and Zhang, 2019)</w:t>
      </w:r>
      <w:r>
        <w:rPr>
          <w:rFonts w:hint="default" w:ascii="Times New Roman" w:hAnsi="Times New Roman" w:cs="Times New Roman"/>
          <w:b w:val="0"/>
          <w:bCs w:val="0"/>
          <w:sz w:val="24"/>
          <w:szCs w:val="24"/>
        </w:rPr>
        <w:t>. ANTA sports seek to unlock its potential of production of high-end and mass sportswear in the market.</w:t>
      </w:r>
    </w:p>
    <w:p>
      <w:pPr>
        <w:pStyle w:val="2"/>
        <w:bidi w:val="0"/>
        <w:rPr>
          <w:rFonts w:hint="default"/>
        </w:rPr>
      </w:pPr>
      <w:bookmarkStart w:id="1" w:name="_Toc19808"/>
      <w:r>
        <w:rPr>
          <w:rFonts w:hint="default"/>
        </w:rPr>
        <w:t>Environmental marketing audit</w:t>
      </w:r>
      <w:bookmarkEnd w:id="1"/>
    </w:p>
    <w:p>
      <w:pPr>
        <w:spacing w:line="480" w:lineRule="auto"/>
        <w:ind w:firstLine="72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ANTA Sports produces innovative and environmentally friendly goods products. The organization launched the A-AWAKE ENERGY series that recycles plastic raw materials and turns them into polyethylene terephthalate with the help of environmental technology. The R&amp;D team was able to transcend various technical barriers with the aid of supplier partners and manufacturing RPET made sportswear that meets the eco-textile safety standards (</w:t>
      </w:r>
      <w:r>
        <w:rPr>
          <w:rFonts w:hint="default" w:ascii="Times New Roman" w:hAnsi="Times New Roman" w:cs="Times New Roman"/>
          <w:b w:val="0"/>
          <w:bCs w:val="0"/>
          <w:color w:val="222222"/>
          <w:sz w:val="24"/>
          <w:szCs w:val="24"/>
          <w:shd w:val="clear" w:color="auto" w:fill="FFFFFF"/>
        </w:rPr>
        <w:t>SHAO and Lei, 2020)</w:t>
      </w:r>
      <w:r>
        <w:rPr>
          <w:rFonts w:hint="default" w:ascii="Times New Roman" w:hAnsi="Times New Roman" w:cs="Times New Roman"/>
          <w:b w:val="0"/>
          <w:bCs w:val="0"/>
          <w:sz w:val="24"/>
          <w:szCs w:val="24"/>
        </w:rPr>
        <w:t xml:space="preserve">. The production costs of environmentally friendly products are 30-50% cheaper compared to other international brands. In making the A-AWAKE ENERGY sportswear composed of RPET, the organization collects 11-550ml plastic bottles. In 2019, the organization collected 7.7 million discarded bottles and converted them into new successful recycled products </w:t>
      </w:r>
      <w:r>
        <w:rPr>
          <w:rFonts w:hint="default" w:ascii="Times New Roman" w:hAnsi="Times New Roman" w:cs="Times New Roman"/>
          <w:b w:val="0"/>
          <w:bCs w:val="0"/>
          <w:sz w:val="24"/>
          <w:szCs w:val="24"/>
        </w:rPr>
        <w:t>(</w:t>
      </w:r>
      <w:r>
        <w:rPr>
          <w:rFonts w:hint="default" w:ascii="Times New Roman" w:hAnsi="Times New Roman" w:cs="Times New Roman"/>
          <w:b w:val="0"/>
          <w:bCs w:val="0"/>
          <w:color w:val="222222"/>
          <w:sz w:val="24"/>
          <w:szCs w:val="24"/>
          <w:shd w:val="clear" w:color="auto" w:fill="FFFFFF"/>
        </w:rPr>
        <w:t>de Anta and San-Jose, L. 2020</w:t>
      </w:r>
      <w:r>
        <w:rPr>
          <w:rFonts w:hint="default" w:ascii="Times New Roman" w:hAnsi="Times New Roman" w:cs="Times New Roman"/>
          <w:b w:val="0"/>
          <w:bCs w:val="0"/>
          <w:sz w:val="24"/>
          <w:szCs w:val="24"/>
        </w:rPr>
        <w:t>).</w:t>
      </w:r>
      <w:r>
        <w:rPr>
          <w:rFonts w:hint="default" w:ascii="Times New Roman" w:hAnsi="Times New Roman" w:cs="Times New Roman"/>
          <w:b w:val="0"/>
          <w:bCs w:val="0"/>
          <w:sz w:val="24"/>
          <w:szCs w:val="24"/>
        </w:rPr>
        <w:t xml:space="preserve"> </w:t>
      </w:r>
    </w:p>
    <w:p>
      <w:pPr>
        <w:spacing w:line="480" w:lineRule="auto"/>
        <w:ind w:firstLine="72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On Aug 19, 2020, ANTA Group signed an agreement with World Wide Fund for Nature and became the first Chinese sportswear partner to WWF. Through the resources and support offered by WWF's international network and sustainable development goals fulfillment and biodiversity preservation developed by the United Nations, ANTA Sports will begin its daily environmental, corporate governance. Social practices and patterns with its downstream and upstream partners enhance the revolution and improvement of the textile industry in water packaging and stewardship, limited pressure on the environment, and natural resources in the marketing (</w:t>
      </w:r>
      <w:r>
        <w:rPr>
          <w:rFonts w:hint="default" w:ascii="Times New Roman" w:hAnsi="Times New Roman" w:cs="Times New Roman"/>
          <w:b w:val="0"/>
          <w:bCs w:val="0"/>
          <w:color w:val="222222"/>
          <w:sz w:val="24"/>
          <w:szCs w:val="24"/>
          <w:shd w:val="clear" w:color="auto" w:fill="FFFFFF"/>
        </w:rPr>
        <w:t>Shih, 2021)</w:t>
      </w:r>
      <w:r>
        <w:rPr>
          <w:rFonts w:hint="default" w:ascii="Times New Roman" w:hAnsi="Times New Roman" w:cs="Times New Roman"/>
          <w:b w:val="0"/>
          <w:bCs w:val="0"/>
          <w:sz w:val="24"/>
          <w:szCs w:val="24"/>
        </w:rPr>
        <w:t xml:space="preserve">. The partnership is one of the globe's most significant public associations for the environment and presents the environmental marketing strategy for ANTA Sports and has effectively strengthened and expanded the bond with WWF. </w:t>
      </w:r>
    </w:p>
    <w:p>
      <w:pPr>
        <w:spacing w:line="480" w:lineRule="auto"/>
        <w:ind w:firstLine="72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Apart from collaborating and supporting the joint projects with WWF, ANTA also extends sustainability transformation by self-managing supply chain process by reducing over packaging, simultaneously substituting the plastic bag materials from polyethylene to 100%-recycled, eco-friendly LDPE, exploring the potentials to zero or reducing plastic packaging and using more recycled or FSC-authorized paper materials for packaging </w:t>
      </w:r>
      <w:r>
        <w:rPr>
          <w:rFonts w:hint="default" w:ascii="Times New Roman" w:hAnsi="Times New Roman" w:cs="Times New Roman"/>
          <w:b w:val="0"/>
          <w:bCs w:val="0"/>
          <w:sz w:val="24"/>
          <w:szCs w:val="24"/>
        </w:rPr>
        <w:t>(</w:t>
      </w:r>
      <w:r>
        <w:rPr>
          <w:rFonts w:hint="default" w:ascii="Times New Roman" w:hAnsi="Times New Roman" w:cs="Times New Roman"/>
          <w:b w:val="0"/>
          <w:bCs w:val="0"/>
          <w:color w:val="222222"/>
          <w:sz w:val="24"/>
          <w:szCs w:val="24"/>
          <w:shd w:val="clear" w:color="auto" w:fill="FFFFFF"/>
        </w:rPr>
        <w:t>Shih,2021</w:t>
      </w:r>
      <w:r>
        <w:rPr>
          <w:rFonts w:hint="default" w:ascii="Times New Roman" w:hAnsi="Times New Roman" w:cs="Times New Roman"/>
          <w:b w:val="0"/>
          <w:bCs w:val="0"/>
          <w:sz w:val="24"/>
          <w:szCs w:val="24"/>
        </w:rPr>
        <w:t>).</w:t>
      </w:r>
    </w:p>
    <w:p>
      <w:pPr>
        <w:spacing w:line="480" w:lineRule="auto"/>
        <w:ind w:firstLine="72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According to Mr. Ding Shizhon, ANTA group CEO, the partnership between ANTA Group and WWF, the globe’s most influential environmental conservation association, will enhance biodiversity preservation and sustainable environmental development. The partnership portrays the responsibility and enhances the mission of ANTA group as a world’s corporate organization. During high volatility and high uncertainty times, ANTA group hold fast to its core values and maintain the community faith in a human shared destiny since the living environment sustainability and natural resources conservation is significant to both enterprises and individuals. WWF will assist ANTA group to implement a global perspective and pioneer sustainability revolutions by linking ANTA group to relevant global resources and experts (</w:t>
      </w:r>
      <w:r>
        <w:rPr>
          <w:rFonts w:hint="default" w:ascii="Times New Roman" w:hAnsi="Times New Roman" w:cs="Times New Roman"/>
          <w:b w:val="0"/>
          <w:bCs w:val="0"/>
          <w:color w:val="222222"/>
          <w:sz w:val="24"/>
          <w:szCs w:val="24"/>
          <w:shd w:val="clear" w:color="auto" w:fill="FFFFFF"/>
        </w:rPr>
        <w:t>Suso, 2021</w:t>
      </w:r>
      <w:r>
        <w:rPr>
          <w:rFonts w:hint="default" w:ascii="Times New Roman" w:hAnsi="Times New Roman" w:cs="Times New Roman"/>
          <w:b w:val="0"/>
          <w:bCs w:val="0"/>
          <w:sz w:val="24"/>
          <w:szCs w:val="24"/>
        </w:rPr>
        <w:t>). In the future days, ANTA Group will include both upstream and downstream partners and begin from 'green' revolution of ANTA Sport’s environment to achieve sustainability objectives progressively and succeed with nature sustainably. The association should observe and maintain long-term strategy and develop a holistic strategy on sustainable environment development for the coming 3-5 years (</w:t>
      </w:r>
      <w:r>
        <w:rPr>
          <w:rFonts w:hint="default" w:ascii="Times New Roman" w:hAnsi="Times New Roman" w:cs="Times New Roman"/>
          <w:b w:val="0"/>
          <w:bCs w:val="0"/>
          <w:color w:val="222222"/>
          <w:sz w:val="24"/>
          <w:szCs w:val="24"/>
          <w:shd w:val="clear" w:color="auto" w:fill="FFFFFF"/>
        </w:rPr>
        <w:t>Shih, 2021).</w:t>
      </w:r>
    </w:p>
    <w:p>
      <w:pPr>
        <w:spacing w:line="480" w:lineRule="auto"/>
        <w:ind w:firstLine="72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According to Executive Director of WWF International, Jean-Paul Paddack, the partnership with ANTA Group, China's leading sportswear organization, will help in promoting sustainable development and biodiversity conservation. WWF is keen to see organizations such as ANTA Sports make a difference and accomplish transformations through efforts to address deforestation, develop water management, resolve water population and enhance the procurement of sustainable materials like pulp and paper. WWF aims to inspire critical stakeholders to reverse biodiversity loss trends (</w:t>
      </w:r>
      <w:r>
        <w:rPr>
          <w:rFonts w:hint="default" w:ascii="Times New Roman" w:hAnsi="Times New Roman" w:cs="Times New Roman"/>
          <w:b w:val="0"/>
          <w:bCs w:val="0"/>
          <w:color w:val="222222"/>
          <w:sz w:val="24"/>
          <w:szCs w:val="24"/>
          <w:shd w:val="clear" w:color="auto" w:fill="FFFFFF"/>
        </w:rPr>
        <w:t>Shih, 2021)</w:t>
      </w:r>
      <w:r>
        <w:rPr>
          <w:rFonts w:hint="default" w:ascii="Times New Roman" w:hAnsi="Times New Roman" w:cs="Times New Roman"/>
          <w:b w:val="0"/>
          <w:bCs w:val="0"/>
          <w:sz w:val="24"/>
          <w:szCs w:val="24"/>
        </w:rPr>
        <w:t>.</w:t>
      </w:r>
    </w:p>
    <w:p>
      <w:pPr>
        <w:spacing w:line="480" w:lineRule="auto"/>
        <w:ind w:firstLine="72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Besides being an international partner, ANTA Sport launched its corporate social responsibility Report the reacted to sustainable development objectives established by United Nations.  The organization reinforced its commitments and consumer, partners, employees, community engagement, and environmental protection responsibilities. According to the ANTA group report, the organization has developed social responsibility management strategic framework with management, value, experience, and optimization at the center (</w:t>
      </w:r>
      <w:r>
        <w:rPr>
          <w:rFonts w:hint="default" w:ascii="Times New Roman" w:hAnsi="Times New Roman" w:cs="Times New Roman"/>
          <w:b w:val="0"/>
          <w:bCs w:val="0"/>
          <w:color w:val="222222"/>
          <w:sz w:val="24"/>
          <w:szCs w:val="24"/>
          <w:shd w:val="clear" w:color="auto" w:fill="FFFFFF"/>
        </w:rPr>
        <w:t>Suso, 2021</w:t>
      </w:r>
      <w:r>
        <w:rPr>
          <w:rFonts w:hint="default" w:ascii="Times New Roman" w:hAnsi="Times New Roman" w:cs="Times New Roman"/>
          <w:b w:val="0"/>
          <w:bCs w:val="0"/>
          <w:sz w:val="24"/>
          <w:szCs w:val="24"/>
        </w:rPr>
        <w:t>).</w:t>
      </w:r>
    </w:p>
    <w:p>
      <w:pPr>
        <w:pStyle w:val="2"/>
        <w:bidi w:val="0"/>
        <w:rPr>
          <w:rFonts w:hint="default"/>
        </w:rPr>
      </w:pPr>
      <w:bookmarkStart w:id="2" w:name="_Toc7189"/>
      <w:r>
        <w:rPr>
          <w:rFonts w:hint="default"/>
        </w:rPr>
        <w:t>Marketing objectives and strategic options</w:t>
      </w:r>
      <w:bookmarkEnd w:id="2"/>
    </w:p>
    <w:p>
      <w:pPr>
        <w:spacing w:line="480" w:lineRule="auto"/>
        <w:ind w:firstLine="72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ANTA aims to be mass-market royalty. The middle-class composition in China has changed over the years. The Chinese middle class is about 200 million. However, ANTA is targeting the population below the middle class who have limited income but can still spend on other products (</w:t>
      </w:r>
      <w:r>
        <w:rPr>
          <w:rFonts w:hint="default" w:ascii="Times New Roman" w:hAnsi="Times New Roman" w:cs="Times New Roman"/>
          <w:b w:val="0"/>
          <w:bCs w:val="0"/>
          <w:color w:val="222222"/>
          <w:sz w:val="24"/>
          <w:szCs w:val="24"/>
          <w:shd w:val="clear" w:color="auto" w:fill="FFFFFF"/>
        </w:rPr>
        <w:t>SHAO and Lei, 2020).</w:t>
      </w:r>
      <w:r>
        <w:rPr>
          <w:rFonts w:hint="default" w:ascii="Times New Roman" w:hAnsi="Times New Roman" w:cs="Times New Roman"/>
          <w:b w:val="0"/>
          <w:bCs w:val="0"/>
          <w:sz w:val="24"/>
          <w:szCs w:val="24"/>
        </w:rPr>
        <w:t xml:space="preserve"> However, the organization faces a challenge where the target group feels that the goods are not just affordable as they seem. In China, customers expect to purchase locally produced sportswear by paying about 120-300 RMB. However, ANTA sets its prices slightly above the standard not to appear as selling cheap goods. However, the prices are within the affordable range, making customers feel that they are purchasing good taste products (</w:t>
      </w:r>
      <w:r>
        <w:rPr>
          <w:rFonts w:hint="default" w:ascii="Times New Roman" w:hAnsi="Times New Roman" w:cs="Times New Roman"/>
          <w:b w:val="0"/>
          <w:bCs w:val="0"/>
          <w:color w:val="222222"/>
          <w:sz w:val="24"/>
          <w:szCs w:val="24"/>
          <w:shd w:val="clear" w:color="auto" w:fill="FFFFFF"/>
        </w:rPr>
        <w:t>de Alcântara et al, 2021).</w:t>
      </w:r>
    </w:p>
    <w:p>
      <w:pPr>
        <w:spacing w:line="480" w:lineRule="auto"/>
        <w:ind w:firstLine="72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ANTA also aims to fight middle-class market perception challenges by acquiring competitors. According to Wu Ge, ANTA is not perceived as a fantastic brand within the young Chinese population and is not recognized in the West. Generally, Tier 1 and 2 residents perceive that the brand is cheap and tend not to purchase items from the organization. Conversely, the organization has a vast Chinese sportswear distribution network that can leverage to market some of the perceived "cool brands." As a result, the organization ANTA first collaborated with FILA in 2009, leading to an increase of FILA's gross by about 75.4% in 2019. ANTA also partnered with other organizations such as Sprandi, Kolon Sport, and Descent, which has enabled gross profit growth by about 44% every year since 2018 (</w:t>
      </w:r>
      <w:r>
        <w:rPr>
          <w:rFonts w:hint="default" w:ascii="Times New Roman" w:hAnsi="Times New Roman" w:cs="Times New Roman"/>
          <w:b w:val="0"/>
          <w:bCs w:val="0"/>
          <w:color w:val="222222"/>
          <w:sz w:val="24"/>
          <w:szCs w:val="24"/>
          <w:shd w:val="clear" w:color="auto" w:fill="FFFFFF"/>
        </w:rPr>
        <w:t>Shih, 2021).</w:t>
      </w:r>
      <w:r>
        <w:rPr>
          <w:rFonts w:hint="default" w:ascii="Times New Roman" w:hAnsi="Times New Roman" w:cs="Times New Roman"/>
          <w:b w:val="0"/>
          <w:bCs w:val="0"/>
          <w:sz w:val="24"/>
          <w:szCs w:val="24"/>
        </w:rPr>
        <w:t xml:space="preserve"> Under the recent consortium, Amer Sports, ANTA Sports has gained Wilson, and Solomon brands considered "cooler brands" in an attempt to effectively compete in the high-end market. ANTA's strategy of sponsoring the Winter Olympics in 2022 will help international and domestic brand marketing.</w:t>
      </w:r>
    </w:p>
    <w:p>
      <w:pPr>
        <w:spacing w:line="480" w:lineRule="auto"/>
        <w:ind w:firstLine="72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To thrive in the fast-developing, middle-class markets, ANTA has collaborated with high-end Descente, Japanese Winter brands to shelter the escalating Chinese winter sports market. Sprandi is an Indian stylish sneaker brand that employs technology to make comfortable shoes. Kolon Sport is a Korean outdoor-wear collection.  KingKow is a Hong Kong company that produces fashionable kids' clothing (</w:t>
      </w:r>
      <w:r>
        <w:rPr>
          <w:rFonts w:hint="default" w:ascii="Times New Roman" w:hAnsi="Times New Roman" w:cs="Times New Roman"/>
          <w:b w:val="0"/>
          <w:bCs w:val="0"/>
          <w:color w:val="222222"/>
          <w:sz w:val="24"/>
          <w:szCs w:val="24"/>
          <w:shd w:val="clear" w:color="auto" w:fill="FFFFFF"/>
        </w:rPr>
        <w:t>de Alcântara et al, 2021</w:t>
      </w:r>
      <w:r>
        <w:rPr>
          <w:rFonts w:hint="default" w:ascii="Times New Roman" w:hAnsi="Times New Roman" w:cs="Times New Roman"/>
          <w:b w:val="0"/>
          <w:bCs w:val="0"/>
          <w:sz w:val="24"/>
          <w:szCs w:val="24"/>
        </w:rPr>
        <w:t>).</w:t>
      </w:r>
    </w:p>
    <w:p>
      <w:pPr>
        <w:spacing w:line="480" w:lineRule="auto"/>
        <w:ind w:firstLine="72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In summary, ANTA has implemented a multi-brand strategy that has partnered with various organizations to help address the consumer group below the middle class and cater to the middle class with "cool brand" taste (</w:t>
      </w:r>
      <w:r>
        <w:rPr>
          <w:rFonts w:hint="default" w:ascii="Times New Roman" w:hAnsi="Times New Roman" w:cs="Times New Roman"/>
          <w:b w:val="0"/>
          <w:bCs w:val="0"/>
          <w:color w:val="222222"/>
          <w:sz w:val="24"/>
          <w:szCs w:val="24"/>
          <w:shd w:val="clear" w:color="auto" w:fill="FFFFFF"/>
        </w:rPr>
        <w:t>FUZI, n.d)</w:t>
      </w:r>
      <w:r>
        <w:rPr>
          <w:rFonts w:hint="default" w:ascii="Times New Roman" w:hAnsi="Times New Roman" w:cs="Times New Roman"/>
          <w:b w:val="0"/>
          <w:bCs w:val="0"/>
          <w:sz w:val="24"/>
          <w:szCs w:val="24"/>
        </w:rPr>
        <w:t xml:space="preserve">. Through the strategy, the organization has partnered with Sprandi, Kolon Sport, KingKow, and Descente. The organization has also entered into a recent consortium with Amer Sport collaboration </w:t>
      </w:r>
      <w:r>
        <w:rPr>
          <w:rFonts w:hint="default" w:ascii="Times New Roman" w:hAnsi="Times New Roman" w:cs="Times New Roman"/>
          <w:b w:val="0"/>
          <w:bCs w:val="0"/>
          <w:sz w:val="24"/>
          <w:szCs w:val="24"/>
        </w:rPr>
        <w:t>(</w:t>
      </w:r>
      <w:r>
        <w:rPr>
          <w:rFonts w:hint="default" w:ascii="Times New Roman" w:hAnsi="Times New Roman" w:cs="Times New Roman"/>
          <w:b w:val="0"/>
          <w:bCs w:val="0"/>
          <w:color w:val="222222"/>
          <w:sz w:val="24"/>
          <w:szCs w:val="24"/>
          <w:shd w:val="clear" w:color="auto" w:fill="FFFFFF"/>
        </w:rPr>
        <w:t>Shih, 2021</w:t>
      </w:r>
      <w:r>
        <w:rPr>
          <w:rFonts w:hint="default" w:ascii="Times New Roman" w:hAnsi="Times New Roman" w:cs="Times New Roman"/>
          <w:b w:val="0"/>
          <w:bCs w:val="0"/>
          <w:sz w:val="24"/>
          <w:szCs w:val="24"/>
        </w:rPr>
        <w:t>).</w:t>
      </w:r>
    </w:p>
    <w:p>
      <w:pPr>
        <w:pStyle w:val="2"/>
        <w:bidi w:val="0"/>
        <w:rPr>
          <w:rFonts w:hint="default"/>
        </w:rPr>
      </w:pPr>
      <w:bookmarkStart w:id="3" w:name="_Toc32272"/>
      <w:r>
        <w:rPr>
          <w:rFonts w:hint="default"/>
        </w:rPr>
        <w:t>Multi-brand Strategy</w:t>
      </w:r>
      <w:bookmarkEnd w:id="3"/>
    </w:p>
    <w:p>
      <w:pPr>
        <w:spacing w:line="480" w:lineRule="auto"/>
        <w:ind w:firstLine="72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Improved living standards and nationwide expansion of sports in China have facilitated an increase in sportswear demand with diversified design and functionality. The consumer and retail market preferences in China have enhanced changes and developed various distribution channels. To enhance the growth of ANTA in multiple sections, ANTA always concentrates on sportswear and has implemented Omni-cannel and multi-brand approaches to explore the potentials in high-end and mass markets and has become the leading retail channel in China (</w:t>
      </w:r>
      <w:r>
        <w:rPr>
          <w:rFonts w:hint="default" w:ascii="Times New Roman" w:hAnsi="Times New Roman" w:cs="Times New Roman"/>
          <w:b w:val="0"/>
          <w:bCs w:val="0"/>
          <w:color w:val="222222"/>
          <w:sz w:val="24"/>
          <w:szCs w:val="24"/>
          <w:shd w:val="clear" w:color="auto" w:fill="FFFFFF"/>
        </w:rPr>
        <w:t>SHAO and Lei, 2020).</w:t>
      </w:r>
      <w:r>
        <w:rPr>
          <w:rFonts w:hint="default" w:ascii="Times New Roman" w:hAnsi="Times New Roman" w:cs="Times New Roman"/>
          <w:b w:val="0"/>
          <w:bCs w:val="0"/>
          <w:sz w:val="24"/>
          <w:szCs w:val="24"/>
        </w:rPr>
        <w:t xml:space="preserve"> The well-defined brand collection strategy has sheltered the organization against uncertainties in the market and improved the competitiveness of the products as a measure to accomplish long-term sustainable development.</w:t>
      </w:r>
    </w:p>
    <w:p>
      <w:pPr>
        <w:pStyle w:val="2"/>
        <w:bidi w:val="0"/>
        <w:rPr>
          <w:rFonts w:hint="default"/>
        </w:rPr>
      </w:pPr>
      <w:bookmarkStart w:id="4" w:name="_Toc22652"/>
      <w:r>
        <w:rPr>
          <w:rFonts w:hint="default"/>
        </w:rPr>
        <w:t>Implementation of multi-brand strategy</w:t>
      </w:r>
      <w:bookmarkEnd w:id="4"/>
    </w:p>
    <w:p>
      <w:pPr>
        <w:spacing w:line="480" w:lineRule="auto"/>
        <w:ind w:firstLine="72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ANTA Sport has implemented a multi-brand strategy through various approaches such as moderate brand extension, competitive brands acquisition, and joint venture strong brand.'</w:t>
      </w:r>
    </w:p>
    <w:p>
      <w:pPr>
        <w:pStyle w:val="2"/>
        <w:bidi w:val="0"/>
        <w:rPr>
          <w:rFonts w:hint="default"/>
        </w:rPr>
      </w:pPr>
      <w:bookmarkStart w:id="5" w:name="_Toc18442"/>
      <w:r>
        <w:rPr>
          <w:rFonts w:hint="default"/>
        </w:rPr>
        <w:t>Moderate Brands extension</w:t>
      </w:r>
      <w:bookmarkEnd w:id="5"/>
    </w:p>
    <w:p>
      <w:pPr>
        <w:spacing w:line="480" w:lineRule="auto"/>
        <w:ind w:firstLine="72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Seeking the competitive condition of children's wear in the national market, ANTA Sports in 2008 launched ANTA KIDS. ANTA KIDS is a brand extension for ANTA Sport. The extension enhances the competitive advantage of the primary ANTA Sports brand and broadens the sales and distribution channels with the assistance of the leading brand's market influence. Besides, ANTA KIDS explores the market for new users. After establishing ANTA KIDS, the total number of ANTA stores for both ANTA KIDS and ANTA Sports grew to 5781 in 2008 and 10057 in 2018, showing a surge of 73.97%. ANTA KIDS was the first tap for children's sportswear in China (</w:t>
      </w:r>
      <w:r>
        <w:rPr>
          <w:rFonts w:hint="default" w:ascii="Times New Roman" w:hAnsi="Times New Roman" w:cs="Times New Roman"/>
          <w:b w:val="0"/>
          <w:bCs w:val="0"/>
          <w:color w:val="222222"/>
          <w:sz w:val="24"/>
          <w:szCs w:val="24"/>
          <w:shd w:val="clear" w:color="auto" w:fill="FFFFFF"/>
        </w:rPr>
        <w:t>Ajay, Hess, Wess, and Zhang, 2019)</w:t>
      </w:r>
      <w:r>
        <w:rPr>
          <w:rFonts w:hint="default" w:ascii="Times New Roman" w:hAnsi="Times New Roman" w:cs="Times New Roman"/>
          <w:b w:val="0"/>
          <w:bCs w:val="0"/>
          <w:sz w:val="24"/>
          <w:szCs w:val="24"/>
        </w:rPr>
        <w:t>. The brand offers highly comfortable and appropriate value-for-money sportswear for children in China. ANTA KIDS supplies are mainly located in 2nd and 3rd tier cities in China.</w:t>
      </w:r>
    </w:p>
    <w:p>
      <w:pPr>
        <w:pStyle w:val="2"/>
        <w:bidi w:val="0"/>
        <w:rPr>
          <w:rFonts w:hint="default"/>
        </w:rPr>
      </w:pPr>
      <w:bookmarkStart w:id="6" w:name="_Toc15641"/>
      <w:r>
        <w:rPr>
          <w:rFonts w:hint="default"/>
        </w:rPr>
        <w:t>Acquisition of competitive brands</w:t>
      </w:r>
      <w:bookmarkEnd w:id="6"/>
    </w:p>
    <w:p>
      <w:pPr>
        <w:spacing w:line="480" w:lineRule="auto"/>
        <w:ind w:firstLine="72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In 2009, ANTA acquired the operating business and trademark right of FILA, an international popular sports fashion brand in China, and situated itself in high-end sports marker. In 2010, FILA had established approximately 210 stores in China. Eight years later, the number of FILA stores rose to 1652 in china by 2018, revealing an increase of 1442. FILA KIDS, which has positioned itself as a significant high-end children's clothing market, was launched in 2015 in China. FILA KIDS maintains the unique image and heritage of FILA and has obtained awareness in the high-end market (</w:t>
      </w:r>
      <w:r>
        <w:rPr>
          <w:rFonts w:hint="default" w:ascii="Times New Roman" w:hAnsi="Times New Roman" w:cs="Times New Roman"/>
          <w:b w:val="0"/>
          <w:bCs w:val="0"/>
          <w:color w:val="222222"/>
          <w:sz w:val="24"/>
          <w:szCs w:val="24"/>
          <w:shd w:val="clear" w:color="auto" w:fill="FFFFFF"/>
        </w:rPr>
        <w:t>SHAO and Lei, 2020).</w:t>
      </w:r>
      <w:r>
        <w:rPr>
          <w:rFonts w:hint="default" w:ascii="Times New Roman" w:hAnsi="Times New Roman" w:cs="Times New Roman"/>
          <w:b w:val="0"/>
          <w:bCs w:val="0"/>
          <w:sz w:val="24"/>
          <w:szCs w:val="24"/>
        </w:rPr>
        <w:t xml:space="preserve">  FILA also developed FILA FUSION, a trendy wear brand among the youth. A launched standalone store bridged the youth wear gap since it targeted youth aged 15 to 25 and provided youths with sporty and trendy clothing.</w:t>
      </w:r>
    </w:p>
    <w:p>
      <w:pPr>
        <w:spacing w:line="480" w:lineRule="auto"/>
        <w:ind w:firstLine="72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In 2015, ANTA adopted SPRANDI, a British sports shoe brand. SPRANDI, a mountaineering and outdoor leisure brand, has strategically situated itself in lower and middle-end markets. In four years, the number of SPRANDI stores in China has increased to 104. In 2017, ANTA acquired necessary trademark ownership and 100% equity of the KINGKOW brand. KINGKOW is a famous brand dealing in children's wear. The number of KINGKOW stores in China reached 77 in 2018 (</w:t>
      </w:r>
      <w:r>
        <w:rPr>
          <w:rFonts w:hint="default" w:ascii="Times New Roman" w:hAnsi="Times New Roman" w:cs="Times New Roman"/>
          <w:b w:val="0"/>
          <w:bCs w:val="0"/>
          <w:color w:val="222222"/>
          <w:sz w:val="24"/>
          <w:szCs w:val="24"/>
          <w:shd w:val="clear" w:color="auto" w:fill="FFFFFF"/>
        </w:rPr>
        <w:t>Pandit et al, 2020)</w:t>
      </w:r>
      <w:r>
        <w:rPr>
          <w:rFonts w:hint="default" w:ascii="Times New Roman" w:hAnsi="Times New Roman" w:cs="Times New Roman"/>
          <w:b w:val="0"/>
          <w:bCs w:val="0"/>
          <w:sz w:val="24"/>
          <w:szCs w:val="24"/>
        </w:rPr>
        <w:t>.</w:t>
      </w:r>
    </w:p>
    <w:p>
      <w:pPr>
        <w:pStyle w:val="2"/>
        <w:bidi w:val="0"/>
        <w:rPr>
          <w:rFonts w:hint="default"/>
        </w:rPr>
      </w:pPr>
      <w:bookmarkStart w:id="7" w:name="_Toc4657"/>
      <w:r>
        <w:rPr>
          <w:rFonts w:hint="default"/>
        </w:rPr>
        <w:t>Joint venture strong brand</w:t>
      </w:r>
      <w:bookmarkEnd w:id="7"/>
    </w:p>
    <w:p>
      <w:pPr>
        <w:spacing w:line="480" w:lineRule="auto"/>
        <w:ind w:firstLine="72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ANTA Sport developed a joint venture with DESCENTE GLOBAL RETAIL LIMITED, a subordinate of Tokyo listed organization Descente Japan and Itochu, an associate of Tokyo listed organization Itochu Corporation. Descente is a famous functional sportswear brand that primarily focuses on supplying skiing equipment. ANTA Sport established a joint venture with Descente in 2016 (</w:t>
      </w:r>
      <w:r>
        <w:rPr>
          <w:rFonts w:hint="default" w:ascii="Times New Roman" w:hAnsi="Times New Roman" w:cs="Times New Roman"/>
          <w:b w:val="0"/>
          <w:bCs w:val="0"/>
          <w:color w:val="222222"/>
          <w:sz w:val="24"/>
          <w:szCs w:val="24"/>
          <w:shd w:val="clear" w:color="auto" w:fill="FFFFFF"/>
        </w:rPr>
        <w:t>FUZI, n.d)</w:t>
      </w:r>
      <w:r>
        <w:rPr>
          <w:rFonts w:hint="default" w:ascii="Times New Roman" w:hAnsi="Times New Roman" w:cs="Times New Roman"/>
          <w:b w:val="0"/>
          <w:bCs w:val="0"/>
          <w:sz w:val="24"/>
          <w:szCs w:val="24"/>
        </w:rPr>
        <w:t>. The collaboration increased the number of DESCENTE stores in China from 6 in 2016 to 117 in 2018. The partnership targets the high-end sportswear market for ski, running, and training in China.</w:t>
      </w:r>
    </w:p>
    <w:p>
      <w:pPr>
        <w:spacing w:line="480" w:lineRule="auto"/>
        <w:ind w:firstLine="72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ANTA also engaged in a joint venture with KOLON SPORT, a Korean brand, in October 2017. KOLON SPORT primarily engages in clothing, textile, retail, and real estate construction. KOLON SPORT mainly deals in women's, children's, and men's outdoor clothing, bags, shoes, and other accessories such as hiking sticks, hats, and hiking socks and is the leading outdoor wear brand in South Korea (</w:t>
      </w:r>
      <w:r>
        <w:rPr>
          <w:rFonts w:hint="default" w:ascii="Times New Roman" w:hAnsi="Times New Roman" w:cs="Times New Roman"/>
          <w:b w:val="0"/>
          <w:bCs w:val="0"/>
          <w:color w:val="222222"/>
          <w:sz w:val="24"/>
          <w:szCs w:val="24"/>
          <w:shd w:val="clear" w:color="auto" w:fill="FFFFFF"/>
        </w:rPr>
        <w:t>SHAO and Lei, 2020).</w:t>
      </w:r>
      <w:r>
        <w:rPr>
          <w:rFonts w:hint="default" w:ascii="Times New Roman" w:hAnsi="Times New Roman" w:cs="Times New Roman"/>
          <w:b w:val="0"/>
          <w:bCs w:val="0"/>
          <w:sz w:val="24"/>
          <w:szCs w:val="24"/>
        </w:rPr>
        <w:t xml:space="preserve"> The green tree in the logo helps in highlighting the organization's interest in nature which draws many customers to the organization. In the last 40 years, KOLON SPORT has successfully positioned itself as a new lifestyle pioneer and a professional outdoor –wear brand. The collaboration with ANTA has ensured the establishment of 181 KOLON SPORT stores in China.</w:t>
      </w:r>
    </w:p>
    <w:p>
      <w:pPr>
        <w:pStyle w:val="2"/>
        <w:bidi w:val="0"/>
        <w:rPr>
          <w:rFonts w:hint="default"/>
        </w:rPr>
      </w:pPr>
      <w:bookmarkStart w:id="8" w:name="_Toc14285"/>
      <w:r>
        <w:rPr>
          <w:rFonts w:hint="default"/>
        </w:rPr>
        <w:t>Analysis of Multi-brand strategic impact of ANTA Sports</w:t>
      </w:r>
      <w:bookmarkEnd w:id="8"/>
    </w:p>
    <w:p>
      <w:pPr>
        <w:spacing w:line="480" w:lineRule="auto"/>
        <w:ind w:firstLine="72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The multi-brand strategy of ANTA Sports has resulted in various effects on the organization. Some of the products include continuous operating revenue improvement, a decline in asset management potential, and relatively stable solvency.</w:t>
      </w:r>
    </w:p>
    <w:p>
      <w:pPr>
        <w:pStyle w:val="2"/>
        <w:bidi w:val="0"/>
        <w:rPr>
          <w:rFonts w:hint="default"/>
        </w:rPr>
      </w:pPr>
      <w:bookmarkStart w:id="9" w:name="_Toc21316"/>
      <w:r>
        <w:rPr>
          <w:rFonts w:hint="default"/>
        </w:rPr>
        <w:t>Continuous operating revenue improvement</w:t>
      </w:r>
      <w:bookmarkEnd w:id="9"/>
    </w:p>
    <w:p>
      <w:pPr>
        <w:spacing w:line="480" w:lineRule="auto"/>
        <w:ind w:firstLine="72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This part primarily evaluates the increase in profit levels caused by the effective implementation of a multi-brand strategy. The analysis considers ANTA SPORT's net profit margin and operating revenue. ANTA Sports' operating income has continued to increase from 2007 (</w:t>
      </w:r>
      <w:r>
        <w:rPr>
          <w:rFonts w:hint="default" w:ascii="Times New Roman" w:hAnsi="Times New Roman" w:cs="Times New Roman"/>
          <w:b w:val="0"/>
          <w:bCs w:val="0"/>
          <w:color w:val="222222"/>
          <w:sz w:val="24"/>
          <w:szCs w:val="24"/>
          <w:shd w:val="clear" w:color="auto" w:fill="FFFFFF"/>
        </w:rPr>
        <w:t>Ajay, Hess, Wess, and Zhang, 2019)</w:t>
      </w:r>
      <w:r>
        <w:rPr>
          <w:rFonts w:hint="default" w:ascii="Times New Roman" w:hAnsi="Times New Roman" w:cs="Times New Roman"/>
          <w:b w:val="0"/>
          <w:bCs w:val="0"/>
          <w:sz w:val="24"/>
          <w:szCs w:val="24"/>
        </w:rPr>
        <w:t>. The operating revenue of ANTA Sports in 2007 was 3182.453 million RMB and grew to 24100.039 million RMB showing an average increase of about 675.28%. However, the financial crisis in 2008 affected all international brands, including ANTA Sport resulting in a reduction in the sales volume.</w:t>
      </w:r>
    </w:p>
    <w:p>
      <w:pPr>
        <w:spacing w:line="480" w:lineRule="auto"/>
        <w:ind w:firstLine="72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Additionally, the organization still keeps its operating revenue. ANTA Sport has experienced income declines in operating revenue, especially from 2012 to 2013, and has continued to rise, particularly in 2018. Conversely, the small profit margin of ANTA Sport falls and rises alternately with a general small change fluctuating between 16% and 22%. A remarkable decrease in turnover was observed in 2012 and 2013, showing an unobvious net profit margin (</w:t>
      </w:r>
      <w:r>
        <w:rPr>
          <w:rFonts w:hint="default" w:ascii="Times New Roman" w:hAnsi="Times New Roman" w:cs="Times New Roman"/>
          <w:b w:val="0"/>
          <w:bCs w:val="0"/>
          <w:color w:val="222222"/>
          <w:sz w:val="24"/>
          <w:szCs w:val="24"/>
          <w:shd w:val="clear" w:color="auto" w:fill="FFFFFF"/>
        </w:rPr>
        <w:t>Ajay, Hess, Wess, and Zhang, 2019).</w:t>
      </w:r>
      <w:r>
        <w:rPr>
          <w:rFonts w:hint="default" w:ascii="Times New Roman" w:hAnsi="Times New Roman" w:cs="Times New Roman"/>
          <w:b w:val="0"/>
          <w:bCs w:val="0"/>
          <w:sz w:val="24"/>
          <w:szCs w:val="24"/>
        </w:rPr>
        <w:t xml:space="preserve"> Generally, ANTA Sports' operating income has changed significantly with a negative trend in 2012 and 2013 and a positive trend in other years.</w:t>
      </w:r>
    </w:p>
    <w:p>
      <w:pPr>
        <w:spacing w:line="480" w:lineRule="auto"/>
        <w:ind w:firstLine="72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From the vertical evaluation of ANTA Sports, the acquisition and joint ventures, and other new brand introduction approaches, the group has earned more income and increased its net profit margins. In the future, ANTA Sports should integrate more recent brands to the primary brands to enhance the organization's profitability (</w:t>
      </w:r>
      <w:r>
        <w:rPr>
          <w:rFonts w:hint="default" w:ascii="Times New Roman" w:hAnsi="Times New Roman" w:cs="Times New Roman"/>
          <w:b w:val="0"/>
          <w:bCs w:val="0"/>
          <w:color w:val="222222"/>
          <w:sz w:val="24"/>
          <w:szCs w:val="24"/>
          <w:shd w:val="clear" w:color="auto" w:fill="FFFFFF"/>
        </w:rPr>
        <w:t>FUZI, n.d)</w:t>
      </w:r>
      <w:r>
        <w:rPr>
          <w:rFonts w:hint="default" w:ascii="Times New Roman" w:hAnsi="Times New Roman" w:cs="Times New Roman"/>
          <w:b w:val="0"/>
          <w:bCs w:val="0"/>
          <w:sz w:val="24"/>
          <w:szCs w:val="24"/>
        </w:rPr>
        <w:t>. Through the leading brand, the new brands will gain more customers from the readily established market, which improves the profit of the organization.</w:t>
      </w:r>
    </w:p>
    <w:p>
      <w:pPr>
        <w:pStyle w:val="2"/>
        <w:bidi w:val="0"/>
        <w:rPr>
          <w:rFonts w:hint="default"/>
        </w:rPr>
      </w:pPr>
      <w:bookmarkStart w:id="10" w:name="_Toc11056"/>
      <w:r>
        <w:rPr>
          <w:rFonts w:hint="default"/>
        </w:rPr>
        <w:t>The decline in an asset management capacity</w:t>
      </w:r>
      <w:bookmarkEnd w:id="10"/>
    </w:p>
    <w:p>
      <w:pPr>
        <w:spacing w:line="480" w:lineRule="auto"/>
        <w:ind w:firstLine="72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Multi-brand strategy implementation has a significant impact on the capacity of company asset management and the efficacy of company management. This segment evaluates the effect of a multi-brand strategy on ANTA Sports' management. The section considers total asset turnover rates, inventory turnover rate, and fixed asset turnover rate. The inventory turnover rate analysis shows a declining trend from 2007-2018 showing weak inventory liquidity during the period. The continuous extension of group scale and simultaneous rise in the number of brands making it difficult for ANTA Sports to control the product inventory. The fixed asset turnover rates fluctuated significantly between 2007 and 2018 (</w:t>
      </w:r>
      <w:r>
        <w:rPr>
          <w:rFonts w:hint="default" w:ascii="Times New Roman" w:hAnsi="Times New Roman" w:cs="Times New Roman"/>
          <w:b w:val="0"/>
          <w:bCs w:val="0"/>
          <w:color w:val="222222"/>
          <w:sz w:val="24"/>
          <w:szCs w:val="24"/>
          <w:shd w:val="clear" w:color="auto" w:fill="FFFFFF"/>
        </w:rPr>
        <w:t>SHAO and Lei, 2020).</w:t>
      </w:r>
      <w:r>
        <w:rPr>
          <w:rFonts w:hint="default" w:ascii="Times New Roman" w:hAnsi="Times New Roman" w:cs="Times New Roman"/>
          <w:b w:val="0"/>
          <w:bCs w:val="0"/>
          <w:sz w:val="24"/>
          <w:szCs w:val="24"/>
        </w:rPr>
        <w:t xml:space="preserve"> However, the integration of novel brands in 2017, 2016, 2015, and 2009 raised the fixed asset turnover rates for ANTA Sport compared to the previous year's, showing that the inclusion of other brands enhanced the fixed assets utilization efficiency by ANTA Sport. The changes in total asset turnover changes were relatively stable, presenting that ANTA Sport's utilization of total assets had limited chances.</w:t>
      </w:r>
    </w:p>
    <w:p>
      <w:pPr>
        <w:spacing w:line="480" w:lineRule="auto"/>
        <w:ind w:firstLine="72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From this analysis, ANTA Sports still lacked control over total assets after implementing the multi-brand strategy. The organization should, therefore, continue exercising and improving comprehensive asset management. The new brand acquisition and the joint venture will extend the business' asset scale that demands that ANTA Sports conduct effective resource incorporation and enhance the incorporation after implementing the multi-brand strategy as the primary content of business development (</w:t>
      </w:r>
      <w:r>
        <w:rPr>
          <w:rFonts w:hint="default" w:ascii="Times New Roman" w:hAnsi="Times New Roman" w:cs="Times New Roman"/>
          <w:b w:val="0"/>
          <w:bCs w:val="0"/>
          <w:color w:val="222222"/>
          <w:sz w:val="24"/>
          <w:szCs w:val="24"/>
          <w:shd w:val="clear" w:color="auto" w:fill="FFFFFF"/>
        </w:rPr>
        <w:t>Liu et al, 2017</w:t>
      </w:r>
      <w:r>
        <w:rPr>
          <w:rFonts w:hint="default" w:ascii="Times New Roman" w:hAnsi="Times New Roman" w:cs="Times New Roman"/>
          <w:b w:val="0"/>
          <w:bCs w:val="0"/>
          <w:sz w:val="24"/>
          <w:szCs w:val="24"/>
        </w:rPr>
        <w:t>).</w:t>
      </w:r>
    </w:p>
    <w:p>
      <w:pPr>
        <w:pStyle w:val="2"/>
        <w:bidi w:val="0"/>
        <w:rPr>
          <w:rFonts w:hint="default"/>
        </w:rPr>
      </w:pPr>
      <w:bookmarkStart w:id="11" w:name="_Toc30438"/>
      <w:r>
        <w:rPr>
          <w:rFonts w:hint="default"/>
        </w:rPr>
        <w:t>Relatively stable solvency</w:t>
      </w:r>
      <w:bookmarkEnd w:id="11"/>
    </w:p>
    <w:p>
      <w:pPr>
        <w:spacing w:line="480" w:lineRule="auto"/>
        <w:ind w:firstLine="72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The section considers the ability of ANTA Sports to pay its debts after implementing a multi-brand strategy. The analysis finds four ratios: current ratio, cash ratio, asset-liability ratio, and cash flow debt ratio. The organization's data show a decline in the current ratio and cash ratio, indicating weak short-term solvency. Comparing the liability ratio before partnering with other brands and after partnering, it is observed that the 2016 and 2009 indicators were higher than the previous years. The asset-liability ratio fluctuated significantly between 2007 and 2018. The liability asset ratio after 2012 fluctuated between 24 and 33%, showing that ANTA Sport's ratio was relatively stable over the years (</w:t>
      </w:r>
      <w:r>
        <w:rPr>
          <w:rFonts w:hint="default" w:ascii="Times New Roman" w:hAnsi="Times New Roman" w:cs="Times New Roman"/>
          <w:b w:val="0"/>
          <w:bCs w:val="0"/>
          <w:color w:val="222222"/>
          <w:sz w:val="24"/>
          <w:szCs w:val="24"/>
          <w:shd w:val="clear" w:color="auto" w:fill="FFFFFF"/>
        </w:rPr>
        <w:t>FUZI, n.d)</w:t>
      </w:r>
      <w:r>
        <w:rPr>
          <w:rFonts w:hint="default" w:ascii="Times New Roman" w:hAnsi="Times New Roman" w:cs="Times New Roman"/>
          <w:b w:val="0"/>
          <w:bCs w:val="0"/>
          <w:sz w:val="24"/>
          <w:szCs w:val="24"/>
        </w:rPr>
        <w:t>.</w:t>
      </w:r>
    </w:p>
    <w:p>
      <w:pPr>
        <w:spacing w:line="480" w:lineRule="auto"/>
        <w:ind w:firstLine="72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Generally, the overall asset-liability ratios indicate a rising trend showing that ANTA Sports grows in the market and reinforces the organization's vitality via debt operations to increase and obtain higher profits. The cash flow debt ratio was higher than 1 in 2009 and 2010 and below 1 in the remaining years displaying ANTA Sport's ability to tolerate and maintain stable debts during its operations (</w:t>
      </w:r>
      <w:r>
        <w:rPr>
          <w:rFonts w:hint="default" w:ascii="Times New Roman" w:hAnsi="Times New Roman" w:cs="Times New Roman"/>
          <w:b w:val="0"/>
          <w:bCs w:val="0"/>
          <w:color w:val="222222"/>
          <w:sz w:val="24"/>
          <w:szCs w:val="24"/>
          <w:shd w:val="clear" w:color="auto" w:fill="FFFFFF"/>
        </w:rPr>
        <w:t>SHAO and Lei, 2020).</w:t>
      </w:r>
      <w:r>
        <w:rPr>
          <w:rFonts w:hint="default" w:ascii="Times New Roman" w:hAnsi="Times New Roman" w:cs="Times New Roman"/>
          <w:b w:val="0"/>
          <w:bCs w:val="0"/>
          <w:sz w:val="24"/>
          <w:szCs w:val="24"/>
        </w:rPr>
        <w:t xml:space="preserve"> Since the launch of the multi-brand strategy, the organization has not undergone debt repayment pressures since 2009.  </w:t>
      </w:r>
    </w:p>
    <w:p>
      <w:pPr>
        <w:pStyle w:val="2"/>
        <w:bidi w:val="0"/>
        <w:rPr>
          <w:rFonts w:hint="default"/>
        </w:rPr>
      </w:pPr>
      <w:bookmarkStart w:id="12" w:name="_Toc25091"/>
      <w:r>
        <w:rPr>
          <w:rFonts w:hint="default"/>
        </w:rPr>
        <w:t>Recommendations</w:t>
      </w:r>
      <w:bookmarkEnd w:id="12"/>
    </w:p>
    <w:p>
      <w:pPr>
        <w:spacing w:line="480" w:lineRule="auto"/>
        <w:ind w:firstLine="72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Based on the ANTA Sports' Multi-brand strategy examination, this report presents various recommendations for ANTA Sports and other clothing organizations to expand the manufacturing capacity and occupy a significant market share based on position establishment stage, integrating brand resources, and defining the target brand.</w:t>
      </w:r>
    </w:p>
    <w:p>
      <w:pPr>
        <w:pStyle w:val="2"/>
        <w:bidi w:val="0"/>
        <w:rPr>
          <w:rFonts w:hint="default"/>
        </w:rPr>
      </w:pPr>
      <w:bookmarkStart w:id="13" w:name="_Toc7131"/>
      <w:r>
        <w:rPr>
          <w:rFonts w:hint="default"/>
        </w:rPr>
        <w:t>Positioning establishment step</w:t>
      </w:r>
      <w:bookmarkEnd w:id="13"/>
    </w:p>
    <w:p>
      <w:pPr>
        <w:spacing w:line="480" w:lineRule="auto"/>
        <w:ind w:firstLine="72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Before implementing a multi-brand approach, clothing organizations should first consider correcting the understanding of their personal development and determine whether it is appropriate to implement a multi-brand strategy (</w:t>
      </w:r>
      <w:r>
        <w:rPr>
          <w:rFonts w:hint="default" w:ascii="Times New Roman" w:hAnsi="Times New Roman" w:eastAsia="Times New Roman" w:cs="Times New Roman"/>
          <w:b w:val="0"/>
          <w:bCs w:val="0"/>
          <w:color w:val="000000"/>
          <w:sz w:val="24"/>
          <w:szCs w:val="24"/>
        </w:rPr>
        <w:t>Jobber and Ellis-Chadwick, 2016),</w:t>
      </w:r>
      <w:r>
        <w:rPr>
          <w:rFonts w:hint="default" w:ascii="Times New Roman" w:hAnsi="Times New Roman" w:cs="Times New Roman"/>
          <w:b w:val="0"/>
          <w:bCs w:val="0"/>
          <w:sz w:val="24"/>
          <w:szCs w:val="24"/>
        </w:rPr>
        <w:t xml:space="preserve"> Blind implementation will result in an increase in the business management costs and challenges in brand management, a condition unhealthy for developing organizations.</w:t>
      </w:r>
    </w:p>
    <w:p>
      <w:pPr>
        <w:pStyle w:val="2"/>
        <w:bidi w:val="0"/>
        <w:rPr>
          <w:rFonts w:hint="default"/>
        </w:rPr>
      </w:pPr>
      <w:bookmarkStart w:id="14" w:name="_Toc2809"/>
      <w:r>
        <w:rPr>
          <w:rFonts w:hint="default"/>
        </w:rPr>
        <w:t>Definite target brand</w:t>
      </w:r>
      <w:bookmarkEnd w:id="14"/>
    </w:p>
    <w:p>
      <w:pPr>
        <w:spacing w:line="480" w:lineRule="auto"/>
        <w:ind w:firstLine="72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In the multi-brand strategy implementation process, organizations should reflect if the clothing brands they would like to join in accomplishing the organization's goals. The organization can only meet its strategic development goals if it meets the target brand developmental requirements. Correct branding can result in improved management experience, a new market environment, and loyal customers to the organization (</w:t>
      </w:r>
      <w:r>
        <w:rPr>
          <w:rFonts w:hint="default" w:ascii="Times New Roman" w:hAnsi="Times New Roman" w:eastAsia="Times New Roman" w:cs="Times New Roman"/>
          <w:b w:val="0"/>
          <w:bCs w:val="0"/>
          <w:color w:val="000000"/>
          <w:sz w:val="24"/>
          <w:szCs w:val="24"/>
        </w:rPr>
        <w:t>Pride and Ferrell, 2016),</w:t>
      </w:r>
      <w:r>
        <w:rPr>
          <w:rFonts w:hint="default" w:ascii="Times New Roman" w:hAnsi="Times New Roman" w:cs="Times New Roman"/>
          <w:b w:val="0"/>
          <w:bCs w:val="0"/>
          <w:sz w:val="24"/>
          <w:szCs w:val="24"/>
        </w:rPr>
        <w:t xml:space="preserve"> Thus, when garment organizations adopt the multi-brand strategy, they should define their target brand.</w:t>
      </w:r>
    </w:p>
    <w:p>
      <w:pPr>
        <w:pStyle w:val="2"/>
        <w:bidi w:val="0"/>
        <w:rPr>
          <w:rFonts w:hint="default"/>
        </w:rPr>
      </w:pPr>
      <w:bookmarkStart w:id="15" w:name="_Toc32029"/>
      <w:r>
        <w:rPr>
          <w:rFonts w:hint="default"/>
        </w:rPr>
        <w:t>Incorporation of brand resources</w:t>
      </w:r>
      <w:bookmarkEnd w:id="15"/>
    </w:p>
    <w:p>
      <w:pPr>
        <w:spacing w:line="480" w:lineRule="auto"/>
        <w:ind w:firstLine="72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ANTA Sports and other clothing enterprises should focus on asset management and resource integration after implementing a multi-brand approach. After adopting a multi-brand strategy, the business asset scale expands, and hence the total assets should be effectively managed. As discovered in the analysis of the implementation of the multi-brand system of ANTA Sports, the organization had limited control and management of resources (</w:t>
      </w:r>
      <w:r>
        <w:rPr>
          <w:rFonts w:hint="default" w:ascii="Times New Roman" w:hAnsi="Times New Roman" w:eastAsia="Times New Roman" w:cs="Times New Roman"/>
          <w:b w:val="0"/>
          <w:bCs w:val="0"/>
          <w:color w:val="000000"/>
          <w:sz w:val="24"/>
          <w:szCs w:val="24"/>
        </w:rPr>
        <w:t>Aaker, 2015),</w:t>
      </w:r>
      <w:r>
        <w:rPr>
          <w:rFonts w:hint="default" w:ascii="Times New Roman" w:hAnsi="Times New Roman" w:cs="Times New Roman"/>
          <w:b w:val="0"/>
          <w:bCs w:val="0"/>
          <w:sz w:val="24"/>
          <w:szCs w:val="24"/>
        </w:rPr>
        <w:t xml:space="preserve"> Resource incorporation and asset management after implementation of multi-brand strategy should form the top priority of every organization.</w:t>
      </w:r>
    </w:p>
    <w:p>
      <w:pPr>
        <w:pStyle w:val="2"/>
        <w:bidi w:val="0"/>
        <w:rPr>
          <w:rFonts w:hint="default"/>
        </w:rPr>
      </w:pPr>
      <w:bookmarkStart w:id="16" w:name="_Toc26605"/>
      <w:r>
        <w:rPr>
          <w:rFonts w:hint="default"/>
        </w:rPr>
        <w:t>References</w:t>
      </w:r>
      <w:bookmarkEnd w:id="16"/>
    </w:p>
    <w:p>
      <w:pPr>
        <w:spacing w:line="480" w:lineRule="auto"/>
        <w:ind w:left="720" w:hanging="720"/>
        <w:rPr>
          <w:rFonts w:hint="default" w:ascii="Times New Roman" w:hAnsi="Times New Roman" w:eastAsia="Times New Roman" w:cs="Times New Roman"/>
          <w:b w:val="0"/>
          <w:bCs w:val="0"/>
          <w:color w:val="000000"/>
          <w:sz w:val="24"/>
          <w:szCs w:val="24"/>
        </w:rPr>
      </w:pPr>
      <w:r>
        <w:rPr>
          <w:rFonts w:hint="default" w:ascii="Times New Roman" w:hAnsi="Times New Roman" w:eastAsia="Times New Roman" w:cs="Times New Roman"/>
          <w:b w:val="0"/>
          <w:bCs w:val="0"/>
          <w:color w:val="000000"/>
          <w:sz w:val="24"/>
          <w:szCs w:val="24"/>
        </w:rPr>
        <w:t>Aaker, D. (2015), Brand personalities are like snowflakes, Marketing News,   49(7), pp. 20-21. Full text available at: EBSCOhost Business Source Complete</w:t>
      </w:r>
    </w:p>
    <w:p>
      <w:pPr>
        <w:spacing w:line="480" w:lineRule="auto"/>
        <w:ind w:left="720" w:hanging="720"/>
        <w:rPr>
          <w:rFonts w:hint="default" w:ascii="Times New Roman" w:hAnsi="Times New Roman" w:cs="Times New Roman"/>
          <w:b w:val="0"/>
          <w:bCs w:val="0"/>
          <w:color w:val="222222"/>
          <w:sz w:val="24"/>
          <w:szCs w:val="24"/>
          <w:shd w:val="clear" w:color="auto" w:fill="FFFFFF"/>
        </w:rPr>
      </w:pPr>
      <w:r>
        <w:rPr>
          <w:rFonts w:hint="default" w:ascii="Times New Roman" w:hAnsi="Times New Roman" w:cs="Times New Roman"/>
          <w:b w:val="0"/>
          <w:bCs w:val="0"/>
          <w:color w:val="222222"/>
          <w:sz w:val="24"/>
          <w:szCs w:val="24"/>
          <w:shd w:val="clear" w:color="auto" w:fill="FFFFFF"/>
        </w:rPr>
        <w:t>Ajay, S., Hess, P., Wess, V., &amp; Zhang, T. (2019). Deal Logic Amer Sports/Anta Sports.</w:t>
      </w:r>
    </w:p>
    <w:p>
      <w:pPr>
        <w:spacing w:line="480" w:lineRule="auto"/>
        <w:ind w:left="720" w:hanging="720"/>
        <w:rPr>
          <w:rFonts w:hint="default" w:ascii="Times New Roman" w:hAnsi="Times New Roman" w:cs="Times New Roman"/>
          <w:b w:val="0"/>
          <w:bCs w:val="0"/>
          <w:color w:val="222222"/>
          <w:sz w:val="24"/>
          <w:szCs w:val="24"/>
          <w:shd w:val="clear" w:color="auto" w:fill="FFFFFF"/>
        </w:rPr>
      </w:pPr>
      <w:r>
        <w:rPr>
          <w:rFonts w:hint="default" w:ascii="Times New Roman" w:hAnsi="Times New Roman" w:cs="Times New Roman"/>
          <w:b w:val="0"/>
          <w:bCs w:val="0"/>
          <w:color w:val="222222"/>
          <w:sz w:val="24"/>
          <w:szCs w:val="24"/>
          <w:shd w:val="clear" w:color="auto" w:fill="FFFFFF"/>
        </w:rPr>
        <w:t>de Anta, L. L., Beraza, A., &amp; San-Jose, L. (2020). Determining success factors in the implementation of social accounting. </w:t>
      </w:r>
      <w:r>
        <w:rPr>
          <w:rFonts w:hint="default" w:ascii="Times New Roman" w:hAnsi="Times New Roman" w:cs="Times New Roman"/>
          <w:b w:val="0"/>
          <w:bCs w:val="0"/>
          <w:i/>
          <w:iCs/>
          <w:color w:val="222222"/>
          <w:sz w:val="24"/>
          <w:szCs w:val="24"/>
          <w:shd w:val="clear" w:color="auto" w:fill="FFFFFF"/>
        </w:rPr>
        <w:t>CIRIEC-España, revista de economía pública, social y cooperativa</w:t>
      </w:r>
      <w:r>
        <w:rPr>
          <w:rFonts w:hint="default" w:ascii="Times New Roman" w:hAnsi="Times New Roman" w:cs="Times New Roman"/>
          <w:b w:val="0"/>
          <w:bCs w:val="0"/>
          <w:color w:val="222222"/>
          <w:sz w:val="24"/>
          <w:szCs w:val="24"/>
          <w:shd w:val="clear" w:color="auto" w:fill="FFFFFF"/>
        </w:rPr>
        <w:t>, (100), 177-205.</w:t>
      </w:r>
    </w:p>
    <w:p>
      <w:pPr>
        <w:spacing w:line="480" w:lineRule="auto"/>
        <w:ind w:left="720" w:hanging="720"/>
        <w:rPr>
          <w:rFonts w:hint="default" w:ascii="Times New Roman" w:hAnsi="Times New Roman" w:cs="Times New Roman"/>
          <w:b w:val="0"/>
          <w:bCs w:val="0"/>
          <w:sz w:val="24"/>
          <w:szCs w:val="24"/>
        </w:rPr>
      </w:pPr>
      <w:r>
        <w:rPr>
          <w:rFonts w:hint="default" w:ascii="Times New Roman" w:hAnsi="Times New Roman" w:cs="Times New Roman"/>
          <w:b w:val="0"/>
          <w:bCs w:val="0"/>
          <w:color w:val="222222"/>
          <w:sz w:val="24"/>
          <w:szCs w:val="24"/>
          <w:shd w:val="clear" w:color="auto" w:fill="FFFFFF"/>
        </w:rPr>
        <w:t>de Alcântara, M. S., de Lucena, R. F. P., &amp; da Cruz, D. D. (2021). Toward sustainable production chain by SWOT-AHP analysis: a case study of Fava d'anta (Dimorphandra gardneriana Tulasne) production chain. </w:t>
      </w:r>
      <w:r>
        <w:rPr>
          <w:rFonts w:hint="default" w:ascii="Times New Roman" w:hAnsi="Times New Roman" w:cs="Times New Roman"/>
          <w:b w:val="0"/>
          <w:bCs w:val="0"/>
          <w:i/>
          <w:iCs/>
          <w:color w:val="222222"/>
          <w:sz w:val="24"/>
          <w:szCs w:val="24"/>
          <w:shd w:val="clear" w:color="auto" w:fill="FFFFFF"/>
        </w:rPr>
        <w:t>Environment, Development and Sustainability</w:t>
      </w:r>
      <w:r>
        <w:rPr>
          <w:rFonts w:hint="default" w:ascii="Times New Roman" w:hAnsi="Times New Roman" w:cs="Times New Roman"/>
          <w:b w:val="0"/>
          <w:bCs w:val="0"/>
          <w:color w:val="222222"/>
          <w:sz w:val="24"/>
          <w:szCs w:val="24"/>
          <w:shd w:val="clear" w:color="auto" w:fill="FFFFFF"/>
        </w:rPr>
        <w:t>, 1-23.</w:t>
      </w:r>
    </w:p>
    <w:p>
      <w:pPr>
        <w:spacing w:line="480" w:lineRule="auto"/>
        <w:ind w:left="720" w:hanging="720"/>
        <w:rPr>
          <w:rFonts w:hint="default" w:ascii="Times New Roman" w:hAnsi="Times New Roman" w:eastAsia="Times New Roman" w:cs="Times New Roman"/>
          <w:b w:val="0"/>
          <w:bCs w:val="0"/>
          <w:color w:val="000000"/>
          <w:sz w:val="24"/>
          <w:szCs w:val="24"/>
        </w:rPr>
      </w:pPr>
      <w:r>
        <w:rPr>
          <w:rFonts w:hint="default" w:ascii="Times New Roman" w:hAnsi="Times New Roman" w:eastAsia="Times New Roman" w:cs="Times New Roman"/>
          <w:b w:val="0"/>
          <w:bCs w:val="0"/>
          <w:color w:val="000000"/>
          <w:sz w:val="24"/>
          <w:szCs w:val="24"/>
        </w:rPr>
        <w:t>Fahy, J., and Jobber, D., (2015), Foundations of Marketing, 5th edition, London: McGraw-Hill</w:t>
      </w:r>
    </w:p>
    <w:p>
      <w:pPr>
        <w:spacing w:line="480" w:lineRule="auto"/>
        <w:ind w:left="720" w:hanging="720"/>
        <w:rPr>
          <w:rFonts w:hint="default" w:ascii="Times New Roman" w:hAnsi="Times New Roman" w:cs="Times New Roman"/>
          <w:b w:val="0"/>
          <w:bCs w:val="0"/>
          <w:color w:val="222222"/>
          <w:sz w:val="24"/>
          <w:szCs w:val="24"/>
          <w:shd w:val="clear" w:color="auto" w:fill="FFFFFF"/>
        </w:rPr>
      </w:pPr>
      <w:r>
        <w:rPr>
          <w:rFonts w:hint="default" w:ascii="Times New Roman" w:hAnsi="Times New Roman" w:cs="Times New Roman"/>
          <w:b w:val="0"/>
          <w:bCs w:val="0"/>
          <w:color w:val="222222"/>
          <w:sz w:val="24"/>
          <w:szCs w:val="24"/>
          <w:shd w:val="clear" w:color="auto" w:fill="FFFFFF"/>
        </w:rPr>
        <w:t>FUZI, N. S. B. A. Profitability Risk and Its Determinants: A Study of Anta Sport.</w:t>
      </w:r>
    </w:p>
    <w:p>
      <w:pPr>
        <w:spacing w:line="480" w:lineRule="auto"/>
        <w:ind w:left="720" w:hanging="720"/>
        <w:rPr>
          <w:rFonts w:hint="default" w:ascii="Times New Roman" w:hAnsi="Times New Roman" w:cs="Times New Roman"/>
          <w:b w:val="0"/>
          <w:bCs w:val="0"/>
          <w:color w:val="222222"/>
          <w:sz w:val="24"/>
          <w:szCs w:val="24"/>
          <w:shd w:val="clear" w:color="auto" w:fill="FFFFFF"/>
        </w:rPr>
      </w:pPr>
      <w:r>
        <w:rPr>
          <w:rFonts w:hint="default" w:ascii="Times New Roman" w:hAnsi="Times New Roman" w:cs="Times New Roman"/>
          <w:b w:val="0"/>
          <w:bCs w:val="0"/>
          <w:color w:val="222222"/>
          <w:sz w:val="24"/>
          <w:szCs w:val="24"/>
          <w:shd w:val="clear" w:color="auto" w:fill="FFFFFF"/>
        </w:rPr>
        <w:t>JAWOREK, M., KARASZEWSKI, W., &amp; KUCZMARSKA, M. Source of success of the most valuable sportswear brands in the world.</w:t>
      </w:r>
    </w:p>
    <w:p>
      <w:pPr>
        <w:spacing w:line="480" w:lineRule="auto"/>
        <w:ind w:left="720" w:hanging="720"/>
        <w:rPr>
          <w:rFonts w:hint="default" w:ascii="Times New Roman" w:hAnsi="Times New Roman" w:eastAsia="Times New Roman" w:cs="Times New Roman"/>
          <w:b w:val="0"/>
          <w:bCs w:val="0"/>
          <w:color w:val="000000"/>
          <w:sz w:val="24"/>
          <w:szCs w:val="24"/>
        </w:rPr>
      </w:pPr>
      <w:r>
        <w:rPr>
          <w:rFonts w:hint="default" w:ascii="Times New Roman" w:hAnsi="Times New Roman" w:eastAsia="Times New Roman" w:cs="Times New Roman"/>
          <w:b w:val="0"/>
          <w:bCs w:val="0"/>
          <w:color w:val="000000"/>
          <w:sz w:val="24"/>
          <w:szCs w:val="24"/>
        </w:rPr>
        <w:t>Jobber, D., and Ellis-Chadwick, F., (2016), Principles and Practice of Marketing 7th revised edition, Berkshire: McGraw-Hill</w:t>
      </w:r>
    </w:p>
    <w:p>
      <w:pPr>
        <w:spacing w:line="480" w:lineRule="auto"/>
        <w:ind w:left="720" w:hanging="720"/>
        <w:rPr>
          <w:rFonts w:hint="default" w:ascii="Times New Roman" w:hAnsi="Times New Roman" w:eastAsia="Times New Roman" w:cs="Times New Roman"/>
          <w:b w:val="0"/>
          <w:bCs w:val="0"/>
          <w:color w:val="000000"/>
          <w:sz w:val="24"/>
          <w:szCs w:val="24"/>
        </w:rPr>
      </w:pPr>
      <w:r>
        <w:rPr>
          <w:rFonts w:hint="default" w:ascii="Times New Roman" w:hAnsi="Times New Roman" w:eastAsia="Times New Roman" w:cs="Times New Roman"/>
          <w:b w:val="0"/>
          <w:bCs w:val="0"/>
          <w:color w:val="000000"/>
          <w:sz w:val="24"/>
          <w:szCs w:val="24"/>
        </w:rPr>
        <w:t>Kotler P and Chernev, A. (2014), Strategic Marketing Management, 8th edition, Cerebellum Press</w:t>
      </w:r>
    </w:p>
    <w:p>
      <w:pPr>
        <w:tabs>
          <w:tab w:val="left" w:pos="720"/>
          <w:tab w:val="left" w:pos="1440"/>
        </w:tabs>
        <w:overflowPunct w:val="0"/>
        <w:autoSpaceDE w:val="0"/>
        <w:autoSpaceDN w:val="0"/>
        <w:adjustRightInd w:val="0"/>
        <w:spacing w:line="480" w:lineRule="auto"/>
        <w:ind w:left="720" w:hanging="720"/>
        <w:textAlignment w:val="baseline"/>
        <w:rPr>
          <w:rFonts w:hint="default" w:ascii="Times New Roman" w:hAnsi="Times New Roman" w:eastAsia="Times New Roman" w:cs="Times New Roman"/>
          <w:b w:val="0"/>
          <w:bCs w:val="0"/>
          <w:color w:val="000000"/>
          <w:sz w:val="24"/>
          <w:szCs w:val="24"/>
        </w:rPr>
      </w:pPr>
      <w:r>
        <w:rPr>
          <w:rFonts w:hint="default" w:ascii="Times New Roman" w:hAnsi="Times New Roman" w:eastAsia="Times New Roman" w:cs="Times New Roman"/>
          <w:b w:val="0"/>
          <w:bCs w:val="0"/>
          <w:color w:val="000000"/>
          <w:sz w:val="24"/>
          <w:szCs w:val="24"/>
        </w:rPr>
        <w:t xml:space="preserve">Lynch, R., (2015), Strategic Marketing 7th edition, Harlow: Pearson </w:t>
      </w:r>
    </w:p>
    <w:p>
      <w:pPr>
        <w:tabs>
          <w:tab w:val="left" w:pos="720"/>
          <w:tab w:val="left" w:pos="1440"/>
        </w:tabs>
        <w:overflowPunct w:val="0"/>
        <w:autoSpaceDE w:val="0"/>
        <w:autoSpaceDN w:val="0"/>
        <w:adjustRightInd w:val="0"/>
        <w:spacing w:line="480" w:lineRule="auto"/>
        <w:ind w:left="720" w:hanging="720"/>
        <w:textAlignment w:val="baseline"/>
        <w:rPr>
          <w:rFonts w:hint="default" w:ascii="Times New Roman" w:hAnsi="Times New Roman" w:cs="Times New Roman"/>
          <w:b w:val="0"/>
          <w:bCs w:val="0"/>
          <w:color w:val="222222"/>
          <w:sz w:val="24"/>
          <w:szCs w:val="24"/>
          <w:shd w:val="clear" w:color="auto" w:fill="FFFFFF"/>
        </w:rPr>
      </w:pPr>
      <w:r>
        <w:rPr>
          <w:rFonts w:hint="default" w:ascii="Times New Roman" w:hAnsi="Times New Roman" w:cs="Times New Roman"/>
          <w:b w:val="0"/>
          <w:bCs w:val="0"/>
          <w:color w:val="222222"/>
          <w:sz w:val="24"/>
          <w:szCs w:val="24"/>
          <w:shd w:val="clear" w:color="auto" w:fill="FFFFFF"/>
        </w:rPr>
        <w:t>Liu, D., Zhang, J. J., &amp; Desbordes, M. (2017). Sport business in China: current state and prospect. </w:t>
      </w:r>
      <w:r>
        <w:rPr>
          <w:rFonts w:hint="default" w:ascii="Times New Roman" w:hAnsi="Times New Roman" w:cs="Times New Roman"/>
          <w:b w:val="0"/>
          <w:bCs w:val="0"/>
          <w:i/>
          <w:iCs/>
          <w:color w:val="222222"/>
          <w:sz w:val="24"/>
          <w:szCs w:val="24"/>
          <w:shd w:val="clear" w:color="auto" w:fill="FFFFFF"/>
        </w:rPr>
        <w:t>International journal of sports marketing and sponsorship</w:t>
      </w:r>
      <w:r>
        <w:rPr>
          <w:rFonts w:hint="default" w:ascii="Times New Roman" w:hAnsi="Times New Roman" w:cs="Times New Roman"/>
          <w:b w:val="0"/>
          <w:bCs w:val="0"/>
          <w:color w:val="222222"/>
          <w:sz w:val="24"/>
          <w:szCs w:val="24"/>
          <w:shd w:val="clear" w:color="auto" w:fill="FFFFFF"/>
        </w:rPr>
        <w:t>.</w:t>
      </w:r>
    </w:p>
    <w:p>
      <w:pPr>
        <w:tabs>
          <w:tab w:val="left" w:pos="720"/>
          <w:tab w:val="left" w:pos="1440"/>
        </w:tabs>
        <w:overflowPunct w:val="0"/>
        <w:autoSpaceDE w:val="0"/>
        <w:autoSpaceDN w:val="0"/>
        <w:adjustRightInd w:val="0"/>
        <w:spacing w:line="480" w:lineRule="auto"/>
        <w:ind w:left="720" w:hanging="720"/>
        <w:textAlignment w:val="baseline"/>
        <w:rPr>
          <w:rFonts w:hint="default" w:ascii="Times New Roman" w:hAnsi="Times New Roman" w:cs="Times New Roman"/>
          <w:b w:val="0"/>
          <w:bCs w:val="0"/>
          <w:sz w:val="24"/>
          <w:szCs w:val="24"/>
          <w:lang w:eastAsia="en-GB"/>
        </w:rPr>
      </w:pPr>
      <w:r>
        <w:rPr>
          <w:rFonts w:hint="default" w:ascii="Times New Roman" w:hAnsi="Times New Roman" w:cs="Times New Roman"/>
          <w:b w:val="0"/>
          <w:bCs w:val="0"/>
          <w:color w:val="222222"/>
          <w:sz w:val="24"/>
          <w:szCs w:val="24"/>
          <w:shd w:val="clear" w:color="auto" w:fill="FFFFFF"/>
        </w:rPr>
        <w:t>Pandit, P., Singha, K., Kumar, L., Shrivastava, S., &amp; Yashraj, V. (2020). Business Paradigm Shifting: Opportunities in the 21st Century on Fashion From Recycling and Upcycling. </w:t>
      </w:r>
      <w:r>
        <w:rPr>
          <w:rFonts w:hint="default" w:ascii="Times New Roman" w:hAnsi="Times New Roman" w:cs="Times New Roman"/>
          <w:b w:val="0"/>
          <w:bCs w:val="0"/>
          <w:i/>
          <w:iCs/>
          <w:color w:val="222222"/>
          <w:sz w:val="24"/>
          <w:szCs w:val="24"/>
          <w:shd w:val="clear" w:color="auto" w:fill="FFFFFF"/>
        </w:rPr>
        <w:t>Recycling from Waste in Fashion and Textiles: A Sustainable and Circular Economic Approach</w:t>
      </w:r>
      <w:r>
        <w:rPr>
          <w:rFonts w:hint="default" w:ascii="Times New Roman" w:hAnsi="Times New Roman" w:cs="Times New Roman"/>
          <w:b w:val="0"/>
          <w:bCs w:val="0"/>
          <w:color w:val="222222"/>
          <w:sz w:val="24"/>
          <w:szCs w:val="24"/>
          <w:shd w:val="clear" w:color="auto" w:fill="FFFFFF"/>
        </w:rPr>
        <w:t>, 151-176.</w:t>
      </w:r>
    </w:p>
    <w:p>
      <w:pPr>
        <w:spacing w:line="480" w:lineRule="auto"/>
        <w:ind w:left="720" w:hanging="720"/>
        <w:rPr>
          <w:rFonts w:hint="default" w:ascii="Times New Roman" w:hAnsi="Times New Roman" w:eastAsia="Times New Roman" w:cs="Times New Roman"/>
          <w:b w:val="0"/>
          <w:bCs w:val="0"/>
          <w:color w:val="000000"/>
          <w:sz w:val="24"/>
          <w:szCs w:val="24"/>
        </w:rPr>
      </w:pPr>
      <w:r>
        <w:rPr>
          <w:rFonts w:hint="default" w:ascii="Times New Roman" w:hAnsi="Times New Roman" w:eastAsia="Times New Roman" w:cs="Times New Roman"/>
          <w:b w:val="0"/>
          <w:bCs w:val="0"/>
          <w:color w:val="000000"/>
          <w:sz w:val="24"/>
          <w:szCs w:val="24"/>
        </w:rPr>
        <w:t>Pride, W.M., and Ferrell, O.C. (2016), Marketing: Concepts and Strategies, 7th ed, Houghton Mifflin</w:t>
      </w:r>
    </w:p>
    <w:p>
      <w:pPr>
        <w:spacing w:line="480" w:lineRule="auto"/>
        <w:ind w:left="720" w:hanging="720"/>
        <w:rPr>
          <w:rFonts w:hint="default" w:ascii="Times New Roman" w:hAnsi="Times New Roman" w:cs="Times New Roman"/>
          <w:b w:val="0"/>
          <w:bCs w:val="0"/>
          <w:color w:val="222222"/>
          <w:sz w:val="24"/>
          <w:szCs w:val="24"/>
          <w:shd w:val="clear" w:color="auto" w:fill="FFFFFF"/>
        </w:rPr>
      </w:pPr>
      <w:r>
        <w:rPr>
          <w:rFonts w:hint="default" w:ascii="Times New Roman" w:hAnsi="Times New Roman" w:cs="Times New Roman"/>
          <w:b w:val="0"/>
          <w:bCs w:val="0"/>
          <w:color w:val="222222"/>
          <w:sz w:val="24"/>
          <w:szCs w:val="24"/>
          <w:shd w:val="clear" w:color="auto" w:fill="FFFFFF"/>
        </w:rPr>
        <w:t>SHAO, P. F., &amp; Lei, Y. A. O. (2020). Research on Brand Internationalization Strategy of ANTA. </w:t>
      </w:r>
      <w:r>
        <w:rPr>
          <w:rFonts w:hint="default" w:ascii="Times New Roman" w:hAnsi="Times New Roman" w:cs="Times New Roman"/>
          <w:b w:val="0"/>
          <w:bCs w:val="0"/>
          <w:i/>
          <w:iCs/>
          <w:color w:val="222222"/>
          <w:sz w:val="24"/>
          <w:szCs w:val="24"/>
          <w:shd w:val="clear" w:color="auto" w:fill="FFFFFF"/>
        </w:rPr>
        <w:t>DEStech Transactions on Economics, Business and Management</w:t>
      </w:r>
      <w:r>
        <w:rPr>
          <w:rFonts w:hint="default" w:ascii="Times New Roman" w:hAnsi="Times New Roman" w:cs="Times New Roman"/>
          <w:b w:val="0"/>
          <w:bCs w:val="0"/>
          <w:color w:val="222222"/>
          <w:sz w:val="24"/>
          <w:szCs w:val="24"/>
          <w:shd w:val="clear" w:color="auto" w:fill="FFFFFF"/>
        </w:rPr>
        <w:t>, (ahem).</w:t>
      </w:r>
    </w:p>
    <w:p>
      <w:pPr>
        <w:spacing w:line="480" w:lineRule="auto"/>
        <w:ind w:left="720" w:hanging="720"/>
        <w:rPr>
          <w:rFonts w:hint="default" w:ascii="Times New Roman" w:hAnsi="Times New Roman" w:cs="Times New Roman"/>
          <w:b w:val="0"/>
          <w:bCs w:val="0"/>
          <w:color w:val="222222"/>
          <w:sz w:val="24"/>
          <w:szCs w:val="24"/>
          <w:shd w:val="clear" w:color="auto" w:fill="FFFFFF"/>
        </w:rPr>
      </w:pPr>
      <w:r>
        <w:rPr>
          <w:rFonts w:hint="default" w:ascii="Times New Roman" w:hAnsi="Times New Roman" w:cs="Times New Roman"/>
          <w:b w:val="0"/>
          <w:bCs w:val="0"/>
          <w:color w:val="222222"/>
          <w:sz w:val="24"/>
          <w:szCs w:val="24"/>
          <w:shd w:val="clear" w:color="auto" w:fill="FFFFFF"/>
        </w:rPr>
        <w:t>Shih, Y. S. (2021). Business Model Innovation and Evolution of Sporting Goods Industry: A Case of Anta Company. </w:t>
      </w:r>
      <w:r>
        <w:rPr>
          <w:rFonts w:hint="default" w:ascii="Times New Roman" w:hAnsi="Times New Roman" w:cs="Times New Roman"/>
          <w:b w:val="0"/>
          <w:bCs w:val="0"/>
          <w:i/>
          <w:iCs/>
          <w:color w:val="222222"/>
          <w:sz w:val="24"/>
          <w:szCs w:val="24"/>
          <w:shd w:val="clear" w:color="auto" w:fill="FFFFFF"/>
        </w:rPr>
        <w:t>Shih, YS (2020). Business model innovation and evolution of sporting goods industry: A case of Anta company. International Journal of Business and Administrative Studies</w:t>
      </w:r>
      <w:r>
        <w:rPr>
          <w:rFonts w:hint="default" w:ascii="Times New Roman" w:hAnsi="Times New Roman" w:cs="Times New Roman"/>
          <w:b w:val="0"/>
          <w:bCs w:val="0"/>
          <w:color w:val="222222"/>
          <w:sz w:val="24"/>
          <w:szCs w:val="24"/>
          <w:shd w:val="clear" w:color="auto" w:fill="FFFFFF"/>
        </w:rPr>
        <w:t>, </w:t>
      </w:r>
      <w:r>
        <w:rPr>
          <w:rFonts w:hint="default" w:ascii="Times New Roman" w:hAnsi="Times New Roman" w:cs="Times New Roman"/>
          <w:b w:val="0"/>
          <w:bCs w:val="0"/>
          <w:i/>
          <w:iCs/>
          <w:color w:val="222222"/>
          <w:sz w:val="24"/>
          <w:szCs w:val="24"/>
          <w:shd w:val="clear" w:color="auto" w:fill="FFFFFF"/>
        </w:rPr>
        <w:t>6</w:t>
      </w:r>
      <w:r>
        <w:rPr>
          <w:rFonts w:hint="default" w:ascii="Times New Roman" w:hAnsi="Times New Roman" w:cs="Times New Roman"/>
          <w:b w:val="0"/>
          <w:bCs w:val="0"/>
          <w:color w:val="222222"/>
          <w:sz w:val="24"/>
          <w:szCs w:val="24"/>
          <w:shd w:val="clear" w:color="auto" w:fill="FFFFFF"/>
        </w:rPr>
        <w:t>(6), 300-311.</w:t>
      </w:r>
    </w:p>
    <w:p>
      <w:pPr>
        <w:spacing w:line="480" w:lineRule="auto"/>
        <w:ind w:left="720" w:hanging="720"/>
        <w:rPr>
          <w:rFonts w:hint="default" w:ascii="Times New Roman" w:hAnsi="Times New Roman" w:cs="Times New Roman"/>
          <w:b w:val="0"/>
          <w:bCs w:val="0"/>
          <w:color w:val="222222"/>
          <w:sz w:val="24"/>
          <w:szCs w:val="24"/>
          <w:shd w:val="clear" w:color="auto" w:fill="FFFFFF"/>
        </w:rPr>
      </w:pPr>
      <w:r>
        <w:rPr>
          <w:rFonts w:hint="default" w:ascii="Times New Roman" w:hAnsi="Times New Roman" w:cs="Times New Roman"/>
          <w:b w:val="0"/>
          <w:bCs w:val="0"/>
          <w:color w:val="222222"/>
          <w:sz w:val="24"/>
          <w:szCs w:val="24"/>
          <w:shd w:val="clear" w:color="auto" w:fill="FFFFFF"/>
        </w:rPr>
        <w:t>Suso, S. K. (2021). </w:t>
      </w:r>
      <w:r>
        <w:rPr>
          <w:rFonts w:hint="default" w:ascii="Times New Roman" w:hAnsi="Times New Roman" w:cs="Times New Roman"/>
          <w:b w:val="0"/>
          <w:bCs w:val="0"/>
          <w:i/>
          <w:iCs/>
          <w:color w:val="222222"/>
          <w:sz w:val="24"/>
          <w:szCs w:val="24"/>
          <w:shd w:val="clear" w:color="auto" w:fill="FFFFFF"/>
        </w:rPr>
        <w:t>Exploring Faculty’s Perspectives of the Influence of Leadership Styles on Motivation Towards Work at University of The Gambia (The Gambia) and University of Cheikh Anta Diop (Senegal)</w:t>
      </w:r>
      <w:r>
        <w:rPr>
          <w:rFonts w:hint="default" w:ascii="Times New Roman" w:hAnsi="Times New Roman" w:cs="Times New Roman"/>
          <w:b w:val="0"/>
          <w:bCs w:val="0"/>
          <w:color w:val="222222"/>
          <w:sz w:val="24"/>
          <w:szCs w:val="24"/>
          <w:shd w:val="clear" w:color="auto" w:fill="FFFFFF"/>
        </w:rPr>
        <w:t> (Doctoral dissertation, Ohio University).</w:t>
      </w:r>
    </w:p>
    <w:p>
      <w:pPr>
        <w:spacing w:line="480" w:lineRule="auto"/>
        <w:rPr>
          <w:rFonts w:hint="default" w:ascii="Times New Roman" w:hAnsi="Times New Roman" w:cs="Times New Roman"/>
          <w:b w:val="0"/>
          <w:bCs w:val="0"/>
          <w:color w:val="222222"/>
          <w:sz w:val="24"/>
          <w:szCs w:val="24"/>
          <w:shd w:val="clear" w:color="auto" w:fill="FFFFFF"/>
        </w:rPr>
      </w:pPr>
    </w:p>
    <w:sectPr>
      <w:headerReference r:id="rId3" w:type="default"/>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tab/>
    </w:r>
    <w:r>
      <w:tab/>
    </w:r>
    <w:r>
      <w:fldChar w:fldCharType="begin"/>
    </w:r>
    <w:r>
      <w:instrText xml:space="preserve"> PAGE   \* MERGEFORMAT </w:instrText>
    </w:r>
    <w:r>
      <w:fldChar w:fldCharType="separate"/>
    </w:r>
    <w:r>
      <w:t>14</w:t>
    </w:r>
    <w:r>
      <w:fldChar w:fldCharType="end"/>
    </w:r>
  </w:p>
  <w:p>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31D56A7"/>
    <w:rsid w:val="07584C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Calibri" w:hAnsi="Calibri" w:eastAsia="Calibri" w:cs="宋体"/>
      <w:sz w:val="22"/>
      <w:szCs w:val="22"/>
      <w:lang w:val="en-US" w:eastAsia="en-US"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Times New Roman" w:hAnsi="Times New Roman" w:eastAsia="Calibri"/>
      <w:b/>
      <w:kern w:val="44"/>
      <w:sz w:val="24"/>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kern w:val="0"/>
      <w:sz w:val="24"/>
      <w:szCs w:val="24"/>
      <w:lang w:val="en-US" w:eastAsia="zh-CN" w:bidi="ar"/>
    </w:rPr>
  </w:style>
  <w:style w:type="character" w:default="1" w:styleId="7">
    <w:name w:val="Default Paragraph Font"/>
    <w:uiPriority w:val="1"/>
  </w:style>
  <w:style w:type="table" w:default="1" w:styleId="6">
    <w:name w:val="Normal Table"/>
    <w:uiPriority w:val="99"/>
    <w:tblPr>
      <w:tblCellMar>
        <w:top w:w="0" w:type="dxa"/>
        <w:left w:w="108" w:type="dxa"/>
        <w:bottom w:w="0" w:type="dxa"/>
        <w:right w:w="108" w:type="dxa"/>
      </w:tblCellMar>
    </w:tblPr>
  </w:style>
  <w:style w:type="paragraph" w:styleId="4">
    <w:name w:val="footer"/>
    <w:basedOn w:val="1"/>
    <w:link w:val="12"/>
    <w:uiPriority w:val="99"/>
    <w:pPr>
      <w:tabs>
        <w:tab w:val="center" w:pos="4680"/>
        <w:tab w:val="right" w:pos="9360"/>
      </w:tabs>
      <w:spacing w:after="0" w:line="240" w:lineRule="auto"/>
    </w:pPr>
  </w:style>
  <w:style w:type="paragraph" w:styleId="5">
    <w:name w:val="header"/>
    <w:basedOn w:val="1"/>
    <w:link w:val="11"/>
    <w:qFormat/>
    <w:uiPriority w:val="99"/>
    <w:pPr>
      <w:tabs>
        <w:tab w:val="center" w:pos="4680"/>
        <w:tab w:val="right" w:pos="9360"/>
      </w:tabs>
      <w:spacing w:after="0" w:line="240" w:lineRule="auto"/>
    </w:pPr>
  </w:style>
  <w:style w:type="character" w:styleId="8">
    <w:name w:val="Hyperlink"/>
    <w:basedOn w:val="7"/>
    <w:uiPriority w:val="0"/>
    <w:rPr>
      <w:color w:val="0000FF"/>
      <w:u w:val="single"/>
    </w:rPr>
  </w:style>
  <w:style w:type="character" w:customStyle="1" w:styleId="9">
    <w:name w:val="xn-person"/>
    <w:basedOn w:val="7"/>
    <w:uiPriority w:val="0"/>
  </w:style>
  <w:style w:type="table" w:customStyle="1" w:styleId="10">
    <w:name w:val="Table Grid10"/>
    <w:basedOn w:val="6"/>
    <w:uiPriority w:val="59"/>
    <w:pPr>
      <w:spacing w:after="0" w:line="240" w:lineRule="auto"/>
    </w:pPr>
    <w:rPr>
      <w:rFonts w:ascii="Times New Roman" w:hAnsi="Times New Roman" w:eastAsia="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Header Char_500f5b43-e47b-430a-86a5-4f31ccfef435"/>
    <w:basedOn w:val="7"/>
    <w:link w:val="5"/>
    <w:uiPriority w:val="99"/>
  </w:style>
  <w:style w:type="character" w:customStyle="1" w:styleId="12">
    <w:name w:val="Footer Char_52bdf693-cc14-484a-8a5d-e601c83a89b2"/>
    <w:basedOn w:val="7"/>
    <w:link w:val="4"/>
    <w:qFormat/>
    <w:uiPriority w:val="99"/>
  </w:style>
  <w:style w:type="paragraph" w:customStyle="1" w:styleId="13">
    <w:name w:val="WPSOffice手动目录 1"/>
    <w:uiPriority w:val="0"/>
    <w:pPr>
      <w:ind w:leftChars="0"/>
    </w:pPr>
    <w:rPr>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3422</Words>
  <Characters>19887</Characters>
  <Paragraphs>79</Paragraphs>
  <TotalTime>5</TotalTime>
  <ScaleCrop>false</ScaleCrop>
  <LinksUpToDate>false</LinksUpToDate>
  <CharactersWithSpaces>23257</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2021-06-12T15:51:00Z</dcterms:created>
  <dc:creator>MAUREEN</dc:creator>
  <cp:lastModifiedBy>淡水君</cp:lastModifiedBy>
  <dcterms:modified xsi:type="dcterms:W3CDTF">2021-06-13T14:55:56Z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