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2DE71" w14:textId="77777777" w:rsidR="00381792" w:rsidRPr="00381792" w:rsidRDefault="00381792" w:rsidP="00381792">
      <w:pPr>
        <w:spacing w:before="120" w:after="120"/>
        <w:jc w:val="center"/>
        <w:rPr>
          <w:b/>
          <w:bCs/>
          <w:sz w:val="28"/>
          <w:szCs w:val="28"/>
        </w:rPr>
      </w:pPr>
    </w:p>
    <w:p w14:paraId="1E8C5AE3" w14:textId="77777777" w:rsidR="00381792" w:rsidRPr="00381792" w:rsidRDefault="00381792" w:rsidP="00381792">
      <w:pPr>
        <w:spacing w:before="120" w:after="120"/>
        <w:jc w:val="center"/>
        <w:rPr>
          <w:b/>
          <w:bCs/>
          <w:sz w:val="28"/>
          <w:szCs w:val="28"/>
        </w:rPr>
      </w:pPr>
      <w:r w:rsidRPr="00381792">
        <w:rPr>
          <w:b/>
          <w:bCs/>
          <w:noProof/>
          <w:sz w:val="28"/>
          <w:szCs w:val="28"/>
        </w:rPr>
        <w:drawing>
          <wp:inline distT="0" distB="0" distL="0" distR="0" wp14:anchorId="7F00F251" wp14:editId="58FB3C99">
            <wp:extent cx="4225290" cy="13989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1024x33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42624" cy="1404689"/>
                    </a:xfrm>
                    <a:prstGeom prst="rect">
                      <a:avLst/>
                    </a:prstGeom>
                  </pic:spPr>
                </pic:pic>
              </a:graphicData>
            </a:graphic>
          </wp:inline>
        </w:drawing>
      </w:r>
    </w:p>
    <w:p w14:paraId="09877509" w14:textId="77777777" w:rsidR="00381792" w:rsidRPr="00381792" w:rsidRDefault="00381792" w:rsidP="00381792">
      <w:pPr>
        <w:spacing w:before="120" w:after="120"/>
        <w:jc w:val="center"/>
        <w:rPr>
          <w:b/>
          <w:bCs/>
          <w:sz w:val="28"/>
          <w:szCs w:val="28"/>
        </w:rPr>
      </w:pPr>
    </w:p>
    <w:p w14:paraId="2CA18115" w14:textId="77777777" w:rsidR="00381792" w:rsidRPr="00381792" w:rsidRDefault="00381792" w:rsidP="00381792">
      <w:pPr>
        <w:spacing w:before="120" w:after="120" w:line="360" w:lineRule="auto"/>
        <w:jc w:val="center"/>
        <w:rPr>
          <w:b/>
          <w:bCs/>
          <w:sz w:val="44"/>
          <w:szCs w:val="28"/>
        </w:rPr>
      </w:pPr>
      <w:r w:rsidRPr="00381792">
        <w:rPr>
          <w:b/>
          <w:bCs/>
          <w:sz w:val="44"/>
          <w:szCs w:val="28"/>
        </w:rPr>
        <w:t>MASTERS OF BUSINESS ADMINISTRATION</w:t>
      </w:r>
    </w:p>
    <w:p w14:paraId="4AE1DFEA" w14:textId="77777777" w:rsidR="00381792" w:rsidRPr="00381792" w:rsidRDefault="00381792" w:rsidP="00381792">
      <w:pPr>
        <w:spacing w:before="120" w:after="120" w:line="360" w:lineRule="auto"/>
        <w:jc w:val="center"/>
        <w:rPr>
          <w:b/>
          <w:bCs/>
          <w:szCs w:val="28"/>
        </w:rPr>
      </w:pPr>
      <w:r>
        <w:rPr>
          <w:b/>
          <w:bCs/>
          <w:szCs w:val="28"/>
        </w:rPr>
        <w:t>LCMB7023 – HUMAN CAPITAL MANAGEMENT</w:t>
      </w:r>
    </w:p>
    <w:p w14:paraId="5657F351" w14:textId="77777777" w:rsidR="00381792" w:rsidRPr="00381792" w:rsidRDefault="00381792" w:rsidP="00381792">
      <w:pPr>
        <w:spacing w:before="120" w:after="120" w:line="360" w:lineRule="auto"/>
        <w:jc w:val="center"/>
        <w:rPr>
          <w:b/>
          <w:bCs/>
          <w:szCs w:val="28"/>
        </w:rPr>
      </w:pPr>
      <w:r w:rsidRPr="00381792">
        <w:rPr>
          <w:b/>
          <w:bCs/>
          <w:szCs w:val="28"/>
        </w:rPr>
        <w:t>CONTRIBUTION TO THE OVERALL MODULE ASSESSMENT – 50%</w:t>
      </w:r>
    </w:p>
    <w:p w14:paraId="071E4611" w14:textId="77777777" w:rsidR="00381792" w:rsidRPr="00381792" w:rsidRDefault="00381792" w:rsidP="00381792">
      <w:pPr>
        <w:spacing w:before="120" w:after="120" w:line="360" w:lineRule="auto"/>
        <w:jc w:val="center"/>
        <w:rPr>
          <w:b/>
          <w:bCs/>
          <w:szCs w:val="28"/>
        </w:rPr>
      </w:pPr>
      <w:r w:rsidRPr="00381792">
        <w:rPr>
          <w:b/>
          <w:bCs/>
          <w:szCs w:val="28"/>
        </w:rPr>
        <w:t xml:space="preserve">LECTURER – </w:t>
      </w:r>
      <w:r>
        <w:rPr>
          <w:b/>
          <w:bCs/>
          <w:szCs w:val="28"/>
        </w:rPr>
        <w:t>GLADIUS KULOTHUNGAN</w:t>
      </w:r>
    </w:p>
    <w:p w14:paraId="2F72B346" w14:textId="77777777" w:rsidR="00381792" w:rsidRDefault="00381792" w:rsidP="00381792">
      <w:pPr>
        <w:spacing w:before="120" w:after="120" w:line="360" w:lineRule="auto"/>
        <w:jc w:val="center"/>
        <w:rPr>
          <w:b/>
          <w:bCs/>
          <w:szCs w:val="28"/>
        </w:rPr>
      </w:pPr>
      <w:r w:rsidRPr="00381792">
        <w:rPr>
          <w:b/>
          <w:bCs/>
          <w:szCs w:val="28"/>
        </w:rPr>
        <w:t xml:space="preserve">ASSESSMENT COMPONENT 1 – </w:t>
      </w:r>
      <w:r>
        <w:rPr>
          <w:b/>
          <w:bCs/>
          <w:szCs w:val="28"/>
        </w:rPr>
        <w:t>INDIVIDUAL REPORT HR STRATEGY</w:t>
      </w:r>
    </w:p>
    <w:p w14:paraId="5A6CB150" w14:textId="5A67BE45" w:rsidR="00DE611B" w:rsidRPr="00381792" w:rsidRDefault="00DE611B" w:rsidP="00381792">
      <w:pPr>
        <w:spacing w:before="120" w:after="120" w:line="360" w:lineRule="auto"/>
        <w:jc w:val="center"/>
        <w:rPr>
          <w:b/>
          <w:bCs/>
          <w:szCs w:val="28"/>
        </w:rPr>
      </w:pPr>
      <w:r>
        <w:rPr>
          <w:b/>
          <w:bCs/>
          <w:szCs w:val="28"/>
        </w:rPr>
        <w:t xml:space="preserve">Word count:- 3393 </w:t>
      </w:r>
    </w:p>
    <w:p w14:paraId="5E5447A4" w14:textId="77777777" w:rsidR="00381792" w:rsidRDefault="00381792" w:rsidP="00381792">
      <w:pPr>
        <w:spacing w:before="120" w:after="120" w:line="276" w:lineRule="auto"/>
        <w:jc w:val="center"/>
        <w:rPr>
          <w:b/>
          <w:bCs/>
          <w:sz w:val="28"/>
          <w:szCs w:val="28"/>
        </w:rPr>
      </w:pPr>
      <w:r w:rsidRPr="00381792">
        <w:rPr>
          <w:b/>
          <w:bCs/>
          <w:sz w:val="28"/>
          <w:szCs w:val="28"/>
        </w:rPr>
        <w:t>_____________________</w:t>
      </w:r>
      <w:r w:rsidRPr="00381792">
        <w:rPr>
          <w:b/>
          <w:bCs/>
          <w:sz w:val="28"/>
          <w:szCs w:val="28"/>
        </w:rPr>
        <w:br/>
      </w:r>
      <w:r w:rsidRPr="00381792">
        <w:rPr>
          <w:b/>
          <w:bCs/>
          <w:sz w:val="28"/>
          <w:szCs w:val="28"/>
        </w:rPr>
        <w:br/>
        <w:t>SUBMITTED</w:t>
      </w:r>
    </w:p>
    <w:p w14:paraId="7DC29993" w14:textId="39EBB4F4" w:rsidR="00F128D2" w:rsidRDefault="00F128D2" w:rsidP="00381792">
      <w:pPr>
        <w:spacing w:before="120" w:after="120" w:line="276" w:lineRule="auto"/>
        <w:jc w:val="center"/>
        <w:rPr>
          <w:b/>
          <w:bCs/>
          <w:sz w:val="28"/>
          <w:szCs w:val="28"/>
        </w:rPr>
      </w:pPr>
      <w:r>
        <w:rPr>
          <w:b/>
          <w:bCs/>
          <w:sz w:val="28"/>
          <w:szCs w:val="28"/>
        </w:rPr>
        <w:t>BY</w:t>
      </w:r>
    </w:p>
    <w:p w14:paraId="196A5163" w14:textId="3C0F51B9" w:rsidR="00F128D2" w:rsidRDefault="00F128D2" w:rsidP="00381792">
      <w:pPr>
        <w:spacing w:before="120" w:after="120" w:line="276" w:lineRule="auto"/>
        <w:jc w:val="center"/>
        <w:rPr>
          <w:b/>
          <w:bCs/>
          <w:sz w:val="28"/>
          <w:szCs w:val="28"/>
        </w:rPr>
      </w:pPr>
      <w:r>
        <w:rPr>
          <w:b/>
          <w:bCs/>
          <w:sz w:val="28"/>
          <w:szCs w:val="28"/>
        </w:rPr>
        <w:t xml:space="preserve">Student Name :- Neel </w:t>
      </w:r>
      <w:proofErr w:type="spellStart"/>
      <w:r>
        <w:rPr>
          <w:b/>
          <w:bCs/>
          <w:sz w:val="28"/>
          <w:szCs w:val="28"/>
        </w:rPr>
        <w:t>Manishbhai</w:t>
      </w:r>
      <w:proofErr w:type="spellEnd"/>
      <w:r>
        <w:rPr>
          <w:b/>
          <w:bCs/>
          <w:sz w:val="28"/>
          <w:szCs w:val="28"/>
        </w:rPr>
        <w:t xml:space="preserve"> Korat</w:t>
      </w:r>
    </w:p>
    <w:p w14:paraId="51669831" w14:textId="6903EA16" w:rsidR="00F128D2" w:rsidRPr="00381792" w:rsidRDefault="00F128D2" w:rsidP="00381792">
      <w:pPr>
        <w:spacing w:before="120" w:after="120" w:line="276" w:lineRule="auto"/>
        <w:jc w:val="center"/>
        <w:rPr>
          <w:b/>
          <w:bCs/>
          <w:sz w:val="28"/>
          <w:szCs w:val="28"/>
        </w:rPr>
      </w:pPr>
      <w:r>
        <w:rPr>
          <w:b/>
          <w:bCs/>
          <w:sz w:val="28"/>
          <w:szCs w:val="28"/>
        </w:rPr>
        <w:t>Student ID :- 2523741</w:t>
      </w:r>
    </w:p>
    <w:p w14:paraId="22515DB7" w14:textId="53931E69" w:rsidR="00B2260C" w:rsidRPr="00381792" w:rsidRDefault="00B2260C" w:rsidP="00381792">
      <w:pPr>
        <w:jc w:val="center"/>
        <w:rPr>
          <w:b/>
          <w:bCs/>
        </w:rPr>
      </w:pPr>
      <w:r w:rsidRPr="00381792">
        <w:rPr>
          <w:b/>
          <w:bCs/>
        </w:rPr>
        <w:br w:type="page"/>
      </w:r>
    </w:p>
    <w:sdt>
      <w:sdtPr>
        <w:rPr>
          <w:rFonts w:ascii="Times New Roman" w:eastAsiaTheme="minorHAnsi" w:hAnsi="Times New Roman" w:cs="Times New Roman"/>
          <w:b w:val="0"/>
          <w:bCs w:val="0"/>
          <w:color w:val="auto"/>
          <w:kern w:val="2"/>
          <w:sz w:val="24"/>
          <w:szCs w:val="24"/>
          <w14:ligatures w14:val="standardContextual"/>
        </w:rPr>
        <w:id w:val="-1912990720"/>
        <w:docPartObj>
          <w:docPartGallery w:val="Table of Contents"/>
          <w:docPartUnique/>
        </w:docPartObj>
      </w:sdtPr>
      <w:sdtEndPr>
        <w:rPr>
          <w:noProof/>
        </w:rPr>
      </w:sdtEndPr>
      <w:sdtContent>
        <w:p w14:paraId="2684F698" w14:textId="77777777" w:rsidR="00B2260C" w:rsidRPr="00381792" w:rsidRDefault="00381792">
          <w:pPr>
            <w:pStyle w:val="TOCHeading"/>
            <w:rPr>
              <w:rFonts w:ascii="Times New Roman" w:hAnsi="Times New Roman" w:cs="Times New Roman"/>
            </w:rPr>
          </w:pPr>
          <w:r w:rsidRPr="00381792">
            <w:rPr>
              <w:rFonts w:ascii="Times New Roman" w:hAnsi="Times New Roman" w:cs="Times New Roman"/>
            </w:rPr>
            <w:t>TABLE OF CONTENTS</w:t>
          </w:r>
        </w:p>
        <w:p w14:paraId="55F4F923" w14:textId="77777777" w:rsidR="00381792" w:rsidRPr="00381792" w:rsidRDefault="00B2260C">
          <w:pPr>
            <w:pStyle w:val="TOC1"/>
            <w:tabs>
              <w:tab w:val="right" w:leader="dot" w:pos="9350"/>
            </w:tabs>
            <w:rPr>
              <w:rFonts w:ascii="Times New Roman" w:eastAsiaTheme="minorEastAsia" w:hAnsi="Times New Roman" w:cs="Times New Roman"/>
              <w:b w:val="0"/>
              <w:bCs w:val="0"/>
              <w:noProof/>
              <w:kern w:val="0"/>
              <w:sz w:val="28"/>
              <w:szCs w:val="22"/>
              <w14:ligatures w14:val="none"/>
            </w:rPr>
          </w:pPr>
          <w:r w:rsidRPr="00381792">
            <w:rPr>
              <w:rFonts w:ascii="Times New Roman" w:hAnsi="Times New Roman" w:cs="Times New Roman"/>
              <w:b w:val="0"/>
              <w:bCs w:val="0"/>
            </w:rPr>
            <w:fldChar w:fldCharType="begin"/>
          </w:r>
          <w:r w:rsidRPr="00381792">
            <w:rPr>
              <w:rFonts w:ascii="Times New Roman" w:hAnsi="Times New Roman" w:cs="Times New Roman"/>
            </w:rPr>
            <w:instrText xml:space="preserve"> TOC \o "1-3" \h \z \u </w:instrText>
          </w:r>
          <w:r w:rsidRPr="00381792">
            <w:rPr>
              <w:rFonts w:ascii="Times New Roman" w:hAnsi="Times New Roman" w:cs="Times New Roman"/>
              <w:b w:val="0"/>
              <w:bCs w:val="0"/>
            </w:rPr>
            <w:fldChar w:fldCharType="separate"/>
          </w:r>
          <w:hyperlink w:anchor="_Toc222155845" w:history="1">
            <w:r w:rsidR="00381792" w:rsidRPr="00381792">
              <w:rPr>
                <w:rStyle w:val="Hyperlink"/>
                <w:rFonts w:ascii="Times New Roman" w:hAnsi="Times New Roman" w:cs="Times New Roman"/>
                <w:noProof/>
                <w:sz w:val="24"/>
              </w:rPr>
              <w:t>Option 3</w:t>
            </w:r>
            <w:r w:rsidR="00381792" w:rsidRPr="00381792">
              <w:rPr>
                <w:rFonts w:ascii="Times New Roman" w:hAnsi="Times New Roman" w:cs="Times New Roman"/>
                <w:noProof/>
                <w:webHidden/>
                <w:sz w:val="24"/>
              </w:rPr>
              <w:tab/>
            </w:r>
            <w:r w:rsidR="00381792" w:rsidRPr="00381792">
              <w:rPr>
                <w:rFonts w:ascii="Times New Roman" w:hAnsi="Times New Roman" w:cs="Times New Roman"/>
                <w:noProof/>
                <w:webHidden/>
                <w:sz w:val="24"/>
              </w:rPr>
              <w:fldChar w:fldCharType="begin"/>
            </w:r>
            <w:r w:rsidR="00381792" w:rsidRPr="00381792">
              <w:rPr>
                <w:rFonts w:ascii="Times New Roman" w:hAnsi="Times New Roman" w:cs="Times New Roman"/>
                <w:noProof/>
                <w:webHidden/>
                <w:sz w:val="24"/>
              </w:rPr>
              <w:instrText xml:space="preserve"> PAGEREF _Toc222155845 \h </w:instrText>
            </w:r>
            <w:r w:rsidR="00381792" w:rsidRPr="00381792">
              <w:rPr>
                <w:rFonts w:ascii="Times New Roman" w:hAnsi="Times New Roman" w:cs="Times New Roman"/>
                <w:noProof/>
                <w:webHidden/>
                <w:sz w:val="24"/>
              </w:rPr>
            </w:r>
            <w:r w:rsidR="00381792" w:rsidRPr="00381792">
              <w:rPr>
                <w:rFonts w:ascii="Times New Roman" w:hAnsi="Times New Roman" w:cs="Times New Roman"/>
                <w:noProof/>
                <w:webHidden/>
                <w:sz w:val="24"/>
              </w:rPr>
              <w:fldChar w:fldCharType="separate"/>
            </w:r>
            <w:r w:rsidR="00381792">
              <w:rPr>
                <w:rFonts w:ascii="Times New Roman" w:hAnsi="Times New Roman" w:cs="Times New Roman"/>
                <w:noProof/>
                <w:webHidden/>
                <w:sz w:val="24"/>
              </w:rPr>
              <w:t>3</w:t>
            </w:r>
            <w:r w:rsidR="00381792" w:rsidRPr="00381792">
              <w:rPr>
                <w:rFonts w:ascii="Times New Roman" w:hAnsi="Times New Roman" w:cs="Times New Roman"/>
                <w:noProof/>
                <w:webHidden/>
                <w:sz w:val="24"/>
              </w:rPr>
              <w:fldChar w:fldCharType="end"/>
            </w:r>
          </w:hyperlink>
        </w:p>
        <w:p w14:paraId="32069E57"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46" w:history="1">
            <w:r w:rsidRPr="00381792">
              <w:rPr>
                <w:rStyle w:val="Hyperlink"/>
                <w:rFonts w:ascii="Times New Roman" w:hAnsi="Times New Roman" w:cs="Times New Roman"/>
                <w:noProof/>
                <w:sz w:val="24"/>
              </w:rPr>
              <w:t>Introduction</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_Toc222155846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3</w:t>
            </w:r>
            <w:r w:rsidRPr="00381792">
              <w:rPr>
                <w:rFonts w:ascii="Times New Roman" w:hAnsi="Times New Roman" w:cs="Times New Roman"/>
                <w:noProof/>
                <w:webHidden/>
                <w:sz w:val="24"/>
              </w:rPr>
              <w:fldChar w:fldCharType="end"/>
            </w:r>
          </w:hyperlink>
        </w:p>
        <w:p w14:paraId="42F5354A"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47" w:history="1">
            <w:r w:rsidRPr="00381792">
              <w:rPr>
                <w:rStyle w:val="Hyperlink"/>
                <w:rFonts w:ascii="Times New Roman" w:hAnsi="Times New Roman" w:cs="Times New Roman"/>
                <w:noProof/>
                <w:sz w:val="24"/>
              </w:rPr>
              <w:t>Current Tech Talent Ecosystem 2024–2025</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_Toc222155847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3</w:t>
            </w:r>
            <w:r w:rsidRPr="00381792">
              <w:rPr>
                <w:rFonts w:ascii="Times New Roman" w:hAnsi="Times New Roman" w:cs="Times New Roman"/>
                <w:noProof/>
                <w:webHidden/>
                <w:sz w:val="24"/>
              </w:rPr>
              <w:fldChar w:fldCharType="end"/>
            </w:r>
          </w:hyperlink>
        </w:p>
        <w:p w14:paraId="540A2EE0" w14:textId="77777777" w:rsidR="00381792" w:rsidRPr="00381792" w:rsidRDefault="00381792">
          <w:pPr>
            <w:pStyle w:val="TOC2"/>
            <w:tabs>
              <w:tab w:val="right" w:leader="dot" w:pos="9350"/>
            </w:tabs>
            <w:rPr>
              <w:rFonts w:ascii="Times New Roman" w:eastAsiaTheme="minorEastAsia" w:hAnsi="Times New Roman" w:cs="Times New Roman"/>
              <w:i w:val="0"/>
              <w:iCs w:val="0"/>
              <w:noProof/>
              <w:kern w:val="0"/>
              <w:sz w:val="28"/>
              <w:szCs w:val="22"/>
              <w14:ligatures w14:val="none"/>
            </w:rPr>
          </w:pPr>
          <w:hyperlink w:anchor="_Toc222155848" w:history="1">
            <w:r w:rsidRPr="00381792">
              <w:rPr>
                <w:rStyle w:val="Hyperlink"/>
                <w:rFonts w:ascii="Times New Roman" w:hAnsi="Times New Roman" w:cs="Times New Roman"/>
                <w:noProof/>
                <w:sz w:val="24"/>
              </w:rPr>
              <w:t>Build vs buy talent model for Aether’s high-potential pipeline</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_Toc222155848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381792">
              <w:rPr>
                <w:rFonts w:ascii="Times New Roman" w:hAnsi="Times New Roman" w:cs="Times New Roman"/>
                <w:noProof/>
                <w:webHidden/>
                <w:sz w:val="24"/>
              </w:rPr>
              <w:fldChar w:fldCharType="end"/>
            </w:r>
          </w:hyperlink>
        </w:p>
        <w:p w14:paraId="25B51CCC"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49" w:history="1">
            <w:r w:rsidRPr="00381792">
              <w:rPr>
                <w:rStyle w:val="Hyperlink"/>
                <w:rFonts w:ascii="Times New Roman" w:hAnsi="Times New Roman" w:cs="Times New Roman"/>
                <w:noProof/>
                <w:sz w:val="24"/>
              </w:rPr>
              <w:t>Conclusion</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_Toc222155849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381792">
              <w:rPr>
                <w:rFonts w:ascii="Times New Roman" w:hAnsi="Times New Roman" w:cs="Times New Roman"/>
                <w:noProof/>
                <w:webHidden/>
                <w:sz w:val="24"/>
              </w:rPr>
              <w:fldChar w:fldCharType="end"/>
            </w:r>
          </w:hyperlink>
        </w:p>
        <w:p w14:paraId="301E7449"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50" w:history="1">
            <w:r w:rsidRPr="00381792">
              <w:rPr>
                <w:rStyle w:val="Hyperlink"/>
                <w:rFonts w:ascii="Times New Roman" w:hAnsi="Times New Roman" w:cs="Times New Roman"/>
                <w:noProof/>
                <w:sz w:val="24"/>
              </w:rPr>
              <w:t>Part 2: Reflection</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_Toc222155850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381792">
              <w:rPr>
                <w:rFonts w:ascii="Times New Roman" w:hAnsi="Times New Roman" w:cs="Times New Roman"/>
                <w:noProof/>
                <w:webHidden/>
                <w:sz w:val="24"/>
              </w:rPr>
              <w:fldChar w:fldCharType="end"/>
            </w:r>
          </w:hyperlink>
        </w:p>
        <w:p w14:paraId="1B5FD483"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51" w:history="1">
            <w:r w:rsidRPr="00381792">
              <w:rPr>
                <w:rStyle w:val="Hyperlink"/>
                <w:rFonts w:ascii="Times New Roman" w:hAnsi="Times New Roman" w:cs="Times New Roman"/>
                <w:noProof/>
                <w:sz w:val="24"/>
              </w:rPr>
              <w:t>Reflection using Kolb’s model: building my personal L&amp;D baseline for innovation and growth mindset</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_Toc222155851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381792">
              <w:rPr>
                <w:rFonts w:ascii="Times New Roman" w:hAnsi="Times New Roman" w:cs="Times New Roman"/>
                <w:noProof/>
                <w:webHidden/>
                <w:sz w:val="24"/>
              </w:rPr>
              <w:fldChar w:fldCharType="end"/>
            </w:r>
          </w:hyperlink>
        </w:p>
        <w:p w14:paraId="46685DB6" w14:textId="77777777" w:rsidR="00381792" w:rsidRPr="00381792" w:rsidRDefault="00381792">
          <w:pPr>
            <w:pStyle w:val="TOC2"/>
            <w:tabs>
              <w:tab w:val="right" w:leader="dot" w:pos="9350"/>
            </w:tabs>
            <w:rPr>
              <w:rFonts w:ascii="Times New Roman" w:eastAsiaTheme="minorEastAsia" w:hAnsi="Times New Roman" w:cs="Times New Roman"/>
              <w:i w:val="0"/>
              <w:iCs w:val="0"/>
              <w:noProof/>
              <w:kern w:val="0"/>
              <w:sz w:val="28"/>
              <w:szCs w:val="22"/>
              <w14:ligatures w14:val="none"/>
            </w:rPr>
          </w:pPr>
          <w:hyperlink w:anchor="_Toc222155852" w:history="1">
            <w:r w:rsidRPr="00381792">
              <w:rPr>
                <w:rStyle w:val="Hyperlink"/>
                <w:rFonts w:ascii="Times New Roman" w:hAnsi="Times New Roman" w:cs="Times New Roman"/>
                <w:noProof/>
                <w:sz w:val="24"/>
              </w:rPr>
              <w:t>Staying relevant in an AI-shaped labour market: using AI without being replaced by it</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_Toc222155852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381792">
              <w:rPr>
                <w:rFonts w:ascii="Times New Roman" w:hAnsi="Times New Roman" w:cs="Times New Roman"/>
                <w:noProof/>
                <w:webHidden/>
                <w:sz w:val="24"/>
              </w:rPr>
              <w:fldChar w:fldCharType="end"/>
            </w:r>
          </w:hyperlink>
        </w:p>
        <w:p w14:paraId="2CDFEAD5"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22155853" w:history="1">
            <w:r w:rsidRPr="00381792">
              <w:rPr>
                <w:rStyle w:val="Hyperlink"/>
                <w:rFonts w:ascii="Times New Roman" w:hAnsi="Times New Roman" w:cs="Times New Roman"/>
                <w:noProof/>
                <w:sz w:val="24"/>
              </w:rPr>
              <w:t>References</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_Toc222155853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381792">
              <w:rPr>
                <w:rFonts w:ascii="Times New Roman" w:hAnsi="Times New Roman" w:cs="Times New Roman"/>
                <w:noProof/>
                <w:webHidden/>
                <w:sz w:val="24"/>
              </w:rPr>
              <w:fldChar w:fldCharType="end"/>
            </w:r>
          </w:hyperlink>
        </w:p>
        <w:p w14:paraId="2540AD72" w14:textId="77777777" w:rsidR="00B2260C" w:rsidRPr="00381792" w:rsidRDefault="00B2260C">
          <w:r w:rsidRPr="00381792">
            <w:rPr>
              <w:b/>
              <w:bCs/>
              <w:noProof/>
            </w:rPr>
            <w:fldChar w:fldCharType="end"/>
          </w:r>
        </w:p>
      </w:sdtContent>
    </w:sdt>
    <w:p w14:paraId="3D4AAD81" w14:textId="77777777" w:rsidR="00B2260C" w:rsidRPr="00381792" w:rsidRDefault="00B2260C" w:rsidP="00B2260C">
      <w:pPr>
        <w:spacing w:line="360" w:lineRule="auto"/>
        <w:rPr>
          <w:b/>
          <w:bCs/>
        </w:rPr>
      </w:pPr>
    </w:p>
    <w:p w14:paraId="74EF0574" w14:textId="77777777" w:rsidR="00B2260C" w:rsidRPr="00381792" w:rsidRDefault="00B2260C">
      <w:pPr>
        <w:rPr>
          <w:rFonts w:eastAsiaTheme="majorEastAsia"/>
          <w:b/>
          <w:color w:val="000000" w:themeColor="text1"/>
        </w:rPr>
      </w:pPr>
      <w:r w:rsidRPr="00381792">
        <w:br w:type="page"/>
      </w:r>
    </w:p>
    <w:p w14:paraId="10B119F2" w14:textId="77777777" w:rsidR="00B2260C" w:rsidRPr="00381792" w:rsidRDefault="00B2260C" w:rsidP="00B2260C">
      <w:pPr>
        <w:pStyle w:val="Heading1"/>
        <w:spacing w:line="360" w:lineRule="auto"/>
        <w:jc w:val="both"/>
        <w:rPr>
          <w:rFonts w:cs="Times New Roman"/>
          <w:szCs w:val="24"/>
        </w:rPr>
      </w:pPr>
      <w:bookmarkStart w:id="0" w:name="_Toc222155845"/>
      <w:r w:rsidRPr="00381792">
        <w:rPr>
          <w:rFonts w:cs="Times New Roman"/>
          <w:szCs w:val="24"/>
        </w:rPr>
        <w:lastRenderedPageBreak/>
        <w:t>Option 3</w:t>
      </w:r>
      <w:bookmarkEnd w:id="0"/>
    </w:p>
    <w:p w14:paraId="753D147B" w14:textId="77777777" w:rsidR="00B2260C" w:rsidRPr="00381792" w:rsidRDefault="00B2260C" w:rsidP="00B2260C">
      <w:pPr>
        <w:pStyle w:val="Heading1"/>
        <w:spacing w:line="360" w:lineRule="auto"/>
        <w:jc w:val="both"/>
        <w:rPr>
          <w:rFonts w:cs="Times New Roman"/>
          <w:szCs w:val="24"/>
        </w:rPr>
      </w:pPr>
      <w:bookmarkStart w:id="1" w:name="_Toc222155846"/>
      <w:r w:rsidRPr="00381792">
        <w:rPr>
          <w:rFonts w:cs="Times New Roman"/>
          <w:szCs w:val="24"/>
        </w:rPr>
        <w:t>Introduction</w:t>
      </w:r>
      <w:bookmarkEnd w:id="1"/>
    </w:p>
    <w:p w14:paraId="43479C08"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Option 3 treats Aether’s flat growth, high turnover, and falling customer satisfaction as a talent-ecosystem failure in a market where voluntary churn remains high (US average voluntary turnover ~13.0% in the 2024–2025 cycle) (Mercer, 2025) and quits remain a meaningful share of separations, sustaining job-switching pressure (BLS, 2026). Meanwhile, the tech talent market is changing: AI proficiency is in high demand in the hiring mix (</w:t>
      </w:r>
      <w:proofErr w:type="spellStart"/>
      <w:r w:rsidRPr="00381792">
        <w:rPr>
          <w:color w:val="000000"/>
          <w:kern w:val="0"/>
        </w:rPr>
        <w:t>Ravio</w:t>
      </w:r>
      <w:proofErr w:type="spellEnd"/>
      <w:r w:rsidRPr="00381792">
        <w:rPr>
          <w:color w:val="000000"/>
          <w:kern w:val="0"/>
        </w:rPr>
        <w:t>, 2025) and hiring new graduates is declining, which puts the experienced and versatile talent at a disadvantage (</w:t>
      </w:r>
      <w:proofErr w:type="spellStart"/>
      <w:r w:rsidRPr="00381792">
        <w:rPr>
          <w:color w:val="000000"/>
          <w:kern w:val="0"/>
        </w:rPr>
        <w:t>SignalFire</w:t>
      </w:r>
      <w:proofErr w:type="spellEnd"/>
      <w:r w:rsidRPr="00381792">
        <w:rPr>
          <w:color w:val="000000"/>
          <w:kern w:val="0"/>
        </w:rPr>
        <w:t xml:space="preserve">, 2025). </w:t>
      </w:r>
    </w:p>
    <w:p w14:paraId="2D39C7BB" w14:textId="77777777" w:rsidR="00B2260C" w:rsidRPr="00381792" w:rsidRDefault="00B2260C" w:rsidP="00B2260C">
      <w:pPr>
        <w:pStyle w:val="Heading1"/>
        <w:spacing w:line="360" w:lineRule="auto"/>
        <w:jc w:val="both"/>
        <w:rPr>
          <w:rFonts w:cs="Times New Roman"/>
          <w:szCs w:val="24"/>
        </w:rPr>
      </w:pPr>
      <w:bookmarkStart w:id="2" w:name="_Toc222155847"/>
      <w:r w:rsidRPr="00381792">
        <w:rPr>
          <w:rFonts w:cs="Times New Roman"/>
          <w:szCs w:val="24"/>
        </w:rPr>
        <w:t>Current Tech Talent Ecosystem 2024–2025</w:t>
      </w:r>
      <w:bookmarkEnd w:id="2"/>
    </w:p>
    <w:p w14:paraId="1CB02F32"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 xml:space="preserve">In 2024-2025, high-potential technologists will find themselves in a market where entry points have become smaller and senior, AI-proximate ability is the rarest commodity. </w:t>
      </w:r>
      <w:proofErr w:type="spellStart"/>
      <w:r w:rsidRPr="00381792">
        <w:rPr>
          <w:color w:val="000000"/>
          <w:kern w:val="0"/>
        </w:rPr>
        <w:t>SignalFire</w:t>
      </w:r>
      <w:proofErr w:type="spellEnd"/>
      <w:r w:rsidRPr="00381792">
        <w:rPr>
          <w:color w:val="000000"/>
          <w:kern w:val="0"/>
        </w:rPr>
        <w:t xml:space="preserve"> reports that new-graduate hiring is down about 50% versus pre-pandemic levels, which pushes competitors into the same mid-career pool and increases the risk that Aether loses ramp-up-ready engineers and customer success leaders to firms that promise faster growth (</w:t>
      </w:r>
      <w:proofErr w:type="spellStart"/>
      <w:r w:rsidRPr="00381792">
        <w:rPr>
          <w:color w:val="000000"/>
          <w:kern w:val="0"/>
        </w:rPr>
        <w:t>SignalFire</w:t>
      </w:r>
      <w:proofErr w:type="spellEnd"/>
      <w:r w:rsidRPr="00381792">
        <w:rPr>
          <w:color w:val="000000"/>
          <w:kern w:val="0"/>
        </w:rPr>
        <w:t>, 2025). Microsoft and LinkedIn find 75% of global knowledge workers are already using generative AI at work, and many are bringing their own tools, which increases performance variance between teams with strong learning systems and those without and makes weak development infrastructure easy to spot through peer networks (Microsoft, 2024). PwC shows why this matters operationally: in AI-exposed occupations, skills demanded by employers are changing 66% faster, so firms that rely on static job families will chronically under-supply capability and over-rotate on external hiring (PwC, 2025).</w:t>
      </w:r>
    </w:p>
    <w:p w14:paraId="2E0F57F9" w14:textId="77777777" w:rsidR="00B2260C" w:rsidRPr="00381792" w:rsidRDefault="00B2260C" w:rsidP="00B2260C">
      <w:pPr>
        <w:autoSpaceDE w:val="0"/>
        <w:autoSpaceDN w:val="0"/>
        <w:adjustRightInd w:val="0"/>
        <w:spacing w:line="360" w:lineRule="auto"/>
        <w:jc w:val="both"/>
        <w:rPr>
          <w:color w:val="000000"/>
          <w:kern w:val="0"/>
        </w:rPr>
      </w:pPr>
    </w:p>
    <w:p w14:paraId="1DAEB7E3" w14:textId="77777777" w:rsidR="00B2260C" w:rsidRPr="00381792" w:rsidRDefault="00B2260C" w:rsidP="00B2260C">
      <w:pPr>
        <w:autoSpaceDE w:val="0"/>
        <w:autoSpaceDN w:val="0"/>
        <w:adjustRightInd w:val="0"/>
        <w:spacing w:line="360" w:lineRule="auto"/>
        <w:jc w:val="both"/>
        <w:rPr>
          <w:color w:val="000000"/>
          <w:kern w:val="0"/>
        </w:rPr>
      </w:pPr>
    </w:p>
    <w:p w14:paraId="52D13D6E" w14:textId="77777777" w:rsidR="00B2260C" w:rsidRPr="00381792" w:rsidRDefault="00B2260C" w:rsidP="00B2260C">
      <w:pPr>
        <w:autoSpaceDE w:val="0"/>
        <w:autoSpaceDN w:val="0"/>
        <w:adjustRightInd w:val="0"/>
        <w:spacing w:line="360" w:lineRule="auto"/>
        <w:jc w:val="both"/>
        <w:rPr>
          <w:color w:val="000000"/>
          <w:kern w:val="0"/>
        </w:rPr>
      </w:pPr>
    </w:p>
    <w:p w14:paraId="402E871E" w14:textId="77777777" w:rsidR="00B2260C" w:rsidRPr="00381792" w:rsidRDefault="00B2260C" w:rsidP="00B2260C">
      <w:pPr>
        <w:keepNext/>
        <w:autoSpaceDE w:val="0"/>
        <w:autoSpaceDN w:val="0"/>
        <w:adjustRightInd w:val="0"/>
        <w:spacing w:line="360" w:lineRule="auto"/>
        <w:jc w:val="center"/>
      </w:pPr>
      <w:r w:rsidRPr="00381792">
        <w:rPr>
          <w:noProof/>
          <w:color w:val="000000"/>
          <w:kern w:val="0"/>
        </w:rPr>
        <w:lastRenderedPageBreak/>
        <w:drawing>
          <wp:inline distT="0" distB="0" distL="0" distR="0" wp14:anchorId="44915CA1" wp14:editId="179B6368">
            <wp:extent cx="4535854" cy="3301578"/>
            <wp:effectExtent l="12700" t="12700" r="10795" b="13335"/>
            <wp:docPr id="2125364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364997" name="Picture 21253649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48531" cy="3310806"/>
                    </a:xfrm>
                    <a:prstGeom prst="rect">
                      <a:avLst/>
                    </a:prstGeom>
                    <a:ln>
                      <a:solidFill>
                        <a:schemeClr val="tx1"/>
                      </a:solidFill>
                    </a:ln>
                  </pic:spPr>
                </pic:pic>
              </a:graphicData>
            </a:graphic>
          </wp:inline>
        </w:drawing>
      </w:r>
    </w:p>
    <w:p w14:paraId="540261CA" w14:textId="77777777" w:rsidR="00B2260C" w:rsidRPr="00381792" w:rsidRDefault="00B2260C" w:rsidP="00B2260C">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001B7210" w:rsidRPr="00381792">
        <w:rPr>
          <w:b/>
          <w:bCs/>
          <w:noProof/>
        </w:rPr>
        <w:t>1</w:t>
      </w:r>
      <w:r w:rsidRPr="00381792">
        <w:rPr>
          <w:b/>
          <w:bCs/>
        </w:rPr>
        <w:fldChar w:fldCharType="end"/>
      </w:r>
      <w:r w:rsidRPr="00381792">
        <w:rPr>
          <w:b/>
          <w:bCs/>
        </w:rPr>
        <w:t>: 75% of individuals using AI at work (Microsoft, 2024).</w:t>
      </w:r>
    </w:p>
    <w:p w14:paraId="7A6E5EB1" w14:textId="77777777" w:rsidR="00B2260C" w:rsidRPr="00381792" w:rsidRDefault="00B2260C" w:rsidP="00B2260C">
      <w:pPr>
        <w:keepNext/>
        <w:autoSpaceDE w:val="0"/>
        <w:autoSpaceDN w:val="0"/>
        <w:adjustRightInd w:val="0"/>
        <w:spacing w:line="360" w:lineRule="auto"/>
        <w:jc w:val="center"/>
      </w:pPr>
      <w:r w:rsidRPr="00381792">
        <w:rPr>
          <w:noProof/>
          <w:color w:val="000000"/>
          <w:kern w:val="0"/>
        </w:rPr>
        <w:drawing>
          <wp:inline distT="0" distB="0" distL="0" distR="0" wp14:anchorId="3F415B3B" wp14:editId="4955C717">
            <wp:extent cx="4864100" cy="2182089"/>
            <wp:effectExtent l="12700" t="12700" r="12700" b="15240"/>
            <wp:docPr id="596522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22276" name="Picture 59652227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82989" cy="2190563"/>
                    </a:xfrm>
                    <a:prstGeom prst="rect">
                      <a:avLst/>
                    </a:prstGeom>
                    <a:ln>
                      <a:solidFill>
                        <a:schemeClr val="tx1"/>
                      </a:solidFill>
                    </a:ln>
                  </pic:spPr>
                </pic:pic>
              </a:graphicData>
            </a:graphic>
          </wp:inline>
        </w:drawing>
      </w:r>
    </w:p>
    <w:p w14:paraId="7733A41C" w14:textId="77777777" w:rsidR="00B2260C" w:rsidRPr="00381792" w:rsidRDefault="00B2260C" w:rsidP="00FB674E">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001B7210" w:rsidRPr="00381792">
        <w:rPr>
          <w:b/>
          <w:bCs/>
          <w:noProof/>
        </w:rPr>
        <w:t>2</w:t>
      </w:r>
      <w:r w:rsidRPr="00381792">
        <w:rPr>
          <w:b/>
          <w:bCs/>
        </w:rPr>
        <w:fldChar w:fldCharType="end"/>
      </w:r>
      <w:r w:rsidRPr="00381792">
        <w:rPr>
          <w:b/>
          <w:bCs/>
        </w:rPr>
        <w:t>: Change is fastest in automatable jobs (PwC, 2025).</w:t>
      </w:r>
    </w:p>
    <w:p w14:paraId="132BB119"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The World Economic Forum reports that 39% of workers’ core skills are expected to change by 2030, so Aether’s flat growth and falling customer satisfaction are consistent with a capability renewal rate that is slower than customer expectations (World Economic Forum, 2025).</w:t>
      </w:r>
    </w:p>
    <w:p w14:paraId="0E35C75B" w14:textId="77777777" w:rsidR="00B2260C" w:rsidRPr="00381792" w:rsidRDefault="00B2260C" w:rsidP="00B2260C">
      <w:pPr>
        <w:autoSpaceDE w:val="0"/>
        <w:autoSpaceDN w:val="0"/>
        <w:adjustRightInd w:val="0"/>
        <w:spacing w:line="360" w:lineRule="auto"/>
        <w:jc w:val="both"/>
        <w:rPr>
          <w:color w:val="000000"/>
          <w:kern w:val="0"/>
        </w:rPr>
      </w:pPr>
    </w:p>
    <w:p w14:paraId="402D952C" w14:textId="77777777" w:rsidR="00B2260C" w:rsidRPr="00381792" w:rsidRDefault="00B2260C" w:rsidP="00B2260C">
      <w:pPr>
        <w:autoSpaceDE w:val="0"/>
        <w:autoSpaceDN w:val="0"/>
        <w:adjustRightInd w:val="0"/>
        <w:spacing w:line="360" w:lineRule="auto"/>
        <w:jc w:val="both"/>
        <w:rPr>
          <w:color w:val="000000"/>
          <w:kern w:val="0"/>
        </w:rPr>
      </w:pPr>
    </w:p>
    <w:p w14:paraId="2FC08BC8" w14:textId="77777777" w:rsidR="00B2260C" w:rsidRPr="00381792" w:rsidRDefault="00B2260C" w:rsidP="00B2260C">
      <w:pPr>
        <w:autoSpaceDE w:val="0"/>
        <w:autoSpaceDN w:val="0"/>
        <w:adjustRightInd w:val="0"/>
        <w:spacing w:line="360" w:lineRule="auto"/>
        <w:jc w:val="both"/>
        <w:rPr>
          <w:color w:val="000000"/>
          <w:kern w:val="0"/>
        </w:rPr>
      </w:pPr>
    </w:p>
    <w:p w14:paraId="08BF467C" w14:textId="77777777" w:rsidR="00B2260C" w:rsidRPr="00381792" w:rsidRDefault="00B2260C" w:rsidP="00B2260C">
      <w:pPr>
        <w:keepNext/>
        <w:autoSpaceDE w:val="0"/>
        <w:autoSpaceDN w:val="0"/>
        <w:adjustRightInd w:val="0"/>
        <w:spacing w:line="360" w:lineRule="auto"/>
        <w:jc w:val="center"/>
      </w:pPr>
      <w:r w:rsidRPr="00381792">
        <w:rPr>
          <w:noProof/>
          <w:color w:val="000000"/>
          <w:kern w:val="0"/>
        </w:rPr>
        <w:lastRenderedPageBreak/>
        <w:drawing>
          <wp:inline distT="0" distB="0" distL="0" distR="0" wp14:anchorId="7AC3A354" wp14:editId="3E5DD5E3">
            <wp:extent cx="5579208" cy="2672774"/>
            <wp:effectExtent l="12700" t="12700" r="8890" b="6985"/>
            <wp:docPr id="1788776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76115" name="Picture 178877611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84124" cy="2675129"/>
                    </a:xfrm>
                    <a:prstGeom prst="rect">
                      <a:avLst/>
                    </a:prstGeom>
                    <a:ln>
                      <a:solidFill>
                        <a:schemeClr val="tx1"/>
                      </a:solidFill>
                    </a:ln>
                  </pic:spPr>
                </pic:pic>
              </a:graphicData>
            </a:graphic>
          </wp:inline>
        </w:drawing>
      </w:r>
    </w:p>
    <w:p w14:paraId="2CFFB9D2" w14:textId="77777777" w:rsidR="00B2260C" w:rsidRPr="00381792" w:rsidRDefault="00B2260C" w:rsidP="00B2260C">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001B7210" w:rsidRPr="00381792">
        <w:rPr>
          <w:b/>
          <w:bCs/>
          <w:noProof/>
        </w:rPr>
        <w:t>3</w:t>
      </w:r>
      <w:r w:rsidRPr="00381792">
        <w:rPr>
          <w:b/>
          <w:bCs/>
        </w:rPr>
        <w:fldChar w:fldCharType="end"/>
      </w:r>
      <w:r w:rsidRPr="00381792">
        <w:rPr>
          <w:b/>
          <w:bCs/>
        </w:rPr>
        <w:t>: Evolution in the share of workers' core skills expected to change and to remain the same within the next five years, 2016-2025 (World Economic Forum, 2025).</w:t>
      </w:r>
    </w:p>
    <w:p w14:paraId="69887EA9"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 xml:space="preserve">The credibility of the internal opportunity market of the employers in this ecosystem is what distinguishes them. A comprehensive review of internal mobility research reveals that mobility influences retention through access to opportunities, career </w:t>
      </w:r>
      <w:proofErr w:type="spellStart"/>
      <w:r w:rsidRPr="00381792">
        <w:rPr>
          <w:color w:val="000000"/>
          <w:kern w:val="0"/>
        </w:rPr>
        <w:t>signalling</w:t>
      </w:r>
      <w:proofErr w:type="spellEnd"/>
      <w:r w:rsidRPr="00381792">
        <w:rPr>
          <w:color w:val="000000"/>
          <w:kern w:val="0"/>
        </w:rPr>
        <w:t xml:space="preserve">, and knowledge transfer, particularly in contexts where firm-specific factors impact performance (Ray, 2024). Another integrative review states that mobility does not work when such pathways are opaque, when managers keep talent hidden, or when the selection process is biased, and in these cases, high performers leave instead of waiting to be recruited (Bidwell et al., 2025). In software </w:t>
      </w:r>
      <w:proofErr w:type="spellStart"/>
      <w:r w:rsidRPr="00381792">
        <w:rPr>
          <w:color w:val="000000"/>
          <w:kern w:val="0"/>
        </w:rPr>
        <w:t>organisations</w:t>
      </w:r>
      <w:proofErr w:type="spellEnd"/>
      <w:r w:rsidRPr="00381792">
        <w:rPr>
          <w:color w:val="000000"/>
          <w:kern w:val="0"/>
        </w:rPr>
        <w:t xml:space="preserve">, the ecosystem also </w:t>
      </w:r>
      <w:proofErr w:type="spellStart"/>
      <w:r w:rsidRPr="00381792">
        <w:rPr>
          <w:color w:val="000000"/>
          <w:kern w:val="0"/>
        </w:rPr>
        <w:t>penalises</w:t>
      </w:r>
      <w:proofErr w:type="spellEnd"/>
      <w:r w:rsidRPr="00381792">
        <w:rPr>
          <w:color w:val="000000"/>
          <w:kern w:val="0"/>
        </w:rPr>
        <w:t xml:space="preserve"> environments that feel unsafe for learning: research on agile teams identifies leader and team antecedents that enable psychological safety, which matters to Aether because psychologically unsafe incident response and product debates slow learning and accelerate attrition (Alami et al., 2023). Lastly, coaching potential is now a competitive advantage: a 2023 meta-analysis concludes that coaching in the work environment has a positive impact on both individual and </w:t>
      </w:r>
      <w:proofErr w:type="spellStart"/>
      <w:r w:rsidRPr="00381792">
        <w:rPr>
          <w:color w:val="000000"/>
          <w:kern w:val="0"/>
        </w:rPr>
        <w:t>organisational</w:t>
      </w:r>
      <w:proofErr w:type="spellEnd"/>
      <w:r w:rsidRPr="00381792">
        <w:rPr>
          <w:color w:val="000000"/>
          <w:kern w:val="0"/>
        </w:rPr>
        <w:t xml:space="preserve"> performance, suggesting that companies that </w:t>
      </w:r>
      <w:proofErr w:type="spellStart"/>
      <w:r w:rsidRPr="00381792">
        <w:rPr>
          <w:color w:val="000000"/>
          <w:kern w:val="0"/>
        </w:rPr>
        <w:t>professionalise</w:t>
      </w:r>
      <w:proofErr w:type="spellEnd"/>
      <w:r w:rsidRPr="00381792">
        <w:rPr>
          <w:color w:val="000000"/>
          <w:kern w:val="0"/>
        </w:rPr>
        <w:t xml:space="preserve"> coaching reduce time-to-productivity and establish better retention relationships with high potentials (Cannon-Bowers et al., 2023).</w:t>
      </w:r>
    </w:p>
    <w:p w14:paraId="346FFD46" w14:textId="77777777" w:rsidR="00B2260C" w:rsidRPr="00381792" w:rsidRDefault="00B2260C" w:rsidP="00B2260C">
      <w:pPr>
        <w:pStyle w:val="Heading2"/>
        <w:spacing w:line="360" w:lineRule="auto"/>
        <w:jc w:val="both"/>
        <w:rPr>
          <w:rFonts w:cs="Times New Roman"/>
          <w:szCs w:val="24"/>
        </w:rPr>
      </w:pPr>
      <w:bookmarkStart w:id="3" w:name="_Toc222155848"/>
      <w:r w:rsidRPr="00381792">
        <w:rPr>
          <w:rFonts w:cs="Times New Roman"/>
          <w:szCs w:val="24"/>
        </w:rPr>
        <w:t>Build vs buy talent model for Aether’s high-potential pipeline</w:t>
      </w:r>
      <w:bookmarkEnd w:id="3"/>
    </w:p>
    <w:p w14:paraId="47544524" w14:textId="77777777" w:rsidR="00FB674E" w:rsidRPr="00381792" w:rsidRDefault="00B2260C" w:rsidP="00FB674E">
      <w:pPr>
        <w:autoSpaceDE w:val="0"/>
        <w:autoSpaceDN w:val="0"/>
        <w:adjustRightInd w:val="0"/>
        <w:spacing w:line="360" w:lineRule="auto"/>
        <w:rPr>
          <w:color w:val="000000"/>
          <w:kern w:val="0"/>
        </w:rPr>
      </w:pPr>
      <w:r w:rsidRPr="00381792">
        <w:rPr>
          <w:color w:val="000000"/>
          <w:kern w:val="0"/>
        </w:rPr>
        <w:t xml:space="preserve">Aether should run build vs buy as a capability-portfolio decision grounded in strategic HRM and the resource-based view: buy only where capability is rare and time-critical for customer </w:t>
      </w:r>
      <w:r w:rsidRPr="00381792">
        <w:rPr>
          <w:color w:val="000000"/>
          <w:kern w:val="0"/>
        </w:rPr>
        <w:lastRenderedPageBreak/>
        <w:t xml:space="preserve">outcomes, and build where firm-specific knowledge and scalable learning advantage create defensible value (Boxall and Purcell, 2022). As above, each quarter, roles are </w:t>
      </w:r>
      <w:proofErr w:type="spellStart"/>
      <w:r w:rsidRPr="00381792">
        <w:rPr>
          <w:color w:val="000000"/>
          <w:kern w:val="0"/>
        </w:rPr>
        <w:t>categorised</w:t>
      </w:r>
      <w:proofErr w:type="spellEnd"/>
      <w:r w:rsidRPr="00381792">
        <w:rPr>
          <w:color w:val="000000"/>
          <w:kern w:val="0"/>
        </w:rPr>
        <w:t xml:space="preserve"> on two scales, customer-risk-of-failure and time-to-credible-proficiency and differentiated investments are made. </w:t>
      </w:r>
      <w:r w:rsidR="00FB674E" w:rsidRPr="00381792">
        <w:rPr>
          <w:color w:val="000000"/>
          <w:kern w:val="0"/>
        </w:rPr>
        <w:t xml:space="preserve">Over the next 180 days, Aether ought to purchase four roles that touch customers straight, such as a Staff+ SRE head to minimize the incident recurrence, a senior security engineer who has experience in cloud and AI threat modelling to safeguard trust, a principal product analytics leader to </w:t>
      </w:r>
      <w:proofErr w:type="spellStart"/>
      <w:r w:rsidR="00FB674E" w:rsidRPr="00381792">
        <w:rPr>
          <w:color w:val="000000"/>
          <w:kern w:val="0"/>
        </w:rPr>
        <w:t>standardise</w:t>
      </w:r>
      <w:proofErr w:type="spellEnd"/>
      <w:r w:rsidR="00FB674E" w:rsidRPr="00381792">
        <w:rPr>
          <w:color w:val="000000"/>
          <w:kern w:val="0"/>
        </w:rPr>
        <w:t xml:space="preserve"> usage-to-roadmap signal chain, and a customer success operations director to reduce incidences of workflow redundancy (Chowdhury, 2025). These are buying functions since external expertise can be immediately </w:t>
      </w:r>
      <w:proofErr w:type="spellStart"/>
      <w:r w:rsidR="00FB674E" w:rsidRPr="00381792">
        <w:rPr>
          <w:color w:val="000000"/>
          <w:kern w:val="0"/>
        </w:rPr>
        <w:t>monetised</w:t>
      </w:r>
      <w:proofErr w:type="spellEnd"/>
      <w:r w:rsidR="00FB674E" w:rsidRPr="00381792">
        <w:rPr>
          <w:color w:val="000000"/>
          <w:kern w:val="0"/>
        </w:rPr>
        <w:t xml:space="preserve"> due to better uptime, quicker root-cause recovery, and less customer escalations (</w:t>
      </w:r>
      <w:proofErr w:type="spellStart"/>
      <w:r w:rsidR="00FB674E" w:rsidRPr="00381792">
        <w:rPr>
          <w:color w:val="000000"/>
          <w:kern w:val="0"/>
        </w:rPr>
        <w:t>Zormpas</w:t>
      </w:r>
      <w:proofErr w:type="spellEnd"/>
      <w:r w:rsidR="00FB674E" w:rsidRPr="00381792">
        <w:rPr>
          <w:color w:val="000000"/>
          <w:kern w:val="0"/>
        </w:rPr>
        <w:t>, 2022). In order to reduce the potential of assimilation, allocate an external recruit a pair of internal context buddies and require them to create a deliverable within 30 days that would convert tacit know-how into reusable playbooks.</w:t>
      </w:r>
    </w:p>
    <w:p w14:paraId="06ED4056" w14:textId="77777777" w:rsidR="00FB674E" w:rsidRPr="00381792" w:rsidRDefault="00FB674E" w:rsidP="00FB674E">
      <w:pPr>
        <w:autoSpaceDE w:val="0"/>
        <w:autoSpaceDN w:val="0"/>
        <w:adjustRightInd w:val="0"/>
        <w:spacing w:line="360" w:lineRule="auto"/>
        <w:rPr>
          <w:color w:val="000000"/>
          <w:kern w:val="0"/>
        </w:rPr>
      </w:pPr>
      <w:r w:rsidRPr="00381792">
        <w:rPr>
          <w:color w:val="000000"/>
          <w:kern w:val="0"/>
        </w:rPr>
        <w:t>In the 6-18-month horizon, by creating an integrated AMO bundle, Aether needs to determine high-potential bench development in which increase in development ability, advancement in progression motivation and internal marketplace opportunity to utilize skills. Empirical evidence that implements AMO logic to the results of talent demonstrates that bundled HR practices affect retention and performance through enhancing the perceptions of capabilities and opportunities but not through standalone initiatives (Shahzad et al., 2024). System 1 is a skills based internal talent marketplace that dedicates 1020% capacity to project gigs in the areas of reliability, onboarding, product instrumentation and AI workflow redesign, as per Deloitte evidence that skills-based operating models are proliferating and that real work-based allocation is necessary to be credible (Deloitte, 2022). System 2 identification is a high-potential system grounded on calibrated reviews of talent that triangulate (quality of delivery, impact on customers), learning agility (speed to new fields), and collaboration metrics (contribution in a team cross) and are placed on a personalized development track. In System 3, a development contract, resources and schedules are bound, and development becomes audit-able so as to reduce factors of growth as part of perceived unfulfilled commitment.</w:t>
      </w:r>
    </w:p>
    <w:p w14:paraId="56C9D6F1" w14:textId="77777777" w:rsidR="00B2260C" w:rsidRPr="00381792" w:rsidRDefault="00FB674E" w:rsidP="00FB674E">
      <w:pPr>
        <w:autoSpaceDE w:val="0"/>
        <w:autoSpaceDN w:val="0"/>
        <w:adjustRightInd w:val="0"/>
        <w:spacing w:line="360" w:lineRule="auto"/>
        <w:jc w:val="both"/>
        <w:rPr>
          <w:color w:val="000000"/>
          <w:kern w:val="0"/>
        </w:rPr>
      </w:pPr>
      <w:r w:rsidRPr="00381792">
        <w:rPr>
          <w:color w:val="000000"/>
          <w:kern w:val="0"/>
        </w:rPr>
        <w:t xml:space="preserve">The throughput mechanism of build system is mentorship but that should be designed as production process. Aether will develop every high potential as triads of mentors (craft (technical depth and quality), product (customer context), and network (cross-team visibility)) with products </w:t>
      </w:r>
      <w:r w:rsidRPr="00381792">
        <w:rPr>
          <w:color w:val="000000"/>
          <w:kern w:val="0"/>
        </w:rPr>
        <w:lastRenderedPageBreak/>
        <w:t xml:space="preserve">(deliverables) (code review standards, escalation playbooks, a portfolio narrative) each month. </w:t>
      </w:r>
      <w:r w:rsidR="00E13F3A" w:rsidRPr="00381792">
        <w:rPr>
          <w:color w:val="000000"/>
          <w:kern w:val="0"/>
        </w:rPr>
        <w:t xml:space="preserve"> </w:t>
      </w:r>
      <w:r w:rsidR="00B2260C" w:rsidRPr="00381792">
        <w:rPr>
          <w:color w:val="000000"/>
          <w:kern w:val="0"/>
        </w:rPr>
        <w:t xml:space="preserve">According to a quantitative review, mentoring has a positive effect on </w:t>
      </w:r>
      <w:proofErr w:type="spellStart"/>
      <w:r w:rsidR="00B2260C" w:rsidRPr="00381792">
        <w:rPr>
          <w:color w:val="000000"/>
          <w:kern w:val="0"/>
        </w:rPr>
        <w:t>protéges</w:t>
      </w:r>
      <w:proofErr w:type="spellEnd"/>
      <w:r w:rsidR="00B2260C" w:rsidRPr="00381792">
        <w:rPr>
          <w:color w:val="000000"/>
          <w:kern w:val="0"/>
        </w:rPr>
        <w:t xml:space="preserve"> well-being by acting as a job resource that decreases strain and facilitates persistence, a factor that is directly related to retention in the high-pressure tech setting (Mann et al., 2023). To accelerate AI adoption without creating a status threat, add reverse mentoring pairs where high potentials coach leaders on AI-enabled workflows, aligned with evidence connecting reverse mentoring to downstream employee outcomes via leader </w:t>
      </w:r>
      <w:proofErr w:type="spellStart"/>
      <w:r w:rsidR="00B2260C" w:rsidRPr="00381792">
        <w:rPr>
          <w:color w:val="000000"/>
          <w:kern w:val="0"/>
        </w:rPr>
        <w:t>behaviours</w:t>
      </w:r>
      <w:proofErr w:type="spellEnd"/>
      <w:r w:rsidR="00B2260C" w:rsidRPr="00381792">
        <w:rPr>
          <w:color w:val="000000"/>
          <w:kern w:val="0"/>
        </w:rPr>
        <w:t xml:space="preserve"> (Upadhyay et al., 2024).</w:t>
      </w:r>
    </w:p>
    <w:p w14:paraId="1847C221"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The leadership directions should be clear, sufficiently quick to compete, and customer value-based. Publish 2 ladders with quarterly promotion vistas: a technical ladder (Senior, Staff, Principal) and a people ladder (Lead, Manager, Director), each having impact artifacts that are associated with customer results like reduction of incident recurrence, reduction of onboarding cycle-time, or recovery of renewal risk. Create ladders to fulfill the needs of autonomy, competence, and relatedness, since a recent workplace survey of self-determination theory associates the needs with engagement and reduced maladaptive outcomes that tend to lead to turnover (McAnally et al., 2024).</w:t>
      </w:r>
    </w:p>
    <w:p w14:paraId="13EF3905" w14:textId="77777777" w:rsidR="00E13F3A" w:rsidRPr="00381792" w:rsidRDefault="00B2260C" w:rsidP="00E13F3A">
      <w:pPr>
        <w:autoSpaceDE w:val="0"/>
        <w:autoSpaceDN w:val="0"/>
        <w:adjustRightInd w:val="0"/>
        <w:spacing w:line="360" w:lineRule="auto"/>
        <w:jc w:val="both"/>
        <w:rPr>
          <w:color w:val="000000"/>
          <w:kern w:val="0"/>
        </w:rPr>
      </w:pPr>
      <w:r w:rsidRPr="00381792">
        <w:rPr>
          <w:color w:val="000000"/>
          <w:kern w:val="0"/>
        </w:rPr>
        <w:t xml:space="preserve">Lifelong learning is to be considered as a customer-facing capability. Introduce quarterly capability sprints with a $1500/employee/year learning wallet, and the rule that each funded program results in a reusable asset: a clinic, automation, experiment template or customer playbook. </w:t>
      </w:r>
      <w:proofErr w:type="spellStart"/>
      <w:r w:rsidRPr="00381792">
        <w:rPr>
          <w:color w:val="000000"/>
          <w:kern w:val="0"/>
        </w:rPr>
        <w:t>Prioritise</w:t>
      </w:r>
      <w:proofErr w:type="spellEnd"/>
      <w:r w:rsidRPr="00381792">
        <w:rPr>
          <w:color w:val="000000"/>
          <w:kern w:val="0"/>
        </w:rPr>
        <w:t xml:space="preserve"> five clusters that map to Aether’s business failures: reliability engineering, AI-assisted development and support, product analytics and experimentation, consultative customer success, and first-time manager excellence. It is proven that the </w:t>
      </w:r>
      <w:proofErr w:type="spellStart"/>
      <w:r w:rsidRPr="00381792">
        <w:rPr>
          <w:color w:val="000000"/>
          <w:kern w:val="0"/>
        </w:rPr>
        <w:t>organisational</w:t>
      </w:r>
      <w:proofErr w:type="spellEnd"/>
      <w:r w:rsidRPr="00381792">
        <w:rPr>
          <w:color w:val="000000"/>
          <w:kern w:val="0"/>
        </w:rPr>
        <w:t xml:space="preserve"> culture of learning enhances the results whenever the learning is intertwined with innovation and the employees are able to use skills fast; that is why sprints have to be associated with real work and customer metrics (Tripathi et al., 2024). Engagement effects should be reinforced through empowerment and reciprocity, because recent talent management evidence links empowerment to stronger engagement and commitment, supporting retention and performance (Menezes et al., 2025)</w:t>
      </w:r>
      <w:r w:rsidR="00E13F3A" w:rsidRPr="00381792">
        <w:rPr>
          <w:color w:val="000000"/>
          <w:kern w:val="0"/>
        </w:rPr>
        <w:t>.</w:t>
      </w:r>
    </w:p>
    <w:p w14:paraId="5B6B1DCD" w14:textId="77777777" w:rsidR="00E13F3A" w:rsidRPr="00381792" w:rsidRDefault="00E13F3A" w:rsidP="00381792">
      <w:pPr>
        <w:spacing w:line="360" w:lineRule="auto"/>
        <w:jc w:val="both"/>
      </w:pPr>
      <w:r w:rsidRPr="00381792">
        <w:t xml:space="preserve">The governance closes the ecosystem. Establish a monthly Talent Ecosystem Council, led by COO and Head of People and review 3 dashboards: customer leading indicators (escalations, time-to-resolution, onboarding time), talent flow (internal moves, time-to-fill buy roles, regretted attrition), and capability proof (skill verification rates in the five clusters). Goal two-quarter: reduce regret </w:t>
      </w:r>
      <w:r w:rsidRPr="00381792">
        <w:lastRenderedPageBreak/>
        <w:t xml:space="preserve">attrition by 8 points, first-response speed by 30, and release stability by 20 percent by reducing repeat incidents. The use of buy-hires is recommended when the capability difference is of customer importance, and internal time-to-capability is unacceptable service risk, and build investments when capability is strategic and is </w:t>
      </w:r>
      <w:proofErr w:type="spellStart"/>
      <w:r w:rsidRPr="00381792">
        <w:t>scaleable</w:t>
      </w:r>
      <w:proofErr w:type="spellEnd"/>
      <w:r w:rsidRPr="00381792">
        <w:t xml:space="preserve"> internally. This is consistent with the contemporary strategic talent management principles that reside on the continued alignment between the business strategy, decisions to supply talent and the investments to develop the talent amidst volatility (Greene, 2020). Provided carried through, Aether competes on observable opportunity, expedited learning and plausible leadership futures, the ecosystem currencies that retain promising talent.</w:t>
      </w:r>
    </w:p>
    <w:p w14:paraId="37632906" w14:textId="77777777" w:rsidR="00B2260C" w:rsidRPr="00381792" w:rsidRDefault="00B2260C" w:rsidP="00B2260C">
      <w:pPr>
        <w:pStyle w:val="Heading1"/>
        <w:spacing w:line="360" w:lineRule="auto"/>
        <w:jc w:val="both"/>
        <w:rPr>
          <w:rFonts w:cs="Times New Roman"/>
          <w:szCs w:val="24"/>
        </w:rPr>
      </w:pPr>
      <w:bookmarkStart w:id="4" w:name="_Toc222155849"/>
      <w:r w:rsidRPr="00381792">
        <w:rPr>
          <w:rFonts w:cs="Times New Roman"/>
          <w:szCs w:val="24"/>
        </w:rPr>
        <w:t>Conclusion</w:t>
      </w:r>
      <w:bookmarkEnd w:id="4"/>
    </w:p>
    <w:p w14:paraId="7229A611" w14:textId="77777777" w:rsidR="001B7210" w:rsidRPr="00381792" w:rsidRDefault="00FB674E" w:rsidP="00FB674E">
      <w:pPr>
        <w:spacing w:line="360" w:lineRule="auto"/>
        <w:jc w:val="both"/>
        <w:rPr>
          <w:rFonts w:eastAsiaTheme="majorEastAsia"/>
          <w:b/>
          <w:color w:val="000000" w:themeColor="text1"/>
        </w:rPr>
      </w:pPr>
      <w:r w:rsidRPr="00381792">
        <w:rPr>
          <w:color w:val="000000"/>
          <w:kern w:val="0"/>
        </w:rPr>
        <w:t xml:space="preserve">Aether remedies its turnover and customer downfall as a single system: supply of capabilities, leadership </w:t>
      </w:r>
      <w:proofErr w:type="spellStart"/>
      <w:r w:rsidRPr="00381792">
        <w:rPr>
          <w:color w:val="000000"/>
          <w:kern w:val="0"/>
        </w:rPr>
        <w:t>behaviour</w:t>
      </w:r>
      <w:proofErr w:type="spellEnd"/>
      <w:r w:rsidRPr="00381792">
        <w:rPr>
          <w:color w:val="000000"/>
          <w:kern w:val="0"/>
        </w:rPr>
        <w:t xml:space="preserve"> and customer outcomes. The suggested talent ecosystem </w:t>
      </w:r>
      <w:proofErr w:type="spellStart"/>
      <w:r w:rsidRPr="00381792">
        <w:rPr>
          <w:color w:val="000000"/>
          <w:kern w:val="0"/>
        </w:rPr>
        <w:t>stabilises</w:t>
      </w:r>
      <w:proofErr w:type="spellEnd"/>
      <w:r w:rsidRPr="00381792">
        <w:rPr>
          <w:color w:val="000000"/>
          <w:kern w:val="0"/>
        </w:rPr>
        <w:t xml:space="preserve"> the performance in a short time with focused buys in externally-relevant positions and provides a sustained edge through transforming internal potential into a viable capability through a skills marketplace, highly engineered mentorship, open dual career ladders, and learning sprints based on customer metrics. Through council government and targets, Aether will be able to revive participation, fast-track innovation delivery, and elevate customer satisfaction.</w:t>
      </w:r>
      <w:r w:rsidR="001B7210" w:rsidRPr="00381792">
        <w:br w:type="page"/>
      </w:r>
    </w:p>
    <w:p w14:paraId="42D4C0AE" w14:textId="77777777" w:rsidR="00B2260C" w:rsidRPr="00381792" w:rsidRDefault="00B2260C" w:rsidP="00B2260C">
      <w:pPr>
        <w:pStyle w:val="Heading1"/>
        <w:spacing w:line="360" w:lineRule="auto"/>
        <w:jc w:val="both"/>
        <w:rPr>
          <w:rFonts w:cs="Times New Roman"/>
          <w:szCs w:val="24"/>
        </w:rPr>
      </w:pPr>
      <w:bookmarkStart w:id="5" w:name="_Toc222155850"/>
      <w:r w:rsidRPr="00381792">
        <w:rPr>
          <w:rFonts w:cs="Times New Roman"/>
          <w:szCs w:val="24"/>
        </w:rPr>
        <w:lastRenderedPageBreak/>
        <w:t>Part 2: Reflection</w:t>
      </w:r>
      <w:bookmarkEnd w:id="5"/>
    </w:p>
    <w:p w14:paraId="76F09944" w14:textId="77777777" w:rsidR="00B2260C" w:rsidRPr="00381792" w:rsidRDefault="00B2260C" w:rsidP="00B2260C">
      <w:pPr>
        <w:pStyle w:val="Heading1"/>
        <w:spacing w:line="360" w:lineRule="auto"/>
        <w:jc w:val="both"/>
        <w:rPr>
          <w:rFonts w:cs="Times New Roman"/>
          <w:szCs w:val="24"/>
        </w:rPr>
      </w:pPr>
      <w:bookmarkStart w:id="6" w:name="_Toc222155851"/>
      <w:r w:rsidRPr="00381792">
        <w:rPr>
          <w:rFonts w:cs="Times New Roman"/>
          <w:szCs w:val="24"/>
        </w:rPr>
        <w:t>Reflection using Kolb’s model: building my personal L&amp;D baseline for innovation and growth mindset</w:t>
      </w:r>
      <w:bookmarkEnd w:id="6"/>
    </w:p>
    <w:p w14:paraId="0734BF8A"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 xml:space="preserve">My learning journey in Human Capital Management shifted from treating HR as policy execution to treating it as an operating system for </w:t>
      </w:r>
      <w:proofErr w:type="spellStart"/>
      <w:r w:rsidRPr="00381792">
        <w:rPr>
          <w:color w:val="000000"/>
          <w:kern w:val="0"/>
        </w:rPr>
        <w:t>organisational</w:t>
      </w:r>
      <w:proofErr w:type="spellEnd"/>
      <w:r w:rsidRPr="00381792">
        <w:rPr>
          <w:color w:val="000000"/>
          <w:kern w:val="0"/>
        </w:rPr>
        <w:t xml:space="preserve"> capability. </w:t>
      </w:r>
      <w:r w:rsidR="001B7210" w:rsidRPr="00381792">
        <w:rPr>
          <w:color w:val="000000"/>
          <w:kern w:val="0"/>
        </w:rPr>
        <w:t xml:space="preserve">This reflection is structured by applying Kolb’s reflective model. </w:t>
      </w:r>
    </w:p>
    <w:p w14:paraId="0DA4D219" w14:textId="77777777" w:rsidR="001B7210" w:rsidRPr="00381792" w:rsidRDefault="001B7210" w:rsidP="001B7210">
      <w:pPr>
        <w:keepNext/>
        <w:autoSpaceDE w:val="0"/>
        <w:autoSpaceDN w:val="0"/>
        <w:adjustRightInd w:val="0"/>
        <w:spacing w:line="360" w:lineRule="auto"/>
        <w:jc w:val="center"/>
      </w:pPr>
      <w:r w:rsidRPr="00381792">
        <w:fldChar w:fldCharType="begin"/>
      </w:r>
      <w:r w:rsidRPr="00381792">
        <w:instrText xml:space="preserve"> INCLUDEPICTURE "https://www.medical-interviews.co.uk/blog/wp-content/uploads/2019/03/kolb-experiential-model-cycle.png" \* MERGEFORMATINET </w:instrText>
      </w:r>
      <w:r w:rsidRPr="00381792">
        <w:fldChar w:fldCharType="separate"/>
      </w:r>
      <w:r w:rsidRPr="00381792">
        <w:rPr>
          <w:noProof/>
        </w:rPr>
        <w:drawing>
          <wp:inline distT="0" distB="0" distL="0" distR="0" wp14:anchorId="30E32F6C" wp14:editId="169F006D">
            <wp:extent cx="4477238" cy="3437511"/>
            <wp:effectExtent l="12700" t="12700" r="19050" b="17145"/>
            <wp:docPr id="334576840" name="Picture 4" descr="The Benefits of Experiential Learning and Kolb's Learning Cycle for Training  – ISC Med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nefits of Experiential Learning and Kolb's Learning Cycle for Training  – ISC Medic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79360" cy="3439140"/>
                    </a:xfrm>
                    <a:prstGeom prst="rect">
                      <a:avLst/>
                    </a:prstGeom>
                    <a:noFill/>
                    <a:ln>
                      <a:solidFill>
                        <a:schemeClr val="tx1"/>
                      </a:solidFill>
                    </a:ln>
                  </pic:spPr>
                </pic:pic>
              </a:graphicData>
            </a:graphic>
          </wp:inline>
        </w:drawing>
      </w:r>
      <w:r w:rsidRPr="00381792">
        <w:fldChar w:fldCharType="end"/>
      </w:r>
    </w:p>
    <w:p w14:paraId="071CCF12" w14:textId="77777777" w:rsidR="001B7210" w:rsidRPr="00381792" w:rsidRDefault="001B7210" w:rsidP="001B7210">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Pr="00381792">
        <w:rPr>
          <w:b/>
          <w:bCs/>
          <w:noProof/>
        </w:rPr>
        <w:t>4</w:t>
      </w:r>
      <w:r w:rsidRPr="00381792">
        <w:rPr>
          <w:b/>
          <w:bCs/>
        </w:rPr>
        <w:fldChar w:fldCharType="end"/>
      </w:r>
      <w:r w:rsidRPr="00381792">
        <w:rPr>
          <w:b/>
          <w:bCs/>
        </w:rPr>
        <w:t>: Kolb's reflective model</w:t>
      </w:r>
    </w:p>
    <w:p w14:paraId="77408BAD" w14:textId="77777777" w:rsidR="00FB674E" w:rsidRPr="00381792" w:rsidRDefault="00FB674E" w:rsidP="00FB674E">
      <w:pPr>
        <w:autoSpaceDE w:val="0"/>
        <w:autoSpaceDN w:val="0"/>
        <w:adjustRightInd w:val="0"/>
        <w:spacing w:line="360" w:lineRule="auto"/>
        <w:rPr>
          <w:color w:val="000000"/>
          <w:kern w:val="0"/>
        </w:rPr>
      </w:pPr>
      <w:r w:rsidRPr="00381792">
        <w:rPr>
          <w:b/>
          <w:bCs/>
          <w:color w:val="000000"/>
          <w:kern w:val="0"/>
        </w:rPr>
        <w:t xml:space="preserve">Concrete experience: </w:t>
      </w:r>
      <w:r w:rsidRPr="00381792">
        <w:rPr>
          <w:color w:val="000000"/>
          <w:kern w:val="0"/>
        </w:rPr>
        <w:t xml:space="preserve">The most important moment was the process of outsourcing debate and the discussion regarding the line-manager HR delivery as I was already thinking that once the HR services are moved under the shared services the consistency is enhanced automatically. I was defensive in the debate, making the argument of efficiency in the favor of outsourcing and got lost after posing the question of how </w:t>
      </w:r>
      <w:proofErr w:type="spellStart"/>
      <w:r w:rsidRPr="00381792">
        <w:rPr>
          <w:color w:val="000000"/>
          <w:kern w:val="0"/>
        </w:rPr>
        <w:t>standardisation</w:t>
      </w:r>
      <w:proofErr w:type="spellEnd"/>
      <w:r w:rsidRPr="00381792">
        <w:rPr>
          <w:color w:val="000000"/>
          <w:kern w:val="0"/>
        </w:rPr>
        <w:t xml:space="preserve"> of services can dilute the contextual decision in the performance management and staff relation. The fact that friction turned into a live trial of hard versus soft HRM as a design slim versus a moral one, since the hardest of the control tools can be used to defend cost and compliance, whereas the softest of the commitment tools may offer a defense effort, trust, and knowledge.</w:t>
      </w:r>
    </w:p>
    <w:p w14:paraId="023B5726" w14:textId="77777777" w:rsidR="00FB674E" w:rsidRPr="00381792" w:rsidRDefault="00FB674E" w:rsidP="00FB674E">
      <w:pPr>
        <w:autoSpaceDE w:val="0"/>
        <w:autoSpaceDN w:val="0"/>
        <w:adjustRightInd w:val="0"/>
        <w:spacing w:line="360" w:lineRule="auto"/>
        <w:rPr>
          <w:color w:val="000000"/>
          <w:kern w:val="0"/>
        </w:rPr>
      </w:pPr>
      <w:r w:rsidRPr="00381792">
        <w:rPr>
          <w:color w:val="000000"/>
          <w:kern w:val="0"/>
        </w:rPr>
        <w:lastRenderedPageBreak/>
        <w:t>Reflective observation: I observed that I would rush to neat frameworks and underestimate the implementation dynamics particularly the political reality that line managers can be hostile to the HR duties when incentives, time and ability are mismatched. The recent HRM literature explains that, although the HR systems are well-designed to ensure success, they will fail when these are not implemented by managers throughout, and when they are perceived by the employees as intermittent or unjustified, which helped me to understand that the role of capability-building to be taken in the case of the mentioned good HR system must also include the HR delivery chain rather than the HR policy-design creation (Yu et al., 2025).</w:t>
      </w:r>
    </w:p>
    <w:p w14:paraId="398B047A" w14:textId="77777777" w:rsidR="00B2260C" w:rsidRPr="00381792" w:rsidRDefault="00FB674E" w:rsidP="00FB674E">
      <w:pPr>
        <w:autoSpaceDE w:val="0"/>
        <w:autoSpaceDN w:val="0"/>
        <w:adjustRightInd w:val="0"/>
        <w:spacing w:line="360" w:lineRule="auto"/>
        <w:jc w:val="both"/>
        <w:rPr>
          <w:color w:val="000000"/>
          <w:kern w:val="0"/>
        </w:rPr>
      </w:pPr>
      <w:r w:rsidRPr="00381792">
        <w:rPr>
          <w:b/>
          <w:bCs/>
          <w:color w:val="000000"/>
          <w:kern w:val="0"/>
        </w:rPr>
        <w:t xml:space="preserve">Abstract </w:t>
      </w:r>
      <w:proofErr w:type="spellStart"/>
      <w:r w:rsidRPr="00381792">
        <w:rPr>
          <w:b/>
          <w:bCs/>
          <w:color w:val="000000"/>
          <w:kern w:val="0"/>
        </w:rPr>
        <w:t>conceptualisation</w:t>
      </w:r>
      <w:proofErr w:type="spellEnd"/>
      <w:r w:rsidRPr="00381792">
        <w:rPr>
          <w:b/>
          <w:bCs/>
          <w:color w:val="000000"/>
          <w:kern w:val="0"/>
        </w:rPr>
        <w:t xml:space="preserve">: </w:t>
      </w:r>
      <w:r w:rsidRPr="00381792">
        <w:rPr>
          <w:color w:val="000000"/>
          <w:kern w:val="0"/>
        </w:rPr>
        <w:t>I re-mapped the modules models on to one logic, which I can apply to my own development which is fit. The Michigan matching model helped me focus more on vertical alignment between strategy, structure and HR decisions where the Harvard model made me consider the stakeholders and long-term outcomes as constraints in the design instead of an afterthought, particularly in retention and customer outcomes (</w:t>
      </w:r>
      <w:proofErr w:type="spellStart"/>
      <w:r w:rsidRPr="00381792">
        <w:rPr>
          <w:color w:val="000000"/>
          <w:kern w:val="0"/>
        </w:rPr>
        <w:t>Dipoatmodjo</w:t>
      </w:r>
      <w:proofErr w:type="spellEnd"/>
      <w:r w:rsidRPr="00381792">
        <w:rPr>
          <w:color w:val="000000"/>
          <w:kern w:val="0"/>
        </w:rPr>
        <w:t xml:space="preserve">, 2024). The model used by the guest allowed me to transform the HR architecture into testable results including commitment, flexibility and quality. The most beneficial aspect that occurred is that I have now learned to approach every model as a diagnosis, I can become rather than a doctrine to follow. The 2024 review on strategic HRM highlights that contextual fit, complementarities between practices and the ability of the </w:t>
      </w:r>
      <w:proofErr w:type="spellStart"/>
      <w:r w:rsidRPr="00381792">
        <w:rPr>
          <w:color w:val="000000"/>
          <w:kern w:val="0"/>
        </w:rPr>
        <w:t>organisation</w:t>
      </w:r>
      <w:proofErr w:type="spellEnd"/>
      <w:r w:rsidRPr="00381792">
        <w:rPr>
          <w:color w:val="000000"/>
          <w:kern w:val="0"/>
        </w:rPr>
        <w:t xml:space="preserve"> to deliver are important elements of HR effectiveness, something that provided me with a strict mean of explaining why a </w:t>
      </w:r>
      <w:proofErr w:type="spellStart"/>
      <w:r w:rsidRPr="00381792">
        <w:rPr>
          <w:color w:val="000000"/>
          <w:kern w:val="0"/>
        </w:rPr>
        <w:t>practise</w:t>
      </w:r>
      <w:proofErr w:type="spellEnd"/>
      <w:r w:rsidRPr="00381792">
        <w:rPr>
          <w:color w:val="000000"/>
          <w:kern w:val="0"/>
        </w:rPr>
        <w:t xml:space="preserve"> that seems to be a best fit in one </w:t>
      </w:r>
      <w:proofErr w:type="spellStart"/>
      <w:r w:rsidRPr="00381792">
        <w:rPr>
          <w:color w:val="000000"/>
          <w:kern w:val="0"/>
        </w:rPr>
        <w:t>organisation</w:t>
      </w:r>
      <w:proofErr w:type="spellEnd"/>
      <w:r w:rsidRPr="00381792">
        <w:rPr>
          <w:color w:val="000000"/>
          <w:kern w:val="0"/>
        </w:rPr>
        <w:t xml:space="preserve"> will not work in a different economic environment (Song, 2024). Besides, the role framework as illuminated by Ulrich fell differently upon me following the module: now I view the role of HRs as ability requisites my part, i.e., I need to have the capability to shift between credible activist and strategic positioning, depending on the business question, and not to mix relationship-building and impact. </w:t>
      </w:r>
      <w:r w:rsidR="00B2260C" w:rsidRPr="00381792">
        <w:rPr>
          <w:color w:val="000000"/>
          <w:kern w:val="0"/>
        </w:rPr>
        <w:t>Evidence on HR roles and value creation argues that HR credibility is earned when HR produces measurable business outcomes while also improving employee experience, which I used as a standard for my own learning goals (Ásványi, 2022).</w:t>
      </w:r>
    </w:p>
    <w:p w14:paraId="25379497" w14:textId="77777777" w:rsidR="00B2260C" w:rsidRPr="00381792" w:rsidRDefault="00B2260C" w:rsidP="00B2260C">
      <w:pPr>
        <w:autoSpaceDE w:val="0"/>
        <w:autoSpaceDN w:val="0"/>
        <w:adjustRightInd w:val="0"/>
        <w:spacing w:line="360" w:lineRule="auto"/>
        <w:jc w:val="both"/>
        <w:rPr>
          <w:color w:val="000000"/>
          <w:kern w:val="0"/>
        </w:rPr>
      </w:pPr>
      <w:r w:rsidRPr="00381792">
        <w:rPr>
          <w:b/>
          <w:bCs/>
          <w:color w:val="000000"/>
          <w:kern w:val="0"/>
        </w:rPr>
        <w:t>Active experimentation:</w:t>
      </w:r>
      <w:r w:rsidRPr="00381792">
        <w:rPr>
          <w:color w:val="000000"/>
          <w:kern w:val="0"/>
        </w:rPr>
        <w:t xml:space="preserve"> I developed an individual L&amp;D strategy that I could operate as 12-week cycle and repeat. One is that I will keep a weekly research-to-practice brief, in which I will pick one lesson of higher scholarship and translate it into a small experiment that I can perform, e.g. redesigning an appraisal conversation guide or experimenting with a small internal mobility process. Second, I will build an evidence habit by using critical appraisal tools from the module: </w:t>
      </w:r>
      <w:r w:rsidRPr="00381792">
        <w:rPr>
          <w:color w:val="000000"/>
          <w:kern w:val="0"/>
        </w:rPr>
        <w:lastRenderedPageBreak/>
        <w:t xml:space="preserve">for every claim I make about HR policy, I will specify the mechanism, boundary conditions, and the metric. Third, I will cultivate a growth mindset in myself through deliberate error analysis rather than motivational slogans: after each HR decision simulation or workplace case, I will write a two-part note, “What I assumed” and “What the system did”, then update my mental model. A 2023 management education study based on the ideas of experiential learning indicates that learning becomes more profound when reflection is </w:t>
      </w:r>
      <w:proofErr w:type="spellStart"/>
      <w:r w:rsidRPr="00381792">
        <w:rPr>
          <w:color w:val="000000"/>
          <w:kern w:val="0"/>
        </w:rPr>
        <w:t>organised</w:t>
      </w:r>
      <w:proofErr w:type="spellEnd"/>
      <w:r w:rsidRPr="00381792">
        <w:rPr>
          <w:color w:val="000000"/>
          <w:kern w:val="0"/>
        </w:rPr>
        <w:t xml:space="preserve"> and associated with the next action, which I intend to implement by thinking of reflection as a decision support tool, not a diary entry (</w:t>
      </w:r>
      <w:proofErr w:type="spellStart"/>
      <w:r w:rsidRPr="00381792">
        <w:rPr>
          <w:color w:val="000000"/>
          <w:kern w:val="0"/>
        </w:rPr>
        <w:t>Tembrevilla</w:t>
      </w:r>
      <w:proofErr w:type="spellEnd"/>
      <w:r w:rsidRPr="00381792">
        <w:rPr>
          <w:color w:val="000000"/>
          <w:kern w:val="0"/>
        </w:rPr>
        <w:t xml:space="preserve"> et al., 2024).</w:t>
      </w:r>
    </w:p>
    <w:p w14:paraId="604C2E49"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 xml:space="preserve">Lastly, I will incorporate innovative </w:t>
      </w:r>
      <w:proofErr w:type="spellStart"/>
      <w:r w:rsidRPr="00381792">
        <w:rPr>
          <w:color w:val="000000"/>
          <w:kern w:val="0"/>
        </w:rPr>
        <w:t>behaviours</w:t>
      </w:r>
      <w:proofErr w:type="spellEnd"/>
      <w:r w:rsidRPr="00381792">
        <w:rPr>
          <w:color w:val="000000"/>
          <w:kern w:val="0"/>
        </w:rPr>
        <w:t xml:space="preserve"> into my daily practice by committing to do a small-bet practice one month at a time: I will run one micro-pilot every one month, with a hypothesis, stakeholder mapping and stop rules. Recent studies regarding climate in learning suggest that the innovation process hinges on whether people feel psychologically safe to experiment, fail and repeat and therefore my strategy will be to actively seek peer and mentor feedback as a </w:t>
      </w:r>
      <w:proofErr w:type="spellStart"/>
      <w:r w:rsidRPr="00381792">
        <w:rPr>
          <w:color w:val="000000"/>
          <w:kern w:val="0"/>
        </w:rPr>
        <w:t>normalisation</w:t>
      </w:r>
      <w:proofErr w:type="spellEnd"/>
      <w:r w:rsidRPr="00381792">
        <w:rPr>
          <w:color w:val="000000"/>
          <w:kern w:val="0"/>
        </w:rPr>
        <w:t xml:space="preserve"> of iteration (Frazier et al., 2022). This provides me a baseline L&amp;D system that is personal, measurable, and aligned to the module’s outcomes: critical appraisal, strategic HR design, and fair implementation.</w:t>
      </w:r>
    </w:p>
    <w:p w14:paraId="659880A8" w14:textId="77777777" w:rsidR="00B2260C" w:rsidRPr="00381792" w:rsidRDefault="00B2260C" w:rsidP="00B2260C">
      <w:pPr>
        <w:pStyle w:val="Heading2"/>
        <w:spacing w:line="360" w:lineRule="auto"/>
        <w:jc w:val="both"/>
        <w:rPr>
          <w:rFonts w:cs="Times New Roman"/>
          <w:szCs w:val="24"/>
        </w:rPr>
      </w:pPr>
      <w:bookmarkStart w:id="7" w:name="_Toc222155852"/>
      <w:r w:rsidRPr="00381792">
        <w:rPr>
          <w:rFonts w:cs="Times New Roman"/>
          <w:szCs w:val="24"/>
        </w:rPr>
        <w:t xml:space="preserve">Staying relevant in an AI-shaped </w:t>
      </w:r>
      <w:proofErr w:type="spellStart"/>
      <w:r w:rsidRPr="00381792">
        <w:rPr>
          <w:rFonts w:cs="Times New Roman"/>
          <w:szCs w:val="24"/>
        </w:rPr>
        <w:t>labour</w:t>
      </w:r>
      <w:proofErr w:type="spellEnd"/>
      <w:r w:rsidRPr="00381792">
        <w:rPr>
          <w:rFonts w:cs="Times New Roman"/>
          <w:szCs w:val="24"/>
        </w:rPr>
        <w:t xml:space="preserve"> market: using AI without being replaced by it</w:t>
      </w:r>
      <w:bookmarkEnd w:id="7"/>
    </w:p>
    <w:p w14:paraId="268C9A94"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To remain relevant, I intend to make myself less replaceable by developing a human advantage of judgement, stakeholder influence, and ethical governance and compressing low-value work using AI to do it. I will use AI for drafting HR artifacts (policy first drafts, interview guides, competency descriptors), pattern detection (</w:t>
      </w:r>
      <w:proofErr w:type="spellStart"/>
      <w:r w:rsidRPr="00381792">
        <w:rPr>
          <w:color w:val="000000"/>
          <w:kern w:val="0"/>
        </w:rPr>
        <w:t>summarising</w:t>
      </w:r>
      <w:proofErr w:type="spellEnd"/>
      <w:r w:rsidRPr="00381792">
        <w:rPr>
          <w:color w:val="000000"/>
          <w:kern w:val="0"/>
        </w:rPr>
        <w:t xml:space="preserve"> survey comments and exit themes), and scenario modelling (testing how a policy change might create unintended incentives). Decisions made that need legitimacy, contestability, or moral reasoning, e.g. performance calibration, disciplinary recommendations, and sensitive employee relations, will not be outsourced. The productivity gains achieved in the study of generative AI in knowledge work have demonstrated to be greatest when AI tools facilitate task execution, though the value and risk depend on the human validation of outputs and the use of context-dependent judgement (Brynjolfsson et al., 2023). I will also defend my employability by enhancing the skills in workforce analytics literacy, change leadership, and human-AI governance, as the occupational exposure to LLM studies indicates that the tasks are </w:t>
      </w:r>
      <w:r w:rsidRPr="00381792">
        <w:rPr>
          <w:color w:val="000000"/>
          <w:kern w:val="0"/>
        </w:rPr>
        <w:lastRenderedPageBreak/>
        <w:t>restructured, but not eliminated, and the value is redirected to orchestration, evaluation, and accountability (Eloundou et al., 2023).</w:t>
      </w:r>
    </w:p>
    <w:p w14:paraId="7B12E8AB" w14:textId="77777777" w:rsidR="00B2260C" w:rsidRPr="00381792" w:rsidRDefault="00B2260C" w:rsidP="00B2260C">
      <w:pPr>
        <w:autoSpaceDE w:val="0"/>
        <w:autoSpaceDN w:val="0"/>
        <w:adjustRightInd w:val="0"/>
        <w:spacing w:line="360" w:lineRule="auto"/>
        <w:jc w:val="both"/>
        <w:rPr>
          <w:color w:val="000000"/>
          <w:kern w:val="0"/>
        </w:rPr>
      </w:pPr>
    </w:p>
    <w:p w14:paraId="1F74DE36" w14:textId="77777777" w:rsidR="001B7210" w:rsidRPr="00381792" w:rsidRDefault="001B7210">
      <w:pPr>
        <w:rPr>
          <w:rFonts w:eastAsiaTheme="majorEastAsia"/>
          <w:b/>
          <w:color w:val="000000" w:themeColor="text1"/>
        </w:rPr>
      </w:pPr>
      <w:r w:rsidRPr="00381792">
        <w:br w:type="page"/>
      </w:r>
    </w:p>
    <w:p w14:paraId="617D7B48" w14:textId="77777777" w:rsidR="00B2260C" w:rsidRPr="00381792" w:rsidRDefault="00B2260C" w:rsidP="00B2260C">
      <w:pPr>
        <w:pStyle w:val="Heading1"/>
        <w:spacing w:line="360" w:lineRule="auto"/>
        <w:jc w:val="both"/>
        <w:rPr>
          <w:rFonts w:cs="Times New Roman"/>
          <w:szCs w:val="24"/>
        </w:rPr>
      </w:pPr>
      <w:bookmarkStart w:id="8" w:name="_Toc222155853"/>
      <w:r w:rsidRPr="00381792">
        <w:rPr>
          <w:rFonts w:cs="Times New Roman"/>
          <w:szCs w:val="24"/>
        </w:rPr>
        <w:lastRenderedPageBreak/>
        <w:t>References</w:t>
      </w:r>
      <w:bookmarkEnd w:id="8"/>
    </w:p>
    <w:p w14:paraId="25EF65CE"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Alami, A., Zahedi, M., and </w:t>
      </w:r>
      <w:proofErr w:type="spellStart"/>
      <w:r w:rsidRPr="00381792">
        <w:rPr>
          <w:color w:val="000000"/>
          <w:kern w:val="0"/>
        </w:rPr>
        <w:t>Krancher</w:t>
      </w:r>
      <w:proofErr w:type="spellEnd"/>
      <w:r w:rsidRPr="00381792">
        <w:rPr>
          <w:color w:val="000000"/>
          <w:kern w:val="0"/>
        </w:rPr>
        <w:t>, O. (2023). Antecedents of psychological safety in agile software development teams. </w:t>
      </w:r>
      <w:r w:rsidRPr="00381792">
        <w:rPr>
          <w:i/>
          <w:iCs/>
          <w:color w:val="000000"/>
          <w:kern w:val="0"/>
        </w:rPr>
        <w:t>Information and Software Technology</w:t>
      </w:r>
      <w:r w:rsidRPr="00381792">
        <w:rPr>
          <w:color w:val="000000"/>
          <w:kern w:val="0"/>
        </w:rPr>
        <w:t>, </w:t>
      </w:r>
      <w:r w:rsidRPr="00381792">
        <w:rPr>
          <w:i/>
          <w:iCs/>
          <w:color w:val="000000"/>
          <w:kern w:val="0"/>
        </w:rPr>
        <w:t>162</w:t>
      </w:r>
      <w:r w:rsidRPr="00381792">
        <w:rPr>
          <w:color w:val="000000"/>
          <w:kern w:val="0"/>
        </w:rPr>
        <w:t>, 107267.</w:t>
      </w:r>
    </w:p>
    <w:p w14:paraId="6C2151D8"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1A1A1A"/>
          <w:kern w:val="0"/>
        </w:rPr>
        <w:t>Ásványi, Z. (2022). Strategic Human Resource Management.</w:t>
      </w:r>
    </w:p>
    <w:p w14:paraId="554DCCA5"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Aydinliyim, L. E., and Somaya, D. (2026). Employee mobility barriers: An integrative review across careers, human resources, and strategic management research. </w:t>
      </w:r>
      <w:r w:rsidRPr="00381792">
        <w:rPr>
          <w:i/>
          <w:iCs/>
          <w:color w:val="000000"/>
          <w:kern w:val="0"/>
        </w:rPr>
        <w:t>Journal of Management</w:t>
      </w:r>
      <w:r w:rsidRPr="00381792">
        <w:rPr>
          <w:color w:val="000000"/>
          <w:kern w:val="0"/>
        </w:rPr>
        <w:t>, </w:t>
      </w:r>
      <w:r w:rsidRPr="00381792">
        <w:rPr>
          <w:i/>
          <w:iCs/>
          <w:color w:val="000000"/>
          <w:kern w:val="0"/>
        </w:rPr>
        <w:t>52</w:t>
      </w:r>
      <w:r w:rsidRPr="00381792">
        <w:rPr>
          <w:color w:val="000000"/>
          <w:kern w:val="0"/>
        </w:rPr>
        <w:t>(1), 221-254.</w:t>
      </w:r>
    </w:p>
    <w:p w14:paraId="24B0B57A"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Boxall, P., and Purcell, J. (2022). Strategy and human resource management. Bloomsbury Publishing.</w:t>
      </w:r>
    </w:p>
    <w:p w14:paraId="2A2ED380"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Brynjolfsson, E., Li, D., and Raymond, L. R. (2023). Generative AI at Work (Working Paper Series).</w:t>
      </w:r>
    </w:p>
    <w:p w14:paraId="6174A898" w14:textId="77777777" w:rsidR="00B2260C" w:rsidRPr="00381792" w:rsidRDefault="00B2260C" w:rsidP="00B2260C">
      <w:pPr>
        <w:autoSpaceDE w:val="0"/>
        <w:autoSpaceDN w:val="0"/>
        <w:adjustRightInd w:val="0"/>
        <w:spacing w:after="240" w:line="360" w:lineRule="auto"/>
        <w:ind w:left="630" w:hanging="630"/>
        <w:jc w:val="both"/>
        <w:rPr>
          <w:i/>
          <w:iCs/>
          <w:color w:val="000000"/>
          <w:kern w:val="0"/>
        </w:rPr>
      </w:pPr>
      <w:r w:rsidRPr="00381792">
        <w:rPr>
          <w:color w:val="000000"/>
          <w:kern w:val="0"/>
        </w:rPr>
        <w:t xml:space="preserve">Bureau of Labor Statistics (BLS). (2026). </w:t>
      </w:r>
      <w:r w:rsidRPr="00381792">
        <w:rPr>
          <w:i/>
          <w:iCs/>
          <w:color w:val="000000"/>
          <w:kern w:val="0"/>
        </w:rPr>
        <w:t>Job Openings and Labor Turnover – December 2025 (JOLTS news release, PDF).</w:t>
      </w:r>
      <w:r w:rsidRPr="00381792">
        <w:rPr>
          <w:color w:val="000000"/>
          <w:kern w:val="0"/>
        </w:rPr>
        <w:t xml:space="preserve"> </w:t>
      </w:r>
      <w:hyperlink r:id="rId12" w:history="1">
        <w:r w:rsidRPr="00381792">
          <w:rPr>
            <w:color w:val="0000E9"/>
            <w:kern w:val="0"/>
            <w:u w:val="single" w:color="0000E9"/>
          </w:rPr>
          <w:t>https://www.bls.gov/news.release/pdf/jolts.pdf</w:t>
        </w:r>
      </w:hyperlink>
    </w:p>
    <w:p w14:paraId="5374B9EA"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Cannon-Bowers, J. A., Bowers, C. A., Carlson, C. E., Doherty, S. L., Evans, J., and Hall, J. (2023). Workplace coaching: a meta-analysis and recommendations for advancing the science of coaching. </w:t>
      </w:r>
      <w:r w:rsidRPr="00381792">
        <w:rPr>
          <w:i/>
          <w:iCs/>
          <w:color w:val="000000"/>
          <w:kern w:val="0"/>
        </w:rPr>
        <w:t>Frontiers in psychology</w:t>
      </w:r>
      <w:r w:rsidRPr="00381792">
        <w:rPr>
          <w:color w:val="000000"/>
          <w:kern w:val="0"/>
        </w:rPr>
        <w:t>, </w:t>
      </w:r>
      <w:r w:rsidRPr="00381792">
        <w:rPr>
          <w:i/>
          <w:iCs/>
          <w:color w:val="000000"/>
          <w:kern w:val="0"/>
        </w:rPr>
        <w:t>14</w:t>
      </w:r>
      <w:r w:rsidRPr="00381792">
        <w:rPr>
          <w:color w:val="000000"/>
          <w:kern w:val="0"/>
        </w:rPr>
        <w:t>, 1204166.</w:t>
      </w:r>
    </w:p>
    <w:p w14:paraId="400D3906" w14:textId="77777777" w:rsidR="00B2260C" w:rsidRPr="00381792" w:rsidRDefault="00B2260C" w:rsidP="00B2260C">
      <w:pPr>
        <w:autoSpaceDE w:val="0"/>
        <w:autoSpaceDN w:val="0"/>
        <w:adjustRightInd w:val="0"/>
        <w:spacing w:line="360" w:lineRule="auto"/>
        <w:ind w:left="630" w:hanging="630"/>
        <w:jc w:val="both"/>
        <w:rPr>
          <w:i/>
          <w:iCs/>
          <w:color w:val="1A1A1A"/>
          <w:kern w:val="0"/>
        </w:rPr>
      </w:pPr>
      <w:r w:rsidRPr="00381792">
        <w:rPr>
          <w:color w:val="1A1A1A"/>
          <w:kern w:val="0"/>
        </w:rPr>
        <w:t>Chowdhury, R. H. (2025). </w:t>
      </w:r>
      <w:r w:rsidRPr="00381792">
        <w:rPr>
          <w:i/>
          <w:iCs/>
          <w:color w:val="1A1A1A"/>
          <w:kern w:val="0"/>
        </w:rPr>
        <w:t>Digital leadership and organizational learning: Technologies for business transformation and operational excellence</w:t>
      </w:r>
      <w:r w:rsidRPr="00381792">
        <w:rPr>
          <w:color w:val="1A1A1A"/>
          <w:kern w:val="0"/>
        </w:rPr>
        <w:t>. Deep Science Publishing.</w:t>
      </w:r>
    </w:p>
    <w:p w14:paraId="56516E0D"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Deloitte (2022) ‘The skills-based organization: A new operating model for work and the workforce’, </w:t>
      </w:r>
      <w:r w:rsidRPr="00381792">
        <w:rPr>
          <w:i/>
          <w:iCs/>
          <w:color w:val="000000"/>
          <w:kern w:val="0"/>
        </w:rPr>
        <w:t>Deloitte Insights</w:t>
      </w:r>
      <w:r w:rsidRPr="00381792">
        <w:rPr>
          <w:color w:val="000000"/>
          <w:kern w:val="0"/>
        </w:rPr>
        <w:t xml:space="preserve">. Available at: </w:t>
      </w:r>
      <w:hyperlink r:id="rId13" w:history="1">
        <w:r w:rsidRPr="00381792">
          <w:rPr>
            <w:color w:val="0000E9"/>
            <w:kern w:val="0"/>
            <w:u w:val="single" w:color="0000E9"/>
          </w:rPr>
          <w:t>https://www.deloitte.com/us/en/insights/topics/talent/organizational-skill-based-hiring.html</w:t>
        </w:r>
      </w:hyperlink>
      <w:r w:rsidRPr="00381792">
        <w:rPr>
          <w:color w:val="000000"/>
          <w:kern w:val="0"/>
        </w:rPr>
        <w:t xml:space="preserve"> (Accessed: 14 February 2026).</w:t>
      </w:r>
    </w:p>
    <w:p w14:paraId="0CF7BE85" w14:textId="77777777" w:rsidR="00B2260C" w:rsidRPr="00381792" w:rsidRDefault="00B2260C" w:rsidP="00B2260C">
      <w:pPr>
        <w:autoSpaceDE w:val="0"/>
        <w:autoSpaceDN w:val="0"/>
        <w:adjustRightInd w:val="0"/>
        <w:spacing w:line="360" w:lineRule="auto"/>
        <w:ind w:left="630" w:hanging="630"/>
        <w:jc w:val="both"/>
        <w:rPr>
          <w:color w:val="1A1A1A"/>
          <w:kern w:val="0"/>
        </w:rPr>
      </w:pPr>
      <w:r w:rsidRPr="00381792">
        <w:rPr>
          <w:color w:val="1A1A1A"/>
          <w:kern w:val="0"/>
        </w:rPr>
        <w:t>Dipoatmodjo, T. S. P. (2024). The Role of Human Resource Management in Enhancing Company Performance and Productivity. </w:t>
      </w:r>
      <w:r w:rsidRPr="00381792">
        <w:rPr>
          <w:i/>
          <w:iCs/>
          <w:color w:val="1A1A1A"/>
          <w:kern w:val="0"/>
        </w:rPr>
        <w:t>Journal Management and Economics Review (JUMPER)</w:t>
      </w:r>
      <w:r w:rsidRPr="00381792">
        <w:rPr>
          <w:color w:val="1A1A1A"/>
          <w:kern w:val="0"/>
        </w:rPr>
        <w:t>, </w:t>
      </w:r>
      <w:r w:rsidRPr="00381792">
        <w:rPr>
          <w:i/>
          <w:iCs/>
          <w:color w:val="1A1A1A"/>
          <w:kern w:val="0"/>
        </w:rPr>
        <w:t>2</w:t>
      </w:r>
      <w:r w:rsidRPr="00381792">
        <w:rPr>
          <w:color w:val="1A1A1A"/>
          <w:kern w:val="0"/>
        </w:rPr>
        <w:t>(2), 83-90.</w:t>
      </w:r>
    </w:p>
    <w:p w14:paraId="1754A6F9"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t xml:space="preserve">Eloundou, T., Manning, S., Mishkin, P., and Rock, D. (2023). </w:t>
      </w:r>
      <w:proofErr w:type="spellStart"/>
      <w:r w:rsidRPr="00381792">
        <w:rPr>
          <w:color w:val="000000"/>
          <w:kern w:val="0"/>
        </w:rPr>
        <w:t>Gpts</w:t>
      </w:r>
      <w:proofErr w:type="spellEnd"/>
      <w:r w:rsidRPr="00381792">
        <w:rPr>
          <w:color w:val="000000"/>
          <w:kern w:val="0"/>
        </w:rPr>
        <w:t xml:space="preserve"> are </w:t>
      </w:r>
      <w:proofErr w:type="spellStart"/>
      <w:r w:rsidRPr="00381792">
        <w:rPr>
          <w:color w:val="000000"/>
          <w:kern w:val="0"/>
        </w:rPr>
        <w:t>gpts</w:t>
      </w:r>
      <w:proofErr w:type="spellEnd"/>
      <w:r w:rsidRPr="00381792">
        <w:rPr>
          <w:color w:val="000000"/>
          <w:kern w:val="0"/>
        </w:rPr>
        <w:t>: An early look at the labor market impact potential of large language models. </w:t>
      </w:r>
      <w:proofErr w:type="spellStart"/>
      <w:r w:rsidRPr="00381792">
        <w:rPr>
          <w:i/>
          <w:iCs/>
          <w:color w:val="000000"/>
          <w:kern w:val="0"/>
        </w:rPr>
        <w:t>arXiv</w:t>
      </w:r>
      <w:proofErr w:type="spellEnd"/>
      <w:r w:rsidRPr="00381792">
        <w:rPr>
          <w:i/>
          <w:iCs/>
          <w:color w:val="000000"/>
          <w:kern w:val="0"/>
        </w:rPr>
        <w:t xml:space="preserve"> preprint arXiv:2303.10130</w:t>
      </w:r>
      <w:r w:rsidRPr="00381792">
        <w:rPr>
          <w:color w:val="000000"/>
          <w:kern w:val="0"/>
        </w:rPr>
        <w:t>, </w:t>
      </w:r>
      <w:r w:rsidRPr="00381792">
        <w:rPr>
          <w:i/>
          <w:iCs/>
          <w:color w:val="000000"/>
          <w:kern w:val="0"/>
        </w:rPr>
        <w:t>10</w:t>
      </w:r>
      <w:r w:rsidRPr="00381792">
        <w:rPr>
          <w:color w:val="000000"/>
          <w:kern w:val="0"/>
        </w:rPr>
        <w:t>.</w:t>
      </w:r>
    </w:p>
    <w:p w14:paraId="259649D8"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lastRenderedPageBreak/>
        <w:t xml:space="preserve">Frazier, M. L., </w:t>
      </w:r>
      <w:proofErr w:type="spellStart"/>
      <w:r w:rsidRPr="00381792">
        <w:rPr>
          <w:color w:val="000000"/>
          <w:kern w:val="0"/>
        </w:rPr>
        <w:t>Fainshmidt</w:t>
      </w:r>
      <w:proofErr w:type="spellEnd"/>
      <w:r w:rsidRPr="00381792">
        <w:rPr>
          <w:color w:val="000000"/>
          <w:kern w:val="0"/>
        </w:rPr>
        <w:t xml:space="preserve">, S., Klinger, R. L., </w:t>
      </w:r>
      <w:proofErr w:type="spellStart"/>
      <w:r w:rsidRPr="00381792">
        <w:rPr>
          <w:color w:val="000000"/>
          <w:kern w:val="0"/>
        </w:rPr>
        <w:t>Pezeshkan</w:t>
      </w:r>
      <w:proofErr w:type="spellEnd"/>
      <w:r w:rsidRPr="00381792">
        <w:rPr>
          <w:color w:val="000000"/>
          <w:kern w:val="0"/>
        </w:rPr>
        <w:t xml:space="preserve">, A., and </w:t>
      </w:r>
      <w:proofErr w:type="spellStart"/>
      <w:r w:rsidRPr="00381792">
        <w:rPr>
          <w:color w:val="000000"/>
          <w:kern w:val="0"/>
        </w:rPr>
        <w:t>Vracheva</w:t>
      </w:r>
      <w:proofErr w:type="spellEnd"/>
      <w:r w:rsidRPr="00381792">
        <w:rPr>
          <w:color w:val="000000"/>
          <w:kern w:val="0"/>
        </w:rPr>
        <w:t>, V. (2017). Psychological safety: A meta‐analytic review and extension. </w:t>
      </w:r>
      <w:r w:rsidRPr="00381792">
        <w:rPr>
          <w:i/>
          <w:iCs/>
          <w:color w:val="000000"/>
          <w:kern w:val="0"/>
        </w:rPr>
        <w:t>Personnel psychology</w:t>
      </w:r>
      <w:r w:rsidRPr="00381792">
        <w:rPr>
          <w:color w:val="000000"/>
          <w:kern w:val="0"/>
        </w:rPr>
        <w:t>, </w:t>
      </w:r>
      <w:r w:rsidRPr="00381792">
        <w:rPr>
          <w:i/>
          <w:iCs/>
          <w:color w:val="000000"/>
          <w:kern w:val="0"/>
        </w:rPr>
        <w:t>70</w:t>
      </w:r>
      <w:r w:rsidRPr="00381792">
        <w:rPr>
          <w:color w:val="000000"/>
          <w:kern w:val="0"/>
        </w:rPr>
        <w:t>(1), 113-165.</w:t>
      </w:r>
    </w:p>
    <w:p w14:paraId="119B9D77" w14:textId="77777777" w:rsidR="00B2260C" w:rsidRPr="00381792" w:rsidRDefault="00B2260C" w:rsidP="00B2260C">
      <w:pPr>
        <w:autoSpaceDE w:val="0"/>
        <w:autoSpaceDN w:val="0"/>
        <w:adjustRightInd w:val="0"/>
        <w:spacing w:line="360" w:lineRule="auto"/>
        <w:ind w:left="630" w:hanging="630"/>
        <w:jc w:val="both"/>
        <w:rPr>
          <w:i/>
          <w:iCs/>
          <w:color w:val="000000"/>
          <w:kern w:val="0"/>
        </w:rPr>
      </w:pPr>
      <w:r w:rsidRPr="00381792">
        <w:rPr>
          <w:color w:val="000000"/>
          <w:kern w:val="0"/>
        </w:rPr>
        <w:t>Greene, R. J. (2020). </w:t>
      </w:r>
      <w:r w:rsidRPr="00381792">
        <w:rPr>
          <w:i/>
          <w:iCs/>
          <w:color w:val="000000"/>
          <w:kern w:val="0"/>
        </w:rPr>
        <w:t>Strategic talent management: Creating the right workforce</w:t>
      </w:r>
      <w:r w:rsidRPr="00381792">
        <w:rPr>
          <w:color w:val="000000"/>
          <w:kern w:val="0"/>
        </w:rPr>
        <w:t>. Routledge.</w:t>
      </w:r>
    </w:p>
    <w:p w14:paraId="19F4A856"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t xml:space="preserve">Kaufman, B.E. (2024) ‘Strategic human resource management research: Fit, complementarities, and the implementation challenge’, </w:t>
      </w:r>
      <w:r w:rsidRPr="00381792">
        <w:rPr>
          <w:i/>
          <w:iCs/>
          <w:color w:val="000000"/>
          <w:kern w:val="0"/>
        </w:rPr>
        <w:t>Human Resource Management Journal</w:t>
      </w:r>
      <w:r w:rsidRPr="00381792">
        <w:rPr>
          <w:color w:val="000000"/>
          <w:kern w:val="0"/>
        </w:rPr>
        <w:t>, 34(1), pp. 3–22.</w:t>
      </w:r>
    </w:p>
    <w:p w14:paraId="59EAB75E" w14:textId="77777777" w:rsidR="00B2260C" w:rsidRPr="00381792" w:rsidRDefault="00B2260C" w:rsidP="00B2260C">
      <w:pPr>
        <w:autoSpaceDE w:val="0"/>
        <w:autoSpaceDN w:val="0"/>
        <w:adjustRightInd w:val="0"/>
        <w:spacing w:line="360" w:lineRule="auto"/>
        <w:ind w:left="630" w:hanging="630"/>
        <w:jc w:val="both"/>
        <w:rPr>
          <w:color w:val="1A1A1A"/>
          <w:kern w:val="0"/>
        </w:rPr>
      </w:pPr>
      <w:r w:rsidRPr="00381792">
        <w:rPr>
          <w:color w:val="1A1A1A"/>
          <w:kern w:val="0"/>
        </w:rPr>
        <w:t>Mann, K. J., Roach, K. N., and O’Brien, K. E. (2023). Mentoring as an investment: A quantitative review of mentoring and well-being for the protégé. </w:t>
      </w:r>
      <w:r w:rsidRPr="00381792">
        <w:rPr>
          <w:i/>
          <w:iCs/>
          <w:color w:val="1A1A1A"/>
          <w:kern w:val="0"/>
        </w:rPr>
        <w:t>Journal of Career Development</w:t>
      </w:r>
      <w:r w:rsidRPr="00381792">
        <w:rPr>
          <w:color w:val="1A1A1A"/>
          <w:kern w:val="0"/>
        </w:rPr>
        <w:t>, </w:t>
      </w:r>
      <w:r w:rsidRPr="00381792">
        <w:rPr>
          <w:i/>
          <w:iCs/>
          <w:color w:val="1A1A1A"/>
          <w:kern w:val="0"/>
        </w:rPr>
        <w:t>50</w:t>
      </w:r>
      <w:r w:rsidRPr="00381792">
        <w:rPr>
          <w:color w:val="1A1A1A"/>
          <w:kern w:val="0"/>
        </w:rPr>
        <w:t>(2), 465-481.</w:t>
      </w:r>
    </w:p>
    <w:p w14:paraId="1C897FF8"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McAnally, K., and Hagger, M. S. (2024). Self-determination theory and workplace outcomes: A conceptual review and future research directions. </w:t>
      </w:r>
      <w:r w:rsidRPr="00381792">
        <w:rPr>
          <w:i/>
          <w:iCs/>
          <w:color w:val="000000"/>
          <w:kern w:val="0"/>
        </w:rPr>
        <w:t>Behavioral sciences</w:t>
      </w:r>
      <w:r w:rsidRPr="00381792">
        <w:rPr>
          <w:color w:val="000000"/>
          <w:kern w:val="0"/>
        </w:rPr>
        <w:t>, </w:t>
      </w:r>
      <w:r w:rsidRPr="00381792">
        <w:rPr>
          <w:i/>
          <w:iCs/>
          <w:color w:val="000000"/>
          <w:kern w:val="0"/>
        </w:rPr>
        <w:t>14</w:t>
      </w:r>
      <w:r w:rsidRPr="00381792">
        <w:rPr>
          <w:color w:val="000000"/>
          <w:kern w:val="0"/>
        </w:rPr>
        <w:t>(6), 428.</w:t>
      </w:r>
    </w:p>
    <w:p w14:paraId="61FF195E"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Menezes, D. B., </w:t>
      </w:r>
      <w:proofErr w:type="spellStart"/>
      <w:r w:rsidRPr="00381792">
        <w:rPr>
          <w:color w:val="000000"/>
          <w:kern w:val="0"/>
        </w:rPr>
        <w:t>Gumashivili</w:t>
      </w:r>
      <w:proofErr w:type="spellEnd"/>
      <w:r w:rsidRPr="00381792">
        <w:rPr>
          <w:color w:val="000000"/>
          <w:kern w:val="0"/>
        </w:rPr>
        <w:t xml:space="preserve">, M., and </w:t>
      </w:r>
      <w:proofErr w:type="spellStart"/>
      <w:r w:rsidRPr="00381792">
        <w:rPr>
          <w:color w:val="000000"/>
          <w:kern w:val="0"/>
        </w:rPr>
        <w:t>Kanokon</w:t>
      </w:r>
      <w:proofErr w:type="spellEnd"/>
      <w:r w:rsidRPr="00381792">
        <w:rPr>
          <w:color w:val="000000"/>
          <w:kern w:val="0"/>
        </w:rPr>
        <w:t>, K. (2025). The Role of Talent Management in Enhancing Employee Retention: Mediating the Influence of Psychological Empowerment. </w:t>
      </w:r>
      <w:r w:rsidRPr="00381792">
        <w:rPr>
          <w:i/>
          <w:iCs/>
          <w:color w:val="000000"/>
          <w:kern w:val="0"/>
        </w:rPr>
        <w:t>Sustainability</w:t>
      </w:r>
      <w:r w:rsidRPr="00381792">
        <w:rPr>
          <w:color w:val="000000"/>
          <w:kern w:val="0"/>
        </w:rPr>
        <w:t>, </w:t>
      </w:r>
      <w:r w:rsidRPr="00381792">
        <w:rPr>
          <w:i/>
          <w:iCs/>
          <w:color w:val="000000"/>
          <w:kern w:val="0"/>
        </w:rPr>
        <w:t>17</w:t>
      </w:r>
      <w:r w:rsidRPr="00381792">
        <w:rPr>
          <w:color w:val="000000"/>
          <w:kern w:val="0"/>
        </w:rPr>
        <w:t>(7), 3277.</w:t>
      </w:r>
    </w:p>
    <w:p w14:paraId="127D27E8" w14:textId="77777777" w:rsidR="00B2260C" w:rsidRPr="00381792" w:rsidRDefault="00B2260C" w:rsidP="00B2260C">
      <w:pPr>
        <w:autoSpaceDE w:val="0"/>
        <w:autoSpaceDN w:val="0"/>
        <w:adjustRightInd w:val="0"/>
        <w:spacing w:after="240" w:line="360" w:lineRule="auto"/>
        <w:ind w:left="630" w:hanging="630"/>
        <w:jc w:val="both"/>
        <w:rPr>
          <w:i/>
          <w:iCs/>
          <w:color w:val="000000"/>
          <w:kern w:val="0"/>
        </w:rPr>
      </w:pPr>
      <w:r w:rsidRPr="00381792">
        <w:rPr>
          <w:color w:val="000000"/>
          <w:kern w:val="0"/>
        </w:rPr>
        <w:t xml:space="preserve">Mercer. (2025). </w:t>
      </w:r>
      <w:r w:rsidRPr="00381792">
        <w:rPr>
          <w:i/>
          <w:iCs/>
          <w:color w:val="000000"/>
          <w:kern w:val="0"/>
        </w:rPr>
        <w:t>Results of the 2025 US Turnover Surveys (workforce turnover trends).</w:t>
      </w:r>
      <w:r w:rsidRPr="00381792">
        <w:rPr>
          <w:color w:val="000000"/>
          <w:kern w:val="0"/>
        </w:rPr>
        <w:t xml:space="preserve"> </w:t>
      </w:r>
      <w:hyperlink r:id="rId14" w:history="1">
        <w:r w:rsidRPr="00381792">
          <w:rPr>
            <w:color w:val="0000E9"/>
            <w:kern w:val="0"/>
            <w:u w:val="single" w:color="0000E9"/>
          </w:rPr>
          <w:t>https://www.imercer.com/articleinsights/workforce-turnover-trends</w:t>
        </w:r>
      </w:hyperlink>
    </w:p>
    <w:p w14:paraId="6670B350"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Microsoft (2024) </w:t>
      </w:r>
      <w:r w:rsidRPr="00381792">
        <w:rPr>
          <w:i/>
          <w:iCs/>
          <w:color w:val="000000"/>
          <w:kern w:val="0"/>
        </w:rPr>
        <w:t>AI at Work Is Here. Now Comes the Hard Part</w:t>
      </w:r>
      <w:r w:rsidRPr="00381792">
        <w:rPr>
          <w:color w:val="000000"/>
          <w:kern w:val="0"/>
        </w:rPr>
        <w:t xml:space="preserve"> (Work Trend Index 2024). Available at: </w:t>
      </w:r>
      <w:hyperlink r:id="rId15" w:history="1">
        <w:r w:rsidRPr="00381792">
          <w:rPr>
            <w:color w:val="0000E9"/>
            <w:kern w:val="0"/>
            <w:u w:val="single" w:color="0000E9"/>
          </w:rPr>
          <w:t>https://www.microsoft.com/en-us/worklab/work-trend-index/ai-at-work-is-here-now-comes-the-hard-part</w:t>
        </w:r>
      </w:hyperlink>
      <w:r w:rsidRPr="00381792">
        <w:rPr>
          <w:color w:val="000000"/>
          <w:kern w:val="0"/>
        </w:rPr>
        <w:t xml:space="preserve"> (Accessed: 14 February 2026).</w:t>
      </w:r>
    </w:p>
    <w:p w14:paraId="0C9C0192"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PwC (2025) </w:t>
      </w:r>
      <w:r w:rsidRPr="00381792">
        <w:rPr>
          <w:i/>
          <w:iCs/>
          <w:color w:val="000000"/>
          <w:kern w:val="0"/>
        </w:rPr>
        <w:t>The Fearless Future: 2025 Global AI Jobs Barometer</w:t>
      </w:r>
      <w:r w:rsidRPr="00381792">
        <w:rPr>
          <w:color w:val="000000"/>
          <w:kern w:val="0"/>
        </w:rPr>
        <w:t xml:space="preserve">. Available at: </w:t>
      </w:r>
      <w:hyperlink r:id="rId16" w:history="1">
        <w:r w:rsidRPr="00381792">
          <w:rPr>
            <w:color w:val="0000E9"/>
            <w:kern w:val="0"/>
            <w:u w:val="single" w:color="0000E9"/>
          </w:rPr>
          <w:t>https://www.pwc.com/gx/en/services/ai/ai-jobs-barometer.html</w:t>
        </w:r>
      </w:hyperlink>
      <w:r w:rsidRPr="00381792">
        <w:rPr>
          <w:color w:val="000000"/>
          <w:kern w:val="0"/>
        </w:rPr>
        <w:t xml:space="preserve"> (Accessed: 14 February 2026).</w:t>
      </w:r>
    </w:p>
    <w:p w14:paraId="57F4FB08"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t xml:space="preserve">Ravio. (2025, June 10). </w:t>
      </w:r>
      <w:r w:rsidRPr="00381792">
        <w:rPr>
          <w:i/>
          <w:iCs/>
          <w:color w:val="000000"/>
          <w:kern w:val="0"/>
        </w:rPr>
        <w:t>The tech job market in 2025 (PDF).</w:t>
      </w:r>
      <w:r w:rsidRPr="00381792">
        <w:rPr>
          <w:color w:val="000000"/>
          <w:kern w:val="0"/>
        </w:rPr>
        <w:t xml:space="preserve"> </w:t>
      </w:r>
      <w:hyperlink r:id="rId17" w:history="1">
        <w:r w:rsidRPr="00381792">
          <w:rPr>
            <w:color w:val="0000E9"/>
            <w:kern w:val="0"/>
            <w:u w:val="single" w:color="0000E9"/>
          </w:rPr>
          <w:t>https://ravio.com/tech-job-market-report-2025.pdf</w:t>
        </w:r>
      </w:hyperlink>
    </w:p>
    <w:p w14:paraId="6C4F3633"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Ray, C. (2024). Internal mobility: A review and agenda for future research. </w:t>
      </w:r>
      <w:r w:rsidRPr="00381792">
        <w:rPr>
          <w:i/>
          <w:iCs/>
          <w:color w:val="000000"/>
          <w:kern w:val="0"/>
        </w:rPr>
        <w:t>Journal of Management</w:t>
      </w:r>
      <w:r w:rsidRPr="00381792">
        <w:rPr>
          <w:color w:val="000000"/>
          <w:kern w:val="0"/>
        </w:rPr>
        <w:t>, </w:t>
      </w:r>
      <w:r w:rsidRPr="00381792">
        <w:rPr>
          <w:i/>
          <w:iCs/>
          <w:color w:val="000000"/>
          <w:kern w:val="0"/>
        </w:rPr>
        <w:t>50</w:t>
      </w:r>
      <w:r w:rsidRPr="00381792">
        <w:rPr>
          <w:color w:val="000000"/>
          <w:kern w:val="0"/>
        </w:rPr>
        <w:t>(1), 264-306.</w:t>
      </w:r>
    </w:p>
    <w:p w14:paraId="35DF29A1"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lastRenderedPageBreak/>
        <w:t>Shahzad, M. F., Martins, J. M., Rita, J., Xu, S., and Mushtaq, H. M. (2024). Assessing the impact of strategic HR practices on talent retention through job satisfaction and work engagement: Moderating role of psychological empowerment. </w:t>
      </w:r>
      <w:r w:rsidRPr="00381792">
        <w:rPr>
          <w:i/>
          <w:iCs/>
          <w:color w:val="000000"/>
          <w:kern w:val="0"/>
        </w:rPr>
        <w:t>SAGE Open</w:t>
      </w:r>
      <w:r w:rsidRPr="00381792">
        <w:rPr>
          <w:color w:val="000000"/>
          <w:kern w:val="0"/>
        </w:rPr>
        <w:t>, </w:t>
      </w:r>
      <w:r w:rsidRPr="00381792">
        <w:rPr>
          <w:i/>
          <w:iCs/>
          <w:color w:val="000000"/>
          <w:kern w:val="0"/>
        </w:rPr>
        <w:t>14</w:t>
      </w:r>
      <w:r w:rsidRPr="00381792">
        <w:rPr>
          <w:color w:val="000000"/>
          <w:kern w:val="0"/>
        </w:rPr>
        <w:t>(3), 21582440241281836.</w:t>
      </w:r>
    </w:p>
    <w:p w14:paraId="4D4CDCEE" w14:textId="77777777" w:rsidR="00B2260C" w:rsidRPr="00381792" w:rsidRDefault="00B2260C" w:rsidP="00B2260C">
      <w:pPr>
        <w:autoSpaceDE w:val="0"/>
        <w:autoSpaceDN w:val="0"/>
        <w:adjustRightInd w:val="0"/>
        <w:spacing w:line="360" w:lineRule="auto"/>
        <w:ind w:left="630" w:hanging="630"/>
        <w:jc w:val="both"/>
        <w:rPr>
          <w:color w:val="000000"/>
          <w:kern w:val="0"/>
        </w:rPr>
      </w:pPr>
      <w:proofErr w:type="spellStart"/>
      <w:r w:rsidRPr="00381792">
        <w:rPr>
          <w:color w:val="000000"/>
          <w:kern w:val="0"/>
        </w:rPr>
        <w:t>SignalFire</w:t>
      </w:r>
      <w:proofErr w:type="spellEnd"/>
      <w:r w:rsidRPr="00381792">
        <w:rPr>
          <w:color w:val="000000"/>
          <w:kern w:val="0"/>
        </w:rPr>
        <w:t xml:space="preserve"> (2025) </w:t>
      </w:r>
      <w:r w:rsidRPr="00381792">
        <w:rPr>
          <w:i/>
          <w:iCs/>
          <w:color w:val="000000"/>
          <w:kern w:val="0"/>
        </w:rPr>
        <w:t xml:space="preserve">The </w:t>
      </w:r>
      <w:proofErr w:type="spellStart"/>
      <w:r w:rsidRPr="00381792">
        <w:rPr>
          <w:i/>
          <w:iCs/>
          <w:color w:val="000000"/>
          <w:kern w:val="0"/>
        </w:rPr>
        <w:t>SignalFire</w:t>
      </w:r>
      <w:proofErr w:type="spellEnd"/>
      <w:r w:rsidRPr="00381792">
        <w:rPr>
          <w:i/>
          <w:iCs/>
          <w:color w:val="000000"/>
          <w:kern w:val="0"/>
        </w:rPr>
        <w:t xml:space="preserve"> State of Tech Talent Report 2025</w:t>
      </w:r>
      <w:r w:rsidRPr="00381792">
        <w:rPr>
          <w:color w:val="000000"/>
          <w:kern w:val="0"/>
        </w:rPr>
        <w:t xml:space="preserve">. Available at: </w:t>
      </w:r>
      <w:hyperlink r:id="rId18" w:history="1">
        <w:r w:rsidRPr="00381792">
          <w:rPr>
            <w:color w:val="0000E9"/>
            <w:kern w:val="0"/>
            <w:u w:val="single" w:color="0000E9"/>
          </w:rPr>
          <w:t>https://www.signalfire.com/blog/signalfire-state-of-talent-report-2025</w:t>
        </w:r>
      </w:hyperlink>
      <w:r w:rsidRPr="00381792">
        <w:rPr>
          <w:color w:val="000000"/>
          <w:kern w:val="0"/>
        </w:rPr>
        <w:t xml:space="preserve"> (Accessed: 14 February 2026).</w:t>
      </w:r>
    </w:p>
    <w:p w14:paraId="18C46F54"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proofErr w:type="spellStart"/>
      <w:r w:rsidRPr="00381792">
        <w:rPr>
          <w:color w:val="000000"/>
          <w:kern w:val="0"/>
        </w:rPr>
        <w:t>SignalFire</w:t>
      </w:r>
      <w:proofErr w:type="spellEnd"/>
      <w:r w:rsidRPr="00381792">
        <w:rPr>
          <w:color w:val="000000"/>
          <w:kern w:val="0"/>
        </w:rPr>
        <w:t xml:space="preserve">. (2025, May 20). </w:t>
      </w:r>
      <w:r w:rsidRPr="00381792">
        <w:rPr>
          <w:i/>
          <w:iCs/>
          <w:color w:val="000000"/>
          <w:kern w:val="0"/>
        </w:rPr>
        <w:t xml:space="preserve">The </w:t>
      </w:r>
      <w:proofErr w:type="spellStart"/>
      <w:r w:rsidRPr="00381792">
        <w:rPr>
          <w:i/>
          <w:iCs/>
          <w:color w:val="000000"/>
          <w:kern w:val="0"/>
        </w:rPr>
        <w:t>SignalFire</w:t>
      </w:r>
      <w:proofErr w:type="spellEnd"/>
      <w:r w:rsidRPr="00381792">
        <w:rPr>
          <w:i/>
          <w:iCs/>
          <w:color w:val="000000"/>
          <w:kern w:val="0"/>
        </w:rPr>
        <w:t xml:space="preserve"> State of Tech Talent Report – 2025.</w:t>
      </w:r>
      <w:r w:rsidRPr="00381792">
        <w:rPr>
          <w:color w:val="000000"/>
          <w:kern w:val="0"/>
        </w:rPr>
        <w:t xml:space="preserve"> </w:t>
      </w:r>
      <w:hyperlink r:id="rId19" w:history="1">
        <w:r w:rsidRPr="00381792">
          <w:rPr>
            <w:color w:val="0000E9"/>
            <w:kern w:val="0"/>
            <w:u w:val="single" w:color="0000E9"/>
          </w:rPr>
          <w:t>https://www.signalfire.com/blog/signalfire-state-of-talent-report-2025</w:t>
        </w:r>
      </w:hyperlink>
    </w:p>
    <w:p w14:paraId="42EFAD53"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1A1A1A"/>
          <w:kern w:val="0"/>
        </w:rPr>
        <w:t>Song, M. (2024). Revisiting Strategy in Strategic Human Resources Management: Theorizing, Identifying, and Analyzing HR Systems Parallelly Aligned with Organization Systems.</w:t>
      </w:r>
    </w:p>
    <w:p w14:paraId="7FD931C0" w14:textId="77777777" w:rsidR="00B2260C" w:rsidRPr="00381792" w:rsidRDefault="00B2260C" w:rsidP="00B2260C">
      <w:pPr>
        <w:autoSpaceDE w:val="0"/>
        <w:autoSpaceDN w:val="0"/>
        <w:adjustRightInd w:val="0"/>
        <w:spacing w:line="360" w:lineRule="auto"/>
        <w:ind w:left="630" w:hanging="630"/>
        <w:jc w:val="both"/>
        <w:rPr>
          <w:color w:val="1A1A1A"/>
          <w:kern w:val="0"/>
        </w:rPr>
      </w:pPr>
      <w:proofErr w:type="spellStart"/>
      <w:r w:rsidRPr="00381792">
        <w:rPr>
          <w:color w:val="1A1A1A"/>
          <w:kern w:val="0"/>
        </w:rPr>
        <w:t>Tembrevilla</w:t>
      </w:r>
      <w:proofErr w:type="spellEnd"/>
      <w:r w:rsidRPr="00381792">
        <w:rPr>
          <w:color w:val="1A1A1A"/>
          <w:kern w:val="0"/>
        </w:rPr>
        <w:t xml:space="preserve">, G., Phillion, A., and </w:t>
      </w:r>
      <w:proofErr w:type="spellStart"/>
      <w:r w:rsidRPr="00381792">
        <w:rPr>
          <w:color w:val="1A1A1A"/>
          <w:kern w:val="0"/>
        </w:rPr>
        <w:t>Zeadin</w:t>
      </w:r>
      <w:proofErr w:type="spellEnd"/>
      <w:r w:rsidRPr="00381792">
        <w:rPr>
          <w:color w:val="1A1A1A"/>
          <w:kern w:val="0"/>
        </w:rPr>
        <w:t>, M. (2024). Experiential learning in engineering education: A systematic literature review. </w:t>
      </w:r>
      <w:r w:rsidRPr="00381792">
        <w:rPr>
          <w:i/>
          <w:iCs/>
          <w:color w:val="1A1A1A"/>
          <w:kern w:val="0"/>
        </w:rPr>
        <w:t>Journal of Engineering Education</w:t>
      </w:r>
      <w:r w:rsidRPr="00381792">
        <w:rPr>
          <w:color w:val="1A1A1A"/>
          <w:kern w:val="0"/>
        </w:rPr>
        <w:t>, </w:t>
      </w:r>
      <w:r w:rsidRPr="00381792">
        <w:rPr>
          <w:i/>
          <w:iCs/>
          <w:color w:val="1A1A1A"/>
          <w:kern w:val="0"/>
        </w:rPr>
        <w:t>113</w:t>
      </w:r>
      <w:r w:rsidRPr="00381792">
        <w:rPr>
          <w:color w:val="1A1A1A"/>
          <w:kern w:val="0"/>
        </w:rPr>
        <w:t>(1), 195-218.</w:t>
      </w:r>
    </w:p>
    <w:p w14:paraId="4A568278"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Tripathi, A., and Kalia, P. (2024). Examining the effects of supportive work environment and </w:t>
      </w:r>
      <w:proofErr w:type="spellStart"/>
      <w:r w:rsidRPr="00381792">
        <w:rPr>
          <w:color w:val="000000"/>
          <w:kern w:val="0"/>
        </w:rPr>
        <w:t>organisational</w:t>
      </w:r>
      <w:proofErr w:type="spellEnd"/>
      <w:r w:rsidRPr="00381792">
        <w:rPr>
          <w:color w:val="000000"/>
          <w:kern w:val="0"/>
        </w:rPr>
        <w:t xml:space="preserve"> learning culture on </w:t>
      </w:r>
      <w:proofErr w:type="spellStart"/>
      <w:r w:rsidRPr="00381792">
        <w:rPr>
          <w:color w:val="000000"/>
          <w:kern w:val="0"/>
        </w:rPr>
        <w:t>organisational</w:t>
      </w:r>
      <w:proofErr w:type="spellEnd"/>
      <w:r w:rsidRPr="00381792">
        <w:rPr>
          <w:color w:val="000000"/>
          <w:kern w:val="0"/>
        </w:rPr>
        <w:t xml:space="preserve"> performance in information technology companies: The mediating role of learning agility and </w:t>
      </w:r>
      <w:proofErr w:type="spellStart"/>
      <w:r w:rsidRPr="00381792">
        <w:rPr>
          <w:color w:val="000000"/>
          <w:kern w:val="0"/>
        </w:rPr>
        <w:t>organisational</w:t>
      </w:r>
      <w:proofErr w:type="spellEnd"/>
      <w:r w:rsidRPr="00381792">
        <w:rPr>
          <w:color w:val="000000"/>
          <w:kern w:val="0"/>
        </w:rPr>
        <w:t xml:space="preserve"> innovation. </w:t>
      </w:r>
      <w:r w:rsidRPr="00381792">
        <w:rPr>
          <w:i/>
          <w:iCs/>
          <w:color w:val="000000"/>
          <w:kern w:val="0"/>
        </w:rPr>
        <w:t>Innovation</w:t>
      </w:r>
      <w:r w:rsidRPr="00381792">
        <w:rPr>
          <w:color w:val="000000"/>
          <w:kern w:val="0"/>
        </w:rPr>
        <w:t>, </w:t>
      </w:r>
      <w:r w:rsidRPr="00381792">
        <w:rPr>
          <w:i/>
          <w:iCs/>
          <w:color w:val="000000"/>
          <w:kern w:val="0"/>
        </w:rPr>
        <w:t>26</w:t>
      </w:r>
      <w:r w:rsidRPr="00381792">
        <w:rPr>
          <w:color w:val="000000"/>
          <w:kern w:val="0"/>
        </w:rPr>
        <w:t>(2), 257-277.</w:t>
      </w:r>
    </w:p>
    <w:p w14:paraId="73D808D6"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Upadhyay, S., and Singh, P. (2024). Linking leader humility, reverse mentoring and subordinate turnover intentions: empirical evidence from the Indian information technology industry. </w:t>
      </w:r>
      <w:r w:rsidRPr="00381792">
        <w:rPr>
          <w:i/>
          <w:iCs/>
          <w:color w:val="000000"/>
          <w:kern w:val="0"/>
        </w:rPr>
        <w:t>International Journal of Organizational Analysis</w:t>
      </w:r>
      <w:r w:rsidRPr="00381792">
        <w:rPr>
          <w:color w:val="000000"/>
          <w:kern w:val="0"/>
        </w:rPr>
        <w:t>, </w:t>
      </w:r>
      <w:r w:rsidRPr="00381792">
        <w:rPr>
          <w:i/>
          <w:iCs/>
          <w:color w:val="000000"/>
          <w:kern w:val="0"/>
        </w:rPr>
        <w:t>32</w:t>
      </w:r>
      <w:r w:rsidRPr="00381792">
        <w:rPr>
          <w:color w:val="000000"/>
          <w:kern w:val="0"/>
        </w:rPr>
        <w:t>(8), 1483-1500.</w:t>
      </w:r>
    </w:p>
    <w:p w14:paraId="41D7F261"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World Economic Forum (2025) </w:t>
      </w:r>
      <w:r w:rsidRPr="00381792">
        <w:rPr>
          <w:i/>
          <w:iCs/>
          <w:color w:val="000000"/>
          <w:kern w:val="0"/>
        </w:rPr>
        <w:t>The Future of Jobs Report 2025</w:t>
      </w:r>
      <w:r w:rsidRPr="00381792">
        <w:rPr>
          <w:color w:val="000000"/>
          <w:kern w:val="0"/>
        </w:rPr>
        <w:t xml:space="preserve">. Available at: </w:t>
      </w:r>
      <w:hyperlink r:id="rId20" w:history="1">
        <w:r w:rsidRPr="00381792">
          <w:rPr>
            <w:color w:val="0000E9"/>
            <w:kern w:val="0"/>
            <w:u w:val="single" w:color="0000E9"/>
          </w:rPr>
          <w:t>https://www.weforum.org/publications/the-future-of-jobs-report-2025/</w:t>
        </w:r>
      </w:hyperlink>
      <w:r w:rsidRPr="00381792">
        <w:rPr>
          <w:color w:val="000000"/>
          <w:kern w:val="0"/>
        </w:rPr>
        <w:t xml:space="preserve"> (Accessed: 14 February 2026).</w:t>
      </w:r>
    </w:p>
    <w:p w14:paraId="147A37CD" w14:textId="77777777" w:rsidR="00B2260C" w:rsidRPr="00381792" w:rsidRDefault="00B2260C" w:rsidP="00B2260C">
      <w:pPr>
        <w:autoSpaceDE w:val="0"/>
        <w:autoSpaceDN w:val="0"/>
        <w:adjustRightInd w:val="0"/>
        <w:spacing w:line="360" w:lineRule="auto"/>
        <w:ind w:left="630" w:hanging="630"/>
        <w:jc w:val="both"/>
        <w:rPr>
          <w:color w:val="1A1A1A"/>
          <w:kern w:val="0"/>
        </w:rPr>
      </w:pPr>
      <w:r w:rsidRPr="00381792">
        <w:rPr>
          <w:color w:val="1A1A1A"/>
          <w:kern w:val="0"/>
        </w:rPr>
        <w:t>Yu, W., Jiang, K., Mo, S., and Su, Y. (2025). The Moral Implications of Human Resource Management (HRM): A Review of the Relationship Between HRM Practices and Unethical Behavior at Work. </w:t>
      </w:r>
      <w:r w:rsidRPr="00381792">
        <w:rPr>
          <w:i/>
          <w:iCs/>
          <w:color w:val="1A1A1A"/>
          <w:kern w:val="0"/>
        </w:rPr>
        <w:t>Journal of Business Ethics</w:t>
      </w:r>
      <w:r w:rsidRPr="00381792">
        <w:rPr>
          <w:color w:val="1A1A1A"/>
          <w:kern w:val="0"/>
        </w:rPr>
        <w:t>, 1-30.</w:t>
      </w:r>
    </w:p>
    <w:p w14:paraId="2FBB6EAB" w14:textId="77777777" w:rsidR="00B2260C" w:rsidRPr="00381792" w:rsidRDefault="00B2260C" w:rsidP="00B2260C">
      <w:pPr>
        <w:autoSpaceDE w:val="0"/>
        <w:autoSpaceDN w:val="0"/>
        <w:adjustRightInd w:val="0"/>
        <w:spacing w:line="360" w:lineRule="auto"/>
        <w:ind w:left="630" w:hanging="630"/>
        <w:jc w:val="both"/>
        <w:rPr>
          <w:i/>
          <w:iCs/>
          <w:color w:val="1A1A1A"/>
          <w:kern w:val="0"/>
        </w:rPr>
      </w:pPr>
      <w:proofErr w:type="spellStart"/>
      <w:r w:rsidRPr="00381792">
        <w:rPr>
          <w:color w:val="1A1A1A"/>
          <w:kern w:val="0"/>
        </w:rPr>
        <w:t>Zormpas</w:t>
      </w:r>
      <w:proofErr w:type="spellEnd"/>
      <w:r w:rsidRPr="00381792">
        <w:rPr>
          <w:color w:val="1A1A1A"/>
          <w:kern w:val="0"/>
        </w:rPr>
        <w:t>, N. (2022). </w:t>
      </w:r>
      <w:r w:rsidRPr="00381792">
        <w:rPr>
          <w:i/>
          <w:iCs/>
          <w:color w:val="1A1A1A"/>
          <w:kern w:val="0"/>
        </w:rPr>
        <w:t>Customer Escalations Management: The Golden Recipe</w:t>
      </w:r>
      <w:r w:rsidRPr="00381792">
        <w:rPr>
          <w:color w:val="1A1A1A"/>
          <w:kern w:val="0"/>
        </w:rPr>
        <w:t>. Nikolaos Zormpas.</w:t>
      </w:r>
    </w:p>
    <w:sectPr w:rsidR="00B2260C" w:rsidRPr="00381792" w:rsidSect="00B2260C">
      <w:footerReference w:type="default" r:id="rId2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82AD6" w14:textId="77777777" w:rsidR="006A47E9" w:rsidRDefault="006A47E9" w:rsidP="00381792">
      <w:r>
        <w:separator/>
      </w:r>
    </w:p>
  </w:endnote>
  <w:endnote w:type="continuationSeparator" w:id="0">
    <w:p w14:paraId="0C2FD201" w14:textId="77777777" w:rsidR="006A47E9" w:rsidRDefault="006A47E9" w:rsidP="003817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238939"/>
      <w:docPartObj>
        <w:docPartGallery w:val="Page Numbers (Bottom of Page)"/>
        <w:docPartUnique/>
      </w:docPartObj>
    </w:sdtPr>
    <w:sdtEndPr>
      <w:rPr>
        <w:noProof/>
      </w:rPr>
    </w:sdtEndPr>
    <w:sdtContent>
      <w:p w14:paraId="65E54C84" w14:textId="77777777" w:rsidR="00381792" w:rsidRDefault="00381792">
        <w:pPr>
          <w:pStyle w:val="Footer"/>
          <w:jc w:val="center"/>
        </w:pPr>
        <w:r>
          <w:fldChar w:fldCharType="begin"/>
        </w:r>
        <w:r>
          <w:instrText xml:space="preserve"> PAGE   \* MERGEFORMAT </w:instrText>
        </w:r>
        <w:r>
          <w:fldChar w:fldCharType="separate"/>
        </w:r>
        <w:r w:rsidR="00DE1902">
          <w:rPr>
            <w:noProof/>
          </w:rPr>
          <w:t>1</w:t>
        </w:r>
        <w:r>
          <w:rPr>
            <w:noProof/>
          </w:rPr>
          <w:fldChar w:fldCharType="end"/>
        </w:r>
      </w:p>
    </w:sdtContent>
  </w:sdt>
  <w:p w14:paraId="28B551F3" w14:textId="77777777" w:rsidR="00381792" w:rsidRDefault="00381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84364" w14:textId="77777777" w:rsidR="006A47E9" w:rsidRDefault="006A47E9" w:rsidP="00381792">
      <w:r>
        <w:separator/>
      </w:r>
    </w:p>
  </w:footnote>
  <w:footnote w:type="continuationSeparator" w:id="0">
    <w:p w14:paraId="6168E1AB" w14:textId="77777777" w:rsidR="006A47E9" w:rsidRDefault="006A47E9" w:rsidP="003817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260C"/>
    <w:rsid w:val="000E5882"/>
    <w:rsid w:val="000F5DBC"/>
    <w:rsid w:val="001B7210"/>
    <w:rsid w:val="001E3F56"/>
    <w:rsid w:val="00227A91"/>
    <w:rsid w:val="0028065D"/>
    <w:rsid w:val="002B5BD5"/>
    <w:rsid w:val="00381792"/>
    <w:rsid w:val="003922C6"/>
    <w:rsid w:val="003D5EEE"/>
    <w:rsid w:val="00577BC5"/>
    <w:rsid w:val="005A7A5C"/>
    <w:rsid w:val="006A47E9"/>
    <w:rsid w:val="00760A80"/>
    <w:rsid w:val="007639BE"/>
    <w:rsid w:val="0078362B"/>
    <w:rsid w:val="007C2023"/>
    <w:rsid w:val="007D438D"/>
    <w:rsid w:val="00AA08F7"/>
    <w:rsid w:val="00B2260C"/>
    <w:rsid w:val="00B568CE"/>
    <w:rsid w:val="00C04675"/>
    <w:rsid w:val="00D80F72"/>
    <w:rsid w:val="00D9304E"/>
    <w:rsid w:val="00DE1902"/>
    <w:rsid w:val="00DE611B"/>
    <w:rsid w:val="00E12A8C"/>
    <w:rsid w:val="00E13F3A"/>
    <w:rsid w:val="00E96CE9"/>
    <w:rsid w:val="00EC0757"/>
    <w:rsid w:val="00ED5818"/>
    <w:rsid w:val="00EE5F80"/>
    <w:rsid w:val="00F128D2"/>
    <w:rsid w:val="00F836FD"/>
    <w:rsid w:val="00FB674E"/>
    <w:rsid w:val="00FC20A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ABCB0"/>
  <w15:chartTrackingRefBased/>
  <w15:docId w15:val="{6DA708F3-D50A-114B-BD19-34258F3AB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882"/>
    <w:pPr>
      <w:keepNext/>
      <w:keepLines/>
      <w:pBdr>
        <w:top w:val="nil"/>
        <w:left w:val="nil"/>
        <w:bottom w:val="nil"/>
        <w:right w:val="nil"/>
        <w:between w:val="nil"/>
        <w:bar w:val="nil"/>
      </w:pBdr>
      <w:spacing w:before="24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rsid w:val="00577BC5"/>
    <w:pPr>
      <w:keepNext/>
      <w:keepLines/>
      <w:spacing w:before="160" w:after="120"/>
      <w:outlineLvl w:val="1"/>
    </w:pPr>
    <w:rPr>
      <w:rFonts w:eastAsiaTheme="majorEastAsia" w:cstheme="majorBidi"/>
      <w:b/>
      <w:i/>
      <w:color w:val="4472C4" w:themeColor="accent1"/>
      <w:szCs w:val="32"/>
    </w:rPr>
  </w:style>
  <w:style w:type="paragraph" w:styleId="Heading3">
    <w:name w:val="heading 3"/>
    <w:basedOn w:val="Normal"/>
    <w:next w:val="Normal"/>
    <w:link w:val="Heading3Char"/>
    <w:uiPriority w:val="9"/>
    <w:unhideWhenUsed/>
    <w:qFormat/>
    <w:rsid w:val="00D80F72"/>
    <w:pPr>
      <w:keepNext/>
      <w:keepLines/>
      <w:spacing w:before="160" w:after="80"/>
      <w:outlineLvl w:val="2"/>
    </w:pPr>
    <w:rPr>
      <w:rFonts w:asciiTheme="majorBidi" w:eastAsiaTheme="majorEastAsia" w:hAnsiTheme="majorBidi" w:cstheme="majorBidi"/>
      <w:b/>
      <w:color w:val="000000" w:themeColor="text1"/>
      <w:szCs w:val="28"/>
    </w:rPr>
  </w:style>
  <w:style w:type="paragraph" w:styleId="Heading4">
    <w:name w:val="heading 4"/>
    <w:basedOn w:val="Normal"/>
    <w:next w:val="Normal"/>
    <w:link w:val="Heading4Char"/>
    <w:uiPriority w:val="9"/>
    <w:semiHidden/>
    <w:unhideWhenUsed/>
    <w:qFormat/>
    <w:rsid w:val="00B2260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260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2260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2260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2260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2260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882"/>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577BC5"/>
    <w:rPr>
      <w:rFonts w:eastAsiaTheme="majorEastAsia" w:cstheme="majorBidi"/>
      <w:b/>
      <w:i/>
      <w:color w:val="4472C4" w:themeColor="accent1"/>
      <w:szCs w:val="32"/>
    </w:rPr>
  </w:style>
  <w:style w:type="character" w:customStyle="1" w:styleId="Heading3Char">
    <w:name w:val="Heading 3 Char"/>
    <w:basedOn w:val="DefaultParagraphFont"/>
    <w:link w:val="Heading3"/>
    <w:uiPriority w:val="9"/>
    <w:rsid w:val="00D80F72"/>
    <w:rPr>
      <w:rFonts w:asciiTheme="majorBidi" w:eastAsiaTheme="majorEastAsia" w:hAnsiTheme="majorBidi" w:cstheme="majorBidi"/>
      <w:b/>
      <w:color w:val="000000" w:themeColor="text1"/>
      <w:szCs w:val="28"/>
    </w:rPr>
  </w:style>
  <w:style w:type="character" w:customStyle="1" w:styleId="Heading4Char">
    <w:name w:val="Heading 4 Char"/>
    <w:basedOn w:val="DefaultParagraphFont"/>
    <w:link w:val="Heading4"/>
    <w:uiPriority w:val="9"/>
    <w:semiHidden/>
    <w:rsid w:val="00B2260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2260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2260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2260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2260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2260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226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6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60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60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226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260C"/>
    <w:rPr>
      <w:i/>
      <w:iCs/>
      <w:color w:val="404040" w:themeColor="text1" w:themeTint="BF"/>
    </w:rPr>
  </w:style>
  <w:style w:type="paragraph" w:styleId="ListParagraph">
    <w:name w:val="List Paragraph"/>
    <w:basedOn w:val="Normal"/>
    <w:uiPriority w:val="34"/>
    <w:qFormat/>
    <w:rsid w:val="00B2260C"/>
    <w:pPr>
      <w:ind w:left="720"/>
      <w:contextualSpacing/>
    </w:pPr>
  </w:style>
  <w:style w:type="character" w:styleId="IntenseEmphasis">
    <w:name w:val="Intense Emphasis"/>
    <w:basedOn w:val="DefaultParagraphFont"/>
    <w:uiPriority w:val="21"/>
    <w:qFormat/>
    <w:rsid w:val="00B2260C"/>
    <w:rPr>
      <w:i/>
      <w:iCs/>
      <w:color w:val="2F5496" w:themeColor="accent1" w:themeShade="BF"/>
    </w:rPr>
  </w:style>
  <w:style w:type="paragraph" w:styleId="IntenseQuote">
    <w:name w:val="Intense Quote"/>
    <w:basedOn w:val="Normal"/>
    <w:next w:val="Normal"/>
    <w:link w:val="IntenseQuoteChar"/>
    <w:uiPriority w:val="30"/>
    <w:qFormat/>
    <w:rsid w:val="00B226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60C"/>
    <w:rPr>
      <w:i/>
      <w:iCs/>
      <w:color w:val="2F5496" w:themeColor="accent1" w:themeShade="BF"/>
    </w:rPr>
  </w:style>
  <w:style w:type="character" w:styleId="IntenseReference">
    <w:name w:val="Intense Reference"/>
    <w:basedOn w:val="DefaultParagraphFont"/>
    <w:uiPriority w:val="32"/>
    <w:qFormat/>
    <w:rsid w:val="00B2260C"/>
    <w:rPr>
      <w:b/>
      <w:bCs/>
      <w:smallCaps/>
      <w:color w:val="2F5496" w:themeColor="accent1" w:themeShade="BF"/>
      <w:spacing w:val="5"/>
    </w:rPr>
  </w:style>
  <w:style w:type="paragraph" w:styleId="TOCHeading">
    <w:name w:val="TOC Heading"/>
    <w:basedOn w:val="Heading1"/>
    <w:next w:val="Normal"/>
    <w:uiPriority w:val="39"/>
    <w:unhideWhenUsed/>
    <w:qFormat/>
    <w:rsid w:val="00B2260C"/>
    <w:pPr>
      <w:pBdr>
        <w:top w:val="none" w:sz="0" w:space="0" w:color="auto"/>
        <w:left w:val="none" w:sz="0" w:space="0" w:color="auto"/>
        <w:bottom w:val="none" w:sz="0" w:space="0" w:color="auto"/>
        <w:right w:val="none" w:sz="0" w:space="0" w:color="auto"/>
        <w:between w:val="none" w:sz="0" w:space="0" w:color="auto"/>
        <w:bar w:val="none" w:sz="0" w:color="auto"/>
      </w:pBdr>
      <w:spacing w:before="480" w:after="0" w:line="276" w:lineRule="auto"/>
      <w:outlineLvl w:val="9"/>
    </w:pPr>
    <w:rPr>
      <w:rFonts w:asciiTheme="majorHAnsi" w:hAnsiTheme="majorHAnsi"/>
      <w:bCs/>
      <w:color w:val="2F5496" w:themeColor="accent1" w:themeShade="BF"/>
      <w:kern w:val="0"/>
      <w:sz w:val="28"/>
      <w:szCs w:val="28"/>
      <w14:ligatures w14:val="none"/>
    </w:rPr>
  </w:style>
  <w:style w:type="paragraph" w:styleId="TOC1">
    <w:name w:val="toc 1"/>
    <w:basedOn w:val="Normal"/>
    <w:next w:val="Normal"/>
    <w:autoRedefine/>
    <w:uiPriority w:val="39"/>
    <w:unhideWhenUsed/>
    <w:rsid w:val="00B2260C"/>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B2260C"/>
    <w:pPr>
      <w:spacing w:before="120"/>
      <w:ind w:left="240"/>
    </w:pPr>
    <w:rPr>
      <w:rFonts w:asciiTheme="minorHAnsi" w:hAnsiTheme="minorHAnsi" w:cstheme="minorHAnsi"/>
      <w:i/>
      <w:iCs/>
      <w:sz w:val="20"/>
    </w:rPr>
  </w:style>
  <w:style w:type="character" w:styleId="Hyperlink">
    <w:name w:val="Hyperlink"/>
    <w:basedOn w:val="DefaultParagraphFont"/>
    <w:uiPriority w:val="99"/>
    <w:unhideWhenUsed/>
    <w:rsid w:val="00B2260C"/>
    <w:rPr>
      <w:color w:val="0563C1" w:themeColor="hyperlink"/>
      <w:u w:val="single"/>
    </w:rPr>
  </w:style>
  <w:style w:type="paragraph" w:styleId="TOC3">
    <w:name w:val="toc 3"/>
    <w:basedOn w:val="Normal"/>
    <w:next w:val="Normal"/>
    <w:autoRedefine/>
    <w:uiPriority w:val="39"/>
    <w:semiHidden/>
    <w:unhideWhenUsed/>
    <w:rsid w:val="00B2260C"/>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B2260C"/>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B2260C"/>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B2260C"/>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B2260C"/>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B2260C"/>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B2260C"/>
    <w:pPr>
      <w:ind w:left="1920"/>
    </w:pPr>
    <w:rPr>
      <w:rFonts w:asciiTheme="minorHAnsi" w:hAnsiTheme="minorHAnsi" w:cstheme="minorHAnsi"/>
      <w:sz w:val="20"/>
    </w:rPr>
  </w:style>
  <w:style w:type="paragraph" w:styleId="Caption">
    <w:name w:val="caption"/>
    <w:basedOn w:val="Normal"/>
    <w:next w:val="Normal"/>
    <w:uiPriority w:val="35"/>
    <w:unhideWhenUsed/>
    <w:qFormat/>
    <w:rsid w:val="00B2260C"/>
    <w:pPr>
      <w:spacing w:after="200"/>
    </w:pPr>
    <w:rPr>
      <w:i/>
      <w:iCs/>
      <w:color w:val="44546A" w:themeColor="text2"/>
      <w:sz w:val="18"/>
      <w:szCs w:val="18"/>
    </w:rPr>
  </w:style>
  <w:style w:type="paragraph" w:styleId="Header">
    <w:name w:val="header"/>
    <w:basedOn w:val="Normal"/>
    <w:link w:val="HeaderChar"/>
    <w:uiPriority w:val="99"/>
    <w:unhideWhenUsed/>
    <w:rsid w:val="00381792"/>
    <w:pPr>
      <w:tabs>
        <w:tab w:val="center" w:pos="4680"/>
        <w:tab w:val="right" w:pos="9360"/>
      </w:tabs>
    </w:pPr>
  </w:style>
  <w:style w:type="character" w:customStyle="1" w:styleId="HeaderChar">
    <w:name w:val="Header Char"/>
    <w:basedOn w:val="DefaultParagraphFont"/>
    <w:link w:val="Header"/>
    <w:uiPriority w:val="99"/>
    <w:rsid w:val="00381792"/>
  </w:style>
  <w:style w:type="paragraph" w:styleId="Footer">
    <w:name w:val="footer"/>
    <w:basedOn w:val="Normal"/>
    <w:link w:val="FooterChar"/>
    <w:uiPriority w:val="99"/>
    <w:unhideWhenUsed/>
    <w:rsid w:val="00381792"/>
    <w:pPr>
      <w:tabs>
        <w:tab w:val="center" w:pos="4680"/>
        <w:tab w:val="right" w:pos="9360"/>
      </w:tabs>
    </w:pPr>
  </w:style>
  <w:style w:type="character" w:customStyle="1" w:styleId="FooterChar">
    <w:name w:val="Footer Char"/>
    <w:basedOn w:val="DefaultParagraphFont"/>
    <w:link w:val="Footer"/>
    <w:uiPriority w:val="99"/>
    <w:rsid w:val="00381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loitte.com/us/en/insights/topics/talent/organizational-skill-based-hiring.html?utm_source=chatgpt.com" TargetMode="External"/><Relationship Id="rId18" Type="http://schemas.openxmlformats.org/officeDocument/2006/relationships/hyperlink" Target="https://www.signalfire.com/blog/signalfire-state-of-talent-report-2025?utm_source=chatgpt.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bls.gov/news.release/pdf/jolts.pdf?utm_source=chatgpt.com" TargetMode="External"/><Relationship Id="rId17" Type="http://schemas.openxmlformats.org/officeDocument/2006/relationships/hyperlink" Target="https://ravio.com/tech-job-market-report-2025.pdf?utm_source=chatgpt.com" TargetMode="External"/><Relationship Id="rId2" Type="http://schemas.openxmlformats.org/officeDocument/2006/relationships/styles" Target="styles.xml"/><Relationship Id="rId16" Type="http://schemas.openxmlformats.org/officeDocument/2006/relationships/hyperlink" Target="https://www.pwc.com/gx/en/services/ai/ai-jobs-barometer.html?utm_source=chatgpt.com" TargetMode="External"/><Relationship Id="rId20" Type="http://schemas.openxmlformats.org/officeDocument/2006/relationships/hyperlink" Target="https://www.weforum.org/publications/the-future-of-jobs-report-2025/?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microsoft.com/en-us/worklab/work-trend-index/ai-at-work-is-here-now-comes-the-hard-part?utm_source=chatgpt.com"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ignalfire.com/blog/signalfire-state-of-talent-report-2025?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mercer.com/articleinsights/workforce-turnover-trends?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B583A1D-C292-41D1-BC6D-F2D4EA6E6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3871</Words>
  <Characters>22067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neel korat</cp:lastModifiedBy>
  <cp:revision>9</cp:revision>
  <dcterms:created xsi:type="dcterms:W3CDTF">2026-02-15T09:41:00Z</dcterms:created>
  <dcterms:modified xsi:type="dcterms:W3CDTF">2026-02-20T00:08:00Z</dcterms:modified>
</cp:coreProperties>
</file>